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50C8" w:rsidRPr="00CB399E" w:rsidRDefault="00B45A22" w:rsidP="00B455C0">
      <w:pPr>
        <w:rPr>
          <w:sz w:val="18"/>
          <w:szCs w:val="20"/>
          <w:rtl/>
        </w:rPr>
      </w:pPr>
      <w:bookmarkStart w:id="0" w:name="_GoBack"/>
      <w:bookmarkEnd w:id="0"/>
      <w:r w:rsidRPr="00CB399E">
        <w:rPr>
          <w:rFonts w:hint="cs"/>
          <w:sz w:val="18"/>
          <w:szCs w:val="20"/>
          <w:rtl/>
        </w:rPr>
        <w:t>בס"ד</w:t>
      </w:r>
      <w:r w:rsidR="00A93819" w:rsidRPr="00CB399E">
        <w:rPr>
          <w:rFonts w:hint="cs"/>
          <w:sz w:val="18"/>
          <w:szCs w:val="20"/>
          <w:rtl/>
        </w:rPr>
        <w:t xml:space="preserve">, </w:t>
      </w:r>
      <w:r w:rsidR="00B455C0" w:rsidRPr="00CB399E">
        <w:rPr>
          <w:rFonts w:hint="cs"/>
          <w:sz w:val="18"/>
          <w:szCs w:val="20"/>
          <w:rtl/>
        </w:rPr>
        <w:t>תשרי תשפ"ז</w:t>
      </w:r>
    </w:p>
    <w:p w:rsidR="00A93819" w:rsidRDefault="00A93819" w:rsidP="00A93819">
      <w:pPr>
        <w:pStyle w:val="a3"/>
        <w:rPr>
          <w:rtl/>
        </w:rPr>
      </w:pPr>
      <w:r>
        <w:rPr>
          <w:rFonts w:hint="cs"/>
          <w:rtl/>
        </w:rPr>
        <w:t>בכורות דף כ', ענייני רוב ודין רוב "התלוי במעשה"</w:t>
      </w:r>
    </w:p>
    <w:p w:rsidR="006A29B5" w:rsidRPr="00546752" w:rsidRDefault="00A93819" w:rsidP="00546752">
      <w:pPr>
        <w:rPr>
          <w:rFonts w:ascii="Aharoni" w:hAnsi="Aharoni" w:cs="Aharoni"/>
          <w:sz w:val="20"/>
          <w:szCs w:val="22"/>
          <w:rtl/>
        </w:rPr>
      </w:pPr>
      <w:r w:rsidRPr="00546752">
        <w:rPr>
          <w:rFonts w:ascii="Aharoni" w:hAnsi="Aharoni" w:cs="Aharoni"/>
          <w:sz w:val="20"/>
          <w:szCs w:val="22"/>
          <w:rtl/>
        </w:rPr>
        <w:t>**סוגיית רוב היא מן הסוגיות הרחבות שבש"ס, ונזכרת במקומות רבים. סוגייתינו עוסקת בכמה משאלות היסוד בענייני רוב, ובעיקר: א. ההבחנה בין רובא דאיתא קמן ורובא דליתא קמן</w:t>
      </w:r>
      <w:r w:rsidR="00546752">
        <w:rPr>
          <w:rFonts w:ascii="Aharoni" w:hAnsi="Aharoni" w:cs="Aharoni" w:hint="cs"/>
          <w:sz w:val="20"/>
          <w:szCs w:val="22"/>
          <w:rtl/>
        </w:rPr>
        <w:t xml:space="preserve"> (ראה חולין דף י"א)</w:t>
      </w:r>
      <w:r w:rsidRPr="00546752">
        <w:rPr>
          <w:rFonts w:ascii="Aharoni" w:hAnsi="Aharoni" w:cs="Aharoni"/>
          <w:sz w:val="20"/>
          <w:szCs w:val="22"/>
          <w:rtl/>
        </w:rPr>
        <w:t xml:space="preserve">; ב. שיטת ר' מאיר החושש למיעוט, ובתוספות כאן שני נידונים עקרוניים: 1. תוד"ה ואיבעית (כ.): ר' מאיר </w:t>
      </w:r>
      <w:r w:rsidR="00546752">
        <w:rPr>
          <w:rFonts w:ascii="Aharoni" w:hAnsi="Aharoni" w:cs="Aharoni" w:hint="cs"/>
          <w:sz w:val="20"/>
          <w:szCs w:val="22"/>
          <w:rtl/>
        </w:rPr>
        <w:t xml:space="preserve">אינו חושש למיעוט דמיעוטא, ואף </w:t>
      </w:r>
      <w:r w:rsidRPr="00546752">
        <w:rPr>
          <w:rFonts w:ascii="Aharoni" w:hAnsi="Aharoni" w:cs="Aharoni"/>
          <w:sz w:val="20"/>
          <w:szCs w:val="22"/>
          <w:rtl/>
        </w:rPr>
        <w:t xml:space="preserve">למיעוט </w:t>
      </w:r>
      <w:r w:rsidR="00546752">
        <w:rPr>
          <w:rFonts w:ascii="Aharoni" w:hAnsi="Aharoni" w:cs="Aharoni" w:hint="cs"/>
          <w:sz w:val="20"/>
          <w:szCs w:val="22"/>
          <w:rtl/>
        </w:rPr>
        <w:t xml:space="preserve">הוא חושש </w:t>
      </w:r>
      <w:r w:rsidRPr="00546752">
        <w:rPr>
          <w:rFonts w:ascii="Aharoni" w:hAnsi="Aharoni" w:cs="Aharoni"/>
          <w:sz w:val="20"/>
          <w:szCs w:val="22"/>
          <w:rtl/>
        </w:rPr>
        <w:t>רק מדרבנן, ואולם אם יש חזקה התומכת במיעוט הוא חושש למיעוט מדאורייתא</w:t>
      </w:r>
      <w:r w:rsidR="00546752">
        <w:rPr>
          <w:rFonts w:ascii="Aharoni" w:hAnsi="Aharoni" w:cs="Aharoni" w:hint="cs"/>
          <w:sz w:val="20"/>
          <w:szCs w:val="22"/>
          <w:rtl/>
        </w:rPr>
        <w:t xml:space="preserve"> (ראה קידושין דף ע"ט-פ', ובשלהי הסוגיה בחולין דף י"א שם)</w:t>
      </w:r>
      <w:r w:rsidRPr="00546752">
        <w:rPr>
          <w:rFonts w:ascii="Aharoni" w:hAnsi="Aharoni" w:cs="Aharoni"/>
          <w:sz w:val="20"/>
          <w:szCs w:val="22"/>
          <w:rtl/>
        </w:rPr>
        <w:t>; 2. תוד"ה חלב פוטר (כ:): רבינו תם הפוסק לכתחילה כדעת ר' מאיר שחושש למיעוט, ובהתאם להבחנה הנ"ל בין מיעוט הנתמך על ידי חזק</w:t>
      </w:r>
      <w:r w:rsidR="00B455C0">
        <w:rPr>
          <w:rFonts w:ascii="Aharoni" w:hAnsi="Aharoni" w:cs="Aharoni" w:hint="cs"/>
          <w:sz w:val="20"/>
          <w:szCs w:val="22"/>
          <w:rtl/>
        </w:rPr>
        <w:t>ה</w:t>
      </w:r>
      <w:r w:rsidRPr="00546752">
        <w:rPr>
          <w:rFonts w:ascii="Aharoni" w:hAnsi="Aharoni" w:cs="Aharoni"/>
          <w:sz w:val="20"/>
          <w:szCs w:val="22"/>
          <w:rtl/>
        </w:rPr>
        <w:t xml:space="preserve"> ומיעוט שאיננו נתמך על ידיה. </w:t>
      </w:r>
    </w:p>
    <w:p w:rsidR="00A93819" w:rsidRPr="00546752" w:rsidRDefault="00A93819" w:rsidP="00A93819">
      <w:pPr>
        <w:rPr>
          <w:rFonts w:ascii="Aharoni" w:hAnsi="Aharoni" w:cs="Aharoni"/>
          <w:sz w:val="20"/>
          <w:szCs w:val="22"/>
          <w:rtl/>
        </w:rPr>
      </w:pPr>
      <w:r w:rsidRPr="00546752">
        <w:rPr>
          <w:rFonts w:ascii="Aharoni" w:hAnsi="Aharoni" w:cs="Aharoni"/>
          <w:sz w:val="20"/>
          <w:szCs w:val="22"/>
          <w:rtl/>
        </w:rPr>
        <w:t xml:space="preserve">בצד שתי השאלות הנ"ל, שכאמור נידונות בסוגיות רבות, מצאנו בסוגייתינו שני חידושים ייחודיים, ובהם נרחיב את הדיבור במקורות דלהלן. </w:t>
      </w:r>
    </w:p>
    <w:p w:rsidR="00A93819" w:rsidRDefault="00A93819" w:rsidP="00A93819">
      <w:pPr>
        <w:rPr>
          <w:b/>
          <w:bCs/>
          <w:rtl/>
        </w:rPr>
      </w:pPr>
    </w:p>
    <w:p w:rsidR="00A93819" w:rsidRPr="00CB399E" w:rsidRDefault="00A93819" w:rsidP="00A93819">
      <w:pPr>
        <w:rPr>
          <w:b/>
          <w:bCs/>
          <w:sz w:val="23"/>
          <w:szCs w:val="23"/>
          <w:u w:val="single"/>
          <w:rtl/>
        </w:rPr>
      </w:pPr>
      <w:r w:rsidRPr="00CB399E">
        <w:rPr>
          <w:rFonts w:hint="cs"/>
          <w:b/>
          <w:bCs/>
          <w:sz w:val="23"/>
          <w:szCs w:val="23"/>
          <w:u w:val="single"/>
          <w:rtl/>
        </w:rPr>
        <w:t>א. בין איסור לממון בדיני בכור</w:t>
      </w:r>
    </w:p>
    <w:p w:rsidR="00A93819" w:rsidRPr="00CB399E" w:rsidRDefault="00A93819" w:rsidP="00A93819">
      <w:pPr>
        <w:rPr>
          <w:b/>
          <w:bCs/>
          <w:sz w:val="23"/>
          <w:szCs w:val="23"/>
          <w:rtl/>
        </w:rPr>
      </w:pPr>
      <w:r w:rsidRPr="00CB399E">
        <w:rPr>
          <w:rFonts w:hint="cs"/>
          <w:b/>
          <w:bCs/>
          <w:sz w:val="23"/>
          <w:szCs w:val="23"/>
          <w:rtl/>
        </w:rPr>
        <w:t>א1. אין הולכים בממון אחר הרוב</w:t>
      </w:r>
    </w:p>
    <w:p w:rsidR="00A93819" w:rsidRPr="00CB399E" w:rsidRDefault="00A93819" w:rsidP="00CC63D4">
      <w:pPr>
        <w:pStyle w:val="a8"/>
        <w:numPr>
          <w:ilvl w:val="0"/>
          <w:numId w:val="1"/>
        </w:numPr>
        <w:ind w:left="360"/>
        <w:rPr>
          <w:sz w:val="23"/>
          <w:szCs w:val="23"/>
          <w:rtl/>
        </w:rPr>
      </w:pPr>
      <w:r w:rsidRPr="00CB399E">
        <w:rPr>
          <w:b/>
          <w:bCs/>
          <w:sz w:val="23"/>
          <w:szCs w:val="23"/>
          <w:rtl/>
        </w:rPr>
        <w:t>בבא קמא</w:t>
      </w:r>
      <w:r w:rsidRPr="00CB399E">
        <w:rPr>
          <w:rFonts w:hint="cs"/>
          <w:b/>
          <w:bCs/>
          <w:sz w:val="23"/>
          <w:szCs w:val="23"/>
          <w:rtl/>
        </w:rPr>
        <w:t>,</w:t>
      </w:r>
      <w:r w:rsidRPr="00CB399E">
        <w:rPr>
          <w:b/>
          <w:bCs/>
          <w:sz w:val="23"/>
          <w:szCs w:val="23"/>
          <w:rtl/>
        </w:rPr>
        <w:t xml:space="preserve"> דף מ</w:t>
      </w:r>
      <w:r w:rsidRPr="00CB399E">
        <w:rPr>
          <w:rFonts w:hint="cs"/>
          <w:b/>
          <w:bCs/>
          <w:sz w:val="23"/>
          <w:szCs w:val="23"/>
          <w:rtl/>
        </w:rPr>
        <w:t>"</w:t>
      </w:r>
      <w:r w:rsidRPr="00CB399E">
        <w:rPr>
          <w:b/>
          <w:bCs/>
          <w:sz w:val="23"/>
          <w:szCs w:val="23"/>
          <w:rtl/>
        </w:rPr>
        <w:t>ו</w:t>
      </w:r>
      <w:r w:rsidRPr="00CB399E">
        <w:rPr>
          <w:rFonts w:hint="cs"/>
          <w:b/>
          <w:bCs/>
          <w:sz w:val="23"/>
          <w:szCs w:val="23"/>
          <w:rtl/>
        </w:rPr>
        <w:t>:</w:t>
      </w:r>
      <w:r w:rsidRPr="00CB399E">
        <w:rPr>
          <w:rFonts w:hint="cs"/>
          <w:sz w:val="23"/>
          <w:szCs w:val="23"/>
          <w:rtl/>
        </w:rPr>
        <w:t xml:space="preserve"> "</w:t>
      </w:r>
      <w:r w:rsidRPr="00CB399E">
        <w:rPr>
          <w:sz w:val="23"/>
          <w:szCs w:val="23"/>
          <w:rtl/>
        </w:rPr>
        <w:t>דאתמר: המוכר שור לחבירו ונמצא נגחן, רב אמר: הרי זה מקח טעות, ושמואל אמר: יכול שיאמר לו לשחיטה מכרתיו לך</w:t>
      </w:r>
      <w:r w:rsidRPr="00CB399E">
        <w:rPr>
          <w:rFonts w:hint="cs"/>
          <w:sz w:val="23"/>
          <w:szCs w:val="23"/>
          <w:rtl/>
        </w:rPr>
        <w:t xml:space="preserve"> ... </w:t>
      </w:r>
      <w:r w:rsidRPr="00CB399E">
        <w:rPr>
          <w:sz w:val="23"/>
          <w:szCs w:val="23"/>
          <w:rtl/>
        </w:rPr>
        <w:t>רב אמר: הרי זה מקח טעות, זיל בתר רובא, ורובא דאינשי לרדיא הוא דזבני; ושמואל אמר: יכול שיאמר לו לשחיטה מכרתיו לך. ולא אזלינן בתר רובא? כי אזלינן בתר רובא - באיסורא, אבל בממונא לא אזלינן בתר רובא, אלא המוציא מחבירו עליו הראיה</w:t>
      </w:r>
      <w:r w:rsidRPr="00CB399E">
        <w:rPr>
          <w:rFonts w:hint="cs"/>
          <w:sz w:val="23"/>
          <w:szCs w:val="23"/>
          <w:rtl/>
        </w:rPr>
        <w:t>"</w:t>
      </w:r>
      <w:r w:rsidRPr="00CB399E">
        <w:rPr>
          <w:sz w:val="23"/>
          <w:szCs w:val="23"/>
          <w:rtl/>
        </w:rPr>
        <w:t>.</w:t>
      </w:r>
    </w:p>
    <w:p w:rsidR="00A93819" w:rsidRPr="00CB399E" w:rsidRDefault="00A93819" w:rsidP="00CC63D4">
      <w:pPr>
        <w:pStyle w:val="a8"/>
        <w:numPr>
          <w:ilvl w:val="0"/>
          <w:numId w:val="1"/>
        </w:numPr>
        <w:ind w:left="360"/>
        <w:rPr>
          <w:sz w:val="23"/>
          <w:szCs w:val="23"/>
          <w:rtl/>
        </w:rPr>
      </w:pPr>
      <w:r w:rsidRPr="00CB399E">
        <w:rPr>
          <w:rFonts w:hint="cs"/>
          <w:b/>
          <w:bCs/>
          <w:sz w:val="23"/>
          <w:szCs w:val="23"/>
          <w:rtl/>
        </w:rPr>
        <w:t xml:space="preserve">סנהדרין, דף ג': </w:t>
      </w:r>
      <w:r w:rsidRPr="00CB399E">
        <w:rPr>
          <w:rFonts w:hint="cs"/>
          <w:sz w:val="23"/>
          <w:szCs w:val="23"/>
          <w:rtl/>
        </w:rPr>
        <w:t>"</w:t>
      </w:r>
      <w:r w:rsidRPr="00CB399E">
        <w:rPr>
          <w:rFonts w:hint="eastAsia"/>
          <w:sz w:val="23"/>
          <w:szCs w:val="23"/>
          <w:rtl/>
        </w:rPr>
        <w:t>ומה</w:t>
      </w:r>
      <w:r w:rsidRPr="00CB399E">
        <w:rPr>
          <w:sz w:val="23"/>
          <w:szCs w:val="23"/>
          <w:rtl/>
        </w:rPr>
        <w:t xml:space="preserve"> </w:t>
      </w:r>
      <w:r w:rsidRPr="00CB399E">
        <w:rPr>
          <w:rFonts w:hint="eastAsia"/>
          <w:sz w:val="23"/>
          <w:szCs w:val="23"/>
          <w:rtl/>
        </w:rPr>
        <w:t>דיני</w:t>
      </w:r>
      <w:r w:rsidRPr="00CB399E">
        <w:rPr>
          <w:sz w:val="23"/>
          <w:szCs w:val="23"/>
          <w:rtl/>
        </w:rPr>
        <w:t xml:space="preserve"> </w:t>
      </w:r>
      <w:r w:rsidRPr="00CB399E">
        <w:rPr>
          <w:rFonts w:hint="eastAsia"/>
          <w:sz w:val="23"/>
          <w:szCs w:val="23"/>
          <w:rtl/>
        </w:rPr>
        <w:t>נפשות</w:t>
      </w:r>
      <w:r w:rsidRPr="00CB399E">
        <w:rPr>
          <w:sz w:val="23"/>
          <w:szCs w:val="23"/>
          <w:rtl/>
        </w:rPr>
        <w:t xml:space="preserve"> </w:t>
      </w:r>
      <w:r w:rsidRPr="00CB399E">
        <w:rPr>
          <w:rFonts w:hint="eastAsia"/>
          <w:sz w:val="23"/>
          <w:szCs w:val="23"/>
          <w:rtl/>
        </w:rPr>
        <w:t>דחמירי</w:t>
      </w:r>
      <w:r w:rsidRPr="00CB399E">
        <w:rPr>
          <w:sz w:val="23"/>
          <w:szCs w:val="23"/>
          <w:rtl/>
        </w:rPr>
        <w:t xml:space="preserve">, </w:t>
      </w:r>
      <w:r w:rsidRPr="00CB399E">
        <w:rPr>
          <w:rFonts w:hint="eastAsia"/>
          <w:sz w:val="23"/>
          <w:szCs w:val="23"/>
          <w:rtl/>
        </w:rPr>
        <w:t>אמר</w:t>
      </w:r>
      <w:r w:rsidRPr="00CB399E">
        <w:rPr>
          <w:sz w:val="23"/>
          <w:szCs w:val="23"/>
          <w:rtl/>
        </w:rPr>
        <w:t xml:space="preserve"> </w:t>
      </w:r>
      <w:r w:rsidRPr="00CB399E">
        <w:rPr>
          <w:rFonts w:hint="eastAsia"/>
          <w:sz w:val="23"/>
          <w:szCs w:val="23"/>
          <w:rtl/>
        </w:rPr>
        <w:t>רחמנא</w:t>
      </w:r>
      <w:r w:rsidRPr="00CB399E">
        <w:rPr>
          <w:sz w:val="23"/>
          <w:szCs w:val="23"/>
          <w:rtl/>
        </w:rPr>
        <w:t xml:space="preserve">: </w:t>
      </w:r>
      <w:r w:rsidRPr="00CB399E">
        <w:rPr>
          <w:rFonts w:hint="eastAsia"/>
          <w:sz w:val="23"/>
          <w:szCs w:val="23"/>
          <w:rtl/>
        </w:rPr>
        <w:t>זיל</w:t>
      </w:r>
      <w:r w:rsidRPr="00CB399E">
        <w:rPr>
          <w:sz w:val="23"/>
          <w:szCs w:val="23"/>
          <w:rtl/>
        </w:rPr>
        <w:t xml:space="preserve"> </w:t>
      </w:r>
      <w:r w:rsidRPr="00CB399E">
        <w:rPr>
          <w:rFonts w:hint="eastAsia"/>
          <w:sz w:val="23"/>
          <w:szCs w:val="23"/>
          <w:rtl/>
        </w:rPr>
        <w:t>בתר</w:t>
      </w:r>
      <w:r w:rsidRPr="00CB399E">
        <w:rPr>
          <w:sz w:val="23"/>
          <w:szCs w:val="23"/>
          <w:rtl/>
        </w:rPr>
        <w:t xml:space="preserve"> </w:t>
      </w:r>
      <w:r w:rsidRPr="00CB399E">
        <w:rPr>
          <w:rFonts w:hint="eastAsia"/>
          <w:sz w:val="23"/>
          <w:szCs w:val="23"/>
          <w:rtl/>
        </w:rPr>
        <w:t>רובא</w:t>
      </w:r>
      <w:r w:rsidRPr="00CB399E">
        <w:rPr>
          <w:sz w:val="23"/>
          <w:szCs w:val="23"/>
          <w:rtl/>
        </w:rPr>
        <w:t xml:space="preserve">, </w:t>
      </w:r>
      <w:r w:rsidRPr="00CB399E">
        <w:rPr>
          <w:rFonts w:hint="eastAsia"/>
          <w:sz w:val="23"/>
          <w:szCs w:val="23"/>
          <w:rtl/>
        </w:rPr>
        <w:t>דיני</w:t>
      </w:r>
      <w:r w:rsidRPr="00CB399E">
        <w:rPr>
          <w:sz w:val="23"/>
          <w:szCs w:val="23"/>
          <w:rtl/>
        </w:rPr>
        <w:t xml:space="preserve"> </w:t>
      </w:r>
      <w:r w:rsidRPr="00CB399E">
        <w:rPr>
          <w:rFonts w:hint="eastAsia"/>
          <w:sz w:val="23"/>
          <w:szCs w:val="23"/>
          <w:rtl/>
        </w:rPr>
        <w:t>ממונות</w:t>
      </w:r>
      <w:r w:rsidRPr="00CB399E">
        <w:rPr>
          <w:sz w:val="23"/>
          <w:szCs w:val="23"/>
          <w:rtl/>
        </w:rPr>
        <w:t xml:space="preserve"> - </w:t>
      </w:r>
      <w:r w:rsidRPr="00CB399E">
        <w:rPr>
          <w:rFonts w:hint="eastAsia"/>
          <w:sz w:val="23"/>
          <w:szCs w:val="23"/>
          <w:rtl/>
        </w:rPr>
        <w:t>לא</w:t>
      </w:r>
      <w:r w:rsidRPr="00CB399E">
        <w:rPr>
          <w:sz w:val="23"/>
          <w:szCs w:val="23"/>
          <w:rtl/>
        </w:rPr>
        <w:t xml:space="preserve"> </w:t>
      </w:r>
      <w:r w:rsidRPr="00CB399E">
        <w:rPr>
          <w:rFonts w:hint="eastAsia"/>
          <w:sz w:val="23"/>
          <w:szCs w:val="23"/>
          <w:rtl/>
        </w:rPr>
        <w:t>כל</w:t>
      </w:r>
      <w:r w:rsidRPr="00CB399E">
        <w:rPr>
          <w:sz w:val="23"/>
          <w:szCs w:val="23"/>
          <w:rtl/>
        </w:rPr>
        <w:t xml:space="preserve"> </w:t>
      </w:r>
      <w:r w:rsidRPr="00CB399E">
        <w:rPr>
          <w:rFonts w:hint="eastAsia"/>
          <w:sz w:val="23"/>
          <w:szCs w:val="23"/>
          <w:rtl/>
        </w:rPr>
        <w:t>שכן</w:t>
      </w:r>
      <w:r w:rsidR="00D462B2" w:rsidRPr="00CB399E">
        <w:rPr>
          <w:rFonts w:hint="cs"/>
          <w:sz w:val="23"/>
          <w:szCs w:val="23"/>
          <w:rtl/>
        </w:rPr>
        <w:t>?!</w:t>
      </w:r>
      <w:r w:rsidRPr="00CB399E">
        <w:rPr>
          <w:rFonts w:hint="cs"/>
          <w:sz w:val="23"/>
          <w:szCs w:val="23"/>
          <w:rtl/>
        </w:rPr>
        <w:t>".</w:t>
      </w:r>
    </w:p>
    <w:p w:rsidR="00A93819" w:rsidRPr="00CB399E" w:rsidRDefault="00A93819" w:rsidP="00CC63D4">
      <w:pPr>
        <w:pStyle w:val="a8"/>
        <w:numPr>
          <w:ilvl w:val="0"/>
          <w:numId w:val="1"/>
        </w:numPr>
        <w:ind w:left="360"/>
        <w:rPr>
          <w:sz w:val="23"/>
          <w:szCs w:val="23"/>
          <w:rtl/>
        </w:rPr>
      </w:pPr>
      <w:r w:rsidRPr="00CB399E">
        <w:rPr>
          <w:rFonts w:hint="cs"/>
          <w:b/>
          <w:bCs/>
          <w:sz w:val="23"/>
          <w:szCs w:val="23"/>
          <w:rtl/>
        </w:rPr>
        <w:t xml:space="preserve">תוספות שם: </w:t>
      </w:r>
      <w:r w:rsidRPr="00CB399E">
        <w:rPr>
          <w:rFonts w:hint="cs"/>
          <w:sz w:val="23"/>
          <w:szCs w:val="23"/>
          <w:rtl/>
        </w:rPr>
        <w:t>"</w:t>
      </w:r>
      <w:r w:rsidRPr="00CB399E">
        <w:rPr>
          <w:rFonts w:hint="eastAsia"/>
          <w:sz w:val="23"/>
          <w:szCs w:val="23"/>
          <w:rtl/>
        </w:rPr>
        <w:t>דיני</w:t>
      </w:r>
      <w:r w:rsidRPr="00CB399E">
        <w:rPr>
          <w:sz w:val="23"/>
          <w:szCs w:val="23"/>
          <w:rtl/>
        </w:rPr>
        <w:t xml:space="preserve"> </w:t>
      </w:r>
      <w:r w:rsidRPr="00CB399E">
        <w:rPr>
          <w:rFonts w:hint="eastAsia"/>
          <w:sz w:val="23"/>
          <w:szCs w:val="23"/>
          <w:rtl/>
        </w:rPr>
        <w:t>ממונות</w:t>
      </w:r>
      <w:r w:rsidRPr="00CB399E">
        <w:rPr>
          <w:sz w:val="23"/>
          <w:szCs w:val="23"/>
          <w:rtl/>
        </w:rPr>
        <w:t xml:space="preserve"> </w:t>
      </w:r>
      <w:r w:rsidRPr="00CB399E">
        <w:rPr>
          <w:rFonts w:hint="eastAsia"/>
          <w:sz w:val="23"/>
          <w:szCs w:val="23"/>
          <w:rtl/>
        </w:rPr>
        <w:t>לא</w:t>
      </w:r>
      <w:r w:rsidRPr="00CB399E">
        <w:rPr>
          <w:sz w:val="23"/>
          <w:szCs w:val="23"/>
          <w:rtl/>
        </w:rPr>
        <w:t xml:space="preserve"> </w:t>
      </w:r>
      <w:r w:rsidRPr="00CB399E">
        <w:rPr>
          <w:rFonts w:hint="eastAsia"/>
          <w:sz w:val="23"/>
          <w:szCs w:val="23"/>
          <w:rtl/>
        </w:rPr>
        <w:t>כ</w:t>
      </w:r>
      <w:r w:rsidRPr="00CB399E">
        <w:rPr>
          <w:sz w:val="23"/>
          <w:szCs w:val="23"/>
          <w:rtl/>
        </w:rPr>
        <w:t>"</w:t>
      </w:r>
      <w:r w:rsidRPr="00CB399E">
        <w:rPr>
          <w:rFonts w:hint="eastAsia"/>
          <w:sz w:val="23"/>
          <w:szCs w:val="23"/>
          <w:rtl/>
        </w:rPr>
        <w:t>ש</w:t>
      </w:r>
      <w:r w:rsidRPr="00CB399E">
        <w:rPr>
          <w:sz w:val="23"/>
          <w:szCs w:val="23"/>
          <w:rtl/>
        </w:rPr>
        <w:t xml:space="preserve"> - </w:t>
      </w:r>
      <w:r w:rsidRPr="00CB399E">
        <w:rPr>
          <w:rFonts w:hint="eastAsia"/>
          <w:sz w:val="23"/>
          <w:szCs w:val="23"/>
          <w:rtl/>
        </w:rPr>
        <w:t>תימה</w:t>
      </w:r>
      <w:r w:rsidRPr="00CB399E">
        <w:rPr>
          <w:sz w:val="23"/>
          <w:szCs w:val="23"/>
          <w:rtl/>
        </w:rPr>
        <w:t xml:space="preserve"> </w:t>
      </w:r>
      <w:r w:rsidRPr="00CB399E">
        <w:rPr>
          <w:rFonts w:hint="eastAsia"/>
          <w:sz w:val="23"/>
          <w:szCs w:val="23"/>
          <w:rtl/>
        </w:rPr>
        <w:t>דבריש</w:t>
      </w:r>
      <w:r w:rsidRPr="00CB399E">
        <w:rPr>
          <w:sz w:val="23"/>
          <w:szCs w:val="23"/>
          <w:rtl/>
        </w:rPr>
        <w:t xml:space="preserve"> </w:t>
      </w:r>
      <w:r w:rsidRPr="00CB399E">
        <w:rPr>
          <w:rFonts w:hint="eastAsia"/>
          <w:sz w:val="23"/>
          <w:szCs w:val="23"/>
          <w:rtl/>
        </w:rPr>
        <w:t>המוכר</w:t>
      </w:r>
      <w:r w:rsidRPr="00CB399E">
        <w:rPr>
          <w:sz w:val="23"/>
          <w:szCs w:val="23"/>
          <w:rtl/>
        </w:rPr>
        <w:t xml:space="preserve"> </w:t>
      </w:r>
      <w:r w:rsidRPr="00CB399E">
        <w:rPr>
          <w:rFonts w:hint="eastAsia"/>
          <w:sz w:val="23"/>
          <w:szCs w:val="23"/>
          <w:rtl/>
        </w:rPr>
        <w:t>פירות</w:t>
      </w:r>
      <w:r w:rsidRPr="00CB399E">
        <w:rPr>
          <w:sz w:val="23"/>
          <w:szCs w:val="23"/>
          <w:rtl/>
        </w:rPr>
        <w:t xml:space="preserve"> (</w:t>
      </w:r>
      <w:r w:rsidRPr="00CB399E">
        <w:rPr>
          <w:rFonts w:hint="eastAsia"/>
          <w:sz w:val="23"/>
          <w:szCs w:val="23"/>
          <w:rtl/>
        </w:rPr>
        <w:t>ב</w:t>
      </w:r>
      <w:r w:rsidRPr="00CB399E">
        <w:rPr>
          <w:sz w:val="23"/>
          <w:szCs w:val="23"/>
          <w:rtl/>
        </w:rPr>
        <w:t>"</w:t>
      </w:r>
      <w:r w:rsidRPr="00CB399E">
        <w:rPr>
          <w:rFonts w:hint="eastAsia"/>
          <w:sz w:val="23"/>
          <w:szCs w:val="23"/>
          <w:rtl/>
        </w:rPr>
        <w:t>ב</w:t>
      </w:r>
      <w:r w:rsidRPr="00CB399E">
        <w:rPr>
          <w:sz w:val="23"/>
          <w:szCs w:val="23"/>
          <w:rtl/>
        </w:rPr>
        <w:t xml:space="preserve"> </w:t>
      </w:r>
      <w:r w:rsidRPr="00CB399E">
        <w:rPr>
          <w:rFonts w:hint="eastAsia"/>
          <w:sz w:val="23"/>
          <w:szCs w:val="23"/>
          <w:rtl/>
        </w:rPr>
        <w:t>דף</w:t>
      </w:r>
      <w:r w:rsidRPr="00CB399E">
        <w:rPr>
          <w:sz w:val="23"/>
          <w:szCs w:val="23"/>
          <w:rtl/>
        </w:rPr>
        <w:t xml:space="preserve"> </w:t>
      </w:r>
      <w:r w:rsidRPr="00CB399E">
        <w:rPr>
          <w:rFonts w:hint="eastAsia"/>
          <w:sz w:val="23"/>
          <w:szCs w:val="23"/>
          <w:rtl/>
        </w:rPr>
        <w:t>צב</w:t>
      </w:r>
      <w:r w:rsidRPr="00CB399E">
        <w:rPr>
          <w:sz w:val="23"/>
          <w:szCs w:val="23"/>
          <w:rtl/>
        </w:rPr>
        <w:t xml:space="preserve">:) </w:t>
      </w:r>
      <w:r w:rsidRPr="00CB399E">
        <w:rPr>
          <w:rFonts w:hint="eastAsia"/>
          <w:sz w:val="23"/>
          <w:szCs w:val="23"/>
          <w:rtl/>
        </w:rPr>
        <w:t>קאמר</w:t>
      </w:r>
      <w:r w:rsidRPr="00CB399E">
        <w:rPr>
          <w:sz w:val="23"/>
          <w:szCs w:val="23"/>
          <w:rtl/>
        </w:rPr>
        <w:t xml:space="preserve"> </w:t>
      </w:r>
      <w:r w:rsidRPr="00CB399E">
        <w:rPr>
          <w:rFonts w:hint="eastAsia"/>
          <w:sz w:val="23"/>
          <w:szCs w:val="23"/>
          <w:rtl/>
        </w:rPr>
        <w:t>שמואל</w:t>
      </w:r>
      <w:r w:rsidRPr="00CB399E">
        <w:rPr>
          <w:sz w:val="23"/>
          <w:szCs w:val="23"/>
          <w:rtl/>
        </w:rPr>
        <w:t xml:space="preserve"> </w:t>
      </w:r>
      <w:r w:rsidRPr="00CB399E">
        <w:rPr>
          <w:rFonts w:hint="eastAsia"/>
          <w:sz w:val="23"/>
          <w:szCs w:val="23"/>
          <w:rtl/>
        </w:rPr>
        <w:t>דאין</w:t>
      </w:r>
      <w:r w:rsidRPr="00CB399E">
        <w:rPr>
          <w:sz w:val="23"/>
          <w:szCs w:val="23"/>
          <w:rtl/>
        </w:rPr>
        <w:t xml:space="preserve"> </w:t>
      </w:r>
      <w:r w:rsidRPr="00CB399E">
        <w:rPr>
          <w:rFonts w:hint="eastAsia"/>
          <w:sz w:val="23"/>
          <w:szCs w:val="23"/>
          <w:rtl/>
        </w:rPr>
        <w:t>הולכים</w:t>
      </w:r>
      <w:r w:rsidRPr="00CB399E">
        <w:rPr>
          <w:sz w:val="23"/>
          <w:szCs w:val="23"/>
          <w:rtl/>
        </w:rPr>
        <w:t xml:space="preserve"> </w:t>
      </w:r>
      <w:r w:rsidRPr="00CB399E">
        <w:rPr>
          <w:rFonts w:hint="eastAsia"/>
          <w:sz w:val="23"/>
          <w:szCs w:val="23"/>
          <w:rtl/>
        </w:rPr>
        <w:t>בממון</w:t>
      </w:r>
      <w:r w:rsidRPr="00CB399E">
        <w:rPr>
          <w:sz w:val="23"/>
          <w:szCs w:val="23"/>
          <w:rtl/>
        </w:rPr>
        <w:t xml:space="preserve"> </w:t>
      </w:r>
      <w:r w:rsidRPr="00CB399E">
        <w:rPr>
          <w:rFonts w:hint="eastAsia"/>
          <w:sz w:val="23"/>
          <w:szCs w:val="23"/>
          <w:rtl/>
        </w:rPr>
        <w:t>אחר</w:t>
      </w:r>
      <w:r w:rsidRPr="00CB399E">
        <w:rPr>
          <w:sz w:val="23"/>
          <w:szCs w:val="23"/>
          <w:rtl/>
        </w:rPr>
        <w:t xml:space="preserve"> </w:t>
      </w:r>
      <w:r w:rsidRPr="00CB399E">
        <w:rPr>
          <w:rFonts w:hint="eastAsia"/>
          <w:sz w:val="23"/>
          <w:szCs w:val="23"/>
          <w:rtl/>
        </w:rPr>
        <w:t>הרוב</w:t>
      </w:r>
      <w:r w:rsidRPr="00CB399E">
        <w:rPr>
          <w:sz w:val="23"/>
          <w:szCs w:val="23"/>
          <w:rtl/>
        </w:rPr>
        <w:t xml:space="preserve"> </w:t>
      </w:r>
      <w:r w:rsidRPr="00CB399E">
        <w:rPr>
          <w:rFonts w:hint="eastAsia"/>
          <w:sz w:val="23"/>
          <w:szCs w:val="23"/>
          <w:rtl/>
        </w:rPr>
        <w:t>ואמאי</w:t>
      </w:r>
      <w:r w:rsidRPr="00CB399E">
        <w:rPr>
          <w:sz w:val="23"/>
          <w:szCs w:val="23"/>
          <w:rtl/>
        </w:rPr>
        <w:t xml:space="preserve"> </w:t>
      </w:r>
      <w:r w:rsidRPr="00CB399E">
        <w:rPr>
          <w:rFonts w:hint="eastAsia"/>
          <w:sz w:val="23"/>
          <w:szCs w:val="23"/>
          <w:rtl/>
        </w:rPr>
        <w:t>לא</w:t>
      </w:r>
      <w:r w:rsidRPr="00CB399E">
        <w:rPr>
          <w:sz w:val="23"/>
          <w:szCs w:val="23"/>
          <w:rtl/>
        </w:rPr>
        <w:t xml:space="preserve"> </w:t>
      </w:r>
      <w:r w:rsidRPr="00CB399E">
        <w:rPr>
          <w:rFonts w:hint="eastAsia"/>
          <w:sz w:val="23"/>
          <w:szCs w:val="23"/>
          <w:rtl/>
        </w:rPr>
        <w:t>נילף</w:t>
      </w:r>
      <w:r w:rsidRPr="00CB399E">
        <w:rPr>
          <w:sz w:val="23"/>
          <w:szCs w:val="23"/>
          <w:rtl/>
        </w:rPr>
        <w:t xml:space="preserve"> </w:t>
      </w:r>
      <w:r w:rsidRPr="00CB399E">
        <w:rPr>
          <w:rFonts w:hint="eastAsia"/>
          <w:sz w:val="23"/>
          <w:szCs w:val="23"/>
          <w:rtl/>
        </w:rPr>
        <w:t>בק</w:t>
      </w:r>
      <w:r w:rsidRPr="00CB399E">
        <w:rPr>
          <w:sz w:val="23"/>
          <w:szCs w:val="23"/>
          <w:rtl/>
        </w:rPr>
        <w:t>"</w:t>
      </w:r>
      <w:r w:rsidRPr="00CB399E">
        <w:rPr>
          <w:rFonts w:hint="eastAsia"/>
          <w:sz w:val="23"/>
          <w:szCs w:val="23"/>
          <w:rtl/>
        </w:rPr>
        <w:t>ו</w:t>
      </w:r>
      <w:r w:rsidRPr="00CB399E">
        <w:rPr>
          <w:sz w:val="23"/>
          <w:szCs w:val="23"/>
          <w:rtl/>
        </w:rPr>
        <w:t xml:space="preserve"> </w:t>
      </w:r>
      <w:r w:rsidRPr="00CB399E">
        <w:rPr>
          <w:rFonts w:hint="eastAsia"/>
          <w:sz w:val="23"/>
          <w:szCs w:val="23"/>
          <w:rtl/>
        </w:rPr>
        <w:t>מדיני</w:t>
      </w:r>
      <w:r w:rsidRPr="00CB399E">
        <w:rPr>
          <w:sz w:val="23"/>
          <w:szCs w:val="23"/>
          <w:rtl/>
        </w:rPr>
        <w:t xml:space="preserve"> </w:t>
      </w:r>
      <w:r w:rsidRPr="00CB399E">
        <w:rPr>
          <w:rFonts w:hint="eastAsia"/>
          <w:sz w:val="23"/>
          <w:szCs w:val="23"/>
          <w:rtl/>
        </w:rPr>
        <w:t>נפשות</w:t>
      </w:r>
      <w:r w:rsidRPr="00CB399E">
        <w:rPr>
          <w:sz w:val="23"/>
          <w:szCs w:val="23"/>
          <w:rtl/>
        </w:rPr>
        <w:t xml:space="preserve"> </w:t>
      </w:r>
      <w:r w:rsidRPr="00CB399E">
        <w:rPr>
          <w:rFonts w:hint="eastAsia"/>
          <w:sz w:val="23"/>
          <w:szCs w:val="23"/>
          <w:rtl/>
        </w:rPr>
        <w:t>כדאמר</w:t>
      </w:r>
      <w:r w:rsidRPr="00CB399E">
        <w:rPr>
          <w:sz w:val="23"/>
          <w:szCs w:val="23"/>
          <w:rtl/>
        </w:rPr>
        <w:t xml:space="preserve"> </w:t>
      </w:r>
      <w:r w:rsidRPr="00CB399E">
        <w:rPr>
          <w:rFonts w:hint="eastAsia"/>
          <w:sz w:val="23"/>
          <w:szCs w:val="23"/>
          <w:rtl/>
        </w:rPr>
        <w:t>הכא</w:t>
      </w:r>
      <w:r w:rsidRPr="00CB399E">
        <w:rPr>
          <w:rFonts w:hint="cs"/>
          <w:sz w:val="23"/>
          <w:szCs w:val="23"/>
          <w:rtl/>
        </w:rPr>
        <w:t>?!</w:t>
      </w:r>
      <w:r w:rsidRPr="00CB399E">
        <w:rPr>
          <w:sz w:val="23"/>
          <w:szCs w:val="23"/>
          <w:rtl/>
        </w:rPr>
        <w:t xml:space="preserve"> </w:t>
      </w:r>
      <w:r w:rsidRPr="00CB399E">
        <w:rPr>
          <w:rFonts w:hint="eastAsia"/>
          <w:sz w:val="23"/>
          <w:szCs w:val="23"/>
          <w:rtl/>
        </w:rPr>
        <w:t>וצ</w:t>
      </w:r>
      <w:r w:rsidRPr="00CB399E">
        <w:rPr>
          <w:sz w:val="23"/>
          <w:szCs w:val="23"/>
          <w:rtl/>
        </w:rPr>
        <w:t>"</w:t>
      </w:r>
      <w:r w:rsidRPr="00CB399E">
        <w:rPr>
          <w:rFonts w:hint="eastAsia"/>
          <w:sz w:val="23"/>
          <w:szCs w:val="23"/>
          <w:rtl/>
        </w:rPr>
        <w:t>ל</w:t>
      </w:r>
      <w:r w:rsidRPr="00CB399E">
        <w:rPr>
          <w:sz w:val="23"/>
          <w:szCs w:val="23"/>
          <w:rtl/>
        </w:rPr>
        <w:t xml:space="preserve"> </w:t>
      </w:r>
      <w:r w:rsidRPr="00CB399E">
        <w:rPr>
          <w:rFonts w:hint="eastAsia"/>
          <w:sz w:val="23"/>
          <w:szCs w:val="23"/>
          <w:rtl/>
        </w:rPr>
        <w:t>דרובא</w:t>
      </w:r>
      <w:r w:rsidRPr="00CB399E">
        <w:rPr>
          <w:sz w:val="23"/>
          <w:szCs w:val="23"/>
          <w:rtl/>
        </w:rPr>
        <w:t xml:space="preserve"> </w:t>
      </w:r>
      <w:r w:rsidRPr="00CB399E">
        <w:rPr>
          <w:rFonts w:hint="eastAsia"/>
          <w:sz w:val="23"/>
          <w:szCs w:val="23"/>
          <w:rtl/>
        </w:rPr>
        <w:t>לרדיא</w:t>
      </w:r>
      <w:r w:rsidRPr="00CB399E">
        <w:rPr>
          <w:sz w:val="23"/>
          <w:szCs w:val="23"/>
          <w:rtl/>
        </w:rPr>
        <w:t xml:space="preserve"> </w:t>
      </w:r>
      <w:r w:rsidRPr="00CB399E">
        <w:rPr>
          <w:rFonts w:hint="eastAsia"/>
          <w:sz w:val="23"/>
          <w:szCs w:val="23"/>
          <w:rtl/>
        </w:rPr>
        <w:t>זבני</w:t>
      </w:r>
      <w:r w:rsidRPr="00CB399E">
        <w:rPr>
          <w:sz w:val="23"/>
          <w:szCs w:val="23"/>
          <w:rtl/>
        </w:rPr>
        <w:t xml:space="preserve"> </w:t>
      </w:r>
      <w:r w:rsidRPr="00CB399E">
        <w:rPr>
          <w:rFonts w:hint="eastAsia"/>
          <w:sz w:val="23"/>
          <w:szCs w:val="23"/>
          <w:u w:val="single"/>
          <w:rtl/>
        </w:rPr>
        <w:t>לא</w:t>
      </w:r>
      <w:r w:rsidRPr="00CB399E">
        <w:rPr>
          <w:sz w:val="23"/>
          <w:szCs w:val="23"/>
          <w:u w:val="single"/>
          <w:rtl/>
        </w:rPr>
        <w:t xml:space="preserve"> </w:t>
      </w:r>
      <w:r w:rsidRPr="00CB399E">
        <w:rPr>
          <w:rFonts w:hint="eastAsia"/>
          <w:sz w:val="23"/>
          <w:szCs w:val="23"/>
          <w:u w:val="single"/>
          <w:rtl/>
        </w:rPr>
        <w:t>חשיב</w:t>
      </w:r>
      <w:r w:rsidRPr="00CB399E">
        <w:rPr>
          <w:sz w:val="23"/>
          <w:szCs w:val="23"/>
          <w:u w:val="single"/>
          <w:rtl/>
        </w:rPr>
        <w:t xml:space="preserve"> </w:t>
      </w:r>
      <w:r w:rsidRPr="00CB399E">
        <w:rPr>
          <w:rFonts w:hint="eastAsia"/>
          <w:sz w:val="23"/>
          <w:szCs w:val="23"/>
          <w:u w:val="single"/>
          <w:rtl/>
        </w:rPr>
        <w:t>כי</w:t>
      </w:r>
      <w:r w:rsidRPr="00CB399E">
        <w:rPr>
          <w:sz w:val="23"/>
          <w:szCs w:val="23"/>
          <w:u w:val="single"/>
          <w:rtl/>
        </w:rPr>
        <w:t xml:space="preserve"> </w:t>
      </w:r>
      <w:r w:rsidRPr="00CB399E">
        <w:rPr>
          <w:rFonts w:hint="eastAsia"/>
          <w:sz w:val="23"/>
          <w:szCs w:val="23"/>
          <w:u w:val="single"/>
          <w:rtl/>
        </w:rPr>
        <w:t>הנך</w:t>
      </w:r>
      <w:r w:rsidRPr="00CB399E">
        <w:rPr>
          <w:sz w:val="23"/>
          <w:szCs w:val="23"/>
          <w:u w:val="single"/>
          <w:rtl/>
        </w:rPr>
        <w:t xml:space="preserve"> </w:t>
      </w:r>
      <w:r w:rsidRPr="00CB399E">
        <w:rPr>
          <w:rFonts w:hint="eastAsia"/>
          <w:sz w:val="23"/>
          <w:szCs w:val="23"/>
          <w:u w:val="single"/>
          <w:rtl/>
        </w:rPr>
        <w:t>רובא</w:t>
      </w:r>
      <w:r w:rsidRPr="00CB399E">
        <w:rPr>
          <w:sz w:val="23"/>
          <w:szCs w:val="23"/>
          <w:rtl/>
        </w:rPr>
        <w:t xml:space="preserve"> </w:t>
      </w:r>
      <w:r w:rsidRPr="00CB399E">
        <w:rPr>
          <w:rFonts w:hint="eastAsia"/>
          <w:sz w:val="23"/>
          <w:szCs w:val="23"/>
          <w:rtl/>
        </w:rPr>
        <w:t>הלכך</w:t>
      </w:r>
      <w:r w:rsidRPr="00CB399E">
        <w:rPr>
          <w:sz w:val="23"/>
          <w:szCs w:val="23"/>
          <w:rtl/>
        </w:rPr>
        <w:t xml:space="preserve"> </w:t>
      </w:r>
      <w:r w:rsidRPr="00CB399E">
        <w:rPr>
          <w:rFonts w:hint="eastAsia"/>
          <w:sz w:val="23"/>
          <w:szCs w:val="23"/>
          <w:rtl/>
        </w:rPr>
        <w:t>לא</w:t>
      </w:r>
      <w:r w:rsidRPr="00CB399E">
        <w:rPr>
          <w:sz w:val="23"/>
          <w:szCs w:val="23"/>
          <w:rtl/>
        </w:rPr>
        <w:t xml:space="preserve"> </w:t>
      </w:r>
      <w:r w:rsidRPr="00CB399E">
        <w:rPr>
          <w:rFonts w:hint="eastAsia"/>
          <w:sz w:val="23"/>
          <w:szCs w:val="23"/>
          <w:rtl/>
        </w:rPr>
        <w:t>סמכינן</w:t>
      </w:r>
      <w:r w:rsidRPr="00CB399E">
        <w:rPr>
          <w:sz w:val="23"/>
          <w:szCs w:val="23"/>
          <w:rtl/>
        </w:rPr>
        <w:t xml:space="preserve"> </w:t>
      </w:r>
      <w:r w:rsidRPr="00CB399E">
        <w:rPr>
          <w:rFonts w:hint="eastAsia"/>
          <w:sz w:val="23"/>
          <w:szCs w:val="23"/>
          <w:rtl/>
        </w:rPr>
        <w:t>אהך</w:t>
      </w:r>
      <w:r w:rsidRPr="00CB399E">
        <w:rPr>
          <w:sz w:val="23"/>
          <w:szCs w:val="23"/>
          <w:rtl/>
        </w:rPr>
        <w:t xml:space="preserve"> </w:t>
      </w:r>
      <w:r w:rsidRPr="00CB399E">
        <w:rPr>
          <w:rFonts w:hint="eastAsia"/>
          <w:sz w:val="23"/>
          <w:szCs w:val="23"/>
          <w:rtl/>
        </w:rPr>
        <w:t>רובא</w:t>
      </w:r>
      <w:r w:rsidRPr="00CB399E">
        <w:rPr>
          <w:sz w:val="23"/>
          <w:szCs w:val="23"/>
          <w:rtl/>
        </w:rPr>
        <w:t xml:space="preserve"> </w:t>
      </w:r>
      <w:r w:rsidRPr="00CB399E">
        <w:rPr>
          <w:rFonts w:hint="eastAsia"/>
          <w:sz w:val="23"/>
          <w:szCs w:val="23"/>
          <w:rtl/>
        </w:rPr>
        <w:t>בדיני</w:t>
      </w:r>
      <w:r w:rsidRPr="00CB399E">
        <w:rPr>
          <w:sz w:val="23"/>
          <w:szCs w:val="23"/>
          <w:rtl/>
        </w:rPr>
        <w:t xml:space="preserve"> </w:t>
      </w:r>
      <w:r w:rsidRPr="00CB399E">
        <w:rPr>
          <w:rFonts w:hint="eastAsia"/>
          <w:sz w:val="23"/>
          <w:szCs w:val="23"/>
          <w:rtl/>
        </w:rPr>
        <w:t>ממונות</w:t>
      </w:r>
      <w:r w:rsidRPr="00CB399E">
        <w:rPr>
          <w:rFonts w:hint="cs"/>
          <w:sz w:val="23"/>
          <w:szCs w:val="23"/>
          <w:rtl/>
        </w:rPr>
        <w:t>"</w:t>
      </w:r>
      <w:r w:rsidRPr="00CB399E">
        <w:rPr>
          <w:sz w:val="23"/>
          <w:szCs w:val="23"/>
          <w:rtl/>
        </w:rPr>
        <w:t>.</w:t>
      </w:r>
    </w:p>
    <w:p w:rsidR="00546752" w:rsidRPr="00CB399E" w:rsidRDefault="00546752" w:rsidP="00CC63D4">
      <w:pPr>
        <w:pStyle w:val="a8"/>
        <w:numPr>
          <w:ilvl w:val="0"/>
          <w:numId w:val="1"/>
        </w:numPr>
        <w:ind w:left="360"/>
        <w:rPr>
          <w:sz w:val="23"/>
          <w:szCs w:val="23"/>
          <w:rtl/>
        </w:rPr>
      </w:pPr>
      <w:r w:rsidRPr="00CB399E">
        <w:rPr>
          <w:rFonts w:hint="cs"/>
          <w:b/>
          <w:bCs/>
          <w:sz w:val="23"/>
          <w:szCs w:val="23"/>
          <w:rtl/>
        </w:rPr>
        <w:t xml:space="preserve">שיעורי הרא"ל, בבא קמא: </w:t>
      </w:r>
      <w:r w:rsidRPr="00CB399E">
        <w:rPr>
          <w:rFonts w:hint="cs"/>
          <w:sz w:val="23"/>
          <w:szCs w:val="23"/>
          <w:rtl/>
        </w:rPr>
        <w:t xml:space="preserve">"הגרי"ד הסביר את דברי התוספות, על פי הבחנה עקרונית בין שתי מסקנות אפשריות אליהן ניתן להגיע מכוחו של הרוב: א. הרוב מברר את המציאות באופן ודאי, וכביכול מוחק את הספק; ב. הרוב מותיר את הספק על כנו, אך מורה לנו כיצד לפעול למרות הספק. לדעת הגרי"ד, </w:t>
      </w:r>
      <w:r w:rsidRPr="00CB399E">
        <w:rPr>
          <w:rFonts w:hint="cs"/>
          <w:sz w:val="23"/>
          <w:szCs w:val="23"/>
          <w:u w:val="single"/>
          <w:rtl/>
        </w:rPr>
        <w:t>רוב חשוב הוא זה שמביא אל המסקנה הראשונה, ומברר את המציאות באופן ודאי</w:t>
      </w:r>
      <w:r w:rsidRPr="00CB399E">
        <w:rPr>
          <w:rFonts w:hint="cs"/>
          <w:sz w:val="23"/>
          <w:szCs w:val="23"/>
          <w:rtl/>
        </w:rPr>
        <w:t>. רוב שאיננו חשוב הוא זה שיש לו כוח מנהיג, אך אין לו כוח מברר. המודל העקרוני שעליו בנה הגרי"ד את חידושו הוא זה שמציג הרמב"ן בחולין דף י"ב. הרמב"ן שם מסביר, שכאשר מדובר על מיעוט מצוי (סירכא בריאה) יש צורך בבדיקה נוספת. אם המיעוט אינו מצוי (סירכה במוח) אין צורך בבדיקה נוספת. חילוקו של הגרי"ד מתאים מאוד לדברי התוס'. כשמדובר על רוב חזק, הספק כביכול נעלם, וממילא ניתן לסמוך עליו בנפשות ובממונות. אם עננת הספק עדיין מרחפת מעל המאורע, א"א לסמוך על הרוב לא בממונות ולא בנפשות. הגרי"ד הוסיף ואמר, ששני סוגי הרוב עשויים להיות תלויים גם בשאלת רובא דאיתא קמן ורובא דליתא קמן".</w:t>
      </w:r>
    </w:p>
    <w:p w:rsidR="00CC63D4" w:rsidRPr="00CB399E" w:rsidRDefault="00CC63D4" w:rsidP="00CC63D4">
      <w:pPr>
        <w:rPr>
          <w:b/>
          <w:bCs/>
          <w:sz w:val="23"/>
          <w:szCs w:val="23"/>
          <w:rtl/>
        </w:rPr>
      </w:pPr>
    </w:p>
    <w:p w:rsidR="002915BE" w:rsidRPr="00CB399E" w:rsidRDefault="002915BE" w:rsidP="00CC63D4">
      <w:pPr>
        <w:rPr>
          <w:b/>
          <w:bCs/>
          <w:sz w:val="23"/>
          <w:szCs w:val="23"/>
          <w:rtl/>
        </w:rPr>
      </w:pPr>
      <w:r w:rsidRPr="00CB399E">
        <w:rPr>
          <w:rFonts w:hint="cs"/>
          <w:b/>
          <w:bCs/>
          <w:sz w:val="23"/>
          <w:szCs w:val="23"/>
          <w:rtl/>
        </w:rPr>
        <w:t>א2. רוב לעניין נתינה לכהן לעומת רוב לעניין איסור גיזה ועבודה</w:t>
      </w:r>
    </w:p>
    <w:p w:rsidR="002915BE" w:rsidRPr="00CB399E" w:rsidRDefault="002915BE" w:rsidP="00CC63D4">
      <w:pPr>
        <w:pStyle w:val="a8"/>
        <w:numPr>
          <w:ilvl w:val="0"/>
          <w:numId w:val="1"/>
        </w:numPr>
        <w:ind w:left="360"/>
        <w:rPr>
          <w:sz w:val="23"/>
          <w:szCs w:val="23"/>
          <w:rtl/>
        </w:rPr>
      </w:pPr>
      <w:r w:rsidRPr="00CB399E">
        <w:rPr>
          <w:b/>
          <w:bCs/>
          <w:sz w:val="23"/>
          <w:szCs w:val="23"/>
          <w:rtl/>
        </w:rPr>
        <w:t>בכורות</w:t>
      </w:r>
      <w:r w:rsidRPr="00CB399E">
        <w:rPr>
          <w:rFonts w:hint="cs"/>
          <w:b/>
          <w:bCs/>
          <w:sz w:val="23"/>
          <w:szCs w:val="23"/>
          <w:rtl/>
        </w:rPr>
        <w:t>,</w:t>
      </w:r>
      <w:r w:rsidRPr="00CB399E">
        <w:rPr>
          <w:b/>
          <w:bCs/>
          <w:sz w:val="23"/>
          <w:szCs w:val="23"/>
          <w:rtl/>
        </w:rPr>
        <w:t xml:space="preserve"> דף כ</w:t>
      </w:r>
      <w:r w:rsidRPr="00CB399E">
        <w:rPr>
          <w:rFonts w:hint="cs"/>
          <w:b/>
          <w:bCs/>
          <w:sz w:val="23"/>
          <w:szCs w:val="23"/>
          <w:rtl/>
        </w:rPr>
        <w:t>':</w:t>
      </w:r>
      <w:r w:rsidRPr="00CB399E">
        <w:rPr>
          <w:rFonts w:hint="cs"/>
          <w:sz w:val="23"/>
          <w:szCs w:val="23"/>
          <w:rtl/>
        </w:rPr>
        <w:t xml:space="preserve"> "</w:t>
      </w:r>
      <w:r w:rsidRPr="00CB399E">
        <w:rPr>
          <w:sz w:val="23"/>
          <w:szCs w:val="23"/>
          <w:rtl/>
        </w:rPr>
        <w:t>והכא בחוששין לטינוף קא מיפלגי, רבי ישמעאל סבר: אין חוששין לטינוף, ור' יהושע סבר: חוששין לטינוף</w:t>
      </w:r>
      <w:r w:rsidRPr="00CB399E">
        <w:rPr>
          <w:rFonts w:hint="cs"/>
          <w:sz w:val="23"/>
          <w:szCs w:val="23"/>
          <w:rtl/>
        </w:rPr>
        <w:t>"</w:t>
      </w:r>
      <w:r w:rsidRPr="00CB399E">
        <w:rPr>
          <w:sz w:val="23"/>
          <w:szCs w:val="23"/>
          <w:rtl/>
        </w:rPr>
        <w:t>.</w:t>
      </w:r>
    </w:p>
    <w:p w:rsidR="002915BE" w:rsidRPr="00CB399E" w:rsidRDefault="002915BE" w:rsidP="00CC63D4">
      <w:pPr>
        <w:pStyle w:val="a8"/>
        <w:numPr>
          <w:ilvl w:val="0"/>
          <w:numId w:val="1"/>
        </w:numPr>
        <w:ind w:left="360"/>
        <w:rPr>
          <w:sz w:val="23"/>
          <w:szCs w:val="23"/>
          <w:rtl/>
        </w:rPr>
      </w:pPr>
      <w:r w:rsidRPr="00CB399E">
        <w:rPr>
          <w:b/>
          <w:bCs/>
          <w:sz w:val="23"/>
          <w:szCs w:val="23"/>
          <w:rtl/>
        </w:rPr>
        <w:t xml:space="preserve">תוספות </w:t>
      </w:r>
      <w:r w:rsidRPr="00CB399E">
        <w:rPr>
          <w:rFonts w:hint="cs"/>
          <w:b/>
          <w:bCs/>
          <w:sz w:val="23"/>
          <w:szCs w:val="23"/>
          <w:rtl/>
        </w:rPr>
        <w:t>שם:</w:t>
      </w:r>
      <w:r w:rsidRPr="00CB399E">
        <w:rPr>
          <w:rFonts w:hint="cs"/>
          <w:sz w:val="23"/>
          <w:szCs w:val="23"/>
          <w:rtl/>
        </w:rPr>
        <w:t xml:space="preserve"> "</w:t>
      </w:r>
      <w:r w:rsidRPr="00CB399E">
        <w:rPr>
          <w:sz w:val="23"/>
          <w:szCs w:val="23"/>
          <w:rtl/>
        </w:rPr>
        <w:t>ורבי יהושע סבר חוששין לטינוף - וא"ת הא קא מסקינן לקמן דרבי יהושע לא חייש למיעוטא</w:t>
      </w:r>
      <w:r w:rsidRPr="00CB399E">
        <w:rPr>
          <w:rFonts w:hint="cs"/>
          <w:sz w:val="23"/>
          <w:szCs w:val="23"/>
          <w:rtl/>
        </w:rPr>
        <w:t xml:space="preserve">, ואם כן </w:t>
      </w:r>
      <w:r w:rsidRPr="00CB399E">
        <w:rPr>
          <w:sz w:val="23"/>
          <w:szCs w:val="23"/>
          <w:rtl/>
        </w:rPr>
        <w:t>היכי חייש הכא למיעוטא דמטנפות</w:t>
      </w:r>
      <w:r w:rsidRPr="00CB399E">
        <w:rPr>
          <w:rFonts w:hint="cs"/>
          <w:sz w:val="23"/>
          <w:szCs w:val="23"/>
          <w:rtl/>
        </w:rPr>
        <w:t>?!</w:t>
      </w:r>
      <w:r w:rsidRPr="00CB399E">
        <w:rPr>
          <w:sz w:val="23"/>
          <w:szCs w:val="23"/>
          <w:rtl/>
        </w:rPr>
        <w:t xml:space="preserve"> ועוד דבכי האי גוונא דהכא אפילו ר"מ לא חייש כדאמר בריש פרק בתרא דיבמות (דף קיט:) דהיכא דאיכא רובא וחזקה הוי המיעוט </w:t>
      </w:r>
      <w:r w:rsidRPr="00CB399E">
        <w:rPr>
          <w:rFonts w:hint="cs"/>
          <w:sz w:val="23"/>
          <w:szCs w:val="23"/>
          <w:rtl/>
        </w:rPr>
        <w:t>"</w:t>
      </w:r>
      <w:r w:rsidRPr="00CB399E">
        <w:rPr>
          <w:sz w:val="23"/>
          <w:szCs w:val="23"/>
          <w:rtl/>
        </w:rPr>
        <w:t>מיעוט דמיעוטא</w:t>
      </w:r>
      <w:r w:rsidRPr="00CB399E">
        <w:rPr>
          <w:rFonts w:hint="cs"/>
          <w:sz w:val="23"/>
          <w:szCs w:val="23"/>
          <w:rtl/>
        </w:rPr>
        <w:t>",</w:t>
      </w:r>
      <w:r w:rsidRPr="00CB399E">
        <w:rPr>
          <w:sz w:val="23"/>
          <w:szCs w:val="23"/>
          <w:rtl/>
        </w:rPr>
        <w:t xml:space="preserve"> והכא איכא רובא דאין מטנפות וחזקה שהיא בחזקת שלא ילדה</w:t>
      </w:r>
      <w:r w:rsidRPr="00CB399E">
        <w:rPr>
          <w:rFonts w:hint="cs"/>
          <w:sz w:val="23"/>
          <w:szCs w:val="23"/>
          <w:rtl/>
        </w:rPr>
        <w:t>?!</w:t>
      </w:r>
      <w:r w:rsidRPr="00CB399E">
        <w:rPr>
          <w:sz w:val="23"/>
          <w:szCs w:val="23"/>
          <w:rtl/>
        </w:rPr>
        <w:t xml:space="preserve"> וי"ל דמ"מ לא הוי ודאי בכור שניתן לכהן </w:t>
      </w:r>
      <w:r w:rsidRPr="00CB399E">
        <w:rPr>
          <w:sz w:val="23"/>
          <w:szCs w:val="23"/>
          <w:u w:val="single"/>
          <w:rtl/>
        </w:rPr>
        <w:t>דאיכא חזקת ממונא דעדיפא והמוציא מחבירו עליו הראיה</w:t>
      </w:r>
      <w:r w:rsidR="00D462B2" w:rsidRPr="00CB399E">
        <w:rPr>
          <w:rFonts w:hint="cs"/>
          <w:sz w:val="23"/>
          <w:szCs w:val="23"/>
          <w:rtl/>
        </w:rPr>
        <w:t>.</w:t>
      </w:r>
      <w:r w:rsidRPr="00CB399E">
        <w:rPr>
          <w:sz w:val="23"/>
          <w:szCs w:val="23"/>
          <w:rtl/>
        </w:rPr>
        <w:t xml:space="preserve"> ואפילו לרב דאזיל בממונא אחר הרוב בההיא דהמוכר שור לחבירו ונמצא נגחן (ב"ק דף מו.) היינו משום דאמר קים לי בנפשאי שאני מן הרוב</w:t>
      </w:r>
      <w:r w:rsidRPr="00CB399E">
        <w:rPr>
          <w:rFonts w:hint="cs"/>
          <w:sz w:val="23"/>
          <w:szCs w:val="23"/>
          <w:rtl/>
        </w:rPr>
        <w:t>.</w:t>
      </w:r>
    </w:p>
    <w:p w:rsidR="002915BE" w:rsidRPr="00CB399E" w:rsidRDefault="002915BE" w:rsidP="00CC63D4">
      <w:pPr>
        <w:pStyle w:val="a8"/>
        <w:ind w:left="360"/>
        <w:rPr>
          <w:sz w:val="23"/>
          <w:szCs w:val="23"/>
          <w:rtl/>
        </w:rPr>
      </w:pPr>
      <w:r w:rsidRPr="00CB399E">
        <w:rPr>
          <w:sz w:val="23"/>
          <w:szCs w:val="23"/>
          <w:rtl/>
        </w:rPr>
        <w:t>א</w:t>
      </w:r>
      <w:r w:rsidRPr="00CB399E">
        <w:rPr>
          <w:rFonts w:hint="cs"/>
          <w:sz w:val="23"/>
          <w:szCs w:val="23"/>
          <w:rtl/>
        </w:rPr>
        <w:t xml:space="preserve">י נמי </w:t>
      </w:r>
      <w:r w:rsidRPr="00CB399E">
        <w:rPr>
          <w:sz w:val="23"/>
          <w:szCs w:val="23"/>
          <w:rtl/>
        </w:rPr>
        <w:t>יש לחלק בין ממון שאין לו תובעין לממון שיש לו תובעין</w:t>
      </w:r>
      <w:r w:rsidRPr="00CB399E">
        <w:rPr>
          <w:rFonts w:hint="cs"/>
          <w:sz w:val="23"/>
          <w:szCs w:val="23"/>
          <w:rtl/>
        </w:rPr>
        <w:t>.</w:t>
      </w:r>
    </w:p>
    <w:p w:rsidR="002915BE" w:rsidRPr="00CB399E" w:rsidRDefault="002915BE" w:rsidP="00CC63D4">
      <w:pPr>
        <w:pStyle w:val="a8"/>
        <w:ind w:left="360"/>
        <w:rPr>
          <w:sz w:val="23"/>
          <w:szCs w:val="23"/>
          <w:rtl/>
        </w:rPr>
      </w:pPr>
      <w:r w:rsidRPr="00CB399E">
        <w:rPr>
          <w:sz w:val="23"/>
          <w:szCs w:val="23"/>
          <w:u w:val="single"/>
          <w:rtl/>
        </w:rPr>
        <w:t>ומיהו היא קצת תימה דלענין ללקות בגיזה ועבודה ולענין ליקרב למזבח חשיב ודאי בכור דאזלינן בתר רובא</w:t>
      </w:r>
      <w:r w:rsidRPr="00CB399E">
        <w:rPr>
          <w:rFonts w:hint="cs"/>
          <w:sz w:val="23"/>
          <w:szCs w:val="23"/>
          <w:u w:val="single"/>
          <w:rtl/>
        </w:rPr>
        <w:t xml:space="preserve"> (שאינן מטנפות)</w:t>
      </w:r>
      <w:r w:rsidRPr="00CB399E">
        <w:rPr>
          <w:sz w:val="23"/>
          <w:szCs w:val="23"/>
          <w:u w:val="single"/>
          <w:rtl/>
        </w:rPr>
        <w:t xml:space="preserve"> וחזקה</w:t>
      </w:r>
      <w:r w:rsidRPr="00CB399E">
        <w:rPr>
          <w:rFonts w:hint="cs"/>
          <w:sz w:val="23"/>
          <w:szCs w:val="23"/>
          <w:u w:val="single"/>
          <w:rtl/>
        </w:rPr>
        <w:t xml:space="preserve"> (שלא ילדה),</w:t>
      </w:r>
      <w:r w:rsidRPr="00CB399E">
        <w:rPr>
          <w:sz w:val="23"/>
          <w:szCs w:val="23"/>
          <w:u w:val="single"/>
          <w:rtl/>
        </w:rPr>
        <w:t xml:space="preserve"> ולענין נתינתו לכהן יחשב ספק</w:t>
      </w:r>
      <w:r w:rsidRPr="00CB399E">
        <w:rPr>
          <w:rFonts w:hint="cs"/>
          <w:sz w:val="23"/>
          <w:szCs w:val="23"/>
          <w:u w:val="single"/>
          <w:rtl/>
        </w:rPr>
        <w:t>?!</w:t>
      </w:r>
      <w:r w:rsidRPr="00CB399E">
        <w:rPr>
          <w:sz w:val="23"/>
          <w:szCs w:val="23"/>
          <w:rtl/>
        </w:rPr>
        <w:t xml:space="preserve"> ונראה לתרץ דלהכי חיישינן למיעוט דמטנפות משום דרוב בהמות מתעברות כשמגיעות לזמן שראויות להתעבר בו</w:t>
      </w:r>
      <w:r w:rsidRPr="00CB399E">
        <w:rPr>
          <w:rFonts w:hint="cs"/>
          <w:sz w:val="23"/>
          <w:szCs w:val="23"/>
          <w:rtl/>
        </w:rPr>
        <w:t xml:space="preserve">". </w:t>
      </w:r>
    </w:p>
    <w:p w:rsidR="002915BE" w:rsidRPr="00CB399E" w:rsidRDefault="002915BE" w:rsidP="00CC63D4">
      <w:pPr>
        <w:pStyle w:val="a8"/>
        <w:numPr>
          <w:ilvl w:val="0"/>
          <w:numId w:val="1"/>
        </w:numPr>
        <w:ind w:left="360"/>
        <w:rPr>
          <w:sz w:val="23"/>
          <w:szCs w:val="23"/>
          <w:rtl/>
        </w:rPr>
      </w:pPr>
      <w:r w:rsidRPr="00CB399E">
        <w:rPr>
          <w:b/>
          <w:bCs/>
          <w:sz w:val="23"/>
          <w:szCs w:val="23"/>
          <w:rtl/>
        </w:rPr>
        <w:t xml:space="preserve">מהרי"ט אלגאזי </w:t>
      </w:r>
      <w:r w:rsidRPr="00CB399E">
        <w:rPr>
          <w:rFonts w:hint="cs"/>
          <w:b/>
          <w:bCs/>
          <w:sz w:val="23"/>
          <w:szCs w:val="23"/>
          <w:rtl/>
        </w:rPr>
        <w:t>שם:</w:t>
      </w:r>
      <w:r w:rsidRPr="00CB399E">
        <w:rPr>
          <w:rFonts w:hint="cs"/>
          <w:sz w:val="23"/>
          <w:szCs w:val="23"/>
          <w:rtl/>
        </w:rPr>
        <w:t xml:space="preserve"> "</w:t>
      </w:r>
      <w:r w:rsidRPr="00CB399E">
        <w:rPr>
          <w:sz w:val="23"/>
          <w:szCs w:val="23"/>
          <w:rtl/>
        </w:rPr>
        <w:t xml:space="preserve">וכוונתם פשוטה, דמעיקרא סברו לתרץ דלא קאמר ר"י דחיישינן למיעוט כי אם לענין ממון שלא ינתן לכהן, אבל לענין איסורא ודאי דאזלינן בתר רובא, </w:t>
      </w:r>
      <w:r w:rsidRPr="00CB399E">
        <w:rPr>
          <w:sz w:val="23"/>
          <w:szCs w:val="23"/>
          <w:u w:val="single"/>
          <w:rtl/>
        </w:rPr>
        <w:t>ולבסוף דחו תירוץ זה דקצת תימה לומר הכי דאיך אפשר לומר תרתי דסתרן בגוף אחד, ומש"ה חזרו לתרץ תירוץ אחר</w:t>
      </w:r>
      <w:r w:rsidRPr="00CB399E">
        <w:rPr>
          <w:sz w:val="23"/>
          <w:szCs w:val="23"/>
          <w:rtl/>
        </w:rPr>
        <w:t>, דלעולם דר"י אפי' לענין איסור חייש למיעוט דמטנפת, ושאני הכא דהרוב מסייע למיעוט מטנפת</w:t>
      </w:r>
      <w:r w:rsidRPr="00CB399E">
        <w:rPr>
          <w:rFonts w:hint="cs"/>
          <w:sz w:val="23"/>
          <w:szCs w:val="23"/>
          <w:rtl/>
        </w:rPr>
        <w:t>".</w:t>
      </w:r>
    </w:p>
    <w:p w:rsidR="002915BE" w:rsidRPr="00CB399E" w:rsidRDefault="002915BE" w:rsidP="00CC63D4">
      <w:pPr>
        <w:pStyle w:val="a8"/>
        <w:numPr>
          <w:ilvl w:val="0"/>
          <w:numId w:val="1"/>
        </w:numPr>
        <w:ind w:left="360"/>
        <w:rPr>
          <w:sz w:val="23"/>
          <w:szCs w:val="23"/>
          <w:rtl/>
        </w:rPr>
      </w:pPr>
      <w:r w:rsidRPr="00CB399E">
        <w:rPr>
          <w:rFonts w:hint="cs"/>
          <w:b/>
          <w:bCs/>
          <w:sz w:val="23"/>
          <w:szCs w:val="23"/>
          <w:rtl/>
        </w:rPr>
        <w:lastRenderedPageBreak/>
        <w:t>הלכות בכורות לרמב"ן:</w:t>
      </w:r>
      <w:r w:rsidRPr="00CB399E">
        <w:rPr>
          <w:rFonts w:hint="cs"/>
          <w:sz w:val="23"/>
          <w:szCs w:val="23"/>
          <w:rtl/>
        </w:rPr>
        <w:t xml:space="preserve"> "ומסתברא לן, דכי אין חוששין לטינוף משום דהוא מיעוט, ולמיעוטא לא חיישינן - דווקא לגבי בכור גופיה לאכשוריה למזבח ולמלקא עליה בגיזה ועבודה, ולמנהג בגופיה כל דיני בכור ודאי. </w:t>
      </w:r>
      <w:r w:rsidRPr="00BD5AB1">
        <w:rPr>
          <w:rFonts w:hint="cs"/>
          <w:sz w:val="23"/>
          <w:szCs w:val="23"/>
          <w:u w:val="single"/>
          <w:rtl/>
        </w:rPr>
        <w:t>אבל לאפקי כהן מינייהו דבעלים לא מפיק, דקיימא לן אין הולכים בממון אחר הרוב</w:t>
      </w:r>
      <w:r w:rsidRPr="00CB399E">
        <w:rPr>
          <w:rFonts w:hint="cs"/>
          <w:sz w:val="23"/>
          <w:szCs w:val="23"/>
          <w:rtl/>
        </w:rPr>
        <w:t>".</w:t>
      </w:r>
    </w:p>
    <w:p w:rsidR="002915BE" w:rsidRPr="00CB399E" w:rsidRDefault="002915BE" w:rsidP="00CC63D4">
      <w:pPr>
        <w:pStyle w:val="a8"/>
        <w:numPr>
          <w:ilvl w:val="0"/>
          <w:numId w:val="1"/>
        </w:numPr>
        <w:ind w:left="360"/>
        <w:rPr>
          <w:sz w:val="23"/>
          <w:szCs w:val="23"/>
          <w:rtl/>
        </w:rPr>
      </w:pPr>
      <w:r w:rsidRPr="00CB399E">
        <w:rPr>
          <w:b/>
          <w:bCs/>
          <w:sz w:val="23"/>
          <w:szCs w:val="23"/>
          <w:rtl/>
        </w:rPr>
        <w:t>מהרי"ט אלגאזי</w:t>
      </w:r>
      <w:r w:rsidRPr="00CB399E">
        <w:rPr>
          <w:rFonts w:hint="cs"/>
          <w:b/>
          <w:bCs/>
          <w:sz w:val="23"/>
          <w:szCs w:val="23"/>
          <w:rtl/>
        </w:rPr>
        <w:t>:</w:t>
      </w:r>
      <w:r w:rsidRPr="00CB399E">
        <w:rPr>
          <w:rFonts w:hint="cs"/>
          <w:sz w:val="23"/>
          <w:szCs w:val="23"/>
          <w:rtl/>
        </w:rPr>
        <w:t xml:space="preserve"> "</w:t>
      </w:r>
      <w:r w:rsidRPr="00CB399E">
        <w:rPr>
          <w:sz w:val="23"/>
          <w:szCs w:val="23"/>
          <w:rtl/>
        </w:rPr>
        <w:t>והנה בענין זה דאין הולכין בממון אחר הרוב לענין נתינת בכור לכהן, נראה דאיכא ב' סברות, דלדעת התוספות לא אמרינן תרתי דסתרן, וכיון דאמרינן דאזלינן בתר רובא לכל דיני הבכור לענין איסורא, ממונא בתר איסורא גריר והוי בכור ודאי לכהן. ואולם לדעת רבינו והרא"ש אמרינן תרתי דסתרן והאי כדיניה והאי כדיניה, דלענין איסור הוי בכור ודאי ולענין ממון הוי ספק בכור והמע"ה</w:t>
      </w:r>
      <w:r w:rsidRPr="00CB399E">
        <w:rPr>
          <w:rFonts w:hint="cs"/>
          <w:sz w:val="23"/>
          <w:szCs w:val="23"/>
          <w:rtl/>
        </w:rPr>
        <w:t>".</w:t>
      </w:r>
    </w:p>
    <w:p w:rsidR="002B067D" w:rsidRPr="00CB399E" w:rsidRDefault="002B067D" w:rsidP="00CC63D4">
      <w:pPr>
        <w:pStyle w:val="a8"/>
        <w:numPr>
          <w:ilvl w:val="0"/>
          <w:numId w:val="1"/>
        </w:numPr>
        <w:ind w:left="360"/>
        <w:rPr>
          <w:sz w:val="23"/>
          <w:szCs w:val="23"/>
        </w:rPr>
      </w:pPr>
      <w:r w:rsidRPr="00CB399E">
        <w:rPr>
          <w:rFonts w:hint="cs"/>
          <w:b/>
          <w:bCs/>
          <w:sz w:val="23"/>
          <w:szCs w:val="23"/>
          <w:rtl/>
        </w:rPr>
        <w:t xml:space="preserve">הדף היומיומי: </w:t>
      </w:r>
      <w:r w:rsidRPr="00CB399E">
        <w:rPr>
          <w:rFonts w:hint="cs"/>
          <w:sz w:val="23"/>
          <w:szCs w:val="23"/>
          <w:rtl/>
        </w:rPr>
        <w:t>"רבים מן האחרונים חקרו בענייני רוב וחזקה האם כוחם לברר את הספק, או שמא אינם אלא הנחיות הלכתיות כיצד יש לנהוג למרות הספק. הסברה המקובלת היא, כי שאלת תרתי דסתרי תלויה בחקירה זו. אם הרוב מברר את הספק, הרי שהוא קובע באופן חד משמעי כי הוולד איננו בכור, וקביעה זו רלוונטית לכל תחום שהוא. עם זאת, אם הרוב אינו אלא הנחיה כיצד יש לנהוג במצב של ספק, ייתכן שבענייני איסורין תינתן הנחיה אחת, ואילו בענייני ממונות תינתן הנחיה אחרת".</w:t>
      </w:r>
    </w:p>
    <w:p w:rsidR="00D462B2" w:rsidRPr="00CB399E" w:rsidRDefault="00D462B2" w:rsidP="00CC63D4">
      <w:pPr>
        <w:pStyle w:val="a8"/>
        <w:numPr>
          <w:ilvl w:val="0"/>
          <w:numId w:val="1"/>
        </w:numPr>
        <w:ind w:left="360"/>
        <w:rPr>
          <w:sz w:val="23"/>
          <w:szCs w:val="23"/>
          <w:rtl/>
        </w:rPr>
      </w:pPr>
      <w:r w:rsidRPr="00CB399E">
        <w:rPr>
          <w:b/>
          <w:bCs/>
          <w:sz w:val="23"/>
          <w:szCs w:val="23"/>
          <w:rtl/>
        </w:rPr>
        <w:t xml:space="preserve">תוספות </w:t>
      </w:r>
      <w:r w:rsidRPr="00CB399E">
        <w:rPr>
          <w:rFonts w:hint="cs"/>
          <w:b/>
          <w:bCs/>
          <w:sz w:val="23"/>
          <w:szCs w:val="23"/>
          <w:rtl/>
        </w:rPr>
        <w:t>שם:</w:t>
      </w:r>
      <w:r w:rsidRPr="00CB399E">
        <w:rPr>
          <w:rFonts w:hint="cs"/>
          <w:sz w:val="23"/>
          <w:szCs w:val="23"/>
        </w:rPr>
        <w:t xml:space="preserve"> </w:t>
      </w:r>
      <w:r w:rsidRPr="00CB399E">
        <w:rPr>
          <w:rFonts w:hint="cs"/>
          <w:sz w:val="23"/>
          <w:szCs w:val="23"/>
          <w:rtl/>
        </w:rPr>
        <w:t xml:space="preserve">"... </w:t>
      </w:r>
      <w:r w:rsidRPr="00CB399E">
        <w:rPr>
          <w:sz w:val="23"/>
          <w:szCs w:val="23"/>
          <w:rtl/>
        </w:rPr>
        <w:t>ומיהו גבי חמורה קשה דהוה לן להעמיד ממון ביד בעלים</w:t>
      </w:r>
      <w:r w:rsidRPr="00CB399E">
        <w:rPr>
          <w:rFonts w:hint="cs"/>
          <w:sz w:val="23"/>
          <w:szCs w:val="23"/>
          <w:rtl/>
        </w:rPr>
        <w:t>,</w:t>
      </w:r>
      <w:r w:rsidRPr="00CB399E">
        <w:rPr>
          <w:sz w:val="23"/>
          <w:szCs w:val="23"/>
          <w:rtl/>
        </w:rPr>
        <w:t xml:space="preserve"> ולא ניזל בתר רובא דאפילו רב מודה הכא דאין הולכין בממון אחר הרוב כדפי' לעיל</w:t>
      </w:r>
      <w:r w:rsidRPr="00CB399E">
        <w:rPr>
          <w:rFonts w:hint="cs"/>
          <w:sz w:val="23"/>
          <w:szCs w:val="23"/>
          <w:rtl/>
        </w:rPr>
        <w:t>?!</w:t>
      </w:r>
      <w:r w:rsidRPr="00CB399E">
        <w:rPr>
          <w:sz w:val="23"/>
          <w:szCs w:val="23"/>
          <w:rtl/>
        </w:rPr>
        <w:t xml:space="preserve"> וי"ל דגזר חמורה אטו בהמה טהורה</w:t>
      </w:r>
      <w:r w:rsidRPr="00CB399E">
        <w:rPr>
          <w:rFonts w:hint="cs"/>
          <w:sz w:val="23"/>
          <w:szCs w:val="23"/>
          <w:rtl/>
        </w:rPr>
        <w:t>"</w:t>
      </w:r>
      <w:r w:rsidRPr="00CB399E">
        <w:rPr>
          <w:sz w:val="23"/>
          <w:szCs w:val="23"/>
          <w:rtl/>
        </w:rPr>
        <w:t>.</w:t>
      </w:r>
    </w:p>
    <w:p w:rsidR="00E54C8E" w:rsidRPr="00CB399E" w:rsidRDefault="00E54C8E" w:rsidP="00CC63D4">
      <w:pPr>
        <w:rPr>
          <w:sz w:val="23"/>
          <w:szCs w:val="23"/>
          <w:rtl/>
        </w:rPr>
      </w:pPr>
    </w:p>
    <w:p w:rsidR="00E54C8E" w:rsidRPr="00CB399E" w:rsidRDefault="00E54C8E" w:rsidP="00CC63D4">
      <w:pPr>
        <w:rPr>
          <w:b/>
          <w:bCs/>
          <w:sz w:val="23"/>
          <w:szCs w:val="23"/>
          <w:u w:val="single"/>
          <w:rtl/>
        </w:rPr>
      </w:pPr>
      <w:r w:rsidRPr="00CB399E">
        <w:rPr>
          <w:rFonts w:hint="cs"/>
          <w:b/>
          <w:bCs/>
          <w:sz w:val="23"/>
          <w:szCs w:val="23"/>
          <w:u w:val="single"/>
          <w:rtl/>
        </w:rPr>
        <w:t>ב. רוב התלוי במעשה</w:t>
      </w:r>
    </w:p>
    <w:p w:rsidR="007050EC" w:rsidRPr="00CB399E" w:rsidRDefault="007050EC" w:rsidP="00CC63D4">
      <w:pPr>
        <w:rPr>
          <w:b/>
          <w:bCs/>
          <w:sz w:val="23"/>
          <w:szCs w:val="23"/>
          <w:rtl/>
        </w:rPr>
      </w:pPr>
      <w:r w:rsidRPr="00CB399E">
        <w:rPr>
          <w:rFonts w:hint="cs"/>
          <w:b/>
          <w:bCs/>
          <w:sz w:val="23"/>
          <w:szCs w:val="23"/>
          <w:rtl/>
        </w:rPr>
        <w:t>ב1. רמת הדין</w:t>
      </w:r>
    </w:p>
    <w:p w:rsidR="007050EC" w:rsidRPr="00CB399E" w:rsidRDefault="007050EC" w:rsidP="00CC63D4">
      <w:pPr>
        <w:pStyle w:val="a8"/>
        <w:numPr>
          <w:ilvl w:val="0"/>
          <w:numId w:val="1"/>
        </w:numPr>
        <w:ind w:left="360"/>
        <w:rPr>
          <w:sz w:val="23"/>
          <w:szCs w:val="23"/>
          <w:rtl/>
        </w:rPr>
      </w:pPr>
      <w:r w:rsidRPr="00CB399E">
        <w:rPr>
          <w:b/>
          <w:bCs/>
          <w:sz w:val="23"/>
          <w:szCs w:val="23"/>
          <w:rtl/>
        </w:rPr>
        <w:t>בכורות</w:t>
      </w:r>
      <w:r w:rsidRPr="00CB399E">
        <w:rPr>
          <w:rFonts w:hint="cs"/>
          <w:b/>
          <w:bCs/>
          <w:sz w:val="23"/>
          <w:szCs w:val="23"/>
          <w:rtl/>
        </w:rPr>
        <w:t>,</w:t>
      </w:r>
      <w:r w:rsidRPr="00CB399E">
        <w:rPr>
          <w:b/>
          <w:bCs/>
          <w:sz w:val="23"/>
          <w:szCs w:val="23"/>
          <w:rtl/>
        </w:rPr>
        <w:t xml:space="preserve"> דף כ</w:t>
      </w:r>
      <w:r w:rsidRPr="00CB399E">
        <w:rPr>
          <w:rFonts w:hint="cs"/>
          <w:b/>
          <w:bCs/>
          <w:sz w:val="23"/>
          <w:szCs w:val="23"/>
          <w:rtl/>
        </w:rPr>
        <w:t>':</w:t>
      </w:r>
      <w:r w:rsidRPr="00CB399E">
        <w:rPr>
          <w:rFonts w:hint="cs"/>
          <w:sz w:val="23"/>
          <w:szCs w:val="23"/>
          <w:rtl/>
        </w:rPr>
        <w:t xml:space="preserve"> "</w:t>
      </w:r>
      <w:r w:rsidRPr="00CB399E">
        <w:rPr>
          <w:sz w:val="23"/>
          <w:szCs w:val="23"/>
          <w:rtl/>
        </w:rPr>
        <w:t>רבינא אמר: אפילו תימא - רבנן, כי אזלי רבנן בתר רובא - ברובא דלא תלי במעשה, אבל רובא דתלי במעשה – לא</w:t>
      </w:r>
      <w:r w:rsidRPr="00CB399E">
        <w:rPr>
          <w:rFonts w:hint="cs"/>
          <w:sz w:val="23"/>
          <w:szCs w:val="23"/>
          <w:rtl/>
        </w:rPr>
        <w:t>"</w:t>
      </w:r>
      <w:r w:rsidRPr="00CB399E">
        <w:rPr>
          <w:sz w:val="23"/>
          <w:szCs w:val="23"/>
          <w:rtl/>
        </w:rPr>
        <w:t>.</w:t>
      </w:r>
    </w:p>
    <w:p w:rsidR="007050EC" w:rsidRPr="00CB399E" w:rsidRDefault="007050EC" w:rsidP="00CC63D4">
      <w:pPr>
        <w:pStyle w:val="a8"/>
        <w:numPr>
          <w:ilvl w:val="0"/>
          <w:numId w:val="1"/>
        </w:numPr>
        <w:ind w:left="360"/>
        <w:rPr>
          <w:sz w:val="23"/>
          <w:szCs w:val="23"/>
          <w:rtl/>
        </w:rPr>
      </w:pPr>
      <w:r w:rsidRPr="00CB399E">
        <w:rPr>
          <w:b/>
          <w:bCs/>
          <w:sz w:val="23"/>
          <w:szCs w:val="23"/>
          <w:rtl/>
        </w:rPr>
        <w:t>רשב"א חולין</w:t>
      </w:r>
      <w:r w:rsidRPr="00CB399E">
        <w:rPr>
          <w:rFonts w:hint="cs"/>
          <w:b/>
          <w:bCs/>
          <w:sz w:val="23"/>
          <w:szCs w:val="23"/>
          <w:rtl/>
        </w:rPr>
        <w:t>, דף י"ב:</w:t>
      </w:r>
      <w:r w:rsidRPr="00CB399E">
        <w:rPr>
          <w:rFonts w:hint="cs"/>
          <w:sz w:val="23"/>
          <w:szCs w:val="23"/>
          <w:rtl/>
        </w:rPr>
        <w:t xml:space="preserve"> </w:t>
      </w:r>
      <w:r w:rsidRPr="00CB399E">
        <w:rPr>
          <w:sz w:val="23"/>
          <w:szCs w:val="23"/>
          <w:rtl/>
        </w:rPr>
        <w:t>משמע מיהא דלרבנן דפליגי עליה דר"מ אפי' היכא דאפשר לא חיישינן לה כלל ותלינן אפי' להקל וכבר הארכנו בזה למעלה.</w:t>
      </w:r>
      <w:r w:rsidRPr="00CB399E">
        <w:rPr>
          <w:rFonts w:hint="cs"/>
          <w:sz w:val="23"/>
          <w:szCs w:val="23"/>
          <w:rtl/>
        </w:rPr>
        <w:t xml:space="preserve"> </w:t>
      </w:r>
      <w:r w:rsidRPr="00CB399E">
        <w:rPr>
          <w:sz w:val="23"/>
          <w:szCs w:val="23"/>
          <w:rtl/>
        </w:rPr>
        <w:t xml:space="preserve">ומיהו ה"מ היכא דמיעוטא ורובה דתרווייהו תלו במעשה וכ"ש ברובא דלא תלי במעשה ומיעוטא תלי במעשה </w:t>
      </w:r>
      <w:r w:rsidRPr="00CB399E">
        <w:rPr>
          <w:sz w:val="23"/>
          <w:szCs w:val="23"/>
          <w:u w:val="single"/>
          <w:rtl/>
        </w:rPr>
        <w:t>אבל ברובא דתלי במעשה ומיעוט לא תלי במעשה שבקינן רובא דתלי במעשה וכדתנן בבכורות</w:t>
      </w:r>
      <w:r w:rsidRPr="00CB399E">
        <w:rPr>
          <w:sz w:val="23"/>
          <w:szCs w:val="23"/>
          <w:rtl/>
        </w:rPr>
        <w:t xml:space="preserve"> (י"ט א') הלוקח בהמה מן גוי ואינו יודע אם בכרה אם לא בכרה ר' ישמעאל אומר עז בת שנתה לכהן מכאן ואילך ספק והוינן בה בגמ' מכאן ואילך ספק ליזיל בתר רובא ורוב בהמות מתעברות ויולדות ופריק לה רבינא כי אזלינן בתר רובא ה"מ ברובא דלא תלי במעשה אבל ברובא דתלי במעשה לא כלומר ורובא דמתעברות תלוי במעשה ומיעוט שאינן מתעברות ממילא הויא ומלתא דהויא ממילא שכיחא טפי מרובא דתלוי במעשה</w:t>
      </w:r>
      <w:r w:rsidRPr="00CB399E">
        <w:rPr>
          <w:rFonts w:hint="cs"/>
          <w:sz w:val="23"/>
          <w:szCs w:val="23"/>
          <w:rtl/>
        </w:rPr>
        <w:t>"</w:t>
      </w:r>
      <w:r w:rsidRPr="00CB399E">
        <w:rPr>
          <w:sz w:val="23"/>
          <w:szCs w:val="23"/>
          <w:rtl/>
        </w:rPr>
        <w:t>.</w:t>
      </w:r>
    </w:p>
    <w:p w:rsidR="007050EC" w:rsidRPr="00CB399E" w:rsidRDefault="007050EC" w:rsidP="00CC63D4">
      <w:pPr>
        <w:pStyle w:val="a8"/>
        <w:numPr>
          <w:ilvl w:val="0"/>
          <w:numId w:val="1"/>
        </w:numPr>
        <w:ind w:left="360"/>
        <w:rPr>
          <w:sz w:val="23"/>
          <w:szCs w:val="23"/>
        </w:rPr>
      </w:pPr>
      <w:r w:rsidRPr="00CB399E">
        <w:rPr>
          <w:rFonts w:hint="cs"/>
          <w:b/>
          <w:bCs/>
          <w:sz w:val="23"/>
          <w:szCs w:val="23"/>
          <w:rtl/>
        </w:rPr>
        <w:t xml:space="preserve">חידושי </w:t>
      </w:r>
      <w:r w:rsidRPr="00CB399E">
        <w:rPr>
          <w:b/>
          <w:bCs/>
          <w:sz w:val="23"/>
          <w:szCs w:val="23"/>
          <w:rtl/>
        </w:rPr>
        <w:t>רבי עקיבא איגר</w:t>
      </w:r>
      <w:r w:rsidRPr="00CB399E">
        <w:rPr>
          <w:rFonts w:hint="cs"/>
          <w:b/>
          <w:bCs/>
          <w:sz w:val="23"/>
          <w:szCs w:val="23"/>
          <w:rtl/>
        </w:rPr>
        <w:t>, חולין דף ד':</w:t>
      </w:r>
      <w:r w:rsidRPr="00CB399E">
        <w:rPr>
          <w:rFonts w:hint="cs"/>
          <w:sz w:val="23"/>
          <w:szCs w:val="23"/>
          <w:rtl/>
        </w:rPr>
        <w:t xml:space="preserve"> "</w:t>
      </w:r>
      <w:r w:rsidRPr="00CB399E">
        <w:rPr>
          <w:sz w:val="23"/>
          <w:szCs w:val="23"/>
          <w:rtl/>
        </w:rPr>
        <w:t>אף דמלישנא דהרשב"א משמע דהך גופא דרובא דתלי' במעשה דלא סמכינן עלה הוי רק מדרבנן</w:t>
      </w:r>
      <w:r w:rsidR="00D462B2" w:rsidRPr="00CB399E">
        <w:rPr>
          <w:rFonts w:hint="cs"/>
          <w:sz w:val="23"/>
          <w:szCs w:val="23"/>
          <w:rtl/>
        </w:rPr>
        <w:t>,</w:t>
      </w:r>
      <w:r w:rsidRPr="00CB399E">
        <w:rPr>
          <w:sz w:val="23"/>
          <w:szCs w:val="23"/>
          <w:rtl/>
        </w:rPr>
        <w:t xml:space="preserve"> מ"מ הרמב"ם לא יסבור כן</w:t>
      </w:r>
      <w:r w:rsidRPr="00CB399E">
        <w:rPr>
          <w:rFonts w:hint="cs"/>
          <w:sz w:val="23"/>
          <w:szCs w:val="23"/>
          <w:rtl/>
        </w:rPr>
        <w:t>".</w:t>
      </w:r>
    </w:p>
    <w:p w:rsidR="007050EC" w:rsidRPr="00CB399E" w:rsidRDefault="007050EC" w:rsidP="00CC63D4">
      <w:pPr>
        <w:pStyle w:val="a8"/>
        <w:numPr>
          <w:ilvl w:val="0"/>
          <w:numId w:val="1"/>
        </w:numPr>
        <w:ind w:left="360"/>
        <w:rPr>
          <w:sz w:val="23"/>
          <w:szCs w:val="23"/>
        </w:rPr>
      </w:pPr>
      <w:r w:rsidRPr="00CB399E">
        <w:rPr>
          <w:b/>
          <w:bCs/>
          <w:sz w:val="23"/>
          <w:szCs w:val="23"/>
          <w:rtl/>
        </w:rPr>
        <w:t>בינת אדם</w:t>
      </w:r>
      <w:r w:rsidRPr="00CB399E">
        <w:rPr>
          <w:rFonts w:hint="cs"/>
          <w:b/>
          <w:bCs/>
          <w:sz w:val="23"/>
          <w:szCs w:val="23"/>
          <w:rtl/>
        </w:rPr>
        <w:t>,</w:t>
      </w:r>
      <w:r w:rsidRPr="00CB399E">
        <w:rPr>
          <w:b/>
          <w:bCs/>
          <w:sz w:val="23"/>
          <w:szCs w:val="23"/>
          <w:rtl/>
        </w:rPr>
        <w:t xml:space="preserve"> שער רוב וחזקה</w:t>
      </w:r>
      <w:r w:rsidRPr="00CB399E">
        <w:rPr>
          <w:rFonts w:hint="cs"/>
          <w:b/>
          <w:bCs/>
          <w:sz w:val="23"/>
          <w:szCs w:val="23"/>
          <w:rtl/>
        </w:rPr>
        <w:t>,</w:t>
      </w:r>
      <w:r w:rsidRPr="00CB399E">
        <w:rPr>
          <w:b/>
          <w:bCs/>
          <w:sz w:val="23"/>
          <w:szCs w:val="23"/>
          <w:rtl/>
        </w:rPr>
        <w:t xml:space="preserve"> סימן ד</w:t>
      </w:r>
      <w:r w:rsidRPr="00CB399E">
        <w:rPr>
          <w:rFonts w:hint="cs"/>
          <w:b/>
          <w:bCs/>
          <w:sz w:val="23"/>
          <w:szCs w:val="23"/>
          <w:rtl/>
        </w:rPr>
        <w:t>':</w:t>
      </w:r>
      <w:r w:rsidRPr="00CB399E">
        <w:rPr>
          <w:rFonts w:hint="cs"/>
          <w:sz w:val="23"/>
          <w:szCs w:val="23"/>
          <w:rtl/>
        </w:rPr>
        <w:t xml:space="preserve"> "</w:t>
      </w:r>
      <w:r w:rsidRPr="00CB399E">
        <w:rPr>
          <w:sz w:val="23"/>
          <w:szCs w:val="23"/>
          <w:rtl/>
        </w:rPr>
        <w:t>והנה מלשונם משמע דאפילו מדאורייתא לא נחשב לרוב וכן מוכח קצת מרמב"ן</w:t>
      </w:r>
      <w:r w:rsidRPr="00CB399E">
        <w:rPr>
          <w:rFonts w:hint="cs"/>
          <w:sz w:val="23"/>
          <w:szCs w:val="23"/>
          <w:rtl/>
        </w:rPr>
        <w:t xml:space="preserve"> (קידושין דף נ', בעניין סבלונות) ... </w:t>
      </w:r>
      <w:r w:rsidRPr="00CB399E">
        <w:rPr>
          <w:sz w:val="23"/>
          <w:szCs w:val="23"/>
          <w:rtl/>
        </w:rPr>
        <w:t>וצריך עיון שהרי דמאי לכולי עלמא אינו אלא דרבנן כמו שכתבו תוספות בבכורות והיינו משום דאמרינן רוב עמי הארץ מעשרין הן והרי זה תלי במעשה שמא לא עישר</w:t>
      </w:r>
      <w:r w:rsidRPr="00CB399E">
        <w:rPr>
          <w:rFonts w:hint="cs"/>
          <w:sz w:val="23"/>
          <w:szCs w:val="23"/>
          <w:rtl/>
        </w:rPr>
        <w:t>.</w:t>
      </w:r>
      <w:r w:rsidRPr="00CB399E">
        <w:rPr>
          <w:sz w:val="23"/>
          <w:szCs w:val="23"/>
          <w:rtl/>
        </w:rPr>
        <w:t xml:space="preserve"> ועל כן צריך לומר דאינו אלא מדרבנן וכן משמע בחידושי רשב"א</w:t>
      </w:r>
      <w:r w:rsidRPr="00CB399E">
        <w:rPr>
          <w:rFonts w:hint="cs"/>
          <w:sz w:val="23"/>
          <w:szCs w:val="23"/>
          <w:rtl/>
        </w:rPr>
        <w:t xml:space="preserve"> ... </w:t>
      </w:r>
      <w:r w:rsidRPr="00CB399E">
        <w:rPr>
          <w:sz w:val="23"/>
          <w:szCs w:val="23"/>
          <w:rtl/>
        </w:rPr>
        <w:t>ואם כן הכי נמי יש לומר לרבינא דאינו אלא ספק דרבנן אבל מדאורייתא יש להוכיח שפיר מאחרי רבים בין רוב שיש בו מעשה או ממילא וצריך עיון</w:t>
      </w:r>
      <w:r w:rsidRPr="00CB399E">
        <w:rPr>
          <w:rFonts w:hint="cs"/>
          <w:sz w:val="23"/>
          <w:szCs w:val="23"/>
          <w:rtl/>
        </w:rPr>
        <w:t>"</w:t>
      </w:r>
      <w:r w:rsidRPr="00CB399E">
        <w:rPr>
          <w:sz w:val="23"/>
          <w:szCs w:val="23"/>
          <w:rtl/>
        </w:rPr>
        <w:t xml:space="preserve">. </w:t>
      </w:r>
    </w:p>
    <w:p w:rsidR="00CC63D4" w:rsidRPr="00CB399E" w:rsidRDefault="00CC63D4" w:rsidP="00CC63D4">
      <w:pPr>
        <w:rPr>
          <w:b/>
          <w:bCs/>
          <w:sz w:val="23"/>
          <w:szCs w:val="23"/>
          <w:rtl/>
        </w:rPr>
      </w:pPr>
    </w:p>
    <w:p w:rsidR="00E54C8E" w:rsidRPr="00CB399E" w:rsidRDefault="00E54C8E" w:rsidP="00CC63D4">
      <w:pPr>
        <w:rPr>
          <w:b/>
          <w:bCs/>
          <w:sz w:val="23"/>
          <w:szCs w:val="23"/>
          <w:rtl/>
        </w:rPr>
      </w:pPr>
      <w:r w:rsidRPr="00CB399E">
        <w:rPr>
          <w:rFonts w:hint="cs"/>
          <w:b/>
          <w:bCs/>
          <w:sz w:val="23"/>
          <w:szCs w:val="23"/>
          <w:rtl/>
        </w:rPr>
        <w:t>ב</w:t>
      </w:r>
      <w:r w:rsidR="00167DE0" w:rsidRPr="00CB399E">
        <w:rPr>
          <w:rFonts w:hint="cs"/>
          <w:b/>
          <w:bCs/>
          <w:sz w:val="23"/>
          <w:szCs w:val="23"/>
          <w:rtl/>
        </w:rPr>
        <w:t>2</w:t>
      </w:r>
      <w:r w:rsidRPr="00CB399E">
        <w:rPr>
          <w:rFonts w:hint="cs"/>
          <w:b/>
          <w:bCs/>
          <w:sz w:val="23"/>
          <w:szCs w:val="23"/>
          <w:rtl/>
        </w:rPr>
        <w:t>.</w:t>
      </w:r>
      <w:r w:rsidRPr="00CB399E">
        <w:rPr>
          <w:rFonts w:hint="cs"/>
          <w:sz w:val="23"/>
          <w:szCs w:val="23"/>
          <w:rtl/>
        </w:rPr>
        <w:t xml:space="preserve"> </w:t>
      </w:r>
      <w:r w:rsidRPr="00CB399E">
        <w:rPr>
          <w:rFonts w:hint="cs"/>
          <w:b/>
          <w:bCs/>
          <w:sz w:val="23"/>
          <w:szCs w:val="23"/>
          <w:rtl/>
        </w:rPr>
        <w:t>מהו רוב "התלוי במעשה"?</w:t>
      </w:r>
    </w:p>
    <w:p w:rsidR="00E54C8E" w:rsidRPr="00CB399E" w:rsidRDefault="00E54C8E" w:rsidP="00CC63D4">
      <w:pPr>
        <w:pStyle w:val="a8"/>
        <w:numPr>
          <w:ilvl w:val="0"/>
          <w:numId w:val="1"/>
        </w:numPr>
        <w:ind w:left="360"/>
        <w:rPr>
          <w:sz w:val="23"/>
          <w:szCs w:val="23"/>
        </w:rPr>
      </w:pPr>
      <w:r w:rsidRPr="00CB399E">
        <w:rPr>
          <w:b/>
          <w:bCs/>
          <w:sz w:val="23"/>
          <w:szCs w:val="23"/>
          <w:rtl/>
        </w:rPr>
        <w:t>רש"י</w:t>
      </w:r>
      <w:r w:rsidRPr="00CB399E">
        <w:rPr>
          <w:rFonts w:hint="cs"/>
          <w:b/>
          <w:bCs/>
          <w:sz w:val="23"/>
          <w:szCs w:val="23"/>
          <w:rtl/>
        </w:rPr>
        <w:t xml:space="preserve"> </w:t>
      </w:r>
      <w:r w:rsidR="00167DE0" w:rsidRPr="00CB399E">
        <w:rPr>
          <w:rFonts w:hint="cs"/>
          <w:b/>
          <w:bCs/>
          <w:sz w:val="23"/>
          <w:szCs w:val="23"/>
          <w:rtl/>
        </w:rPr>
        <w:t xml:space="preserve">בכורות, </w:t>
      </w:r>
      <w:r w:rsidRPr="00CB399E">
        <w:rPr>
          <w:rFonts w:hint="cs"/>
          <w:b/>
          <w:bCs/>
          <w:sz w:val="23"/>
          <w:szCs w:val="23"/>
          <w:rtl/>
        </w:rPr>
        <w:t>שם:</w:t>
      </w:r>
      <w:r w:rsidRPr="00CB399E">
        <w:rPr>
          <w:rFonts w:hint="cs"/>
          <w:sz w:val="23"/>
          <w:szCs w:val="23"/>
          <w:rtl/>
        </w:rPr>
        <w:t xml:space="preserve"> "</w:t>
      </w:r>
      <w:r w:rsidRPr="00CB399E">
        <w:rPr>
          <w:sz w:val="23"/>
          <w:szCs w:val="23"/>
          <w:rtl/>
        </w:rPr>
        <w:t>רובא דתלי במעשה - כגון עיבור הבהמה דתלי בהרבעה ואיכא למיחש שמא לא עלה עליה זכר הילכך ספק</w:t>
      </w:r>
      <w:r w:rsidRPr="00CB399E">
        <w:rPr>
          <w:rFonts w:hint="cs"/>
          <w:sz w:val="23"/>
          <w:szCs w:val="23"/>
          <w:rtl/>
        </w:rPr>
        <w:t>".</w:t>
      </w:r>
    </w:p>
    <w:p w:rsidR="00B46C72" w:rsidRPr="00B46C72" w:rsidRDefault="00B46C72" w:rsidP="00CC63D4">
      <w:pPr>
        <w:pStyle w:val="a8"/>
        <w:numPr>
          <w:ilvl w:val="0"/>
          <w:numId w:val="1"/>
        </w:numPr>
        <w:ind w:left="360"/>
        <w:rPr>
          <w:sz w:val="23"/>
          <w:szCs w:val="23"/>
        </w:rPr>
      </w:pPr>
      <w:r w:rsidRPr="00CB399E">
        <w:rPr>
          <w:rFonts w:hint="cs"/>
          <w:b/>
          <w:bCs/>
          <w:sz w:val="23"/>
          <w:szCs w:val="23"/>
          <w:rtl/>
        </w:rPr>
        <w:t>תוספות שם:</w:t>
      </w:r>
      <w:r w:rsidRPr="00CB399E">
        <w:rPr>
          <w:rFonts w:hint="cs"/>
          <w:sz w:val="23"/>
          <w:szCs w:val="23"/>
          <w:rtl/>
        </w:rPr>
        <w:t xml:space="preserve"> "</w:t>
      </w:r>
      <w:r w:rsidRPr="00CB399E">
        <w:rPr>
          <w:sz w:val="23"/>
          <w:szCs w:val="23"/>
          <w:rtl/>
        </w:rPr>
        <w:t>רבינא אמר אפילו תימא רבנן - תימה דלא משני הכי בר"פ בתרא דיבמות (דף קיט. ושם) אמתני' דלא תנשא ולא תתייבם עד שתדע שמא [מעוברת] היא צרתה</w:t>
      </w:r>
      <w:r w:rsidRPr="00CB399E">
        <w:rPr>
          <w:rFonts w:hint="cs"/>
          <w:sz w:val="23"/>
          <w:szCs w:val="23"/>
          <w:rtl/>
        </w:rPr>
        <w:t>,</w:t>
      </w:r>
      <w:r w:rsidRPr="00CB399E">
        <w:rPr>
          <w:sz w:val="23"/>
          <w:szCs w:val="23"/>
          <w:rtl/>
        </w:rPr>
        <w:t xml:space="preserve"> </w:t>
      </w:r>
      <w:r w:rsidRPr="00CB399E">
        <w:rPr>
          <w:sz w:val="23"/>
          <w:szCs w:val="23"/>
          <w:u w:val="single"/>
          <w:rtl/>
        </w:rPr>
        <w:t>וי"ל דתשמיש דאדם לא חשיב תלי במעשה כמו תשמיש דבהמה דפעמים דבהמה צריך להרביע</w:t>
      </w:r>
      <w:r w:rsidRPr="00CB399E">
        <w:rPr>
          <w:rFonts w:hint="cs"/>
          <w:sz w:val="23"/>
          <w:szCs w:val="23"/>
          <w:rtl/>
        </w:rPr>
        <w:t>".</w:t>
      </w:r>
    </w:p>
    <w:p w:rsidR="00A57944" w:rsidRPr="00CB399E" w:rsidRDefault="00A57944" w:rsidP="00CC63D4">
      <w:pPr>
        <w:pStyle w:val="a8"/>
        <w:numPr>
          <w:ilvl w:val="0"/>
          <w:numId w:val="1"/>
        </w:numPr>
        <w:ind w:left="360"/>
        <w:rPr>
          <w:sz w:val="23"/>
          <w:szCs w:val="23"/>
          <w:rtl/>
        </w:rPr>
      </w:pPr>
      <w:r w:rsidRPr="00CB399E">
        <w:rPr>
          <w:rFonts w:hint="cs"/>
          <w:b/>
          <w:bCs/>
          <w:sz w:val="23"/>
          <w:szCs w:val="23"/>
          <w:rtl/>
        </w:rPr>
        <w:t xml:space="preserve">חזון אי"ש בכורות, כ' ד': </w:t>
      </w:r>
      <w:r w:rsidRPr="00CB399E">
        <w:rPr>
          <w:rFonts w:hint="cs"/>
          <w:sz w:val="23"/>
          <w:szCs w:val="23"/>
          <w:rtl/>
        </w:rPr>
        <w:t>"</w:t>
      </w:r>
      <w:r w:rsidRPr="00CB399E">
        <w:rPr>
          <w:sz w:val="23"/>
          <w:szCs w:val="23"/>
          <w:rtl/>
        </w:rPr>
        <w:t>ואפשר</w:t>
      </w:r>
      <w:r w:rsidRPr="00CB399E">
        <w:rPr>
          <w:sz w:val="23"/>
          <w:szCs w:val="23"/>
        </w:rPr>
        <w:t xml:space="preserve"> </w:t>
      </w:r>
      <w:r w:rsidRPr="00CB399E">
        <w:rPr>
          <w:sz w:val="23"/>
          <w:szCs w:val="23"/>
          <w:rtl/>
        </w:rPr>
        <w:t>דדוקא</w:t>
      </w:r>
      <w:r w:rsidRPr="00CB399E">
        <w:rPr>
          <w:rFonts w:hint="cs"/>
          <w:sz w:val="23"/>
          <w:szCs w:val="23"/>
          <w:rtl/>
        </w:rPr>
        <w:t xml:space="preserve"> הכא </w:t>
      </w:r>
      <w:r w:rsidRPr="00CB399E">
        <w:rPr>
          <w:sz w:val="23"/>
          <w:szCs w:val="23"/>
          <w:rtl/>
        </w:rPr>
        <w:t>לא</w:t>
      </w:r>
      <w:r w:rsidRPr="00CB399E">
        <w:rPr>
          <w:sz w:val="23"/>
          <w:szCs w:val="23"/>
        </w:rPr>
        <w:t xml:space="preserve"> </w:t>
      </w:r>
      <w:r w:rsidRPr="00CB399E">
        <w:rPr>
          <w:sz w:val="23"/>
          <w:szCs w:val="23"/>
          <w:rtl/>
        </w:rPr>
        <w:t>חשיב</w:t>
      </w:r>
      <w:r w:rsidRPr="00CB399E">
        <w:rPr>
          <w:sz w:val="23"/>
          <w:szCs w:val="23"/>
        </w:rPr>
        <w:t xml:space="preserve"> </w:t>
      </w:r>
      <w:r w:rsidRPr="00CB399E">
        <w:rPr>
          <w:sz w:val="23"/>
          <w:szCs w:val="23"/>
          <w:rtl/>
        </w:rPr>
        <w:t>רוב</w:t>
      </w:r>
      <w:r w:rsidRPr="00CB399E">
        <w:rPr>
          <w:sz w:val="23"/>
          <w:szCs w:val="23"/>
        </w:rPr>
        <w:t xml:space="preserve"> </w:t>
      </w:r>
      <w:r w:rsidRPr="00CB399E">
        <w:rPr>
          <w:sz w:val="23"/>
          <w:szCs w:val="23"/>
          <w:rtl/>
        </w:rPr>
        <w:t>נ</w:t>
      </w:r>
      <w:r w:rsidRPr="00CB399E">
        <w:rPr>
          <w:rFonts w:hint="cs"/>
          <w:sz w:val="23"/>
          <w:szCs w:val="23"/>
          <w:rtl/>
        </w:rPr>
        <w:t>בעלות שבעילתן במקרה</w:t>
      </w:r>
      <w:r w:rsidR="004A4F36" w:rsidRPr="00CB399E">
        <w:rPr>
          <w:rFonts w:hint="cs"/>
          <w:sz w:val="23"/>
          <w:szCs w:val="23"/>
          <w:rtl/>
        </w:rPr>
        <w:t>,</w:t>
      </w:r>
      <w:r w:rsidRPr="00CB399E">
        <w:rPr>
          <w:rFonts w:hint="cs"/>
          <w:sz w:val="23"/>
          <w:szCs w:val="23"/>
          <w:rtl/>
        </w:rPr>
        <w:t xml:space="preserve"> </w:t>
      </w:r>
      <w:r w:rsidRPr="00CB399E">
        <w:rPr>
          <w:sz w:val="23"/>
          <w:szCs w:val="23"/>
          <w:u w:val="single"/>
          <w:rtl/>
        </w:rPr>
        <w:t>ואין</w:t>
      </w:r>
      <w:r w:rsidRPr="00CB399E">
        <w:rPr>
          <w:rFonts w:hint="cs"/>
          <w:sz w:val="23"/>
          <w:szCs w:val="23"/>
          <w:u w:val="single"/>
          <w:rtl/>
        </w:rPr>
        <w:t xml:space="preserve"> בעילת הרוב </w:t>
      </w:r>
      <w:r w:rsidRPr="00CB399E">
        <w:rPr>
          <w:sz w:val="23"/>
          <w:szCs w:val="23"/>
          <w:u w:val="single"/>
          <w:rtl/>
        </w:rPr>
        <w:t>מחמת</w:t>
      </w:r>
      <w:r w:rsidRPr="00CB399E">
        <w:rPr>
          <w:sz w:val="23"/>
          <w:szCs w:val="23"/>
          <w:u w:val="single"/>
        </w:rPr>
        <w:t xml:space="preserve"> </w:t>
      </w:r>
      <w:r w:rsidRPr="00CB399E">
        <w:rPr>
          <w:sz w:val="23"/>
          <w:szCs w:val="23"/>
          <w:u w:val="single"/>
          <w:rtl/>
        </w:rPr>
        <w:t>סיבה</w:t>
      </w:r>
      <w:r w:rsidRPr="00CB399E">
        <w:rPr>
          <w:sz w:val="23"/>
          <w:szCs w:val="23"/>
          <w:u w:val="single"/>
        </w:rPr>
        <w:t xml:space="preserve"> </w:t>
      </w:r>
      <w:r w:rsidRPr="00CB399E">
        <w:rPr>
          <w:rFonts w:hint="cs"/>
          <w:sz w:val="23"/>
          <w:szCs w:val="23"/>
          <w:u w:val="single"/>
          <w:rtl/>
        </w:rPr>
        <w:t xml:space="preserve">טבעית </w:t>
      </w:r>
      <w:r w:rsidRPr="00CB399E">
        <w:rPr>
          <w:sz w:val="23"/>
          <w:szCs w:val="23"/>
          <w:u w:val="single"/>
          <w:rtl/>
        </w:rPr>
        <w:t>קיימת</w:t>
      </w:r>
      <w:r w:rsidRPr="00CB399E">
        <w:rPr>
          <w:rFonts w:hint="cs"/>
          <w:sz w:val="23"/>
          <w:szCs w:val="23"/>
          <w:u w:val="single"/>
          <w:rtl/>
        </w:rPr>
        <w:t xml:space="preserve">, </w:t>
      </w:r>
      <w:r w:rsidRPr="00CB399E">
        <w:rPr>
          <w:sz w:val="23"/>
          <w:szCs w:val="23"/>
          <w:u w:val="single"/>
          <w:rtl/>
        </w:rPr>
        <w:t>אלא</w:t>
      </w:r>
      <w:r w:rsidRPr="00CB399E">
        <w:rPr>
          <w:sz w:val="23"/>
          <w:szCs w:val="23"/>
          <w:u w:val="single"/>
        </w:rPr>
        <w:t xml:space="preserve"> </w:t>
      </w:r>
      <w:r w:rsidRPr="00CB399E">
        <w:rPr>
          <w:sz w:val="23"/>
          <w:szCs w:val="23"/>
          <w:u w:val="single"/>
          <w:rtl/>
        </w:rPr>
        <w:t>קיבוץ</w:t>
      </w:r>
      <w:r w:rsidRPr="00CB399E">
        <w:rPr>
          <w:sz w:val="23"/>
          <w:szCs w:val="23"/>
          <w:u w:val="single"/>
        </w:rPr>
        <w:t xml:space="preserve"> </w:t>
      </w:r>
      <w:r w:rsidRPr="00CB399E">
        <w:rPr>
          <w:sz w:val="23"/>
          <w:szCs w:val="23"/>
          <w:u w:val="single"/>
          <w:rtl/>
        </w:rPr>
        <w:t>מקרים</w:t>
      </w:r>
      <w:r w:rsidRPr="00CB399E">
        <w:rPr>
          <w:rFonts w:hint="cs"/>
          <w:sz w:val="23"/>
          <w:szCs w:val="23"/>
          <w:rtl/>
        </w:rPr>
        <w:t xml:space="preserve">. וכל רובא עדיף, </w:t>
      </w:r>
      <w:r w:rsidRPr="00CB399E">
        <w:rPr>
          <w:rFonts w:hint="cs"/>
          <w:sz w:val="23"/>
          <w:szCs w:val="23"/>
          <w:u w:val="single"/>
          <w:rtl/>
        </w:rPr>
        <w:t>ולפי זה הדבר תלוי בשיקול הדעת ואין למידין מכאן למקום אחר</w:t>
      </w:r>
      <w:r w:rsidRPr="00CB399E">
        <w:rPr>
          <w:rFonts w:hint="cs"/>
          <w:sz w:val="23"/>
          <w:szCs w:val="23"/>
          <w:rtl/>
        </w:rPr>
        <w:t xml:space="preserve">". </w:t>
      </w:r>
    </w:p>
    <w:p w:rsidR="00A57944" w:rsidRPr="00CB399E" w:rsidRDefault="00A57944" w:rsidP="00CC63D4">
      <w:pPr>
        <w:pStyle w:val="a8"/>
        <w:numPr>
          <w:ilvl w:val="0"/>
          <w:numId w:val="1"/>
        </w:numPr>
        <w:ind w:left="360"/>
        <w:rPr>
          <w:sz w:val="23"/>
          <w:szCs w:val="23"/>
          <w:rtl/>
        </w:rPr>
      </w:pPr>
      <w:r w:rsidRPr="00CB399E">
        <w:rPr>
          <w:b/>
          <w:bCs/>
          <w:sz w:val="23"/>
          <w:szCs w:val="23"/>
          <w:rtl/>
        </w:rPr>
        <w:lastRenderedPageBreak/>
        <w:t>שולחן ערוך הרב יורה דעה</w:t>
      </w:r>
      <w:r w:rsidRPr="00CB399E">
        <w:rPr>
          <w:rFonts w:hint="cs"/>
          <w:b/>
          <w:bCs/>
          <w:sz w:val="23"/>
          <w:szCs w:val="23"/>
          <w:rtl/>
        </w:rPr>
        <w:t>, קונטרס אחרון קפ"ז:</w:t>
      </w:r>
      <w:r w:rsidRPr="00CB399E">
        <w:rPr>
          <w:rFonts w:hint="cs"/>
          <w:sz w:val="23"/>
          <w:szCs w:val="23"/>
          <w:rtl/>
        </w:rPr>
        <w:t xml:space="preserve"> "</w:t>
      </w:r>
      <w:r w:rsidRPr="00CB399E">
        <w:rPr>
          <w:sz w:val="23"/>
          <w:szCs w:val="23"/>
          <w:rtl/>
        </w:rPr>
        <w:t>דהוה כמו רוב התלוי במעשה, דמהאי טעמא לא אזלינן בתר רוב בהמות שעולין עליהן זכרים תוך שנתן או שתים או שלש בריש פ"ג דבכורות</w:t>
      </w:r>
      <w:r w:rsidRPr="00CB399E">
        <w:rPr>
          <w:rFonts w:hint="cs"/>
          <w:sz w:val="23"/>
          <w:szCs w:val="23"/>
          <w:rtl/>
        </w:rPr>
        <w:t xml:space="preserve"> ... </w:t>
      </w:r>
      <w:r w:rsidRPr="00CB399E">
        <w:rPr>
          <w:sz w:val="23"/>
          <w:szCs w:val="23"/>
          <w:u w:val="single"/>
          <w:rtl/>
        </w:rPr>
        <w:t>ולא שייך רובא ומיעוטא אלא בדבר שהוא טבע בעלי חיים ולא במקריים המתיילדים</w:t>
      </w:r>
      <w:r w:rsidRPr="00CB399E">
        <w:rPr>
          <w:sz w:val="23"/>
          <w:szCs w:val="23"/>
          <w:rtl/>
        </w:rPr>
        <w:t>, כי היכא דלא אמרינן רוב בהמות עולין עליהן זכרים</w:t>
      </w:r>
      <w:r w:rsidRPr="00CB399E">
        <w:rPr>
          <w:rFonts w:hint="cs"/>
          <w:sz w:val="23"/>
          <w:szCs w:val="23"/>
          <w:rtl/>
        </w:rPr>
        <w:t>".</w:t>
      </w:r>
    </w:p>
    <w:p w:rsidR="00E54C8E" w:rsidRPr="00CB399E" w:rsidRDefault="00E54C8E" w:rsidP="00CC63D4">
      <w:pPr>
        <w:pStyle w:val="a8"/>
        <w:numPr>
          <w:ilvl w:val="0"/>
          <w:numId w:val="1"/>
        </w:numPr>
        <w:ind w:left="360"/>
        <w:rPr>
          <w:sz w:val="23"/>
          <w:szCs w:val="23"/>
        </w:rPr>
      </w:pPr>
      <w:r w:rsidRPr="00CB399E">
        <w:rPr>
          <w:b/>
          <w:bCs/>
          <w:sz w:val="23"/>
          <w:szCs w:val="23"/>
          <w:rtl/>
        </w:rPr>
        <w:t xml:space="preserve">שפת אמת </w:t>
      </w:r>
      <w:r w:rsidR="00A57944" w:rsidRPr="00CB399E">
        <w:rPr>
          <w:rFonts w:hint="cs"/>
          <w:b/>
          <w:bCs/>
          <w:sz w:val="23"/>
          <w:szCs w:val="23"/>
          <w:rtl/>
        </w:rPr>
        <w:t xml:space="preserve">בכורות, </w:t>
      </w:r>
      <w:r w:rsidRPr="00CB399E">
        <w:rPr>
          <w:rFonts w:hint="cs"/>
          <w:b/>
          <w:bCs/>
          <w:sz w:val="23"/>
          <w:szCs w:val="23"/>
          <w:rtl/>
        </w:rPr>
        <w:t>שם:</w:t>
      </w:r>
      <w:r w:rsidRPr="00CB399E">
        <w:rPr>
          <w:rFonts w:hint="cs"/>
          <w:sz w:val="23"/>
          <w:szCs w:val="23"/>
          <w:rtl/>
        </w:rPr>
        <w:t xml:space="preserve"> "</w:t>
      </w:r>
      <w:r w:rsidRPr="00CB399E">
        <w:rPr>
          <w:sz w:val="23"/>
          <w:szCs w:val="23"/>
          <w:rtl/>
        </w:rPr>
        <w:t>אין מובן הטעם</w:t>
      </w:r>
      <w:r w:rsidRPr="00CB399E">
        <w:rPr>
          <w:rFonts w:hint="cs"/>
          <w:sz w:val="23"/>
          <w:szCs w:val="23"/>
          <w:rtl/>
        </w:rPr>
        <w:t>!</w:t>
      </w:r>
      <w:r w:rsidRPr="00CB399E">
        <w:rPr>
          <w:sz w:val="23"/>
          <w:szCs w:val="23"/>
          <w:rtl/>
        </w:rPr>
        <w:t xml:space="preserve"> והי' נלע"ד לפרש דעיקר הכוונה כיון דדין רוב ילפינן מסנהדרין וט' חניות א"כ נהי דאפי' רובא דליתא קמן ילפי רבנן מהתם</w:t>
      </w:r>
      <w:r w:rsidR="004B0201" w:rsidRPr="00CB399E">
        <w:rPr>
          <w:rFonts w:hint="cs"/>
          <w:sz w:val="23"/>
          <w:szCs w:val="23"/>
          <w:rtl/>
        </w:rPr>
        <w:t>,</w:t>
      </w:r>
      <w:r w:rsidRPr="00CB399E">
        <w:rPr>
          <w:sz w:val="23"/>
          <w:szCs w:val="23"/>
          <w:rtl/>
        </w:rPr>
        <w:t xml:space="preserve"> מ"מ היינו במידי דאיתא קמן פי' דמסופקין אם זה סריס אמרינן דהוא מרוב דאינם סריסין </w:t>
      </w:r>
      <w:r w:rsidRPr="00CB399E">
        <w:rPr>
          <w:sz w:val="23"/>
          <w:szCs w:val="23"/>
          <w:u w:val="single"/>
          <w:rtl/>
        </w:rPr>
        <w:t>אבל היכא דהספק אי אתעביד בי' מעשה פלוני כיון דהמעשה אינו לפנינו והבהמה שכבר ילדה היא כמו הבהמה שלא ילדה לא שייך בזה למיזל בתר רובא לדון על מה דהוי כבר דאין זה הספק לפנינו לדון בו ולא הוי כמו סנהדרין וט' חניות</w:t>
      </w:r>
      <w:r w:rsidRPr="00CB399E">
        <w:rPr>
          <w:rFonts w:hint="cs"/>
          <w:sz w:val="23"/>
          <w:szCs w:val="23"/>
          <w:rtl/>
        </w:rPr>
        <w:t>.</w:t>
      </w:r>
      <w:r w:rsidRPr="00CB399E">
        <w:rPr>
          <w:sz w:val="23"/>
          <w:szCs w:val="23"/>
          <w:rtl/>
        </w:rPr>
        <w:t xml:space="preserve"> ובזה הי' מיושב מה דמקשין מרוב מצוין אצל שחיטה מומחין דהוי כרובא דתלי' במעשה ולמ"ש א"ש דנהי דהמחאה היא ע"י לימוד ומעשה מ"מ הספק הוא על איש זה אי יודע עתה ה</w:t>
      </w:r>
      <w:r w:rsidRPr="00CB399E">
        <w:rPr>
          <w:rFonts w:hint="cs"/>
          <w:sz w:val="23"/>
          <w:szCs w:val="23"/>
          <w:rtl/>
        </w:rPr>
        <w:t>לכות שחיטה".</w:t>
      </w:r>
    </w:p>
    <w:p w:rsidR="004B0201" w:rsidRPr="00CB399E" w:rsidRDefault="004B0201" w:rsidP="004B0201">
      <w:pPr>
        <w:rPr>
          <w:sz w:val="23"/>
          <w:szCs w:val="23"/>
          <w:rtl/>
        </w:rPr>
      </w:pPr>
      <w:r w:rsidRPr="00CB399E">
        <w:rPr>
          <w:rFonts w:hint="cs"/>
          <w:sz w:val="23"/>
          <w:szCs w:val="23"/>
          <w:rtl/>
        </w:rPr>
        <w:t>----</w:t>
      </w:r>
    </w:p>
    <w:p w:rsidR="004B0201" w:rsidRPr="00CB399E" w:rsidRDefault="004B0201" w:rsidP="00782C26">
      <w:pPr>
        <w:pStyle w:val="a8"/>
        <w:numPr>
          <w:ilvl w:val="0"/>
          <w:numId w:val="1"/>
        </w:numPr>
        <w:ind w:left="360"/>
        <w:rPr>
          <w:sz w:val="23"/>
          <w:szCs w:val="23"/>
          <w:rtl/>
        </w:rPr>
      </w:pPr>
      <w:r w:rsidRPr="00CB399E">
        <w:rPr>
          <w:b/>
          <w:bCs/>
          <w:sz w:val="23"/>
          <w:szCs w:val="23"/>
          <w:rtl/>
        </w:rPr>
        <w:t>תוספות בכורות</w:t>
      </w:r>
      <w:r w:rsidRPr="00CB399E">
        <w:rPr>
          <w:rFonts w:hint="cs"/>
          <w:b/>
          <w:bCs/>
          <w:sz w:val="23"/>
          <w:szCs w:val="23"/>
          <w:rtl/>
        </w:rPr>
        <w:t>,</w:t>
      </w:r>
      <w:r w:rsidRPr="00CB399E">
        <w:rPr>
          <w:b/>
          <w:bCs/>
          <w:sz w:val="23"/>
          <w:szCs w:val="23"/>
          <w:rtl/>
        </w:rPr>
        <w:t xml:space="preserve"> דף כ</w:t>
      </w:r>
      <w:r w:rsidRPr="00CB399E">
        <w:rPr>
          <w:rFonts w:hint="cs"/>
          <w:b/>
          <w:bCs/>
          <w:sz w:val="23"/>
          <w:szCs w:val="23"/>
          <w:rtl/>
        </w:rPr>
        <w:t>':</w:t>
      </w:r>
      <w:r w:rsidRPr="00CB399E">
        <w:rPr>
          <w:rFonts w:hint="cs"/>
          <w:sz w:val="23"/>
          <w:szCs w:val="23"/>
          <w:rtl/>
        </w:rPr>
        <w:t xml:space="preserve"> "</w:t>
      </w:r>
      <w:r w:rsidRPr="00CB399E">
        <w:rPr>
          <w:sz w:val="23"/>
          <w:szCs w:val="23"/>
          <w:rtl/>
        </w:rPr>
        <w:t xml:space="preserve">והא דאמרינן פ"ק דחולין (דף ג:) </w:t>
      </w:r>
      <w:r w:rsidRPr="00CB399E">
        <w:rPr>
          <w:sz w:val="23"/>
          <w:szCs w:val="23"/>
          <w:u w:val="single"/>
          <w:rtl/>
        </w:rPr>
        <w:t>דרוב מצויין אצל שחיטה מומחין הן</w:t>
      </w:r>
      <w:r w:rsidRPr="00CB399E">
        <w:rPr>
          <w:rFonts w:hint="cs"/>
          <w:sz w:val="23"/>
          <w:szCs w:val="23"/>
          <w:rtl/>
        </w:rPr>
        <w:t>,</w:t>
      </w:r>
      <w:r w:rsidRPr="00CB399E">
        <w:rPr>
          <w:sz w:val="23"/>
          <w:szCs w:val="23"/>
          <w:rtl/>
        </w:rPr>
        <w:t xml:space="preserve"> ולא אמרינן סמוך מיעוטא דאין מומחין לחזקה דבהמה בחזקת איסור עומדת עד שלא נשחטה</w:t>
      </w:r>
      <w:r w:rsidRPr="00CB399E">
        <w:rPr>
          <w:rFonts w:hint="cs"/>
          <w:sz w:val="23"/>
          <w:szCs w:val="23"/>
          <w:rtl/>
        </w:rPr>
        <w:t>;</w:t>
      </w:r>
      <w:r w:rsidRPr="00CB399E">
        <w:rPr>
          <w:sz w:val="23"/>
          <w:szCs w:val="23"/>
          <w:rtl/>
        </w:rPr>
        <w:t xml:space="preserve"> </w:t>
      </w:r>
      <w:r w:rsidRPr="00CB399E">
        <w:rPr>
          <w:sz w:val="23"/>
          <w:szCs w:val="23"/>
          <w:u w:val="single"/>
          <w:rtl/>
        </w:rPr>
        <w:t>ההוא רובא מצוי הוא ושכיח טובא</w:t>
      </w:r>
      <w:r w:rsidRPr="00CB399E">
        <w:rPr>
          <w:sz w:val="23"/>
          <w:szCs w:val="23"/>
          <w:rtl/>
        </w:rPr>
        <w:t xml:space="preserve"> כענין שמצינו בריש גיטין (דף ב:) ואפילו לר"מ דחייש למיעוט' סתם ספרי דדייני מגמר גמירי והמיעוט לא שכיח ולא חייש ליה ר"מ</w:t>
      </w:r>
      <w:r w:rsidRPr="00CB399E">
        <w:rPr>
          <w:rFonts w:hint="cs"/>
          <w:sz w:val="23"/>
          <w:szCs w:val="23"/>
          <w:rtl/>
        </w:rPr>
        <w:t>".</w:t>
      </w:r>
    </w:p>
    <w:p w:rsidR="00A57944" w:rsidRPr="00CB399E" w:rsidRDefault="00A57944" w:rsidP="00CC63D4">
      <w:pPr>
        <w:pStyle w:val="a8"/>
        <w:numPr>
          <w:ilvl w:val="0"/>
          <w:numId w:val="1"/>
        </w:numPr>
        <w:ind w:left="360"/>
        <w:rPr>
          <w:sz w:val="23"/>
          <w:szCs w:val="23"/>
          <w:rtl/>
        </w:rPr>
      </w:pPr>
      <w:r w:rsidRPr="00CB399E">
        <w:rPr>
          <w:b/>
          <w:bCs/>
          <w:sz w:val="23"/>
          <w:szCs w:val="23"/>
          <w:rtl/>
        </w:rPr>
        <w:t>פני יהושע</w:t>
      </w:r>
      <w:r w:rsidRPr="00CB399E">
        <w:rPr>
          <w:rFonts w:hint="cs"/>
          <w:b/>
          <w:bCs/>
          <w:sz w:val="23"/>
          <w:szCs w:val="23"/>
          <w:rtl/>
        </w:rPr>
        <w:t>,</w:t>
      </w:r>
      <w:r w:rsidRPr="00CB399E">
        <w:rPr>
          <w:b/>
          <w:bCs/>
          <w:sz w:val="23"/>
          <w:szCs w:val="23"/>
          <w:rtl/>
        </w:rPr>
        <w:t xml:space="preserve"> חולין דף ג</w:t>
      </w:r>
      <w:r w:rsidRPr="00CB399E">
        <w:rPr>
          <w:rFonts w:hint="cs"/>
          <w:b/>
          <w:bCs/>
          <w:sz w:val="23"/>
          <w:szCs w:val="23"/>
          <w:rtl/>
        </w:rPr>
        <w:t>':</w:t>
      </w:r>
      <w:r w:rsidRPr="00CB399E">
        <w:rPr>
          <w:rFonts w:hint="cs"/>
          <w:sz w:val="23"/>
          <w:szCs w:val="23"/>
          <w:rtl/>
        </w:rPr>
        <w:t xml:space="preserve"> "</w:t>
      </w:r>
      <w:r w:rsidRPr="00CB399E">
        <w:rPr>
          <w:sz w:val="23"/>
          <w:szCs w:val="23"/>
          <w:u w:val="single"/>
          <w:rtl/>
        </w:rPr>
        <w:t>רוב מצויין אצל שחיטה מומחין הם</w:t>
      </w:r>
      <w:r w:rsidRPr="00CB399E">
        <w:rPr>
          <w:sz w:val="23"/>
          <w:szCs w:val="23"/>
          <w:rtl/>
        </w:rPr>
        <w:t>. ואף על גב דבכמה דוכתי משמע דקיימא לן כרבינא דאמר בבכורות דרובא דתליא במעשה לא הוי רובא</w:t>
      </w:r>
      <w:r w:rsidR="00831393" w:rsidRPr="00CB399E">
        <w:rPr>
          <w:rFonts w:hint="cs"/>
          <w:sz w:val="23"/>
          <w:szCs w:val="23"/>
          <w:rtl/>
        </w:rPr>
        <w:t xml:space="preserve">, </w:t>
      </w:r>
      <w:r w:rsidRPr="00CB399E">
        <w:rPr>
          <w:sz w:val="23"/>
          <w:szCs w:val="23"/>
          <w:rtl/>
        </w:rPr>
        <w:t xml:space="preserve">והכא נמי </w:t>
      </w:r>
      <w:r w:rsidRPr="00CB399E">
        <w:rPr>
          <w:sz w:val="23"/>
          <w:szCs w:val="23"/>
          <w:u w:val="single"/>
          <w:rtl/>
        </w:rPr>
        <w:t>רובא דתליא במעשה היא</w:t>
      </w:r>
      <w:r w:rsidR="00831393" w:rsidRPr="00CB399E">
        <w:rPr>
          <w:rFonts w:hint="cs"/>
          <w:sz w:val="23"/>
          <w:szCs w:val="23"/>
          <w:u w:val="single"/>
          <w:rtl/>
        </w:rPr>
        <w:t>,</w:t>
      </w:r>
      <w:r w:rsidRPr="00CB399E">
        <w:rPr>
          <w:sz w:val="23"/>
          <w:szCs w:val="23"/>
          <w:u w:val="single"/>
          <w:rtl/>
        </w:rPr>
        <w:t xml:space="preserve"> מ"מ יש לומר דסתמא דתלמודא סבר דשאני הכא דהא אנן לא אמרינן דרוב ישראלים מומחין הם אלא דרוב המצויין אצל שחיטה מומחין הם והיינו משום דאפילו מיעוטא דמיעוטא לא אשכחן שמצוין אצל שחיטה אם לא שכבר למד הלכות שחיטה</w:t>
      </w:r>
      <w:r w:rsidRPr="00CB399E">
        <w:rPr>
          <w:sz w:val="23"/>
          <w:szCs w:val="23"/>
          <w:rtl/>
        </w:rPr>
        <w:t xml:space="preserve"> וכן נראה מכמה פוסקים דאפילו ר"מ דחייש למיעוטא מודה בכה"ג</w:t>
      </w:r>
      <w:r w:rsidRPr="00CB399E">
        <w:rPr>
          <w:rFonts w:hint="cs"/>
          <w:sz w:val="23"/>
          <w:szCs w:val="23"/>
          <w:rtl/>
        </w:rPr>
        <w:t>".</w:t>
      </w:r>
    </w:p>
    <w:p w:rsidR="00831393" w:rsidRPr="00CB399E" w:rsidRDefault="00831393" w:rsidP="00CC63D4">
      <w:pPr>
        <w:pStyle w:val="a8"/>
        <w:numPr>
          <w:ilvl w:val="0"/>
          <w:numId w:val="1"/>
        </w:numPr>
        <w:ind w:left="360"/>
        <w:rPr>
          <w:sz w:val="23"/>
          <w:szCs w:val="23"/>
          <w:rtl/>
        </w:rPr>
      </w:pPr>
      <w:r w:rsidRPr="00CB399E">
        <w:rPr>
          <w:b/>
          <w:bCs/>
          <w:sz w:val="23"/>
          <w:szCs w:val="23"/>
          <w:rtl/>
        </w:rPr>
        <w:t xml:space="preserve">שו"ת </w:t>
      </w:r>
      <w:r w:rsidRPr="00CB399E">
        <w:rPr>
          <w:rFonts w:hint="cs"/>
          <w:b/>
          <w:bCs/>
          <w:sz w:val="23"/>
          <w:szCs w:val="23"/>
          <w:rtl/>
        </w:rPr>
        <w:t>ה</w:t>
      </w:r>
      <w:r w:rsidRPr="00CB399E">
        <w:rPr>
          <w:b/>
          <w:bCs/>
          <w:sz w:val="23"/>
          <w:szCs w:val="23"/>
          <w:rtl/>
        </w:rPr>
        <w:t>ב"ח</w:t>
      </w:r>
      <w:r w:rsidRPr="00CB399E">
        <w:rPr>
          <w:rFonts w:hint="cs"/>
          <w:b/>
          <w:bCs/>
          <w:sz w:val="23"/>
          <w:szCs w:val="23"/>
          <w:rtl/>
        </w:rPr>
        <w:t xml:space="preserve">, </w:t>
      </w:r>
      <w:r w:rsidRPr="00CB399E">
        <w:rPr>
          <w:b/>
          <w:bCs/>
          <w:sz w:val="23"/>
          <w:szCs w:val="23"/>
          <w:rtl/>
        </w:rPr>
        <w:t>סימן א</w:t>
      </w:r>
      <w:r w:rsidRPr="00CB399E">
        <w:rPr>
          <w:rFonts w:hint="cs"/>
          <w:b/>
          <w:bCs/>
          <w:sz w:val="23"/>
          <w:szCs w:val="23"/>
          <w:rtl/>
        </w:rPr>
        <w:t>':</w:t>
      </w:r>
      <w:r w:rsidRPr="00CB399E">
        <w:rPr>
          <w:rFonts w:hint="cs"/>
          <w:sz w:val="23"/>
          <w:szCs w:val="23"/>
          <w:rtl/>
        </w:rPr>
        <w:t xml:space="preserve"> "</w:t>
      </w:r>
      <w:r w:rsidRPr="00CB399E">
        <w:rPr>
          <w:sz w:val="23"/>
          <w:szCs w:val="23"/>
          <w:rtl/>
        </w:rPr>
        <w:t>בדין שוחט שהיה מוחזק לשוחט מומחה ע"פ חכם שנתן לו רשות לשחוט ואח"כ כשבדקהו ושאלוהו הלכות שחיטה נמצא שאינו יודע</w:t>
      </w:r>
      <w:r w:rsidRPr="00CB399E">
        <w:rPr>
          <w:rFonts w:hint="cs"/>
          <w:sz w:val="23"/>
          <w:szCs w:val="23"/>
          <w:rtl/>
        </w:rPr>
        <w:t xml:space="preserve"> ... </w:t>
      </w:r>
      <w:r w:rsidRPr="00CB399E">
        <w:rPr>
          <w:sz w:val="23"/>
          <w:szCs w:val="23"/>
          <w:rtl/>
        </w:rPr>
        <w:t>הא וודאי השכחה מגיע באורך הזמן בשלא חזר על מה שלמד הלכות שחיטות ובדיקות ובצירוף שהיה טרוד בעסקיו תמיד וא"כ תלינן דמקמי שהגיע אורך הזמן דהשתא הוה ידע</w:t>
      </w:r>
      <w:r w:rsidRPr="00CB399E">
        <w:rPr>
          <w:rFonts w:hint="cs"/>
          <w:sz w:val="23"/>
          <w:szCs w:val="23"/>
          <w:rtl/>
        </w:rPr>
        <w:t xml:space="preserve"> ... </w:t>
      </w:r>
      <w:r w:rsidRPr="00CB399E">
        <w:rPr>
          <w:sz w:val="23"/>
          <w:szCs w:val="23"/>
          <w:rtl/>
        </w:rPr>
        <w:t>ועוד</w:t>
      </w:r>
      <w:r w:rsidRPr="00CB399E">
        <w:rPr>
          <w:rFonts w:hint="cs"/>
          <w:sz w:val="23"/>
          <w:szCs w:val="23"/>
          <w:rtl/>
        </w:rPr>
        <w:t xml:space="preserve">, </w:t>
      </w:r>
      <w:r w:rsidRPr="00CB399E">
        <w:rPr>
          <w:sz w:val="23"/>
          <w:szCs w:val="23"/>
          <w:rtl/>
        </w:rPr>
        <w:t>דאפילו את"ל דנמצא כן למקצת בני אדם שיש להם זכרון ושמור בזכרונם מה שהם לומדים</w:t>
      </w:r>
      <w:r w:rsidRPr="00CB399E">
        <w:rPr>
          <w:rFonts w:hint="cs"/>
          <w:sz w:val="23"/>
          <w:szCs w:val="23"/>
          <w:rtl/>
        </w:rPr>
        <w:t>,</w:t>
      </w:r>
      <w:r w:rsidRPr="00CB399E">
        <w:rPr>
          <w:sz w:val="23"/>
          <w:szCs w:val="23"/>
          <w:rtl/>
        </w:rPr>
        <w:t xml:space="preserve"> </w:t>
      </w:r>
      <w:r w:rsidRPr="00CB399E">
        <w:rPr>
          <w:rFonts w:hint="cs"/>
          <w:sz w:val="23"/>
          <w:szCs w:val="23"/>
          <w:rtl/>
        </w:rPr>
        <w:t xml:space="preserve">מכל מקום </w:t>
      </w:r>
      <w:r w:rsidRPr="00CB399E">
        <w:rPr>
          <w:sz w:val="23"/>
          <w:szCs w:val="23"/>
          <w:rtl/>
        </w:rPr>
        <w:t>באותן שאין להם זכרון טוב נשכח הדבר מהם בפעם אחת ולא מעט מעט וכמו שאנו רואים מעשים בכל יום בבחורים ונערים שנשכח מהם הלמוד בפעם אחת כל מה שלמדו אם לא ישקידו לחזור על הלמוד בכל יום ומדה זו נוהגת גם בזקני</w:t>
      </w:r>
      <w:r w:rsidRPr="00CB399E">
        <w:rPr>
          <w:rFonts w:hint="cs"/>
          <w:sz w:val="23"/>
          <w:szCs w:val="23"/>
          <w:rtl/>
        </w:rPr>
        <w:t>ם ... ו</w:t>
      </w:r>
      <w:r w:rsidRPr="00CB399E">
        <w:rPr>
          <w:sz w:val="23"/>
          <w:szCs w:val="23"/>
          <w:rtl/>
        </w:rPr>
        <w:t>לגבי שכחת הלמוד דאינו ע"פ טבעו של אדם אלא ע"י מעשה ושקידת הלמוד דאמרינן דשכח באורך הזמן בפעם א' וכדאשכחן בבכורות ר"פ הלוקח בהמה דאסיק רבינא וקאמר כי אזלי רבנן בתר רובא ברובא דלא תלי במעשה אבל רובא דתלי במעשה לא</w:t>
      </w:r>
      <w:r w:rsidRPr="00CB399E">
        <w:rPr>
          <w:rFonts w:hint="cs"/>
          <w:sz w:val="23"/>
          <w:szCs w:val="23"/>
          <w:rtl/>
        </w:rPr>
        <w:t>,</w:t>
      </w:r>
      <w:r w:rsidRPr="00CB399E">
        <w:rPr>
          <w:sz w:val="23"/>
          <w:szCs w:val="23"/>
          <w:rtl/>
        </w:rPr>
        <w:t xml:space="preserve"> ומהאי טעמא לא סמכינן ארוב מצויין אצל שחיטה מומחין הן היכא דאפשר למבדקיהו</w:t>
      </w:r>
      <w:r w:rsidRPr="00CB399E">
        <w:rPr>
          <w:rFonts w:hint="cs"/>
          <w:sz w:val="23"/>
          <w:szCs w:val="23"/>
          <w:rtl/>
        </w:rPr>
        <w:t>,</w:t>
      </w:r>
      <w:r w:rsidRPr="00CB399E">
        <w:rPr>
          <w:sz w:val="23"/>
          <w:szCs w:val="23"/>
          <w:rtl/>
        </w:rPr>
        <w:t xml:space="preserve"> ומ"ש מבהמה דסמכינן ארוב בהמות בחזקת כשרות הן ולא צריכין למבדקיהו אף על גב דאפשר למבדקיה</w:t>
      </w:r>
      <w:r w:rsidRPr="00CB399E">
        <w:rPr>
          <w:rFonts w:hint="cs"/>
          <w:sz w:val="23"/>
          <w:szCs w:val="23"/>
          <w:rtl/>
        </w:rPr>
        <w:t>?!</w:t>
      </w:r>
      <w:r w:rsidRPr="00CB399E">
        <w:rPr>
          <w:sz w:val="23"/>
          <w:szCs w:val="23"/>
          <w:rtl/>
        </w:rPr>
        <w:t xml:space="preserve"> </w:t>
      </w:r>
      <w:r w:rsidRPr="00CB399E">
        <w:rPr>
          <w:sz w:val="23"/>
          <w:szCs w:val="23"/>
          <w:u w:val="single"/>
          <w:rtl/>
        </w:rPr>
        <w:t>אלא בע</w:t>
      </w:r>
      <w:r w:rsidRPr="00CB399E">
        <w:rPr>
          <w:rFonts w:hint="cs"/>
          <w:sz w:val="23"/>
          <w:szCs w:val="23"/>
          <w:u w:val="single"/>
          <w:rtl/>
        </w:rPr>
        <w:t xml:space="preserve">ל כרחך </w:t>
      </w:r>
      <w:r w:rsidRPr="00CB399E">
        <w:rPr>
          <w:sz w:val="23"/>
          <w:szCs w:val="23"/>
          <w:u w:val="single"/>
          <w:rtl/>
        </w:rPr>
        <w:t>עיקר דבהמה שאני דחזקת כשרות ממילא הוא משא"כ שוחט דאין חזקתו ממילא אלא ע"י מעשה הלמוד ודלמא שכח</w:t>
      </w:r>
      <w:r w:rsidRPr="00CB399E">
        <w:rPr>
          <w:rFonts w:hint="cs"/>
          <w:sz w:val="23"/>
          <w:szCs w:val="23"/>
          <w:rtl/>
        </w:rPr>
        <w:t>".</w:t>
      </w:r>
    </w:p>
    <w:p w:rsidR="00CC63D4" w:rsidRPr="00CB399E" w:rsidRDefault="00CC63D4" w:rsidP="00CC63D4">
      <w:pPr>
        <w:rPr>
          <w:b/>
          <w:bCs/>
          <w:sz w:val="23"/>
          <w:szCs w:val="23"/>
          <w:rtl/>
        </w:rPr>
      </w:pPr>
    </w:p>
    <w:p w:rsidR="00831393" w:rsidRPr="00CB399E" w:rsidRDefault="00831393" w:rsidP="00CC63D4">
      <w:pPr>
        <w:rPr>
          <w:b/>
          <w:bCs/>
          <w:sz w:val="23"/>
          <w:szCs w:val="23"/>
          <w:rtl/>
        </w:rPr>
      </w:pPr>
      <w:r w:rsidRPr="00CB399E">
        <w:rPr>
          <w:rFonts w:hint="cs"/>
          <w:b/>
          <w:bCs/>
          <w:sz w:val="23"/>
          <w:szCs w:val="23"/>
          <w:rtl/>
        </w:rPr>
        <w:t>ב3. בדיקת הציצית בכל בוקר</w:t>
      </w:r>
    </w:p>
    <w:p w:rsidR="00831393" w:rsidRPr="00CB399E" w:rsidRDefault="00831393" w:rsidP="00CC63D4">
      <w:pPr>
        <w:pStyle w:val="a8"/>
        <w:numPr>
          <w:ilvl w:val="0"/>
          <w:numId w:val="1"/>
        </w:numPr>
        <w:ind w:left="360"/>
        <w:rPr>
          <w:sz w:val="23"/>
          <w:szCs w:val="23"/>
          <w:rtl/>
        </w:rPr>
      </w:pPr>
      <w:r w:rsidRPr="00CB399E">
        <w:rPr>
          <w:b/>
          <w:bCs/>
          <w:sz w:val="23"/>
          <w:szCs w:val="23"/>
          <w:rtl/>
        </w:rPr>
        <w:t xml:space="preserve">שו"ת </w:t>
      </w:r>
      <w:r w:rsidRPr="00CB399E">
        <w:rPr>
          <w:rFonts w:hint="cs"/>
          <w:b/>
          <w:bCs/>
          <w:sz w:val="23"/>
          <w:szCs w:val="23"/>
          <w:rtl/>
        </w:rPr>
        <w:t>ה</w:t>
      </w:r>
      <w:r w:rsidRPr="00CB399E">
        <w:rPr>
          <w:b/>
          <w:bCs/>
          <w:sz w:val="23"/>
          <w:szCs w:val="23"/>
          <w:rtl/>
        </w:rPr>
        <w:t>ב"ח</w:t>
      </w:r>
      <w:r w:rsidRPr="00CB399E">
        <w:rPr>
          <w:rFonts w:hint="cs"/>
          <w:b/>
          <w:bCs/>
          <w:sz w:val="23"/>
          <w:szCs w:val="23"/>
          <w:rtl/>
        </w:rPr>
        <w:t>, שם:</w:t>
      </w:r>
      <w:r w:rsidRPr="00CB399E">
        <w:rPr>
          <w:rFonts w:hint="cs"/>
          <w:sz w:val="23"/>
          <w:szCs w:val="23"/>
          <w:rtl/>
        </w:rPr>
        <w:t xml:space="preserve"> "</w:t>
      </w:r>
      <w:r w:rsidRPr="00CB399E">
        <w:rPr>
          <w:sz w:val="23"/>
          <w:szCs w:val="23"/>
          <w:rtl/>
        </w:rPr>
        <w:t>כתב הרא"ש בסוף הלכות ציצית דהירא אל דבר ה' יבדוק הציצית קודם עטיפה כדי שלא יברך ברכה לבטלה אף על גב דאיכא חזקת כשרות בציצית</w:t>
      </w:r>
      <w:r w:rsidR="0093684F" w:rsidRPr="00CB399E">
        <w:rPr>
          <w:rFonts w:hint="cs"/>
          <w:sz w:val="23"/>
          <w:szCs w:val="23"/>
          <w:rtl/>
        </w:rPr>
        <w:t>,</w:t>
      </w:r>
      <w:r w:rsidRPr="00CB399E">
        <w:rPr>
          <w:sz w:val="23"/>
          <w:szCs w:val="23"/>
          <w:rtl/>
        </w:rPr>
        <w:t xml:space="preserve"> אלא בע"כ דכיון דהחזקה אינו אלא ע"י מעשה ושמא אירע סיבה שנתקלקל לא סמכינן אחזקה זו</w:t>
      </w:r>
      <w:r w:rsidRPr="00CB399E">
        <w:rPr>
          <w:rFonts w:hint="cs"/>
          <w:sz w:val="23"/>
          <w:szCs w:val="23"/>
          <w:rtl/>
        </w:rPr>
        <w:t>".</w:t>
      </w:r>
    </w:p>
    <w:p w:rsidR="002915BE" w:rsidRPr="00CB399E" w:rsidRDefault="00831393" w:rsidP="00CC63D4">
      <w:pPr>
        <w:pStyle w:val="a8"/>
        <w:numPr>
          <w:ilvl w:val="0"/>
          <w:numId w:val="1"/>
        </w:numPr>
        <w:ind w:left="360"/>
        <w:rPr>
          <w:sz w:val="23"/>
          <w:szCs w:val="23"/>
          <w:rtl/>
        </w:rPr>
      </w:pPr>
      <w:r w:rsidRPr="00CB399E">
        <w:rPr>
          <w:b/>
          <w:bCs/>
          <w:sz w:val="23"/>
          <w:szCs w:val="23"/>
          <w:rtl/>
        </w:rPr>
        <w:t>מגן אברהם</w:t>
      </w:r>
      <w:r w:rsidRPr="00CB399E">
        <w:rPr>
          <w:rFonts w:hint="cs"/>
          <w:b/>
          <w:bCs/>
          <w:sz w:val="23"/>
          <w:szCs w:val="23"/>
          <w:rtl/>
        </w:rPr>
        <w:t>, סימן ח' ס"ק י"א:</w:t>
      </w:r>
      <w:r w:rsidRPr="00CB399E">
        <w:rPr>
          <w:rFonts w:hint="cs"/>
          <w:sz w:val="23"/>
          <w:szCs w:val="23"/>
          <w:rtl/>
        </w:rPr>
        <w:t xml:space="preserve"> "</w:t>
      </w:r>
      <w:r w:rsidRPr="00CB399E">
        <w:rPr>
          <w:sz w:val="23"/>
          <w:szCs w:val="23"/>
          <w:rtl/>
        </w:rPr>
        <w:t>ולא ידענא מאי קאמר דהתם אמרי' שמא לא בא עליה זכר ואת"ל בא עליה שמא לא נתעברה</w:t>
      </w:r>
      <w:r w:rsidR="0093684F" w:rsidRPr="00CB399E">
        <w:rPr>
          <w:rFonts w:hint="cs"/>
          <w:sz w:val="23"/>
          <w:szCs w:val="23"/>
          <w:rtl/>
        </w:rPr>
        <w:t>,</w:t>
      </w:r>
      <w:r w:rsidRPr="00CB399E">
        <w:rPr>
          <w:sz w:val="23"/>
          <w:szCs w:val="23"/>
          <w:rtl/>
        </w:rPr>
        <w:t xml:space="preserve"> משא"כ כאן דנתקנו הציצי' כהלכתן אוקמיה אחזקתייהו כמו מקוה שהמשיכו לתוכה מ' סאה שא"צ לבודקה בכל עת שטובל בה אך נ"ל דמ"מ חייב לבודקן משום דאין סומכין על החזקה במקום דיכולים לבררו</w:t>
      </w:r>
      <w:r w:rsidRPr="00CB399E">
        <w:rPr>
          <w:rFonts w:hint="cs"/>
          <w:sz w:val="23"/>
          <w:szCs w:val="23"/>
          <w:rtl/>
        </w:rPr>
        <w:t>".</w:t>
      </w:r>
    </w:p>
    <w:p w:rsidR="00831393" w:rsidRPr="00CB399E" w:rsidRDefault="00831393" w:rsidP="0093684F">
      <w:pPr>
        <w:pStyle w:val="a8"/>
        <w:numPr>
          <w:ilvl w:val="0"/>
          <w:numId w:val="1"/>
        </w:numPr>
        <w:ind w:left="360"/>
        <w:rPr>
          <w:sz w:val="23"/>
          <w:szCs w:val="23"/>
        </w:rPr>
      </w:pPr>
      <w:r w:rsidRPr="00CB399E">
        <w:rPr>
          <w:b/>
          <w:bCs/>
          <w:sz w:val="23"/>
          <w:szCs w:val="23"/>
          <w:rtl/>
        </w:rPr>
        <w:t xml:space="preserve">פרי מגדים </w:t>
      </w:r>
      <w:r w:rsidRPr="00CB399E">
        <w:rPr>
          <w:rFonts w:hint="cs"/>
          <w:b/>
          <w:bCs/>
          <w:sz w:val="23"/>
          <w:szCs w:val="23"/>
          <w:rtl/>
        </w:rPr>
        <w:t>שם:</w:t>
      </w:r>
      <w:r w:rsidRPr="00CB399E">
        <w:rPr>
          <w:rFonts w:hint="cs"/>
          <w:sz w:val="23"/>
          <w:szCs w:val="23"/>
          <w:rtl/>
        </w:rPr>
        <w:t xml:space="preserve"> "</w:t>
      </w:r>
      <w:r w:rsidRPr="00CB399E">
        <w:rPr>
          <w:sz w:val="23"/>
          <w:szCs w:val="23"/>
          <w:rtl/>
        </w:rPr>
        <w:t xml:space="preserve">והמעיין בב"ח יראה כוונתו כמ"א, דמשום הכי לא הוה חזקה, שאין זה בטבע וחיישינן שמא נתקלקל, יע"ש. ומה שכתב רובא דתליא במעשה הוה ספק ספיקא, לכאורה דקשיא ליה ממשכיר בית, ריש פסחים [ד, ב] רוב חבירים [הם אצל בדיקה] ותליא במעשה, או מהא דפסחים ט' (י') [ע"א] חבר חזקה שאין מוציא מתחת ידו דבר שאינו מתוקן, אפילו חזקה דתליא במעשה אמרינן. וכן חזקה שליח עושה שליחותיה, למ"ד אף בדין תורה אף דתליא במעשה, מש"ה נתן טעם דבבכורות הוה ספק ספיקא שמא לא בא עליה זכר ושמא לא נתעברה. ולי העני י"ל כפשוטו, אף דליכא ספק ספיקא, </w:t>
      </w:r>
      <w:r w:rsidRPr="00CB399E">
        <w:rPr>
          <w:sz w:val="23"/>
          <w:szCs w:val="23"/>
          <w:u w:val="single"/>
          <w:rtl/>
        </w:rPr>
        <w:t>רובא וחזקה דתליא במעשה לא אזלינן בתרייהו</w:t>
      </w:r>
      <w:r w:rsidRPr="00CB399E">
        <w:rPr>
          <w:sz w:val="23"/>
          <w:szCs w:val="23"/>
          <w:rtl/>
        </w:rPr>
        <w:t>, ושאני ההיא דפסחים דאלימא טובא</w:t>
      </w:r>
      <w:r w:rsidRPr="00CB399E">
        <w:rPr>
          <w:rFonts w:hint="cs"/>
          <w:sz w:val="23"/>
          <w:szCs w:val="23"/>
          <w:rtl/>
        </w:rPr>
        <w:t>"</w:t>
      </w:r>
      <w:r w:rsidRPr="00CB399E">
        <w:rPr>
          <w:sz w:val="23"/>
          <w:szCs w:val="23"/>
          <w:rtl/>
        </w:rPr>
        <w:t>.</w:t>
      </w:r>
    </w:p>
    <w:sectPr w:rsidR="00831393" w:rsidRPr="00CB399E" w:rsidSect="00D462B2">
      <w:pgSz w:w="11906" w:h="16838"/>
      <w:pgMar w:top="720" w:right="720" w:bottom="426" w:left="72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620DE" w:rsidRDefault="004620DE" w:rsidP="001250C8">
      <w:pPr>
        <w:spacing w:line="240" w:lineRule="auto"/>
      </w:pPr>
      <w:r>
        <w:separator/>
      </w:r>
    </w:p>
  </w:endnote>
  <w:endnote w:type="continuationSeparator" w:id="0">
    <w:p w:rsidR="004620DE" w:rsidRDefault="004620DE" w:rsidP="001250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Aharoni">
    <w:panose1 w:val="02010803020104030203"/>
    <w:charset w:val="00"/>
    <w:family w:val="auto"/>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620DE" w:rsidRDefault="004620DE" w:rsidP="001250C8">
      <w:pPr>
        <w:spacing w:line="240" w:lineRule="auto"/>
      </w:pPr>
      <w:r>
        <w:separator/>
      </w:r>
    </w:p>
  </w:footnote>
  <w:footnote w:type="continuationSeparator" w:id="0">
    <w:p w:rsidR="004620DE" w:rsidRDefault="004620DE" w:rsidP="001250C8">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1E62D85"/>
    <w:multiLevelType w:val="hybridMultilevel"/>
    <w:tmpl w:val="FB00B418"/>
    <w:lvl w:ilvl="0" w:tplc="6DD866DA">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79"/>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3819"/>
    <w:rsid w:val="000602AC"/>
    <w:rsid w:val="001250C8"/>
    <w:rsid w:val="00167DE0"/>
    <w:rsid w:val="002915BE"/>
    <w:rsid w:val="002B067D"/>
    <w:rsid w:val="002E1DB7"/>
    <w:rsid w:val="004620DE"/>
    <w:rsid w:val="004A4F36"/>
    <w:rsid w:val="004B0201"/>
    <w:rsid w:val="00546752"/>
    <w:rsid w:val="00656813"/>
    <w:rsid w:val="006A29B5"/>
    <w:rsid w:val="007050EC"/>
    <w:rsid w:val="00831393"/>
    <w:rsid w:val="008A0A58"/>
    <w:rsid w:val="008A3E0E"/>
    <w:rsid w:val="0093684F"/>
    <w:rsid w:val="00A13A6B"/>
    <w:rsid w:val="00A57944"/>
    <w:rsid w:val="00A93819"/>
    <w:rsid w:val="00B455C0"/>
    <w:rsid w:val="00B45A22"/>
    <w:rsid w:val="00B46C72"/>
    <w:rsid w:val="00B47B49"/>
    <w:rsid w:val="00BD5AB1"/>
    <w:rsid w:val="00CB399E"/>
    <w:rsid w:val="00CC63D4"/>
    <w:rsid w:val="00D462B2"/>
    <w:rsid w:val="00DC25EF"/>
    <w:rsid w:val="00E54C8E"/>
    <w:rsid w:val="00E93D7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553D1C-BBCA-4D19-98F8-5E6699898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56813"/>
    <w:pPr>
      <w:bidi/>
      <w:spacing w:after="0" w:line="360" w:lineRule="auto"/>
      <w:jc w:val="both"/>
    </w:pPr>
    <w:rPr>
      <w:rFonts w:cs="David"/>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ציטוט 1"/>
    <w:basedOn w:val="a"/>
    <w:next w:val="a"/>
    <w:rsid w:val="00656813"/>
    <w:pPr>
      <w:ind w:left="566" w:right="720"/>
    </w:pPr>
    <w:rPr>
      <w:rFonts w:ascii="Narkisim" w:eastAsia="Times New Roman" w:hAnsi="Narkisim" w:cs="Narkisim"/>
      <w:sz w:val="20"/>
    </w:rPr>
  </w:style>
  <w:style w:type="paragraph" w:customStyle="1" w:styleId="a3">
    <w:name w:val="כותרת מאמר"/>
    <w:basedOn w:val="a"/>
    <w:next w:val="a"/>
    <w:qFormat/>
    <w:rsid w:val="00656813"/>
    <w:pPr>
      <w:jc w:val="center"/>
    </w:pPr>
    <w:rPr>
      <w:rFonts w:ascii="David" w:eastAsia="Times New Roman" w:hAnsi="David"/>
      <w:b/>
      <w:bCs/>
      <w:sz w:val="24"/>
      <w:szCs w:val="28"/>
      <w:u w:val="single"/>
    </w:rPr>
  </w:style>
  <w:style w:type="paragraph" w:customStyle="1" w:styleId="a4">
    <w:name w:val="ציטוט מקור"/>
    <w:basedOn w:val="a"/>
    <w:next w:val="a"/>
    <w:qFormat/>
    <w:rsid w:val="00B45A22"/>
    <w:pPr>
      <w:ind w:left="340" w:right="340"/>
    </w:pPr>
    <w:rPr>
      <w:szCs w:val="22"/>
    </w:rPr>
  </w:style>
  <w:style w:type="paragraph" w:styleId="a5">
    <w:name w:val="footnote text"/>
    <w:basedOn w:val="a"/>
    <w:link w:val="a6"/>
    <w:semiHidden/>
    <w:unhideWhenUsed/>
    <w:rsid w:val="001250C8"/>
    <w:pPr>
      <w:spacing w:line="240" w:lineRule="auto"/>
    </w:pPr>
    <w:rPr>
      <w:sz w:val="20"/>
      <w:szCs w:val="20"/>
    </w:rPr>
  </w:style>
  <w:style w:type="character" w:customStyle="1" w:styleId="a6">
    <w:name w:val="טקסט הערת שוליים תו"/>
    <w:basedOn w:val="a0"/>
    <w:link w:val="a5"/>
    <w:uiPriority w:val="99"/>
    <w:semiHidden/>
    <w:rsid w:val="001250C8"/>
    <w:rPr>
      <w:rFonts w:cs="David"/>
      <w:sz w:val="20"/>
      <w:szCs w:val="20"/>
    </w:rPr>
  </w:style>
  <w:style w:type="character" w:styleId="a7">
    <w:name w:val="footnote reference"/>
    <w:basedOn w:val="a0"/>
    <w:semiHidden/>
    <w:unhideWhenUsed/>
    <w:rsid w:val="001250C8"/>
    <w:rPr>
      <w:vertAlign w:val="superscript"/>
    </w:rPr>
  </w:style>
  <w:style w:type="paragraph" w:styleId="a8">
    <w:name w:val="List Paragraph"/>
    <w:basedOn w:val="a"/>
    <w:uiPriority w:val="34"/>
    <w:qFormat/>
    <w:rsid w:val="00CC63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2637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1514;&#1489;&#1504;&#1497;&#1493;&#1514;%20&#1502;&#1493;&#1514;&#1488;&#1502;&#1493;&#1514;%20&#1488;&#1497;&#1513;&#1497;&#1514;%20&#1513;&#1500;%20Office\&#1488;&#1493;&#1491;&#1497;.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אודי</Template>
  <TotalTime>97</TotalTime>
  <Pages>3</Pages>
  <Words>1818</Words>
  <Characters>9093</Characters>
  <Application>Microsoft Office Word</Application>
  <DocSecurity>0</DocSecurity>
  <Lines>75</Lines>
  <Paragraphs>21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10890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cp:revision>
  <dcterms:created xsi:type="dcterms:W3CDTF">2019-05-07T06:55:00Z</dcterms:created>
  <dcterms:modified xsi:type="dcterms:W3CDTF">2026-10-06T17:01:00Z</dcterms:modified>
</cp:coreProperties>
</file>