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F9DA4" w14:textId="77777777" w:rsidR="001250C8" w:rsidRPr="002807E8" w:rsidRDefault="00B45A22" w:rsidP="000B61E7">
      <w:pPr>
        <w:rPr>
          <w:rFonts w:ascii="FrankRuehl" w:hAnsi="FrankRuehl" w:cs="FrankRuehl"/>
          <w:b/>
          <w:bCs/>
          <w:rtl/>
        </w:rPr>
      </w:pPr>
      <w:r w:rsidRPr="001250C8">
        <w:rPr>
          <w:rFonts w:hint="cs"/>
          <w:rtl/>
        </w:rPr>
        <w:t>בס"ד</w:t>
      </w:r>
      <w:r w:rsidR="002807E8">
        <w:rPr>
          <w:rFonts w:hint="cs"/>
          <w:rtl/>
        </w:rPr>
        <w:t xml:space="preserve">, </w:t>
      </w:r>
      <w:r w:rsidR="000B61E7">
        <w:rPr>
          <w:rFonts w:hint="cs"/>
          <w:rtl/>
        </w:rPr>
        <w:t>מרחשוון תשפ"ז</w:t>
      </w:r>
    </w:p>
    <w:p w14:paraId="1A8F75F8" w14:textId="77777777" w:rsidR="002807E8" w:rsidRDefault="002807E8" w:rsidP="002807E8">
      <w:pPr>
        <w:pStyle w:val="a3"/>
        <w:rPr>
          <w:rtl/>
        </w:rPr>
      </w:pPr>
      <w:r>
        <w:rPr>
          <w:rFonts w:hint="cs"/>
          <w:rtl/>
        </w:rPr>
        <w:t>בכורות דף כ"ח, מהלכות דיין שטעה</w:t>
      </w:r>
    </w:p>
    <w:p w14:paraId="0CAD7953" w14:textId="77777777" w:rsidR="002807E8" w:rsidRPr="002807E8" w:rsidRDefault="002807E8" w:rsidP="002807E8">
      <w:pPr>
        <w:rPr>
          <w:rFonts w:ascii="David" w:hAnsi="David"/>
          <w:b/>
          <w:bCs/>
          <w:u w:val="single"/>
          <w:rtl/>
        </w:rPr>
      </w:pPr>
      <w:r w:rsidRPr="002807E8">
        <w:rPr>
          <w:rFonts w:ascii="David" w:hAnsi="David" w:hint="cs"/>
          <w:b/>
          <w:bCs/>
          <w:u w:val="single"/>
          <w:rtl/>
        </w:rPr>
        <w:t>א. מבוא</w:t>
      </w:r>
    </w:p>
    <w:p w14:paraId="76140A8A" w14:textId="77777777" w:rsidR="00D4711D" w:rsidRPr="00D4711D" w:rsidRDefault="00D4711D" w:rsidP="000B61E7">
      <w:pPr>
        <w:pStyle w:val="a8"/>
        <w:numPr>
          <w:ilvl w:val="0"/>
          <w:numId w:val="1"/>
        </w:numPr>
        <w:ind w:left="360"/>
      </w:pPr>
      <w:r w:rsidRPr="00D4711D">
        <w:rPr>
          <w:rFonts w:hint="cs"/>
          <w:b/>
          <w:bCs/>
          <w:rtl/>
        </w:rPr>
        <w:t>סנהדרין, דף ו':</w:t>
      </w:r>
      <w:r>
        <w:rPr>
          <w:rFonts w:hint="cs"/>
          <w:rtl/>
        </w:rPr>
        <w:t xml:space="preserve"> "</w:t>
      </w:r>
      <w:r>
        <w:rPr>
          <w:rtl/>
        </w:rPr>
        <w:t>ויהו הדיינין יודעין את מי הן דנין, ולפני מי הן דנין, ומי עתיד ליפרע מהן, שנאמר אלהים נצב בעדת אל</w:t>
      </w:r>
      <w:r>
        <w:rPr>
          <w:rFonts w:hint="cs"/>
          <w:rtl/>
        </w:rPr>
        <w:t>,</w:t>
      </w:r>
      <w:r>
        <w:rPr>
          <w:rtl/>
        </w:rPr>
        <w:t xml:space="preserve"> וכן ביהושפט הוא אומר ויאמר אל השפטים ראו מה אתם עשים כי לא לאדם תשפטו כי (אם) לה'</w:t>
      </w:r>
      <w:r>
        <w:rPr>
          <w:rFonts w:hint="cs"/>
          <w:rtl/>
        </w:rPr>
        <w:t>.</w:t>
      </w:r>
      <w:r>
        <w:rPr>
          <w:rtl/>
        </w:rPr>
        <w:t xml:space="preserve"> </w:t>
      </w:r>
      <w:r w:rsidRPr="000B61E7">
        <w:rPr>
          <w:u w:val="single"/>
          <w:rtl/>
        </w:rPr>
        <w:t>שמא יאמר הדיין מה לי בצער הזה</w:t>
      </w:r>
      <w:r w:rsidR="000B61E7">
        <w:rPr>
          <w:rFonts w:hint="cs"/>
          <w:rtl/>
        </w:rPr>
        <w:t>?</w:t>
      </w:r>
      <w:r>
        <w:rPr>
          <w:rtl/>
        </w:rPr>
        <w:t xml:space="preserve"> תלמוד לומר עמכם בדבר משפט - אין לו לדיין אלא מה שעיניו רואות</w:t>
      </w:r>
      <w:r>
        <w:rPr>
          <w:rFonts w:hint="cs"/>
          <w:rtl/>
        </w:rPr>
        <w:t>"</w:t>
      </w:r>
      <w:r>
        <w:rPr>
          <w:rtl/>
        </w:rPr>
        <w:t>.</w:t>
      </w:r>
    </w:p>
    <w:p w14:paraId="79E54278" w14:textId="77777777" w:rsidR="002807E8" w:rsidRDefault="002807E8" w:rsidP="00D4711D">
      <w:pPr>
        <w:pStyle w:val="a8"/>
        <w:numPr>
          <w:ilvl w:val="0"/>
          <w:numId w:val="1"/>
        </w:numPr>
        <w:ind w:left="360"/>
        <w:rPr>
          <w:rtl/>
        </w:rPr>
      </w:pPr>
      <w:r w:rsidRPr="00D4711D">
        <w:rPr>
          <w:rFonts w:ascii="David" w:hAnsi="David"/>
          <w:b/>
          <w:bCs/>
          <w:rtl/>
        </w:rPr>
        <w:t>תורת האדם לרמב"ן, שער המיחוש - עניין הסכנה, סעיף ו':</w:t>
      </w:r>
      <w:r w:rsidRPr="00D4711D">
        <w:rPr>
          <w:rFonts w:cs="Narkisim" w:hint="cs"/>
          <w:rtl/>
        </w:rPr>
        <w:t xml:space="preserve"> </w:t>
      </w:r>
      <w:r>
        <w:rPr>
          <w:rFonts w:hint="cs"/>
          <w:rtl/>
        </w:rPr>
        <w:t xml:space="preserve">"בפרק החובל (ב"ק פה:) תנא דבי ר' ישמעאל ורפא ירפא מכאן שניתנה רשות לרופא לרפאות. פי' </w:t>
      </w:r>
      <w:r w:rsidRPr="000B61E7">
        <w:rPr>
          <w:rFonts w:hint="cs"/>
          <w:u w:val="single"/>
          <w:rtl/>
        </w:rPr>
        <w:t>שמא יאמר הרופא מה לי בצער הזה שמא אטעה ונמצאתי הורג נפשות בשוגג</w:t>
      </w:r>
      <w:r>
        <w:rPr>
          <w:rFonts w:hint="cs"/>
          <w:rtl/>
        </w:rPr>
        <w:t xml:space="preserve"> לפיכך נתנה לו תורה רשות לרפאות. וקשיא לי הא דתניא בתוספתא (ב"ק פ"ט) רופא אומן שרפא ברשות ב"ד והזיק ה"ז גולה, אלמא עונש שוגג יש בדבר?! </w:t>
      </w:r>
      <w:r w:rsidRPr="000B61E7">
        <w:rPr>
          <w:rFonts w:hint="cs"/>
          <w:u w:val="single"/>
          <w:rtl/>
        </w:rPr>
        <w:t xml:space="preserve">ויש לומר הכי: הרופא כדיין מצווה לדון, ואם טעה בלא הודע אין עליו עונש כלל, </w:t>
      </w:r>
      <w:r>
        <w:rPr>
          <w:rFonts w:hint="cs"/>
          <w:rtl/>
        </w:rPr>
        <w:t xml:space="preserve">כדאמרינן (סנהדרין ו:) שמא יאמר הדיין מה לי בצער הזה? ת"ל עמכם בדבר המשפט - </w:t>
      </w:r>
      <w:r w:rsidRPr="000B61E7">
        <w:rPr>
          <w:rFonts w:hint="cs"/>
          <w:u w:val="single"/>
          <w:rtl/>
        </w:rPr>
        <w:t>אין לדיין אלא מה שעיניו רואות</w:t>
      </w:r>
      <w:r>
        <w:rPr>
          <w:rFonts w:hint="cs"/>
          <w:rtl/>
        </w:rPr>
        <w:t xml:space="preserve">, ואעפ"כ אם טעה ונודע לב"ד שטעה משלם מביתו על הדרכים הידועים בו. ואע"ג דהתם אם דן ברשות ב"ד פטור, אף כאן מדיני אדם פטור מן התשלומין אלא שאינו פטור מדיני שמים עד שישלם הנזק ויגלה על המיתה, הואיל ונודע שטעה והזיק או המית בידים. וכן אמרו בתוספתא דב"ק (פ"ו ה"ו) גבי פטורים מדיני אדם וחייבין בדיני שמים, רופא אומן שריפא ברשות ב"ד פטור מדיני אדם ודינו מסור לשמים, ומ"מ בלא הודע שלו אינו חייב כלום כמו שהדיין פטור לגמרי בין מדיני אדם בין מעונש שמים, והוא שיזהר כמו שראוי ליזהר בדיני נפשות ולא יזיק בפשיעה כלל". </w:t>
      </w:r>
    </w:p>
    <w:p w14:paraId="6B33FCD6" w14:textId="77777777" w:rsidR="002807E8" w:rsidRDefault="002807E8" w:rsidP="00D4711D">
      <w:pPr>
        <w:rPr>
          <w:rtl/>
        </w:rPr>
      </w:pPr>
    </w:p>
    <w:p w14:paraId="447798B3" w14:textId="77777777" w:rsidR="002807E8" w:rsidRPr="00D4711D" w:rsidRDefault="002807E8" w:rsidP="00D4711D">
      <w:pPr>
        <w:rPr>
          <w:b/>
          <w:bCs/>
          <w:u w:val="single"/>
          <w:rtl/>
        </w:rPr>
      </w:pPr>
      <w:r w:rsidRPr="00D4711D">
        <w:rPr>
          <w:rFonts w:hint="cs"/>
          <w:b/>
          <w:bCs/>
          <w:u w:val="single"/>
          <w:rtl/>
        </w:rPr>
        <w:t>ב. ביטול הדין וחיוב תשלומין</w:t>
      </w:r>
    </w:p>
    <w:p w14:paraId="3B29E7B7" w14:textId="77777777" w:rsidR="002807E8" w:rsidRDefault="002807E8" w:rsidP="00D4711D">
      <w:pPr>
        <w:pStyle w:val="a8"/>
        <w:numPr>
          <w:ilvl w:val="0"/>
          <w:numId w:val="1"/>
        </w:numPr>
        <w:ind w:left="360"/>
        <w:rPr>
          <w:rtl/>
        </w:rPr>
      </w:pPr>
      <w:r w:rsidRPr="00D4711D">
        <w:rPr>
          <w:b/>
          <w:bCs/>
          <w:rtl/>
        </w:rPr>
        <w:t>בכורות</w:t>
      </w:r>
      <w:r w:rsidRPr="00D4711D">
        <w:rPr>
          <w:rFonts w:hint="cs"/>
          <w:b/>
          <w:bCs/>
          <w:rtl/>
        </w:rPr>
        <w:t>,</w:t>
      </w:r>
      <w:r w:rsidRPr="00D4711D">
        <w:rPr>
          <w:b/>
          <w:bCs/>
          <w:rtl/>
        </w:rPr>
        <w:t xml:space="preserve"> דף כ</w:t>
      </w:r>
      <w:r w:rsidRPr="00D4711D">
        <w:rPr>
          <w:rFonts w:hint="cs"/>
          <w:b/>
          <w:bCs/>
          <w:rtl/>
        </w:rPr>
        <w:t>"</w:t>
      </w:r>
      <w:r w:rsidRPr="00D4711D">
        <w:rPr>
          <w:b/>
          <w:bCs/>
          <w:rtl/>
        </w:rPr>
        <w:t>ח</w:t>
      </w:r>
      <w:r w:rsidRPr="00D4711D">
        <w:rPr>
          <w:rFonts w:hint="cs"/>
          <w:b/>
          <w:bCs/>
          <w:rtl/>
        </w:rPr>
        <w:t>:</w:t>
      </w:r>
      <w:r>
        <w:rPr>
          <w:rFonts w:hint="cs"/>
          <w:rtl/>
        </w:rPr>
        <w:t xml:space="preserve"> "</w:t>
      </w:r>
      <w:r>
        <w:rPr>
          <w:rtl/>
        </w:rPr>
        <w:t>דן את הדין, זיכה את החייב וחייב את הזכאי, טימא את הטהור וטיהר את הטמא - מה שעשה עשוי, וישלם מביתו, ואם היה מומחה לב"ד - פטור מלשלם. לימא תנן סתמא כר' מאיר דדאין דינא דגרמי? א"ר אילעא אמר רב: כגון שנשא ונתן ביד</w:t>
      </w:r>
      <w:r>
        <w:rPr>
          <w:rFonts w:hint="cs"/>
          <w:rtl/>
        </w:rPr>
        <w:t>".</w:t>
      </w:r>
    </w:p>
    <w:p w14:paraId="51AB2568" w14:textId="77777777" w:rsidR="002807E8" w:rsidRDefault="00CA0975" w:rsidP="00D4711D">
      <w:pPr>
        <w:pStyle w:val="a8"/>
        <w:numPr>
          <w:ilvl w:val="0"/>
          <w:numId w:val="1"/>
        </w:numPr>
        <w:ind w:left="360"/>
        <w:rPr>
          <w:rtl/>
        </w:rPr>
      </w:pPr>
      <w:r w:rsidRPr="00D4711D">
        <w:rPr>
          <w:b/>
          <w:bCs/>
          <w:rtl/>
        </w:rPr>
        <w:t>סנהדרין</w:t>
      </w:r>
      <w:r w:rsidRPr="00D4711D">
        <w:rPr>
          <w:rFonts w:hint="cs"/>
          <w:b/>
          <w:bCs/>
          <w:rtl/>
        </w:rPr>
        <w:t>,</w:t>
      </w:r>
      <w:r w:rsidRPr="00D4711D">
        <w:rPr>
          <w:b/>
          <w:bCs/>
          <w:rtl/>
        </w:rPr>
        <w:t xml:space="preserve"> דף ל</w:t>
      </w:r>
      <w:r w:rsidRPr="00D4711D">
        <w:rPr>
          <w:rFonts w:hint="cs"/>
          <w:b/>
          <w:bCs/>
          <w:rtl/>
        </w:rPr>
        <w:t>"</w:t>
      </w:r>
      <w:r w:rsidRPr="00D4711D">
        <w:rPr>
          <w:b/>
          <w:bCs/>
          <w:rtl/>
        </w:rPr>
        <w:t>ב</w:t>
      </w:r>
      <w:r w:rsidRPr="00D4711D">
        <w:rPr>
          <w:rFonts w:hint="cs"/>
          <w:b/>
          <w:bCs/>
          <w:rtl/>
        </w:rPr>
        <w:t>-ל"ג:</w:t>
      </w:r>
      <w:r>
        <w:rPr>
          <w:rFonts w:hint="cs"/>
          <w:rtl/>
        </w:rPr>
        <w:t xml:space="preserve"> "</w:t>
      </w:r>
      <w:r>
        <w:rPr>
          <w:rtl/>
        </w:rPr>
        <w:t>מה בין דיני ממונות לדיני נפשות?</w:t>
      </w:r>
      <w:r>
        <w:rPr>
          <w:rFonts w:hint="cs"/>
          <w:rtl/>
        </w:rPr>
        <w:t xml:space="preserve"> ... </w:t>
      </w:r>
      <w:r>
        <w:rPr>
          <w:rtl/>
        </w:rPr>
        <w:t>דיני ממונות - מחזירין בין לזכות בין לחובה, דיני נפשות - מחזירין לזכות ואין מחזירין לחובה</w:t>
      </w:r>
      <w:r>
        <w:rPr>
          <w:rFonts w:hint="cs"/>
          <w:rtl/>
        </w:rPr>
        <w:t xml:space="preserve"> ... </w:t>
      </w:r>
      <w:r>
        <w:rPr>
          <w:rtl/>
        </w:rPr>
        <w:t>ורמינהו: דן את הדין, זיכה את החייב חייב את הזכאי, טימא את הטהור, טיהר את הטמא - מה שעשה עשוי, וישלם מביתו! אמר רב יוסף: לא קשיא: כאן - במומחה, כאן - בשאינו מומחה</w:t>
      </w:r>
      <w:r>
        <w:rPr>
          <w:rFonts w:hint="cs"/>
          <w:rtl/>
        </w:rPr>
        <w:t xml:space="preserve"> ... </w:t>
      </w:r>
      <w:r>
        <w:rPr>
          <w:rtl/>
        </w:rPr>
        <w:t>רב ששת אמר: כאן - שטעה בדבר משנה, כאן - שטעה בשיקול הדעת</w:t>
      </w:r>
      <w:r>
        <w:rPr>
          <w:rFonts w:hint="cs"/>
          <w:rtl/>
        </w:rPr>
        <w:t>"</w:t>
      </w:r>
      <w:r>
        <w:rPr>
          <w:rtl/>
        </w:rPr>
        <w:t>.</w:t>
      </w:r>
    </w:p>
    <w:p w14:paraId="2DC6DD06" w14:textId="77777777" w:rsidR="00CA0975" w:rsidRDefault="000E15C0" w:rsidP="00DC2DD1">
      <w:pPr>
        <w:pStyle w:val="a8"/>
        <w:numPr>
          <w:ilvl w:val="0"/>
          <w:numId w:val="1"/>
        </w:numPr>
        <w:ind w:left="360"/>
        <w:rPr>
          <w:rtl/>
        </w:rPr>
      </w:pPr>
      <w:r>
        <w:rPr>
          <w:rFonts w:hint="cs"/>
          <w:b/>
          <w:bCs/>
          <w:rtl/>
        </w:rPr>
        <w:t xml:space="preserve">תורת </w:t>
      </w:r>
      <w:r w:rsidR="00CA0975" w:rsidRPr="00D4711D">
        <w:rPr>
          <w:rFonts w:hint="cs"/>
          <w:b/>
          <w:bCs/>
          <w:rtl/>
        </w:rPr>
        <w:t>הרא"ל</w:t>
      </w:r>
      <w:r w:rsidR="00DC2DD1">
        <w:rPr>
          <w:rFonts w:hint="cs"/>
          <w:b/>
          <w:bCs/>
          <w:rtl/>
        </w:rPr>
        <w:t xml:space="preserve"> מסכת סנהדרין, בעניין דיין שטעה</w:t>
      </w:r>
      <w:r w:rsidR="00CA0975" w:rsidRPr="00D4711D">
        <w:rPr>
          <w:rFonts w:hint="cs"/>
          <w:b/>
          <w:bCs/>
          <w:rtl/>
        </w:rPr>
        <w:t xml:space="preserve">: </w:t>
      </w:r>
      <w:r w:rsidR="00CA0975">
        <w:rPr>
          <w:rFonts w:hint="cs"/>
          <w:rtl/>
        </w:rPr>
        <w:t>"דומה, שהסוגיות עוסקות בשני נושאים שונים</w:t>
      </w:r>
      <w:r w:rsidR="00CA0975" w:rsidRPr="00CA0975">
        <w:rPr>
          <w:rFonts w:hint="cs"/>
          <w:rtl/>
        </w:rPr>
        <w:t xml:space="preserve">: </w:t>
      </w:r>
      <w:r w:rsidR="00CA0975">
        <w:rPr>
          <w:rFonts w:hint="cs"/>
          <w:rtl/>
        </w:rPr>
        <w:t>ה</w:t>
      </w:r>
      <w:r w:rsidR="00CA0975" w:rsidRPr="00CA0975">
        <w:rPr>
          <w:rFonts w:hint="cs"/>
          <w:rtl/>
        </w:rPr>
        <w:t xml:space="preserve">סוגייה בבכורות </w:t>
      </w:r>
      <w:r w:rsidR="00CA0975">
        <w:rPr>
          <w:rFonts w:hint="cs"/>
          <w:rtl/>
        </w:rPr>
        <w:t xml:space="preserve">דנה בחיוב </w:t>
      </w:r>
      <w:r w:rsidR="00CA0975" w:rsidRPr="00CA0975">
        <w:rPr>
          <w:rFonts w:hint="cs"/>
          <w:rtl/>
        </w:rPr>
        <w:t xml:space="preserve">הדיין לשלם, ואילו </w:t>
      </w:r>
      <w:r w:rsidR="00CA0975">
        <w:rPr>
          <w:rFonts w:hint="cs"/>
          <w:rtl/>
        </w:rPr>
        <w:t>ה</w:t>
      </w:r>
      <w:r w:rsidR="00CA0975" w:rsidRPr="00CA0975">
        <w:rPr>
          <w:rFonts w:hint="cs"/>
          <w:rtl/>
        </w:rPr>
        <w:t xml:space="preserve">סוגייה בסנהדרין </w:t>
      </w:r>
      <w:r w:rsidR="00CA0975">
        <w:rPr>
          <w:rFonts w:hint="cs"/>
          <w:rtl/>
        </w:rPr>
        <w:t>עוסקת בשאלה האם הדין חוזר או לא. לכאורה</w:t>
      </w:r>
      <w:r w:rsidR="00CA0975" w:rsidRPr="00CA0975">
        <w:rPr>
          <w:rFonts w:hint="cs"/>
          <w:rtl/>
        </w:rPr>
        <w:t xml:space="preserve">, </w:t>
      </w:r>
      <w:r w:rsidR="00CA0975">
        <w:rPr>
          <w:rFonts w:hint="cs"/>
          <w:rtl/>
        </w:rPr>
        <w:t xml:space="preserve">ניתן </w:t>
      </w:r>
      <w:r w:rsidR="00CA0975" w:rsidRPr="00CA0975">
        <w:rPr>
          <w:rFonts w:hint="cs"/>
          <w:rtl/>
        </w:rPr>
        <w:t>להבחין בין שתי השאלות: החזרת הדין תלויה בטיב הטעות ובזהות הטועה, ואילו תשלומי הדיין תלויים בתפיסתנו את עצם הפסיקה. עם זאת, הראשונים נחלקו בדבר, ונקטו גם עמדות שונות.</w:t>
      </w:r>
      <w:r w:rsidR="00CA0975">
        <w:rPr>
          <w:rFonts w:hint="cs"/>
          <w:rtl/>
        </w:rPr>
        <w:t>..".</w:t>
      </w:r>
    </w:p>
    <w:p w14:paraId="411A0BA4" w14:textId="77777777" w:rsidR="00CA0975" w:rsidRDefault="00CA0975" w:rsidP="00D4711D">
      <w:pPr>
        <w:rPr>
          <w:rtl/>
        </w:rPr>
      </w:pPr>
    </w:p>
    <w:p w14:paraId="1F3D71F7" w14:textId="77777777" w:rsidR="00AA2C4A" w:rsidRPr="00D4711D" w:rsidRDefault="00AA2C4A" w:rsidP="00D4711D">
      <w:pPr>
        <w:rPr>
          <w:b/>
          <w:bCs/>
          <w:u w:val="single"/>
          <w:rtl/>
        </w:rPr>
      </w:pPr>
      <w:r w:rsidRPr="00D4711D">
        <w:rPr>
          <w:rFonts w:hint="cs"/>
          <w:b/>
          <w:bCs/>
          <w:u w:val="single"/>
          <w:rtl/>
        </w:rPr>
        <w:t>ג. האם דיין שטעה מוגדר כמזיק?</w:t>
      </w:r>
    </w:p>
    <w:p w14:paraId="1349CCFA" w14:textId="77777777" w:rsidR="00AA2C4A" w:rsidRPr="00D4711D" w:rsidRDefault="00AA2C4A" w:rsidP="00D4711D">
      <w:pPr>
        <w:pStyle w:val="a8"/>
        <w:numPr>
          <w:ilvl w:val="0"/>
          <w:numId w:val="1"/>
        </w:numPr>
        <w:ind w:left="360"/>
        <w:rPr>
          <w:rFonts w:ascii="Narkisim"/>
          <w:color w:val="000000"/>
          <w:rtl/>
        </w:rPr>
      </w:pPr>
      <w:r w:rsidRPr="00D4711D">
        <w:rPr>
          <w:rFonts w:ascii="Narkisim"/>
          <w:b/>
          <w:bCs/>
          <w:color w:val="000000"/>
          <w:rtl/>
        </w:rPr>
        <w:t>בכורות</w:t>
      </w:r>
      <w:r w:rsidRPr="00D4711D">
        <w:rPr>
          <w:rFonts w:ascii="Narkisim" w:hint="cs"/>
          <w:b/>
          <w:bCs/>
          <w:color w:val="000000"/>
          <w:rtl/>
        </w:rPr>
        <w:t>, דף כ"ח:</w:t>
      </w:r>
      <w:r w:rsidRPr="00D4711D">
        <w:rPr>
          <w:rFonts w:ascii="Narkisim" w:hint="cs"/>
          <w:color w:val="000000"/>
          <w:rtl/>
        </w:rPr>
        <w:t xml:space="preserve"> "</w:t>
      </w:r>
      <w:r w:rsidRPr="00D4711D">
        <w:rPr>
          <w:rFonts w:ascii="Narkisim"/>
          <w:color w:val="000000"/>
          <w:rtl/>
        </w:rPr>
        <w:t>לימא תנן סתמא כר' מאיר דדאין דינא דגרמי? א"ר אילעא אמר רב: כגון שנשא ונתן ביד</w:t>
      </w:r>
      <w:r w:rsidRPr="00D4711D">
        <w:rPr>
          <w:rFonts w:ascii="Narkisim" w:hint="cs"/>
          <w:color w:val="000000"/>
          <w:rtl/>
        </w:rPr>
        <w:t>".</w:t>
      </w:r>
    </w:p>
    <w:p w14:paraId="114947CC" w14:textId="77777777" w:rsidR="00AA2C4A" w:rsidRPr="00D4711D" w:rsidRDefault="00AA2C4A" w:rsidP="00F83CF7">
      <w:pPr>
        <w:pStyle w:val="a8"/>
        <w:numPr>
          <w:ilvl w:val="0"/>
          <w:numId w:val="1"/>
        </w:numPr>
        <w:ind w:left="360"/>
        <w:rPr>
          <w:rFonts w:ascii="Narkisim"/>
          <w:color w:val="000000"/>
          <w:rtl/>
        </w:rPr>
      </w:pPr>
      <w:r w:rsidRPr="00D4711D">
        <w:rPr>
          <w:rFonts w:ascii="Narkisim" w:hint="cs"/>
          <w:b/>
          <w:bCs/>
          <w:color w:val="000000"/>
          <w:rtl/>
        </w:rPr>
        <w:t xml:space="preserve">חידושי הרמב"ן, בבא מציעא דף פ"ב: </w:t>
      </w:r>
      <w:r w:rsidRPr="00D4711D">
        <w:rPr>
          <w:rFonts w:ascii="Narkisim" w:hint="cs"/>
          <w:color w:val="000000"/>
          <w:rtl/>
        </w:rPr>
        <w:t>"</w:t>
      </w:r>
      <w:r w:rsidRPr="00D4711D">
        <w:rPr>
          <w:rFonts w:ascii="Narkisim" w:hint="eastAsia"/>
          <w:color w:val="000000"/>
          <w:rtl/>
        </w:rPr>
        <w:t>ועוד</w:t>
      </w:r>
      <w:r w:rsidRPr="00D4711D">
        <w:rPr>
          <w:rFonts w:ascii="Narkisim"/>
          <w:color w:val="000000"/>
          <w:rtl/>
        </w:rPr>
        <w:t xml:space="preserve"> </w:t>
      </w:r>
      <w:r w:rsidRPr="00D4711D">
        <w:rPr>
          <w:rFonts w:ascii="Narkisim" w:hint="eastAsia"/>
          <w:color w:val="000000"/>
          <w:rtl/>
        </w:rPr>
        <w:t>הביאו</w:t>
      </w:r>
      <w:r w:rsidRPr="00D4711D">
        <w:rPr>
          <w:rFonts w:ascii="Narkisim"/>
          <w:color w:val="000000"/>
          <w:rtl/>
        </w:rPr>
        <w:t xml:space="preserve"> </w:t>
      </w:r>
      <w:r w:rsidRPr="00D4711D">
        <w:rPr>
          <w:rFonts w:ascii="Narkisim" w:hint="eastAsia"/>
          <w:color w:val="000000"/>
          <w:rtl/>
        </w:rPr>
        <w:t>טבח</w:t>
      </w:r>
      <w:r w:rsidRPr="00D4711D">
        <w:rPr>
          <w:rFonts w:ascii="Narkisim"/>
          <w:color w:val="000000"/>
          <w:rtl/>
        </w:rPr>
        <w:t xml:space="preserve"> </w:t>
      </w:r>
      <w:r w:rsidRPr="00D4711D">
        <w:rPr>
          <w:rFonts w:ascii="Narkisim" w:hint="eastAsia"/>
          <w:color w:val="000000"/>
          <w:rtl/>
        </w:rPr>
        <w:t>אומן</w:t>
      </w:r>
      <w:r w:rsidRPr="00D4711D">
        <w:rPr>
          <w:rFonts w:ascii="Narkisim"/>
          <w:color w:val="000000"/>
          <w:rtl/>
        </w:rPr>
        <w:t xml:space="preserve"> </w:t>
      </w:r>
      <w:r w:rsidRPr="00D4711D">
        <w:rPr>
          <w:rFonts w:ascii="Narkisim" w:hint="eastAsia"/>
          <w:color w:val="000000"/>
          <w:rtl/>
        </w:rPr>
        <w:t>שקלקל</w:t>
      </w:r>
      <w:r w:rsidRPr="00D4711D">
        <w:rPr>
          <w:rFonts w:ascii="Narkisim"/>
          <w:color w:val="000000"/>
          <w:rtl/>
        </w:rPr>
        <w:t xml:space="preserve"> </w:t>
      </w:r>
      <w:r w:rsidRPr="00D4711D">
        <w:rPr>
          <w:rFonts w:ascii="Narkisim" w:hint="eastAsia"/>
          <w:color w:val="000000"/>
          <w:rtl/>
        </w:rPr>
        <w:t>דפטור</w:t>
      </w:r>
      <w:r w:rsidRPr="00D4711D">
        <w:rPr>
          <w:rFonts w:ascii="Narkisim"/>
          <w:color w:val="000000"/>
          <w:rtl/>
        </w:rPr>
        <w:t xml:space="preserve"> </w:t>
      </w:r>
      <w:r w:rsidRPr="00D4711D">
        <w:rPr>
          <w:rFonts w:ascii="Narkisim" w:hint="eastAsia"/>
          <w:color w:val="000000"/>
          <w:rtl/>
        </w:rPr>
        <w:t>בחנם</w:t>
      </w:r>
      <w:r w:rsidRPr="00D4711D">
        <w:rPr>
          <w:rFonts w:ascii="Narkisim"/>
          <w:color w:val="000000"/>
          <w:rtl/>
        </w:rPr>
        <w:t xml:space="preserve"> </w:t>
      </w:r>
      <w:r w:rsidRPr="00D4711D">
        <w:rPr>
          <w:rFonts w:ascii="Narkisim" w:hint="eastAsia"/>
          <w:color w:val="000000"/>
          <w:rtl/>
        </w:rPr>
        <w:t>ואמאי</w:t>
      </w:r>
      <w:r w:rsidRPr="00D4711D">
        <w:rPr>
          <w:rFonts w:ascii="Narkisim"/>
          <w:color w:val="000000"/>
          <w:rtl/>
        </w:rPr>
        <w:t xml:space="preserve"> </w:t>
      </w:r>
      <w:r w:rsidRPr="00D4711D">
        <w:rPr>
          <w:rFonts w:ascii="Narkisim" w:hint="eastAsia"/>
          <w:color w:val="000000"/>
          <w:rtl/>
        </w:rPr>
        <w:t>אדם</w:t>
      </w:r>
      <w:r w:rsidRPr="00D4711D">
        <w:rPr>
          <w:rFonts w:ascii="Narkisim"/>
          <w:color w:val="000000"/>
          <w:rtl/>
        </w:rPr>
        <w:t xml:space="preserve"> </w:t>
      </w:r>
      <w:r w:rsidRPr="00D4711D">
        <w:rPr>
          <w:rFonts w:ascii="Narkisim" w:hint="eastAsia"/>
          <w:color w:val="000000"/>
          <w:rtl/>
        </w:rPr>
        <w:t>מזיק</w:t>
      </w:r>
      <w:r w:rsidRPr="00D4711D">
        <w:rPr>
          <w:rFonts w:ascii="Narkisim"/>
          <w:color w:val="000000"/>
          <w:rtl/>
        </w:rPr>
        <w:t xml:space="preserve"> </w:t>
      </w:r>
      <w:r w:rsidRPr="00D4711D">
        <w:rPr>
          <w:rFonts w:ascii="Narkisim" w:hint="eastAsia"/>
          <w:color w:val="000000"/>
          <w:rtl/>
        </w:rPr>
        <w:t>הוא</w:t>
      </w:r>
      <w:r w:rsidRPr="00D4711D">
        <w:rPr>
          <w:rFonts w:ascii="Narkisim"/>
          <w:color w:val="000000"/>
          <w:rtl/>
        </w:rPr>
        <w:t xml:space="preserve">, </w:t>
      </w:r>
      <w:r w:rsidRPr="00D4711D">
        <w:rPr>
          <w:rFonts w:ascii="Narkisim" w:hint="eastAsia"/>
          <w:color w:val="000000"/>
          <w:rtl/>
        </w:rPr>
        <w:t>וכי</w:t>
      </w:r>
      <w:r w:rsidRPr="00D4711D">
        <w:rPr>
          <w:rFonts w:ascii="Narkisim"/>
          <w:color w:val="000000"/>
          <w:rtl/>
        </w:rPr>
        <w:t xml:space="preserve"> </w:t>
      </w:r>
      <w:r w:rsidRPr="00D4711D">
        <w:rPr>
          <w:rFonts w:ascii="Narkisim" w:hint="eastAsia"/>
          <w:color w:val="000000"/>
          <w:rtl/>
        </w:rPr>
        <w:t>נמי</w:t>
      </w:r>
      <w:r w:rsidRPr="00D4711D">
        <w:rPr>
          <w:rFonts w:ascii="Narkisim"/>
          <w:color w:val="000000"/>
          <w:rtl/>
        </w:rPr>
        <w:t xml:space="preserve"> </w:t>
      </w:r>
      <w:r w:rsidRPr="00D4711D">
        <w:rPr>
          <w:rFonts w:ascii="Narkisim" w:hint="eastAsia"/>
          <w:color w:val="000000"/>
          <w:rtl/>
        </w:rPr>
        <w:t>סבירא</w:t>
      </w:r>
      <w:r w:rsidRPr="00D4711D">
        <w:rPr>
          <w:rFonts w:ascii="Narkisim"/>
          <w:color w:val="000000"/>
          <w:rtl/>
        </w:rPr>
        <w:t xml:space="preserve"> </w:t>
      </w:r>
      <w:r w:rsidRPr="00D4711D">
        <w:rPr>
          <w:rFonts w:ascii="Narkisim" w:hint="eastAsia"/>
          <w:color w:val="000000"/>
          <w:rtl/>
        </w:rPr>
        <w:t>לן</w:t>
      </w:r>
      <w:r w:rsidRPr="00D4711D">
        <w:rPr>
          <w:rFonts w:ascii="Narkisim"/>
          <w:color w:val="000000"/>
          <w:rtl/>
        </w:rPr>
        <w:t xml:space="preserve"> </w:t>
      </w:r>
      <w:r w:rsidRPr="00D4711D">
        <w:rPr>
          <w:rFonts w:ascii="Narkisim" w:hint="eastAsia"/>
          <w:color w:val="000000"/>
          <w:rtl/>
        </w:rPr>
        <w:t>אנוס</w:t>
      </w:r>
      <w:r w:rsidRPr="00D4711D">
        <w:rPr>
          <w:rFonts w:ascii="Narkisim"/>
          <w:color w:val="000000"/>
          <w:rtl/>
        </w:rPr>
        <w:t xml:space="preserve"> </w:t>
      </w:r>
      <w:r w:rsidRPr="00D4711D">
        <w:rPr>
          <w:rFonts w:ascii="Narkisim" w:hint="eastAsia"/>
          <w:color w:val="000000"/>
          <w:rtl/>
        </w:rPr>
        <w:t>הוא</w:t>
      </w:r>
      <w:r w:rsidRPr="00D4711D">
        <w:rPr>
          <w:rFonts w:ascii="Narkisim"/>
          <w:color w:val="000000"/>
          <w:rtl/>
        </w:rPr>
        <w:t xml:space="preserve"> </w:t>
      </w:r>
      <w:r w:rsidRPr="00D4711D">
        <w:rPr>
          <w:rFonts w:ascii="Narkisim" w:hint="eastAsia"/>
          <w:color w:val="000000"/>
          <w:rtl/>
        </w:rPr>
        <w:t>ליחייב</w:t>
      </w:r>
      <w:r w:rsidR="00F83CF7">
        <w:rPr>
          <w:rFonts w:ascii="Narkisim" w:hint="cs"/>
          <w:color w:val="000000"/>
          <w:rtl/>
        </w:rPr>
        <w:t xml:space="preserve">! </w:t>
      </w:r>
      <w:r w:rsidRPr="00D4711D">
        <w:rPr>
          <w:rFonts w:ascii="Narkisim" w:hint="eastAsia"/>
          <w:color w:val="000000"/>
          <w:rtl/>
        </w:rPr>
        <w:t>וזה</w:t>
      </w:r>
      <w:r w:rsidRPr="00D4711D">
        <w:rPr>
          <w:rFonts w:ascii="Narkisim"/>
          <w:color w:val="000000"/>
          <w:rtl/>
        </w:rPr>
        <w:t xml:space="preserve"> </w:t>
      </w:r>
      <w:r w:rsidRPr="00D4711D">
        <w:rPr>
          <w:rFonts w:ascii="Narkisim" w:hint="eastAsia"/>
          <w:color w:val="000000"/>
          <w:rtl/>
        </w:rPr>
        <w:t>ודאי</w:t>
      </w:r>
      <w:r w:rsidRPr="00D4711D">
        <w:rPr>
          <w:rFonts w:ascii="Narkisim"/>
          <w:color w:val="000000"/>
          <w:rtl/>
        </w:rPr>
        <w:t xml:space="preserve"> </w:t>
      </w:r>
      <w:r w:rsidRPr="00D4711D">
        <w:rPr>
          <w:rFonts w:ascii="Narkisim" w:hint="eastAsia"/>
          <w:color w:val="000000"/>
          <w:rtl/>
        </w:rPr>
        <w:t>קשה</w:t>
      </w:r>
      <w:r w:rsidRPr="00D4711D">
        <w:rPr>
          <w:rFonts w:ascii="Narkisim"/>
          <w:color w:val="000000"/>
          <w:rtl/>
        </w:rPr>
        <w:t xml:space="preserve"> </w:t>
      </w:r>
      <w:r w:rsidRPr="00D4711D">
        <w:rPr>
          <w:rFonts w:ascii="Narkisim" w:hint="eastAsia"/>
          <w:color w:val="000000"/>
          <w:rtl/>
        </w:rPr>
        <w:t>עליהם</w:t>
      </w:r>
      <w:r w:rsidRPr="00D4711D">
        <w:rPr>
          <w:rFonts w:ascii="Narkisim"/>
          <w:color w:val="000000"/>
          <w:rtl/>
        </w:rPr>
        <w:t xml:space="preserve"> </w:t>
      </w:r>
      <w:r w:rsidRPr="00D4711D">
        <w:rPr>
          <w:rFonts w:ascii="Narkisim" w:hint="eastAsia"/>
          <w:color w:val="000000"/>
          <w:rtl/>
        </w:rPr>
        <w:t>דכיון</w:t>
      </w:r>
      <w:r w:rsidRPr="00D4711D">
        <w:rPr>
          <w:rFonts w:ascii="Narkisim"/>
          <w:color w:val="000000"/>
          <w:rtl/>
        </w:rPr>
        <w:t xml:space="preserve"> </w:t>
      </w:r>
      <w:r w:rsidRPr="00D4711D">
        <w:rPr>
          <w:rFonts w:ascii="Narkisim" w:hint="eastAsia"/>
          <w:color w:val="000000"/>
          <w:rtl/>
        </w:rPr>
        <w:t>דמיחייב</w:t>
      </w:r>
      <w:r w:rsidRPr="00D4711D">
        <w:rPr>
          <w:rFonts w:ascii="Narkisim"/>
          <w:color w:val="000000"/>
          <w:rtl/>
        </w:rPr>
        <w:t xml:space="preserve"> </w:t>
      </w:r>
      <w:r w:rsidRPr="00D4711D">
        <w:rPr>
          <w:rFonts w:ascii="Narkisim" w:hint="eastAsia"/>
          <w:color w:val="000000"/>
          <w:rtl/>
        </w:rPr>
        <w:t>בשכר</w:t>
      </w:r>
      <w:r w:rsidRPr="00D4711D">
        <w:rPr>
          <w:rFonts w:ascii="Narkisim"/>
          <w:color w:val="000000"/>
          <w:rtl/>
        </w:rPr>
        <w:t xml:space="preserve"> </w:t>
      </w:r>
      <w:r w:rsidRPr="00D4711D">
        <w:rPr>
          <w:rFonts w:ascii="Narkisim" w:hint="eastAsia"/>
          <w:color w:val="000000"/>
          <w:rtl/>
        </w:rPr>
        <w:t>אלמא</w:t>
      </w:r>
      <w:r w:rsidRPr="00D4711D">
        <w:rPr>
          <w:rFonts w:ascii="Narkisim"/>
          <w:color w:val="000000"/>
          <w:rtl/>
        </w:rPr>
        <w:t xml:space="preserve"> </w:t>
      </w:r>
      <w:r w:rsidRPr="00D4711D">
        <w:rPr>
          <w:rFonts w:ascii="Narkisim" w:hint="eastAsia"/>
          <w:color w:val="000000"/>
          <w:rtl/>
        </w:rPr>
        <w:t>כעין</w:t>
      </w:r>
      <w:r w:rsidRPr="00D4711D">
        <w:rPr>
          <w:rFonts w:ascii="Narkisim"/>
          <w:color w:val="000000"/>
          <w:rtl/>
        </w:rPr>
        <w:t xml:space="preserve"> </w:t>
      </w:r>
      <w:r w:rsidRPr="00D4711D">
        <w:rPr>
          <w:rFonts w:ascii="Narkisim" w:hint="eastAsia"/>
          <w:color w:val="000000"/>
          <w:rtl/>
        </w:rPr>
        <w:t>גנבה</w:t>
      </w:r>
      <w:r w:rsidRPr="00D4711D">
        <w:rPr>
          <w:rFonts w:ascii="Narkisim"/>
          <w:color w:val="000000"/>
          <w:rtl/>
        </w:rPr>
        <w:t xml:space="preserve"> </w:t>
      </w:r>
      <w:r w:rsidRPr="00D4711D">
        <w:rPr>
          <w:rFonts w:ascii="Narkisim" w:hint="eastAsia"/>
          <w:color w:val="000000"/>
          <w:rtl/>
        </w:rPr>
        <w:t>ואבדה</w:t>
      </w:r>
      <w:r w:rsidRPr="00D4711D">
        <w:rPr>
          <w:rFonts w:ascii="Narkisim"/>
          <w:color w:val="000000"/>
          <w:rtl/>
        </w:rPr>
        <w:t xml:space="preserve"> </w:t>
      </w:r>
      <w:r w:rsidRPr="00D4711D">
        <w:rPr>
          <w:rFonts w:ascii="Narkisim" w:hint="eastAsia"/>
          <w:color w:val="000000"/>
          <w:rtl/>
        </w:rPr>
        <w:t>הוא</w:t>
      </w:r>
      <w:r w:rsidRPr="00D4711D">
        <w:rPr>
          <w:rFonts w:ascii="Narkisim"/>
          <w:color w:val="000000"/>
          <w:rtl/>
        </w:rPr>
        <w:t xml:space="preserve"> </w:t>
      </w:r>
      <w:r w:rsidRPr="00D4711D">
        <w:rPr>
          <w:rFonts w:ascii="Narkisim" w:hint="eastAsia"/>
          <w:color w:val="000000"/>
          <w:rtl/>
        </w:rPr>
        <w:t>ולאו</w:t>
      </w:r>
      <w:r w:rsidRPr="00D4711D">
        <w:rPr>
          <w:rFonts w:ascii="Narkisim"/>
          <w:color w:val="000000"/>
          <w:rtl/>
        </w:rPr>
        <w:t xml:space="preserve"> </w:t>
      </w:r>
      <w:r w:rsidRPr="00D4711D">
        <w:rPr>
          <w:rFonts w:ascii="Narkisim" w:hint="eastAsia"/>
          <w:color w:val="000000"/>
          <w:rtl/>
        </w:rPr>
        <w:t>אונס</w:t>
      </w:r>
      <w:r w:rsidRPr="00D4711D">
        <w:rPr>
          <w:rFonts w:ascii="Narkisim"/>
          <w:color w:val="000000"/>
          <w:rtl/>
        </w:rPr>
        <w:t xml:space="preserve"> </w:t>
      </w:r>
      <w:r w:rsidRPr="00D4711D">
        <w:rPr>
          <w:rFonts w:ascii="Narkisim" w:hint="eastAsia"/>
          <w:color w:val="000000"/>
          <w:rtl/>
        </w:rPr>
        <w:t>גדול</w:t>
      </w:r>
      <w:r w:rsidRPr="00D4711D">
        <w:rPr>
          <w:rFonts w:ascii="Narkisim"/>
          <w:color w:val="000000"/>
          <w:rtl/>
        </w:rPr>
        <w:t xml:space="preserve"> </w:t>
      </w:r>
      <w:r w:rsidRPr="00D4711D">
        <w:rPr>
          <w:rFonts w:ascii="Narkisim" w:hint="eastAsia"/>
          <w:color w:val="000000"/>
          <w:rtl/>
        </w:rPr>
        <w:t>ולאו</w:t>
      </w:r>
      <w:r w:rsidRPr="00D4711D">
        <w:rPr>
          <w:rFonts w:ascii="Narkisim"/>
          <w:color w:val="000000"/>
          <w:rtl/>
        </w:rPr>
        <w:t xml:space="preserve"> </w:t>
      </w:r>
      <w:r w:rsidRPr="00D4711D">
        <w:rPr>
          <w:rFonts w:ascii="Narkisim" w:hint="eastAsia"/>
          <w:color w:val="000000"/>
          <w:rtl/>
        </w:rPr>
        <w:t>אונס</w:t>
      </w:r>
      <w:r w:rsidRPr="00D4711D">
        <w:rPr>
          <w:rFonts w:ascii="Narkisim"/>
          <w:color w:val="000000"/>
          <w:rtl/>
        </w:rPr>
        <w:t xml:space="preserve"> </w:t>
      </w:r>
      <w:r w:rsidRPr="00D4711D">
        <w:rPr>
          <w:rFonts w:ascii="Narkisim" w:hint="eastAsia"/>
          <w:color w:val="000000"/>
          <w:rtl/>
        </w:rPr>
        <w:t>קטן</w:t>
      </w:r>
      <w:r w:rsidRPr="00D4711D">
        <w:rPr>
          <w:rFonts w:ascii="Narkisim"/>
          <w:color w:val="000000"/>
          <w:rtl/>
        </w:rPr>
        <w:t xml:space="preserve"> </w:t>
      </w:r>
      <w:r w:rsidRPr="00D4711D">
        <w:rPr>
          <w:rFonts w:ascii="Narkisim" w:hint="eastAsia"/>
          <w:color w:val="000000"/>
          <w:rtl/>
        </w:rPr>
        <w:t>הוא</w:t>
      </w:r>
      <w:r w:rsidRPr="00D4711D">
        <w:rPr>
          <w:rFonts w:ascii="Narkisim"/>
          <w:color w:val="000000"/>
          <w:rtl/>
        </w:rPr>
        <w:t xml:space="preserve"> </w:t>
      </w:r>
      <w:r w:rsidRPr="00D4711D">
        <w:rPr>
          <w:rFonts w:ascii="Narkisim" w:hint="eastAsia"/>
          <w:color w:val="000000"/>
          <w:rtl/>
        </w:rPr>
        <w:t>ופטרוהו</w:t>
      </w:r>
      <w:r w:rsidRPr="00D4711D">
        <w:rPr>
          <w:rFonts w:ascii="Narkisim"/>
          <w:color w:val="000000"/>
          <w:rtl/>
        </w:rPr>
        <w:t xml:space="preserve"> </w:t>
      </w:r>
      <w:r w:rsidRPr="00D4711D">
        <w:rPr>
          <w:rFonts w:ascii="Narkisim" w:hint="eastAsia"/>
          <w:color w:val="000000"/>
          <w:rtl/>
        </w:rPr>
        <w:t>בחנם</w:t>
      </w:r>
      <w:r w:rsidRPr="00D4711D">
        <w:rPr>
          <w:rFonts w:ascii="Narkisim"/>
          <w:color w:val="000000"/>
          <w:rtl/>
        </w:rPr>
        <w:t xml:space="preserve">, </w:t>
      </w:r>
      <w:r w:rsidRPr="00F83CF7">
        <w:rPr>
          <w:rFonts w:ascii="Narkisim" w:hint="eastAsia"/>
          <w:color w:val="000000"/>
          <w:u w:val="single"/>
          <w:rtl/>
        </w:rPr>
        <w:t>אלא</w:t>
      </w:r>
      <w:r w:rsidRPr="00F83CF7">
        <w:rPr>
          <w:rFonts w:ascii="Narkisim"/>
          <w:color w:val="000000"/>
          <w:u w:val="single"/>
          <w:rtl/>
        </w:rPr>
        <w:t xml:space="preserve"> </w:t>
      </w:r>
      <w:r w:rsidRPr="00F83CF7">
        <w:rPr>
          <w:rFonts w:ascii="Narkisim" w:hint="eastAsia"/>
          <w:color w:val="000000"/>
          <w:u w:val="single"/>
          <w:rtl/>
        </w:rPr>
        <w:t>שאין</w:t>
      </w:r>
      <w:r w:rsidRPr="00F83CF7">
        <w:rPr>
          <w:rFonts w:ascii="Narkisim"/>
          <w:color w:val="000000"/>
          <w:u w:val="single"/>
          <w:rtl/>
        </w:rPr>
        <w:t xml:space="preserve"> </w:t>
      </w:r>
      <w:r w:rsidRPr="00F83CF7">
        <w:rPr>
          <w:rFonts w:ascii="Narkisim" w:hint="eastAsia"/>
          <w:color w:val="000000"/>
          <w:u w:val="single"/>
          <w:rtl/>
        </w:rPr>
        <w:t>באומן</w:t>
      </w:r>
      <w:r w:rsidRPr="00F83CF7">
        <w:rPr>
          <w:rFonts w:ascii="Narkisim"/>
          <w:color w:val="000000"/>
          <w:u w:val="single"/>
          <w:rtl/>
        </w:rPr>
        <w:t xml:space="preserve"> </w:t>
      </w:r>
      <w:r w:rsidRPr="00F83CF7">
        <w:rPr>
          <w:rFonts w:ascii="Narkisim" w:hint="eastAsia"/>
          <w:color w:val="000000"/>
          <w:u w:val="single"/>
          <w:rtl/>
        </w:rPr>
        <w:t>הטועה</w:t>
      </w:r>
      <w:r w:rsidRPr="00F83CF7">
        <w:rPr>
          <w:rFonts w:ascii="Narkisim"/>
          <w:color w:val="000000"/>
          <w:u w:val="single"/>
          <w:rtl/>
        </w:rPr>
        <w:t xml:space="preserve"> </w:t>
      </w:r>
      <w:r w:rsidRPr="00F83CF7">
        <w:rPr>
          <w:rFonts w:ascii="Narkisim" w:hint="eastAsia"/>
          <w:color w:val="000000"/>
          <w:u w:val="single"/>
          <w:rtl/>
        </w:rPr>
        <w:t>במלאכתו</w:t>
      </w:r>
      <w:r w:rsidRPr="00F83CF7">
        <w:rPr>
          <w:rFonts w:ascii="Narkisim"/>
          <w:color w:val="000000"/>
          <w:u w:val="single"/>
          <w:rtl/>
        </w:rPr>
        <w:t xml:space="preserve"> </w:t>
      </w:r>
      <w:r w:rsidRPr="00F83CF7">
        <w:rPr>
          <w:rFonts w:ascii="Narkisim" w:hint="eastAsia"/>
          <w:color w:val="000000"/>
          <w:u w:val="single"/>
          <w:rtl/>
        </w:rPr>
        <w:t>משום</w:t>
      </w:r>
      <w:r w:rsidRPr="00F83CF7">
        <w:rPr>
          <w:rFonts w:ascii="Narkisim"/>
          <w:color w:val="000000"/>
          <w:u w:val="single"/>
          <w:rtl/>
        </w:rPr>
        <w:t xml:space="preserve"> </w:t>
      </w:r>
      <w:r w:rsidRPr="00F83CF7">
        <w:rPr>
          <w:rFonts w:ascii="Narkisim" w:hint="eastAsia"/>
          <w:color w:val="000000"/>
          <w:u w:val="single"/>
          <w:rtl/>
        </w:rPr>
        <w:t>מזיק</w:t>
      </w:r>
      <w:r w:rsidRPr="00D4711D">
        <w:rPr>
          <w:rFonts w:ascii="Narkisim" w:hint="cs"/>
          <w:color w:val="000000"/>
          <w:rtl/>
        </w:rPr>
        <w:t>".</w:t>
      </w:r>
    </w:p>
    <w:p w14:paraId="435420B2" w14:textId="77777777" w:rsidR="00AA2C4A" w:rsidRDefault="00AA2C4A" w:rsidP="00D4711D">
      <w:pPr>
        <w:pStyle w:val="a8"/>
        <w:numPr>
          <w:ilvl w:val="0"/>
          <w:numId w:val="1"/>
        </w:numPr>
        <w:ind w:left="360"/>
        <w:rPr>
          <w:rtl/>
        </w:rPr>
      </w:pPr>
      <w:r w:rsidRPr="00D4711D">
        <w:rPr>
          <w:rFonts w:hint="cs"/>
          <w:b/>
          <w:bCs/>
          <w:rtl/>
        </w:rPr>
        <w:t xml:space="preserve">מלחמות ה' לרמב"ן, סנהדרין שם: </w:t>
      </w:r>
      <w:r>
        <w:rPr>
          <w:rFonts w:hint="cs"/>
          <w:rtl/>
        </w:rPr>
        <w:t xml:space="preserve">"שאפילו לדברי ר"מ אין כל הגורם בדיבור כעושה מעשה. ואם תאמר הרי אמרו שם שאם הראה מעצמו כמי שנטל ונתן ביד דמי וחייב?! מאריה דאברהם, וכי מעצמו הוא עושה, </w:t>
      </w:r>
      <w:r w:rsidRPr="00F83CF7">
        <w:rPr>
          <w:rFonts w:hint="cs"/>
          <w:u w:val="single"/>
          <w:rtl/>
        </w:rPr>
        <w:t>והלא קבלוהו בעלי הדין עליהם וגמר למידן ואי נמי לא קבלוהו וגמיר וסביר או בי תלתא דאיכא בינייהו חד דגמיר למידן, והתובע צווח לפניו לדון ודן, דמצווה רבה עביד, ורחמנא אנסיה ופקדיה למידן להו דינא, וליביה אנסיב למטעה</w:t>
      </w:r>
      <w:r>
        <w:rPr>
          <w:rFonts w:hint="cs"/>
          <w:rtl/>
        </w:rPr>
        <w:t>. ולא יהא כמסור דקא עביד איסורא רבה, שלא יתחייב בגרמתו בלבד. אלא מיהו מאן דליתיה מומחה, ולא קבלוה ודאי כיון דאשרה בעלמא הוא ואיסורא עבד כמסור שהראה מעצמו דמי, ומחייב כדברי רבינו הגדול ז"ל".</w:t>
      </w:r>
    </w:p>
    <w:p w14:paraId="0D77205D" w14:textId="77777777" w:rsidR="00AA2C4A" w:rsidRDefault="00AA2C4A" w:rsidP="00F83CF7">
      <w:pPr>
        <w:pStyle w:val="a8"/>
        <w:numPr>
          <w:ilvl w:val="0"/>
          <w:numId w:val="1"/>
        </w:numPr>
        <w:ind w:left="360"/>
        <w:rPr>
          <w:rtl/>
        </w:rPr>
      </w:pPr>
      <w:r w:rsidRPr="00D4711D">
        <w:rPr>
          <w:b/>
          <w:bCs/>
          <w:rtl/>
        </w:rPr>
        <w:t>רמב"ם סנהדרין</w:t>
      </w:r>
      <w:r w:rsidRPr="00D4711D">
        <w:rPr>
          <w:rFonts w:hint="cs"/>
          <w:b/>
          <w:bCs/>
          <w:rtl/>
        </w:rPr>
        <w:t>, ו' א',ד':</w:t>
      </w:r>
      <w:r>
        <w:rPr>
          <w:rFonts w:hint="cs"/>
          <w:rtl/>
        </w:rPr>
        <w:t xml:space="preserve"> "</w:t>
      </w:r>
      <w:r>
        <w:rPr>
          <w:rtl/>
        </w:rPr>
        <w:t>כל דיין שדן דיני ממונות וטעה אם טעה בדברים הגלויים והידועים כגון דינין המפורשין במשנה או בגמרא חוזר הדין ומחזירין הדבר כשהיה ודנין בו כהלכה</w:t>
      </w:r>
      <w:r w:rsidR="00F83CF7">
        <w:rPr>
          <w:rFonts w:hint="cs"/>
          <w:rtl/>
        </w:rPr>
        <w:t xml:space="preserve">. </w:t>
      </w:r>
      <w:r>
        <w:rPr>
          <w:rtl/>
        </w:rPr>
        <w:t xml:space="preserve">ואם אי אפשר להחזיר כגון שהלך זה שנטל הממון שלא כדין למדינת הים, או שהיה אלם או שטמא דבר טהור או שהורה בכשרה שהיא טריפה והאכילה לכלבים וכיוצא בזה הרי זה פטור מלשלם, </w:t>
      </w:r>
      <w:r w:rsidRPr="00D4711D">
        <w:rPr>
          <w:u w:val="single"/>
          <w:rtl/>
        </w:rPr>
        <w:t>אף על פי שגרם להזיק לא נתכוון להזיק</w:t>
      </w:r>
      <w:r>
        <w:rPr>
          <w:rFonts w:hint="cs"/>
          <w:rtl/>
        </w:rPr>
        <w:t xml:space="preserve"> ... </w:t>
      </w:r>
      <w:r>
        <w:rPr>
          <w:rtl/>
        </w:rPr>
        <w:t>אבל מי שאינו מומחה ולא קבלו אותו בעלי דינין אף על פי שנטל רשות הרי זה בכלל בעלי זרוע ואינו בכלל הדיינין, לפיכך אין דיניו דין בין טעה בין לא טעה וכל אחד מבעלי דינין אם רצה חוזר ודן בפני בית דין, ואם טעה ונשא ונתן ביד חייב לשלם מביתו וחוזר ולוקח מבעל דין זה שנתן לו שלא כהלכה, ואם אין לו להחזיר או שטמא או שהאכיל דבר המותר לכלבים ישלם כדין כל גורם להזיק שזה מתכוין להזיק הוא</w:t>
      </w:r>
      <w:r>
        <w:rPr>
          <w:rFonts w:hint="cs"/>
          <w:rtl/>
        </w:rPr>
        <w:t>"</w:t>
      </w:r>
      <w:r>
        <w:rPr>
          <w:rtl/>
        </w:rPr>
        <w:t>.</w:t>
      </w:r>
    </w:p>
    <w:p w14:paraId="2E213F24" w14:textId="77777777" w:rsidR="00AA2C4A" w:rsidRDefault="00AA2C4A" w:rsidP="00D4711D">
      <w:pPr>
        <w:pStyle w:val="a8"/>
        <w:numPr>
          <w:ilvl w:val="0"/>
          <w:numId w:val="1"/>
        </w:numPr>
        <w:ind w:left="360"/>
        <w:rPr>
          <w:rtl/>
        </w:rPr>
      </w:pPr>
      <w:r w:rsidRPr="00D4711D">
        <w:rPr>
          <w:rFonts w:hint="cs"/>
          <w:b/>
          <w:bCs/>
          <w:rtl/>
        </w:rPr>
        <w:t xml:space="preserve">שיעורי הרא"ל, שם: </w:t>
      </w:r>
      <w:r>
        <w:rPr>
          <w:rFonts w:hint="cs"/>
          <w:rtl/>
        </w:rPr>
        <w:t>"</w:t>
      </w:r>
      <w:r w:rsidRPr="00AA2C4A">
        <w:rPr>
          <w:rFonts w:hint="cs"/>
          <w:rtl/>
        </w:rPr>
        <w:t>מדברי הרמב"ן</w:t>
      </w:r>
      <w:r>
        <w:rPr>
          <w:rFonts w:hint="cs"/>
          <w:rtl/>
        </w:rPr>
        <w:t>, ואפשר שגם הרמב"ם,</w:t>
      </w:r>
      <w:r w:rsidRPr="00AA2C4A">
        <w:rPr>
          <w:rFonts w:hint="cs"/>
          <w:rtl/>
        </w:rPr>
        <w:t xml:space="preserve"> ניתן ללמוד, שההבדל בין דיין מומחה ובין דיין הדיוט נוגע לא רק לעצם השאלה האם ראוי היה להם לשבת בדין, אלא גם לטעות כשלעצמה. </w:t>
      </w:r>
      <w:r w:rsidRPr="00F83CF7">
        <w:rPr>
          <w:rFonts w:hint="cs"/>
          <w:u w:val="single"/>
          <w:rtl/>
        </w:rPr>
        <w:t>כאשר מוסר אדם את ממונו לבעל מלאכה, או כאשר הוא מוסר את הכרעת הסכסוך לדיין, הרי שהדיין פועל בו כבתוך שלו, ואף אם יטעה, כלל לא מדובר על נזק</w:t>
      </w:r>
      <w:r w:rsidRPr="00AA2C4A">
        <w:rPr>
          <w:rFonts w:hint="cs"/>
          <w:rtl/>
        </w:rPr>
        <w:t>. כאמור, אם מדובר על טעות ברורה וחד משמעית, הרי זו רשלנות פושעת, וניתן לחייב עליה. אך במקרה הפשוט יותר, הדיין המומחה פטור לא רק משום שמותר היה לו לשבת בדין, אלא משום שבעל הדין עצמו מינה אותו לעסוק בנושא, ולהכריע כפי שיקול דעתו</w:t>
      </w:r>
      <w:r>
        <w:rPr>
          <w:rFonts w:hint="cs"/>
          <w:rtl/>
        </w:rPr>
        <w:t>"</w:t>
      </w:r>
      <w:r w:rsidRPr="00AA2C4A">
        <w:rPr>
          <w:rFonts w:hint="cs"/>
          <w:rtl/>
        </w:rPr>
        <w:t>.</w:t>
      </w:r>
    </w:p>
    <w:p w14:paraId="4C801A20" w14:textId="77777777" w:rsidR="00AA2C4A" w:rsidRDefault="00AA2C4A" w:rsidP="00D4711D">
      <w:pPr>
        <w:rPr>
          <w:rtl/>
        </w:rPr>
      </w:pPr>
    </w:p>
    <w:p w14:paraId="6977137E" w14:textId="77777777" w:rsidR="00AA2C4A" w:rsidRPr="00D4711D" w:rsidRDefault="00AA2C4A" w:rsidP="00D4711D">
      <w:pPr>
        <w:rPr>
          <w:b/>
          <w:bCs/>
          <w:u w:val="single"/>
          <w:rtl/>
        </w:rPr>
      </w:pPr>
      <w:r w:rsidRPr="00D4711D">
        <w:rPr>
          <w:rFonts w:hint="cs"/>
          <w:b/>
          <w:bCs/>
          <w:u w:val="single"/>
          <w:rtl/>
        </w:rPr>
        <w:t>ד. טועה בדבר משנה וטועה בשיקול הדעת</w:t>
      </w:r>
    </w:p>
    <w:p w14:paraId="1833A8C2" w14:textId="77777777" w:rsidR="00AA2C4A" w:rsidRDefault="00AA2C4A" w:rsidP="00D4711D">
      <w:pPr>
        <w:pStyle w:val="a8"/>
        <w:numPr>
          <w:ilvl w:val="0"/>
          <w:numId w:val="1"/>
        </w:numPr>
        <w:ind w:left="360"/>
        <w:rPr>
          <w:rtl/>
        </w:rPr>
      </w:pPr>
      <w:r w:rsidRPr="00D4711D">
        <w:rPr>
          <w:b/>
          <w:bCs/>
          <w:rtl/>
        </w:rPr>
        <w:t>רש"י בכורות</w:t>
      </w:r>
      <w:r w:rsidRPr="00D4711D">
        <w:rPr>
          <w:rFonts w:hint="cs"/>
          <w:b/>
          <w:bCs/>
          <w:rtl/>
        </w:rPr>
        <w:t>, דף כ"ח:</w:t>
      </w:r>
      <w:r>
        <w:rPr>
          <w:rFonts w:hint="cs"/>
          <w:rtl/>
        </w:rPr>
        <w:t xml:space="preserve"> "</w:t>
      </w:r>
      <w:r>
        <w:rPr>
          <w:rtl/>
        </w:rPr>
        <w:t xml:space="preserve">וטעה בדבר משנה חוזר בדיבורו בסנהדרין (דף לג) וכיון דאי קיימא פרה הוה מצי למיהדר ביה ולמשרייה אישתכח </w:t>
      </w:r>
      <w:r w:rsidRPr="00D4711D">
        <w:rPr>
          <w:u w:val="single"/>
          <w:rtl/>
        </w:rPr>
        <w:t>דמה שאמר לאו כלום הוא</w:t>
      </w:r>
      <w:r w:rsidR="00EC385A">
        <w:rPr>
          <w:rFonts w:hint="cs"/>
          <w:rtl/>
        </w:rPr>
        <w:t xml:space="preserve">". </w:t>
      </w:r>
    </w:p>
    <w:p w14:paraId="10DDE81B" w14:textId="77777777" w:rsidR="00AA2C4A" w:rsidRDefault="00AA2C4A" w:rsidP="00D4711D">
      <w:pPr>
        <w:pStyle w:val="a8"/>
        <w:numPr>
          <w:ilvl w:val="0"/>
          <w:numId w:val="1"/>
        </w:numPr>
        <w:ind w:left="360"/>
        <w:rPr>
          <w:rtl/>
        </w:rPr>
      </w:pPr>
      <w:r w:rsidRPr="00D4711D">
        <w:rPr>
          <w:b/>
          <w:bCs/>
          <w:rtl/>
        </w:rPr>
        <w:t>טור חושן משפט</w:t>
      </w:r>
      <w:r w:rsidRPr="00D4711D">
        <w:rPr>
          <w:rFonts w:hint="cs"/>
          <w:b/>
          <w:bCs/>
          <w:rtl/>
        </w:rPr>
        <w:t>, כ"ה:</w:t>
      </w:r>
      <w:r>
        <w:rPr>
          <w:rFonts w:hint="cs"/>
          <w:rtl/>
        </w:rPr>
        <w:t xml:space="preserve"> "</w:t>
      </w:r>
      <w:r>
        <w:rPr>
          <w:rtl/>
        </w:rPr>
        <w:t xml:space="preserve">ואם הטעות בדבר פשוט כגון דבר המפורש במשנה בכל ענין חוזר הדין אפילו שלשה מומחין אפילו קבלום עליהם </w:t>
      </w:r>
      <w:r w:rsidRPr="00D4711D">
        <w:rPr>
          <w:u w:val="single"/>
          <w:rtl/>
        </w:rPr>
        <w:t>שאין כאן דין כלל</w:t>
      </w:r>
      <w:r>
        <w:rPr>
          <w:rtl/>
        </w:rPr>
        <w:t xml:space="preserve"> כיון שהטעות בדבר הפשוט</w:t>
      </w:r>
      <w:r>
        <w:rPr>
          <w:rFonts w:hint="cs"/>
          <w:rtl/>
        </w:rPr>
        <w:t>".</w:t>
      </w:r>
    </w:p>
    <w:p w14:paraId="2C1E0E2E" w14:textId="77777777" w:rsidR="00EC385A" w:rsidRDefault="00EC385A" w:rsidP="00D4711D">
      <w:pPr>
        <w:pStyle w:val="a8"/>
        <w:numPr>
          <w:ilvl w:val="0"/>
          <w:numId w:val="1"/>
        </w:numPr>
        <w:ind w:left="360"/>
        <w:rPr>
          <w:rtl/>
        </w:rPr>
      </w:pPr>
      <w:r w:rsidRPr="00D4711D">
        <w:rPr>
          <w:b/>
          <w:bCs/>
          <w:rtl/>
        </w:rPr>
        <w:t>רש"י סנהדרין</w:t>
      </w:r>
      <w:r w:rsidRPr="00D4711D">
        <w:rPr>
          <w:rFonts w:hint="cs"/>
          <w:b/>
          <w:bCs/>
          <w:rtl/>
        </w:rPr>
        <w:t>, דף ו':</w:t>
      </w:r>
      <w:r>
        <w:rPr>
          <w:rFonts w:hint="cs"/>
          <w:rtl/>
        </w:rPr>
        <w:t xml:space="preserve"> "</w:t>
      </w:r>
      <w:r>
        <w:rPr>
          <w:rtl/>
        </w:rPr>
        <w:t>הלכך - דיניה לא הדר, וכיון דלא איתמר הלכתא לא כמר ולא כמר, האי בעל דין דנקט לא בעי לשלומי, דאמר ליה: פסקת לי לדינאי</w:t>
      </w:r>
      <w:r>
        <w:rPr>
          <w:rFonts w:hint="cs"/>
          <w:rtl/>
        </w:rPr>
        <w:t>".</w:t>
      </w:r>
    </w:p>
    <w:p w14:paraId="1812C14C" w14:textId="77777777" w:rsidR="00EC385A" w:rsidRDefault="00EC385A" w:rsidP="00D4711D">
      <w:pPr>
        <w:pStyle w:val="a8"/>
        <w:numPr>
          <w:ilvl w:val="0"/>
          <w:numId w:val="1"/>
        </w:numPr>
        <w:ind w:left="360"/>
        <w:rPr>
          <w:rtl/>
        </w:rPr>
      </w:pPr>
      <w:r w:rsidRPr="00D4711D">
        <w:rPr>
          <w:b/>
          <w:bCs/>
          <w:rtl/>
        </w:rPr>
        <w:t>קצות החושן</w:t>
      </w:r>
      <w:r w:rsidRPr="00D4711D">
        <w:rPr>
          <w:rFonts w:hint="cs"/>
          <w:b/>
          <w:bCs/>
          <w:rtl/>
        </w:rPr>
        <w:t>, כ"ה ס"ק ד':</w:t>
      </w:r>
      <w:r>
        <w:rPr>
          <w:rFonts w:hint="cs"/>
          <w:rtl/>
        </w:rPr>
        <w:t xml:space="preserve"> "</w:t>
      </w:r>
      <w:r>
        <w:rPr>
          <w:rtl/>
        </w:rPr>
        <w:t>וא"כ מה דקם דינא בשיקול הדעת הוא רק משום דמוחזק על פי דיין והיינו דאהני ליה</w:t>
      </w:r>
      <w:r>
        <w:rPr>
          <w:rFonts w:hint="cs"/>
          <w:rtl/>
        </w:rPr>
        <w:t>".</w:t>
      </w:r>
    </w:p>
    <w:p w14:paraId="228E3822" w14:textId="77777777" w:rsidR="00AA2C4A" w:rsidRPr="00AA2C4A" w:rsidRDefault="00AA2C4A" w:rsidP="00F83CF7">
      <w:pPr>
        <w:pStyle w:val="a8"/>
        <w:numPr>
          <w:ilvl w:val="0"/>
          <w:numId w:val="1"/>
        </w:numPr>
        <w:ind w:left="360"/>
      </w:pPr>
      <w:r w:rsidRPr="00D4711D">
        <w:rPr>
          <w:b/>
          <w:bCs/>
          <w:rtl/>
        </w:rPr>
        <w:t>טור</w:t>
      </w:r>
      <w:r w:rsidR="00EC385A" w:rsidRPr="00D4711D">
        <w:rPr>
          <w:rFonts w:hint="cs"/>
          <w:b/>
          <w:bCs/>
          <w:rtl/>
        </w:rPr>
        <w:t>,</w:t>
      </w:r>
      <w:r w:rsidRPr="00D4711D">
        <w:rPr>
          <w:b/>
          <w:bCs/>
          <w:rtl/>
        </w:rPr>
        <w:t xml:space="preserve"> </w:t>
      </w:r>
      <w:r w:rsidR="00EC385A" w:rsidRPr="00D4711D">
        <w:rPr>
          <w:rFonts w:hint="cs"/>
          <w:b/>
          <w:bCs/>
          <w:rtl/>
        </w:rPr>
        <w:t>שם</w:t>
      </w:r>
      <w:r w:rsidRPr="00D4711D">
        <w:rPr>
          <w:rFonts w:hint="cs"/>
          <w:b/>
          <w:bCs/>
          <w:rtl/>
        </w:rPr>
        <w:t>:</w:t>
      </w:r>
      <w:r>
        <w:rPr>
          <w:rFonts w:hint="cs"/>
          <w:rtl/>
        </w:rPr>
        <w:t xml:space="preserve"> "</w:t>
      </w:r>
      <w:r w:rsidR="00EC385A">
        <w:rPr>
          <w:rtl/>
        </w:rPr>
        <w:t>דיין שדן דין וטעה אם הטעות בשיקול הדעת</w:t>
      </w:r>
      <w:r w:rsidR="00EC385A">
        <w:rPr>
          <w:rFonts w:hint="cs"/>
          <w:rtl/>
        </w:rPr>
        <w:t xml:space="preserve"> ...</w:t>
      </w:r>
      <w:r w:rsidR="00EC385A">
        <w:rPr>
          <w:rtl/>
        </w:rPr>
        <w:t xml:space="preserve"> </w:t>
      </w:r>
      <w:r>
        <w:rPr>
          <w:rtl/>
        </w:rPr>
        <w:t xml:space="preserve">אינו יכול לומר לבעל דין שזיכה תחזיר מה שנתן לך כי טעיתי ואפילו אם יש גדול ממנו להחזירו אין הבעל דין שזיכהו צריך להחזיר </w:t>
      </w:r>
      <w:r w:rsidRPr="00D4711D">
        <w:rPr>
          <w:u w:val="single"/>
          <w:rtl/>
        </w:rPr>
        <w:t>דקנס הוא שקנסו חכמים שיתקיים הדין</w:t>
      </w:r>
      <w:r>
        <w:rPr>
          <w:rtl/>
        </w:rPr>
        <w:t xml:space="preserve"> וישלם מביתו</w:t>
      </w:r>
      <w:r>
        <w:rPr>
          <w:rFonts w:hint="cs"/>
          <w:rtl/>
        </w:rPr>
        <w:t>".</w:t>
      </w:r>
    </w:p>
    <w:sectPr w:rsidR="00AA2C4A" w:rsidRPr="00AA2C4A" w:rsidSect="00656813">
      <w:pgSz w:w="11906" w:h="16838"/>
      <w:pgMar w:top="720" w:right="720" w:bottom="720" w:left="72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E52F3" w14:textId="77777777" w:rsidR="005C5434" w:rsidRDefault="005C5434" w:rsidP="001250C8">
      <w:pPr>
        <w:spacing w:line="240" w:lineRule="auto"/>
      </w:pPr>
      <w:r>
        <w:separator/>
      </w:r>
    </w:p>
  </w:endnote>
  <w:endnote w:type="continuationSeparator" w:id="0">
    <w:p w14:paraId="07467E5F" w14:textId="77777777" w:rsidR="005C5434" w:rsidRDefault="005C5434" w:rsidP="001250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4063F" w14:textId="77777777" w:rsidR="005C5434" w:rsidRDefault="005C5434" w:rsidP="001250C8">
      <w:pPr>
        <w:spacing w:line="240" w:lineRule="auto"/>
      </w:pPr>
      <w:r>
        <w:separator/>
      </w:r>
    </w:p>
  </w:footnote>
  <w:footnote w:type="continuationSeparator" w:id="0">
    <w:p w14:paraId="110F1C97" w14:textId="77777777" w:rsidR="005C5434" w:rsidRDefault="005C5434" w:rsidP="001250C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F875B6"/>
    <w:multiLevelType w:val="hybridMultilevel"/>
    <w:tmpl w:val="403E0E24"/>
    <w:lvl w:ilvl="0" w:tplc="D3B670B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2960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grammar="clean"/>
  <w:attachedTemplate r:id="rId1"/>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7E8"/>
    <w:rsid w:val="000B61E7"/>
    <w:rsid w:val="000E15C0"/>
    <w:rsid w:val="001250C8"/>
    <w:rsid w:val="001E2BFB"/>
    <w:rsid w:val="002807E8"/>
    <w:rsid w:val="002E1DB7"/>
    <w:rsid w:val="00532CA4"/>
    <w:rsid w:val="005C5434"/>
    <w:rsid w:val="00600415"/>
    <w:rsid w:val="00656813"/>
    <w:rsid w:val="006A29B5"/>
    <w:rsid w:val="008A0A58"/>
    <w:rsid w:val="008F7008"/>
    <w:rsid w:val="00A13A6B"/>
    <w:rsid w:val="00AA2C4A"/>
    <w:rsid w:val="00B45A22"/>
    <w:rsid w:val="00CA0975"/>
    <w:rsid w:val="00D4711D"/>
    <w:rsid w:val="00DC2DD1"/>
    <w:rsid w:val="00E93D7D"/>
    <w:rsid w:val="00EC385A"/>
    <w:rsid w:val="00F83CF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D4E04"/>
  <w15:chartTrackingRefBased/>
  <w15:docId w15:val="{19199532-8594-44F8-A3B2-9925D3FC6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6813"/>
    <w:pPr>
      <w:bidi/>
      <w:spacing w:after="0" w:line="360" w:lineRule="auto"/>
      <w:jc w:val="both"/>
    </w:pPr>
    <w:rPr>
      <w:rFonts w:cs="David"/>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ציטוט 1"/>
    <w:basedOn w:val="a"/>
    <w:next w:val="a"/>
    <w:rsid w:val="00656813"/>
    <w:pPr>
      <w:ind w:left="566" w:right="720"/>
    </w:pPr>
    <w:rPr>
      <w:rFonts w:ascii="Narkisim" w:eastAsia="Times New Roman" w:hAnsi="Narkisim" w:cs="Narkisim"/>
      <w:sz w:val="20"/>
    </w:rPr>
  </w:style>
  <w:style w:type="paragraph" w:customStyle="1" w:styleId="a3">
    <w:name w:val="כותרת מאמר"/>
    <w:basedOn w:val="a"/>
    <w:next w:val="a"/>
    <w:qFormat/>
    <w:rsid w:val="00656813"/>
    <w:pPr>
      <w:jc w:val="center"/>
    </w:pPr>
    <w:rPr>
      <w:rFonts w:ascii="David" w:eastAsia="Times New Roman" w:hAnsi="David"/>
      <w:b/>
      <w:bCs/>
      <w:sz w:val="24"/>
      <w:szCs w:val="28"/>
      <w:u w:val="single"/>
    </w:rPr>
  </w:style>
  <w:style w:type="paragraph" w:customStyle="1" w:styleId="a4">
    <w:name w:val="ציטוט מקור"/>
    <w:basedOn w:val="a"/>
    <w:next w:val="a"/>
    <w:qFormat/>
    <w:rsid w:val="00B45A22"/>
    <w:pPr>
      <w:ind w:left="340" w:right="340"/>
    </w:pPr>
    <w:rPr>
      <w:szCs w:val="22"/>
    </w:rPr>
  </w:style>
  <w:style w:type="paragraph" w:styleId="a5">
    <w:name w:val="footnote text"/>
    <w:basedOn w:val="a"/>
    <w:link w:val="a6"/>
    <w:uiPriority w:val="99"/>
    <w:semiHidden/>
    <w:unhideWhenUsed/>
    <w:rsid w:val="001250C8"/>
    <w:pPr>
      <w:spacing w:line="240" w:lineRule="auto"/>
    </w:pPr>
    <w:rPr>
      <w:sz w:val="20"/>
      <w:szCs w:val="20"/>
    </w:rPr>
  </w:style>
  <w:style w:type="character" w:customStyle="1" w:styleId="a6">
    <w:name w:val="טקסט הערת שוליים תו"/>
    <w:basedOn w:val="a0"/>
    <w:link w:val="a5"/>
    <w:uiPriority w:val="99"/>
    <w:semiHidden/>
    <w:rsid w:val="001250C8"/>
    <w:rPr>
      <w:rFonts w:cs="David"/>
      <w:sz w:val="20"/>
      <w:szCs w:val="20"/>
    </w:rPr>
  </w:style>
  <w:style w:type="character" w:styleId="a7">
    <w:name w:val="footnote reference"/>
    <w:basedOn w:val="a0"/>
    <w:uiPriority w:val="99"/>
    <w:semiHidden/>
    <w:unhideWhenUsed/>
    <w:rsid w:val="001250C8"/>
    <w:rPr>
      <w:vertAlign w:val="superscript"/>
    </w:rPr>
  </w:style>
  <w:style w:type="paragraph" w:styleId="a8">
    <w:name w:val="List Paragraph"/>
    <w:basedOn w:val="a"/>
    <w:uiPriority w:val="34"/>
    <w:qFormat/>
    <w:rsid w:val="00D471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1514;&#1489;&#1504;&#1497;&#1493;&#1514;%20&#1502;&#1493;&#1514;&#1488;&#1502;&#1493;&#1514;%20&#1488;&#1497;&#1513;&#1497;&#1514;%20&#1513;&#1500;%20Office\&#1488;&#1493;&#1491;&#1497;.dotx" TargetMode="External"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אודי.dotx</Template>
  <TotalTime>1</TotalTime>
  <Pages>1</Pages>
  <Words>907</Words>
  <Characters>4535</Characters>
  <Application>Microsoft Office Word</Application>
  <DocSecurity>0</DocSecurity>
  <Lines>37</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אודי שורץ</cp:lastModifiedBy>
  <cp:revision>2</cp:revision>
  <dcterms:created xsi:type="dcterms:W3CDTF">2026-10-14T15:42:00Z</dcterms:created>
  <dcterms:modified xsi:type="dcterms:W3CDTF">2026-10-14T15:42:00Z</dcterms:modified>
</cp:coreProperties>
</file>