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119" w:rsidRDefault="006A0119" w:rsidP="006A0119">
      <w:pPr>
        <w:pStyle w:val="2"/>
        <w:rPr>
          <w:rFonts w:hint="cs"/>
          <w:rtl/>
        </w:rPr>
      </w:pPr>
      <w:r>
        <w:rPr>
          <w:rtl/>
        </w:rPr>
        <w:fldChar w:fldCharType="begin"/>
      </w:r>
      <w:r>
        <w:rPr>
          <w:rtl/>
        </w:rPr>
        <w:instrText xml:space="preserve"> </w:instrText>
      </w:r>
      <w:r>
        <w:rPr>
          <w:rFonts w:hint="cs"/>
        </w:rPr>
        <w:instrText>SEQ</w:instrText>
      </w:r>
      <w:r>
        <w:rPr>
          <w:rFonts w:hint="cs"/>
          <w:rtl/>
        </w:rPr>
        <w:instrText xml:space="preserve"> סימניתמורה\* </w:instrText>
      </w:r>
      <w:r>
        <w:rPr>
          <w:rFonts w:hint="cs"/>
        </w:rPr>
        <w:instrText>hebrew1 \* MERGEFORMAT</w:instrText>
      </w:r>
      <w:r>
        <w:rPr>
          <w:rtl/>
        </w:rPr>
        <w:instrText xml:space="preserve"> </w:instrText>
      </w:r>
      <w:r>
        <w:rPr>
          <w:rtl/>
        </w:rPr>
        <w:fldChar w:fldCharType="separate"/>
      </w:r>
      <w:bookmarkStart w:id="0" w:name="_Toc319262773"/>
      <w:r>
        <w:rPr>
          <w:noProof/>
          <w:rtl/>
        </w:rPr>
        <w:t>ב</w:t>
      </w:r>
      <w:r>
        <w:rPr>
          <w:rtl/>
        </w:rPr>
        <w:fldChar w:fldCharType="end"/>
      </w:r>
      <w:r>
        <w:rPr>
          <w:rFonts w:hint="cs"/>
          <w:rtl/>
        </w:rPr>
        <w:t xml:space="preserve">. בדין חטאת שנתכפרו הבעלים, </w:t>
      </w:r>
      <w:proofErr w:type="spellStart"/>
      <w:r>
        <w:rPr>
          <w:rFonts w:hint="cs"/>
          <w:rtl/>
        </w:rPr>
        <w:t>כא</w:t>
      </w:r>
      <w:proofErr w:type="spellEnd"/>
      <w:r>
        <w:rPr>
          <w:rFonts w:hint="cs"/>
          <w:rtl/>
        </w:rPr>
        <w:t xml:space="preserve"> </w:t>
      </w:r>
      <w:r>
        <w:rPr>
          <w:rtl/>
        </w:rPr>
        <w:t xml:space="preserve"> ע</w:t>
      </w:r>
      <w:r>
        <w:rPr>
          <w:rFonts w:hint="cs"/>
          <w:rtl/>
        </w:rPr>
        <w:t>"</w:t>
      </w:r>
      <w:r>
        <w:rPr>
          <w:rtl/>
        </w:rPr>
        <w:t>ב</w:t>
      </w:r>
      <w:r>
        <w:rPr>
          <w:rFonts w:hint="cs"/>
          <w:rtl/>
        </w:rPr>
        <w:t xml:space="preserve"> </w:t>
      </w:r>
      <w:r>
        <w:rPr>
          <w:rtl/>
        </w:rPr>
        <w:t>–</w:t>
      </w:r>
      <w:r>
        <w:rPr>
          <w:rFonts w:hint="cs"/>
          <w:rtl/>
        </w:rPr>
        <w:t xml:space="preserve"> כד ע"א</w:t>
      </w:r>
      <w:bookmarkEnd w:id="0"/>
    </w:p>
    <w:p w:rsidR="006A0119" w:rsidRDefault="006A0119" w:rsidP="006A0119">
      <w:pPr>
        <w:pStyle w:val="a3"/>
        <w:rPr>
          <w:rtl/>
        </w:rPr>
      </w:pPr>
      <w:fldSimple w:instr=" SEQ תמורהכא-כד\* hebrew1 \* MERGEFORMAT ">
        <w:r>
          <w:rPr>
            <w:noProof/>
            <w:rtl/>
          </w:rPr>
          <w:t>א</w:t>
        </w:r>
      </w:fldSimple>
      <w:r>
        <w:rPr>
          <w:rFonts w:hint="cs"/>
          <w:rtl/>
        </w:rPr>
        <w:t>.</w:t>
      </w:r>
      <w:r>
        <w:rPr>
          <w:rFonts w:hint="cs"/>
          <w:rtl/>
        </w:rPr>
        <w:tab/>
      </w:r>
      <w:r>
        <w:rPr>
          <w:rtl/>
        </w:rPr>
        <w:t>/מתני'/. ולד חטאת, ותמורת חטאת, וחטאת שמתו בעליה - ימותו; ושעיברה שנתה; ושאבדה ונמצאת בעלת מום, אם משכפרו הבעלים - תמות, ואינה עושה תמורה</w:t>
      </w:r>
      <w:r>
        <w:rPr>
          <w:rFonts w:hint="cs"/>
          <w:rtl/>
        </w:rPr>
        <w:t xml:space="preserve"> </w:t>
      </w:r>
      <w:r>
        <w:rPr>
          <w:rtl/>
        </w:rPr>
        <w:t xml:space="preserve">לא נהנין ולא </w:t>
      </w:r>
      <w:proofErr w:type="spellStart"/>
      <w:r>
        <w:rPr>
          <w:rtl/>
        </w:rPr>
        <w:t>מועלין</w:t>
      </w:r>
      <w:proofErr w:type="spellEnd"/>
      <w:r>
        <w:rPr>
          <w:rtl/>
        </w:rPr>
        <w:t xml:space="preserve">, ואם עד שלא כיפרו הבעלים תרעה עד שתסתאב, </w:t>
      </w:r>
      <w:proofErr w:type="spellStart"/>
      <w:r>
        <w:rPr>
          <w:rtl/>
        </w:rPr>
        <w:t>ותמכר</w:t>
      </w:r>
      <w:proofErr w:type="spellEnd"/>
      <w:r>
        <w:rPr>
          <w:rtl/>
        </w:rPr>
        <w:t xml:space="preserve"> ויביא בדמיה אחרת, ועושה תמורה </w:t>
      </w:r>
      <w:proofErr w:type="spellStart"/>
      <w:r>
        <w:rPr>
          <w:rtl/>
        </w:rPr>
        <w:t>ומועלין</w:t>
      </w:r>
      <w:proofErr w:type="spellEnd"/>
      <w:r>
        <w:rPr>
          <w:rtl/>
        </w:rPr>
        <w:t xml:space="preserve"> בה. </w:t>
      </w:r>
    </w:p>
    <w:p w:rsidR="006A0119" w:rsidRDefault="006A0119" w:rsidP="006A0119">
      <w:pPr>
        <w:pStyle w:val="a3"/>
        <w:rPr>
          <w:rFonts w:hint="cs"/>
          <w:rtl/>
        </w:rPr>
      </w:pPr>
      <w:fldSimple w:instr=" SEQ תמורהכא-כד\* hebrew1 \* MERGEFORMAT ">
        <w:r>
          <w:rPr>
            <w:noProof/>
            <w:rtl/>
          </w:rPr>
          <w:t>ב</w:t>
        </w:r>
      </w:fldSimple>
      <w:r>
        <w:rPr>
          <w:rFonts w:hint="cs"/>
          <w:rtl/>
        </w:rPr>
        <w:t>.</w:t>
      </w:r>
      <w:r>
        <w:rPr>
          <w:rFonts w:hint="cs"/>
          <w:rtl/>
        </w:rPr>
        <w:tab/>
      </w:r>
      <w:proofErr w:type="spellStart"/>
      <w:r>
        <w:rPr>
          <w:rtl/>
        </w:rPr>
        <w:t>גמ</w:t>
      </w:r>
      <w:proofErr w:type="spellEnd"/>
      <w:r>
        <w:rPr>
          <w:rtl/>
        </w:rPr>
        <w:t xml:space="preserve">'. </w:t>
      </w:r>
      <w:r>
        <w:rPr>
          <w:rFonts w:hint="cs"/>
          <w:rtl/>
        </w:rPr>
        <w:t xml:space="preserve">... </w:t>
      </w:r>
      <w:r>
        <w:rPr>
          <w:rtl/>
        </w:rPr>
        <w:t xml:space="preserve">אמר ריש לקיש: חטאת שעיברה שנתה - </w:t>
      </w:r>
      <w:proofErr w:type="spellStart"/>
      <w:r>
        <w:rPr>
          <w:rtl/>
        </w:rPr>
        <w:t>רואין</w:t>
      </w:r>
      <w:proofErr w:type="spellEnd"/>
      <w:r>
        <w:rPr>
          <w:rtl/>
        </w:rPr>
        <w:t xml:space="preserve"> אותה כאילו עומדת בבית הקברות ורועה. </w:t>
      </w:r>
      <w:proofErr w:type="spellStart"/>
      <w:r>
        <w:rPr>
          <w:rtl/>
        </w:rPr>
        <w:t>תנן</w:t>
      </w:r>
      <w:proofErr w:type="spellEnd"/>
      <w:r>
        <w:rPr>
          <w:rtl/>
        </w:rPr>
        <w:t xml:space="preserve">, שעיברה שנתה, ואבדה ונמצאת בעלת מום, אם אחר שכיפרו בעלים - מתה, </w:t>
      </w:r>
      <w:proofErr w:type="spellStart"/>
      <w:r>
        <w:rPr>
          <w:rtl/>
        </w:rPr>
        <w:t>תיובתא</w:t>
      </w:r>
      <w:proofErr w:type="spellEnd"/>
      <w:r>
        <w:rPr>
          <w:rtl/>
        </w:rPr>
        <w:t xml:space="preserve"> </w:t>
      </w:r>
      <w:proofErr w:type="spellStart"/>
      <w:r>
        <w:rPr>
          <w:rtl/>
        </w:rPr>
        <w:t>דריש</w:t>
      </w:r>
      <w:proofErr w:type="spellEnd"/>
      <w:r>
        <w:rPr>
          <w:rtl/>
        </w:rPr>
        <w:t xml:space="preserve"> לקיש! אמר לך - ריש לקיש: כי </w:t>
      </w:r>
      <w:proofErr w:type="spellStart"/>
      <w:r>
        <w:rPr>
          <w:rtl/>
        </w:rPr>
        <w:t>קתני</w:t>
      </w:r>
      <w:proofErr w:type="spellEnd"/>
      <w:r>
        <w:rPr>
          <w:rtl/>
        </w:rPr>
        <w:t xml:space="preserve"> רישא מתה - אאבדה ונמצאת בעלת מום, אם אחר שכיפרו בעלים - תמות. אי הכי, אימא סיפא: אם עד שלא כיפרו הבעלים - תרעה עד שתסתאב, ואי בעלת מום - הא </w:t>
      </w:r>
      <w:proofErr w:type="spellStart"/>
      <w:r>
        <w:rPr>
          <w:rtl/>
        </w:rPr>
        <w:t>מסאבא</w:t>
      </w:r>
      <w:proofErr w:type="spellEnd"/>
      <w:r>
        <w:rPr>
          <w:rtl/>
        </w:rPr>
        <w:t xml:space="preserve"> וקיימא! אמר רבה הכי </w:t>
      </w:r>
      <w:proofErr w:type="spellStart"/>
      <w:r>
        <w:rPr>
          <w:rtl/>
        </w:rPr>
        <w:t>קאמר</w:t>
      </w:r>
      <w:proofErr w:type="spellEnd"/>
      <w:r>
        <w:rPr>
          <w:rtl/>
        </w:rPr>
        <w:t xml:space="preserve">: (תנא) שאבדה ונמצאת בעלת מום עובר, אם אחר שכפרו בעלים - מתה, אם קודם שכיפרו בעלים - תרעה עד שתסתאב במום קבוע, ותימכר אמר רבא: שתי תשובות בדבר, </w:t>
      </w:r>
      <w:proofErr w:type="spellStart"/>
      <w:r>
        <w:rPr>
          <w:rtl/>
        </w:rPr>
        <w:t>חדא</w:t>
      </w:r>
      <w:proofErr w:type="spellEnd"/>
      <w:r>
        <w:rPr>
          <w:rtl/>
        </w:rPr>
        <w:t xml:space="preserve"> - </w:t>
      </w:r>
      <w:proofErr w:type="spellStart"/>
      <w:r>
        <w:rPr>
          <w:rtl/>
        </w:rPr>
        <w:t>דאם</w:t>
      </w:r>
      <w:proofErr w:type="spellEnd"/>
      <w:r>
        <w:rPr>
          <w:rtl/>
        </w:rPr>
        <w:t xml:space="preserve"> כן ישמור </w:t>
      </w:r>
      <w:proofErr w:type="spellStart"/>
      <w:r>
        <w:rPr>
          <w:rtl/>
        </w:rPr>
        <w:t>מיבעי</w:t>
      </w:r>
      <w:proofErr w:type="spellEnd"/>
      <w:r>
        <w:rPr>
          <w:rtl/>
        </w:rPr>
        <w:t xml:space="preserve"> ליה </w:t>
      </w:r>
      <w:proofErr w:type="spellStart"/>
      <w:r>
        <w:rPr>
          <w:rtl/>
        </w:rPr>
        <w:t>למיתני</w:t>
      </w:r>
      <w:proofErr w:type="spellEnd"/>
      <w:r>
        <w:rPr>
          <w:rtl/>
        </w:rPr>
        <w:t xml:space="preserve">! ועוד שעיברה שנתה למאי </w:t>
      </w:r>
      <w:proofErr w:type="spellStart"/>
      <w:r>
        <w:rPr>
          <w:rtl/>
        </w:rPr>
        <w:t>הלכתא</w:t>
      </w:r>
      <w:proofErr w:type="spellEnd"/>
      <w:r>
        <w:rPr>
          <w:rtl/>
        </w:rPr>
        <w:t xml:space="preserve"> </w:t>
      </w:r>
      <w:proofErr w:type="spellStart"/>
      <w:r>
        <w:rPr>
          <w:rtl/>
        </w:rPr>
        <w:t>קתני</w:t>
      </w:r>
      <w:proofErr w:type="spellEnd"/>
      <w:r>
        <w:rPr>
          <w:rtl/>
        </w:rPr>
        <w:t xml:space="preserve">? אלא אמר רבא: הכי </w:t>
      </w:r>
      <w:proofErr w:type="spellStart"/>
      <w:r>
        <w:rPr>
          <w:rtl/>
        </w:rPr>
        <w:t>קתני</w:t>
      </w:r>
      <w:proofErr w:type="spellEnd"/>
      <w:r>
        <w:rPr>
          <w:rtl/>
        </w:rPr>
        <w:t xml:space="preserve">, עברה שנתה ואבדה, או אבדה ונמצאת בעלת מום, אחר שכיפרו הבעלים - מתה, קודם שכיפרו הבעלים - תרעה עד שתסתאב ותימכר. </w:t>
      </w:r>
      <w:r>
        <w:rPr>
          <w:rFonts w:hint="cs"/>
          <w:rtl/>
        </w:rPr>
        <w:t xml:space="preserve">... </w:t>
      </w:r>
      <w:proofErr w:type="spellStart"/>
      <w:r>
        <w:rPr>
          <w:rtl/>
        </w:rPr>
        <w:t>תנן</w:t>
      </w:r>
      <w:proofErr w:type="spellEnd"/>
      <w:r>
        <w:rPr>
          <w:rtl/>
        </w:rPr>
        <w:t xml:space="preserve">: השני ירעה עד שיסתאב, </w:t>
      </w:r>
      <w:proofErr w:type="spellStart"/>
      <w:r>
        <w:rPr>
          <w:rtl/>
        </w:rPr>
        <w:t>וימכר</w:t>
      </w:r>
      <w:proofErr w:type="spellEnd"/>
      <w:r>
        <w:rPr>
          <w:rtl/>
        </w:rPr>
        <w:t xml:space="preserve"> ויפלו דמיו לנדבה, לפי שאין חטאת הציבור מתה הא </w:t>
      </w:r>
      <w:proofErr w:type="spellStart"/>
      <w:r>
        <w:rPr>
          <w:rtl/>
        </w:rPr>
        <w:t>דיחיד</w:t>
      </w:r>
      <w:proofErr w:type="spellEnd"/>
      <w:r>
        <w:rPr>
          <w:rtl/>
        </w:rPr>
        <w:t xml:space="preserve"> - מתה! </w:t>
      </w:r>
      <w:proofErr w:type="spellStart"/>
      <w:r>
        <w:rPr>
          <w:rtl/>
        </w:rPr>
        <w:t>וא"ר</w:t>
      </w:r>
      <w:proofErr w:type="spellEnd"/>
      <w:r>
        <w:rPr>
          <w:rtl/>
        </w:rPr>
        <w:t xml:space="preserve"> יוחנן: בעלי חיים </w:t>
      </w:r>
      <w:proofErr w:type="spellStart"/>
      <w:r>
        <w:rPr>
          <w:rtl/>
        </w:rPr>
        <w:t>נדחין</w:t>
      </w:r>
      <w:proofErr w:type="spellEnd"/>
      <w:r>
        <w:rPr>
          <w:rtl/>
        </w:rPr>
        <w:t xml:space="preserve">, וכשהוא מתכפר - בשני שבזוג שני מתכפר, ואידך קמא - </w:t>
      </w:r>
      <w:proofErr w:type="spellStart"/>
      <w:r>
        <w:rPr>
          <w:rtl/>
        </w:rPr>
        <w:t>הוה</w:t>
      </w:r>
      <w:proofErr w:type="spellEnd"/>
      <w:r>
        <w:rPr>
          <w:rtl/>
        </w:rPr>
        <w:t xml:space="preserve"> ליה כי עיברה שנתה, </w:t>
      </w:r>
      <w:proofErr w:type="spellStart"/>
      <w:r>
        <w:rPr>
          <w:rtl/>
        </w:rPr>
        <w:t>וטעמא</w:t>
      </w:r>
      <w:proofErr w:type="spellEnd"/>
      <w:r>
        <w:rPr>
          <w:rtl/>
        </w:rPr>
        <w:t xml:space="preserve"> - </w:t>
      </w:r>
      <w:proofErr w:type="spellStart"/>
      <w:r>
        <w:rPr>
          <w:rtl/>
        </w:rPr>
        <w:t>דציבור</w:t>
      </w:r>
      <w:proofErr w:type="spellEnd"/>
      <w:r>
        <w:rPr>
          <w:rtl/>
        </w:rPr>
        <w:t xml:space="preserve">, הא </w:t>
      </w:r>
      <w:proofErr w:type="spellStart"/>
      <w:r>
        <w:rPr>
          <w:rtl/>
        </w:rPr>
        <w:t>דיחיד</w:t>
      </w:r>
      <w:proofErr w:type="spellEnd"/>
      <w:r>
        <w:rPr>
          <w:rtl/>
        </w:rPr>
        <w:t xml:space="preserve"> - מתה! אמר לך: </w:t>
      </w:r>
      <w:proofErr w:type="spellStart"/>
      <w:r>
        <w:rPr>
          <w:rtl/>
        </w:rPr>
        <w:t>דחויין</w:t>
      </w:r>
      <w:proofErr w:type="spellEnd"/>
      <w:r>
        <w:rPr>
          <w:rtl/>
        </w:rPr>
        <w:t xml:space="preserve"> לחוד, </w:t>
      </w:r>
      <w:proofErr w:type="spellStart"/>
      <w:r>
        <w:rPr>
          <w:rtl/>
        </w:rPr>
        <w:t>ואבודין</w:t>
      </w:r>
      <w:proofErr w:type="spellEnd"/>
      <w:r>
        <w:rPr>
          <w:rtl/>
        </w:rPr>
        <w:t xml:space="preserve"> לחוד, מ"ט - </w:t>
      </w:r>
      <w:proofErr w:type="spellStart"/>
      <w:r>
        <w:rPr>
          <w:rtl/>
        </w:rPr>
        <w:t>אבודין</w:t>
      </w:r>
      <w:proofErr w:type="spellEnd"/>
      <w:r>
        <w:rPr>
          <w:rtl/>
        </w:rPr>
        <w:t xml:space="preserve"> </w:t>
      </w:r>
      <w:proofErr w:type="spellStart"/>
      <w:r>
        <w:rPr>
          <w:rtl/>
        </w:rPr>
        <w:t>דעתיה</w:t>
      </w:r>
      <w:proofErr w:type="spellEnd"/>
      <w:r>
        <w:rPr>
          <w:rtl/>
        </w:rPr>
        <w:t xml:space="preserve"> </w:t>
      </w:r>
      <w:proofErr w:type="spellStart"/>
      <w:r>
        <w:rPr>
          <w:rtl/>
        </w:rPr>
        <w:t>עליהון</w:t>
      </w:r>
      <w:proofErr w:type="spellEnd"/>
      <w:r>
        <w:rPr>
          <w:rtl/>
        </w:rPr>
        <w:t xml:space="preserve"> דילמא </w:t>
      </w:r>
      <w:proofErr w:type="spellStart"/>
      <w:r>
        <w:rPr>
          <w:rtl/>
        </w:rPr>
        <w:t>משתכחין</w:t>
      </w:r>
      <w:proofErr w:type="spellEnd"/>
      <w:r>
        <w:rPr>
          <w:rtl/>
        </w:rPr>
        <w:t xml:space="preserve">, </w:t>
      </w:r>
      <w:proofErr w:type="spellStart"/>
      <w:r>
        <w:rPr>
          <w:rtl/>
        </w:rPr>
        <w:t>דחויין</w:t>
      </w:r>
      <w:proofErr w:type="spellEnd"/>
      <w:r>
        <w:rPr>
          <w:rtl/>
        </w:rPr>
        <w:t xml:space="preserve"> - לא הדרי </w:t>
      </w:r>
      <w:proofErr w:type="spellStart"/>
      <w:r>
        <w:rPr>
          <w:rtl/>
        </w:rPr>
        <w:t>מתחזיין</w:t>
      </w:r>
      <w:proofErr w:type="spellEnd"/>
      <w:r>
        <w:rPr>
          <w:rtl/>
        </w:rPr>
        <w:t>.</w:t>
      </w:r>
      <w:r>
        <w:rPr>
          <w:rFonts w:hint="cs"/>
          <w:rtl/>
        </w:rPr>
        <w:t>..</w:t>
      </w:r>
    </w:p>
    <w:p w:rsidR="006A0119" w:rsidRDefault="006A0119" w:rsidP="006A0119">
      <w:pPr>
        <w:pStyle w:val="a3"/>
        <w:rPr>
          <w:rtl/>
        </w:rPr>
      </w:pPr>
      <w:fldSimple w:instr=" SEQ תמורהכא-כד\* hebrew1 \* MERGEFORMAT ">
        <w:r>
          <w:rPr>
            <w:noProof/>
            <w:rtl/>
          </w:rPr>
          <w:t>ג</w:t>
        </w:r>
      </w:fldSimple>
      <w:r>
        <w:rPr>
          <w:rFonts w:hint="cs"/>
          <w:rtl/>
        </w:rPr>
        <w:t>.</w:t>
      </w:r>
      <w:r>
        <w:rPr>
          <w:rFonts w:hint="cs"/>
          <w:rtl/>
        </w:rPr>
        <w:tab/>
      </w:r>
      <w:r>
        <w:rPr>
          <w:rtl/>
        </w:rPr>
        <w:t xml:space="preserve">מתני'. </w:t>
      </w:r>
      <w:r>
        <w:rPr>
          <w:rFonts w:hint="cs"/>
          <w:rtl/>
        </w:rPr>
        <w:t xml:space="preserve">... </w:t>
      </w:r>
      <w:r>
        <w:rPr>
          <w:rtl/>
        </w:rPr>
        <w:t xml:space="preserve">המפריש חטאת ואבדה, והפריש אחרת תחתיה, לא הספיק להקריבה עד שנמצאת הראשונה היו שתיהן תמימות - אחת מהן </w:t>
      </w:r>
      <w:proofErr w:type="spellStart"/>
      <w:r>
        <w:rPr>
          <w:rtl/>
        </w:rPr>
        <w:t>תיקרב</w:t>
      </w:r>
      <w:proofErr w:type="spellEnd"/>
      <w:r>
        <w:rPr>
          <w:rtl/>
        </w:rPr>
        <w:t xml:space="preserve"> חטאת, </w:t>
      </w:r>
      <w:proofErr w:type="spellStart"/>
      <w:r>
        <w:rPr>
          <w:rtl/>
        </w:rPr>
        <w:t>והשניה</w:t>
      </w:r>
      <w:proofErr w:type="spellEnd"/>
      <w:r>
        <w:rPr>
          <w:rtl/>
        </w:rPr>
        <w:t xml:space="preserve"> תמות - דברי רבי. וחכמים אומרים: אין חטאת מתה - אלא שנמצאת מאחר שכיפרו הבעלים, ואין המעות הולכים לים המלח - אלא שנמצאו מאחר שכיפרו הבעלים. </w:t>
      </w:r>
      <w:r>
        <w:rPr>
          <w:rFonts w:hint="cs"/>
          <w:rtl/>
        </w:rPr>
        <w:t>...</w:t>
      </w:r>
    </w:p>
    <w:p w:rsidR="006A0119" w:rsidRDefault="006A0119" w:rsidP="006A0119">
      <w:pPr>
        <w:pStyle w:val="a3"/>
        <w:rPr>
          <w:rFonts w:hint="cs"/>
          <w:rtl/>
        </w:rPr>
      </w:pPr>
      <w:fldSimple w:instr=" SEQ תמורהכא-כד\* hebrew1 \* MERGEFORMAT ">
        <w:r>
          <w:rPr>
            <w:noProof/>
            <w:rtl/>
          </w:rPr>
          <w:t>ד</w:t>
        </w:r>
      </w:fldSimple>
      <w:r>
        <w:rPr>
          <w:rFonts w:hint="cs"/>
          <w:rtl/>
        </w:rPr>
        <w:t>.</w:t>
      </w:r>
      <w:r>
        <w:rPr>
          <w:rFonts w:hint="cs"/>
          <w:rtl/>
        </w:rPr>
        <w:tab/>
      </w:r>
      <w:r>
        <w:rPr>
          <w:rtl/>
        </w:rPr>
        <w:t xml:space="preserve">אמר רב </w:t>
      </w:r>
      <w:proofErr w:type="spellStart"/>
      <w:r>
        <w:rPr>
          <w:rtl/>
        </w:rPr>
        <w:t>הונא</w:t>
      </w:r>
      <w:proofErr w:type="spellEnd"/>
      <w:r>
        <w:rPr>
          <w:rtl/>
        </w:rPr>
        <w:t xml:space="preserve"> אמר רב: </w:t>
      </w:r>
      <w:proofErr w:type="spellStart"/>
      <w:r>
        <w:rPr>
          <w:rtl/>
        </w:rPr>
        <w:t>הכל</w:t>
      </w:r>
      <w:proofErr w:type="spellEnd"/>
      <w:r>
        <w:rPr>
          <w:rtl/>
        </w:rPr>
        <w:t xml:space="preserve"> מודים שאם משך אחת והקריבה - </w:t>
      </w:r>
      <w:proofErr w:type="spellStart"/>
      <w:r>
        <w:rPr>
          <w:rtl/>
        </w:rPr>
        <w:t>שהשניה</w:t>
      </w:r>
      <w:proofErr w:type="spellEnd"/>
      <w:r>
        <w:rPr>
          <w:rtl/>
        </w:rPr>
        <w:t xml:space="preserve"> מתה, לא נחלקו אלא בבא </w:t>
      </w:r>
      <w:proofErr w:type="spellStart"/>
      <w:r>
        <w:rPr>
          <w:rtl/>
        </w:rPr>
        <w:t>לימלך</w:t>
      </w:r>
      <w:proofErr w:type="spellEnd"/>
      <w:r>
        <w:rPr>
          <w:rtl/>
        </w:rPr>
        <w:t xml:space="preserve">, דרבי סבר לא עשו תקנה בקדשים, </w:t>
      </w:r>
      <w:proofErr w:type="spellStart"/>
      <w:r>
        <w:rPr>
          <w:rtl/>
        </w:rPr>
        <w:t>ואמרינן</w:t>
      </w:r>
      <w:proofErr w:type="spellEnd"/>
      <w:r>
        <w:rPr>
          <w:rtl/>
        </w:rPr>
        <w:t xml:space="preserve"> לך - התכפר </w:t>
      </w:r>
      <w:proofErr w:type="spellStart"/>
      <w:r>
        <w:rPr>
          <w:rtl/>
        </w:rPr>
        <w:t>בשאינה</w:t>
      </w:r>
      <w:proofErr w:type="spellEnd"/>
      <w:r>
        <w:rPr>
          <w:rtl/>
        </w:rPr>
        <w:t xml:space="preserve"> אבודה ואבודה מתה. ורבנן </w:t>
      </w:r>
      <w:proofErr w:type="spellStart"/>
      <w:r>
        <w:rPr>
          <w:rtl/>
        </w:rPr>
        <w:t>סברי</w:t>
      </w:r>
      <w:proofErr w:type="spellEnd"/>
      <w:r>
        <w:rPr>
          <w:rtl/>
        </w:rPr>
        <w:t xml:space="preserve"> עשו תקנה בקדשים, </w:t>
      </w:r>
      <w:proofErr w:type="spellStart"/>
      <w:r>
        <w:rPr>
          <w:rtl/>
        </w:rPr>
        <w:t>ואמרינן</w:t>
      </w:r>
      <w:proofErr w:type="spellEnd"/>
      <w:r>
        <w:rPr>
          <w:rtl/>
        </w:rPr>
        <w:t xml:space="preserve"> לך התכפר באבודה ושאינה אבודה תרעה. </w:t>
      </w:r>
      <w:r>
        <w:rPr>
          <w:rFonts w:hint="cs"/>
          <w:rtl/>
        </w:rPr>
        <w:t>...</w:t>
      </w:r>
      <w:r>
        <w:rPr>
          <w:rtl/>
        </w:rPr>
        <w:t xml:space="preserve"> ורבי אבא אמר רב: </w:t>
      </w:r>
      <w:proofErr w:type="spellStart"/>
      <w:r>
        <w:rPr>
          <w:rtl/>
        </w:rPr>
        <w:t>הכל</w:t>
      </w:r>
      <w:proofErr w:type="spellEnd"/>
      <w:r>
        <w:rPr>
          <w:rtl/>
        </w:rPr>
        <w:t xml:space="preserve"> מודים במתכפר </w:t>
      </w:r>
      <w:proofErr w:type="spellStart"/>
      <w:r>
        <w:rPr>
          <w:rtl/>
        </w:rPr>
        <w:t>בשאינה</w:t>
      </w:r>
      <w:proofErr w:type="spellEnd"/>
      <w:r>
        <w:rPr>
          <w:rtl/>
        </w:rPr>
        <w:t xml:space="preserve"> אבודה - שאבודה מתה, על מה נחלקו - </w:t>
      </w:r>
      <w:proofErr w:type="spellStart"/>
      <w:r>
        <w:rPr>
          <w:rtl/>
        </w:rPr>
        <w:t>דמתכפר</w:t>
      </w:r>
      <w:proofErr w:type="spellEnd"/>
      <w:r>
        <w:rPr>
          <w:rtl/>
        </w:rPr>
        <w:t xml:space="preserve"> באבודה, דרבי סבר מפריש לאיבוד - כאיבוד דמי, ורבנן </w:t>
      </w:r>
      <w:proofErr w:type="spellStart"/>
      <w:r>
        <w:rPr>
          <w:rtl/>
        </w:rPr>
        <w:t>סברי</w:t>
      </w:r>
      <w:proofErr w:type="spellEnd"/>
      <w:r>
        <w:rPr>
          <w:rtl/>
        </w:rPr>
        <w:t xml:space="preserve"> לאו כאיבוד דמי.</w:t>
      </w:r>
      <w:r>
        <w:rPr>
          <w:rFonts w:hint="cs"/>
          <w:rtl/>
        </w:rPr>
        <w:t>..</w:t>
      </w:r>
    </w:p>
    <w:p w:rsidR="006A0119" w:rsidRDefault="006A0119" w:rsidP="006A0119">
      <w:pPr>
        <w:pStyle w:val="a3"/>
        <w:rPr>
          <w:rFonts w:hint="cs"/>
          <w:rtl/>
        </w:rPr>
      </w:pPr>
      <w:fldSimple w:instr=" SEQ תמורהכא-כד\* hebrew1 \* MERGEFORMAT ">
        <w:r>
          <w:rPr>
            <w:noProof/>
            <w:rtl/>
          </w:rPr>
          <w:t>ה</w:t>
        </w:r>
      </w:fldSimple>
      <w:r>
        <w:rPr>
          <w:rFonts w:hint="cs"/>
          <w:rtl/>
        </w:rPr>
        <w:t>.</w:t>
      </w:r>
      <w:r>
        <w:rPr>
          <w:rFonts w:hint="cs"/>
          <w:rtl/>
        </w:rPr>
        <w:tab/>
      </w:r>
      <w:proofErr w:type="spellStart"/>
      <w:r>
        <w:rPr>
          <w:rtl/>
        </w:rPr>
        <w:t>א"ר</w:t>
      </w:r>
      <w:proofErr w:type="spellEnd"/>
      <w:r>
        <w:rPr>
          <w:rtl/>
        </w:rPr>
        <w:t xml:space="preserve"> אמי: המפריש שני ציבורי מעות לאחריות - מתכפר באחד מהן, ושני - יפלו לנדבה, אליבא </w:t>
      </w:r>
      <w:proofErr w:type="spellStart"/>
      <w:r>
        <w:rPr>
          <w:rtl/>
        </w:rPr>
        <w:t>דמאן</w:t>
      </w:r>
      <w:proofErr w:type="spellEnd"/>
      <w:r>
        <w:rPr>
          <w:rtl/>
        </w:rPr>
        <w:t xml:space="preserve">? </w:t>
      </w:r>
      <w:proofErr w:type="spellStart"/>
      <w:r>
        <w:rPr>
          <w:rtl/>
        </w:rPr>
        <w:t>אילימא</w:t>
      </w:r>
      <w:proofErr w:type="spellEnd"/>
      <w:r>
        <w:rPr>
          <w:rtl/>
        </w:rPr>
        <w:t xml:space="preserve"> אליבא דרבי - פשיטא </w:t>
      </w:r>
      <w:proofErr w:type="spellStart"/>
      <w:r>
        <w:rPr>
          <w:rtl/>
        </w:rPr>
        <w:t>דיפלו</w:t>
      </w:r>
      <w:proofErr w:type="spellEnd"/>
      <w:r>
        <w:rPr>
          <w:rtl/>
        </w:rPr>
        <w:t xml:space="preserve"> לנדבה, ע"כ לא </w:t>
      </w:r>
      <w:proofErr w:type="spellStart"/>
      <w:r>
        <w:rPr>
          <w:rtl/>
        </w:rPr>
        <w:t>קאמר</w:t>
      </w:r>
      <w:proofErr w:type="spellEnd"/>
      <w:r>
        <w:rPr>
          <w:rtl/>
        </w:rPr>
        <w:t xml:space="preserve"> רבי אלא במפריש לאבוד, אבל לאחריות - מודה ואלא אליבא דרבנן, פשיטא ליה </w:t>
      </w:r>
      <w:proofErr w:type="spellStart"/>
      <w:r>
        <w:rPr>
          <w:rtl/>
        </w:rPr>
        <w:t>דיפלו</w:t>
      </w:r>
      <w:proofErr w:type="spellEnd"/>
      <w:r>
        <w:rPr>
          <w:rtl/>
        </w:rPr>
        <w:t xml:space="preserve"> לנדבה; ק"ו, השתא מפריש לאיבוד אמור רבנן לאו כאיבוד דמי, לאחריות </w:t>
      </w:r>
      <w:proofErr w:type="spellStart"/>
      <w:r>
        <w:rPr>
          <w:rtl/>
        </w:rPr>
        <w:t>מיבעיא</w:t>
      </w:r>
      <w:proofErr w:type="spellEnd"/>
      <w:r>
        <w:rPr>
          <w:rtl/>
        </w:rPr>
        <w:t xml:space="preserve">? ואלא אליבא </w:t>
      </w:r>
      <w:proofErr w:type="spellStart"/>
      <w:r>
        <w:rPr>
          <w:rtl/>
        </w:rPr>
        <w:t>דר"ש</w:t>
      </w:r>
      <w:proofErr w:type="spellEnd"/>
      <w:r>
        <w:rPr>
          <w:rtl/>
        </w:rPr>
        <w:t xml:space="preserve"> </w:t>
      </w:r>
      <w:proofErr w:type="spellStart"/>
      <w:r>
        <w:rPr>
          <w:rtl/>
        </w:rPr>
        <w:t>איצטריכא</w:t>
      </w:r>
      <w:proofErr w:type="spellEnd"/>
      <w:r>
        <w:rPr>
          <w:rtl/>
        </w:rPr>
        <w:t xml:space="preserve"> ליה, מהו </w:t>
      </w:r>
      <w:proofErr w:type="spellStart"/>
      <w:r>
        <w:rPr>
          <w:rtl/>
        </w:rPr>
        <w:t>דתימא</w:t>
      </w:r>
      <w:proofErr w:type="spellEnd"/>
      <w:r>
        <w:rPr>
          <w:rtl/>
        </w:rPr>
        <w:t xml:space="preserve"> לית ליה </w:t>
      </w:r>
      <w:proofErr w:type="spellStart"/>
      <w:r>
        <w:rPr>
          <w:rtl/>
        </w:rPr>
        <w:t>לר"ש</w:t>
      </w:r>
      <w:proofErr w:type="spellEnd"/>
      <w:r>
        <w:rPr>
          <w:rtl/>
        </w:rPr>
        <w:t xml:space="preserve"> נדבה - </w:t>
      </w:r>
      <w:proofErr w:type="spellStart"/>
      <w:r>
        <w:rPr>
          <w:rtl/>
        </w:rPr>
        <w:t>קמ"ל</w:t>
      </w:r>
      <w:proofErr w:type="spellEnd"/>
      <w:r>
        <w:rPr>
          <w:rtl/>
        </w:rPr>
        <w:t xml:space="preserve"> דאית ליה נדבה.</w:t>
      </w:r>
      <w:r>
        <w:rPr>
          <w:rFonts w:hint="cs"/>
          <w:rtl/>
        </w:rPr>
        <w:t>..</w:t>
      </w:r>
    </w:p>
    <w:p w:rsidR="006A0119" w:rsidRDefault="006A0119" w:rsidP="006A0119">
      <w:pPr>
        <w:pStyle w:val="a3"/>
        <w:rPr>
          <w:rFonts w:hint="cs"/>
          <w:rtl/>
        </w:rPr>
      </w:pPr>
      <w:fldSimple w:instr=" SEQ תמורהכא-כד\* hebrew1 \* MERGEFORMAT ">
        <w:r>
          <w:rPr>
            <w:noProof/>
            <w:rtl/>
          </w:rPr>
          <w:t>ו</w:t>
        </w:r>
      </w:fldSimple>
      <w:r>
        <w:rPr>
          <w:rFonts w:hint="cs"/>
          <w:rtl/>
        </w:rPr>
        <w:t>.</w:t>
      </w:r>
      <w:r>
        <w:rPr>
          <w:rFonts w:hint="cs"/>
          <w:rtl/>
        </w:rPr>
        <w:tab/>
      </w:r>
      <w:r>
        <w:rPr>
          <w:rtl/>
        </w:rPr>
        <w:t xml:space="preserve">אמר ר' </w:t>
      </w:r>
      <w:proofErr w:type="spellStart"/>
      <w:r>
        <w:rPr>
          <w:rtl/>
        </w:rPr>
        <w:t>הושעיא</w:t>
      </w:r>
      <w:proofErr w:type="spellEnd"/>
      <w:r>
        <w:rPr>
          <w:rtl/>
        </w:rPr>
        <w:t xml:space="preserve">: - המפריש שתי חטאות לאחריות - מתכפר באחת מהן, וחבירתה רועה. אליבא </w:t>
      </w:r>
      <w:proofErr w:type="spellStart"/>
      <w:r>
        <w:rPr>
          <w:rtl/>
        </w:rPr>
        <w:t>דמאן</w:t>
      </w:r>
      <w:proofErr w:type="spellEnd"/>
      <w:r>
        <w:rPr>
          <w:rtl/>
        </w:rPr>
        <w:t xml:space="preserve">? </w:t>
      </w:r>
      <w:proofErr w:type="spellStart"/>
      <w:r>
        <w:rPr>
          <w:rtl/>
        </w:rPr>
        <w:t>אילימא</w:t>
      </w:r>
      <w:proofErr w:type="spellEnd"/>
      <w:r>
        <w:rPr>
          <w:rtl/>
        </w:rPr>
        <w:t xml:space="preserve"> אליבא דרבנן - השתא המפריש לאיבוד אמרי רבנן לאו כאיבוד דמי, לאחריות </w:t>
      </w:r>
      <w:proofErr w:type="spellStart"/>
      <w:r>
        <w:rPr>
          <w:rtl/>
        </w:rPr>
        <w:t>מיבעיא</w:t>
      </w:r>
      <w:proofErr w:type="spellEnd"/>
      <w:r>
        <w:rPr>
          <w:rtl/>
        </w:rPr>
        <w:t xml:space="preserve">! אלא אליבא </w:t>
      </w:r>
      <w:proofErr w:type="spellStart"/>
      <w:r>
        <w:rPr>
          <w:rtl/>
        </w:rPr>
        <w:t>דר"ש</w:t>
      </w:r>
      <w:proofErr w:type="spellEnd"/>
      <w:r>
        <w:rPr>
          <w:rtl/>
        </w:rPr>
        <w:t xml:space="preserve"> - </w:t>
      </w:r>
      <w:proofErr w:type="spellStart"/>
      <w:r>
        <w:rPr>
          <w:rtl/>
        </w:rPr>
        <w:t>האמר</w:t>
      </w:r>
      <w:proofErr w:type="spellEnd"/>
      <w:r>
        <w:rPr>
          <w:rtl/>
        </w:rPr>
        <w:t xml:space="preserve"> </w:t>
      </w:r>
      <w:proofErr w:type="spellStart"/>
      <w:r>
        <w:rPr>
          <w:rtl/>
        </w:rPr>
        <w:t>ר"ש</w:t>
      </w:r>
      <w:proofErr w:type="spellEnd"/>
      <w:r>
        <w:rPr>
          <w:rtl/>
        </w:rPr>
        <w:t xml:space="preserve"> חמש חטאות מתות! אלא אליבא דרבי, כי אמר רבי - באיבוד, אבל אחריות - לא.</w:t>
      </w:r>
    </w:p>
    <w:p w:rsidR="006A0119" w:rsidRDefault="006A0119" w:rsidP="006A0119">
      <w:pPr>
        <w:rPr>
          <w:rFonts w:hint="cs"/>
          <w:rtl/>
        </w:rPr>
      </w:pPr>
    </w:p>
    <w:p w:rsidR="006A0119" w:rsidRDefault="006A0119" w:rsidP="006A0119">
      <w:pPr>
        <w:pStyle w:val="a7"/>
        <w:ind w:firstLine="396"/>
        <w:rPr>
          <w:rFonts w:hint="cs"/>
          <w:rtl/>
        </w:rPr>
      </w:pPr>
      <w:r>
        <w:rPr>
          <w:rFonts w:hint="cs"/>
          <w:rtl/>
        </w:rPr>
        <w:t>חטאת שעברה שנתה [ע"פ רש"י]</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0"/>
        <w:gridCol w:w="1296"/>
        <w:gridCol w:w="1290"/>
        <w:gridCol w:w="673"/>
      </w:tblGrid>
      <w:tr w:rsidR="006A0119" w:rsidTr="00C41E5A">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4"/>
              <w:rPr>
                <w:rFonts w:hint="cs"/>
                <w:rtl/>
              </w:rPr>
            </w:pP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4"/>
              <w:rPr>
                <w:rFonts w:hint="cs"/>
                <w:rtl/>
              </w:rPr>
            </w:pPr>
            <w:r>
              <w:rPr>
                <w:rFonts w:hint="cs"/>
                <w:rtl/>
              </w:rPr>
              <w:t>רבה בדעת ר"ל</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4"/>
              <w:rPr>
                <w:rFonts w:hint="cs"/>
                <w:rtl/>
              </w:rPr>
            </w:pPr>
            <w:r>
              <w:rPr>
                <w:rFonts w:hint="cs"/>
                <w:rtl/>
              </w:rPr>
              <w:t>רבא בדעת ר"ל</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4"/>
              <w:rPr>
                <w:rFonts w:hint="cs"/>
                <w:rtl/>
              </w:rPr>
            </w:pPr>
            <w:r>
              <w:rPr>
                <w:rFonts w:hint="cs"/>
                <w:rtl/>
              </w:rPr>
              <w:t xml:space="preserve">רבא </w:t>
            </w:r>
          </w:p>
        </w:tc>
      </w:tr>
      <w:tr w:rsidR="006A0119" w:rsidTr="00C41E5A">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4"/>
              <w:rPr>
                <w:rFonts w:hint="cs"/>
                <w:rtl/>
              </w:rPr>
            </w:pPr>
            <w:r>
              <w:rPr>
                <w:rFonts w:hint="cs"/>
                <w:rtl/>
              </w:rPr>
              <w:t>עברה שנתה ונתכפרו הבעלים</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רועה</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רועה</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מתה</w:t>
            </w:r>
          </w:p>
        </w:tc>
      </w:tr>
      <w:tr w:rsidR="006A0119" w:rsidTr="00C41E5A">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4"/>
              <w:rPr>
                <w:rFonts w:hint="cs"/>
                <w:rtl/>
              </w:rPr>
            </w:pPr>
            <w:r>
              <w:rPr>
                <w:rFonts w:hint="cs"/>
                <w:rtl/>
              </w:rPr>
              <w:t>עברה שנתה ואבדה ונתכפרו הבעלים</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רועה</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מתה</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מתה</w:t>
            </w:r>
          </w:p>
        </w:tc>
      </w:tr>
    </w:tbl>
    <w:p w:rsidR="006A0119" w:rsidRDefault="006A0119" w:rsidP="006A0119">
      <w:pPr>
        <w:rPr>
          <w:rFonts w:hint="cs"/>
          <w:rtl/>
        </w:rPr>
      </w:pPr>
    </w:p>
    <w:p w:rsidR="006A0119" w:rsidRDefault="006A0119" w:rsidP="006A0119">
      <w:pPr>
        <w:rPr>
          <w:rFonts w:hint="cs"/>
          <w:rtl/>
        </w:rPr>
      </w:pPr>
    </w:p>
    <w:p w:rsidR="006A0119" w:rsidRDefault="006A0119" w:rsidP="006A0119">
      <w:pPr>
        <w:pStyle w:val="a7"/>
        <w:ind w:firstLine="396"/>
        <w:rPr>
          <w:rFonts w:hint="cs"/>
          <w:rtl/>
        </w:rPr>
      </w:pPr>
      <w:r>
        <w:rPr>
          <w:rFonts w:hint="cs"/>
          <w:rtl/>
        </w:rPr>
        <w:t>חטאת שנתכפרו הבעלים [ע"פ רש"י]</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3"/>
        <w:gridCol w:w="1750"/>
        <w:gridCol w:w="1476"/>
        <w:gridCol w:w="689"/>
        <w:gridCol w:w="689"/>
      </w:tblGrid>
      <w:tr w:rsidR="006A0119" w:rsidTr="00C41E5A">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4"/>
              <w:rPr>
                <w:rFonts w:hint="cs"/>
                <w:rtl/>
              </w:rPr>
            </w:pP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8"/>
              <w:rPr>
                <w:rFonts w:hint="cs"/>
                <w:rtl/>
              </w:rPr>
            </w:pPr>
            <w:r>
              <w:rPr>
                <w:rFonts w:hint="cs"/>
                <w:rtl/>
              </w:rPr>
              <w:t>רבנן אליבא דרבי אבא</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8"/>
              <w:rPr>
                <w:rFonts w:hint="cs"/>
                <w:rtl/>
              </w:rPr>
            </w:pPr>
            <w:r>
              <w:rPr>
                <w:rFonts w:hint="cs"/>
                <w:rtl/>
              </w:rPr>
              <w:t xml:space="preserve">רבנן אליבא </w:t>
            </w:r>
            <w:proofErr w:type="spellStart"/>
            <w:r>
              <w:rPr>
                <w:rFonts w:hint="cs"/>
                <w:rtl/>
              </w:rPr>
              <w:t>דר"ה</w:t>
            </w:r>
            <w:proofErr w:type="spellEnd"/>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8"/>
              <w:rPr>
                <w:rFonts w:hint="cs"/>
                <w:rtl/>
              </w:rPr>
            </w:pPr>
            <w:r>
              <w:rPr>
                <w:rFonts w:hint="cs"/>
                <w:rtl/>
              </w:rPr>
              <w:t>רבי</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5"/>
              <w:rPr>
                <w:rFonts w:hint="cs"/>
                <w:rtl/>
              </w:rPr>
            </w:pPr>
            <w:proofErr w:type="spellStart"/>
            <w:r>
              <w:rPr>
                <w:rFonts w:hint="cs"/>
                <w:rtl/>
              </w:rPr>
              <w:t>ר"ש</w:t>
            </w:r>
            <w:proofErr w:type="spellEnd"/>
          </w:p>
        </w:tc>
      </w:tr>
      <w:tr w:rsidR="006A0119" w:rsidTr="00C41E5A">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4"/>
              <w:rPr>
                <w:rFonts w:hint="cs"/>
                <w:rtl/>
              </w:rPr>
            </w:pPr>
            <w:r>
              <w:rPr>
                <w:rFonts w:hint="cs"/>
                <w:rtl/>
              </w:rPr>
              <w:t>הפריש מעות לאחריות</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נדבה</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נדבה</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נדבה</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נדבה</w:t>
            </w:r>
          </w:p>
        </w:tc>
      </w:tr>
      <w:tr w:rsidR="006A0119" w:rsidTr="00C41E5A">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4"/>
              <w:rPr>
                <w:rFonts w:hint="cs"/>
                <w:rtl/>
              </w:rPr>
            </w:pPr>
            <w:r>
              <w:rPr>
                <w:rFonts w:hint="cs"/>
                <w:rtl/>
              </w:rPr>
              <w:t>הפריש בהמה לאחריות</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Pr>
            </w:pPr>
            <w:r>
              <w:rPr>
                <w:rFonts w:hint="cs"/>
                <w:rtl/>
              </w:rPr>
              <w:t>רועה</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רועה</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רועה</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מתה</w:t>
            </w:r>
          </w:p>
        </w:tc>
      </w:tr>
      <w:tr w:rsidR="006A0119" w:rsidTr="00C41E5A">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4"/>
              <w:rPr>
                <w:rFonts w:hint="cs"/>
                <w:rtl/>
              </w:rPr>
            </w:pPr>
            <w:r>
              <w:rPr>
                <w:rFonts w:hint="cs"/>
                <w:rtl/>
              </w:rPr>
              <w:t>אבודה בשעת הפרשה</w:t>
            </w:r>
          </w:p>
          <w:p w:rsidR="006A0119" w:rsidRDefault="006A0119" w:rsidP="00C41E5A">
            <w:pPr>
              <w:pStyle w:val="a4"/>
              <w:rPr>
                <w:rFonts w:hint="cs"/>
                <w:rtl/>
              </w:rPr>
            </w:pPr>
            <w:r>
              <w:rPr>
                <w:rFonts w:hint="cs"/>
                <w:rtl/>
              </w:rPr>
              <w:t>ונתכפרו הבעלים באבודה</w:t>
            </w:r>
          </w:p>
          <w:p w:rsidR="006A0119" w:rsidRDefault="006A0119" w:rsidP="00C41E5A">
            <w:pPr>
              <w:pStyle w:val="a4"/>
              <w:rPr>
                <w:rFonts w:hint="cs"/>
                <w:rtl/>
              </w:rPr>
            </w:pPr>
            <w:r>
              <w:rPr>
                <w:rFonts w:hint="cs"/>
                <w:rtl/>
              </w:rPr>
              <w:t>לאחר שנמלכו בב"ד</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רועה</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רועה</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מתה</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מתה</w:t>
            </w:r>
          </w:p>
        </w:tc>
      </w:tr>
      <w:tr w:rsidR="006A0119" w:rsidTr="00C41E5A">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4"/>
              <w:rPr>
                <w:rFonts w:hint="cs"/>
                <w:rtl/>
              </w:rPr>
            </w:pPr>
            <w:r>
              <w:rPr>
                <w:rFonts w:hint="cs"/>
                <w:rtl/>
              </w:rPr>
              <w:t>אבודה בשעת הפרשה</w:t>
            </w:r>
          </w:p>
          <w:p w:rsidR="006A0119" w:rsidRDefault="006A0119" w:rsidP="00C41E5A">
            <w:pPr>
              <w:pStyle w:val="a4"/>
              <w:rPr>
                <w:rFonts w:hint="cs"/>
                <w:rtl/>
              </w:rPr>
            </w:pPr>
            <w:r>
              <w:rPr>
                <w:rFonts w:hint="cs"/>
                <w:rtl/>
              </w:rPr>
              <w:t>ונתכפרו הבעלים באבודה</w:t>
            </w:r>
          </w:p>
          <w:p w:rsidR="006A0119" w:rsidRDefault="006A0119" w:rsidP="00C41E5A">
            <w:pPr>
              <w:pStyle w:val="a4"/>
              <w:rPr>
                <w:rFonts w:hint="cs"/>
                <w:rtl/>
              </w:rPr>
            </w:pPr>
            <w:r>
              <w:rPr>
                <w:rFonts w:hint="cs"/>
                <w:rtl/>
              </w:rPr>
              <w:t>ולא נמלכו בב"ד</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רועה</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מתה</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מתה</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מתה</w:t>
            </w:r>
          </w:p>
        </w:tc>
      </w:tr>
      <w:tr w:rsidR="006A0119" w:rsidTr="00C41E5A">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4"/>
              <w:rPr>
                <w:rFonts w:hint="cs"/>
                <w:rtl/>
              </w:rPr>
            </w:pPr>
            <w:r>
              <w:rPr>
                <w:rFonts w:hint="cs"/>
                <w:rtl/>
              </w:rPr>
              <w:t>אבודה בשעת הפרשה</w:t>
            </w:r>
          </w:p>
          <w:p w:rsidR="006A0119" w:rsidRDefault="006A0119" w:rsidP="00C41E5A">
            <w:pPr>
              <w:pStyle w:val="a4"/>
              <w:rPr>
                <w:rFonts w:hint="cs"/>
                <w:rtl/>
              </w:rPr>
            </w:pPr>
            <w:r>
              <w:rPr>
                <w:rFonts w:hint="cs"/>
                <w:rtl/>
              </w:rPr>
              <w:t xml:space="preserve">ונתכפרו הבעלים </w:t>
            </w:r>
          </w:p>
          <w:p w:rsidR="006A0119" w:rsidRDefault="006A0119" w:rsidP="00C41E5A">
            <w:pPr>
              <w:pStyle w:val="a4"/>
              <w:rPr>
                <w:rFonts w:hint="cs"/>
                <w:rtl/>
              </w:rPr>
            </w:pPr>
            <w:proofErr w:type="spellStart"/>
            <w:r>
              <w:rPr>
                <w:rFonts w:hint="cs"/>
                <w:rtl/>
              </w:rPr>
              <w:t>בשאינה</w:t>
            </w:r>
            <w:proofErr w:type="spellEnd"/>
            <w:r>
              <w:rPr>
                <w:rFonts w:hint="cs"/>
                <w:rtl/>
              </w:rPr>
              <w:t xml:space="preserve"> אבודה</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מתה</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מתה</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מתה</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מתה</w:t>
            </w:r>
          </w:p>
        </w:tc>
      </w:tr>
      <w:tr w:rsidR="006A0119" w:rsidTr="00C41E5A">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4"/>
              <w:rPr>
                <w:rFonts w:hint="cs"/>
                <w:rtl/>
              </w:rPr>
            </w:pPr>
            <w:r>
              <w:rPr>
                <w:rFonts w:hint="cs"/>
                <w:rtl/>
              </w:rPr>
              <w:t>אבודה בשעת הפרשה</w:t>
            </w:r>
          </w:p>
          <w:p w:rsidR="006A0119" w:rsidRDefault="006A0119" w:rsidP="00C41E5A">
            <w:pPr>
              <w:pStyle w:val="a4"/>
              <w:rPr>
                <w:rFonts w:hint="cs"/>
                <w:rtl/>
              </w:rPr>
            </w:pPr>
            <w:r>
              <w:rPr>
                <w:rFonts w:hint="cs"/>
                <w:rtl/>
              </w:rPr>
              <w:t>ומצאה בעלת מום</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מתה</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מתה</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מתה</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מתה</w:t>
            </w:r>
          </w:p>
        </w:tc>
      </w:tr>
      <w:tr w:rsidR="006A0119" w:rsidTr="00C41E5A">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4"/>
              <w:rPr>
                <w:rFonts w:hint="cs"/>
                <w:rtl/>
              </w:rPr>
            </w:pPr>
            <w:r>
              <w:rPr>
                <w:rFonts w:hint="cs"/>
                <w:rtl/>
              </w:rPr>
              <w:t>אבודה בשעת כפרה</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מתה</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מתה</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מתה</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מתה</w:t>
            </w:r>
          </w:p>
        </w:tc>
      </w:tr>
    </w:tbl>
    <w:p w:rsidR="006A0119" w:rsidRDefault="006A0119" w:rsidP="006A0119">
      <w:pPr>
        <w:rPr>
          <w:rFonts w:hint="cs"/>
          <w:rtl/>
        </w:rPr>
      </w:pPr>
    </w:p>
    <w:p w:rsidR="006A0119" w:rsidRDefault="006A0119" w:rsidP="006A0119">
      <w:pPr>
        <w:rPr>
          <w:rFonts w:hint="cs"/>
          <w:rtl/>
        </w:rPr>
      </w:pPr>
      <w:r>
        <w:rPr>
          <w:rFonts w:hint="cs"/>
          <w:rtl/>
        </w:rPr>
        <w:t xml:space="preserve">מהשוואת שתי הטבלאות עולה כי הטבלה העליונה לא נוגעת לשיטת רבי שמעון בטבלה התחתונה, שהרי לשיטתו כיוון שנתכפרו הבעלים תמות אף אם לא עברה שנתה. ומכאן, שלפי רבי שמעון הדין של עברה שנתה עוסק אף בלא נתכפרו הבעלים כלל, דהיינו שלשיטתו שני הפסולים הללו עומדים כל אחד עצמו: אם נתכפרו הבעלים מתה, ואם עברה שנתה מתה ללא צורך בתנאי נוסף. </w:t>
      </w:r>
    </w:p>
    <w:p w:rsidR="006A0119" w:rsidRDefault="006A0119" w:rsidP="006A0119">
      <w:pPr>
        <w:rPr>
          <w:rFonts w:hint="cs"/>
          <w:rtl/>
        </w:rPr>
      </w:pPr>
      <w:r>
        <w:rPr>
          <w:rFonts w:hint="cs"/>
          <w:rtl/>
        </w:rPr>
        <w:t xml:space="preserve">כמו כן השורה התחתונה בטבלה העליונה לא נוגעת לשיטת רבי בטבלה התחתונה, שלשיטתו אם אבדה ונתכפרו הבעלים תמות אף אם לא עברה שנתה, ולכן צ"ל שלשיטתו הפסול של עברה שנתה קיים אפילו אם לא אבדה (אמנם צריך את התנאי של נתכפרו הבעלים, כמשמעות משנתנו). </w:t>
      </w:r>
    </w:p>
    <w:p w:rsidR="006A0119" w:rsidRDefault="006A0119" w:rsidP="006A0119">
      <w:pPr>
        <w:rPr>
          <w:rFonts w:hint="cs"/>
          <w:rtl/>
        </w:rPr>
      </w:pPr>
      <w:r>
        <w:rPr>
          <w:rFonts w:hint="cs"/>
          <w:rtl/>
        </w:rPr>
        <w:lastRenderedPageBreak/>
        <w:t>לפי כל זה יש לעדכן את הטבלה העליונה כך:</w:t>
      </w:r>
    </w:p>
    <w:p w:rsidR="006A0119" w:rsidRDefault="006A0119" w:rsidP="006A0119">
      <w:pPr>
        <w:pStyle w:val="a7"/>
        <w:ind w:firstLine="396"/>
        <w:rPr>
          <w:rFonts w:hint="cs"/>
          <w:rtl/>
        </w:rPr>
      </w:pPr>
      <w:r>
        <w:rPr>
          <w:rFonts w:hint="cs"/>
          <w:rtl/>
        </w:rPr>
        <w:t>חטאת שעברה שנתה (=ע"ש)  [ע"פ רש"י]</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7"/>
        <w:gridCol w:w="1296"/>
        <w:gridCol w:w="1290"/>
        <w:gridCol w:w="684"/>
        <w:gridCol w:w="684"/>
        <w:gridCol w:w="673"/>
      </w:tblGrid>
      <w:tr w:rsidR="006A0119" w:rsidTr="00C41E5A">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4"/>
              <w:rPr>
                <w:rFonts w:hint="cs"/>
                <w:rtl/>
              </w:rPr>
            </w:pP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4"/>
              <w:rPr>
                <w:rFonts w:hint="cs"/>
                <w:rtl/>
              </w:rPr>
            </w:pPr>
            <w:r>
              <w:rPr>
                <w:rFonts w:hint="cs"/>
                <w:rtl/>
              </w:rPr>
              <w:t>רבה בדעת ר"ל</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4"/>
              <w:rPr>
                <w:rFonts w:hint="cs"/>
                <w:rtl/>
              </w:rPr>
            </w:pPr>
            <w:r>
              <w:rPr>
                <w:rFonts w:hint="cs"/>
                <w:rtl/>
              </w:rPr>
              <w:t>רבא בדעת ר"ל</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4"/>
              <w:rPr>
                <w:rFonts w:hint="cs"/>
                <w:rtl/>
              </w:rPr>
            </w:pPr>
            <w:r>
              <w:rPr>
                <w:rFonts w:hint="cs"/>
                <w:rtl/>
              </w:rPr>
              <w:t xml:space="preserve">רבא </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4"/>
              <w:rPr>
                <w:rFonts w:hint="cs"/>
                <w:rtl/>
              </w:rPr>
            </w:pPr>
            <w:r>
              <w:rPr>
                <w:rFonts w:hint="cs"/>
                <w:rtl/>
              </w:rPr>
              <w:t>רבי</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4"/>
              <w:rPr>
                <w:rFonts w:hint="cs"/>
                <w:rtl/>
              </w:rPr>
            </w:pPr>
            <w:proofErr w:type="spellStart"/>
            <w:r>
              <w:rPr>
                <w:rFonts w:hint="cs"/>
                <w:rtl/>
              </w:rPr>
              <w:t>ר"ש</w:t>
            </w:r>
            <w:proofErr w:type="spellEnd"/>
          </w:p>
        </w:tc>
      </w:tr>
      <w:tr w:rsidR="006A0119" w:rsidTr="00C41E5A">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4"/>
              <w:rPr>
                <w:rFonts w:hint="cs"/>
                <w:rtl/>
              </w:rPr>
            </w:pPr>
            <w:r>
              <w:rPr>
                <w:rFonts w:hint="cs"/>
                <w:rtl/>
              </w:rPr>
              <w:t>רק עברה שנתה</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רועה</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רועה</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רועה</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רועה</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מתה</w:t>
            </w:r>
          </w:p>
        </w:tc>
      </w:tr>
      <w:tr w:rsidR="006A0119" w:rsidTr="00C41E5A">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4"/>
              <w:rPr>
                <w:rFonts w:hint="cs"/>
                <w:rtl/>
              </w:rPr>
            </w:pPr>
            <w:r>
              <w:rPr>
                <w:rFonts w:hint="cs"/>
                <w:rtl/>
              </w:rPr>
              <w:t>ע"ש ונתכפרו הבעלים</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רועה</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רועה</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מתה</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מתה</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מתה</w:t>
            </w:r>
          </w:p>
        </w:tc>
      </w:tr>
      <w:tr w:rsidR="006A0119" w:rsidTr="00C41E5A">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4"/>
              <w:rPr>
                <w:rFonts w:hint="cs"/>
                <w:rtl/>
              </w:rPr>
            </w:pPr>
            <w:r>
              <w:rPr>
                <w:rFonts w:hint="cs"/>
                <w:rtl/>
              </w:rPr>
              <w:t>ע"ש ואבדה ונתכפרו הבעלים</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רועה</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מתה</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מתה</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מתה</w:t>
            </w:r>
          </w:p>
        </w:tc>
        <w:tc>
          <w:tcPr>
            <w:tcW w:w="0" w:type="auto"/>
            <w:tcBorders>
              <w:top w:val="single" w:sz="4" w:space="0" w:color="auto"/>
              <w:left w:val="single" w:sz="4" w:space="0" w:color="auto"/>
              <w:bottom w:val="single" w:sz="4" w:space="0" w:color="auto"/>
              <w:right w:val="single" w:sz="4" w:space="0" w:color="auto"/>
            </w:tcBorders>
          </w:tcPr>
          <w:p w:rsidR="006A0119" w:rsidRDefault="006A0119" w:rsidP="00C41E5A">
            <w:pPr>
              <w:pStyle w:val="a6"/>
              <w:rPr>
                <w:rFonts w:hint="cs"/>
                <w:rtl/>
              </w:rPr>
            </w:pPr>
            <w:r>
              <w:rPr>
                <w:rFonts w:hint="cs"/>
                <w:rtl/>
              </w:rPr>
              <w:t>מתה</w:t>
            </w:r>
          </w:p>
        </w:tc>
      </w:tr>
    </w:tbl>
    <w:p w:rsidR="006A0119" w:rsidRDefault="006A0119" w:rsidP="006A0119">
      <w:pPr>
        <w:rPr>
          <w:rFonts w:hint="cs"/>
          <w:rtl/>
        </w:rPr>
      </w:pPr>
    </w:p>
    <w:p w:rsidR="006A0119" w:rsidRDefault="006A0119" w:rsidP="006A0119">
      <w:pPr>
        <w:rPr>
          <w:rFonts w:hint="cs"/>
          <w:rtl/>
        </w:rPr>
      </w:pPr>
      <w:r>
        <w:rPr>
          <w:rFonts w:hint="cs"/>
          <w:rtl/>
        </w:rPr>
        <w:t xml:space="preserve">לאור השוואת הטור של רבא לטור של רבי ניתן לומר </w:t>
      </w:r>
      <w:proofErr w:type="spellStart"/>
      <w:r>
        <w:rPr>
          <w:rFonts w:hint="cs"/>
          <w:rtl/>
        </w:rPr>
        <w:t>שרבא</w:t>
      </w:r>
      <w:proofErr w:type="spellEnd"/>
      <w:r>
        <w:rPr>
          <w:rFonts w:hint="cs"/>
          <w:rtl/>
        </w:rPr>
        <w:t xml:space="preserve"> סובר כרבי, ולכן פסק אחרת מריש לקיש. </w:t>
      </w:r>
    </w:p>
    <w:p w:rsidR="006A0119" w:rsidRDefault="006A0119" w:rsidP="006A0119">
      <w:pPr>
        <w:rPr>
          <w:rFonts w:hint="cs"/>
          <w:rtl/>
        </w:rPr>
      </w:pPr>
    </w:p>
    <w:p w:rsidR="006A0119" w:rsidRDefault="006A0119" w:rsidP="006A0119">
      <w:pPr>
        <w:rPr>
          <w:rFonts w:hint="cs"/>
          <w:rtl/>
        </w:rPr>
      </w:pPr>
    </w:p>
    <w:p w:rsidR="006A0119" w:rsidRDefault="006A0119" w:rsidP="006A0119">
      <w:pPr>
        <w:rPr>
          <w:rFonts w:hint="cs"/>
          <w:rtl/>
        </w:rPr>
      </w:pPr>
    </w:p>
    <w:p w:rsidR="006A0119" w:rsidRDefault="006A0119" w:rsidP="006A0119">
      <w:pPr>
        <w:rPr>
          <w:rFonts w:hint="cs"/>
          <w:rtl/>
        </w:rPr>
      </w:pPr>
    </w:p>
    <w:p w:rsidR="00807099" w:rsidRDefault="00807099"/>
    <w:sectPr w:rsidR="00807099" w:rsidSect="006A0119">
      <w:pgSz w:w="11906" w:h="16838"/>
      <w:pgMar w:top="2268" w:right="1985" w:bottom="2268" w:left="1985"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Guttman-Toledo">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0119"/>
    <w:rsid w:val="000C496A"/>
    <w:rsid w:val="00146FB9"/>
    <w:rsid w:val="001C583B"/>
    <w:rsid w:val="00287648"/>
    <w:rsid w:val="00351D5C"/>
    <w:rsid w:val="004A4E69"/>
    <w:rsid w:val="0067173E"/>
    <w:rsid w:val="00673552"/>
    <w:rsid w:val="006A0119"/>
    <w:rsid w:val="00772AEE"/>
    <w:rsid w:val="007C078D"/>
    <w:rsid w:val="00807099"/>
    <w:rsid w:val="00853F22"/>
    <w:rsid w:val="009B1238"/>
    <w:rsid w:val="009F6FA0"/>
    <w:rsid w:val="00A4097F"/>
    <w:rsid w:val="00AD10D1"/>
    <w:rsid w:val="00D741C9"/>
    <w:rsid w:val="00E359E1"/>
    <w:rsid w:val="00E86D22"/>
    <w:rsid w:val="00FC22C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119"/>
    <w:pPr>
      <w:bidi/>
      <w:spacing w:line="300" w:lineRule="exact"/>
      <w:jc w:val="both"/>
    </w:pPr>
    <w:rPr>
      <w:rFonts w:ascii="Times New Roman" w:eastAsia="Times New Roman" w:hAnsi="Times New Roman" w:cs="David"/>
      <w:sz w:val="24"/>
      <w:szCs w:val="24"/>
    </w:rPr>
  </w:style>
  <w:style w:type="paragraph" w:styleId="2">
    <w:name w:val="heading 2"/>
    <w:basedOn w:val="a"/>
    <w:next w:val="a"/>
    <w:link w:val="20"/>
    <w:qFormat/>
    <w:rsid w:val="006A0119"/>
    <w:pPr>
      <w:keepNext/>
      <w:pageBreakBefore/>
      <w:spacing w:before="240" w:after="60"/>
      <w:jc w:val="left"/>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6A0119"/>
    <w:rPr>
      <w:rFonts w:ascii="Arial" w:eastAsia="Times New Roman" w:hAnsi="Arial" w:cs="David"/>
      <w:b/>
      <w:bCs/>
      <w:i/>
      <w:iCs/>
      <w:sz w:val="28"/>
      <w:szCs w:val="28"/>
    </w:rPr>
  </w:style>
  <w:style w:type="paragraph" w:customStyle="1" w:styleId="a3">
    <w:name w:val="צטוט"/>
    <w:basedOn w:val="a"/>
    <w:autoRedefine/>
    <w:rsid w:val="006A0119"/>
    <w:pPr>
      <w:ind w:left="680" w:hanging="340"/>
    </w:pPr>
    <w:rPr>
      <w:rFonts w:cs="Guttman-Toledo"/>
      <w:sz w:val="48"/>
    </w:rPr>
  </w:style>
  <w:style w:type="paragraph" w:customStyle="1" w:styleId="a4">
    <w:name w:val="תא כותרת ימין"/>
    <w:basedOn w:val="a"/>
    <w:rsid w:val="006A0119"/>
    <w:pPr>
      <w:ind w:right="113"/>
    </w:pPr>
    <w:rPr>
      <w:bCs/>
      <w:szCs w:val="18"/>
    </w:rPr>
  </w:style>
  <w:style w:type="paragraph" w:customStyle="1" w:styleId="a5">
    <w:name w:val="תא כותרת שמאל"/>
    <w:basedOn w:val="a"/>
    <w:rsid w:val="006A0119"/>
    <w:pPr>
      <w:ind w:left="113"/>
    </w:pPr>
    <w:rPr>
      <w:bCs/>
      <w:szCs w:val="18"/>
    </w:rPr>
  </w:style>
  <w:style w:type="paragraph" w:customStyle="1" w:styleId="a6">
    <w:name w:val="טור שמאל"/>
    <w:basedOn w:val="a"/>
    <w:rsid w:val="006A0119"/>
    <w:pPr>
      <w:ind w:left="113"/>
    </w:pPr>
    <w:rPr>
      <w:szCs w:val="20"/>
    </w:rPr>
  </w:style>
  <w:style w:type="paragraph" w:customStyle="1" w:styleId="a7">
    <w:name w:val="כותרת טבלה"/>
    <w:basedOn w:val="a"/>
    <w:rsid w:val="006A0119"/>
    <w:pPr>
      <w:spacing w:before="240" w:after="60"/>
      <w:ind w:left="284"/>
    </w:pPr>
    <w:rPr>
      <w:bCs/>
      <w:szCs w:val="20"/>
    </w:rPr>
  </w:style>
  <w:style w:type="paragraph" w:customStyle="1" w:styleId="a8">
    <w:name w:val="תא כותרת אמצעי"/>
    <w:basedOn w:val="a9"/>
    <w:rsid w:val="006A0119"/>
    <w:pPr>
      <w:spacing w:before="100" w:beforeAutospacing="1" w:after="100" w:afterAutospacing="1"/>
      <w:ind w:left="295" w:right="57" w:hanging="238"/>
    </w:pPr>
    <w:rPr>
      <w:bCs/>
      <w:szCs w:val="18"/>
    </w:rPr>
  </w:style>
  <w:style w:type="paragraph" w:styleId="a9">
    <w:name w:val="table of authorities"/>
    <w:basedOn w:val="a"/>
    <w:next w:val="a"/>
    <w:uiPriority w:val="99"/>
    <w:semiHidden/>
    <w:unhideWhenUsed/>
    <w:rsid w:val="006A0119"/>
    <w:pPr>
      <w:ind w:left="240" w:hanging="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743</Words>
  <Characters>3719</Characters>
  <Application>Microsoft Office Word</Application>
  <DocSecurity>0</DocSecurity>
  <Lines>30</Lines>
  <Paragraphs>8</Paragraphs>
  <ScaleCrop>false</ScaleCrop>
  <Company/>
  <LinksUpToDate>false</LinksUpToDate>
  <CharactersWithSpaces>4454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הראל</dc:creator>
  <cp:keywords/>
  <dc:description/>
  <cp:lastModifiedBy>הראל</cp:lastModifiedBy>
  <cp:revision>1</cp:revision>
  <dcterms:created xsi:type="dcterms:W3CDTF">2012-03-11T19:44:00Z</dcterms:created>
  <dcterms:modified xsi:type="dcterms:W3CDTF">2012-03-11T19:47:00Z</dcterms:modified>
</cp:coreProperties>
</file>