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59" w:rsidRDefault="00C51559" w:rsidP="00C51559">
      <w:pPr>
        <w:pStyle w:val="2"/>
        <w:rPr>
          <w:rFonts w:hint="cs"/>
          <w:rtl/>
        </w:rPr>
      </w:pPr>
      <w:r>
        <w:rPr>
          <w:rtl/>
        </w:rPr>
        <w:fldChar w:fldCharType="begin"/>
      </w:r>
      <w:r>
        <w:rPr>
          <w:rtl/>
        </w:rPr>
        <w:instrText xml:space="preserve"> </w:instrText>
      </w:r>
      <w:r>
        <w:rPr>
          <w:rFonts w:hint="cs"/>
        </w:rPr>
        <w:instrText>SEQ</w:instrText>
      </w:r>
      <w:r>
        <w:rPr>
          <w:rFonts w:hint="cs"/>
          <w:rtl/>
        </w:rPr>
        <w:instrText xml:space="preserve"> סימניתמורה\* </w:instrText>
      </w:r>
      <w:r>
        <w:rPr>
          <w:rFonts w:hint="cs"/>
        </w:rPr>
        <w:instrText>hebrew1 \* MERGEFORMAT</w:instrText>
      </w:r>
      <w:r>
        <w:rPr>
          <w:rtl/>
        </w:rPr>
        <w:instrText xml:space="preserve"> </w:instrText>
      </w:r>
      <w:r>
        <w:rPr>
          <w:rtl/>
        </w:rPr>
        <w:fldChar w:fldCharType="separate"/>
      </w:r>
      <w:bookmarkStart w:id="0" w:name="_Toc319950950"/>
      <w:r>
        <w:rPr>
          <w:noProof/>
          <w:rtl/>
        </w:rPr>
        <w:t>ד</w:t>
      </w:r>
      <w:r>
        <w:rPr>
          <w:rtl/>
        </w:rPr>
        <w:fldChar w:fldCharType="end"/>
      </w:r>
      <w:r>
        <w:rPr>
          <w:rFonts w:hint="cs"/>
          <w:rtl/>
        </w:rPr>
        <w:t xml:space="preserve">. בדין העמדה והערכה, לב ע"ב </w:t>
      </w:r>
      <w:r>
        <w:rPr>
          <w:rtl/>
        </w:rPr>
        <w:t>–</w:t>
      </w:r>
      <w:r>
        <w:rPr>
          <w:rFonts w:hint="cs"/>
          <w:rtl/>
        </w:rPr>
        <w:t xml:space="preserve"> </w:t>
      </w:r>
      <w:proofErr w:type="spellStart"/>
      <w:r>
        <w:rPr>
          <w:rFonts w:hint="cs"/>
          <w:rtl/>
        </w:rPr>
        <w:t>לג</w:t>
      </w:r>
      <w:proofErr w:type="spellEnd"/>
      <w:r>
        <w:rPr>
          <w:rFonts w:hint="cs"/>
          <w:rtl/>
        </w:rPr>
        <w:t xml:space="preserve"> ע"ב</w:t>
      </w:r>
      <w:bookmarkEnd w:id="0"/>
    </w:p>
    <w:p w:rsidR="00C51559" w:rsidRDefault="00C51559" w:rsidP="00C51559">
      <w:pPr>
        <w:pStyle w:val="a3"/>
        <w:rPr>
          <w:rFonts w:hint="cs"/>
          <w:rtl/>
        </w:rPr>
      </w:pPr>
      <w:fldSimple w:instr=" SEQ תמורהלב\* hebrew1 \* MERGEFORMAT ">
        <w:r>
          <w:rPr>
            <w:noProof/>
            <w:rtl/>
          </w:rPr>
          <w:t>א</w:t>
        </w:r>
      </w:fldSimple>
      <w:r>
        <w:rPr>
          <w:rFonts w:hint="cs"/>
          <w:rtl/>
        </w:rPr>
        <w:t>.</w:t>
      </w:r>
      <w:r>
        <w:rPr>
          <w:rFonts w:hint="cs"/>
          <w:rtl/>
        </w:rPr>
        <w:tab/>
      </w:r>
      <w:r>
        <w:rPr>
          <w:rtl/>
        </w:rPr>
        <w:t xml:space="preserve">ואם מתו יקברו </w:t>
      </w:r>
      <w:proofErr w:type="spellStart"/>
      <w:r>
        <w:rPr>
          <w:rtl/>
        </w:rPr>
        <w:t>כו</w:t>
      </w:r>
      <w:proofErr w:type="spellEnd"/>
      <w:r>
        <w:rPr>
          <w:rtl/>
        </w:rPr>
        <w:t xml:space="preserve">'. </w:t>
      </w:r>
      <w:proofErr w:type="spellStart"/>
      <w:r>
        <w:rPr>
          <w:rtl/>
        </w:rPr>
        <w:t>א"ר</w:t>
      </w:r>
      <w:proofErr w:type="spellEnd"/>
      <w:r>
        <w:rPr>
          <w:rtl/>
        </w:rPr>
        <w:t xml:space="preserve"> יוחנן: לרבנן, אחד קדשי מזבח ואחד קדשי ב"ה - היו בכלל העמדה והערכה. ור"ל אמר: לרבנן, קדשי ב"ה - היו בכלל העמדה והערכה, קדשי מזבח - לא היו בכלל העמדה והערכה. וזה </w:t>
      </w:r>
      <w:proofErr w:type="spellStart"/>
      <w:r>
        <w:rPr>
          <w:rtl/>
        </w:rPr>
        <w:t>וזה</w:t>
      </w:r>
      <w:proofErr w:type="spellEnd"/>
      <w:r>
        <w:rPr>
          <w:rtl/>
        </w:rPr>
        <w:t xml:space="preserve"> מודה </w:t>
      </w:r>
      <w:proofErr w:type="spellStart"/>
      <w:r>
        <w:rPr>
          <w:rtl/>
        </w:rPr>
        <w:t>לר"ש</w:t>
      </w:r>
      <w:proofErr w:type="spellEnd"/>
      <w:r>
        <w:rPr>
          <w:rtl/>
        </w:rPr>
        <w:t xml:space="preserve">, </w:t>
      </w:r>
      <w:proofErr w:type="spellStart"/>
      <w:r>
        <w:rPr>
          <w:rtl/>
        </w:rPr>
        <w:t>דקדשי</w:t>
      </w:r>
      <w:proofErr w:type="spellEnd"/>
      <w:r>
        <w:rPr>
          <w:rtl/>
        </w:rPr>
        <w:t xml:space="preserve"> ב"ה - לא היו בכלל העמדה והערכה, וקדשי מזבח - היו בכלל העמדה והערכה; וד"ה, בעל מום מעיקרו - לא היה בכלל העמדה והערכה. </w:t>
      </w:r>
      <w:r>
        <w:rPr>
          <w:rFonts w:hint="cs"/>
          <w:rtl/>
        </w:rPr>
        <w:t xml:space="preserve">... </w:t>
      </w:r>
      <w:proofErr w:type="spellStart"/>
      <w:r>
        <w:rPr>
          <w:rtl/>
        </w:rPr>
        <w:t>דתני</w:t>
      </w:r>
      <w:proofErr w:type="spellEnd"/>
      <w:r>
        <w:rPr>
          <w:rtl/>
        </w:rPr>
        <w:t xml:space="preserve"> לוי: </w:t>
      </w:r>
      <w:proofErr w:type="spellStart"/>
      <w:r>
        <w:rPr>
          <w:rtl/>
        </w:rPr>
        <w:t>הכל</w:t>
      </w:r>
      <w:proofErr w:type="spellEnd"/>
      <w:r>
        <w:rPr>
          <w:rtl/>
        </w:rPr>
        <w:t xml:space="preserve"> היו בכלל העמדה והערכה, ואפילו בעל מום מעיקרו. וכן תני (ר') +מסורת הש"ס: [רבי]+ לוי </w:t>
      </w:r>
      <w:proofErr w:type="spellStart"/>
      <w:r>
        <w:rPr>
          <w:rtl/>
        </w:rPr>
        <w:t>במתניתיה</w:t>
      </w:r>
      <w:proofErr w:type="spellEnd"/>
      <w:r>
        <w:rPr>
          <w:rtl/>
        </w:rPr>
        <w:t xml:space="preserve">: ואפי' חיה, ואפילו עופות. והכתיב אותה! קשיא. </w:t>
      </w:r>
      <w:r>
        <w:rPr>
          <w:rFonts w:hint="cs"/>
          <w:rtl/>
        </w:rPr>
        <w:t>...</w:t>
      </w:r>
    </w:p>
    <w:p w:rsidR="00C51559" w:rsidRDefault="00C51559" w:rsidP="00C51559">
      <w:pPr>
        <w:pStyle w:val="a3"/>
        <w:rPr>
          <w:rFonts w:hint="cs"/>
          <w:rtl/>
        </w:rPr>
      </w:pPr>
      <w:fldSimple w:instr=" SEQ תמורהלב\* hebrew1 \* MERGEFORMAT ">
        <w:r>
          <w:rPr>
            <w:noProof/>
            <w:rtl/>
          </w:rPr>
          <w:t>ב</w:t>
        </w:r>
      </w:fldSimple>
      <w:r>
        <w:rPr>
          <w:rFonts w:hint="cs"/>
          <w:rtl/>
        </w:rPr>
        <w:t>.</w:t>
      </w:r>
      <w:r>
        <w:rPr>
          <w:rFonts w:hint="cs"/>
          <w:rtl/>
        </w:rPr>
        <w:tab/>
      </w:r>
      <w:proofErr w:type="spellStart"/>
      <w:r>
        <w:rPr>
          <w:rtl/>
        </w:rPr>
        <w:t>מיתיבי</w:t>
      </w:r>
      <w:proofErr w:type="spellEnd"/>
      <w:r>
        <w:rPr>
          <w:rtl/>
        </w:rPr>
        <w:t xml:space="preserve">: מתו </w:t>
      </w:r>
      <w:proofErr w:type="spellStart"/>
      <w:r>
        <w:rPr>
          <w:rtl/>
        </w:rPr>
        <w:t>תמימין</w:t>
      </w:r>
      <w:proofErr w:type="spellEnd"/>
      <w:r>
        <w:rPr>
          <w:rtl/>
        </w:rPr>
        <w:t xml:space="preserve"> - יקברו, ובעלי </w:t>
      </w:r>
      <w:proofErr w:type="spellStart"/>
      <w:r>
        <w:rPr>
          <w:rtl/>
        </w:rPr>
        <w:t>מומין</w:t>
      </w:r>
      <w:proofErr w:type="spellEnd"/>
      <w:r>
        <w:rPr>
          <w:rtl/>
        </w:rPr>
        <w:t xml:space="preserve"> - יפדו, בד"א - בקדשי מזבח, אבל בקדשי ב"ה - בין </w:t>
      </w:r>
      <w:proofErr w:type="spellStart"/>
      <w:r>
        <w:rPr>
          <w:rtl/>
        </w:rPr>
        <w:t>תמימין</w:t>
      </w:r>
      <w:proofErr w:type="spellEnd"/>
      <w:r>
        <w:rPr>
          <w:rtl/>
        </w:rPr>
        <w:t xml:space="preserve"> בין בעלי מומים יקברו. </w:t>
      </w:r>
      <w:proofErr w:type="spellStart"/>
      <w:r>
        <w:rPr>
          <w:rtl/>
        </w:rPr>
        <w:t>ר"ש</w:t>
      </w:r>
      <w:proofErr w:type="spellEnd"/>
      <w:r>
        <w:rPr>
          <w:rtl/>
        </w:rPr>
        <w:t xml:space="preserve"> אומר: אחד קדשי מזבח ואחד קדשי בדק הבית, תמימים - יקברו, בעלי </w:t>
      </w:r>
      <w:proofErr w:type="spellStart"/>
      <w:r>
        <w:rPr>
          <w:rtl/>
        </w:rPr>
        <w:t>מומין</w:t>
      </w:r>
      <w:proofErr w:type="spellEnd"/>
      <w:r>
        <w:rPr>
          <w:rtl/>
        </w:rPr>
        <w:t xml:space="preserve"> - יפדו. </w:t>
      </w:r>
      <w:proofErr w:type="spellStart"/>
      <w:r>
        <w:rPr>
          <w:rtl/>
        </w:rPr>
        <w:t>תיובתא</w:t>
      </w:r>
      <w:proofErr w:type="spellEnd"/>
      <w:r>
        <w:rPr>
          <w:rtl/>
        </w:rPr>
        <w:t xml:space="preserve"> דרבי יוחנן מרישא! אמר לך ר' יוחנן: הכא במאי עסקינן - בבעל מום מעיקרו. </w:t>
      </w:r>
      <w:proofErr w:type="spellStart"/>
      <w:r>
        <w:rPr>
          <w:rtl/>
        </w:rPr>
        <w:t>ה"נ</w:t>
      </w:r>
      <w:proofErr w:type="spellEnd"/>
      <w:r>
        <w:rPr>
          <w:rtl/>
        </w:rPr>
        <w:t xml:space="preserve"> </w:t>
      </w:r>
      <w:proofErr w:type="spellStart"/>
      <w:r>
        <w:rPr>
          <w:rtl/>
        </w:rPr>
        <w:t>מסתברא</w:t>
      </w:r>
      <w:proofErr w:type="spellEnd"/>
      <w:r>
        <w:rPr>
          <w:rtl/>
        </w:rPr>
        <w:t xml:space="preserve">, דאי </w:t>
      </w:r>
      <w:proofErr w:type="spellStart"/>
      <w:r>
        <w:rPr>
          <w:rtl/>
        </w:rPr>
        <w:t>תימא</w:t>
      </w:r>
      <w:proofErr w:type="spellEnd"/>
      <w:r>
        <w:rPr>
          <w:rtl/>
        </w:rPr>
        <w:t xml:space="preserve"> שקדם הקדישן את מומן - </w:t>
      </w:r>
      <w:proofErr w:type="spellStart"/>
      <w:r>
        <w:rPr>
          <w:rtl/>
        </w:rPr>
        <w:t>ליפלוג</w:t>
      </w:r>
      <w:proofErr w:type="spellEnd"/>
      <w:r>
        <w:rPr>
          <w:rtl/>
        </w:rPr>
        <w:t xml:space="preserve"> </w:t>
      </w:r>
      <w:proofErr w:type="spellStart"/>
      <w:r>
        <w:rPr>
          <w:rtl/>
        </w:rPr>
        <w:t>ר"ש</w:t>
      </w:r>
      <w:proofErr w:type="spellEnd"/>
      <w:r>
        <w:rPr>
          <w:rtl/>
        </w:rPr>
        <w:t xml:space="preserve"> עלה! אלא לאו ש"מ - בבעל מום מעיקרו. אלא </w:t>
      </w:r>
      <w:proofErr w:type="spellStart"/>
      <w:r>
        <w:rPr>
          <w:rtl/>
        </w:rPr>
        <w:t>לימא</w:t>
      </w:r>
      <w:proofErr w:type="spellEnd"/>
      <w:r>
        <w:rPr>
          <w:rtl/>
        </w:rPr>
        <w:t xml:space="preserve"> </w:t>
      </w:r>
      <w:proofErr w:type="spellStart"/>
      <w:r>
        <w:rPr>
          <w:rtl/>
        </w:rPr>
        <w:t>תיהוי</w:t>
      </w:r>
      <w:proofErr w:type="spellEnd"/>
      <w:r>
        <w:rPr>
          <w:rtl/>
        </w:rPr>
        <w:t xml:space="preserve"> </w:t>
      </w:r>
      <w:proofErr w:type="spellStart"/>
      <w:r>
        <w:rPr>
          <w:rtl/>
        </w:rPr>
        <w:t>תיובתיה</w:t>
      </w:r>
      <w:proofErr w:type="spellEnd"/>
      <w:r>
        <w:rPr>
          <w:rtl/>
        </w:rPr>
        <w:t xml:space="preserve"> </w:t>
      </w:r>
      <w:proofErr w:type="spellStart"/>
      <w:r>
        <w:rPr>
          <w:rtl/>
        </w:rPr>
        <w:t>דר"ל</w:t>
      </w:r>
      <w:proofErr w:type="spellEnd"/>
      <w:r>
        <w:rPr>
          <w:rtl/>
        </w:rPr>
        <w:t xml:space="preserve">! ר"ל </w:t>
      </w:r>
      <w:proofErr w:type="spellStart"/>
      <w:r>
        <w:rPr>
          <w:rtl/>
        </w:rPr>
        <w:t>מוקים</w:t>
      </w:r>
      <w:proofErr w:type="spellEnd"/>
      <w:r>
        <w:rPr>
          <w:rtl/>
        </w:rPr>
        <w:t xml:space="preserve"> לה </w:t>
      </w:r>
      <w:proofErr w:type="spellStart"/>
      <w:r>
        <w:rPr>
          <w:rtl/>
        </w:rPr>
        <w:t>בשקדם</w:t>
      </w:r>
      <w:proofErr w:type="spellEnd"/>
      <w:r>
        <w:rPr>
          <w:rtl/>
        </w:rPr>
        <w:t xml:space="preserve"> הקדישן את מומן. אי הכי, </w:t>
      </w:r>
      <w:proofErr w:type="spellStart"/>
      <w:r>
        <w:rPr>
          <w:rtl/>
        </w:rPr>
        <w:t>ניפלוג</w:t>
      </w:r>
      <w:proofErr w:type="spellEnd"/>
      <w:r>
        <w:rPr>
          <w:rtl/>
        </w:rPr>
        <w:t xml:space="preserve"> </w:t>
      </w:r>
      <w:proofErr w:type="spellStart"/>
      <w:r>
        <w:rPr>
          <w:rtl/>
        </w:rPr>
        <w:t>ר"ש</w:t>
      </w:r>
      <w:proofErr w:type="spellEnd"/>
      <w:r>
        <w:rPr>
          <w:rtl/>
        </w:rPr>
        <w:t xml:space="preserve"> עלה!</w:t>
      </w:r>
    </w:p>
    <w:p w:rsidR="00C51559" w:rsidRDefault="00C51559" w:rsidP="00C51559">
      <w:pPr>
        <w:pStyle w:val="a3"/>
        <w:rPr>
          <w:rFonts w:hint="cs"/>
          <w:rtl/>
        </w:rPr>
      </w:pPr>
      <w:fldSimple w:instr=" SEQ תמורהלב\* hebrew1 \* MERGEFORMAT ">
        <w:r>
          <w:rPr>
            <w:noProof/>
            <w:rtl/>
          </w:rPr>
          <w:t>ג</w:t>
        </w:r>
      </w:fldSimple>
      <w:r>
        <w:rPr>
          <w:rFonts w:hint="cs"/>
          <w:rtl/>
        </w:rPr>
        <w:t>.</w:t>
      </w:r>
      <w:r>
        <w:rPr>
          <w:rFonts w:hint="cs"/>
          <w:rtl/>
        </w:rPr>
        <w:tab/>
      </w:r>
      <w:r>
        <w:rPr>
          <w:rtl/>
        </w:rPr>
        <w:t xml:space="preserve">ר"ל </w:t>
      </w:r>
      <w:proofErr w:type="spellStart"/>
      <w:r>
        <w:rPr>
          <w:rtl/>
        </w:rPr>
        <w:t>מיפך</w:t>
      </w:r>
      <w:proofErr w:type="spellEnd"/>
      <w:r>
        <w:rPr>
          <w:rtl/>
        </w:rPr>
        <w:t xml:space="preserve"> אפיך, והכי </w:t>
      </w:r>
      <w:proofErr w:type="spellStart"/>
      <w:r>
        <w:rPr>
          <w:rtl/>
        </w:rPr>
        <w:t>מותיב</w:t>
      </w:r>
      <w:proofErr w:type="spellEnd"/>
      <w:r>
        <w:rPr>
          <w:rtl/>
        </w:rPr>
        <w:t xml:space="preserve"> ממכילתא אחריתי: מתו, בין </w:t>
      </w:r>
      <w:proofErr w:type="spellStart"/>
      <w:r>
        <w:rPr>
          <w:rtl/>
        </w:rPr>
        <w:t>תמימין</w:t>
      </w:r>
      <w:proofErr w:type="spellEnd"/>
      <w:r>
        <w:rPr>
          <w:rtl/>
        </w:rPr>
        <w:t xml:space="preserve"> בין בעלי </w:t>
      </w:r>
      <w:proofErr w:type="spellStart"/>
      <w:r>
        <w:rPr>
          <w:rtl/>
        </w:rPr>
        <w:t>מומין</w:t>
      </w:r>
      <w:proofErr w:type="spellEnd"/>
      <w:r>
        <w:rPr>
          <w:rtl/>
        </w:rPr>
        <w:t xml:space="preserve"> - יקברו, [בד"א - בקדשי ב"ה, אבל בקדשים - יפדו] </w:t>
      </w:r>
      <w:proofErr w:type="spellStart"/>
      <w:r>
        <w:rPr>
          <w:rtl/>
        </w:rPr>
        <w:t>ר"ש</w:t>
      </w:r>
      <w:proofErr w:type="spellEnd"/>
      <w:r>
        <w:rPr>
          <w:rtl/>
        </w:rPr>
        <w:t xml:space="preserve"> אומר: תמימים - יקברו, ובעלי </w:t>
      </w:r>
      <w:proofErr w:type="spellStart"/>
      <w:r>
        <w:rPr>
          <w:rtl/>
        </w:rPr>
        <w:t>מומין</w:t>
      </w:r>
      <w:proofErr w:type="spellEnd"/>
      <w:r>
        <w:rPr>
          <w:rtl/>
        </w:rPr>
        <w:t xml:space="preserve"> - יפדו. </w:t>
      </w:r>
      <w:proofErr w:type="spellStart"/>
      <w:r>
        <w:rPr>
          <w:rtl/>
        </w:rPr>
        <w:t>תיובתא</w:t>
      </w:r>
      <w:proofErr w:type="spellEnd"/>
      <w:r>
        <w:rPr>
          <w:rtl/>
        </w:rPr>
        <w:t xml:space="preserve"> דרבי יוחנן מסיפא! אמר לך ר' יוחנן: הכא במאי עסקינן - בבעל מום מעיקרו. </w:t>
      </w:r>
      <w:proofErr w:type="spellStart"/>
      <w:r>
        <w:rPr>
          <w:rtl/>
        </w:rPr>
        <w:t>ה"נ</w:t>
      </w:r>
      <w:proofErr w:type="spellEnd"/>
      <w:r>
        <w:rPr>
          <w:rtl/>
        </w:rPr>
        <w:t xml:space="preserve"> </w:t>
      </w:r>
      <w:proofErr w:type="spellStart"/>
      <w:r>
        <w:rPr>
          <w:rtl/>
        </w:rPr>
        <w:t>מסתברא</w:t>
      </w:r>
      <w:proofErr w:type="spellEnd"/>
      <w:r>
        <w:rPr>
          <w:rtl/>
        </w:rPr>
        <w:t xml:space="preserve">, דאי </w:t>
      </w:r>
      <w:proofErr w:type="spellStart"/>
      <w:r>
        <w:rPr>
          <w:rtl/>
        </w:rPr>
        <w:t>תימא</w:t>
      </w:r>
      <w:proofErr w:type="spellEnd"/>
      <w:r>
        <w:rPr>
          <w:rtl/>
        </w:rPr>
        <w:t xml:space="preserve"> </w:t>
      </w:r>
      <w:proofErr w:type="spellStart"/>
      <w:r>
        <w:rPr>
          <w:rtl/>
        </w:rPr>
        <w:t>בשקדם</w:t>
      </w:r>
      <w:proofErr w:type="spellEnd"/>
      <w:r>
        <w:rPr>
          <w:rtl/>
        </w:rPr>
        <w:t xml:space="preserve"> הקדישן את מומן - </w:t>
      </w:r>
      <w:proofErr w:type="spellStart"/>
      <w:r>
        <w:rPr>
          <w:rtl/>
        </w:rPr>
        <w:t>ניפלוג</w:t>
      </w:r>
      <w:proofErr w:type="spellEnd"/>
      <w:r>
        <w:rPr>
          <w:rtl/>
        </w:rPr>
        <w:t xml:space="preserve"> </w:t>
      </w:r>
      <w:proofErr w:type="spellStart"/>
      <w:r>
        <w:rPr>
          <w:rtl/>
        </w:rPr>
        <w:t>ר"ש</w:t>
      </w:r>
      <w:proofErr w:type="spellEnd"/>
      <w:r>
        <w:rPr>
          <w:rtl/>
        </w:rPr>
        <w:t xml:space="preserve"> עלה אלא </w:t>
      </w:r>
      <w:proofErr w:type="spellStart"/>
      <w:r>
        <w:rPr>
          <w:rtl/>
        </w:rPr>
        <w:t>לימא</w:t>
      </w:r>
      <w:proofErr w:type="spellEnd"/>
      <w:r>
        <w:rPr>
          <w:rtl/>
        </w:rPr>
        <w:t xml:space="preserve"> </w:t>
      </w:r>
      <w:proofErr w:type="spellStart"/>
      <w:r>
        <w:rPr>
          <w:rtl/>
        </w:rPr>
        <w:t>תיהוי</w:t>
      </w:r>
      <w:proofErr w:type="spellEnd"/>
      <w:r>
        <w:rPr>
          <w:rtl/>
        </w:rPr>
        <w:t xml:space="preserve"> </w:t>
      </w:r>
      <w:proofErr w:type="spellStart"/>
      <w:r>
        <w:rPr>
          <w:rtl/>
        </w:rPr>
        <w:t>תיובתיה</w:t>
      </w:r>
      <w:proofErr w:type="spellEnd"/>
      <w:r>
        <w:rPr>
          <w:rtl/>
        </w:rPr>
        <w:t xml:space="preserve"> </w:t>
      </w:r>
      <w:proofErr w:type="spellStart"/>
      <w:r>
        <w:rPr>
          <w:rtl/>
        </w:rPr>
        <w:t>דר"ל</w:t>
      </w:r>
      <w:proofErr w:type="spellEnd"/>
      <w:r>
        <w:rPr>
          <w:rtl/>
        </w:rPr>
        <w:t xml:space="preserve">! אמר לך ר"ל: הכא במאי עסקינן - </w:t>
      </w:r>
      <w:proofErr w:type="spellStart"/>
      <w:r>
        <w:rPr>
          <w:rtl/>
        </w:rPr>
        <w:t>בשקדם</w:t>
      </w:r>
      <w:proofErr w:type="spellEnd"/>
      <w:r>
        <w:rPr>
          <w:rtl/>
        </w:rPr>
        <w:t xml:space="preserve"> הקדישן את מומן. </w:t>
      </w:r>
      <w:proofErr w:type="spellStart"/>
      <w:r>
        <w:rPr>
          <w:rtl/>
        </w:rPr>
        <w:t>וניפלוג</w:t>
      </w:r>
      <w:proofErr w:type="spellEnd"/>
      <w:r>
        <w:rPr>
          <w:rtl/>
        </w:rPr>
        <w:t xml:space="preserve"> </w:t>
      </w:r>
      <w:proofErr w:type="spellStart"/>
      <w:r>
        <w:rPr>
          <w:rtl/>
        </w:rPr>
        <w:t>ר"ש</w:t>
      </w:r>
      <w:proofErr w:type="spellEnd"/>
      <w:r>
        <w:rPr>
          <w:rtl/>
        </w:rPr>
        <w:t xml:space="preserve"> עלה! אמר לך ר"ל: </w:t>
      </w:r>
      <w:proofErr w:type="spellStart"/>
      <w:r>
        <w:rPr>
          <w:rtl/>
        </w:rPr>
        <w:t>ה"נ</w:t>
      </w:r>
      <w:proofErr w:type="spellEnd"/>
      <w:r>
        <w:rPr>
          <w:rtl/>
        </w:rPr>
        <w:t xml:space="preserve"> </w:t>
      </w:r>
      <w:proofErr w:type="spellStart"/>
      <w:r>
        <w:rPr>
          <w:rtl/>
        </w:rPr>
        <w:t>דפליג</w:t>
      </w:r>
      <w:proofErr w:type="spellEnd"/>
      <w:r>
        <w:rPr>
          <w:rtl/>
        </w:rPr>
        <w:t xml:space="preserve"> </w:t>
      </w:r>
      <w:proofErr w:type="spellStart"/>
      <w:r>
        <w:rPr>
          <w:rtl/>
        </w:rPr>
        <w:t>ר"ש</w:t>
      </w:r>
      <w:proofErr w:type="spellEnd"/>
      <w:r>
        <w:rPr>
          <w:rtl/>
        </w:rPr>
        <w:t xml:space="preserve">. </w:t>
      </w:r>
      <w:r>
        <w:rPr>
          <w:rFonts w:hint="cs"/>
          <w:rtl/>
        </w:rPr>
        <w:t>...</w:t>
      </w:r>
    </w:p>
    <w:p w:rsidR="00C51559" w:rsidRDefault="00C51559" w:rsidP="00C51559">
      <w:pPr>
        <w:pStyle w:val="a3"/>
        <w:rPr>
          <w:rFonts w:hint="cs"/>
          <w:rtl/>
        </w:rPr>
      </w:pPr>
      <w:fldSimple w:instr=" SEQ תמורהלב\* hebrew1 \* MERGEFORMAT ">
        <w:r>
          <w:rPr>
            <w:noProof/>
            <w:rtl/>
          </w:rPr>
          <w:t>ד</w:t>
        </w:r>
      </w:fldSimple>
      <w:r>
        <w:rPr>
          <w:rFonts w:hint="cs"/>
          <w:rtl/>
        </w:rPr>
        <w:t>.</w:t>
      </w:r>
      <w:r>
        <w:rPr>
          <w:rFonts w:hint="cs"/>
          <w:rtl/>
        </w:rPr>
        <w:tab/>
      </w:r>
      <w:r>
        <w:rPr>
          <w:rtl/>
        </w:rPr>
        <w:t xml:space="preserve">א"ל רב </w:t>
      </w:r>
      <w:proofErr w:type="spellStart"/>
      <w:r>
        <w:rPr>
          <w:rtl/>
        </w:rPr>
        <w:t>פפא</w:t>
      </w:r>
      <w:proofErr w:type="spellEnd"/>
      <w:r>
        <w:rPr>
          <w:rtl/>
        </w:rPr>
        <w:t xml:space="preserve"> </w:t>
      </w:r>
      <w:proofErr w:type="spellStart"/>
      <w:r>
        <w:rPr>
          <w:rtl/>
        </w:rPr>
        <w:t>לאביי</w:t>
      </w:r>
      <w:proofErr w:type="spellEnd"/>
      <w:r>
        <w:rPr>
          <w:rtl/>
        </w:rPr>
        <w:t xml:space="preserve">, ואמרי לה רבא, </w:t>
      </w:r>
      <w:proofErr w:type="spellStart"/>
      <w:r>
        <w:rPr>
          <w:rtl/>
        </w:rPr>
        <w:t>לר</w:t>
      </w:r>
      <w:proofErr w:type="spellEnd"/>
      <w:r>
        <w:rPr>
          <w:rtl/>
        </w:rPr>
        <w:t xml:space="preserve">' יוחנן </w:t>
      </w:r>
      <w:proofErr w:type="spellStart"/>
      <w:r>
        <w:rPr>
          <w:rtl/>
        </w:rPr>
        <w:t>דמוקים</w:t>
      </w:r>
      <w:proofErr w:type="spellEnd"/>
      <w:r>
        <w:rPr>
          <w:rtl/>
        </w:rPr>
        <w:t xml:space="preserve"> לה בבעל מום מעיקרו, וכולי עלמא </w:t>
      </w:r>
      <w:proofErr w:type="spellStart"/>
      <w:r>
        <w:rPr>
          <w:rtl/>
        </w:rPr>
        <w:t>סבירא</w:t>
      </w:r>
      <w:proofErr w:type="spellEnd"/>
      <w:r>
        <w:rPr>
          <w:rtl/>
        </w:rPr>
        <w:t xml:space="preserve"> להו </w:t>
      </w:r>
      <w:proofErr w:type="spellStart"/>
      <w:r>
        <w:rPr>
          <w:rtl/>
        </w:rPr>
        <w:t>דבעל</w:t>
      </w:r>
      <w:proofErr w:type="spellEnd"/>
      <w:r>
        <w:rPr>
          <w:rtl/>
        </w:rPr>
        <w:t xml:space="preserve"> מום מעיקרו דלא הוי בכלל העמדה והערכה, ולא והתנן: כל הקדשים שקדם מום קבוע להקדשן ונפדו - </w:t>
      </w:r>
      <w:proofErr w:type="spellStart"/>
      <w:r>
        <w:rPr>
          <w:rtl/>
        </w:rPr>
        <w:t>חייבין</w:t>
      </w:r>
      <w:proofErr w:type="spellEnd"/>
      <w:r>
        <w:rPr>
          <w:rtl/>
        </w:rPr>
        <w:t xml:space="preserve"> בבכורה ובמתנות, </w:t>
      </w:r>
      <w:proofErr w:type="spellStart"/>
      <w:r>
        <w:rPr>
          <w:rtl/>
        </w:rPr>
        <w:t>ויוצאין</w:t>
      </w:r>
      <w:proofErr w:type="spellEnd"/>
      <w:r>
        <w:rPr>
          <w:rtl/>
        </w:rPr>
        <w:t xml:space="preserve"> לחולין </w:t>
      </w:r>
      <w:proofErr w:type="spellStart"/>
      <w:r>
        <w:rPr>
          <w:rtl/>
        </w:rPr>
        <w:t>ליגזז</w:t>
      </w:r>
      <w:proofErr w:type="spellEnd"/>
      <w:r>
        <w:rPr>
          <w:rtl/>
        </w:rPr>
        <w:t xml:space="preserve"> </w:t>
      </w:r>
      <w:proofErr w:type="spellStart"/>
      <w:r>
        <w:rPr>
          <w:rtl/>
        </w:rPr>
        <w:t>וליעבד</w:t>
      </w:r>
      <w:proofErr w:type="spellEnd"/>
      <w:r>
        <w:rPr>
          <w:rtl/>
        </w:rPr>
        <w:t xml:space="preserve">, ולדן וחלבן מותר לאחר פדיונן, </w:t>
      </w:r>
      <w:proofErr w:type="spellStart"/>
      <w:r>
        <w:rPr>
          <w:rtl/>
        </w:rPr>
        <w:t>והשוחטן</w:t>
      </w:r>
      <w:proofErr w:type="spellEnd"/>
      <w:r>
        <w:rPr>
          <w:rtl/>
        </w:rPr>
        <w:t xml:space="preserve"> בחוץ פטור, ואין </w:t>
      </w:r>
      <w:proofErr w:type="spellStart"/>
      <w:r>
        <w:rPr>
          <w:rtl/>
        </w:rPr>
        <w:t>עושין</w:t>
      </w:r>
      <w:proofErr w:type="spellEnd"/>
      <w:r>
        <w:rPr>
          <w:rtl/>
        </w:rPr>
        <w:t xml:space="preserve"> תמורה, ואם מתו - יפדו. ואמר רב יהודה אמר רב: זו דברי </w:t>
      </w:r>
      <w:proofErr w:type="spellStart"/>
      <w:r>
        <w:rPr>
          <w:rtl/>
        </w:rPr>
        <w:t>ר"ש</w:t>
      </w:r>
      <w:proofErr w:type="spellEnd"/>
      <w:r>
        <w:rPr>
          <w:rtl/>
        </w:rPr>
        <w:t xml:space="preserve">, </w:t>
      </w:r>
      <w:proofErr w:type="spellStart"/>
      <w:r>
        <w:rPr>
          <w:rtl/>
        </w:rPr>
        <w:t>דאמר</w:t>
      </w:r>
      <w:proofErr w:type="spellEnd"/>
      <w:r>
        <w:rPr>
          <w:rtl/>
        </w:rPr>
        <w:t xml:space="preserve"> קדשי מזבח - היו בכלל העמדה והערכה, קדשי ב"ה - לא היו; </w:t>
      </w:r>
      <w:proofErr w:type="spellStart"/>
      <w:r>
        <w:rPr>
          <w:rtl/>
        </w:rPr>
        <w:t>כדתנן</w:t>
      </w:r>
      <w:proofErr w:type="spellEnd"/>
      <w:r>
        <w:rPr>
          <w:rtl/>
        </w:rPr>
        <w:t xml:space="preserve">, </w:t>
      </w:r>
      <w:proofErr w:type="spellStart"/>
      <w:r>
        <w:rPr>
          <w:rtl/>
        </w:rPr>
        <w:t>ר"ש</w:t>
      </w:r>
      <w:proofErr w:type="spellEnd"/>
      <w:r>
        <w:rPr>
          <w:rtl/>
        </w:rPr>
        <w:t xml:space="preserve"> אומר: קדשי ב"ה, אם מתו - יפדו, ומודה </w:t>
      </w:r>
      <w:proofErr w:type="spellStart"/>
      <w:r>
        <w:rPr>
          <w:rtl/>
        </w:rPr>
        <w:t>ר"ש</w:t>
      </w:r>
      <w:proofErr w:type="spellEnd"/>
      <w:r>
        <w:rPr>
          <w:rtl/>
        </w:rPr>
        <w:t xml:space="preserve"> בבעל מום מעיקרו שנפדה, מ"ט - </w:t>
      </w:r>
      <w:proofErr w:type="spellStart"/>
      <w:r>
        <w:rPr>
          <w:rtl/>
        </w:rPr>
        <w:t>דאמר</w:t>
      </w:r>
      <w:proofErr w:type="spellEnd"/>
      <w:r>
        <w:rPr>
          <w:rtl/>
        </w:rPr>
        <w:t xml:space="preserve"> קרא אותה </w:t>
      </w:r>
      <w:proofErr w:type="spellStart"/>
      <w:r>
        <w:rPr>
          <w:rtl/>
        </w:rPr>
        <w:t>אותה</w:t>
      </w:r>
      <w:proofErr w:type="spellEnd"/>
      <w:r>
        <w:rPr>
          <w:rtl/>
        </w:rPr>
        <w:t xml:space="preserve"> - למעוטי בעל מום מעיקרו. אבל חכמים אומרים: אפילו בעל מום מעיקרו הי' בכלל העמדה והערכה! א"ל: מאן חכמים - תנא </w:t>
      </w:r>
      <w:proofErr w:type="spellStart"/>
      <w:r>
        <w:rPr>
          <w:rtl/>
        </w:rPr>
        <w:t>דבי</w:t>
      </w:r>
      <w:proofErr w:type="spellEnd"/>
      <w:r>
        <w:rPr>
          <w:rtl/>
        </w:rPr>
        <w:t xml:space="preserve"> לוי. אי הכי, זו דברי </w:t>
      </w:r>
      <w:proofErr w:type="spellStart"/>
      <w:r>
        <w:rPr>
          <w:rtl/>
        </w:rPr>
        <w:t>ר"ש</w:t>
      </w:r>
      <w:proofErr w:type="spellEnd"/>
      <w:r>
        <w:rPr>
          <w:rtl/>
        </w:rPr>
        <w:t xml:space="preserve"> ותו לא? זו דברי </w:t>
      </w:r>
      <w:proofErr w:type="spellStart"/>
      <w:r>
        <w:rPr>
          <w:rtl/>
        </w:rPr>
        <w:t>ר"ש</w:t>
      </w:r>
      <w:proofErr w:type="spellEnd"/>
      <w:r>
        <w:rPr>
          <w:rtl/>
        </w:rPr>
        <w:t xml:space="preserve"> ומחלוקתו </w:t>
      </w:r>
      <w:proofErr w:type="spellStart"/>
      <w:r>
        <w:rPr>
          <w:rtl/>
        </w:rPr>
        <w:t>מיבעי</w:t>
      </w:r>
      <w:proofErr w:type="spellEnd"/>
      <w:r>
        <w:rPr>
          <w:rtl/>
        </w:rPr>
        <w:t xml:space="preserve"> ליה! אמר ליה: האי דלא </w:t>
      </w:r>
      <w:proofErr w:type="spellStart"/>
      <w:r>
        <w:rPr>
          <w:rtl/>
        </w:rPr>
        <w:t>קתני</w:t>
      </w:r>
      <w:proofErr w:type="spellEnd"/>
      <w:r>
        <w:rPr>
          <w:rtl/>
        </w:rPr>
        <w:t xml:space="preserve"> הכי - משום </w:t>
      </w:r>
      <w:proofErr w:type="spellStart"/>
      <w:r>
        <w:rPr>
          <w:rtl/>
        </w:rPr>
        <w:t>דרב</w:t>
      </w:r>
      <w:proofErr w:type="spellEnd"/>
      <w:r>
        <w:rPr>
          <w:rtl/>
        </w:rPr>
        <w:t xml:space="preserve"> סבר לה כריש לקיש, </w:t>
      </w:r>
      <w:proofErr w:type="spellStart"/>
      <w:r>
        <w:rPr>
          <w:rtl/>
        </w:rPr>
        <w:t>דאמר</w:t>
      </w:r>
      <w:proofErr w:type="spellEnd"/>
      <w:r>
        <w:rPr>
          <w:rtl/>
        </w:rPr>
        <w:t xml:space="preserve">: לרבנן, קדשי בדק הבית - היו בכלל העמדה והערכה, קדשי מזבח - לא היו ורישא </w:t>
      </w:r>
      <w:proofErr w:type="spellStart"/>
      <w:r>
        <w:rPr>
          <w:rtl/>
        </w:rPr>
        <w:t>קתני</w:t>
      </w:r>
      <w:proofErr w:type="spellEnd"/>
      <w:r>
        <w:rPr>
          <w:rtl/>
        </w:rPr>
        <w:t xml:space="preserve">: ואם מתו יפדו, וסיפא </w:t>
      </w:r>
      <w:proofErr w:type="spellStart"/>
      <w:r>
        <w:rPr>
          <w:rtl/>
        </w:rPr>
        <w:t>קתני</w:t>
      </w:r>
      <w:proofErr w:type="spellEnd"/>
      <w:r>
        <w:rPr>
          <w:rtl/>
        </w:rPr>
        <w:t xml:space="preserve"> אם מתו - יקברו. </w:t>
      </w:r>
    </w:p>
    <w:p w:rsidR="00C51559" w:rsidRDefault="00C51559" w:rsidP="00C51559">
      <w:pPr>
        <w:pStyle w:val="a3"/>
        <w:rPr>
          <w:rtl/>
        </w:rPr>
      </w:pPr>
      <w:fldSimple w:instr=" SEQ תמורהלב\* hebrew1 \* MERGEFORMAT ">
        <w:r>
          <w:rPr>
            <w:noProof/>
            <w:rtl/>
          </w:rPr>
          <w:t>ה</w:t>
        </w:r>
      </w:fldSimple>
      <w:r>
        <w:rPr>
          <w:rFonts w:hint="cs"/>
          <w:rtl/>
        </w:rPr>
        <w:t>.</w:t>
      </w:r>
      <w:r>
        <w:rPr>
          <w:rFonts w:hint="cs"/>
          <w:rtl/>
        </w:rPr>
        <w:tab/>
      </w:r>
      <w:proofErr w:type="spellStart"/>
      <w:r>
        <w:rPr>
          <w:rtl/>
        </w:rPr>
        <w:t>ואיבעית</w:t>
      </w:r>
      <w:proofErr w:type="spellEnd"/>
      <w:r>
        <w:rPr>
          <w:rtl/>
        </w:rPr>
        <w:t xml:space="preserve"> אימא: רב כרבי יוחנן </w:t>
      </w:r>
      <w:proofErr w:type="spellStart"/>
      <w:r>
        <w:rPr>
          <w:rtl/>
        </w:rPr>
        <w:t>סבירא</w:t>
      </w:r>
      <w:proofErr w:type="spellEnd"/>
      <w:r>
        <w:rPr>
          <w:rtl/>
        </w:rPr>
        <w:t xml:space="preserve"> ליה, </w:t>
      </w:r>
      <w:proofErr w:type="spellStart"/>
      <w:r>
        <w:rPr>
          <w:rtl/>
        </w:rPr>
        <w:t>ודקא</w:t>
      </w:r>
      <w:proofErr w:type="spellEnd"/>
      <w:r>
        <w:rPr>
          <w:rtl/>
        </w:rPr>
        <w:t xml:space="preserve"> קשיא לך זו דברי רבי שמעון ומחלוקתו </w:t>
      </w:r>
      <w:proofErr w:type="spellStart"/>
      <w:r>
        <w:rPr>
          <w:rtl/>
        </w:rPr>
        <w:t>מיבעי</w:t>
      </w:r>
      <w:proofErr w:type="spellEnd"/>
      <w:r>
        <w:rPr>
          <w:rtl/>
        </w:rPr>
        <w:t xml:space="preserve"> ליה, אימא: הכי </w:t>
      </w:r>
      <w:proofErr w:type="spellStart"/>
      <w:r>
        <w:rPr>
          <w:rtl/>
        </w:rPr>
        <w:t>נמי</w:t>
      </w:r>
      <w:proofErr w:type="spellEnd"/>
      <w:r>
        <w:rPr>
          <w:rtl/>
        </w:rPr>
        <w:t xml:space="preserve">. </w:t>
      </w:r>
    </w:p>
    <w:p w:rsidR="00C51559" w:rsidRDefault="00C51559" w:rsidP="00C51559">
      <w:pPr>
        <w:rPr>
          <w:rFonts w:hint="cs"/>
          <w:rtl/>
        </w:rPr>
      </w:pPr>
    </w:p>
    <w:p w:rsidR="00C51559" w:rsidRDefault="00C51559" w:rsidP="00C51559">
      <w:pPr>
        <w:pStyle w:val="4"/>
        <w:rPr>
          <w:rFonts w:hint="cs"/>
          <w:rtl/>
        </w:rPr>
      </w:pPr>
      <w:r>
        <w:rPr>
          <w:rFonts w:hint="cs"/>
          <w:rtl/>
        </w:rPr>
        <w:lastRenderedPageBreak/>
        <w:t>סעיף א, השיטות</w:t>
      </w:r>
    </w:p>
    <w:p w:rsidR="00C51559" w:rsidRDefault="00C51559" w:rsidP="00C51559">
      <w:pPr>
        <w:rPr>
          <w:rFonts w:hint="cs"/>
          <w:rtl/>
        </w:rPr>
      </w:pPr>
      <w:r>
        <w:rPr>
          <w:rFonts w:hint="cs"/>
          <w:rtl/>
        </w:rPr>
        <w:t>מצינו ארבע שיטות בדין זה:</w:t>
      </w:r>
    </w:p>
    <w:p w:rsidR="00C51559" w:rsidRDefault="00C51559" w:rsidP="00C51559">
      <w:pPr>
        <w:pStyle w:val="a6"/>
        <w:ind w:firstLine="396"/>
        <w:rPr>
          <w:rFonts w:hint="cs"/>
          <w:rtl/>
        </w:rPr>
      </w:pPr>
      <w:r>
        <w:rPr>
          <w:rFonts w:hint="cs"/>
          <w:rtl/>
        </w:rPr>
        <w:t>האם יש דין העמדה והערכה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1"/>
        <w:gridCol w:w="992"/>
        <w:gridCol w:w="1012"/>
        <w:gridCol w:w="628"/>
        <w:gridCol w:w="519"/>
      </w:tblGrid>
      <w:tr w:rsidR="00C51559" w:rsidTr="00F925D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רבנן (ר"י)</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רבנן (ר"ל)</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proofErr w:type="spellStart"/>
            <w:r>
              <w:rPr>
                <w:rFonts w:hint="cs"/>
                <w:rtl/>
              </w:rPr>
              <w:t>ר"ש</w:t>
            </w:r>
            <w:proofErr w:type="spellEnd"/>
            <w:r>
              <w:rPr>
                <w:rFonts w:hint="cs"/>
                <w:rtl/>
              </w:rPr>
              <w:t xml:space="preserve"> </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לוי</w:t>
            </w:r>
          </w:p>
        </w:tc>
      </w:tr>
      <w:tr w:rsidR="00C51559" w:rsidTr="00F925D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 xml:space="preserve">קדשי </w:t>
            </w:r>
            <w:proofErr w:type="spellStart"/>
            <w:r>
              <w:rPr>
                <w:rFonts w:hint="cs"/>
                <w:rtl/>
              </w:rPr>
              <w:t>בה"ב</w:t>
            </w:r>
            <w:proofErr w:type="spellEnd"/>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יש</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יש</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אין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יש</w:t>
            </w:r>
          </w:p>
        </w:tc>
      </w:tr>
      <w:tr w:rsidR="00C51559" w:rsidTr="00F925D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קדשי מזבח שקדם הקדשן למומן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יש</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אין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יש</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יש</w:t>
            </w:r>
          </w:p>
        </w:tc>
      </w:tr>
      <w:tr w:rsidR="00C51559" w:rsidTr="00F925D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קדשי מזבח שקדם מומן להקדשן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אין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אין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אין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יש</w:t>
            </w:r>
          </w:p>
        </w:tc>
      </w:tr>
    </w:tbl>
    <w:p w:rsidR="00C51559" w:rsidRDefault="00C51559" w:rsidP="00C51559">
      <w:pPr>
        <w:pStyle w:val="4"/>
        <w:rPr>
          <w:rFonts w:hint="cs"/>
          <w:rtl/>
        </w:rPr>
      </w:pPr>
      <w:r>
        <w:rPr>
          <w:rFonts w:hint="cs"/>
          <w:rtl/>
        </w:rPr>
        <w:t xml:space="preserve">סעיף ב - ג, מחלוקת ת"ק </w:t>
      </w:r>
      <w:proofErr w:type="spellStart"/>
      <w:r>
        <w:rPr>
          <w:rFonts w:hint="cs"/>
          <w:rtl/>
        </w:rPr>
        <w:t>ור"ש</w:t>
      </w:r>
      <w:proofErr w:type="spellEnd"/>
      <w:r>
        <w:rPr>
          <w:rFonts w:hint="cs"/>
          <w:rtl/>
        </w:rPr>
        <w:t xml:space="preserve"> בברייתא</w:t>
      </w:r>
    </w:p>
    <w:p w:rsidR="00C51559" w:rsidRDefault="00C51559" w:rsidP="00C51559">
      <w:pPr>
        <w:rPr>
          <w:rFonts w:hint="cs"/>
          <w:rtl/>
        </w:rPr>
      </w:pPr>
      <w:r>
        <w:rPr>
          <w:rFonts w:hint="cs"/>
          <w:rtl/>
        </w:rPr>
        <w:t xml:space="preserve">לצורך ניתוח הברייתא לא נתייחס כאן לדין תמימים, אלא לדין בעלי </w:t>
      </w:r>
      <w:proofErr w:type="spellStart"/>
      <w:r>
        <w:rPr>
          <w:rFonts w:hint="cs"/>
          <w:rtl/>
        </w:rPr>
        <w:t>מומין</w:t>
      </w:r>
      <w:proofErr w:type="spellEnd"/>
      <w:r>
        <w:rPr>
          <w:rFonts w:hint="cs"/>
          <w:rtl/>
        </w:rPr>
        <w:t xml:space="preserve">, דהיינו אם בע"מ </w:t>
      </w:r>
      <w:proofErr w:type="spellStart"/>
      <w:r>
        <w:rPr>
          <w:rFonts w:hint="cs"/>
          <w:rtl/>
        </w:rPr>
        <w:t>נפדין</w:t>
      </w:r>
      <w:proofErr w:type="spellEnd"/>
      <w:r>
        <w:rPr>
          <w:rFonts w:hint="cs"/>
          <w:rtl/>
        </w:rPr>
        <w:t xml:space="preserve"> הרי </w:t>
      </w:r>
      <w:proofErr w:type="spellStart"/>
      <w:r>
        <w:rPr>
          <w:rFonts w:hint="cs"/>
          <w:rtl/>
        </w:rPr>
        <w:t>של"צ</w:t>
      </w:r>
      <w:proofErr w:type="spellEnd"/>
      <w:r>
        <w:rPr>
          <w:rFonts w:hint="cs"/>
          <w:rtl/>
        </w:rPr>
        <w:t xml:space="preserve"> העמדה והערכה (גם אם </w:t>
      </w:r>
      <w:proofErr w:type="spellStart"/>
      <w:r>
        <w:rPr>
          <w:rFonts w:hint="cs"/>
          <w:rtl/>
        </w:rPr>
        <w:t>תמימין</w:t>
      </w:r>
      <w:proofErr w:type="spellEnd"/>
      <w:r>
        <w:rPr>
          <w:rFonts w:hint="cs"/>
          <w:rtl/>
        </w:rPr>
        <w:t xml:space="preserve"> לא </w:t>
      </w:r>
      <w:proofErr w:type="spellStart"/>
      <w:r>
        <w:rPr>
          <w:rFonts w:hint="cs"/>
          <w:rtl/>
        </w:rPr>
        <w:t>נפדין</w:t>
      </w:r>
      <w:proofErr w:type="spellEnd"/>
      <w:r>
        <w:rPr>
          <w:rFonts w:hint="cs"/>
          <w:rtl/>
        </w:rPr>
        <w:t xml:space="preserve">). מצינו אם כן בברייתא שנחלקו ת"ק </w:t>
      </w:r>
      <w:proofErr w:type="spellStart"/>
      <w:r>
        <w:rPr>
          <w:rFonts w:hint="cs"/>
          <w:rtl/>
        </w:rPr>
        <w:t>ור"ש</w:t>
      </w:r>
      <w:proofErr w:type="spellEnd"/>
      <w:r>
        <w:rPr>
          <w:rFonts w:hint="cs"/>
          <w:rtl/>
        </w:rPr>
        <w:t xml:space="preserve">: לת"ק יש חילוק בין קדשי מזבח שנפדים (אין דין העמדה והערכה) </w:t>
      </w:r>
      <w:proofErr w:type="spellStart"/>
      <w:r>
        <w:rPr>
          <w:rFonts w:hint="cs"/>
          <w:rtl/>
        </w:rPr>
        <w:t>לקדשי</w:t>
      </w:r>
      <w:proofErr w:type="spellEnd"/>
      <w:r>
        <w:rPr>
          <w:rFonts w:hint="cs"/>
          <w:rtl/>
        </w:rPr>
        <w:t xml:space="preserve"> </w:t>
      </w:r>
      <w:proofErr w:type="spellStart"/>
      <w:r>
        <w:rPr>
          <w:rFonts w:hint="cs"/>
          <w:rtl/>
        </w:rPr>
        <w:t>בה"ב</w:t>
      </w:r>
      <w:proofErr w:type="spellEnd"/>
      <w:r>
        <w:rPr>
          <w:rFonts w:hint="cs"/>
          <w:rtl/>
        </w:rPr>
        <w:t xml:space="preserve"> שלא נפדים (יש דין העמדה והערכה); </w:t>
      </w:r>
      <w:proofErr w:type="spellStart"/>
      <w:r>
        <w:rPr>
          <w:rFonts w:hint="cs"/>
          <w:rtl/>
        </w:rPr>
        <w:t>לר"ש</w:t>
      </w:r>
      <w:proofErr w:type="spellEnd"/>
      <w:r>
        <w:rPr>
          <w:rFonts w:hint="cs"/>
          <w:rtl/>
        </w:rPr>
        <w:t xml:space="preserve"> זה וזה  נפדים (אין דין העמדה והערכה). </w:t>
      </w:r>
    </w:p>
    <w:p w:rsidR="00C51559" w:rsidRDefault="00C51559" w:rsidP="00C51559">
      <w:pPr>
        <w:rPr>
          <w:rFonts w:hint="cs"/>
          <w:rtl/>
        </w:rPr>
      </w:pPr>
      <w:r>
        <w:rPr>
          <w:rFonts w:hint="cs"/>
          <w:rtl/>
        </w:rPr>
        <w:t>שתי אפשרויות בהעמדת הברייתא:</w:t>
      </w:r>
    </w:p>
    <w:p w:rsidR="00C51559" w:rsidRDefault="00C51559" w:rsidP="00C51559">
      <w:pPr>
        <w:rPr>
          <w:rFonts w:hint="cs"/>
          <w:rtl/>
        </w:rPr>
      </w:pPr>
      <w:r>
        <w:rPr>
          <w:rFonts w:hint="cs"/>
          <w:rtl/>
        </w:rPr>
        <w:t xml:space="preserve">אפשרות ראשונה: קדשי מזבח שנדונים בברייתא, קדם הקדשן למומן (שורה אמצעית). לפי זה שיטת ת"ק כאן מתאימה לשיטתו של ר"ל ברבנן, ולא מתאימה לשיטתו של ר"ל, וקשיא לר"י. </w:t>
      </w:r>
    </w:p>
    <w:p w:rsidR="00C51559" w:rsidRDefault="00C51559" w:rsidP="00C51559">
      <w:pPr>
        <w:rPr>
          <w:rFonts w:hint="cs"/>
          <w:rtl/>
        </w:rPr>
      </w:pPr>
      <w:r>
        <w:rPr>
          <w:rFonts w:hint="cs"/>
          <w:rtl/>
        </w:rPr>
        <w:t xml:space="preserve">אפשרות </w:t>
      </w:r>
      <w:proofErr w:type="spellStart"/>
      <w:r>
        <w:rPr>
          <w:rFonts w:hint="cs"/>
          <w:rtl/>
        </w:rPr>
        <w:t>שניה</w:t>
      </w:r>
      <w:proofErr w:type="spellEnd"/>
      <w:r>
        <w:rPr>
          <w:rFonts w:hint="cs"/>
          <w:rtl/>
        </w:rPr>
        <w:t xml:space="preserve">: קדשי מזבח שבברייתא קדם מומן להקדשן (שורה תחתונה). לפי זה  שיטת ת"ק מתאימה לר"י ברבנן. אמנם לכאורה שיטה זו גם מתאימה לר"ל, אלא שניתן לדייק שדווקא בקדשי מזבח שקדם מומן להקדשן התירו רבנן לפדות </w:t>
      </w:r>
      <w:proofErr w:type="spellStart"/>
      <w:r>
        <w:rPr>
          <w:rFonts w:hint="cs"/>
          <w:rtl/>
        </w:rPr>
        <w:t>משא"כ</w:t>
      </w:r>
      <w:proofErr w:type="spellEnd"/>
      <w:r>
        <w:rPr>
          <w:rFonts w:hint="cs"/>
          <w:rtl/>
        </w:rPr>
        <w:t xml:space="preserve"> בקדם הקדשן למומן, ואם דיוק זה נכון </w:t>
      </w:r>
      <w:r>
        <w:rPr>
          <w:rtl/>
        </w:rPr>
        <w:t>–</w:t>
      </w:r>
      <w:r>
        <w:rPr>
          <w:rFonts w:hint="cs"/>
          <w:rtl/>
        </w:rPr>
        <w:t xml:space="preserve"> הרי זה סותר את שיטת ר"ל. </w:t>
      </w:r>
    </w:p>
    <w:p w:rsidR="00C51559" w:rsidRDefault="00C51559" w:rsidP="00C51559">
      <w:pPr>
        <w:rPr>
          <w:rFonts w:hint="cs"/>
          <w:rtl/>
        </w:rPr>
      </w:pPr>
      <w:r>
        <w:rPr>
          <w:rFonts w:hint="cs"/>
          <w:rtl/>
        </w:rPr>
        <w:t xml:space="preserve">עלה בידינו אם כן שהאפשרות הראשונה קשה לר"י </w:t>
      </w:r>
      <w:proofErr w:type="spellStart"/>
      <w:r>
        <w:rPr>
          <w:rFonts w:hint="cs"/>
          <w:rtl/>
        </w:rPr>
        <w:t>והשניה</w:t>
      </w:r>
      <w:proofErr w:type="spellEnd"/>
      <w:r>
        <w:rPr>
          <w:rFonts w:hint="cs"/>
          <w:rtl/>
        </w:rPr>
        <w:t xml:space="preserve"> קשה לר"ל. </w:t>
      </w:r>
    </w:p>
    <w:p w:rsidR="00C51559" w:rsidRDefault="00C51559" w:rsidP="00C51559">
      <w:pPr>
        <w:rPr>
          <w:rFonts w:hint="cs"/>
          <w:rtl/>
        </w:rPr>
      </w:pPr>
      <w:r>
        <w:rPr>
          <w:rFonts w:hint="cs"/>
          <w:rtl/>
        </w:rPr>
        <w:t xml:space="preserve">ההכרעה בין שתי האפשרויות תלויה בשיטת </w:t>
      </w:r>
      <w:proofErr w:type="spellStart"/>
      <w:r>
        <w:rPr>
          <w:rFonts w:hint="cs"/>
          <w:rtl/>
        </w:rPr>
        <w:t>ר"ש</w:t>
      </w:r>
      <w:proofErr w:type="spellEnd"/>
      <w:r>
        <w:rPr>
          <w:rFonts w:hint="cs"/>
          <w:rtl/>
        </w:rPr>
        <w:t>:</w:t>
      </w:r>
    </w:p>
    <w:p w:rsidR="00C51559" w:rsidRDefault="00C51559" w:rsidP="00C51559">
      <w:pPr>
        <w:rPr>
          <w:rFonts w:hint="cs"/>
          <w:rtl/>
        </w:rPr>
      </w:pPr>
      <w:r>
        <w:rPr>
          <w:rFonts w:hint="cs"/>
          <w:rtl/>
        </w:rPr>
        <w:t xml:space="preserve">לפי האפשרות הראשונה קשה מדוע </w:t>
      </w:r>
      <w:proofErr w:type="spellStart"/>
      <w:r>
        <w:rPr>
          <w:rFonts w:hint="cs"/>
          <w:rtl/>
        </w:rPr>
        <w:t>ר"ש</w:t>
      </w:r>
      <w:proofErr w:type="spellEnd"/>
      <w:r>
        <w:rPr>
          <w:rFonts w:hint="cs"/>
          <w:rtl/>
        </w:rPr>
        <w:t xml:space="preserve"> מתיר לפדות קדשי מזבח, והרי הוא סובר בשורה האמצעית שיש דין העמדה והערכה, ומכאן מוכרח כאפשרות </w:t>
      </w:r>
      <w:proofErr w:type="spellStart"/>
      <w:r>
        <w:rPr>
          <w:rFonts w:hint="cs"/>
          <w:rtl/>
        </w:rPr>
        <w:t>השניה</w:t>
      </w:r>
      <w:proofErr w:type="spellEnd"/>
      <w:r>
        <w:rPr>
          <w:rFonts w:hint="cs"/>
          <w:rtl/>
        </w:rPr>
        <w:t xml:space="preserve">, ששם אכן מודה </w:t>
      </w:r>
      <w:proofErr w:type="spellStart"/>
      <w:r>
        <w:rPr>
          <w:rFonts w:hint="cs"/>
          <w:rtl/>
        </w:rPr>
        <w:t>ר"ש</w:t>
      </w:r>
      <w:proofErr w:type="spellEnd"/>
      <w:r>
        <w:rPr>
          <w:rFonts w:hint="cs"/>
          <w:rtl/>
        </w:rPr>
        <w:t xml:space="preserve"> שאין דין העמדה והערכה בשורה התחתונה. לפנינו אם כן הוכחה לשיטת ר"י. </w:t>
      </w:r>
    </w:p>
    <w:p w:rsidR="00C51559" w:rsidRDefault="00C51559" w:rsidP="00C51559">
      <w:pPr>
        <w:rPr>
          <w:rFonts w:hint="cs"/>
          <w:rtl/>
        </w:rPr>
      </w:pPr>
      <w:r>
        <w:rPr>
          <w:rFonts w:hint="cs"/>
          <w:rtl/>
        </w:rPr>
        <w:t xml:space="preserve">ואכן ר"ל נוקט כאפשרות הראשונה, אלא שהוא גורס בברייתא </w:t>
      </w:r>
      <w:proofErr w:type="spellStart"/>
      <w:r>
        <w:rPr>
          <w:rFonts w:hint="cs"/>
          <w:rtl/>
        </w:rPr>
        <w:t>שר"ש</w:t>
      </w:r>
      <w:proofErr w:type="spellEnd"/>
      <w:r>
        <w:rPr>
          <w:rFonts w:hint="cs"/>
          <w:rtl/>
        </w:rPr>
        <w:t xml:space="preserve"> לא אומר במפורש </w:t>
      </w:r>
      <w:proofErr w:type="spellStart"/>
      <w:r>
        <w:rPr>
          <w:rFonts w:hint="cs"/>
          <w:rtl/>
        </w:rPr>
        <w:t>שקדשי</w:t>
      </w:r>
      <w:proofErr w:type="spellEnd"/>
      <w:r>
        <w:rPr>
          <w:rFonts w:hint="cs"/>
          <w:rtl/>
        </w:rPr>
        <w:t xml:space="preserve"> מזבח נפדים אלא רק שקשי </w:t>
      </w:r>
      <w:proofErr w:type="spellStart"/>
      <w:r>
        <w:rPr>
          <w:rFonts w:hint="cs"/>
          <w:rtl/>
        </w:rPr>
        <w:t>בה"ב</w:t>
      </w:r>
      <w:proofErr w:type="spellEnd"/>
      <w:r>
        <w:rPr>
          <w:rFonts w:hint="cs"/>
          <w:rtl/>
        </w:rPr>
        <w:t xml:space="preserve"> נפדים, ואין הכי </w:t>
      </w:r>
      <w:proofErr w:type="spellStart"/>
      <w:r>
        <w:rPr>
          <w:rFonts w:hint="cs"/>
          <w:rtl/>
        </w:rPr>
        <w:t>נמי</w:t>
      </w:r>
      <w:proofErr w:type="spellEnd"/>
      <w:r>
        <w:rPr>
          <w:rFonts w:hint="cs"/>
          <w:rtl/>
        </w:rPr>
        <w:t xml:space="preserve">, שהוא חולק גם בקדשי מזבח וסובר שאינם נפדים. </w:t>
      </w:r>
    </w:p>
    <w:p w:rsidR="00C51559" w:rsidRDefault="00C51559" w:rsidP="00C51559">
      <w:pPr>
        <w:pStyle w:val="a6"/>
        <w:ind w:firstLine="396"/>
        <w:rPr>
          <w:rFonts w:hint="cs"/>
          <w:rtl/>
        </w:rPr>
      </w:pPr>
      <w:r>
        <w:rPr>
          <w:rFonts w:hint="cs"/>
          <w:rtl/>
        </w:rPr>
        <w:t>הברייתא לר"י</w:t>
      </w:r>
      <w:r>
        <w:rPr>
          <w:rFonts w:hint="cs"/>
          <w:rtl/>
        </w:rPr>
        <w:tab/>
      </w:r>
      <w:r>
        <w:rPr>
          <w:rFonts w:hint="cs"/>
          <w:rtl/>
        </w:rPr>
        <w:tab/>
      </w:r>
      <w:r>
        <w:rPr>
          <w:rFonts w:hint="cs"/>
          <w:rtl/>
        </w:rPr>
        <w:tab/>
        <w:t>הברייתא לר"ל</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9"/>
        <w:gridCol w:w="608"/>
        <w:gridCol w:w="628"/>
        <w:gridCol w:w="222"/>
        <w:gridCol w:w="1649"/>
        <w:gridCol w:w="608"/>
        <w:gridCol w:w="628"/>
      </w:tblGrid>
      <w:tr w:rsidR="00C51559" w:rsidTr="00F925D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 xml:space="preserve">רבנן </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proofErr w:type="spellStart"/>
            <w:r>
              <w:rPr>
                <w:rFonts w:hint="cs"/>
                <w:rtl/>
              </w:rPr>
              <w:t>ר"ש</w:t>
            </w:r>
            <w:proofErr w:type="spellEnd"/>
            <w:r>
              <w:rPr>
                <w:rFonts w:hint="cs"/>
                <w:rtl/>
              </w:rPr>
              <w:t xml:space="preserve"> </w:t>
            </w:r>
          </w:p>
        </w:tc>
        <w:tc>
          <w:tcPr>
            <w:tcW w:w="0" w:type="auto"/>
            <w:tcBorders>
              <w:top w:val="nil"/>
              <w:left w:val="single" w:sz="4" w:space="0" w:color="auto"/>
              <w:bottom w:val="nil"/>
              <w:right w:val="single" w:sz="4" w:space="0" w:color="auto"/>
            </w:tcBorders>
          </w:tcPr>
          <w:p w:rsidR="00C51559" w:rsidRDefault="00C51559" w:rsidP="00F925DC">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 xml:space="preserve">רבנן </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proofErr w:type="spellStart"/>
            <w:r>
              <w:rPr>
                <w:rFonts w:hint="cs"/>
                <w:rtl/>
              </w:rPr>
              <w:t>ר"ש</w:t>
            </w:r>
            <w:proofErr w:type="spellEnd"/>
            <w:r>
              <w:rPr>
                <w:rFonts w:hint="cs"/>
                <w:rtl/>
              </w:rPr>
              <w:t xml:space="preserve"> </w:t>
            </w:r>
          </w:p>
        </w:tc>
      </w:tr>
      <w:tr w:rsidR="00C51559" w:rsidTr="00F925D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proofErr w:type="spellStart"/>
            <w:r>
              <w:rPr>
                <w:rFonts w:hint="cs"/>
                <w:rtl/>
              </w:rPr>
              <w:t>בה"ב</w:t>
            </w:r>
            <w:proofErr w:type="spellEnd"/>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יש</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אין</w:t>
            </w:r>
          </w:p>
        </w:tc>
        <w:tc>
          <w:tcPr>
            <w:tcW w:w="0" w:type="auto"/>
            <w:tcBorders>
              <w:top w:val="nil"/>
              <w:left w:val="single" w:sz="4" w:space="0" w:color="auto"/>
              <w:bottom w:val="nil"/>
              <w:right w:val="single" w:sz="4" w:space="0" w:color="auto"/>
            </w:tcBorders>
          </w:tcPr>
          <w:p w:rsidR="00C51559" w:rsidRDefault="00C51559" w:rsidP="00F925DC">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proofErr w:type="spellStart"/>
            <w:r>
              <w:rPr>
                <w:rFonts w:hint="cs"/>
                <w:rtl/>
              </w:rPr>
              <w:t>בה"ב</w:t>
            </w:r>
            <w:proofErr w:type="spellEnd"/>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יש</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אין</w:t>
            </w:r>
          </w:p>
        </w:tc>
      </w:tr>
      <w:tr w:rsidR="00C51559" w:rsidTr="00F925D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מזבח שקדם הקדשן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p>
        </w:tc>
        <w:tc>
          <w:tcPr>
            <w:tcW w:w="0" w:type="auto"/>
            <w:tcBorders>
              <w:top w:val="nil"/>
              <w:left w:val="single" w:sz="4" w:space="0" w:color="auto"/>
              <w:bottom w:val="nil"/>
              <w:right w:val="single" w:sz="4" w:space="0" w:color="auto"/>
            </w:tcBorders>
          </w:tcPr>
          <w:p w:rsidR="00C51559" w:rsidRDefault="00C51559" w:rsidP="00F925DC">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מזבח שקדם הקדשן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אין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יש</w:t>
            </w:r>
          </w:p>
        </w:tc>
      </w:tr>
      <w:tr w:rsidR="00C51559" w:rsidTr="00F925D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מזבח שקדם מומן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אין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r>
              <w:rPr>
                <w:rFonts w:hint="cs"/>
                <w:rtl/>
              </w:rPr>
              <w:t>אין</w:t>
            </w:r>
          </w:p>
        </w:tc>
        <w:tc>
          <w:tcPr>
            <w:tcW w:w="0" w:type="auto"/>
            <w:tcBorders>
              <w:top w:val="nil"/>
              <w:left w:val="single" w:sz="4" w:space="0" w:color="auto"/>
              <w:bottom w:val="nil"/>
              <w:right w:val="single" w:sz="4" w:space="0" w:color="auto"/>
            </w:tcBorders>
          </w:tcPr>
          <w:p w:rsidR="00C51559" w:rsidRDefault="00C51559" w:rsidP="00F925DC">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4"/>
              <w:rPr>
                <w:rFonts w:hint="cs"/>
                <w:rtl/>
              </w:rPr>
            </w:pPr>
            <w:r>
              <w:rPr>
                <w:rFonts w:hint="cs"/>
                <w:rtl/>
              </w:rPr>
              <w:t>מזבח שקדם מומן</w:t>
            </w: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p>
        </w:tc>
        <w:tc>
          <w:tcPr>
            <w:tcW w:w="0" w:type="auto"/>
            <w:tcBorders>
              <w:top w:val="single" w:sz="4" w:space="0" w:color="auto"/>
              <w:left w:val="single" w:sz="4" w:space="0" w:color="auto"/>
              <w:bottom w:val="single" w:sz="4" w:space="0" w:color="auto"/>
              <w:right w:val="single" w:sz="4" w:space="0" w:color="auto"/>
            </w:tcBorders>
          </w:tcPr>
          <w:p w:rsidR="00C51559" w:rsidRDefault="00C51559" w:rsidP="00F925DC">
            <w:pPr>
              <w:pStyle w:val="a5"/>
              <w:rPr>
                <w:rFonts w:hint="cs"/>
                <w:rtl/>
              </w:rPr>
            </w:pPr>
          </w:p>
        </w:tc>
      </w:tr>
    </w:tbl>
    <w:p w:rsidR="00C51559" w:rsidRDefault="00C51559" w:rsidP="00C51559">
      <w:pPr>
        <w:pStyle w:val="4"/>
        <w:rPr>
          <w:rFonts w:hint="cs"/>
          <w:rtl/>
        </w:rPr>
      </w:pPr>
      <w:r>
        <w:rPr>
          <w:rFonts w:hint="cs"/>
          <w:rtl/>
        </w:rPr>
        <w:t>סעיף ד- ה, קדם מומן להקדשן</w:t>
      </w:r>
    </w:p>
    <w:p w:rsidR="00C51559" w:rsidRDefault="00C51559" w:rsidP="00C51559">
      <w:pPr>
        <w:rPr>
          <w:rFonts w:hint="cs"/>
          <w:rtl/>
        </w:rPr>
      </w:pPr>
      <w:r>
        <w:rPr>
          <w:rFonts w:hint="cs"/>
          <w:rtl/>
        </w:rPr>
        <w:t xml:space="preserve">מצינו בברייתא, </w:t>
      </w:r>
      <w:proofErr w:type="spellStart"/>
      <w:r>
        <w:rPr>
          <w:rFonts w:hint="cs"/>
          <w:rtl/>
        </w:rPr>
        <w:t>שקדשי</w:t>
      </w:r>
      <w:proofErr w:type="spellEnd"/>
      <w:r>
        <w:rPr>
          <w:rFonts w:hint="cs"/>
          <w:rtl/>
        </w:rPr>
        <w:t xml:space="preserve"> מזבח שקדם מומן להקדשן יפדו (אין דין העמדה והערכה), ואילו קדם הקדשן למומן לא יפדו (יש דין העדה והערכה). </w:t>
      </w:r>
    </w:p>
    <w:p w:rsidR="00C51559" w:rsidRDefault="00C51559" w:rsidP="00C51559">
      <w:pPr>
        <w:rPr>
          <w:rFonts w:hint="cs"/>
          <w:rtl/>
        </w:rPr>
      </w:pPr>
      <w:r>
        <w:rPr>
          <w:rFonts w:hint="cs"/>
          <w:rtl/>
        </w:rPr>
        <w:lastRenderedPageBreak/>
        <w:t xml:space="preserve">מדובר בשתי השורות התחתונות בטבלה הגדולה, והחילוק בי </w:t>
      </w:r>
      <w:proofErr w:type="spellStart"/>
      <w:r>
        <w:rPr>
          <w:rFonts w:hint="cs"/>
          <w:rtl/>
        </w:rPr>
        <w:t>ןשתי</w:t>
      </w:r>
      <w:proofErr w:type="spellEnd"/>
      <w:r>
        <w:rPr>
          <w:rFonts w:hint="cs"/>
          <w:rtl/>
        </w:rPr>
        <w:t xml:space="preserve"> שורות אלו קיים הן בטור הימני (רבנן אליבא </w:t>
      </w:r>
      <w:proofErr w:type="spellStart"/>
      <w:r>
        <w:rPr>
          <w:rFonts w:hint="cs"/>
          <w:rtl/>
        </w:rPr>
        <w:t>דר"י</w:t>
      </w:r>
      <w:proofErr w:type="spellEnd"/>
      <w:r>
        <w:rPr>
          <w:rFonts w:hint="cs"/>
          <w:rtl/>
        </w:rPr>
        <w:t>) והן בטור השלישי (</w:t>
      </w:r>
      <w:proofErr w:type="spellStart"/>
      <w:r>
        <w:rPr>
          <w:rFonts w:hint="cs"/>
          <w:rtl/>
        </w:rPr>
        <w:t>ר"ש</w:t>
      </w:r>
      <w:proofErr w:type="spellEnd"/>
      <w:r>
        <w:rPr>
          <w:rFonts w:hint="cs"/>
          <w:rtl/>
        </w:rPr>
        <w:t xml:space="preserve">). </w:t>
      </w:r>
    </w:p>
    <w:p w:rsidR="00C51559" w:rsidRDefault="00C51559" w:rsidP="00C51559">
      <w:pPr>
        <w:rPr>
          <w:rFonts w:hint="cs"/>
          <w:rtl/>
        </w:rPr>
      </w:pPr>
    </w:p>
    <w:p w:rsidR="00C51559" w:rsidRDefault="00C51559" w:rsidP="00C51559">
      <w:pPr>
        <w:rPr>
          <w:rFonts w:hint="cs"/>
          <w:rtl/>
        </w:rPr>
      </w:pPr>
      <w:r>
        <w:rPr>
          <w:rFonts w:hint="cs"/>
          <w:rtl/>
        </w:rPr>
        <w:t>שני נוסחים נמסרו בשם רב בנוגע לייחוס ברייתא זו:</w:t>
      </w:r>
    </w:p>
    <w:p w:rsidR="00C51559" w:rsidRDefault="00C51559" w:rsidP="00C51559">
      <w:pPr>
        <w:rPr>
          <w:rFonts w:hint="cs"/>
          <w:rtl/>
        </w:rPr>
      </w:pPr>
      <w:r>
        <w:rPr>
          <w:rFonts w:hint="cs"/>
          <w:rtl/>
        </w:rPr>
        <w:t xml:space="preserve">נוסח א (סעיף ד): רב סובר כר"ל בדעת רבנן, ולכן הברייתא (שמחלקת בין שני סוגי הקדשים) מתאימה רק לשיטת </w:t>
      </w:r>
      <w:proofErr w:type="spellStart"/>
      <w:r>
        <w:rPr>
          <w:rFonts w:hint="cs"/>
          <w:rtl/>
        </w:rPr>
        <w:t>ר"ש</w:t>
      </w:r>
      <w:proofErr w:type="spellEnd"/>
      <w:r>
        <w:rPr>
          <w:rFonts w:hint="cs"/>
          <w:rtl/>
        </w:rPr>
        <w:t xml:space="preserve">. לוי סובר שבשני המקרים יש דין העמדה והערכה, ואילו רבנן סוברים שבשני המקרים אין דין העמדה והערכה. </w:t>
      </w:r>
    </w:p>
    <w:p w:rsidR="00C51559" w:rsidRDefault="00C51559" w:rsidP="00C51559">
      <w:pPr>
        <w:rPr>
          <w:rFonts w:hint="cs"/>
          <w:rtl/>
        </w:rPr>
      </w:pPr>
      <w:r>
        <w:rPr>
          <w:rFonts w:hint="cs"/>
          <w:rtl/>
        </w:rPr>
        <w:t xml:space="preserve">נוסח ב: רב סובר </w:t>
      </w:r>
      <w:proofErr w:type="spellStart"/>
      <w:r>
        <w:rPr>
          <w:rFonts w:hint="cs"/>
          <w:rtl/>
        </w:rPr>
        <w:t>כר"י</w:t>
      </w:r>
      <w:proofErr w:type="spellEnd"/>
      <w:r>
        <w:rPr>
          <w:rFonts w:hint="cs"/>
          <w:rtl/>
        </w:rPr>
        <w:t xml:space="preserve"> בדעת רבנן, ולכן הברייתא מתאימה הן </w:t>
      </w:r>
      <w:proofErr w:type="spellStart"/>
      <w:r>
        <w:rPr>
          <w:rFonts w:hint="cs"/>
          <w:rtl/>
        </w:rPr>
        <w:t>לר"ש</w:t>
      </w:r>
      <w:proofErr w:type="spellEnd"/>
      <w:r>
        <w:rPr>
          <w:rFonts w:hint="cs"/>
          <w:rtl/>
        </w:rPr>
        <w:t xml:space="preserve"> והן לרבנן (</w:t>
      </w:r>
      <w:proofErr w:type="spellStart"/>
      <w:r>
        <w:rPr>
          <w:rFonts w:hint="cs"/>
          <w:rtl/>
        </w:rPr>
        <w:t>ר"ש</w:t>
      </w:r>
      <w:proofErr w:type="spellEnd"/>
      <w:r>
        <w:rPr>
          <w:rFonts w:hint="cs"/>
          <w:rtl/>
        </w:rPr>
        <w:t xml:space="preserve"> ומחלוקתו), ולא מתאימה לדעת לוי. </w:t>
      </w:r>
    </w:p>
    <w:sectPr w:rsidR="00C51559" w:rsidSect="00C51559">
      <w:pgSz w:w="11906" w:h="16838"/>
      <w:pgMar w:top="2268" w:right="1985" w:bottom="2268" w:left="1985"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1559"/>
    <w:rsid w:val="0004279F"/>
    <w:rsid w:val="000C496A"/>
    <w:rsid w:val="00146FB9"/>
    <w:rsid w:val="001C583B"/>
    <w:rsid w:val="00287648"/>
    <w:rsid w:val="00351D5C"/>
    <w:rsid w:val="004A4E69"/>
    <w:rsid w:val="0067173E"/>
    <w:rsid w:val="00673552"/>
    <w:rsid w:val="00772AEE"/>
    <w:rsid w:val="007C078D"/>
    <w:rsid w:val="00807099"/>
    <w:rsid w:val="00853F22"/>
    <w:rsid w:val="009B1238"/>
    <w:rsid w:val="009F6FA0"/>
    <w:rsid w:val="00A4097F"/>
    <w:rsid w:val="00AD10D1"/>
    <w:rsid w:val="00C51559"/>
    <w:rsid w:val="00D741C9"/>
    <w:rsid w:val="00E359E1"/>
    <w:rsid w:val="00E86D2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559"/>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C51559"/>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C51559"/>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C51559"/>
    <w:rPr>
      <w:rFonts w:ascii="Arial" w:eastAsia="Times New Roman" w:hAnsi="Arial" w:cs="David"/>
      <w:b/>
      <w:bCs/>
      <w:i/>
      <w:iCs/>
      <w:sz w:val="28"/>
      <w:szCs w:val="28"/>
    </w:rPr>
  </w:style>
  <w:style w:type="character" w:customStyle="1" w:styleId="40">
    <w:name w:val="כותרת 4 תו"/>
    <w:basedOn w:val="a0"/>
    <w:link w:val="4"/>
    <w:rsid w:val="00C51559"/>
    <w:rPr>
      <w:rFonts w:ascii="Times New Roman" w:eastAsia="Times New Roman" w:hAnsi="Times New Roman" w:cs="David"/>
      <w:i/>
      <w:iCs/>
      <w:sz w:val="24"/>
      <w:szCs w:val="24"/>
    </w:rPr>
  </w:style>
  <w:style w:type="paragraph" w:customStyle="1" w:styleId="a3">
    <w:name w:val="צטוט"/>
    <w:basedOn w:val="a"/>
    <w:autoRedefine/>
    <w:rsid w:val="00C51559"/>
    <w:pPr>
      <w:ind w:left="680" w:hanging="340"/>
    </w:pPr>
    <w:rPr>
      <w:rFonts w:cs="Guttman-Toledo"/>
      <w:sz w:val="48"/>
    </w:rPr>
  </w:style>
  <w:style w:type="paragraph" w:customStyle="1" w:styleId="a4">
    <w:name w:val="תא כותרת ימין"/>
    <w:basedOn w:val="a"/>
    <w:rsid w:val="00C51559"/>
    <w:pPr>
      <w:ind w:right="113"/>
    </w:pPr>
    <w:rPr>
      <w:bCs/>
      <w:szCs w:val="18"/>
    </w:rPr>
  </w:style>
  <w:style w:type="paragraph" w:customStyle="1" w:styleId="a5">
    <w:name w:val="טור שמאל"/>
    <w:basedOn w:val="a"/>
    <w:rsid w:val="00C51559"/>
    <w:pPr>
      <w:ind w:left="113"/>
    </w:pPr>
    <w:rPr>
      <w:szCs w:val="20"/>
    </w:rPr>
  </w:style>
  <w:style w:type="paragraph" w:customStyle="1" w:styleId="a6">
    <w:name w:val="כותרת טבלה"/>
    <w:basedOn w:val="a"/>
    <w:rsid w:val="00C51559"/>
    <w:pPr>
      <w:spacing w:before="240" w:after="60"/>
      <w:ind w:left="284"/>
    </w:pPr>
    <w:rPr>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825</Words>
  <Characters>4130</Characters>
  <Application>Microsoft Office Word</Application>
  <DocSecurity>0</DocSecurity>
  <Lines>34</Lines>
  <Paragraphs>9</Paragraphs>
  <ScaleCrop>false</ScaleCrop>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2012-03-19T18:29:00Z</dcterms:created>
  <dcterms:modified xsi:type="dcterms:W3CDTF">2012-03-19T18:31:00Z</dcterms:modified>
</cp:coreProperties>
</file>