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757" w:rsidRDefault="00756757" w:rsidP="00756757">
      <w:pPr>
        <w:pStyle w:val="2"/>
        <w:rPr>
          <w:rtl/>
        </w:rPr>
      </w:pPr>
      <w:bookmarkStart w:id="0" w:name="_Toc321072218"/>
      <w:r>
        <w:rPr>
          <w:rFonts w:hint="cs"/>
          <w:rtl/>
        </w:rPr>
        <w:t xml:space="preserve">סימן </w:t>
      </w:r>
      <w:fldSimple w:instr=" SEQ סימניכריתות\* hebrew1 \* MERGEFORMAT ">
        <w:r>
          <w:rPr>
            <w:noProof/>
            <w:rtl/>
          </w:rPr>
          <w:t>ב</w:t>
        </w:r>
      </w:fldSimple>
      <w:r>
        <w:rPr>
          <w:rFonts w:hint="cs"/>
          <w:rtl/>
        </w:rPr>
        <w:t>. אמרו לו אכלת חלב, יא ע"ב</w:t>
      </w:r>
      <w:bookmarkEnd w:id="0"/>
    </w:p>
    <w:p w:rsidR="00756757" w:rsidRDefault="00756757" w:rsidP="00756757">
      <w:pPr>
        <w:pStyle w:val="a3"/>
        <w:rPr>
          <w:rFonts w:hint="cs"/>
          <w:rtl/>
        </w:rPr>
      </w:pPr>
      <w:fldSimple w:instr=" SEQ כריתותיא\* hebrew1 \* MERGEFORMAT ">
        <w:r>
          <w:rPr>
            <w:noProof/>
            <w:rtl/>
          </w:rPr>
          <w:t>א</w:t>
        </w:r>
      </w:fldSimple>
      <w:r>
        <w:rPr>
          <w:rFonts w:hint="cs"/>
          <w:rtl/>
        </w:rPr>
        <w:t>.</w:t>
      </w:r>
      <w:r>
        <w:rPr>
          <w:rFonts w:hint="cs"/>
          <w:rtl/>
        </w:rPr>
        <w:tab/>
      </w:r>
      <w:r>
        <w:rPr>
          <w:rtl/>
        </w:rPr>
        <w:t xml:space="preserve">/מתני'/. אמרו לו אכלת חלב - מביא חטאת. </w:t>
      </w:r>
    </w:p>
    <w:p w:rsidR="00756757" w:rsidRDefault="00756757" w:rsidP="00756757">
      <w:pPr>
        <w:pStyle w:val="a3"/>
        <w:rPr>
          <w:rFonts w:hint="cs"/>
          <w:rtl/>
        </w:rPr>
      </w:pPr>
      <w:fldSimple w:instr=" SEQ כריתותיא\* hebrew1 \* MERGEFORMAT ">
        <w:r>
          <w:rPr>
            <w:noProof/>
            <w:rtl/>
          </w:rPr>
          <w:t>ב</w:t>
        </w:r>
      </w:fldSimple>
      <w:r>
        <w:rPr>
          <w:rFonts w:hint="cs"/>
          <w:rtl/>
        </w:rPr>
        <w:t>.</w:t>
      </w:r>
      <w:r>
        <w:rPr>
          <w:rFonts w:hint="cs"/>
          <w:rtl/>
        </w:rPr>
        <w:tab/>
      </w:r>
      <w:r>
        <w:rPr>
          <w:rtl/>
        </w:rPr>
        <w:t xml:space="preserve">עד אומר אכל ועד אומר לא אכל, </w:t>
      </w:r>
      <w:proofErr w:type="spellStart"/>
      <w:r>
        <w:rPr>
          <w:rtl/>
        </w:rPr>
        <w:t>אשה</w:t>
      </w:r>
      <w:proofErr w:type="spellEnd"/>
      <w:r>
        <w:rPr>
          <w:rtl/>
        </w:rPr>
        <w:t xml:space="preserve"> אומרת אכל </w:t>
      </w:r>
      <w:proofErr w:type="spellStart"/>
      <w:r>
        <w:rPr>
          <w:rtl/>
        </w:rPr>
        <w:t>ואשה</w:t>
      </w:r>
      <w:proofErr w:type="spellEnd"/>
      <w:r>
        <w:rPr>
          <w:rtl/>
        </w:rPr>
        <w:t xml:space="preserve"> אומרת לא אכל - מביא אשם תלוי. </w:t>
      </w:r>
    </w:p>
    <w:p w:rsidR="00756757" w:rsidRDefault="00756757" w:rsidP="00756757">
      <w:pPr>
        <w:pStyle w:val="a3"/>
        <w:rPr>
          <w:rFonts w:hint="cs"/>
          <w:rtl/>
        </w:rPr>
      </w:pPr>
      <w:fldSimple w:instr=" SEQ כריתותיא\* hebrew1 \* MERGEFORMAT ">
        <w:r>
          <w:rPr>
            <w:noProof/>
            <w:rtl/>
          </w:rPr>
          <w:t>ג</w:t>
        </w:r>
      </w:fldSimple>
      <w:r>
        <w:rPr>
          <w:rFonts w:hint="cs"/>
          <w:rtl/>
        </w:rPr>
        <w:t>.</w:t>
      </w:r>
      <w:r>
        <w:rPr>
          <w:rFonts w:hint="cs"/>
          <w:rtl/>
        </w:rPr>
        <w:tab/>
      </w:r>
      <w:r>
        <w:rPr>
          <w:rtl/>
        </w:rPr>
        <w:t xml:space="preserve">עד אומר אכל והוא אומר לא אכלתי - פטור. </w:t>
      </w:r>
    </w:p>
    <w:p w:rsidR="00756757" w:rsidRDefault="00756757" w:rsidP="00756757">
      <w:pPr>
        <w:pStyle w:val="a3"/>
        <w:rPr>
          <w:rFonts w:hint="cs"/>
          <w:rtl/>
        </w:rPr>
      </w:pPr>
      <w:fldSimple w:instr=" SEQ כריתותיא\* hebrew1 \* MERGEFORMAT ">
        <w:r>
          <w:rPr>
            <w:noProof/>
            <w:rtl/>
          </w:rPr>
          <w:t>ד</w:t>
        </w:r>
      </w:fldSimple>
      <w:r>
        <w:rPr>
          <w:rFonts w:hint="cs"/>
          <w:rtl/>
        </w:rPr>
        <w:t>.</w:t>
      </w:r>
      <w:r>
        <w:rPr>
          <w:rFonts w:hint="cs"/>
          <w:rtl/>
        </w:rPr>
        <w:tab/>
      </w:r>
      <w:r>
        <w:rPr>
          <w:rtl/>
        </w:rPr>
        <w:t xml:space="preserve">שנים אומרים אכל והוא אומר לא אכלתי - רבי מאיר מחייב. </w:t>
      </w:r>
      <w:proofErr w:type="spellStart"/>
      <w:r>
        <w:rPr>
          <w:rtl/>
        </w:rPr>
        <w:t>א"ר</w:t>
      </w:r>
      <w:proofErr w:type="spellEnd"/>
      <w:r>
        <w:rPr>
          <w:rtl/>
        </w:rPr>
        <w:t xml:space="preserve"> מאיר: אם הביאוהו שנים לידי מיתה חמורה, לא יביאוהו לידי קרבן הקל? אמרו לו: מה אם ירצה לומר מזיד הייתי - פטור. </w:t>
      </w:r>
    </w:p>
    <w:p w:rsidR="00756757" w:rsidRDefault="00756757" w:rsidP="00756757">
      <w:pPr>
        <w:pStyle w:val="a3"/>
        <w:rPr>
          <w:rtl/>
        </w:rPr>
      </w:pPr>
      <w:fldSimple w:instr=" SEQ כריתותיא\* hebrew1 \* MERGEFORMAT ">
        <w:r>
          <w:rPr>
            <w:noProof/>
            <w:rtl/>
          </w:rPr>
          <w:t>ה</w:t>
        </w:r>
      </w:fldSimple>
      <w:r>
        <w:rPr>
          <w:rFonts w:hint="cs"/>
          <w:rtl/>
        </w:rPr>
        <w:t>.</w:t>
      </w:r>
      <w:r>
        <w:rPr>
          <w:rFonts w:hint="cs"/>
          <w:rtl/>
        </w:rPr>
        <w:tab/>
      </w:r>
      <w:r>
        <w:rPr>
          <w:rtl/>
        </w:rPr>
        <w:t xml:space="preserve">אכל חלב וחלב בהעלם אחת </w:t>
      </w:r>
      <w:r>
        <w:rPr>
          <w:rFonts w:hint="cs"/>
          <w:rtl/>
        </w:rPr>
        <w:t>...</w:t>
      </w:r>
    </w:p>
    <w:p w:rsidR="00756757" w:rsidRDefault="00756757" w:rsidP="00756757">
      <w:pPr>
        <w:pStyle w:val="a3"/>
        <w:rPr>
          <w:rFonts w:hint="cs"/>
          <w:rtl/>
        </w:rPr>
      </w:pPr>
      <w:fldSimple w:instr=" SEQ כריתותיא\* hebrew1 \* MERGEFORMAT ">
        <w:r>
          <w:rPr>
            <w:noProof/>
            <w:rtl/>
          </w:rPr>
          <w:t>ו</w:t>
        </w:r>
      </w:fldSimple>
      <w:r>
        <w:rPr>
          <w:rFonts w:hint="cs"/>
          <w:rtl/>
        </w:rPr>
        <w:t>.</w:t>
      </w:r>
      <w:r>
        <w:rPr>
          <w:rFonts w:hint="cs"/>
          <w:rtl/>
        </w:rPr>
        <w:tab/>
      </w:r>
      <w:proofErr w:type="spellStart"/>
      <w:r>
        <w:rPr>
          <w:rtl/>
        </w:rPr>
        <w:t>גמ</w:t>
      </w:r>
      <w:proofErr w:type="spellEnd"/>
      <w:r>
        <w:rPr>
          <w:rtl/>
        </w:rPr>
        <w:t xml:space="preserve">'. </w:t>
      </w:r>
      <w:proofErr w:type="spellStart"/>
      <w:r>
        <w:rPr>
          <w:rtl/>
        </w:rPr>
        <w:t>קתני</w:t>
      </w:r>
      <w:proofErr w:type="spellEnd"/>
      <w:r>
        <w:rPr>
          <w:rtl/>
        </w:rPr>
        <w:t xml:space="preserve">: אמרו לו אכלת חלב - מביא חטאת; אמרו כמה </w:t>
      </w:r>
      <w:proofErr w:type="spellStart"/>
      <w:r>
        <w:rPr>
          <w:rtl/>
        </w:rPr>
        <w:t>הויין</w:t>
      </w:r>
      <w:proofErr w:type="spellEnd"/>
      <w:r>
        <w:rPr>
          <w:rtl/>
        </w:rPr>
        <w:t xml:space="preserve">? </w:t>
      </w:r>
      <w:proofErr w:type="spellStart"/>
      <w:r>
        <w:rPr>
          <w:rtl/>
        </w:rPr>
        <w:t>תרין</w:t>
      </w:r>
      <w:proofErr w:type="spellEnd"/>
      <w:r>
        <w:rPr>
          <w:rtl/>
        </w:rPr>
        <w:t xml:space="preserve">, והוא מה אמר להון? </w:t>
      </w:r>
      <w:proofErr w:type="spellStart"/>
      <w:r>
        <w:rPr>
          <w:rtl/>
        </w:rPr>
        <w:t>אלימא</w:t>
      </w:r>
      <w:proofErr w:type="spellEnd"/>
      <w:r>
        <w:rPr>
          <w:rtl/>
        </w:rPr>
        <w:t xml:space="preserve"> </w:t>
      </w:r>
      <w:proofErr w:type="spellStart"/>
      <w:r>
        <w:rPr>
          <w:rtl/>
        </w:rPr>
        <w:t>דשתיק</w:t>
      </w:r>
      <w:proofErr w:type="spellEnd"/>
      <w:r>
        <w:rPr>
          <w:rtl/>
        </w:rPr>
        <w:t xml:space="preserve"> ולא </w:t>
      </w:r>
      <w:proofErr w:type="spellStart"/>
      <w:r>
        <w:rPr>
          <w:rtl/>
        </w:rPr>
        <w:t>קמכחיש</w:t>
      </w:r>
      <w:proofErr w:type="spellEnd"/>
      <w:r>
        <w:rPr>
          <w:rtl/>
        </w:rPr>
        <w:t xml:space="preserve"> להו, אלא שתיקה </w:t>
      </w:r>
      <w:proofErr w:type="spellStart"/>
      <w:r>
        <w:rPr>
          <w:rtl/>
        </w:rPr>
        <w:t>דתרין</w:t>
      </w:r>
      <w:proofErr w:type="spellEnd"/>
      <w:r>
        <w:rPr>
          <w:rtl/>
        </w:rPr>
        <w:t xml:space="preserve"> הוא </w:t>
      </w:r>
      <w:proofErr w:type="spellStart"/>
      <w:r>
        <w:rPr>
          <w:rtl/>
        </w:rPr>
        <w:t>דמביא</w:t>
      </w:r>
      <w:proofErr w:type="spellEnd"/>
      <w:r>
        <w:rPr>
          <w:rtl/>
        </w:rPr>
        <w:t xml:space="preserve"> חטאת, על שתיקה </w:t>
      </w:r>
      <w:proofErr w:type="spellStart"/>
      <w:r>
        <w:rPr>
          <w:rtl/>
        </w:rPr>
        <w:t>דחד</w:t>
      </w:r>
      <w:proofErr w:type="spellEnd"/>
      <w:r>
        <w:rPr>
          <w:rtl/>
        </w:rPr>
        <w:t xml:space="preserve"> לא, אימא </w:t>
      </w:r>
      <w:proofErr w:type="spellStart"/>
      <w:r>
        <w:rPr>
          <w:rtl/>
        </w:rPr>
        <w:t>מציעתא</w:t>
      </w:r>
      <w:proofErr w:type="spellEnd"/>
      <w:r>
        <w:rPr>
          <w:rtl/>
        </w:rPr>
        <w:t xml:space="preserve">: עד אומר אכל והוא אומר לא אכלתי, </w:t>
      </w:r>
      <w:proofErr w:type="spellStart"/>
      <w:r>
        <w:rPr>
          <w:rtl/>
        </w:rPr>
        <w:t>טעמא</w:t>
      </w:r>
      <w:proofErr w:type="spellEnd"/>
      <w:r>
        <w:rPr>
          <w:rtl/>
        </w:rPr>
        <w:t xml:space="preserve"> </w:t>
      </w:r>
      <w:proofErr w:type="spellStart"/>
      <w:r>
        <w:rPr>
          <w:rtl/>
        </w:rPr>
        <w:t>דמכחיש</w:t>
      </w:r>
      <w:proofErr w:type="spellEnd"/>
      <w:r>
        <w:rPr>
          <w:rtl/>
        </w:rPr>
        <w:t xml:space="preserve"> ליה, אבל שתיק </w:t>
      </w:r>
      <w:proofErr w:type="spellStart"/>
      <w:r>
        <w:rPr>
          <w:rtl/>
        </w:rPr>
        <w:t>מיחייב</w:t>
      </w:r>
      <w:proofErr w:type="spellEnd"/>
      <w:r>
        <w:rPr>
          <w:rtl/>
        </w:rPr>
        <w:t xml:space="preserve">, וכ"ש תרי! </w:t>
      </w:r>
    </w:p>
    <w:p w:rsidR="00756757" w:rsidRDefault="00756757" w:rsidP="00756757">
      <w:pPr>
        <w:pStyle w:val="a3"/>
        <w:rPr>
          <w:rFonts w:hint="cs"/>
          <w:rtl/>
        </w:rPr>
      </w:pPr>
      <w:fldSimple w:instr=" SEQ כריתותיא\* hebrew1 \* MERGEFORMAT ">
        <w:r>
          <w:rPr>
            <w:noProof/>
            <w:rtl/>
          </w:rPr>
          <w:t>ז</w:t>
        </w:r>
      </w:fldSimple>
      <w:r>
        <w:rPr>
          <w:rFonts w:hint="cs"/>
          <w:rtl/>
        </w:rPr>
        <w:t>.</w:t>
      </w:r>
      <w:r>
        <w:rPr>
          <w:rFonts w:hint="cs"/>
          <w:rtl/>
        </w:rPr>
        <w:tab/>
      </w:r>
      <w:r>
        <w:rPr>
          <w:rtl/>
        </w:rPr>
        <w:t xml:space="preserve">אלא </w:t>
      </w:r>
      <w:proofErr w:type="spellStart"/>
      <w:r>
        <w:rPr>
          <w:rtl/>
        </w:rPr>
        <w:t>דקמכחיש</w:t>
      </w:r>
      <w:proofErr w:type="spellEnd"/>
      <w:r>
        <w:rPr>
          <w:rtl/>
        </w:rPr>
        <w:t xml:space="preserve"> להו, מני? ר"מ היא, </w:t>
      </w:r>
      <w:proofErr w:type="spellStart"/>
      <w:r>
        <w:rPr>
          <w:rtl/>
        </w:rPr>
        <w:t>דאמר</w:t>
      </w:r>
      <w:proofErr w:type="spellEnd"/>
      <w:r>
        <w:rPr>
          <w:rtl/>
        </w:rPr>
        <w:t xml:space="preserve">: הכחשה </w:t>
      </w:r>
      <w:proofErr w:type="spellStart"/>
      <w:r>
        <w:rPr>
          <w:rtl/>
        </w:rPr>
        <w:t>דבי</w:t>
      </w:r>
      <w:proofErr w:type="spellEnd"/>
      <w:r>
        <w:rPr>
          <w:rtl/>
        </w:rPr>
        <w:t xml:space="preserve"> תרי לאו הכחשה היא, אבל לרבנן פטור. ומאי </w:t>
      </w:r>
      <w:proofErr w:type="spellStart"/>
      <w:r>
        <w:rPr>
          <w:rtl/>
        </w:rPr>
        <w:t>קמשמע</w:t>
      </w:r>
      <w:proofErr w:type="spellEnd"/>
      <w:r>
        <w:rPr>
          <w:rtl/>
        </w:rPr>
        <w:t xml:space="preserve"> לן? מסיפא שמעת מינה! הא </w:t>
      </w:r>
      <w:proofErr w:type="spellStart"/>
      <w:r>
        <w:rPr>
          <w:rtl/>
        </w:rPr>
        <w:t>קמשמע</w:t>
      </w:r>
      <w:proofErr w:type="spellEnd"/>
      <w:r>
        <w:rPr>
          <w:rtl/>
        </w:rPr>
        <w:t xml:space="preserve"> לן, דבר זה מחלוקת ר"מ ורבנן, והוא </w:t>
      </w:r>
      <w:proofErr w:type="spellStart"/>
      <w:r>
        <w:rPr>
          <w:rtl/>
        </w:rPr>
        <w:t>דקמכחיש</w:t>
      </w:r>
      <w:proofErr w:type="spellEnd"/>
      <w:r>
        <w:rPr>
          <w:rtl/>
        </w:rPr>
        <w:t xml:space="preserve"> להו. </w:t>
      </w:r>
    </w:p>
    <w:p w:rsidR="00756757" w:rsidRDefault="00756757" w:rsidP="00756757">
      <w:pPr>
        <w:pStyle w:val="a3"/>
        <w:rPr>
          <w:rFonts w:hint="cs"/>
          <w:rtl/>
        </w:rPr>
      </w:pPr>
      <w:fldSimple w:instr=" SEQ כריתותיא\* hebrew1 \* MERGEFORMAT ">
        <w:r>
          <w:rPr>
            <w:noProof/>
            <w:rtl/>
          </w:rPr>
          <w:t>ח</w:t>
        </w:r>
      </w:fldSimple>
      <w:r>
        <w:rPr>
          <w:rFonts w:hint="cs"/>
          <w:rtl/>
        </w:rPr>
        <w:t>.</w:t>
      </w:r>
      <w:r>
        <w:rPr>
          <w:rFonts w:hint="cs"/>
          <w:rtl/>
        </w:rPr>
        <w:tab/>
      </w:r>
      <w:proofErr w:type="spellStart"/>
      <w:r>
        <w:rPr>
          <w:rtl/>
        </w:rPr>
        <w:t>איכא</w:t>
      </w:r>
      <w:proofErr w:type="spellEnd"/>
      <w:r>
        <w:rPr>
          <w:rtl/>
        </w:rPr>
        <w:t xml:space="preserve"> </w:t>
      </w:r>
      <w:proofErr w:type="spellStart"/>
      <w:r>
        <w:rPr>
          <w:rtl/>
        </w:rPr>
        <w:t>דאמרי</w:t>
      </w:r>
      <w:proofErr w:type="spellEnd"/>
      <w:r>
        <w:rPr>
          <w:rtl/>
        </w:rPr>
        <w:t xml:space="preserve">: אמרו לו </w:t>
      </w:r>
      <w:proofErr w:type="spellStart"/>
      <w:r>
        <w:rPr>
          <w:rtl/>
        </w:rPr>
        <w:t>נמי</w:t>
      </w:r>
      <w:proofErr w:type="spellEnd"/>
      <w:r>
        <w:rPr>
          <w:rtl/>
        </w:rPr>
        <w:t xml:space="preserve"> חד קרי ליה, </w:t>
      </w:r>
      <w:proofErr w:type="spellStart"/>
      <w:r>
        <w:rPr>
          <w:rtl/>
        </w:rPr>
        <w:t>דתנן</w:t>
      </w:r>
      <w:proofErr w:type="spellEnd"/>
      <w:r>
        <w:rPr>
          <w:rtl/>
        </w:rPr>
        <w:t xml:space="preserve">: </w:t>
      </w:r>
      <w:proofErr w:type="spellStart"/>
      <w:r>
        <w:rPr>
          <w:rtl/>
        </w:rPr>
        <w:t>האשה</w:t>
      </w:r>
      <w:proofErr w:type="spellEnd"/>
      <w:r>
        <w:rPr>
          <w:rtl/>
        </w:rPr>
        <w:t xml:space="preserve"> שהלך בעלה למדינת הים, ובאו ואמרו לה מת בעליך ונישאת, ואח"כ בא בעלה - תצא מזה ומזה, </w:t>
      </w:r>
      <w:proofErr w:type="spellStart"/>
      <w:r>
        <w:rPr>
          <w:rtl/>
        </w:rPr>
        <w:t>דקי"ל</w:t>
      </w:r>
      <w:proofErr w:type="spellEnd"/>
      <w:r>
        <w:rPr>
          <w:rtl/>
        </w:rPr>
        <w:t xml:space="preserve"> </w:t>
      </w:r>
      <w:proofErr w:type="spellStart"/>
      <w:r>
        <w:rPr>
          <w:rtl/>
        </w:rPr>
        <w:t>דאפילו</w:t>
      </w:r>
      <w:proofErr w:type="spellEnd"/>
      <w:r>
        <w:rPr>
          <w:rtl/>
        </w:rPr>
        <w:t xml:space="preserve"> בחד, ממאי? </w:t>
      </w:r>
      <w:proofErr w:type="spellStart"/>
      <w:r>
        <w:rPr>
          <w:rtl/>
        </w:rPr>
        <w:t>מדקתני</w:t>
      </w:r>
      <w:proofErr w:type="spellEnd"/>
      <w:r>
        <w:rPr>
          <w:rtl/>
        </w:rPr>
        <w:t xml:space="preserve"> סיפא: נישאת שלא ברשות - מותרת לחזור לו, מאי שלא ברשות? שלא ברשות בית דין (ועד אחד) +מסורת הש"ס: [אלא בעדים]+ מכלל </w:t>
      </w:r>
      <w:proofErr w:type="spellStart"/>
      <w:r>
        <w:rPr>
          <w:rtl/>
        </w:rPr>
        <w:t>דרישא</w:t>
      </w:r>
      <w:proofErr w:type="spellEnd"/>
      <w:r>
        <w:rPr>
          <w:rtl/>
        </w:rPr>
        <w:t xml:space="preserve"> ברשות ב"ד ובעד אחד, </w:t>
      </w:r>
      <w:proofErr w:type="spellStart"/>
      <w:r>
        <w:rPr>
          <w:rtl/>
        </w:rPr>
        <w:t>אלמא</w:t>
      </w:r>
      <w:proofErr w:type="spellEnd"/>
      <w:r>
        <w:rPr>
          <w:rtl/>
        </w:rPr>
        <w:t xml:space="preserve"> גבי עד אחד </w:t>
      </w:r>
      <w:proofErr w:type="spellStart"/>
      <w:r>
        <w:rPr>
          <w:rtl/>
        </w:rPr>
        <w:t>קתני</w:t>
      </w:r>
      <w:proofErr w:type="spellEnd"/>
      <w:r>
        <w:rPr>
          <w:rtl/>
        </w:rPr>
        <w:t xml:space="preserve"> אמרו, והכא </w:t>
      </w:r>
      <w:proofErr w:type="spellStart"/>
      <w:r>
        <w:rPr>
          <w:rtl/>
        </w:rPr>
        <w:t>נמי</w:t>
      </w:r>
      <w:proofErr w:type="spellEnd"/>
      <w:r>
        <w:rPr>
          <w:rtl/>
        </w:rPr>
        <w:t xml:space="preserve"> </w:t>
      </w:r>
      <w:proofErr w:type="spellStart"/>
      <w:r>
        <w:rPr>
          <w:rtl/>
        </w:rPr>
        <w:t>דקתני</w:t>
      </w:r>
      <w:proofErr w:type="spellEnd"/>
      <w:r>
        <w:rPr>
          <w:rtl/>
        </w:rPr>
        <w:t xml:space="preserve"> אמרו לו, משמע אפילו עד אחד. והוא מאי </w:t>
      </w:r>
      <w:proofErr w:type="spellStart"/>
      <w:r>
        <w:rPr>
          <w:rtl/>
        </w:rPr>
        <w:t>קאמר</w:t>
      </w:r>
      <w:proofErr w:type="spellEnd"/>
      <w:r>
        <w:rPr>
          <w:rtl/>
        </w:rPr>
        <w:t xml:space="preserve">? </w:t>
      </w:r>
      <w:proofErr w:type="spellStart"/>
      <w:r>
        <w:rPr>
          <w:rtl/>
        </w:rPr>
        <w:t>אלימא</w:t>
      </w:r>
      <w:proofErr w:type="spellEnd"/>
      <w:r>
        <w:rPr>
          <w:rtl/>
        </w:rPr>
        <w:t xml:space="preserve"> </w:t>
      </w:r>
      <w:proofErr w:type="spellStart"/>
      <w:r>
        <w:rPr>
          <w:rtl/>
        </w:rPr>
        <w:t>דקא</w:t>
      </w:r>
      <w:proofErr w:type="spellEnd"/>
      <w:r>
        <w:rPr>
          <w:rtl/>
        </w:rPr>
        <w:t xml:space="preserve"> מכחיש ליה, מי </w:t>
      </w:r>
      <w:proofErr w:type="spellStart"/>
      <w:r>
        <w:rPr>
          <w:rtl/>
        </w:rPr>
        <w:t>מייתי</w:t>
      </w:r>
      <w:proofErr w:type="spellEnd"/>
      <w:r>
        <w:rPr>
          <w:rtl/>
        </w:rPr>
        <w:t xml:space="preserve">? והא </w:t>
      </w:r>
      <w:proofErr w:type="spellStart"/>
      <w:r>
        <w:rPr>
          <w:rtl/>
        </w:rPr>
        <w:t>קתני</w:t>
      </w:r>
      <w:proofErr w:type="spellEnd"/>
      <w:r>
        <w:rPr>
          <w:rtl/>
        </w:rPr>
        <w:t xml:space="preserve"> </w:t>
      </w:r>
      <w:proofErr w:type="spellStart"/>
      <w:r>
        <w:rPr>
          <w:rtl/>
        </w:rPr>
        <w:t>מציעתא</w:t>
      </w:r>
      <w:proofErr w:type="spellEnd"/>
      <w:r>
        <w:rPr>
          <w:rtl/>
        </w:rPr>
        <w:t xml:space="preserve">: עד אחד אומר אכל והוא אומר לא אכלתי - פטור! אלא </w:t>
      </w:r>
      <w:proofErr w:type="spellStart"/>
      <w:r>
        <w:rPr>
          <w:rtl/>
        </w:rPr>
        <w:t>דשתיק</w:t>
      </w:r>
      <w:proofErr w:type="spellEnd"/>
      <w:r>
        <w:rPr>
          <w:rtl/>
        </w:rPr>
        <w:t xml:space="preserve">, </w:t>
      </w:r>
      <w:proofErr w:type="spellStart"/>
      <w:r>
        <w:rPr>
          <w:rtl/>
        </w:rPr>
        <w:t>ממציעתא</w:t>
      </w:r>
      <w:proofErr w:type="spellEnd"/>
      <w:r>
        <w:rPr>
          <w:rtl/>
        </w:rPr>
        <w:t xml:space="preserve"> שמע מינה: עד אחד אומר </w:t>
      </w:r>
      <w:proofErr w:type="spellStart"/>
      <w:r>
        <w:rPr>
          <w:rtl/>
        </w:rPr>
        <w:t>כו</w:t>
      </w:r>
      <w:proofErr w:type="spellEnd"/>
      <w:r>
        <w:rPr>
          <w:rtl/>
        </w:rPr>
        <w:t xml:space="preserve">', </w:t>
      </w:r>
      <w:proofErr w:type="spellStart"/>
      <w:r>
        <w:rPr>
          <w:rtl/>
        </w:rPr>
        <w:t>טעמא</w:t>
      </w:r>
      <w:proofErr w:type="spellEnd"/>
      <w:r>
        <w:rPr>
          <w:rtl/>
        </w:rPr>
        <w:t xml:space="preserve"> </w:t>
      </w:r>
      <w:proofErr w:type="spellStart"/>
      <w:r>
        <w:rPr>
          <w:rtl/>
        </w:rPr>
        <w:t>דקא</w:t>
      </w:r>
      <w:proofErr w:type="spellEnd"/>
      <w:r>
        <w:rPr>
          <w:rtl/>
        </w:rPr>
        <w:t xml:space="preserve"> מכחיש ליה, אבל שתק </w:t>
      </w:r>
      <w:proofErr w:type="spellStart"/>
      <w:r>
        <w:rPr>
          <w:rtl/>
        </w:rPr>
        <w:t>מישתק</w:t>
      </w:r>
      <w:proofErr w:type="spellEnd"/>
      <w:r>
        <w:rPr>
          <w:rtl/>
        </w:rPr>
        <w:t xml:space="preserve"> - חייב! </w:t>
      </w:r>
    </w:p>
    <w:p w:rsidR="00756757" w:rsidRDefault="00756757" w:rsidP="00756757">
      <w:pPr>
        <w:pStyle w:val="a3"/>
        <w:rPr>
          <w:rFonts w:hint="cs"/>
          <w:rtl/>
        </w:rPr>
      </w:pPr>
      <w:fldSimple w:instr=" SEQ כריתותיא\* hebrew1 \* MERGEFORMAT ">
        <w:r>
          <w:rPr>
            <w:noProof/>
            <w:rtl/>
          </w:rPr>
          <w:t>ט</w:t>
        </w:r>
      </w:fldSimple>
      <w:r>
        <w:rPr>
          <w:rFonts w:hint="cs"/>
          <w:rtl/>
        </w:rPr>
        <w:t>.</w:t>
      </w:r>
      <w:r>
        <w:rPr>
          <w:rFonts w:hint="cs"/>
          <w:rtl/>
        </w:rPr>
        <w:tab/>
      </w:r>
      <w:r>
        <w:rPr>
          <w:rtl/>
        </w:rPr>
        <w:t xml:space="preserve">לעולם דלא מכחיש ליה, והכי </w:t>
      </w:r>
      <w:proofErr w:type="spellStart"/>
      <w:r>
        <w:rPr>
          <w:rtl/>
        </w:rPr>
        <w:t>קתני</w:t>
      </w:r>
      <w:proofErr w:type="spellEnd"/>
      <w:r>
        <w:rPr>
          <w:rtl/>
        </w:rPr>
        <w:t xml:space="preserve">: אמרו לו אכלת חלב - מביא חטאת, במה דברים אמורים - </w:t>
      </w:r>
      <w:proofErr w:type="spellStart"/>
      <w:r>
        <w:rPr>
          <w:rtl/>
        </w:rPr>
        <w:t>דשתיק</w:t>
      </w:r>
      <w:proofErr w:type="spellEnd"/>
      <w:r>
        <w:rPr>
          <w:rtl/>
        </w:rPr>
        <w:t>, אבל מכחיש ליה - פטור.</w:t>
      </w:r>
    </w:p>
    <w:p w:rsidR="00756757" w:rsidRDefault="00756757" w:rsidP="00756757">
      <w:pPr>
        <w:pStyle w:val="4"/>
        <w:rPr>
          <w:rFonts w:hint="cs"/>
          <w:rtl/>
        </w:rPr>
      </w:pPr>
      <w:r>
        <w:rPr>
          <w:rFonts w:hint="cs"/>
          <w:rtl/>
        </w:rPr>
        <w:t>חלקי המשנה</w:t>
      </w:r>
    </w:p>
    <w:p w:rsidR="00756757" w:rsidRDefault="00756757" w:rsidP="00756757">
      <w:pPr>
        <w:rPr>
          <w:rFonts w:hint="cs"/>
          <w:rtl/>
        </w:rPr>
      </w:pPr>
      <w:r>
        <w:rPr>
          <w:rFonts w:hint="cs"/>
          <w:rtl/>
        </w:rPr>
        <w:t xml:space="preserve">רישא (סעיף א) </w:t>
      </w:r>
      <w:r>
        <w:rPr>
          <w:rtl/>
        </w:rPr>
        <w:t>–</w:t>
      </w:r>
      <w:r>
        <w:rPr>
          <w:rFonts w:hint="cs"/>
          <w:rtl/>
        </w:rPr>
        <w:t xml:space="preserve"> ספק בגמרא אם עד אחד או שני עדים (סעיפים ו-ט)</w:t>
      </w:r>
    </w:p>
    <w:p w:rsidR="00756757" w:rsidRDefault="00756757" w:rsidP="00756757">
      <w:pPr>
        <w:rPr>
          <w:rFonts w:hint="cs"/>
          <w:rtl/>
        </w:rPr>
      </w:pPr>
      <w:proofErr w:type="spellStart"/>
      <w:r>
        <w:rPr>
          <w:rFonts w:hint="cs"/>
          <w:rtl/>
        </w:rPr>
        <w:t>מציעתא</w:t>
      </w:r>
      <w:proofErr w:type="spellEnd"/>
      <w:r>
        <w:rPr>
          <w:rFonts w:hint="cs"/>
          <w:rtl/>
        </w:rPr>
        <w:t xml:space="preserve"> (סעיף ג) </w:t>
      </w:r>
      <w:r>
        <w:rPr>
          <w:rtl/>
        </w:rPr>
        <w:t>–</w:t>
      </w:r>
      <w:r>
        <w:rPr>
          <w:rFonts w:hint="cs"/>
          <w:rtl/>
        </w:rPr>
        <w:t xml:space="preserve"> עד אחד מעידו והוא מכחיש פטור (ומשמע שאם שותק חייב). </w:t>
      </w:r>
    </w:p>
    <w:p w:rsidR="00756757" w:rsidRDefault="00756757" w:rsidP="00756757">
      <w:pPr>
        <w:rPr>
          <w:rFonts w:hint="cs"/>
          <w:rtl/>
        </w:rPr>
      </w:pPr>
      <w:r>
        <w:rPr>
          <w:rFonts w:hint="cs"/>
          <w:rtl/>
        </w:rPr>
        <w:t xml:space="preserve">סיפא (סעיף ד) </w:t>
      </w:r>
      <w:r>
        <w:rPr>
          <w:rtl/>
        </w:rPr>
        <w:t>–</w:t>
      </w:r>
      <w:r>
        <w:rPr>
          <w:rFonts w:hint="cs"/>
          <w:rtl/>
        </w:rPr>
        <w:t xml:space="preserve"> שני עדים והוא מכחישם מחלוקת (אך אם שותק חייב)</w:t>
      </w:r>
    </w:p>
    <w:p w:rsidR="00756757" w:rsidRDefault="00756757" w:rsidP="00756757">
      <w:pPr>
        <w:pStyle w:val="4"/>
        <w:rPr>
          <w:rFonts w:hint="cs"/>
          <w:rtl/>
        </w:rPr>
      </w:pPr>
      <w:r>
        <w:rPr>
          <w:rFonts w:hint="cs"/>
          <w:rtl/>
        </w:rPr>
        <w:t>הדינים בחלקים אלו של המשנה</w:t>
      </w:r>
    </w:p>
    <w:p w:rsidR="00756757" w:rsidRDefault="00756757" w:rsidP="00756757">
      <w:pPr>
        <w:pStyle w:val="a6"/>
        <w:ind w:left="1004"/>
        <w:rPr>
          <w:rFonts w:hint="cs"/>
          <w:rtl/>
        </w:rPr>
      </w:pPr>
      <w:r>
        <w:rPr>
          <w:rFonts w:hint="cs"/>
          <w:rtl/>
        </w:rPr>
        <w:t>ר"מ</w:t>
      </w:r>
      <w:r>
        <w:rPr>
          <w:rFonts w:hint="cs"/>
          <w:rtl/>
        </w:rPr>
        <w:tab/>
      </w:r>
      <w:r>
        <w:rPr>
          <w:rFonts w:hint="cs"/>
          <w:rtl/>
        </w:rPr>
        <w:tab/>
      </w:r>
      <w:r>
        <w:rPr>
          <w:rFonts w:hint="cs"/>
          <w:rtl/>
        </w:rPr>
        <w:tab/>
      </w:r>
      <w:r>
        <w:rPr>
          <w:rFonts w:hint="cs"/>
          <w:rtl/>
        </w:rPr>
        <w:tab/>
      </w:r>
      <w:r>
        <w:rPr>
          <w:rFonts w:hint="cs"/>
          <w:rtl/>
        </w:rPr>
        <w:tab/>
        <w:t>רבנן</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
        <w:gridCol w:w="1007"/>
        <w:gridCol w:w="1096"/>
        <w:gridCol w:w="222"/>
        <w:gridCol w:w="952"/>
        <w:gridCol w:w="1007"/>
        <w:gridCol w:w="1096"/>
      </w:tblGrid>
      <w:tr w:rsidR="00756757" w:rsidTr="002B7BB8">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r>
              <w:rPr>
                <w:rFonts w:hint="cs"/>
                <w:rtl/>
              </w:rPr>
              <w:t>הוא שותק</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r>
              <w:rPr>
                <w:rFonts w:hint="cs"/>
                <w:rtl/>
              </w:rPr>
              <w:t>הוא מכחיש</w:t>
            </w:r>
          </w:p>
        </w:tc>
        <w:tc>
          <w:tcPr>
            <w:tcW w:w="0" w:type="auto"/>
            <w:tcBorders>
              <w:top w:val="nil"/>
              <w:left w:val="single" w:sz="4" w:space="0" w:color="auto"/>
              <w:bottom w:val="nil"/>
              <w:right w:val="single" w:sz="4" w:space="0" w:color="auto"/>
            </w:tcBorders>
          </w:tcPr>
          <w:p w:rsidR="00756757" w:rsidRDefault="00756757" w:rsidP="002B7BB8">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r>
              <w:rPr>
                <w:rFonts w:hint="cs"/>
                <w:rtl/>
              </w:rPr>
              <w:t xml:space="preserve">הוא שותק </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r>
              <w:rPr>
                <w:rFonts w:hint="cs"/>
                <w:rtl/>
              </w:rPr>
              <w:t>הוא מכחיש</w:t>
            </w:r>
          </w:p>
        </w:tc>
      </w:tr>
      <w:tr w:rsidR="00756757" w:rsidTr="002B7BB8">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r>
              <w:rPr>
                <w:rFonts w:hint="cs"/>
                <w:rtl/>
              </w:rPr>
              <w:t>שני עדים</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5"/>
              <w:rPr>
                <w:rFonts w:hint="cs"/>
                <w:rtl/>
              </w:rPr>
            </w:pPr>
            <w:r>
              <w:rPr>
                <w:rFonts w:hint="cs"/>
                <w:rtl/>
              </w:rPr>
              <w:t>חייב</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5"/>
              <w:rPr>
                <w:rFonts w:hint="cs"/>
                <w:rtl/>
              </w:rPr>
            </w:pPr>
            <w:r>
              <w:rPr>
                <w:rFonts w:hint="cs"/>
                <w:rtl/>
              </w:rPr>
              <w:t>חייב</w:t>
            </w:r>
          </w:p>
        </w:tc>
        <w:tc>
          <w:tcPr>
            <w:tcW w:w="0" w:type="auto"/>
            <w:tcBorders>
              <w:top w:val="nil"/>
              <w:left w:val="single" w:sz="4" w:space="0" w:color="auto"/>
              <w:bottom w:val="nil"/>
              <w:right w:val="single" w:sz="4" w:space="0" w:color="auto"/>
            </w:tcBorders>
          </w:tcPr>
          <w:p w:rsidR="00756757" w:rsidRDefault="00756757" w:rsidP="002B7BB8">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r>
              <w:rPr>
                <w:rFonts w:hint="cs"/>
                <w:rtl/>
              </w:rPr>
              <w:t>שני עדים</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5"/>
              <w:rPr>
                <w:rFonts w:hint="cs"/>
                <w:rtl/>
              </w:rPr>
            </w:pPr>
            <w:r>
              <w:rPr>
                <w:rFonts w:hint="cs"/>
                <w:rtl/>
              </w:rPr>
              <w:t>חייב</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5"/>
              <w:rPr>
                <w:rFonts w:hint="cs"/>
                <w:rtl/>
              </w:rPr>
            </w:pPr>
            <w:r>
              <w:rPr>
                <w:rFonts w:hint="cs"/>
                <w:rtl/>
              </w:rPr>
              <w:t>פטור</w:t>
            </w:r>
          </w:p>
        </w:tc>
      </w:tr>
      <w:tr w:rsidR="00756757" w:rsidTr="002B7BB8">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r>
              <w:rPr>
                <w:rFonts w:hint="cs"/>
                <w:rtl/>
              </w:rPr>
              <w:t>עד אחד</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5"/>
              <w:rPr>
                <w:rFonts w:hint="cs"/>
                <w:rtl/>
              </w:rPr>
            </w:pPr>
            <w:r>
              <w:rPr>
                <w:rFonts w:hint="cs"/>
                <w:rtl/>
              </w:rPr>
              <w:t>חייב</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5"/>
              <w:rPr>
                <w:rFonts w:hint="cs"/>
                <w:rtl/>
              </w:rPr>
            </w:pPr>
            <w:r>
              <w:rPr>
                <w:rFonts w:hint="cs"/>
                <w:rtl/>
              </w:rPr>
              <w:t>פטור</w:t>
            </w:r>
          </w:p>
        </w:tc>
        <w:tc>
          <w:tcPr>
            <w:tcW w:w="0" w:type="auto"/>
            <w:tcBorders>
              <w:top w:val="nil"/>
              <w:left w:val="single" w:sz="4" w:space="0" w:color="auto"/>
              <w:bottom w:val="nil"/>
              <w:right w:val="single" w:sz="4" w:space="0" w:color="auto"/>
            </w:tcBorders>
          </w:tcPr>
          <w:p w:rsidR="00756757" w:rsidRDefault="00756757" w:rsidP="002B7BB8">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r>
              <w:rPr>
                <w:rFonts w:hint="cs"/>
                <w:rtl/>
              </w:rPr>
              <w:t>עד אחד</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5"/>
              <w:rPr>
                <w:rFonts w:hint="cs"/>
                <w:rtl/>
              </w:rPr>
            </w:pPr>
            <w:r>
              <w:rPr>
                <w:rFonts w:hint="cs"/>
                <w:rtl/>
              </w:rPr>
              <w:t>חייב</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5"/>
              <w:rPr>
                <w:rFonts w:hint="cs"/>
                <w:rtl/>
              </w:rPr>
            </w:pPr>
            <w:r>
              <w:rPr>
                <w:rFonts w:hint="cs"/>
                <w:rtl/>
              </w:rPr>
              <w:t>פטור</w:t>
            </w:r>
          </w:p>
        </w:tc>
      </w:tr>
    </w:tbl>
    <w:p w:rsidR="00756757" w:rsidRDefault="00756757" w:rsidP="00756757">
      <w:pPr>
        <w:rPr>
          <w:rFonts w:hint="cs"/>
          <w:rtl/>
        </w:rPr>
      </w:pPr>
    </w:p>
    <w:p w:rsidR="00756757" w:rsidRDefault="00756757" w:rsidP="00756757">
      <w:pPr>
        <w:rPr>
          <w:rFonts w:hint="cs"/>
          <w:rtl/>
        </w:rPr>
      </w:pPr>
      <w:r>
        <w:rPr>
          <w:rFonts w:hint="cs"/>
          <w:rtl/>
        </w:rPr>
        <w:lastRenderedPageBreak/>
        <w:t>המשבצת השמאלית תחתונה מפורשת בסעיף ג</w:t>
      </w:r>
    </w:p>
    <w:p w:rsidR="00756757" w:rsidRDefault="00756757" w:rsidP="00756757">
      <w:pPr>
        <w:rPr>
          <w:rFonts w:hint="cs"/>
          <w:rtl/>
        </w:rPr>
      </w:pPr>
      <w:r>
        <w:rPr>
          <w:rFonts w:hint="cs"/>
          <w:rtl/>
        </w:rPr>
        <w:t>המשבצת הימנית תחתונה נלמדת מדיוק מסעיף ג</w:t>
      </w:r>
    </w:p>
    <w:p w:rsidR="00756757" w:rsidRDefault="00756757" w:rsidP="00756757">
      <w:pPr>
        <w:rPr>
          <w:rFonts w:hint="cs"/>
          <w:rtl/>
        </w:rPr>
      </w:pPr>
      <w:r>
        <w:rPr>
          <w:rFonts w:hint="cs"/>
          <w:rtl/>
        </w:rPr>
        <w:t>המשבצת הימנית עליונה נלמדת מק"ו מהימנית תחתונה</w:t>
      </w:r>
    </w:p>
    <w:p w:rsidR="00756757" w:rsidRDefault="00756757" w:rsidP="00756757">
      <w:pPr>
        <w:rPr>
          <w:rFonts w:hint="cs"/>
          <w:rtl/>
        </w:rPr>
      </w:pPr>
      <w:r>
        <w:rPr>
          <w:rFonts w:hint="cs"/>
          <w:rtl/>
        </w:rPr>
        <w:t>המשבצת השמאלית עליונה מפורשת בסעיף ד</w:t>
      </w:r>
    </w:p>
    <w:p w:rsidR="00756757" w:rsidRDefault="00756757" w:rsidP="00756757">
      <w:pPr>
        <w:pStyle w:val="3"/>
        <w:rPr>
          <w:rFonts w:hint="cs"/>
          <w:rtl/>
        </w:rPr>
      </w:pPr>
      <w:r>
        <w:rPr>
          <w:rFonts w:hint="cs"/>
          <w:rtl/>
        </w:rPr>
        <w:t>פירושו של סעיף א (מיקומו בטבלה), סעיפים ו-ט</w:t>
      </w:r>
    </w:p>
    <w:p w:rsidR="00756757" w:rsidRDefault="00756757" w:rsidP="00756757">
      <w:pPr>
        <w:rPr>
          <w:rFonts w:hint="cs"/>
          <w:rtl/>
        </w:rPr>
      </w:pPr>
      <w:r>
        <w:rPr>
          <w:rFonts w:hint="cs"/>
          <w:rtl/>
        </w:rPr>
        <w:t xml:space="preserve">הגמרא בודקת ארבע אפשרויות להצבת סעיף א, בהתאם לארבע משבצות הטבלה. בטבלה הבאה נציג כיצד כל שלב </w:t>
      </w:r>
      <w:proofErr w:type="spellStart"/>
      <w:r>
        <w:rPr>
          <w:rFonts w:hint="cs"/>
          <w:rtl/>
        </w:rPr>
        <w:t>בסוגיא</w:t>
      </w:r>
      <w:proofErr w:type="spellEnd"/>
      <w:r>
        <w:rPr>
          <w:rFonts w:hint="cs"/>
          <w:rtl/>
        </w:rPr>
        <w:t xml:space="preserve"> מציב את סעיף א במקום אחר בטבלה:</w:t>
      </w:r>
    </w:p>
    <w:p w:rsidR="00756757" w:rsidRDefault="00756757" w:rsidP="00756757">
      <w:pPr>
        <w:pStyle w:val="a6"/>
        <w:rPr>
          <w:rFonts w:hint="cs"/>
          <w:rtl/>
        </w:rPr>
      </w:pPr>
      <w:r>
        <w:rPr>
          <w:rFonts w:hint="cs"/>
          <w:rtl/>
        </w:rPr>
        <w:t>מיקומו של סעיף א במשנה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2"/>
        <w:gridCol w:w="1007"/>
        <w:gridCol w:w="1096"/>
      </w:tblGrid>
      <w:tr w:rsidR="00756757" w:rsidTr="002B7BB8">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r>
              <w:rPr>
                <w:rFonts w:hint="cs"/>
                <w:rtl/>
              </w:rPr>
              <w:t>הוא שותק</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r>
              <w:rPr>
                <w:rFonts w:hint="cs"/>
                <w:rtl/>
              </w:rPr>
              <w:t>הוא מכחיש</w:t>
            </w:r>
          </w:p>
        </w:tc>
      </w:tr>
      <w:tr w:rsidR="00756757" w:rsidTr="002B7BB8">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r>
              <w:rPr>
                <w:rFonts w:hint="cs"/>
                <w:rtl/>
              </w:rPr>
              <w:t>שני עדים</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5"/>
              <w:rPr>
                <w:rFonts w:hint="cs"/>
                <w:rtl/>
              </w:rPr>
            </w:pPr>
            <w:r>
              <w:rPr>
                <w:rFonts w:hint="cs"/>
                <w:rtl/>
              </w:rPr>
              <w:t>סעיף ו</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5"/>
              <w:rPr>
                <w:rFonts w:hint="cs"/>
                <w:rtl/>
              </w:rPr>
            </w:pPr>
            <w:r>
              <w:rPr>
                <w:rFonts w:hint="cs"/>
                <w:rtl/>
              </w:rPr>
              <w:t>סעיף ז</w:t>
            </w:r>
          </w:p>
        </w:tc>
      </w:tr>
      <w:tr w:rsidR="00756757" w:rsidTr="002B7BB8">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4"/>
              <w:rPr>
                <w:rFonts w:hint="cs"/>
                <w:rtl/>
              </w:rPr>
            </w:pPr>
            <w:r>
              <w:rPr>
                <w:rFonts w:hint="cs"/>
                <w:rtl/>
              </w:rPr>
              <w:t>עד אחד</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5"/>
              <w:rPr>
                <w:rFonts w:hint="cs"/>
                <w:rtl/>
              </w:rPr>
            </w:pPr>
            <w:r>
              <w:rPr>
                <w:rFonts w:hint="cs"/>
                <w:rtl/>
              </w:rPr>
              <w:t>סעיף ח</w:t>
            </w:r>
          </w:p>
        </w:tc>
        <w:tc>
          <w:tcPr>
            <w:tcW w:w="0" w:type="auto"/>
            <w:tcBorders>
              <w:top w:val="single" w:sz="4" w:space="0" w:color="auto"/>
              <w:left w:val="single" w:sz="4" w:space="0" w:color="auto"/>
              <w:bottom w:val="single" w:sz="4" w:space="0" w:color="auto"/>
              <w:right w:val="single" w:sz="4" w:space="0" w:color="auto"/>
            </w:tcBorders>
          </w:tcPr>
          <w:p w:rsidR="00756757" w:rsidRDefault="00756757" w:rsidP="002B7BB8">
            <w:pPr>
              <w:pStyle w:val="a5"/>
              <w:rPr>
                <w:rFonts w:hint="cs"/>
                <w:rtl/>
              </w:rPr>
            </w:pPr>
            <w:r>
              <w:rPr>
                <w:rFonts w:hint="cs"/>
                <w:rtl/>
              </w:rPr>
              <w:t>סעיף ט</w:t>
            </w:r>
          </w:p>
        </w:tc>
      </w:tr>
    </w:tbl>
    <w:p w:rsidR="00756757" w:rsidRDefault="00756757" w:rsidP="00756757">
      <w:pPr>
        <w:rPr>
          <w:rFonts w:hint="cs"/>
          <w:rtl/>
        </w:rPr>
      </w:pPr>
    </w:p>
    <w:p w:rsidR="00756757" w:rsidRDefault="00756757" w:rsidP="00756757">
      <w:pPr>
        <w:pStyle w:val="4"/>
        <w:rPr>
          <w:rFonts w:hint="cs"/>
          <w:rtl/>
        </w:rPr>
      </w:pPr>
      <w:proofErr w:type="spellStart"/>
      <w:r>
        <w:rPr>
          <w:rFonts w:hint="cs"/>
          <w:rtl/>
        </w:rPr>
        <w:t>איכא</w:t>
      </w:r>
      <w:proofErr w:type="spellEnd"/>
      <w:r>
        <w:rPr>
          <w:rFonts w:hint="cs"/>
          <w:rtl/>
        </w:rPr>
        <w:t xml:space="preserve"> </w:t>
      </w:r>
      <w:proofErr w:type="spellStart"/>
      <w:r>
        <w:rPr>
          <w:rFonts w:hint="cs"/>
          <w:rtl/>
        </w:rPr>
        <w:t>דאמרי</w:t>
      </w:r>
      <w:proofErr w:type="spellEnd"/>
      <w:r>
        <w:rPr>
          <w:rFonts w:hint="cs"/>
          <w:rtl/>
        </w:rPr>
        <w:t xml:space="preserve"> א, סעיפים ו-ז</w:t>
      </w:r>
    </w:p>
    <w:p w:rsidR="00756757" w:rsidRDefault="00756757" w:rsidP="00756757">
      <w:pPr>
        <w:rPr>
          <w:rFonts w:hint="cs"/>
          <w:rtl/>
        </w:rPr>
      </w:pPr>
      <w:r>
        <w:rPr>
          <w:rFonts w:hint="cs"/>
          <w:rtl/>
        </w:rPr>
        <w:t xml:space="preserve">הגמרא מניחה </w:t>
      </w:r>
      <w:proofErr w:type="spellStart"/>
      <w:r>
        <w:rPr>
          <w:rFonts w:hint="cs"/>
          <w:rtl/>
        </w:rPr>
        <w:t>ש'אמרו</w:t>
      </w:r>
      <w:proofErr w:type="spellEnd"/>
      <w:r>
        <w:rPr>
          <w:rFonts w:hint="cs"/>
          <w:rtl/>
        </w:rPr>
        <w:t xml:space="preserve"> לו' משמע שני עדים, ולפי זה סעיף א עוסק בשורה העליונה בטבלה.</w:t>
      </w:r>
    </w:p>
    <w:p w:rsidR="00756757" w:rsidRDefault="00756757" w:rsidP="00756757">
      <w:pPr>
        <w:rPr>
          <w:rFonts w:hint="cs"/>
          <w:rtl/>
        </w:rPr>
      </w:pPr>
      <w:r>
        <w:rPr>
          <w:rFonts w:hint="cs"/>
          <w:rtl/>
        </w:rPr>
        <w:t xml:space="preserve">בסעיף ו הגמרא מציעה את המשבצת הימנית עליונה (הוא שותק), אלא שאז יוצא שניתן לדייק דיוקים סותרים לגבי הימנית תחתונה (ע"א מעידו והוא שותק): מכך שהמשנה מחייבת דווקא בימנית עליונה (סעיף א) משמע שבימנית תחתונה פטור, ומאידך: ממה שהמשנה פוטרת דווקא בשמאלית תחתונה (סעיף ג) משמע שבימנית תחתונה חייב. </w:t>
      </w:r>
    </w:p>
    <w:p w:rsidR="00756757" w:rsidRDefault="00756757" w:rsidP="00756757">
      <w:pPr>
        <w:rPr>
          <w:rFonts w:hint="cs"/>
          <w:rtl/>
        </w:rPr>
      </w:pPr>
      <w:r>
        <w:rPr>
          <w:rFonts w:hint="cs"/>
          <w:rtl/>
        </w:rPr>
        <w:t xml:space="preserve">בסעיף ז הגמרא מציעה את המשבצת השמאלית עליונה, ולמרות שמשבצת זו תלויה במחלוקת (בסעיף ד), ולפי זה סעיף א הוא רק אליבא </w:t>
      </w:r>
      <w:proofErr w:type="spellStart"/>
      <w:r>
        <w:rPr>
          <w:rFonts w:hint="cs"/>
          <w:rtl/>
        </w:rPr>
        <w:t>דר"מ</w:t>
      </w:r>
      <w:proofErr w:type="spellEnd"/>
      <w:r>
        <w:rPr>
          <w:rFonts w:hint="cs"/>
          <w:rtl/>
        </w:rPr>
        <w:t xml:space="preserve">, מכל מקום סגנון המשנה הוא תנא והדר מפרש, דהיינו דבר זה ששנינו בסעיף א תלוי הוא במחלוקת בסעיף ד. </w:t>
      </w:r>
    </w:p>
    <w:p w:rsidR="00756757" w:rsidRDefault="00756757" w:rsidP="00756757">
      <w:pPr>
        <w:pStyle w:val="4"/>
        <w:rPr>
          <w:rFonts w:hint="cs"/>
          <w:rtl/>
        </w:rPr>
      </w:pPr>
      <w:proofErr w:type="spellStart"/>
      <w:r>
        <w:rPr>
          <w:rFonts w:hint="cs"/>
          <w:rtl/>
        </w:rPr>
        <w:t>איכא</w:t>
      </w:r>
      <w:proofErr w:type="spellEnd"/>
      <w:r>
        <w:rPr>
          <w:rFonts w:hint="cs"/>
          <w:rtl/>
        </w:rPr>
        <w:t xml:space="preserve"> </w:t>
      </w:r>
      <w:proofErr w:type="spellStart"/>
      <w:r>
        <w:rPr>
          <w:rFonts w:hint="cs"/>
          <w:rtl/>
        </w:rPr>
        <w:t>דאמרי</w:t>
      </w:r>
      <w:proofErr w:type="spellEnd"/>
      <w:r>
        <w:rPr>
          <w:rFonts w:hint="cs"/>
          <w:rtl/>
        </w:rPr>
        <w:t xml:space="preserve"> ב, סעיפים ח-ט</w:t>
      </w:r>
    </w:p>
    <w:p w:rsidR="00756757" w:rsidRDefault="00756757" w:rsidP="00756757">
      <w:pPr>
        <w:rPr>
          <w:rFonts w:hint="cs"/>
          <w:rtl/>
        </w:rPr>
      </w:pPr>
      <w:r>
        <w:rPr>
          <w:rFonts w:hint="cs"/>
          <w:rtl/>
        </w:rPr>
        <w:t xml:space="preserve">הגמרא מניחה שאמרו לו משמע עד אחד (כשם שמצינו באשה שהלך בעלה </w:t>
      </w:r>
      <w:proofErr w:type="spellStart"/>
      <w:r>
        <w:rPr>
          <w:rFonts w:hint="cs"/>
          <w:rtl/>
        </w:rPr>
        <w:t>למדה"י</w:t>
      </w:r>
      <w:proofErr w:type="spellEnd"/>
      <w:r>
        <w:rPr>
          <w:rFonts w:hint="cs"/>
          <w:rtl/>
        </w:rPr>
        <w:t xml:space="preserve"> </w:t>
      </w:r>
      <w:proofErr w:type="spellStart"/>
      <w:r>
        <w:rPr>
          <w:rFonts w:hint="cs"/>
          <w:rtl/>
        </w:rPr>
        <w:t>וכו</w:t>
      </w:r>
      <w:proofErr w:type="spellEnd"/>
      <w:r>
        <w:rPr>
          <w:rFonts w:hint="cs"/>
          <w:rtl/>
        </w:rPr>
        <w:t xml:space="preserve">'), ולפי זה סעיף א עוסק בשורה התחתונה בטבלה. </w:t>
      </w:r>
    </w:p>
    <w:p w:rsidR="00756757" w:rsidRDefault="00756757" w:rsidP="00756757">
      <w:pPr>
        <w:rPr>
          <w:rFonts w:hint="cs"/>
          <w:rtl/>
        </w:rPr>
      </w:pPr>
      <w:r>
        <w:rPr>
          <w:rFonts w:hint="cs"/>
          <w:rtl/>
        </w:rPr>
        <w:t xml:space="preserve">בסעיף ח הגמרא מציעה את המשבצת השמאלית תחתונה, אך שוללת אפשרות זו בעקבות סתירה ישירה לסעיף ג העוסק אף הוא במשבצת זו ופוטר בה. </w:t>
      </w:r>
    </w:p>
    <w:p w:rsidR="00756757" w:rsidRDefault="00756757" w:rsidP="00756757">
      <w:pPr>
        <w:rPr>
          <w:rFonts w:hint="cs"/>
          <w:rtl/>
        </w:rPr>
      </w:pPr>
      <w:r>
        <w:rPr>
          <w:rFonts w:hint="cs"/>
          <w:rtl/>
        </w:rPr>
        <w:t xml:space="preserve">בסעיף ט הגמרא עוברת למשבצת הימנית תחתונה, ולמרות שהיא נלמדת מדיוק מסעיף ג העוסק בשמאלית תחתונה שדווקא שם פטור, אך בימנית תחתונה חייב, מכל מקום כך הוא סגנון המשנה - סעיף ג מברר את סעיף א, שדווקא אם שותק חייב, אך אם מכחיש פטור. </w:t>
      </w:r>
    </w:p>
    <w:p w:rsidR="00756757" w:rsidRDefault="00756757" w:rsidP="00756757">
      <w:pPr>
        <w:pStyle w:val="3"/>
        <w:rPr>
          <w:rFonts w:hint="cs"/>
          <w:rtl/>
        </w:rPr>
      </w:pPr>
      <w:r>
        <w:rPr>
          <w:rFonts w:hint="cs"/>
          <w:rtl/>
        </w:rPr>
        <w:t>סיכום</w:t>
      </w:r>
    </w:p>
    <w:p w:rsidR="00756757" w:rsidRDefault="00756757" w:rsidP="00756757">
      <w:pPr>
        <w:rPr>
          <w:rFonts w:hint="cs"/>
          <w:rtl/>
        </w:rPr>
      </w:pPr>
      <w:r>
        <w:rPr>
          <w:rFonts w:hint="cs"/>
          <w:rtl/>
        </w:rPr>
        <w:t xml:space="preserve">ההבדל בין שני </w:t>
      </w:r>
      <w:proofErr w:type="spellStart"/>
      <w:r>
        <w:rPr>
          <w:rFonts w:hint="cs"/>
          <w:rtl/>
        </w:rPr>
        <w:t>הא"ד</w:t>
      </w:r>
      <w:proofErr w:type="spellEnd"/>
      <w:r>
        <w:rPr>
          <w:rFonts w:hint="cs"/>
          <w:rtl/>
        </w:rPr>
        <w:t xml:space="preserve"> הוא באיזו שורה להציב את הרישא: </w:t>
      </w:r>
      <w:proofErr w:type="spellStart"/>
      <w:r>
        <w:rPr>
          <w:rFonts w:hint="cs"/>
          <w:rtl/>
        </w:rPr>
        <w:t>הא"ד</w:t>
      </w:r>
      <w:proofErr w:type="spellEnd"/>
      <w:r>
        <w:rPr>
          <w:rFonts w:hint="cs"/>
          <w:rtl/>
        </w:rPr>
        <w:t xml:space="preserve"> הראשון מציב אותה בשורה העליונה, </w:t>
      </w:r>
      <w:proofErr w:type="spellStart"/>
      <w:r>
        <w:rPr>
          <w:rFonts w:hint="cs"/>
          <w:rtl/>
        </w:rPr>
        <w:t>והא"ד</w:t>
      </w:r>
      <w:proofErr w:type="spellEnd"/>
      <w:r>
        <w:rPr>
          <w:rFonts w:hint="cs"/>
          <w:rtl/>
        </w:rPr>
        <w:t xml:space="preserve"> השני בשורה התחתונה. </w:t>
      </w:r>
    </w:p>
    <w:p w:rsidR="00756757" w:rsidRDefault="00756757" w:rsidP="00756757">
      <w:pPr>
        <w:rPr>
          <w:rFonts w:hint="cs"/>
          <w:rtl/>
        </w:rPr>
      </w:pPr>
      <w:r>
        <w:rPr>
          <w:rFonts w:hint="cs"/>
          <w:rtl/>
        </w:rPr>
        <w:t xml:space="preserve">המשותף לשני </w:t>
      </w:r>
      <w:proofErr w:type="spellStart"/>
      <w:r>
        <w:rPr>
          <w:rFonts w:hint="cs"/>
          <w:rtl/>
        </w:rPr>
        <w:t>הא"ד</w:t>
      </w:r>
      <w:proofErr w:type="spellEnd"/>
      <w:r>
        <w:rPr>
          <w:rFonts w:hint="cs"/>
          <w:rtl/>
        </w:rPr>
        <w:t xml:space="preserve"> הוא שלילת המשבצת הקיצונית, ומעבר למשבצת הביניים. </w:t>
      </w:r>
    </w:p>
    <w:p w:rsidR="00756757" w:rsidRDefault="00756757" w:rsidP="00756757">
      <w:pPr>
        <w:rPr>
          <w:rFonts w:hint="cs"/>
          <w:rtl/>
        </w:rPr>
      </w:pPr>
      <w:r>
        <w:rPr>
          <w:rFonts w:hint="cs"/>
          <w:rtl/>
        </w:rPr>
        <w:t xml:space="preserve">בשני </w:t>
      </w:r>
      <w:proofErr w:type="spellStart"/>
      <w:r>
        <w:rPr>
          <w:rFonts w:hint="cs"/>
          <w:rtl/>
        </w:rPr>
        <w:t>הא"ד</w:t>
      </w:r>
      <w:proofErr w:type="spellEnd"/>
      <w:r>
        <w:rPr>
          <w:rFonts w:hint="cs"/>
          <w:rtl/>
        </w:rPr>
        <w:t xml:space="preserve"> הגמרא שוללת את ההצבה של הרישא משבצות הקיצוניות: בסעיף ו היא שוללת את ההעמדה בימנית עליונה, ובסעיף ח היא שוללת את ההעמדה בשמאלית תחתונה. בשניהם </w:t>
      </w:r>
      <w:r>
        <w:rPr>
          <w:rFonts w:hint="cs"/>
          <w:rtl/>
        </w:rPr>
        <w:lastRenderedPageBreak/>
        <w:t xml:space="preserve">סיבת השלילה היא סעיף ג, דהיינו דין המשנה, שבשמאלית תחתונה (ע"א מעידו והוא מכחישו פטור. דין זה סותר ישירות את ההצעה של סעיף ח, וכן הוא שולל לאור הדיוק ממנו את ההעמדה בסעיף ו. </w:t>
      </w:r>
    </w:p>
    <w:p w:rsidR="00807099" w:rsidRDefault="00756757" w:rsidP="00756757">
      <w:r>
        <w:rPr>
          <w:rFonts w:hint="cs"/>
          <w:rtl/>
        </w:rPr>
        <w:t xml:space="preserve">בשני </w:t>
      </w:r>
      <w:proofErr w:type="spellStart"/>
      <w:r>
        <w:rPr>
          <w:rFonts w:hint="cs"/>
          <w:rtl/>
        </w:rPr>
        <w:t>הא"ד</w:t>
      </w:r>
      <w:proofErr w:type="spellEnd"/>
      <w:r>
        <w:rPr>
          <w:rFonts w:hint="cs"/>
          <w:rtl/>
        </w:rPr>
        <w:t xml:space="preserve"> הגמרא עוברת למשבצות הביניים: בסעיף ז היא מציבה את הרישא בשמאלית עליונה ובסעיף ט היא מציבה אותה בימנית תחתונה. המשותף לשתי האפשרויות הנ"ל הוא שבהמשך המשנה יש דיון או דיוק על אותן משבצות. השמאלית עליונה תלויה במחלוקת בסעיף ד, והימנית תחתונה מתבררת מתוך סעיף ג. </w:t>
      </w:r>
    </w:p>
    <w:sectPr w:rsidR="00807099" w:rsidSect="00756757">
      <w:pgSz w:w="11906" w:h="16838"/>
      <w:pgMar w:top="2268" w:right="1985" w:bottom="2268" w:left="1985"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56757"/>
    <w:rsid w:val="000866F2"/>
    <w:rsid w:val="000C496A"/>
    <w:rsid w:val="00146FB9"/>
    <w:rsid w:val="001C583B"/>
    <w:rsid w:val="00287648"/>
    <w:rsid w:val="00351D5C"/>
    <w:rsid w:val="004A4E69"/>
    <w:rsid w:val="0067173E"/>
    <w:rsid w:val="00673552"/>
    <w:rsid w:val="00756757"/>
    <w:rsid w:val="00772AEE"/>
    <w:rsid w:val="007C078D"/>
    <w:rsid w:val="00807099"/>
    <w:rsid w:val="00853F22"/>
    <w:rsid w:val="009B1238"/>
    <w:rsid w:val="009F6FA0"/>
    <w:rsid w:val="00A4097F"/>
    <w:rsid w:val="00AD10D1"/>
    <w:rsid w:val="00D741C9"/>
    <w:rsid w:val="00E359E1"/>
    <w:rsid w:val="00E86D22"/>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757"/>
    <w:pPr>
      <w:bidi/>
      <w:spacing w:line="300" w:lineRule="exact"/>
      <w:jc w:val="both"/>
    </w:pPr>
    <w:rPr>
      <w:rFonts w:ascii="Times New Roman" w:eastAsia="Times New Roman" w:hAnsi="Times New Roman" w:cs="David"/>
      <w:sz w:val="24"/>
      <w:szCs w:val="24"/>
    </w:rPr>
  </w:style>
  <w:style w:type="paragraph" w:styleId="2">
    <w:name w:val="heading 2"/>
    <w:basedOn w:val="a"/>
    <w:next w:val="a"/>
    <w:link w:val="20"/>
    <w:qFormat/>
    <w:rsid w:val="00756757"/>
    <w:pPr>
      <w:keepNext/>
      <w:pageBreakBefore/>
      <w:spacing w:before="240" w:after="60"/>
      <w:jc w:val="left"/>
      <w:outlineLvl w:val="1"/>
    </w:pPr>
    <w:rPr>
      <w:rFonts w:ascii="Arial" w:hAnsi="Arial"/>
      <w:b/>
      <w:bCs/>
      <w:i/>
      <w:iCs/>
      <w:sz w:val="28"/>
      <w:szCs w:val="28"/>
    </w:rPr>
  </w:style>
  <w:style w:type="paragraph" w:styleId="3">
    <w:name w:val="heading 3"/>
    <w:basedOn w:val="a"/>
    <w:next w:val="a"/>
    <w:link w:val="30"/>
    <w:qFormat/>
    <w:rsid w:val="00756757"/>
    <w:pPr>
      <w:keepNext/>
      <w:spacing w:before="240" w:after="60"/>
      <w:outlineLvl w:val="2"/>
    </w:pPr>
    <w:rPr>
      <w:rFonts w:ascii="Arial" w:hAnsi="Arial"/>
      <w:b/>
      <w:bCs/>
      <w:sz w:val="26"/>
      <w:szCs w:val="26"/>
    </w:rPr>
  </w:style>
  <w:style w:type="paragraph" w:styleId="4">
    <w:name w:val="heading 4"/>
    <w:basedOn w:val="a"/>
    <w:next w:val="a"/>
    <w:link w:val="40"/>
    <w:qFormat/>
    <w:rsid w:val="00756757"/>
    <w:pPr>
      <w:keepNext/>
      <w:spacing w:before="240" w:after="60"/>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כותרת 2 תו"/>
    <w:basedOn w:val="a0"/>
    <w:link w:val="2"/>
    <w:rsid w:val="00756757"/>
    <w:rPr>
      <w:rFonts w:ascii="Arial" w:eastAsia="Times New Roman" w:hAnsi="Arial" w:cs="David"/>
      <w:b/>
      <w:bCs/>
      <w:i/>
      <w:iCs/>
      <w:sz w:val="28"/>
      <w:szCs w:val="28"/>
    </w:rPr>
  </w:style>
  <w:style w:type="character" w:customStyle="1" w:styleId="30">
    <w:name w:val="כותרת 3 תו"/>
    <w:basedOn w:val="a0"/>
    <w:link w:val="3"/>
    <w:rsid w:val="00756757"/>
    <w:rPr>
      <w:rFonts w:ascii="Arial" w:eastAsia="Times New Roman" w:hAnsi="Arial" w:cs="David"/>
      <w:b/>
      <w:bCs/>
      <w:sz w:val="26"/>
      <w:szCs w:val="26"/>
    </w:rPr>
  </w:style>
  <w:style w:type="character" w:customStyle="1" w:styleId="40">
    <w:name w:val="כותרת 4 תו"/>
    <w:basedOn w:val="a0"/>
    <w:link w:val="4"/>
    <w:rsid w:val="00756757"/>
    <w:rPr>
      <w:rFonts w:ascii="Times New Roman" w:eastAsia="Times New Roman" w:hAnsi="Times New Roman" w:cs="David"/>
      <w:i/>
      <w:iCs/>
      <w:sz w:val="24"/>
      <w:szCs w:val="24"/>
    </w:rPr>
  </w:style>
  <w:style w:type="paragraph" w:customStyle="1" w:styleId="a3">
    <w:name w:val="צטוט"/>
    <w:basedOn w:val="a"/>
    <w:autoRedefine/>
    <w:rsid w:val="00756757"/>
    <w:pPr>
      <w:ind w:left="680" w:hanging="340"/>
    </w:pPr>
    <w:rPr>
      <w:rFonts w:cs="Guttman-Toledo"/>
      <w:sz w:val="48"/>
    </w:rPr>
  </w:style>
  <w:style w:type="paragraph" w:customStyle="1" w:styleId="a4">
    <w:name w:val="תא כותרת ימין"/>
    <w:basedOn w:val="a"/>
    <w:rsid w:val="00756757"/>
    <w:pPr>
      <w:ind w:right="113"/>
    </w:pPr>
    <w:rPr>
      <w:bCs/>
      <w:szCs w:val="18"/>
    </w:rPr>
  </w:style>
  <w:style w:type="paragraph" w:customStyle="1" w:styleId="a5">
    <w:name w:val="טור שמאל"/>
    <w:basedOn w:val="a"/>
    <w:rsid w:val="00756757"/>
    <w:pPr>
      <w:ind w:left="113"/>
    </w:pPr>
    <w:rPr>
      <w:szCs w:val="20"/>
    </w:rPr>
  </w:style>
  <w:style w:type="paragraph" w:customStyle="1" w:styleId="a6">
    <w:name w:val="כותרת טבלה"/>
    <w:basedOn w:val="a"/>
    <w:rsid w:val="00756757"/>
    <w:pPr>
      <w:spacing w:before="240" w:after="60"/>
      <w:ind w:left="284"/>
    </w:pPr>
    <w:rPr>
      <w:bCs/>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769</Words>
  <Characters>3850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הראל</dc:creator>
  <cp:keywords/>
  <dc:description/>
  <cp:lastModifiedBy>הראל</cp:lastModifiedBy>
  <cp:revision>1</cp:revision>
  <dcterms:created xsi:type="dcterms:W3CDTF">2012-04-01T19:03:00Z</dcterms:created>
  <dcterms:modified xsi:type="dcterms:W3CDTF">2012-04-01T19:03:00Z</dcterms:modified>
</cp:coreProperties>
</file>