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60" w:rsidRDefault="00517460" w:rsidP="00517460">
      <w:pPr>
        <w:pStyle w:val="2"/>
        <w:rPr>
          <w:rtl/>
        </w:rPr>
      </w:pPr>
      <w:bookmarkStart w:id="0" w:name="_Toc321699574"/>
      <w:r>
        <w:rPr>
          <w:rFonts w:hint="cs"/>
          <w:rtl/>
        </w:rPr>
        <w:t xml:space="preserve">סימן </w:t>
      </w:r>
      <w:fldSimple w:instr=" SEQ סימניכריתות\* hebrew1 \* MERGEFORMAT ">
        <w:r>
          <w:rPr>
            <w:noProof/>
            <w:rtl/>
          </w:rPr>
          <w:t>ו</w:t>
        </w:r>
      </w:fldSimple>
      <w:r>
        <w:rPr>
          <w:rFonts w:hint="cs"/>
          <w:rtl/>
        </w:rPr>
        <w:t xml:space="preserve">. בדין שני שבילין,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 xml:space="preserve"> ע"ב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 xml:space="preserve"> ע"א</w:t>
      </w:r>
      <w:bookmarkEnd w:id="0"/>
    </w:p>
    <w:p w:rsidR="00517460" w:rsidRDefault="009760E9" w:rsidP="00517460">
      <w:pPr>
        <w:pStyle w:val="a3"/>
        <w:rPr>
          <w:rtl/>
        </w:rPr>
      </w:pPr>
      <w:fldSimple w:instr=" SEQ כריתותיחיט\* hebrew1 \* MERGEFORMAT ">
        <w:r w:rsidR="00517460">
          <w:rPr>
            <w:noProof/>
            <w:rtl/>
          </w:rPr>
          <w:t>א</w:t>
        </w:r>
      </w:fldSimple>
      <w:r w:rsidR="00517460">
        <w:rPr>
          <w:rFonts w:hint="cs"/>
          <w:rtl/>
        </w:rPr>
        <w:t>.</w:t>
      </w:r>
      <w:r w:rsidR="00517460">
        <w:rPr>
          <w:rFonts w:hint="cs"/>
          <w:rtl/>
        </w:rPr>
        <w:tab/>
      </w:r>
      <w:r w:rsidR="00517460">
        <w:rPr>
          <w:rtl/>
        </w:rPr>
        <w:t>שני שבילין, אחד טמא ואחד טהור, והלך בראשון ולא נכנס, בשני ונכנס - חייב, הלך בראשון ונכנס - (פטור, בשני ונכנס - חייב, הלך בראשון ונכנס) והזה ושנה וטבל, והלך בשני ונכנס - חייב,</w:t>
      </w:r>
      <w:r w:rsidR="00517460">
        <w:rPr>
          <w:rFonts w:hint="cs"/>
          <w:rtl/>
        </w:rPr>
        <w:t xml:space="preserve"> </w:t>
      </w:r>
      <w:r w:rsidR="00517460">
        <w:rPr>
          <w:rtl/>
        </w:rPr>
        <w:t xml:space="preserve">רבי שמעון פוטר בזו, </w:t>
      </w:r>
      <w:proofErr w:type="spellStart"/>
      <w:r w:rsidR="00517460">
        <w:rPr>
          <w:rtl/>
        </w:rPr>
        <w:t>ר"ש</w:t>
      </w:r>
      <w:proofErr w:type="spellEnd"/>
      <w:r w:rsidR="00517460">
        <w:rPr>
          <w:rtl/>
        </w:rPr>
        <w:t xml:space="preserve"> בן יהודה פוטר בכולן משום רבי שמעון. </w:t>
      </w:r>
    </w:p>
    <w:p w:rsidR="00517460" w:rsidRDefault="009760E9" w:rsidP="00517460">
      <w:pPr>
        <w:pStyle w:val="a3"/>
        <w:rPr>
          <w:rtl/>
        </w:rPr>
      </w:pPr>
      <w:fldSimple w:instr=" SEQ כריתותיחיט\* hebrew1 \* MERGEFORMAT ">
        <w:r w:rsidR="00517460">
          <w:rPr>
            <w:noProof/>
            <w:rtl/>
          </w:rPr>
          <w:t>ב</w:t>
        </w:r>
      </w:fldSimple>
      <w:r w:rsidR="00517460">
        <w:rPr>
          <w:rFonts w:hint="cs"/>
          <w:rtl/>
        </w:rPr>
        <w:t>.</w:t>
      </w:r>
      <w:r w:rsidR="00517460">
        <w:rPr>
          <w:rFonts w:hint="cs"/>
          <w:rtl/>
        </w:rPr>
        <w:tab/>
      </w:r>
      <w:r w:rsidR="00517460">
        <w:rPr>
          <w:rtl/>
        </w:rPr>
        <w:t xml:space="preserve">ואפילו </w:t>
      </w:r>
      <w:proofErr w:type="spellStart"/>
      <w:r w:rsidR="00517460">
        <w:rPr>
          <w:rtl/>
        </w:rPr>
        <w:t>בקמייתא</w:t>
      </w:r>
      <w:proofErr w:type="spellEnd"/>
      <w:r w:rsidR="00517460">
        <w:rPr>
          <w:rtl/>
        </w:rPr>
        <w:t xml:space="preserve">? אמר רבא: הכא במאי עסקינן - כגון שהלך בראשון, ובשעת הילוכו בשני שכח שהלך בראשון, ובהא פליגי, ת"ק סבר: מקצת ידיעה כידיעה דמיא, </w:t>
      </w:r>
      <w:proofErr w:type="spellStart"/>
      <w:r w:rsidR="00517460">
        <w:rPr>
          <w:rtl/>
        </w:rPr>
        <w:t>ור"ש</w:t>
      </w:r>
      <w:proofErr w:type="spellEnd"/>
      <w:r w:rsidR="00517460">
        <w:rPr>
          <w:rtl/>
        </w:rPr>
        <w:t xml:space="preserve"> סבר: מקצת ידיעה לאו כידיעה דמיא. </w:t>
      </w:r>
    </w:p>
    <w:p w:rsidR="00517460" w:rsidRDefault="009760E9" w:rsidP="00517460">
      <w:pPr>
        <w:pStyle w:val="a3"/>
        <w:rPr>
          <w:rtl/>
        </w:rPr>
      </w:pPr>
      <w:fldSimple w:instr=" SEQ כריתותיחיט\* hebrew1 \* MERGEFORMAT ">
        <w:r w:rsidR="00517460">
          <w:rPr>
            <w:noProof/>
            <w:rtl/>
          </w:rPr>
          <w:t>ג</w:t>
        </w:r>
      </w:fldSimple>
      <w:r w:rsidR="00517460">
        <w:rPr>
          <w:rFonts w:hint="cs"/>
          <w:rtl/>
        </w:rPr>
        <w:t>.</w:t>
      </w:r>
      <w:r w:rsidR="00517460">
        <w:rPr>
          <w:rFonts w:hint="cs"/>
          <w:rtl/>
        </w:rPr>
        <w:tab/>
      </w:r>
      <w:r w:rsidR="00517460">
        <w:rPr>
          <w:rtl/>
        </w:rPr>
        <w:t xml:space="preserve">אמר מר: הלך בראשון ונכנס </w:t>
      </w:r>
      <w:proofErr w:type="spellStart"/>
      <w:r w:rsidR="00517460">
        <w:rPr>
          <w:rtl/>
        </w:rPr>
        <w:t>והיזה</w:t>
      </w:r>
      <w:proofErr w:type="spellEnd"/>
      <w:r w:rsidR="00517460">
        <w:rPr>
          <w:rtl/>
        </w:rPr>
        <w:t xml:space="preserve"> וטבל, והלך בשני ונכנס - חייב. </w:t>
      </w:r>
      <w:proofErr w:type="spellStart"/>
      <w:r w:rsidR="00517460">
        <w:rPr>
          <w:rtl/>
        </w:rPr>
        <w:t>אמאי</w:t>
      </w:r>
      <w:proofErr w:type="spellEnd"/>
      <w:r w:rsidR="00517460">
        <w:rPr>
          <w:rtl/>
        </w:rPr>
        <w:t xml:space="preserve"> חייב? הא לא הוי ליה ידיעה! אמר ריש לקיש: הא מני? רבי ישמעאל היא, דלא בעי ידיעה </w:t>
      </w:r>
      <w:proofErr w:type="spellStart"/>
      <w:r w:rsidR="00517460">
        <w:rPr>
          <w:rtl/>
        </w:rPr>
        <w:t>בתחלה</w:t>
      </w:r>
      <w:proofErr w:type="spellEnd"/>
      <w:r w:rsidR="00517460">
        <w:rPr>
          <w:rtl/>
        </w:rPr>
        <w:t xml:space="preserve">; רבי יוחנן אמר: אפילו </w:t>
      </w:r>
      <w:proofErr w:type="spellStart"/>
      <w:r w:rsidR="00517460">
        <w:rPr>
          <w:rtl/>
        </w:rPr>
        <w:t>תימא</w:t>
      </w:r>
      <w:proofErr w:type="spellEnd"/>
      <w:r w:rsidR="00517460">
        <w:rPr>
          <w:rtl/>
        </w:rPr>
        <w:t xml:space="preserve"> רבנן, כאן עשו ספק ידיעה כידיעה. </w:t>
      </w:r>
      <w:proofErr w:type="spellStart"/>
      <w:r w:rsidR="00517460">
        <w:rPr>
          <w:rtl/>
        </w:rPr>
        <w:t>סלקא</w:t>
      </w:r>
      <w:proofErr w:type="spellEnd"/>
      <w:r w:rsidR="00517460">
        <w:rPr>
          <w:rtl/>
        </w:rPr>
        <w:t xml:space="preserve"> דעתך כאן עשו והוא הדין לכל התורה כולה, קשיא דרבי יוחנן </w:t>
      </w:r>
      <w:proofErr w:type="spellStart"/>
      <w:r w:rsidR="00517460">
        <w:rPr>
          <w:rtl/>
        </w:rPr>
        <w:t>אדרבי</w:t>
      </w:r>
      <w:proofErr w:type="spellEnd"/>
      <w:r w:rsidR="00517460">
        <w:rPr>
          <w:rtl/>
        </w:rPr>
        <w:t xml:space="preserve"> יוחנן, קשיא </w:t>
      </w:r>
      <w:proofErr w:type="spellStart"/>
      <w:r w:rsidR="00517460">
        <w:rPr>
          <w:rtl/>
        </w:rPr>
        <w:t>דריש</w:t>
      </w:r>
      <w:proofErr w:type="spellEnd"/>
      <w:r w:rsidR="00517460">
        <w:rPr>
          <w:rtl/>
        </w:rPr>
        <w:t xml:space="preserve"> לקיש </w:t>
      </w:r>
      <w:proofErr w:type="spellStart"/>
      <w:r w:rsidR="00517460">
        <w:rPr>
          <w:rtl/>
        </w:rPr>
        <w:t>אדריש</w:t>
      </w:r>
      <w:proofErr w:type="spellEnd"/>
      <w:r w:rsidR="00517460">
        <w:rPr>
          <w:rtl/>
        </w:rPr>
        <w:t xml:space="preserve"> לקיש! </w:t>
      </w:r>
      <w:proofErr w:type="spellStart"/>
      <w:r w:rsidR="00517460">
        <w:rPr>
          <w:rtl/>
        </w:rPr>
        <w:t>בשלמא</w:t>
      </w:r>
      <w:proofErr w:type="spellEnd"/>
      <w:r w:rsidR="00517460">
        <w:rPr>
          <w:rtl/>
        </w:rPr>
        <w:t xml:space="preserve"> דר' יוחנן </w:t>
      </w:r>
      <w:proofErr w:type="spellStart"/>
      <w:r w:rsidR="00517460">
        <w:rPr>
          <w:rtl/>
        </w:rPr>
        <w:t>אדר"י</w:t>
      </w:r>
      <w:proofErr w:type="spellEnd"/>
      <w:r w:rsidR="00517460">
        <w:rPr>
          <w:rtl/>
        </w:rPr>
        <w:t xml:space="preserve"> לא קשיא, כאן עשו, אבל בכל התורה כולה לא, מאי </w:t>
      </w:r>
      <w:proofErr w:type="spellStart"/>
      <w:r w:rsidR="00517460">
        <w:rPr>
          <w:rtl/>
        </w:rPr>
        <w:t>טעמא</w:t>
      </w:r>
      <w:proofErr w:type="spellEnd"/>
      <w:r w:rsidR="00517460">
        <w:rPr>
          <w:rtl/>
        </w:rPr>
        <w:t xml:space="preserve">? הכא גבי טומאה כתיב: +ויקרא ה'+ ונעלם ממנו והוא טמא, ידיעה דאית בה </w:t>
      </w:r>
      <w:proofErr w:type="spellStart"/>
      <w:r w:rsidR="00517460">
        <w:rPr>
          <w:rtl/>
        </w:rPr>
        <w:t>נמי</w:t>
      </w:r>
      <w:proofErr w:type="spellEnd"/>
      <w:r w:rsidR="00517460">
        <w:rPr>
          <w:rtl/>
        </w:rPr>
        <w:t xml:space="preserve"> ספק חייב קרא, אבל בכל התורה כולה כתיב: +ויקרא ד'+ או הודע אליו חטאתו, אי </w:t>
      </w:r>
      <w:proofErr w:type="spellStart"/>
      <w:r w:rsidR="00517460">
        <w:rPr>
          <w:rtl/>
        </w:rPr>
        <w:t>אית</w:t>
      </w:r>
      <w:proofErr w:type="spellEnd"/>
      <w:r w:rsidR="00517460">
        <w:rPr>
          <w:rtl/>
        </w:rPr>
        <w:t xml:space="preserve"> ליה ידיעה הוא </w:t>
      </w:r>
      <w:proofErr w:type="spellStart"/>
      <w:r w:rsidR="00517460">
        <w:rPr>
          <w:rtl/>
        </w:rPr>
        <w:t>דמחייב</w:t>
      </w:r>
      <w:proofErr w:type="spellEnd"/>
      <w:r w:rsidR="00517460">
        <w:rPr>
          <w:rtl/>
        </w:rPr>
        <w:t xml:space="preserve">; אלא לר"ל קשיא, </w:t>
      </w:r>
      <w:proofErr w:type="spellStart"/>
      <w:r w:rsidR="00517460">
        <w:rPr>
          <w:rtl/>
        </w:rPr>
        <w:t>אדמוקים</w:t>
      </w:r>
      <w:proofErr w:type="spellEnd"/>
      <w:r w:rsidR="00517460">
        <w:rPr>
          <w:rtl/>
        </w:rPr>
        <w:t xml:space="preserve"> לה כר' ישמעאל </w:t>
      </w:r>
      <w:proofErr w:type="spellStart"/>
      <w:r w:rsidR="00517460">
        <w:rPr>
          <w:rtl/>
        </w:rPr>
        <w:t>לוקמה</w:t>
      </w:r>
      <w:proofErr w:type="spellEnd"/>
      <w:r w:rsidR="00517460">
        <w:rPr>
          <w:rtl/>
        </w:rPr>
        <w:t xml:space="preserve"> כרבי! הא </w:t>
      </w:r>
      <w:proofErr w:type="spellStart"/>
      <w:r w:rsidR="00517460">
        <w:rPr>
          <w:rtl/>
        </w:rPr>
        <w:t>קמ"ל</w:t>
      </w:r>
      <w:proofErr w:type="spellEnd"/>
      <w:r w:rsidR="00517460">
        <w:rPr>
          <w:rtl/>
        </w:rPr>
        <w:t xml:space="preserve">, דר' ישמעאל </w:t>
      </w:r>
      <w:proofErr w:type="spellStart"/>
      <w:r w:rsidR="00517460">
        <w:rPr>
          <w:rtl/>
        </w:rPr>
        <w:t>נמי</w:t>
      </w:r>
      <w:proofErr w:type="spellEnd"/>
      <w:r w:rsidR="00517460">
        <w:rPr>
          <w:rtl/>
        </w:rPr>
        <w:t xml:space="preserve"> לא בעי ידיעה </w:t>
      </w:r>
      <w:proofErr w:type="spellStart"/>
      <w:r w:rsidR="00517460">
        <w:rPr>
          <w:rtl/>
        </w:rPr>
        <w:t>בתחלה</w:t>
      </w:r>
      <w:proofErr w:type="spellEnd"/>
      <w:r w:rsidR="00517460">
        <w:rPr>
          <w:rtl/>
        </w:rPr>
        <w:t xml:space="preserve">. הא </w:t>
      </w:r>
      <w:proofErr w:type="spellStart"/>
      <w:r w:rsidR="00517460">
        <w:rPr>
          <w:rtl/>
        </w:rPr>
        <w:t>מתניתין</w:t>
      </w:r>
      <w:proofErr w:type="spellEnd"/>
      <w:r w:rsidR="00517460">
        <w:rPr>
          <w:rtl/>
        </w:rPr>
        <w:t xml:space="preserve"> היא! </w:t>
      </w:r>
      <w:proofErr w:type="spellStart"/>
      <w:r w:rsidR="00517460">
        <w:rPr>
          <w:rtl/>
        </w:rPr>
        <w:t>דתנן</w:t>
      </w:r>
      <w:proofErr w:type="spellEnd"/>
      <w:r w:rsidR="00517460">
        <w:rPr>
          <w:rtl/>
        </w:rPr>
        <w:t xml:space="preserve">, רבי ישמעאל אומר: ונעלם [ונעלם] (ממנו) שתי פעמים, לחייב על העלם טומאה ועל העלם מקדש! </w:t>
      </w:r>
      <w:proofErr w:type="spellStart"/>
      <w:r w:rsidR="00517460">
        <w:rPr>
          <w:rtl/>
        </w:rPr>
        <w:t>איצטריך</w:t>
      </w:r>
      <w:proofErr w:type="spellEnd"/>
      <w:r w:rsidR="00517460">
        <w:rPr>
          <w:rtl/>
        </w:rPr>
        <w:t xml:space="preserve">, </w:t>
      </w:r>
      <w:proofErr w:type="spellStart"/>
      <w:r w:rsidR="00517460">
        <w:rPr>
          <w:rtl/>
        </w:rPr>
        <w:t>סלקא</w:t>
      </w:r>
      <w:proofErr w:type="spellEnd"/>
      <w:r w:rsidR="00517460">
        <w:rPr>
          <w:rtl/>
        </w:rPr>
        <w:t xml:space="preserve"> דעתך </w:t>
      </w:r>
      <w:proofErr w:type="spellStart"/>
      <w:r w:rsidR="00517460">
        <w:rPr>
          <w:rtl/>
        </w:rPr>
        <w:t>אמינא</w:t>
      </w:r>
      <w:proofErr w:type="spellEnd"/>
      <w:r w:rsidR="00517460">
        <w:rPr>
          <w:rtl/>
        </w:rPr>
        <w:t xml:space="preserve">: מקרא לית ליה, מגמרא </w:t>
      </w:r>
      <w:proofErr w:type="spellStart"/>
      <w:r w:rsidR="00517460">
        <w:rPr>
          <w:rtl/>
        </w:rPr>
        <w:t>אית</w:t>
      </w:r>
      <w:proofErr w:type="spellEnd"/>
      <w:r w:rsidR="00517460">
        <w:rPr>
          <w:rtl/>
        </w:rPr>
        <w:t xml:space="preserve"> ליה, </w:t>
      </w:r>
      <w:proofErr w:type="spellStart"/>
      <w:r w:rsidR="00517460">
        <w:rPr>
          <w:rtl/>
        </w:rPr>
        <w:t>קמ"ל</w:t>
      </w:r>
      <w:proofErr w:type="spellEnd"/>
      <w:r w:rsidR="00517460">
        <w:rPr>
          <w:rtl/>
        </w:rPr>
        <w:t xml:space="preserve">. </w:t>
      </w:r>
    </w:p>
    <w:p w:rsidR="00517460" w:rsidRDefault="00517460" w:rsidP="00517460">
      <w:pPr>
        <w:rPr>
          <w:rtl/>
        </w:rPr>
      </w:pPr>
    </w:p>
    <w:p w:rsidR="00517460" w:rsidRDefault="00517460" w:rsidP="00517460">
      <w:pPr>
        <w:pStyle w:val="4"/>
        <w:rPr>
          <w:rtl/>
        </w:rPr>
      </w:pPr>
      <w:r>
        <w:rPr>
          <w:rFonts w:hint="cs"/>
          <w:rtl/>
        </w:rPr>
        <w:t>ניתוח הברייתא, סעיף א</w:t>
      </w:r>
    </w:p>
    <w:p w:rsidR="00517460" w:rsidRPr="00256EB2" w:rsidRDefault="00517460" w:rsidP="00517460">
      <w:pPr>
        <w:rPr>
          <w:rtl/>
        </w:rPr>
      </w:pPr>
      <w:r>
        <w:rPr>
          <w:rFonts w:hint="cs"/>
          <w:rtl/>
        </w:rPr>
        <w:t>שני מקרים בברייתא</w:t>
      </w:r>
    </w:p>
    <w:p w:rsidR="00517460" w:rsidRDefault="00517460" w:rsidP="00517460">
      <w:pPr>
        <w:numPr>
          <w:ilvl w:val="0"/>
          <w:numId w:val="1"/>
        </w:numPr>
      </w:pPr>
      <w:r>
        <w:rPr>
          <w:rFonts w:hint="cs"/>
          <w:rtl/>
        </w:rPr>
        <w:t xml:space="preserve">טומאת וודאי </w:t>
      </w:r>
      <w:r>
        <w:rPr>
          <w:rtl/>
        </w:rPr>
        <w:t>–</w:t>
      </w:r>
      <w:r>
        <w:rPr>
          <w:rFonts w:hint="cs"/>
          <w:rtl/>
        </w:rPr>
        <w:t xml:space="preserve"> הלך בשני השבילים ונכנס למקדש [ולפי חלק מהנוסחים מקרה זה מתפצל לשניים: נכנס למקדש רק אחרי שני השבילים, או אחר כל אחד מהשבילים]. </w:t>
      </w:r>
    </w:p>
    <w:p w:rsidR="00517460" w:rsidRDefault="00517460" w:rsidP="00517460">
      <w:pPr>
        <w:numPr>
          <w:ilvl w:val="0"/>
          <w:numId w:val="1"/>
        </w:numPr>
      </w:pPr>
      <w:r>
        <w:rPr>
          <w:rFonts w:hint="cs"/>
          <w:rtl/>
        </w:rPr>
        <w:t xml:space="preserve">טומאת ספק </w:t>
      </w:r>
      <w:r>
        <w:rPr>
          <w:rtl/>
        </w:rPr>
        <w:t>–</w:t>
      </w:r>
      <w:r>
        <w:rPr>
          <w:rFonts w:hint="cs"/>
          <w:rtl/>
        </w:rPr>
        <w:t xml:space="preserve"> נכנס אחר השביל הראשון, נטהר, ונכנס שוב אחר השביל השני. </w:t>
      </w:r>
    </w:p>
    <w:p w:rsidR="00517460" w:rsidRDefault="00517460" w:rsidP="00517460">
      <w:pPr>
        <w:rPr>
          <w:rtl/>
        </w:rPr>
      </w:pPr>
    </w:p>
    <w:p w:rsidR="00517460" w:rsidRDefault="00517460" w:rsidP="00517460">
      <w:r>
        <w:rPr>
          <w:rFonts w:hint="cs"/>
          <w:rtl/>
        </w:rPr>
        <w:t>מצינו ג' שיטות:</w:t>
      </w:r>
    </w:p>
    <w:p w:rsidR="00517460" w:rsidRDefault="00517460" w:rsidP="00517460">
      <w:pPr>
        <w:pStyle w:val="a7"/>
        <w:rPr>
          <w:rtl/>
        </w:rPr>
      </w:pPr>
      <w:r>
        <w:rPr>
          <w:rFonts w:hint="cs"/>
          <w:rtl/>
        </w:rPr>
        <w:t>שני שבילין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8"/>
        <w:gridCol w:w="656"/>
        <w:gridCol w:w="689"/>
        <w:gridCol w:w="1540"/>
      </w:tblGrid>
      <w:tr w:rsidR="00517460" w:rsidTr="00133F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5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ת"ק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5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ר"ש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5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רשב"י</w:t>
            </w:r>
            <w:proofErr w:type="spellEnd"/>
            <w:r>
              <w:rPr>
                <w:rFonts w:hint="cs"/>
                <w:rtl/>
              </w:rPr>
              <w:t xml:space="preserve"> משום </w:t>
            </w:r>
            <w:proofErr w:type="spellStart"/>
            <w:r>
              <w:rPr>
                <w:rFonts w:hint="cs"/>
                <w:rtl/>
              </w:rPr>
              <w:t>ר"ש</w:t>
            </w:r>
            <w:proofErr w:type="spellEnd"/>
          </w:p>
        </w:tc>
      </w:tr>
      <w:tr w:rsidR="00517460" w:rsidTr="00133F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מקרה א (טומאת וודאי)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</w:tr>
      <w:tr w:rsidR="00517460" w:rsidTr="00133F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מקרה ב (טומאת ספק)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0" w:rsidRDefault="00517460" w:rsidP="00133F1F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</w:tr>
    </w:tbl>
    <w:p w:rsidR="00517460" w:rsidRDefault="00517460" w:rsidP="00517460">
      <w:pPr>
        <w:rPr>
          <w:rtl/>
        </w:rPr>
      </w:pPr>
    </w:p>
    <w:p w:rsidR="00517460" w:rsidRDefault="00517460" w:rsidP="00517460">
      <w:pPr>
        <w:pStyle w:val="4"/>
        <w:rPr>
          <w:rtl/>
        </w:rPr>
      </w:pPr>
      <w:r>
        <w:rPr>
          <w:rFonts w:hint="cs"/>
          <w:rtl/>
        </w:rPr>
        <w:lastRenderedPageBreak/>
        <w:t>ניתוח השיטות, סעיפים ב-ג</w:t>
      </w:r>
    </w:p>
    <w:p w:rsidR="00517460" w:rsidRDefault="00517460" w:rsidP="00517460">
      <w:pPr>
        <w:rPr>
          <w:rtl/>
        </w:rPr>
      </w:pPr>
      <w:r>
        <w:rPr>
          <w:rFonts w:hint="cs"/>
          <w:rtl/>
        </w:rPr>
        <w:t xml:space="preserve">שיטת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היא הפשוטה ביותר (ולכן כנראה לא </w:t>
      </w:r>
      <w:proofErr w:type="spellStart"/>
      <w:r>
        <w:rPr>
          <w:rFonts w:hint="cs"/>
          <w:rtl/>
        </w:rPr>
        <w:t>נידונית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 xml:space="preserve">): במקרה א יש ידיעה וודאית של טומאה לפני הכניסה למקדש, שהרי כשנכנס למקדש היה לאחר שני השבילים ללא שטבל בינתיים, ולכן חייב. לעומת זאת במקרה ב אין ידיעה וודאית, שהרי כשנכנס לאחר השביל הראשון יש אפשרות שהשביל הראשון טהור ולא טימא אותו, ולאחר מכן כשטבל ונכנס לשביל השני - שוב יש אפשרות שהשביל השני טהור ולא טימא אותו. </w:t>
      </w:r>
    </w:p>
    <w:p w:rsidR="00517460" w:rsidRDefault="00517460" w:rsidP="00517460">
      <w:pPr>
        <w:rPr>
          <w:rtl/>
        </w:rPr>
      </w:pPr>
      <w:r>
        <w:rPr>
          <w:rFonts w:hint="cs"/>
          <w:rtl/>
        </w:rPr>
        <w:t xml:space="preserve">לפי הסבר זה צריך להבין את החידוש בשיטת ת"ק, דהיינו מה שמחייב במקרה ב, ואת החידוש בשיטת </w:t>
      </w:r>
      <w:proofErr w:type="spellStart"/>
      <w:r>
        <w:rPr>
          <w:rFonts w:hint="cs"/>
          <w:rtl/>
        </w:rPr>
        <w:t>רשב"י</w:t>
      </w:r>
      <w:proofErr w:type="spellEnd"/>
      <w:r>
        <w:rPr>
          <w:rFonts w:hint="cs"/>
          <w:rtl/>
        </w:rPr>
        <w:t xml:space="preserve"> משום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, דהיינו מה שפוטר במקרה א. </w:t>
      </w:r>
    </w:p>
    <w:p w:rsidR="00517460" w:rsidRDefault="00517460" w:rsidP="00517460">
      <w:pPr>
        <w:rPr>
          <w:rtl/>
        </w:rPr>
      </w:pPr>
      <w:r>
        <w:rPr>
          <w:rFonts w:hint="cs"/>
          <w:rtl/>
        </w:rPr>
        <w:t xml:space="preserve">בסעיף ב מלמד רבא את החידוש בשיטת </w:t>
      </w:r>
      <w:proofErr w:type="spellStart"/>
      <w:r>
        <w:rPr>
          <w:rFonts w:hint="cs"/>
          <w:rtl/>
        </w:rPr>
        <w:t>רשב"י</w:t>
      </w:r>
      <w:proofErr w:type="spellEnd"/>
      <w:r>
        <w:rPr>
          <w:rFonts w:hint="cs"/>
          <w:rtl/>
        </w:rPr>
        <w:t xml:space="preserve"> משום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: כגון ששכח בשעת הילוכו בשני שנכנס לראשון, כך שהוא עצמו לא ידע שנטמא למרות שהיה יכול לדעת אם היה זוכר. החידוש ההלכתי הוא, </w:t>
      </w:r>
      <w:proofErr w:type="spellStart"/>
      <w:r>
        <w:rPr>
          <w:rFonts w:hint="cs"/>
          <w:rtl/>
        </w:rPr>
        <w:t>שרשב"י</w:t>
      </w:r>
      <w:proofErr w:type="spellEnd"/>
      <w:r>
        <w:rPr>
          <w:rFonts w:hint="cs"/>
          <w:rtl/>
        </w:rPr>
        <w:t xml:space="preserve"> משום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סובר שמקצת ידיעה לאו כידיעה דמיא. </w:t>
      </w:r>
    </w:p>
    <w:p w:rsidR="00517460" w:rsidRDefault="00517460" w:rsidP="00A141B9">
      <w:pPr>
        <w:rPr>
          <w:rtl/>
        </w:rPr>
      </w:pPr>
      <w:r>
        <w:rPr>
          <w:rFonts w:hint="cs"/>
          <w:rtl/>
        </w:rPr>
        <w:t xml:space="preserve">בסעיף ג מלמדים ר"י ור"ל את החידוש בשיטת ת"ק: או שת"ק כרבי ישמעאל שלא מצריך כלל ידיעה בתחילה (ריש לקיש) או שכאן, בטומאת מקדש </w:t>
      </w:r>
      <w:proofErr w:type="spellStart"/>
      <w:r>
        <w:rPr>
          <w:rFonts w:hint="cs"/>
          <w:rtl/>
        </w:rPr>
        <w:t>וקדשיו</w:t>
      </w:r>
      <w:proofErr w:type="spellEnd"/>
      <w:r>
        <w:rPr>
          <w:rFonts w:hint="cs"/>
          <w:rtl/>
        </w:rPr>
        <w:t xml:space="preserve">, עשו ספק ידיעה כידיעה (רבי יוחנן). </w:t>
      </w:r>
    </w:p>
    <w:sectPr w:rsidR="00517460" w:rsidSect="00517460">
      <w:pgSz w:w="11906" w:h="16838"/>
      <w:pgMar w:top="2268" w:right="1985" w:bottom="2268" w:left="1985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46C3"/>
    <w:multiLevelType w:val="hybridMultilevel"/>
    <w:tmpl w:val="1EB46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460"/>
    <w:rsid w:val="000C496A"/>
    <w:rsid w:val="00146FB9"/>
    <w:rsid w:val="001C583B"/>
    <w:rsid w:val="00287648"/>
    <w:rsid w:val="00351D5C"/>
    <w:rsid w:val="004A4E69"/>
    <w:rsid w:val="004E6120"/>
    <w:rsid w:val="00517460"/>
    <w:rsid w:val="0067173E"/>
    <w:rsid w:val="00673552"/>
    <w:rsid w:val="00772AEE"/>
    <w:rsid w:val="007C078D"/>
    <w:rsid w:val="00807099"/>
    <w:rsid w:val="00853F22"/>
    <w:rsid w:val="009760E9"/>
    <w:rsid w:val="009B1238"/>
    <w:rsid w:val="009F6FA0"/>
    <w:rsid w:val="00A141B9"/>
    <w:rsid w:val="00A4097F"/>
    <w:rsid w:val="00AD10D1"/>
    <w:rsid w:val="00D741C9"/>
    <w:rsid w:val="00E359E1"/>
    <w:rsid w:val="00E8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60"/>
    <w:pPr>
      <w:bidi/>
      <w:spacing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517460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1746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7460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517460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rsid w:val="00517460"/>
    <w:rPr>
      <w:rFonts w:ascii="Arial" w:eastAsia="Times New Roman" w:hAnsi="Arial" w:cs="David"/>
      <w:b/>
      <w:bCs/>
      <w:sz w:val="26"/>
      <w:szCs w:val="26"/>
    </w:rPr>
  </w:style>
  <w:style w:type="character" w:customStyle="1" w:styleId="40">
    <w:name w:val="כותרת 4 תו"/>
    <w:basedOn w:val="a0"/>
    <w:link w:val="4"/>
    <w:rsid w:val="00517460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517460"/>
    <w:pPr>
      <w:ind w:left="680" w:hanging="340"/>
    </w:pPr>
    <w:rPr>
      <w:rFonts w:cs="Guttman-Toledo"/>
      <w:sz w:val="48"/>
    </w:rPr>
  </w:style>
  <w:style w:type="paragraph" w:styleId="a4">
    <w:name w:val="List"/>
    <w:basedOn w:val="a"/>
    <w:semiHidden/>
    <w:rsid w:val="00517460"/>
    <w:pPr>
      <w:ind w:left="624" w:hanging="284"/>
    </w:pPr>
  </w:style>
  <w:style w:type="paragraph" w:customStyle="1" w:styleId="a5">
    <w:name w:val="תא כותרת ימין"/>
    <w:basedOn w:val="a"/>
    <w:rsid w:val="00517460"/>
    <w:pPr>
      <w:ind w:right="113"/>
    </w:pPr>
    <w:rPr>
      <w:bCs/>
      <w:szCs w:val="18"/>
    </w:rPr>
  </w:style>
  <w:style w:type="paragraph" w:customStyle="1" w:styleId="a6">
    <w:name w:val="טור שמאל"/>
    <w:basedOn w:val="a"/>
    <w:rsid w:val="00517460"/>
    <w:pPr>
      <w:ind w:left="113"/>
    </w:pPr>
    <w:rPr>
      <w:szCs w:val="20"/>
    </w:rPr>
  </w:style>
  <w:style w:type="paragraph" w:customStyle="1" w:styleId="a7">
    <w:name w:val="כותרת טבלה"/>
    <w:basedOn w:val="a"/>
    <w:rsid w:val="00517460"/>
    <w:pPr>
      <w:spacing w:before="240" w:after="60"/>
      <w:ind w:left="284"/>
    </w:pPr>
    <w:rPr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הראל</dc:creator>
  <cp:keywords/>
  <dc:description/>
  <cp:lastModifiedBy>הראל</cp:lastModifiedBy>
  <cp:revision>2</cp:revision>
  <dcterms:created xsi:type="dcterms:W3CDTF">2012-04-09T06:06:00Z</dcterms:created>
  <dcterms:modified xsi:type="dcterms:W3CDTF">2012-04-09T06:08:00Z</dcterms:modified>
</cp:coreProperties>
</file>