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AD" w:rsidRDefault="00C03DAD" w:rsidP="00C03DAD">
      <w:pPr>
        <w:pStyle w:val="2"/>
        <w:rPr>
          <w:rFonts w:hint="cs"/>
          <w:rtl/>
        </w:rPr>
      </w:pPr>
      <w:bookmarkStart w:id="0" w:name="_Toc326085804"/>
      <w:r>
        <w:rPr>
          <w:rFonts w:hint="cs"/>
          <w:rtl/>
        </w:rPr>
        <w:t xml:space="preserve">סימן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SEQ</w:instrText>
      </w:r>
      <w:r>
        <w:rPr>
          <w:rFonts w:hint="cs"/>
          <w:rtl/>
        </w:rPr>
        <w:instrText xml:space="preserve"> סימניםנדה\* </w:instrText>
      </w:r>
      <w:r>
        <w:rPr>
          <w:rFonts w:hint="cs"/>
        </w:rP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ב</w:t>
      </w:r>
      <w:r>
        <w:rPr>
          <w:rtl/>
        </w:rPr>
        <w:fldChar w:fldCharType="end"/>
      </w:r>
      <w:r>
        <w:rPr>
          <w:rFonts w:hint="cs"/>
          <w:rtl/>
        </w:rPr>
        <w:t xml:space="preserve">. בדין יש לה וסת דיה שעתה, ד ע"ב </w:t>
      </w:r>
      <w:r>
        <w:rPr>
          <w:rtl/>
        </w:rPr>
        <w:t>–</w:t>
      </w:r>
      <w:r>
        <w:rPr>
          <w:rFonts w:hint="cs"/>
          <w:rtl/>
        </w:rPr>
        <w:t xml:space="preserve"> ה ע"א</w:t>
      </w:r>
      <w:bookmarkEnd w:id="0"/>
    </w:p>
    <w:p w:rsidR="00C03DAD" w:rsidRDefault="00C03DAD" w:rsidP="00C03DAD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נדהדה\*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א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כל </w:t>
      </w:r>
      <w:proofErr w:type="spellStart"/>
      <w:r>
        <w:rPr>
          <w:rtl/>
        </w:rPr>
        <w:t>אשה</w:t>
      </w:r>
      <w:proofErr w:type="spellEnd"/>
      <w:r>
        <w:rPr>
          <w:rtl/>
        </w:rPr>
        <w:t xml:space="preserve"> שיש לה וסת [וכו']. </w:t>
      </w:r>
      <w:proofErr w:type="spellStart"/>
      <w:r>
        <w:rPr>
          <w:rtl/>
        </w:rPr>
        <w:t>לימא</w:t>
      </w:r>
      <w:proofErr w:type="spellEnd"/>
      <w:r>
        <w:rPr>
          <w:rtl/>
        </w:rPr>
        <w:t xml:space="preserve"> מתני' ר' </w:t>
      </w:r>
      <w:proofErr w:type="spellStart"/>
      <w:r>
        <w:rPr>
          <w:rtl/>
        </w:rPr>
        <w:t>דוסא</w:t>
      </w:r>
      <w:proofErr w:type="spellEnd"/>
      <w:r>
        <w:rPr>
          <w:rtl/>
        </w:rPr>
        <w:t xml:space="preserve"> היא ולא רבנן, </w:t>
      </w:r>
      <w:proofErr w:type="spellStart"/>
      <w:r>
        <w:rPr>
          <w:rtl/>
        </w:rPr>
        <w:t>דתניא</w:t>
      </w:r>
      <w:proofErr w:type="spellEnd"/>
      <w:r>
        <w:rPr>
          <w:rtl/>
        </w:rPr>
        <w:t xml:space="preserve">, ר"א אומר: ארבע נשים דיין שעתן, בתולה, מעוברת, מניקה, וזקנה. ר' </w:t>
      </w:r>
      <w:proofErr w:type="spellStart"/>
      <w:r>
        <w:rPr>
          <w:rtl/>
        </w:rPr>
        <w:t>דוסא</w:t>
      </w:r>
      <w:proofErr w:type="spellEnd"/>
      <w:r>
        <w:rPr>
          <w:rtl/>
        </w:rPr>
        <w:t xml:space="preserve"> אומר: כל </w:t>
      </w:r>
      <w:proofErr w:type="spellStart"/>
      <w:r>
        <w:rPr>
          <w:rtl/>
        </w:rPr>
        <w:t>אשה</w:t>
      </w:r>
      <w:proofErr w:type="spellEnd"/>
      <w:r>
        <w:rPr>
          <w:rtl/>
        </w:rPr>
        <w:t xml:space="preserve"> שיש לה וסת - דיה שעתה! </w:t>
      </w:r>
    </w:p>
    <w:p w:rsidR="00C03DAD" w:rsidRDefault="00C03DAD" w:rsidP="00C03DAD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נדהדה\*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ב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אפילו </w:t>
      </w:r>
      <w:proofErr w:type="spellStart"/>
      <w:r>
        <w:rPr>
          <w:rtl/>
        </w:rPr>
        <w:t>תימא</w:t>
      </w:r>
      <w:proofErr w:type="spellEnd"/>
      <w:r>
        <w:rPr>
          <w:rtl/>
        </w:rPr>
        <w:t xml:space="preserve"> רבנן, עד כאן לא פליגי רבנן עליה דר' </w:t>
      </w:r>
      <w:proofErr w:type="spellStart"/>
      <w:r>
        <w:rPr>
          <w:rtl/>
        </w:rPr>
        <w:t>דוסא</w:t>
      </w:r>
      <w:proofErr w:type="spellEnd"/>
      <w:r>
        <w:rPr>
          <w:rtl/>
        </w:rPr>
        <w:t xml:space="preserve"> - אלא שלא בשעת וסתה, אבל בשעת וסתה - </w:t>
      </w:r>
      <w:proofErr w:type="spellStart"/>
      <w:r>
        <w:rPr>
          <w:rtl/>
        </w:rPr>
        <w:t>מודו</w:t>
      </w:r>
      <w:proofErr w:type="spellEnd"/>
      <w:r>
        <w:rPr>
          <w:rtl/>
        </w:rPr>
        <w:t xml:space="preserve"> ליה, </w:t>
      </w:r>
      <w:proofErr w:type="spellStart"/>
      <w:r>
        <w:rPr>
          <w:rtl/>
        </w:rPr>
        <w:t>ומתניתין</w:t>
      </w:r>
      <w:proofErr w:type="spellEnd"/>
      <w:r>
        <w:rPr>
          <w:rtl/>
        </w:rPr>
        <w:t xml:space="preserve"> בשעת וסתה - ודברי </w:t>
      </w:r>
      <w:proofErr w:type="spellStart"/>
      <w:r>
        <w:rPr>
          <w:rtl/>
        </w:rPr>
        <w:t>הכל</w:t>
      </w:r>
      <w:proofErr w:type="spellEnd"/>
      <w:r>
        <w:rPr>
          <w:rtl/>
        </w:rPr>
        <w:t xml:space="preserve">. </w:t>
      </w:r>
    </w:p>
    <w:p w:rsidR="00C03DAD" w:rsidRDefault="00C03DAD" w:rsidP="00C03DAD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נדהדה\*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ג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מכלל דר' </w:t>
      </w:r>
      <w:proofErr w:type="spellStart"/>
      <w:r>
        <w:rPr>
          <w:rtl/>
        </w:rPr>
        <w:t>דוסא</w:t>
      </w:r>
      <w:proofErr w:type="spellEnd"/>
      <w:r>
        <w:rPr>
          <w:rtl/>
        </w:rPr>
        <w:t xml:space="preserve"> - אפילו שלא בשעת וסתה אמר; מאן תנא להא </w:t>
      </w:r>
      <w:proofErr w:type="spellStart"/>
      <w:r>
        <w:rPr>
          <w:rtl/>
        </w:rPr>
        <w:t>דת"ר</w:t>
      </w:r>
      <w:proofErr w:type="spellEnd"/>
      <w:r>
        <w:rPr>
          <w:rtl/>
        </w:rPr>
        <w:t xml:space="preserve">: </w:t>
      </w:r>
      <w:proofErr w:type="spellStart"/>
      <w:r>
        <w:rPr>
          <w:rtl/>
        </w:rPr>
        <w:t>אשה</w:t>
      </w:r>
      <w:proofErr w:type="spellEnd"/>
      <w:r>
        <w:rPr>
          <w:rtl/>
        </w:rPr>
        <w:t xml:space="preserve"> שיש לה וסת כתמה טמא למפרע, שאם תראה שלא בשעת וסתה - מטמאה מעת לעת </w:t>
      </w:r>
      <w:proofErr w:type="spellStart"/>
      <w:r>
        <w:rPr>
          <w:rtl/>
        </w:rPr>
        <w:t>נימא</w:t>
      </w:r>
      <w:proofErr w:type="spellEnd"/>
      <w:r>
        <w:rPr>
          <w:rtl/>
        </w:rPr>
        <w:t xml:space="preserve"> רבנן היא ולא רבי </w:t>
      </w:r>
      <w:proofErr w:type="spellStart"/>
      <w:r>
        <w:rPr>
          <w:rtl/>
        </w:rPr>
        <w:t>דוסא</w:t>
      </w:r>
      <w:proofErr w:type="spellEnd"/>
      <w:r>
        <w:rPr>
          <w:rtl/>
        </w:rPr>
        <w:t xml:space="preserve">? </w:t>
      </w:r>
    </w:p>
    <w:p w:rsidR="00C03DAD" w:rsidRDefault="00C03DAD" w:rsidP="00C03DAD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נדהדה\*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ד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אפילו </w:t>
      </w:r>
      <w:proofErr w:type="spellStart"/>
      <w:r>
        <w:rPr>
          <w:rtl/>
        </w:rPr>
        <w:t>תימא</w:t>
      </w:r>
      <w:proofErr w:type="spellEnd"/>
      <w:r>
        <w:rPr>
          <w:rtl/>
        </w:rPr>
        <w:t xml:space="preserve"> רבי </w:t>
      </w:r>
      <w:proofErr w:type="spellStart"/>
      <w:r>
        <w:rPr>
          <w:rtl/>
        </w:rPr>
        <w:t>דוסא</w:t>
      </w:r>
      <w:proofErr w:type="spellEnd"/>
      <w:r>
        <w:rPr>
          <w:rtl/>
        </w:rPr>
        <w:t xml:space="preserve">, ע"כ לא פליג רבי </w:t>
      </w:r>
      <w:proofErr w:type="spellStart"/>
      <w:r>
        <w:rPr>
          <w:rtl/>
        </w:rPr>
        <w:t>דוסא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עלייהו</w:t>
      </w:r>
      <w:proofErr w:type="spellEnd"/>
      <w:r>
        <w:rPr>
          <w:rtl/>
        </w:rPr>
        <w:t xml:space="preserve"> דרבנן - אלא בשעת וסתה, אבל שלא בשעת וסתה - מודי להו; </w:t>
      </w:r>
      <w:proofErr w:type="spellStart"/>
      <w:r>
        <w:rPr>
          <w:rtl/>
        </w:rPr>
        <w:t>ומתניתין</w:t>
      </w:r>
      <w:proofErr w:type="spellEnd"/>
      <w:r>
        <w:rPr>
          <w:rtl/>
        </w:rPr>
        <w:t xml:space="preserve"> - בשעת וסתה, ור' </w:t>
      </w:r>
      <w:proofErr w:type="spellStart"/>
      <w:r>
        <w:rPr>
          <w:rtl/>
        </w:rPr>
        <w:t>דוסא</w:t>
      </w:r>
      <w:proofErr w:type="spellEnd"/>
      <w:r>
        <w:rPr>
          <w:rtl/>
        </w:rPr>
        <w:t xml:space="preserve"> היא,</w:t>
      </w:r>
      <w:r>
        <w:rPr>
          <w:rFonts w:hint="cs"/>
          <w:rtl/>
        </w:rPr>
        <w:t xml:space="preserve"> </w:t>
      </w:r>
      <w:r>
        <w:rPr>
          <w:rtl/>
        </w:rPr>
        <w:t xml:space="preserve">וברייתא - דברי </w:t>
      </w:r>
      <w:proofErr w:type="spellStart"/>
      <w:r>
        <w:rPr>
          <w:rtl/>
        </w:rPr>
        <w:t>הכל</w:t>
      </w:r>
      <w:proofErr w:type="spellEnd"/>
      <w:r>
        <w:rPr>
          <w:rtl/>
        </w:rPr>
        <w:t xml:space="preserve">. </w:t>
      </w:r>
    </w:p>
    <w:p w:rsidR="00C03DAD" w:rsidRDefault="00C03DAD" w:rsidP="00C03DAD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נדהדה\*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ה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proofErr w:type="spellStart"/>
      <w:r>
        <w:rPr>
          <w:rtl/>
        </w:rPr>
        <w:t>ולוקמא</w:t>
      </w:r>
      <w:proofErr w:type="spellEnd"/>
      <w:r>
        <w:rPr>
          <w:rtl/>
        </w:rPr>
        <w:t xml:space="preserve"> איפכא! כיון </w:t>
      </w:r>
      <w:proofErr w:type="spellStart"/>
      <w:r>
        <w:rPr>
          <w:rtl/>
        </w:rPr>
        <w:t>דאיכא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לאוקומי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לקולא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ולחומרא</w:t>
      </w:r>
      <w:proofErr w:type="spellEnd"/>
      <w:r>
        <w:rPr>
          <w:rtl/>
        </w:rPr>
        <w:t xml:space="preserve"> - </w:t>
      </w:r>
      <w:proofErr w:type="spellStart"/>
      <w:r>
        <w:rPr>
          <w:rtl/>
        </w:rPr>
        <w:t>לחומרא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מוקמינן</w:t>
      </w:r>
      <w:proofErr w:type="spellEnd"/>
      <w:r>
        <w:rPr>
          <w:rtl/>
        </w:rPr>
        <w:t>.</w:t>
      </w:r>
    </w:p>
    <w:p w:rsidR="00C03DAD" w:rsidRDefault="00C03DAD" w:rsidP="00C03DAD">
      <w:pPr>
        <w:rPr>
          <w:rFonts w:hint="cs"/>
          <w:rtl/>
        </w:rPr>
      </w:pPr>
    </w:p>
    <w:p w:rsidR="00C03DAD" w:rsidRDefault="00C03DAD" w:rsidP="00C03DAD">
      <w:pPr>
        <w:rPr>
          <w:rFonts w:hint="cs"/>
          <w:rtl/>
        </w:rPr>
      </w:pPr>
      <w:r>
        <w:rPr>
          <w:rFonts w:hint="cs"/>
          <w:rtl/>
        </w:rPr>
        <w:t xml:space="preserve">שלושה מקורות </w:t>
      </w:r>
      <w:proofErr w:type="spellStart"/>
      <w:r>
        <w:rPr>
          <w:rFonts w:hint="cs"/>
          <w:rtl/>
        </w:rPr>
        <w:t>תנאיים</w:t>
      </w:r>
      <w:proofErr w:type="spellEnd"/>
      <w:r>
        <w:rPr>
          <w:rFonts w:hint="cs"/>
          <w:rtl/>
        </w:rPr>
        <w:t xml:space="preserve"> נדונים </w:t>
      </w:r>
      <w:proofErr w:type="spellStart"/>
      <w:r>
        <w:rPr>
          <w:rFonts w:hint="cs"/>
          <w:rtl/>
        </w:rPr>
        <w:t>בסוגיא</w:t>
      </w:r>
      <w:proofErr w:type="spellEnd"/>
      <w:r>
        <w:rPr>
          <w:rFonts w:hint="cs"/>
          <w:rtl/>
        </w:rPr>
        <w:t>:</w:t>
      </w:r>
    </w:p>
    <w:p w:rsidR="00C03DAD" w:rsidRDefault="00C03DAD" w:rsidP="00C03DAD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מחלוקת רבי </w:t>
      </w:r>
      <w:proofErr w:type="spellStart"/>
      <w:r>
        <w:rPr>
          <w:rFonts w:hint="cs"/>
          <w:rtl/>
        </w:rPr>
        <w:t>דוסא</w:t>
      </w:r>
      <w:proofErr w:type="spellEnd"/>
      <w:r>
        <w:rPr>
          <w:rFonts w:hint="cs"/>
          <w:rtl/>
        </w:rPr>
        <w:t xml:space="preserve"> וחכמים בברייתא אם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שיש לה וסת דיה שעתה או טמאה למפרע [סעיף א]</w:t>
      </w:r>
    </w:p>
    <w:p w:rsidR="00C03DAD" w:rsidRDefault="00C03DAD" w:rsidP="00C03DAD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משנתנו: כל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שיש לה וסת דיה שעתה</w:t>
      </w:r>
    </w:p>
    <w:p w:rsidR="00C03DAD" w:rsidRDefault="00C03DAD" w:rsidP="00C03DAD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ברייתא [סעיף ג]: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שיש לה וסת וראתה שלא בשעת וסתה טמאה למפרע</w:t>
      </w:r>
    </w:p>
    <w:p w:rsidR="00C03DAD" w:rsidRDefault="00C03DAD" w:rsidP="00C03DAD">
      <w:pPr>
        <w:rPr>
          <w:rFonts w:hint="cs"/>
          <w:rtl/>
        </w:rPr>
      </w:pPr>
      <w:r>
        <w:rPr>
          <w:rFonts w:hint="cs"/>
          <w:rtl/>
        </w:rPr>
        <w:t xml:space="preserve">בברייתא בה נחלקו ר"ד וחכמים לא מפורש אם נחלקו כשראתה בשעת וסתה או שלא בשעת וסתה. ומכאן שתי אפשרויות: או שנחלקו שלא בשעת וסתה אך בשעת וסתה </w:t>
      </w:r>
      <w:proofErr w:type="spellStart"/>
      <w:r>
        <w:rPr>
          <w:rFonts w:hint="cs"/>
          <w:rtl/>
        </w:rPr>
        <w:t>לכו"ע</w:t>
      </w:r>
      <w:proofErr w:type="spellEnd"/>
      <w:r>
        <w:rPr>
          <w:rFonts w:hint="cs"/>
          <w:rtl/>
        </w:rPr>
        <w:t xml:space="preserve"> דיה שעתה, או שנחלקו בשעת וסתה אך שלא בשעת וסתה </w:t>
      </w:r>
      <w:proofErr w:type="spellStart"/>
      <w:r>
        <w:rPr>
          <w:rFonts w:hint="cs"/>
          <w:rtl/>
        </w:rPr>
        <w:t>לכו"ע</w:t>
      </w:r>
      <w:proofErr w:type="spellEnd"/>
      <w:r>
        <w:rPr>
          <w:rFonts w:hint="cs"/>
          <w:rtl/>
        </w:rPr>
        <w:t xml:space="preserve"> טמאה למפרע. </w:t>
      </w:r>
    </w:p>
    <w:p w:rsidR="00C03DAD" w:rsidRDefault="00C03DAD" w:rsidP="00C03DAD">
      <w:pPr>
        <w:rPr>
          <w:rFonts w:hint="cs"/>
          <w:rtl/>
        </w:rPr>
      </w:pPr>
      <w:r>
        <w:rPr>
          <w:rFonts w:hint="cs"/>
          <w:rtl/>
        </w:rPr>
        <w:t xml:space="preserve">לפי האפשרות הראשונה משנתנו היא </w:t>
      </w:r>
      <w:proofErr w:type="spellStart"/>
      <w:r>
        <w:rPr>
          <w:rFonts w:hint="cs"/>
          <w:rtl/>
        </w:rPr>
        <w:t>לכו"ע</w:t>
      </w:r>
      <w:proofErr w:type="spellEnd"/>
      <w:r>
        <w:rPr>
          <w:rFonts w:hint="cs"/>
          <w:rtl/>
        </w:rPr>
        <w:t xml:space="preserve">, אך הברייתא של סעיף [ג] היא רק אליבא </w:t>
      </w:r>
      <w:proofErr w:type="spellStart"/>
      <w:r>
        <w:rPr>
          <w:rFonts w:hint="cs"/>
          <w:rtl/>
        </w:rPr>
        <w:t>דחכמים</w:t>
      </w:r>
      <w:proofErr w:type="spellEnd"/>
      <w:r>
        <w:rPr>
          <w:rFonts w:hint="cs"/>
          <w:rtl/>
        </w:rPr>
        <w:t xml:space="preserve">, ואילו לפי האפשרות </w:t>
      </w:r>
      <w:proofErr w:type="spellStart"/>
      <w:r>
        <w:rPr>
          <w:rFonts w:hint="cs"/>
          <w:rtl/>
        </w:rPr>
        <w:t>השניה</w:t>
      </w:r>
      <w:proofErr w:type="spellEnd"/>
      <w:r>
        <w:rPr>
          <w:rFonts w:hint="cs"/>
          <w:rtl/>
        </w:rPr>
        <w:t xml:space="preserve"> הברייתא של סעיף [ג] היא </w:t>
      </w:r>
      <w:proofErr w:type="spellStart"/>
      <w:r>
        <w:rPr>
          <w:rFonts w:hint="cs"/>
          <w:rtl/>
        </w:rPr>
        <w:t>לכו"ע</w:t>
      </w:r>
      <w:proofErr w:type="spellEnd"/>
      <w:r>
        <w:rPr>
          <w:rFonts w:hint="cs"/>
          <w:rtl/>
        </w:rPr>
        <w:t xml:space="preserve"> ואילו משנתנו היא רק אליבא דרבי </w:t>
      </w:r>
      <w:proofErr w:type="spellStart"/>
      <w:r>
        <w:rPr>
          <w:rFonts w:hint="cs"/>
          <w:rtl/>
        </w:rPr>
        <w:t>דוסא</w:t>
      </w:r>
      <w:proofErr w:type="spellEnd"/>
      <w:r>
        <w:rPr>
          <w:rFonts w:hint="cs"/>
          <w:rtl/>
        </w:rPr>
        <w:t xml:space="preserve">. </w:t>
      </w:r>
    </w:p>
    <w:p w:rsidR="00C03DAD" w:rsidRDefault="00C03DAD" w:rsidP="00C03DAD">
      <w:pPr>
        <w:rPr>
          <w:rFonts w:hint="cs"/>
          <w:rtl/>
        </w:rPr>
      </w:pPr>
      <w:r>
        <w:rPr>
          <w:rFonts w:hint="cs"/>
          <w:rtl/>
        </w:rPr>
        <w:t>נציג זאת בטבלה:</w:t>
      </w:r>
    </w:p>
    <w:p w:rsidR="00C03DAD" w:rsidRDefault="00C03DAD" w:rsidP="00C03DAD">
      <w:pPr>
        <w:pStyle w:val="a6"/>
        <w:rPr>
          <w:rFonts w:hint="cs"/>
          <w:rtl/>
        </w:rPr>
      </w:pPr>
      <w:r>
        <w:rPr>
          <w:rFonts w:hint="cs"/>
          <w:rtl/>
        </w:rPr>
        <w:t>מחלוקת ר"ד וחכמים - אפשרות א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מח' ר"ד וחכמים - אפשרות ב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136"/>
        <w:gridCol w:w="1355"/>
        <w:gridCol w:w="222"/>
        <w:gridCol w:w="942"/>
        <w:gridCol w:w="1309"/>
        <w:gridCol w:w="1355"/>
      </w:tblGrid>
      <w:tr w:rsidR="00C03DAD" w:rsidTr="002A6B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בשעת וסתה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בשעת וסתה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בשעת וסתה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בשעת וסתה</w:t>
            </w:r>
          </w:p>
        </w:tc>
      </w:tr>
      <w:tr w:rsidR="00C03DAD" w:rsidTr="002A6B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דוסא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דיה שעתה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דיה שעתה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דוסא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דיה שעתה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טמאה למפרע</w:t>
            </w:r>
          </w:p>
        </w:tc>
      </w:tr>
      <w:tr w:rsidR="00C03DAD" w:rsidTr="002A6B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חכמים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דיה שעתה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טמאה למפרע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חכמים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טמאה למפרע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טמאה למפרע</w:t>
            </w:r>
          </w:p>
        </w:tc>
      </w:tr>
    </w:tbl>
    <w:p w:rsidR="00C03DAD" w:rsidRDefault="00C03DAD" w:rsidP="00C03DAD">
      <w:pPr>
        <w:pStyle w:val="a6"/>
        <w:rPr>
          <w:rFonts w:hint="cs"/>
          <w:rtl/>
        </w:rPr>
      </w:pPr>
      <w:r>
        <w:rPr>
          <w:rFonts w:hint="cs"/>
          <w:rtl/>
        </w:rPr>
        <w:t>משנתנו והברייתא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136"/>
        <w:gridCol w:w="1355"/>
      </w:tblGrid>
      <w:tr w:rsidR="00C03DAD" w:rsidTr="002A6B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בשעת וסתה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לא בשעת וסתה</w:t>
            </w:r>
          </w:p>
        </w:tc>
      </w:tr>
      <w:tr w:rsidR="00C03DAD" w:rsidTr="002A6B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משנתנו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דיה שעתה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5"/>
              <w:rPr>
                <w:rFonts w:hint="cs"/>
                <w:rtl/>
              </w:rPr>
            </w:pPr>
          </w:p>
        </w:tc>
      </w:tr>
      <w:tr w:rsidR="00C03DAD" w:rsidTr="002A6B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ברייתא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5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AD" w:rsidRDefault="00C03DAD" w:rsidP="002A6BB7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טמאה למפרע</w:t>
            </w:r>
          </w:p>
        </w:tc>
      </w:tr>
    </w:tbl>
    <w:p w:rsidR="00C03DAD" w:rsidRDefault="00C03DAD" w:rsidP="00C03DAD">
      <w:pPr>
        <w:rPr>
          <w:rFonts w:hint="cs"/>
          <w:rtl/>
        </w:rPr>
      </w:pPr>
    </w:p>
    <w:p w:rsidR="00C03DAD" w:rsidRDefault="00C03DAD" w:rsidP="00C03DAD">
      <w:pPr>
        <w:rPr>
          <w:rFonts w:hint="cs"/>
          <w:rtl/>
        </w:rPr>
      </w:pPr>
      <w:r>
        <w:rPr>
          <w:rFonts w:hint="cs"/>
          <w:rtl/>
        </w:rPr>
        <w:t xml:space="preserve">ניתן לראות שהמשנה עוסקת רק בטור הימני והברייתא רק בטור השמאלי. </w:t>
      </w:r>
    </w:p>
    <w:p w:rsidR="00C03DAD" w:rsidRDefault="00C03DAD" w:rsidP="00C03DAD">
      <w:pPr>
        <w:pStyle w:val="3"/>
        <w:rPr>
          <w:rFonts w:hint="cs"/>
          <w:rtl/>
        </w:rPr>
      </w:pPr>
      <w:r>
        <w:rPr>
          <w:rFonts w:hint="cs"/>
          <w:rtl/>
        </w:rPr>
        <w:lastRenderedPageBreak/>
        <w:t xml:space="preserve">מהלך </w:t>
      </w:r>
      <w:proofErr w:type="spellStart"/>
      <w:r>
        <w:rPr>
          <w:rFonts w:hint="cs"/>
          <w:rtl/>
        </w:rPr>
        <w:t>הסוגיא</w:t>
      </w:r>
      <w:proofErr w:type="spellEnd"/>
    </w:p>
    <w:p w:rsidR="00C03DAD" w:rsidRDefault="00C03DAD" w:rsidP="00C03DAD">
      <w:pPr>
        <w:rPr>
          <w:rFonts w:hint="cs"/>
          <w:rtl/>
        </w:rPr>
      </w:pPr>
      <w:r>
        <w:rPr>
          <w:rFonts w:hint="cs"/>
          <w:rtl/>
        </w:rPr>
        <w:t xml:space="preserve">הגמרא בסעיף [ב] מעדיפה את האפשרות הראשונה, וזאת כדי להעמיד את משנתנו </w:t>
      </w:r>
      <w:proofErr w:type="spellStart"/>
      <w:r>
        <w:rPr>
          <w:rFonts w:hint="cs"/>
          <w:rtl/>
        </w:rPr>
        <w:t>ככו"ע</w:t>
      </w:r>
      <w:proofErr w:type="spellEnd"/>
      <w:r>
        <w:rPr>
          <w:rFonts w:hint="cs"/>
          <w:rtl/>
        </w:rPr>
        <w:t xml:space="preserve">. אמנם, כיוון שבסעיף [ג] מובאת הברייתא שתתאים לפי אפשרות זו רק </w:t>
      </w:r>
      <w:proofErr w:type="spellStart"/>
      <w:r>
        <w:rPr>
          <w:rFonts w:hint="cs"/>
          <w:rtl/>
        </w:rPr>
        <w:t>לר"ד</w:t>
      </w:r>
      <w:proofErr w:type="spellEnd"/>
      <w:r>
        <w:rPr>
          <w:rFonts w:hint="cs"/>
          <w:rtl/>
        </w:rPr>
        <w:t xml:space="preserve">, מעדיפה הגמרא בסעיף [ד] את האפשרות </w:t>
      </w:r>
      <w:proofErr w:type="spellStart"/>
      <w:r>
        <w:rPr>
          <w:rFonts w:hint="cs"/>
          <w:rtl/>
        </w:rPr>
        <w:t>השניה</w:t>
      </w:r>
      <w:proofErr w:type="spellEnd"/>
      <w:r>
        <w:rPr>
          <w:rFonts w:hint="cs"/>
          <w:rtl/>
        </w:rPr>
        <w:t xml:space="preserve">, כך שהברייתא תתאים </w:t>
      </w:r>
      <w:proofErr w:type="spellStart"/>
      <w:r>
        <w:rPr>
          <w:rFonts w:hint="cs"/>
          <w:rtl/>
        </w:rPr>
        <w:t>לכו"ע</w:t>
      </w:r>
      <w:proofErr w:type="spellEnd"/>
      <w:r>
        <w:rPr>
          <w:rFonts w:hint="cs"/>
          <w:rtl/>
        </w:rPr>
        <w:t xml:space="preserve">, אלא שהמשנה תתאים רק </w:t>
      </w:r>
      <w:proofErr w:type="spellStart"/>
      <w:r>
        <w:rPr>
          <w:rFonts w:hint="cs"/>
          <w:rtl/>
        </w:rPr>
        <w:t>לר"ד</w:t>
      </w:r>
      <w:proofErr w:type="spellEnd"/>
      <w:r>
        <w:rPr>
          <w:rFonts w:hint="cs"/>
          <w:rtl/>
        </w:rPr>
        <w:t xml:space="preserve">. </w:t>
      </w:r>
    </w:p>
    <w:p w:rsidR="00C03DAD" w:rsidRDefault="00C03DAD" w:rsidP="00C03DAD">
      <w:pPr>
        <w:rPr>
          <w:rFonts w:hint="cs"/>
          <w:rtl/>
        </w:rPr>
      </w:pPr>
      <w:r>
        <w:rPr>
          <w:rFonts w:hint="cs"/>
          <w:rtl/>
        </w:rPr>
        <w:t xml:space="preserve">בסעיף [ה] הגמרא מסבירה שהסיבה להעדפת האפשרות </w:t>
      </w:r>
      <w:proofErr w:type="spellStart"/>
      <w:r>
        <w:rPr>
          <w:rFonts w:hint="cs"/>
          <w:rtl/>
        </w:rPr>
        <w:t>השניה</w:t>
      </w:r>
      <w:proofErr w:type="spellEnd"/>
      <w:r>
        <w:rPr>
          <w:rFonts w:hint="cs"/>
          <w:rtl/>
        </w:rPr>
        <w:t xml:space="preserve"> על פני הראשונה היא שאפשרות זו מחמירה יותר. </w:t>
      </w:r>
    </w:p>
    <w:p w:rsidR="00C03DAD" w:rsidRDefault="00C03DAD" w:rsidP="00C03DAD">
      <w:pPr>
        <w:pStyle w:val="4"/>
        <w:rPr>
          <w:rFonts w:hint="cs"/>
          <w:rtl/>
        </w:rPr>
      </w:pPr>
      <w:r>
        <w:rPr>
          <w:rFonts w:hint="cs"/>
          <w:rtl/>
        </w:rPr>
        <w:t>הרחבה</w:t>
      </w:r>
    </w:p>
    <w:p w:rsidR="00C03DAD" w:rsidRDefault="00C03DAD" w:rsidP="00C03DAD">
      <w:pPr>
        <w:rPr>
          <w:rFonts w:hint="cs"/>
          <w:rtl/>
        </w:rPr>
      </w:pPr>
      <w:r>
        <w:rPr>
          <w:rFonts w:hint="cs"/>
          <w:rtl/>
        </w:rPr>
        <w:t xml:space="preserve">לכאורה אין סימטריה בין המשנה לברייתא [סעיף ג], וממילא אין </w:t>
      </w:r>
      <w:proofErr w:type="spellStart"/>
      <w:r>
        <w:rPr>
          <w:rFonts w:hint="cs"/>
          <w:rtl/>
        </w:rPr>
        <w:t>סימטרה</w:t>
      </w:r>
      <w:proofErr w:type="spellEnd"/>
      <w:r>
        <w:rPr>
          <w:rFonts w:hint="cs"/>
          <w:rtl/>
        </w:rPr>
        <w:t xml:space="preserve"> בין שתי האפשרויות שעולות בגמרא. לפי האפשרות הראשונה אכן ניתן להעמיד את המשנה </w:t>
      </w:r>
      <w:proofErr w:type="spellStart"/>
      <w:r>
        <w:rPr>
          <w:rFonts w:hint="cs"/>
          <w:rtl/>
        </w:rPr>
        <w:t>ככו"ע</w:t>
      </w:r>
      <w:proofErr w:type="spellEnd"/>
      <w:r>
        <w:rPr>
          <w:rFonts w:hint="cs"/>
          <w:rtl/>
        </w:rPr>
        <w:t xml:space="preserve"> כיוון שבמשנה לא מפורש אם מדובר על הטור הימני או השמאלי, ולכן ניתן לומר, שהמשנה </w:t>
      </w:r>
      <w:proofErr w:type="spellStart"/>
      <w:r>
        <w:rPr>
          <w:rFonts w:hint="cs"/>
          <w:rtl/>
        </w:rPr>
        <w:t>כר"ד</w:t>
      </w:r>
      <w:proofErr w:type="spellEnd"/>
      <w:r>
        <w:rPr>
          <w:rFonts w:hint="cs"/>
          <w:rtl/>
        </w:rPr>
        <w:t xml:space="preserve"> ודיה שעתה אפילו אם ראתה שלא בשעת וסתה וכן ניתן לומר, שהמשנה כחכמים ודיה שעתה דווקא אם ראתה בשעת וסתה. </w:t>
      </w:r>
    </w:p>
    <w:p w:rsidR="00C03DAD" w:rsidRDefault="00C03DAD" w:rsidP="00C03DAD">
      <w:pPr>
        <w:rPr>
          <w:rFonts w:hint="cs"/>
          <w:rtl/>
        </w:rPr>
      </w:pPr>
      <w:r>
        <w:rPr>
          <w:rFonts w:hint="cs"/>
          <w:rtl/>
        </w:rPr>
        <w:t xml:space="preserve">לעומת זאת בברייתא [סעיף ג] מפורש שדווקא אם ראתה שלא בשעת וסתה טמאה למפרע, כך שגם לפי האפשרות </w:t>
      </w:r>
      <w:proofErr w:type="spellStart"/>
      <w:r>
        <w:rPr>
          <w:rFonts w:hint="cs"/>
          <w:rtl/>
        </w:rPr>
        <w:t>השניה</w:t>
      </w:r>
      <w:proofErr w:type="spellEnd"/>
      <w:r>
        <w:rPr>
          <w:rFonts w:hint="cs"/>
          <w:rtl/>
        </w:rPr>
        <w:t xml:space="preserve"> א"א להעמידה כחכמים שהרי חכמים מטמאים למפרע אפילו ראתה בשעה וסתה. </w:t>
      </w:r>
    </w:p>
    <w:p w:rsidR="00C03DAD" w:rsidRDefault="00C03DAD" w:rsidP="00C03DAD">
      <w:pPr>
        <w:rPr>
          <w:rFonts w:hint="cs"/>
          <w:rtl/>
        </w:rPr>
      </w:pPr>
      <w:r>
        <w:rPr>
          <w:rFonts w:hint="cs"/>
          <w:rtl/>
        </w:rPr>
        <w:t xml:space="preserve">על קושיא זו עמדו </w:t>
      </w:r>
      <w:proofErr w:type="spellStart"/>
      <w:r>
        <w:rPr>
          <w:rFonts w:hint="cs"/>
          <w:rtl/>
        </w:rPr>
        <w:t>בתוד"ה</w:t>
      </w:r>
      <w:proofErr w:type="spellEnd"/>
      <w:r>
        <w:rPr>
          <w:rFonts w:hint="cs"/>
          <w:rtl/>
        </w:rPr>
        <w:t xml:space="preserve"> וברייתא דברי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, ומדבריהם עולה שאכן מה שהגמרא אומרת וברייתא </w:t>
      </w:r>
      <w:proofErr w:type="spellStart"/>
      <w:r>
        <w:rPr>
          <w:rFonts w:hint="cs"/>
          <w:rtl/>
        </w:rPr>
        <w:t>ככו"ע</w:t>
      </w:r>
      <w:proofErr w:type="spellEnd"/>
      <w:r>
        <w:rPr>
          <w:rFonts w:hint="cs"/>
          <w:rtl/>
        </w:rPr>
        <w:t xml:space="preserve"> היינו רק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המפורש בברייתא, שמטמאה למפרע כשראתה שלא בשעת וסתה, אך </w:t>
      </w:r>
      <w:proofErr w:type="spellStart"/>
      <w:r>
        <w:rPr>
          <w:rFonts w:hint="cs"/>
          <w:rtl/>
        </w:rPr>
        <w:t>אה"נ</w:t>
      </w:r>
      <w:proofErr w:type="spellEnd"/>
      <w:r>
        <w:rPr>
          <w:rFonts w:hint="cs"/>
          <w:rtl/>
        </w:rPr>
        <w:t xml:space="preserve"> שאין כאן התאמה גמורה לשיטת חכמים. </w:t>
      </w:r>
      <w:bookmarkStart w:id="1" w:name="_GoBack"/>
      <w:bookmarkEnd w:id="1"/>
    </w:p>
    <w:sectPr w:rsidR="00C03DAD" w:rsidSect="00C03DAD">
      <w:pgSz w:w="11906" w:h="16838"/>
      <w:pgMar w:top="2268" w:right="1985" w:bottom="2268" w:left="1985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1AF"/>
    <w:multiLevelType w:val="hybridMultilevel"/>
    <w:tmpl w:val="82D83B44"/>
    <w:lvl w:ilvl="0" w:tplc="070A67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AD"/>
    <w:rsid w:val="00672965"/>
    <w:rsid w:val="007666F3"/>
    <w:rsid w:val="00C03DAD"/>
    <w:rsid w:val="00D4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AD"/>
    <w:pPr>
      <w:bidi/>
      <w:spacing w:after="0" w:line="30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C03DAD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3D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03DAD"/>
    <w:pPr>
      <w:keepNext/>
      <w:spacing w:before="240" w:after="6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C03DAD"/>
    <w:rPr>
      <w:rFonts w:ascii="Arial" w:eastAsia="Times New Roman" w:hAnsi="Arial" w:cs="David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rsid w:val="00C03DAD"/>
    <w:rPr>
      <w:rFonts w:ascii="Arial" w:eastAsia="Times New Roman" w:hAnsi="Arial" w:cs="David"/>
      <w:b/>
      <w:bCs/>
      <w:sz w:val="26"/>
      <w:szCs w:val="26"/>
    </w:rPr>
  </w:style>
  <w:style w:type="character" w:customStyle="1" w:styleId="40">
    <w:name w:val="כותרת 4 תו"/>
    <w:basedOn w:val="a0"/>
    <w:link w:val="4"/>
    <w:rsid w:val="00C03DAD"/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a3">
    <w:name w:val="צטוט"/>
    <w:basedOn w:val="a"/>
    <w:autoRedefine/>
    <w:rsid w:val="00C03DAD"/>
    <w:pPr>
      <w:ind w:left="680" w:hanging="340"/>
    </w:pPr>
    <w:rPr>
      <w:rFonts w:cs="Guttman-Toledo"/>
      <w:sz w:val="48"/>
    </w:rPr>
  </w:style>
  <w:style w:type="paragraph" w:customStyle="1" w:styleId="a4">
    <w:name w:val="תא כותרת ימין"/>
    <w:basedOn w:val="a"/>
    <w:rsid w:val="00C03DAD"/>
    <w:pPr>
      <w:ind w:right="113"/>
    </w:pPr>
    <w:rPr>
      <w:bCs/>
      <w:szCs w:val="18"/>
    </w:rPr>
  </w:style>
  <w:style w:type="paragraph" w:customStyle="1" w:styleId="a5">
    <w:name w:val="טור שמאל"/>
    <w:basedOn w:val="a"/>
    <w:rsid w:val="00C03DAD"/>
    <w:pPr>
      <w:ind w:left="113"/>
    </w:pPr>
    <w:rPr>
      <w:szCs w:val="20"/>
    </w:rPr>
  </w:style>
  <w:style w:type="paragraph" w:customStyle="1" w:styleId="a6">
    <w:name w:val="כותרת טבלה"/>
    <w:basedOn w:val="a"/>
    <w:rsid w:val="00C03DAD"/>
    <w:pPr>
      <w:spacing w:before="240" w:after="60"/>
      <w:ind w:left="284"/>
    </w:pPr>
    <w:rPr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AD"/>
    <w:pPr>
      <w:bidi/>
      <w:spacing w:after="0" w:line="30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C03DAD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3D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03DAD"/>
    <w:pPr>
      <w:keepNext/>
      <w:spacing w:before="240" w:after="6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C03DAD"/>
    <w:rPr>
      <w:rFonts w:ascii="Arial" w:eastAsia="Times New Roman" w:hAnsi="Arial" w:cs="David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rsid w:val="00C03DAD"/>
    <w:rPr>
      <w:rFonts w:ascii="Arial" w:eastAsia="Times New Roman" w:hAnsi="Arial" w:cs="David"/>
      <w:b/>
      <w:bCs/>
      <w:sz w:val="26"/>
      <w:szCs w:val="26"/>
    </w:rPr>
  </w:style>
  <w:style w:type="character" w:customStyle="1" w:styleId="40">
    <w:name w:val="כותרת 4 תו"/>
    <w:basedOn w:val="a0"/>
    <w:link w:val="4"/>
    <w:rsid w:val="00C03DAD"/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a3">
    <w:name w:val="צטוט"/>
    <w:basedOn w:val="a"/>
    <w:autoRedefine/>
    <w:rsid w:val="00C03DAD"/>
    <w:pPr>
      <w:ind w:left="680" w:hanging="340"/>
    </w:pPr>
    <w:rPr>
      <w:rFonts w:cs="Guttman-Toledo"/>
      <w:sz w:val="48"/>
    </w:rPr>
  </w:style>
  <w:style w:type="paragraph" w:customStyle="1" w:styleId="a4">
    <w:name w:val="תא כותרת ימין"/>
    <w:basedOn w:val="a"/>
    <w:rsid w:val="00C03DAD"/>
    <w:pPr>
      <w:ind w:right="113"/>
    </w:pPr>
    <w:rPr>
      <w:bCs/>
      <w:szCs w:val="18"/>
    </w:rPr>
  </w:style>
  <w:style w:type="paragraph" w:customStyle="1" w:styleId="a5">
    <w:name w:val="טור שמאל"/>
    <w:basedOn w:val="a"/>
    <w:rsid w:val="00C03DAD"/>
    <w:pPr>
      <w:ind w:left="113"/>
    </w:pPr>
    <w:rPr>
      <w:szCs w:val="20"/>
    </w:rPr>
  </w:style>
  <w:style w:type="paragraph" w:customStyle="1" w:styleId="a6">
    <w:name w:val="כותרת טבלה"/>
    <w:basedOn w:val="a"/>
    <w:rsid w:val="00C03DAD"/>
    <w:pPr>
      <w:spacing w:before="240" w:after="60"/>
      <w:ind w:left="284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2513</Characters>
  <Application>Microsoft Office Word</Application>
  <DocSecurity>0</DocSecurity>
  <Lines>20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הראל</dc:creator>
  <cp:lastModifiedBy>הראל</cp:lastModifiedBy>
  <cp:revision>1</cp:revision>
  <dcterms:created xsi:type="dcterms:W3CDTF">2012-05-30T05:33:00Z</dcterms:created>
  <dcterms:modified xsi:type="dcterms:W3CDTF">2012-05-30T05:33:00Z</dcterms:modified>
</cp:coreProperties>
</file>