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ED3" w:rsidRDefault="00783ED3" w:rsidP="00783ED3">
      <w:pPr>
        <w:pStyle w:val="2"/>
        <w:rPr>
          <w:rFonts w:hint="cs"/>
          <w:rtl/>
        </w:rPr>
      </w:pPr>
      <w:bookmarkStart w:id="0" w:name="_Toc327204142"/>
      <w:r>
        <w:rPr>
          <w:rFonts w:hint="cs"/>
          <w:rtl/>
        </w:rPr>
        <w:t xml:space="preserve">סימן </w:t>
      </w:r>
      <w:r>
        <w:rPr>
          <w:rtl/>
        </w:rPr>
        <w:fldChar w:fldCharType="begin"/>
      </w:r>
      <w:r>
        <w:rPr>
          <w:rtl/>
        </w:rPr>
        <w:instrText xml:space="preserve"> </w:instrText>
      </w:r>
      <w:r>
        <w:rPr>
          <w:rFonts w:hint="cs"/>
        </w:rPr>
        <w:instrText>SEQ</w:instrText>
      </w:r>
      <w:r>
        <w:rPr>
          <w:rFonts w:hint="cs"/>
          <w:rtl/>
        </w:rPr>
        <w:instrText xml:space="preserve"> סימניםנדה\* </w:instrText>
      </w:r>
      <w:r>
        <w:rPr>
          <w:rFonts w:hint="cs"/>
        </w:rPr>
        <w:instrText>hebrew1 \* MERGEFORMAT</w:instrText>
      </w:r>
      <w:r>
        <w:rPr>
          <w:rtl/>
        </w:rPr>
        <w:instrText xml:space="preserve"> </w:instrText>
      </w:r>
      <w:r>
        <w:rPr>
          <w:rtl/>
        </w:rPr>
        <w:fldChar w:fldCharType="separate"/>
      </w:r>
      <w:r>
        <w:rPr>
          <w:noProof/>
          <w:rtl/>
        </w:rPr>
        <w:t>ג</w:t>
      </w:r>
      <w:r>
        <w:rPr>
          <w:rtl/>
        </w:rPr>
        <w:fldChar w:fldCharType="end"/>
      </w:r>
      <w:r>
        <w:rPr>
          <w:rFonts w:hint="cs"/>
          <w:rtl/>
        </w:rPr>
        <w:t xml:space="preserve">. בדין מפלת חתיכה, </w:t>
      </w:r>
      <w:proofErr w:type="spellStart"/>
      <w:r>
        <w:rPr>
          <w:rFonts w:hint="cs"/>
          <w:rtl/>
        </w:rPr>
        <w:t>כא</w:t>
      </w:r>
      <w:bookmarkEnd w:id="0"/>
      <w:proofErr w:type="spellEnd"/>
      <w:r>
        <w:rPr>
          <w:rFonts w:hint="cs"/>
          <w:rtl/>
        </w:rPr>
        <w:t xml:space="preserve"> </w:t>
      </w:r>
    </w:p>
    <w:p w:rsidR="00783ED3" w:rsidRDefault="00783ED3" w:rsidP="00783ED3">
      <w:pPr>
        <w:pStyle w:val="a3"/>
        <w:rPr>
          <w:rtl/>
        </w:rPr>
      </w:pPr>
      <w:r>
        <w:rPr>
          <w:rtl/>
        </w:rPr>
        <w:fldChar w:fldCharType="begin"/>
      </w:r>
      <w:r>
        <w:rPr>
          <w:rtl/>
        </w:rPr>
        <w:instrText xml:space="preserve"> </w:instrText>
      </w:r>
      <w:r>
        <w:instrText>SEQ</w:instrText>
      </w:r>
      <w:r>
        <w:rPr>
          <w:rtl/>
        </w:rPr>
        <w:instrText xml:space="preserve"> נדהכא\* </w:instrText>
      </w:r>
      <w:r>
        <w:instrText>hebrew1 \* MERGEFORMAT</w:instrText>
      </w:r>
      <w:r>
        <w:rPr>
          <w:rtl/>
        </w:rPr>
        <w:instrText xml:space="preserve"> </w:instrText>
      </w:r>
      <w:r>
        <w:rPr>
          <w:rtl/>
        </w:rPr>
        <w:fldChar w:fldCharType="separate"/>
      </w:r>
      <w:r>
        <w:rPr>
          <w:noProof/>
          <w:rtl/>
        </w:rPr>
        <w:t>א</w:t>
      </w:r>
      <w:r>
        <w:rPr>
          <w:rtl/>
        </w:rPr>
        <w:fldChar w:fldCharType="end"/>
      </w:r>
      <w:r>
        <w:rPr>
          <w:rFonts w:hint="cs"/>
          <w:rtl/>
        </w:rPr>
        <w:t>.</w:t>
      </w:r>
      <w:r>
        <w:rPr>
          <w:rFonts w:hint="cs"/>
          <w:rtl/>
        </w:rPr>
        <w:tab/>
      </w:r>
      <w:r>
        <w:rPr>
          <w:rtl/>
        </w:rPr>
        <w:t xml:space="preserve">/מתני'/. </w:t>
      </w:r>
      <w:proofErr w:type="spellStart"/>
      <w:r>
        <w:rPr>
          <w:rtl/>
        </w:rPr>
        <w:t>המפלת</w:t>
      </w:r>
      <w:proofErr w:type="spellEnd"/>
      <w:r>
        <w:rPr>
          <w:rtl/>
        </w:rPr>
        <w:t xml:space="preserve"> חתיכה, אם יש עמה דם - טמאה, ואם לאו - טהורה. ר' יהודה אומר: בין כך ובין כך טמאה. </w:t>
      </w:r>
      <w:r>
        <w:rPr>
          <w:rFonts w:hint="cs"/>
          <w:rtl/>
        </w:rPr>
        <w:t>...</w:t>
      </w:r>
    </w:p>
    <w:p w:rsidR="00783ED3" w:rsidRDefault="00783ED3" w:rsidP="00783ED3">
      <w:pPr>
        <w:pStyle w:val="a3"/>
        <w:rPr>
          <w:rFonts w:hint="cs"/>
          <w:rtl/>
        </w:rPr>
      </w:pPr>
      <w:r>
        <w:rPr>
          <w:rtl/>
        </w:rPr>
        <w:fldChar w:fldCharType="begin"/>
      </w:r>
      <w:r>
        <w:rPr>
          <w:rtl/>
        </w:rPr>
        <w:instrText xml:space="preserve"> </w:instrText>
      </w:r>
      <w:r>
        <w:instrText>SEQ</w:instrText>
      </w:r>
      <w:r>
        <w:rPr>
          <w:rtl/>
        </w:rPr>
        <w:instrText xml:space="preserve"> נדהכא\* </w:instrText>
      </w:r>
      <w:r>
        <w:instrText>hebrew1 \* MERGEFORMAT</w:instrText>
      </w:r>
      <w:r>
        <w:rPr>
          <w:rtl/>
        </w:rPr>
        <w:instrText xml:space="preserve"> </w:instrText>
      </w:r>
      <w:r>
        <w:rPr>
          <w:rtl/>
        </w:rPr>
        <w:fldChar w:fldCharType="separate"/>
      </w:r>
      <w:r>
        <w:rPr>
          <w:noProof/>
          <w:rtl/>
        </w:rPr>
        <w:t>ב</w:t>
      </w:r>
      <w:r>
        <w:rPr>
          <w:rtl/>
        </w:rPr>
        <w:fldChar w:fldCharType="end"/>
      </w:r>
      <w:r>
        <w:rPr>
          <w:rFonts w:hint="cs"/>
          <w:rtl/>
        </w:rPr>
        <w:t>.</w:t>
      </w:r>
      <w:r>
        <w:rPr>
          <w:rFonts w:hint="cs"/>
          <w:rtl/>
        </w:rPr>
        <w:tab/>
      </w:r>
      <w:proofErr w:type="spellStart"/>
      <w:r>
        <w:rPr>
          <w:rtl/>
        </w:rPr>
        <w:t>גמ</w:t>
      </w:r>
      <w:proofErr w:type="spellEnd"/>
      <w:r>
        <w:rPr>
          <w:rtl/>
        </w:rPr>
        <w:t xml:space="preserve">'. אמר רב יהודה אמר שמואל: לא טימא רבי יהודה אלא בחתיכה של ארבעת מיני דמים, אבל של שאר מיני דמים - טהורה. ור' יוחנן אמר: של ארבעת מיני דמים - דברי </w:t>
      </w:r>
      <w:proofErr w:type="spellStart"/>
      <w:r>
        <w:rPr>
          <w:rtl/>
        </w:rPr>
        <w:t>הכל</w:t>
      </w:r>
      <w:proofErr w:type="spellEnd"/>
      <w:r>
        <w:rPr>
          <w:rtl/>
        </w:rPr>
        <w:t xml:space="preserve"> טמאה, של שאר מיני דמים - דברי </w:t>
      </w:r>
      <w:proofErr w:type="spellStart"/>
      <w:r>
        <w:rPr>
          <w:rtl/>
        </w:rPr>
        <w:t>הכל</w:t>
      </w:r>
      <w:proofErr w:type="spellEnd"/>
      <w:r>
        <w:rPr>
          <w:rtl/>
        </w:rPr>
        <w:t xml:space="preserve"> טהורה, לא נחלקו אלא שהפילה ואינה יודעת מה הפילה; רבי יהודה סבר: </w:t>
      </w:r>
      <w:proofErr w:type="spellStart"/>
      <w:r>
        <w:rPr>
          <w:rtl/>
        </w:rPr>
        <w:t>זיל</w:t>
      </w:r>
      <w:proofErr w:type="spellEnd"/>
      <w:r>
        <w:rPr>
          <w:rtl/>
        </w:rPr>
        <w:t xml:space="preserve"> בתר רוב חתיכות, ורוב חתיכות של (מיני) ארבעת מיני דמים </w:t>
      </w:r>
      <w:proofErr w:type="spellStart"/>
      <w:r>
        <w:rPr>
          <w:rtl/>
        </w:rPr>
        <w:t>הויין</w:t>
      </w:r>
      <w:proofErr w:type="spellEnd"/>
      <w:r>
        <w:rPr>
          <w:rtl/>
        </w:rPr>
        <w:t xml:space="preserve">. ורבנן סברי: לא </w:t>
      </w:r>
      <w:proofErr w:type="spellStart"/>
      <w:r>
        <w:rPr>
          <w:rtl/>
        </w:rPr>
        <w:t>אמרינן</w:t>
      </w:r>
      <w:proofErr w:type="spellEnd"/>
      <w:r>
        <w:rPr>
          <w:rtl/>
        </w:rPr>
        <w:t xml:space="preserve"> רוב חתיכות של ארבעת מיני דמים. </w:t>
      </w:r>
    </w:p>
    <w:p w:rsidR="00783ED3" w:rsidRDefault="00783ED3" w:rsidP="00783ED3">
      <w:pPr>
        <w:pStyle w:val="a3"/>
        <w:rPr>
          <w:rFonts w:hint="cs"/>
          <w:rtl/>
        </w:rPr>
      </w:pPr>
      <w:r>
        <w:rPr>
          <w:rtl/>
        </w:rPr>
        <w:fldChar w:fldCharType="begin"/>
      </w:r>
      <w:r>
        <w:rPr>
          <w:rtl/>
        </w:rPr>
        <w:instrText xml:space="preserve"> </w:instrText>
      </w:r>
      <w:r>
        <w:instrText>SEQ</w:instrText>
      </w:r>
      <w:r>
        <w:rPr>
          <w:rtl/>
        </w:rPr>
        <w:instrText xml:space="preserve"> נדהכא\* </w:instrText>
      </w:r>
      <w:r>
        <w:instrText>hebrew1 \* MERGEFORMAT</w:instrText>
      </w:r>
      <w:r>
        <w:rPr>
          <w:rtl/>
        </w:rPr>
        <w:instrText xml:space="preserve"> </w:instrText>
      </w:r>
      <w:r>
        <w:rPr>
          <w:rtl/>
        </w:rPr>
        <w:fldChar w:fldCharType="separate"/>
      </w:r>
      <w:r>
        <w:rPr>
          <w:noProof/>
          <w:rtl/>
        </w:rPr>
        <w:t>ג</w:t>
      </w:r>
      <w:r>
        <w:rPr>
          <w:rtl/>
        </w:rPr>
        <w:fldChar w:fldCharType="end"/>
      </w:r>
      <w:r>
        <w:rPr>
          <w:rFonts w:hint="cs"/>
          <w:rtl/>
        </w:rPr>
        <w:t>.</w:t>
      </w:r>
      <w:r>
        <w:rPr>
          <w:rFonts w:hint="cs"/>
          <w:rtl/>
        </w:rPr>
        <w:tab/>
      </w:r>
      <w:r>
        <w:rPr>
          <w:rtl/>
        </w:rPr>
        <w:t xml:space="preserve">איני, והא כי אתא רב </w:t>
      </w:r>
      <w:proofErr w:type="spellStart"/>
      <w:r>
        <w:rPr>
          <w:rtl/>
        </w:rPr>
        <w:t>הושעיא</w:t>
      </w:r>
      <w:proofErr w:type="spellEnd"/>
      <w:r>
        <w:rPr>
          <w:rtl/>
        </w:rPr>
        <w:t xml:space="preserve"> </w:t>
      </w:r>
      <w:proofErr w:type="spellStart"/>
      <w:r>
        <w:rPr>
          <w:rtl/>
        </w:rPr>
        <w:t>מנהרדעא</w:t>
      </w:r>
      <w:proofErr w:type="spellEnd"/>
      <w:r>
        <w:rPr>
          <w:rtl/>
        </w:rPr>
        <w:t xml:space="preserve">, אתא ואייתי </w:t>
      </w:r>
      <w:proofErr w:type="spellStart"/>
      <w:r>
        <w:rPr>
          <w:rtl/>
        </w:rPr>
        <w:t>מתניתא</w:t>
      </w:r>
      <w:proofErr w:type="spellEnd"/>
      <w:r>
        <w:rPr>
          <w:rtl/>
        </w:rPr>
        <w:t xml:space="preserve"> בידיה: </w:t>
      </w:r>
      <w:proofErr w:type="spellStart"/>
      <w:r>
        <w:rPr>
          <w:rtl/>
        </w:rPr>
        <w:t>המפלת</w:t>
      </w:r>
      <w:proofErr w:type="spellEnd"/>
      <w:r>
        <w:rPr>
          <w:rtl/>
        </w:rPr>
        <w:t xml:space="preserve"> חתיכה אדומה, שחורה, ירוקה, ולבנה, אם יש עמה דם - טמאה, ואם לאו - טהורה. רבי יהודה אומר בין כך ובין כך טמאה - </w:t>
      </w:r>
      <w:proofErr w:type="spellStart"/>
      <w:r>
        <w:rPr>
          <w:rtl/>
        </w:rPr>
        <w:t>קשיא</w:t>
      </w:r>
      <w:proofErr w:type="spellEnd"/>
      <w:r>
        <w:rPr>
          <w:rtl/>
        </w:rPr>
        <w:t xml:space="preserve"> לשמואל בחדא, ולרבי יוחנן </w:t>
      </w:r>
      <w:proofErr w:type="spellStart"/>
      <w:r>
        <w:rPr>
          <w:rtl/>
        </w:rPr>
        <w:t>בתרתי</w:t>
      </w:r>
      <w:proofErr w:type="spellEnd"/>
      <w:r>
        <w:rPr>
          <w:rtl/>
        </w:rPr>
        <w:t xml:space="preserve">! </w:t>
      </w:r>
    </w:p>
    <w:p w:rsidR="00783ED3" w:rsidRDefault="00783ED3" w:rsidP="00783ED3">
      <w:pPr>
        <w:pStyle w:val="a3"/>
        <w:rPr>
          <w:rFonts w:hint="cs"/>
          <w:rtl/>
        </w:rPr>
      </w:pPr>
      <w:r>
        <w:rPr>
          <w:rtl/>
        </w:rPr>
        <w:fldChar w:fldCharType="begin"/>
      </w:r>
      <w:r>
        <w:rPr>
          <w:rtl/>
        </w:rPr>
        <w:instrText xml:space="preserve"> </w:instrText>
      </w:r>
      <w:r>
        <w:instrText>SEQ</w:instrText>
      </w:r>
      <w:r>
        <w:rPr>
          <w:rtl/>
        </w:rPr>
        <w:instrText xml:space="preserve"> נדהכא\* </w:instrText>
      </w:r>
      <w:r>
        <w:instrText>hebrew1 \* MERGEFORMAT</w:instrText>
      </w:r>
      <w:r>
        <w:rPr>
          <w:rtl/>
        </w:rPr>
        <w:instrText xml:space="preserve"> </w:instrText>
      </w:r>
      <w:r>
        <w:rPr>
          <w:rtl/>
        </w:rPr>
        <w:fldChar w:fldCharType="separate"/>
      </w:r>
      <w:r>
        <w:rPr>
          <w:noProof/>
          <w:rtl/>
        </w:rPr>
        <w:t>ד</w:t>
      </w:r>
      <w:r>
        <w:rPr>
          <w:rtl/>
        </w:rPr>
        <w:fldChar w:fldCharType="end"/>
      </w:r>
      <w:r>
        <w:rPr>
          <w:rFonts w:hint="cs"/>
          <w:rtl/>
        </w:rPr>
        <w:t>.</w:t>
      </w:r>
      <w:r>
        <w:rPr>
          <w:rFonts w:hint="cs"/>
          <w:rtl/>
        </w:rPr>
        <w:tab/>
      </w:r>
      <w:r>
        <w:rPr>
          <w:rtl/>
        </w:rPr>
        <w:t xml:space="preserve">לשמואל בחדא - </w:t>
      </w:r>
      <w:proofErr w:type="spellStart"/>
      <w:r>
        <w:rPr>
          <w:rtl/>
        </w:rPr>
        <w:t>דאמר</w:t>
      </w:r>
      <w:proofErr w:type="spellEnd"/>
      <w:r>
        <w:rPr>
          <w:rtl/>
        </w:rPr>
        <w:t xml:space="preserve"> שמואל: לא טימא רבי יהודה אלא בחתיכה של ארבעת מיני דמים, והא </w:t>
      </w:r>
      <w:proofErr w:type="spellStart"/>
      <w:r>
        <w:rPr>
          <w:rtl/>
        </w:rPr>
        <w:t>קתני</w:t>
      </w:r>
      <w:proofErr w:type="spellEnd"/>
      <w:r>
        <w:rPr>
          <w:rtl/>
        </w:rPr>
        <w:t xml:space="preserve"> ירוקה ולבנה, ופליג רבי יהודה! וכי </w:t>
      </w:r>
      <w:proofErr w:type="spellStart"/>
      <w:r>
        <w:rPr>
          <w:rtl/>
        </w:rPr>
        <w:t>תימא</w:t>
      </w:r>
      <w:proofErr w:type="spellEnd"/>
      <w:r>
        <w:rPr>
          <w:rtl/>
        </w:rPr>
        <w:t xml:space="preserve">: כי פליג רבי יהודה - </w:t>
      </w:r>
      <w:proofErr w:type="spellStart"/>
      <w:r>
        <w:rPr>
          <w:rtl/>
        </w:rPr>
        <w:t>אאדומה</w:t>
      </w:r>
      <w:proofErr w:type="spellEnd"/>
      <w:r>
        <w:rPr>
          <w:rtl/>
        </w:rPr>
        <w:t xml:space="preserve"> ושחורה, </w:t>
      </w:r>
      <w:proofErr w:type="spellStart"/>
      <w:r>
        <w:rPr>
          <w:rtl/>
        </w:rPr>
        <w:t>ואירוקה</w:t>
      </w:r>
      <w:proofErr w:type="spellEnd"/>
      <w:r>
        <w:rPr>
          <w:rtl/>
        </w:rPr>
        <w:t xml:space="preserve"> ולבנה - לא, אלא ירוקה ולבנה למאן </w:t>
      </w:r>
      <w:proofErr w:type="spellStart"/>
      <w:r>
        <w:rPr>
          <w:rtl/>
        </w:rPr>
        <w:t>קתני</w:t>
      </w:r>
      <w:proofErr w:type="spellEnd"/>
      <w:r>
        <w:rPr>
          <w:rtl/>
        </w:rPr>
        <w:t xml:space="preserve"> לה? </w:t>
      </w:r>
      <w:proofErr w:type="spellStart"/>
      <w:r>
        <w:rPr>
          <w:rtl/>
        </w:rPr>
        <w:t>אילימא</w:t>
      </w:r>
      <w:proofErr w:type="spellEnd"/>
      <w:r>
        <w:rPr>
          <w:rtl/>
        </w:rPr>
        <w:t xml:space="preserve"> רבנן - השתא אדומה ושחורה מטהרי רבנן, ירוקה ולבנה </w:t>
      </w:r>
      <w:proofErr w:type="spellStart"/>
      <w:r>
        <w:rPr>
          <w:rtl/>
        </w:rPr>
        <w:t>מיבעיא</w:t>
      </w:r>
      <w:proofErr w:type="spellEnd"/>
      <w:r>
        <w:rPr>
          <w:rtl/>
        </w:rPr>
        <w:t xml:space="preserve">? אלא לאו - לרבי יהודה, ופליג! </w:t>
      </w:r>
    </w:p>
    <w:p w:rsidR="00783ED3" w:rsidRDefault="00783ED3" w:rsidP="00783ED3">
      <w:pPr>
        <w:pStyle w:val="a3"/>
        <w:rPr>
          <w:rFonts w:hint="cs"/>
          <w:rtl/>
        </w:rPr>
      </w:pPr>
      <w:r>
        <w:rPr>
          <w:rtl/>
        </w:rPr>
        <w:fldChar w:fldCharType="begin"/>
      </w:r>
      <w:r>
        <w:rPr>
          <w:rtl/>
        </w:rPr>
        <w:instrText xml:space="preserve"> </w:instrText>
      </w:r>
      <w:r>
        <w:instrText>SEQ</w:instrText>
      </w:r>
      <w:r>
        <w:rPr>
          <w:rtl/>
        </w:rPr>
        <w:instrText xml:space="preserve"> נדהכא\* </w:instrText>
      </w:r>
      <w:r>
        <w:instrText>hebrew1 \* MERGEFORMAT</w:instrText>
      </w:r>
      <w:r>
        <w:rPr>
          <w:rtl/>
        </w:rPr>
        <w:instrText xml:space="preserve"> </w:instrText>
      </w:r>
      <w:r>
        <w:rPr>
          <w:rtl/>
        </w:rPr>
        <w:fldChar w:fldCharType="separate"/>
      </w:r>
      <w:r>
        <w:rPr>
          <w:noProof/>
          <w:rtl/>
        </w:rPr>
        <w:t>ה</w:t>
      </w:r>
      <w:r>
        <w:rPr>
          <w:rtl/>
        </w:rPr>
        <w:fldChar w:fldCharType="end"/>
      </w:r>
      <w:r>
        <w:rPr>
          <w:rFonts w:hint="cs"/>
          <w:rtl/>
        </w:rPr>
        <w:t>.</w:t>
      </w:r>
      <w:r>
        <w:rPr>
          <w:rFonts w:hint="cs"/>
          <w:rtl/>
        </w:rPr>
        <w:tab/>
      </w:r>
      <w:r>
        <w:rPr>
          <w:rtl/>
        </w:rPr>
        <w:t xml:space="preserve">ותו, לרבי יוחנן </w:t>
      </w:r>
      <w:proofErr w:type="spellStart"/>
      <w:r>
        <w:rPr>
          <w:rtl/>
        </w:rPr>
        <w:t>דאמר</w:t>
      </w:r>
      <w:proofErr w:type="spellEnd"/>
      <w:r>
        <w:rPr>
          <w:rtl/>
        </w:rPr>
        <w:t xml:space="preserve">: של ארבעת מיני דמים - דברי </w:t>
      </w:r>
      <w:proofErr w:type="spellStart"/>
      <w:r>
        <w:rPr>
          <w:rtl/>
        </w:rPr>
        <w:t>הכל</w:t>
      </w:r>
      <w:proofErr w:type="spellEnd"/>
      <w:r>
        <w:rPr>
          <w:rtl/>
        </w:rPr>
        <w:t xml:space="preserve"> טמאה, הא </w:t>
      </w:r>
      <w:proofErr w:type="spellStart"/>
      <w:r>
        <w:rPr>
          <w:rtl/>
        </w:rPr>
        <w:t>קתני</w:t>
      </w:r>
      <w:proofErr w:type="spellEnd"/>
      <w:r>
        <w:rPr>
          <w:rtl/>
        </w:rPr>
        <w:t xml:space="preserve"> אדומה ושחורה ופליגי רבנן! וכי </w:t>
      </w:r>
      <w:proofErr w:type="spellStart"/>
      <w:r>
        <w:rPr>
          <w:rtl/>
        </w:rPr>
        <w:t>תימא</w:t>
      </w:r>
      <w:proofErr w:type="spellEnd"/>
      <w:r>
        <w:rPr>
          <w:rtl/>
        </w:rPr>
        <w:t xml:space="preserve">: כי פליגי רבנן - </w:t>
      </w:r>
      <w:proofErr w:type="spellStart"/>
      <w:r>
        <w:rPr>
          <w:rtl/>
        </w:rPr>
        <w:t>אירוקה</w:t>
      </w:r>
      <w:proofErr w:type="spellEnd"/>
      <w:r>
        <w:rPr>
          <w:rtl/>
        </w:rPr>
        <w:t xml:space="preserve"> ולבנה, אבל </w:t>
      </w:r>
      <w:proofErr w:type="spellStart"/>
      <w:r>
        <w:rPr>
          <w:rtl/>
        </w:rPr>
        <w:t>אאדומה</w:t>
      </w:r>
      <w:proofErr w:type="spellEnd"/>
      <w:r>
        <w:rPr>
          <w:rtl/>
        </w:rPr>
        <w:t xml:space="preserve"> ושחורה - לא, אלא אדומה ושחורה למאן </w:t>
      </w:r>
      <w:proofErr w:type="spellStart"/>
      <w:r>
        <w:rPr>
          <w:rtl/>
        </w:rPr>
        <w:t>קתני</w:t>
      </w:r>
      <w:proofErr w:type="spellEnd"/>
      <w:r>
        <w:rPr>
          <w:rtl/>
        </w:rPr>
        <w:t xml:space="preserve"> לה? </w:t>
      </w:r>
      <w:proofErr w:type="spellStart"/>
      <w:r>
        <w:rPr>
          <w:rtl/>
        </w:rPr>
        <w:t>אילימא</w:t>
      </w:r>
      <w:proofErr w:type="spellEnd"/>
      <w:r>
        <w:rPr>
          <w:rtl/>
        </w:rPr>
        <w:t xml:space="preserve"> רבי יהודה - השתא ירוקה ולבנה טמאה, אדומה ושחורה </w:t>
      </w:r>
      <w:proofErr w:type="spellStart"/>
      <w:r>
        <w:rPr>
          <w:rtl/>
        </w:rPr>
        <w:t>מיבעיא</w:t>
      </w:r>
      <w:proofErr w:type="spellEnd"/>
      <w:r>
        <w:rPr>
          <w:rtl/>
        </w:rPr>
        <w:t xml:space="preserve">? אלא לאו - רבנן, ופליגי! </w:t>
      </w:r>
    </w:p>
    <w:p w:rsidR="00783ED3" w:rsidRDefault="00783ED3" w:rsidP="00783ED3">
      <w:pPr>
        <w:pStyle w:val="a3"/>
        <w:rPr>
          <w:rFonts w:hint="cs"/>
          <w:rtl/>
        </w:rPr>
      </w:pPr>
      <w:r>
        <w:rPr>
          <w:rtl/>
        </w:rPr>
        <w:fldChar w:fldCharType="begin"/>
      </w:r>
      <w:r>
        <w:rPr>
          <w:rtl/>
        </w:rPr>
        <w:instrText xml:space="preserve"> </w:instrText>
      </w:r>
      <w:r>
        <w:instrText>SEQ</w:instrText>
      </w:r>
      <w:r>
        <w:rPr>
          <w:rtl/>
        </w:rPr>
        <w:instrText xml:space="preserve"> נדהכא\* </w:instrText>
      </w:r>
      <w:r>
        <w:instrText>hebrew1 \* MERGEFORMAT</w:instrText>
      </w:r>
      <w:r>
        <w:rPr>
          <w:rtl/>
        </w:rPr>
        <w:instrText xml:space="preserve"> </w:instrText>
      </w:r>
      <w:r>
        <w:rPr>
          <w:rtl/>
        </w:rPr>
        <w:fldChar w:fldCharType="separate"/>
      </w:r>
      <w:r>
        <w:rPr>
          <w:noProof/>
          <w:rtl/>
        </w:rPr>
        <w:t>ו</w:t>
      </w:r>
      <w:r>
        <w:rPr>
          <w:rtl/>
        </w:rPr>
        <w:fldChar w:fldCharType="end"/>
      </w:r>
      <w:r>
        <w:rPr>
          <w:rFonts w:hint="cs"/>
          <w:rtl/>
        </w:rPr>
        <w:t>.</w:t>
      </w:r>
      <w:r>
        <w:rPr>
          <w:rFonts w:hint="cs"/>
          <w:rtl/>
        </w:rPr>
        <w:tab/>
      </w:r>
      <w:r>
        <w:rPr>
          <w:rtl/>
        </w:rPr>
        <w:t xml:space="preserve">אלא אמר רב נחמן בר יצחק: באפשר לפתיחת הקבר בלא דם </w:t>
      </w:r>
      <w:proofErr w:type="spellStart"/>
      <w:r>
        <w:rPr>
          <w:rtl/>
        </w:rPr>
        <w:t>קמיפלגי</w:t>
      </w:r>
      <w:proofErr w:type="spellEnd"/>
      <w:r>
        <w:rPr>
          <w:rtl/>
        </w:rPr>
        <w:t xml:space="preserve">, ובפלוגתא </w:t>
      </w:r>
      <w:proofErr w:type="spellStart"/>
      <w:r>
        <w:rPr>
          <w:rtl/>
        </w:rPr>
        <w:t>דהני</w:t>
      </w:r>
      <w:proofErr w:type="spellEnd"/>
      <w:r>
        <w:rPr>
          <w:rtl/>
        </w:rPr>
        <w:t xml:space="preserve"> תנאי, </w:t>
      </w:r>
      <w:proofErr w:type="spellStart"/>
      <w:r>
        <w:rPr>
          <w:rtl/>
        </w:rPr>
        <w:t>דתניא</w:t>
      </w:r>
      <w:proofErr w:type="spellEnd"/>
      <w:r>
        <w:rPr>
          <w:rtl/>
        </w:rPr>
        <w:t>: קשתה שנים ולשלישי הפילה, ואינה יודעת מה הפילה -</w:t>
      </w:r>
      <w:r>
        <w:rPr>
          <w:rFonts w:hint="cs"/>
          <w:rtl/>
        </w:rPr>
        <w:t xml:space="preserve"> </w:t>
      </w:r>
      <w:r>
        <w:rPr>
          <w:rtl/>
        </w:rPr>
        <w:t>הרי זו ספק לידה ספק זיבה, מביאה קרבן ואינו נאכל. רבי יהושע אומר: מביאה קרבן ונאכל, שאי אפשר לפתיחת הקבר בלא דם.</w:t>
      </w:r>
    </w:p>
    <w:p w:rsidR="00783ED3" w:rsidRDefault="00783ED3" w:rsidP="00783ED3">
      <w:pPr>
        <w:pStyle w:val="4"/>
        <w:rPr>
          <w:rFonts w:hint="cs"/>
          <w:rtl/>
        </w:rPr>
      </w:pPr>
      <w:r>
        <w:rPr>
          <w:rFonts w:hint="cs"/>
          <w:rtl/>
        </w:rPr>
        <w:t>מחלוקת התנאים לפי רב יהודה אמר שמואל ורבי יוחנן, סעיף ב</w:t>
      </w:r>
    </w:p>
    <w:p w:rsidR="00783ED3" w:rsidRDefault="00783ED3" w:rsidP="00783ED3">
      <w:pPr>
        <w:rPr>
          <w:rFonts w:hint="cs"/>
          <w:rtl/>
        </w:rPr>
      </w:pPr>
      <w:r>
        <w:rPr>
          <w:rFonts w:hint="cs"/>
          <w:rtl/>
        </w:rPr>
        <w:t xml:space="preserve">המשותף לרב יהודה אמר שמואל ורבי יוחנן הוא שהמחלוקת שבמשנה מצומצמת, ואינה עוסקת בכל החתיכות. שניהם מודים שרבי יהודה לא טימא בחתיכה שאין לה מראה ארבעה מיני דמים. נחלקו בשיטת חכמים: לרב יהודה אמר שמואל שיטת חכמים קיצונית: הם מטהרים אפילו בארבעה מיני דמים, ואילו לרבי יוחנן כשם שרבי יהודה מודה לחכמים בשאר מיני דמים שטהור, כך חכמים מודים לרבי יהודה בארבעה מיני דמים שטמא, והם נחלקו על רבי יהודה דווקא בספק, </w:t>
      </w:r>
      <w:proofErr w:type="spellStart"/>
      <w:r>
        <w:rPr>
          <w:rFonts w:hint="cs"/>
          <w:rtl/>
        </w:rPr>
        <w:t>שר"י</w:t>
      </w:r>
      <w:proofErr w:type="spellEnd"/>
      <w:r>
        <w:rPr>
          <w:rFonts w:hint="cs"/>
          <w:rtl/>
        </w:rPr>
        <w:t xml:space="preserve"> מטמא וחכמים מטהרים. </w:t>
      </w:r>
    </w:p>
    <w:p w:rsidR="00783ED3" w:rsidRDefault="00783ED3" w:rsidP="00783ED3">
      <w:pPr>
        <w:rPr>
          <w:rFonts w:hint="cs"/>
          <w:rtl/>
        </w:rPr>
      </w:pPr>
      <w:r>
        <w:rPr>
          <w:rFonts w:hint="cs"/>
          <w:rtl/>
        </w:rPr>
        <w:t xml:space="preserve">מכל מקום כיוון שלפי שתי שיטות האמוראים רבי יהודה מטמא דווקא כשיש לחתיכה אחד מארבעת מיני דמים, ניתן להסביר את שיטתו בכל שלחתיכה עצמה יש דין דם. חכמים שחולקים עליו או שחולקים על עצם הגדרת החתיכה, דהיינו שאין לחתיכה </w:t>
      </w:r>
      <w:r>
        <w:rPr>
          <w:rFonts w:hint="cs"/>
          <w:rtl/>
        </w:rPr>
        <w:lastRenderedPageBreak/>
        <w:t xml:space="preserve">כלל דין דם (אליבא </w:t>
      </w:r>
      <w:proofErr w:type="spellStart"/>
      <w:r>
        <w:rPr>
          <w:rFonts w:hint="cs"/>
          <w:rtl/>
        </w:rPr>
        <w:t>דרב</w:t>
      </w:r>
      <w:proofErr w:type="spellEnd"/>
      <w:r>
        <w:rPr>
          <w:rFonts w:hint="cs"/>
          <w:rtl/>
        </w:rPr>
        <w:t xml:space="preserve"> יהודה אמר שמואל), או שהם מודים לעצם ההגדרה וחולקים רק בספק (אליבא דרבי יוחנן).</w:t>
      </w:r>
    </w:p>
    <w:p w:rsidR="00783ED3" w:rsidRDefault="00783ED3" w:rsidP="00783ED3">
      <w:pPr>
        <w:pStyle w:val="a6"/>
        <w:rPr>
          <w:rFonts w:hint="cs"/>
          <w:rtl/>
        </w:rPr>
      </w:pPr>
      <w:r>
        <w:rPr>
          <w:rFonts w:hint="cs"/>
          <w:rtl/>
        </w:rPr>
        <w:t>רב יהודה אמר שמואל</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1002"/>
        <w:gridCol w:w="788"/>
      </w:tblGrid>
      <w:tr w:rsidR="00783ED3" w:rsidTr="00E858B2">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4"/>
              <w:rPr>
                <w:rFonts w:hint="cs"/>
                <w:rtl/>
              </w:rPr>
            </w:pPr>
            <w:r>
              <w:rPr>
                <w:rFonts w:hint="cs"/>
                <w:rtl/>
              </w:rPr>
              <w:t>רבי יהודה</w:t>
            </w: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4"/>
              <w:rPr>
                <w:rFonts w:hint="cs"/>
                <w:rtl/>
              </w:rPr>
            </w:pPr>
            <w:r>
              <w:rPr>
                <w:rFonts w:hint="cs"/>
                <w:rtl/>
              </w:rPr>
              <w:t>חכמים</w:t>
            </w:r>
          </w:p>
        </w:tc>
      </w:tr>
      <w:tr w:rsidR="00783ED3" w:rsidTr="00E858B2">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4"/>
              <w:rPr>
                <w:rFonts w:hint="cs"/>
                <w:rtl/>
              </w:rPr>
            </w:pPr>
            <w:r>
              <w:rPr>
                <w:rFonts w:hint="cs"/>
                <w:rtl/>
              </w:rPr>
              <w:t>חתיכה כמראה ארבעה מיני דמים</w:t>
            </w: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5"/>
              <w:rPr>
                <w:rFonts w:hint="cs"/>
                <w:rtl/>
              </w:rPr>
            </w:pPr>
            <w:r>
              <w:rPr>
                <w:rFonts w:hint="cs"/>
                <w:rtl/>
              </w:rPr>
              <w:t>טמא</w:t>
            </w: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5"/>
              <w:rPr>
                <w:rFonts w:hint="cs"/>
                <w:rtl/>
              </w:rPr>
            </w:pPr>
            <w:r>
              <w:rPr>
                <w:rFonts w:hint="cs"/>
                <w:rtl/>
              </w:rPr>
              <w:t>טהור</w:t>
            </w:r>
          </w:p>
        </w:tc>
      </w:tr>
      <w:tr w:rsidR="00783ED3" w:rsidTr="00E858B2">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4"/>
              <w:rPr>
                <w:rFonts w:hint="cs"/>
                <w:rtl/>
              </w:rPr>
            </w:pPr>
            <w:r>
              <w:rPr>
                <w:rFonts w:hint="cs"/>
                <w:rtl/>
              </w:rPr>
              <w:t>חתיכה כמראה שאר דמים טמאים</w:t>
            </w: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5"/>
              <w:rPr>
                <w:rFonts w:hint="cs"/>
                <w:rtl/>
              </w:rPr>
            </w:pPr>
            <w:r>
              <w:rPr>
                <w:rFonts w:hint="cs"/>
                <w:rtl/>
              </w:rPr>
              <w:t>טהור</w:t>
            </w: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5"/>
              <w:rPr>
                <w:rFonts w:hint="cs"/>
                <w:rtl/>
              </w:rPr>
            </w:pPr>
            <w:r>
              <w:rPr>
                <w:rFonts w:hint="cs"/>
                <w:rtl/>
              </w:rPr>
              <w:t>טהור</w:t>
            </w:r>
          </w:p>
        </w:tc>
      </w:tr>
    </w:tbl>
    <w:p w:rsidR="00783ED3" w:rsidRDefault="00783ED3" w:rsidP="00783ED3">
      <w:pPr>
        <w:pStyle w:val="a6"/>
        <w:rPr>
          <w:rFonts w:hint="cs"/>
          <w:rtl/>
        </w:rPr>
      </w:pPr>
      <w:r>
        <w:rPr>
          <w:rFonts w:hint="cs"/>
          <w:rtl/>
        </w:rPr>
        <w:t>רבי יוחנן</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1002"/>
        <w:gridCol w:w="788"/>
      </w:tblGrid>
      <w:tr w:rsidR="00783ED3" w:rsidTr="00E858B2">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4"/>
              <w:rPr>
                <w:rFonts w:hint="cs"/>
                <w:rtl/>
              </w:rPr>
            </w:pPr>
            <w:r>
              <w:rPr>
                <w:rFonts w:hint="cs"/>
                <w:rtl/>
              </w:rPr>
              <w:t>רבי יהודה</w:t>
            </w: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4"/>
              <w:rPr>
                <w:rFonts w:hint="cs"/>
                <w:rtl/>
              </w:rPr>
            </w:pPr>
            <w:r>
              <w:rPr>
                <w:rFonts w:hint="cs"/>
                <w:rtl/>
              </w:rPr>
              <w:t>חכמים</w:t>
            </w:r>
          </w:p>
        </w:tc>
      </w:tr>
      <w:tr w:rsidR="00783ED3" w:rsidTr="00E858B2">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4"/>
              <w:rPr>
                <w:rFonts w:hint="cs"/>
                <w:rtl/>
              </w:rPr>
            </w:pPr>
            <w:r>
              <w:rPr>
                <w:rFonts w:hint="cs"/>
                <w:rtl/>
              </w:rPr>
              <w:t>חתיכה כמראה ארבעה מיני דמים</w:t>
            </w: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5"/>
              <w:rPr>
                <w:rFonts w:hint="cs"/>
                <w:rtl/>
              </w:rPr>
            </w:pPr>
            <w:r>
              <w:rPr>
                <w:rFonts w:hint="cs"/>
                <w:rtl/>
              </w:rPr>
              <w:t>טמא</w:t>
            </w: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5"/>
              <w:rPr>
                <w:rFonts w:hint="cs"/>
                <w:rtl/>
              </w:rPr>
            </w:pPr>
            <w:r>
              <w:rPr>
                <w:rFonts w:hint="cs"/>
                <w:rtl/>
              </w:rPr>
              <w:t>טמא</w:t>
            </w:r>
          </w:p>
        </w:tc>
      </w:tr>
      <w:tr w:rsidR="00783ED3" w:rsidTr="00E858B2">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4"/>
              <w:rPr>
                <w:rFonts w:hint="cs"/>
                <w:rtl/>
              </w:rPr>
            </w:pPr>
            <w:r>
              <w:rPr>
                <w:rFonts w:hint="cs"/>
                <w:rtl/>
              </w:rPr>
              <w:t>הפילה חתיכה ואינה יודעת מה הפילה</w:t>
            </w: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5"/>
              <w:rPr>
                <w:rFonts w:hint="cs"/>
                <w:rtl/>
              </w:rPr>
            </w:pPr>
            <w:r>
              <w:rPr>
                <w:rFonts w:hint="cs"/>
                <w:rtl/>
              </w:rPr>
              <w:t>טמא</w:t>
            </w: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5"/>
              <w:rPr>
                <w:rFonts w:hint="cs"/>
                <w:rtl/>
              </w:rPr>
            </w:pPr>
            <w:r>
              <w:rPr>
                <w:rFonts w:hint="cs"/>
                <w:rtl/>
              </w:rPr>
              <w:t>טהור</w:t>
            </w:r>
          </w:p>
        </w:tc>
      </w:tr>
      <w:tr w:rsidR="00783ED3" w:rsidTr="00E858B2">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4"/>
              <w:rPr>
                <w:rFonts w:hint="cs"/>
                <w:rtl/>
              </w:rPr>
            </w:pPr>
            <w:r>
              <w:rPr>
                <w:rFonts w:hint="cs"/>
                <w:rtl/>
              </w:rPr>
              <w:t>חתיכה כמראה שאר דמים טמאים</w:t>
            </w: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5"/>
              <w:rPr>
                <w:rFonts w:hint="cs"/>
                <w:rtl/>
              </w:rPr>
            </w:pPr>
            <w:r>
              <w:rPr>
                <w:rFonts w:hint="cs"/>
                <w:rtl/>
              </w:rPr>
              <w:t>טהור</w:t>
            </w: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5"/>
              <w:rPr>
                <w:rFonts w:hint="cs"/>
                <w:rtl/>
              </w:rPr>
            </w:pPr>
            <w:r>
              <w:rPr>
                <w:rFonts w:hint="cs"/>
                <w:rtl/>
              </w:rPr>
              <w:t>טהור</w:t>
            </w:r>
          </w:p>
        </w:tc>
      </w:tr>
    </w:tbl>
    <w:p w:rsidR="00783ED3" w:rsidRDefault="00783ED3" w:rsidP="00783ED3">
      <w:pPr>
        <w:pStyle w:val="4"/>
        <w:rPr>
          <w:rFonts w:hint="cs"/>
          <w:rtl/>
        </w:rPr>
      </w:pPr>
      <w:r>
        <w:rPr>
          <w:rFonts w:hint="cs"/>
          <w:rtl/>
        </w:rPr>
        <w:t xml:space="preserve">מחלוקת התנאים לפי הברייתא </w:t>
      </w:r>
      <w:proofErr w:type="spellStart"/>
      <w:r>
        <w:rPr>
          <w:rFonts w:hint="cs"/>
          <w:rtl/>
        </w:rPr>
        <w:t>דרב</w:t>
      </w:r>
      <w:proofErr w:type="spellEnd"/>
      <w:r>
        <w:rPr>
          <w:rFonts w:hint="cs"/>
          <w:rtl/>
        </w:rPr>
        <w:t xml:space="preserve"> </w:t>
      </w:r>
      <w:proofErr w:type="spellStart"/>
      <w:r>
        <w:rPr>
          <w:rFonts w:hint="cs"/>
          <w:rtl/>
        </w:rPr>
        <w:t>הושעיא</w:t>
      </w:r>
      <w:proofErr w:type="spellEnd"/>
      <w:r>
        <w:rPr>
          <w:rFonts w:hint="cs"/>
          <w:rtl/>
        </w:rPr>
        <w:t>, סעיף ג-ה</w:t>
      </w:r>
    </w:p>
    <w:p w:rsidR="00783ED3" w:rsidRDefault="00783ED3" w:rsidP="00783ED3">
      <w:pPr>
        <w:rPr>
          <w:rFonts w:hint="cs"/>
          <w:rtl/>
        </w:rPr>
      </w:pPr>
      <w:r>
        <w:rPr>
          <w:rFonts w:hint="cs"/>
          <w:rtl/>
        </w:rPr>
        <w:t xml:space="preserve">בברייתא </w:t>
      </w:r>
      <w:proofErr w:type="spellStart"/>
      <w:r>
        <w:rPr>
          <w:rFonts w:hint="cs"/>
          <w:rtl/>
        </w:rPr>
        <w:t>דרב</w:t>
      </w:r>
      <w:proofErr w:type="spellEnd"/>
      <w:r>
        <w:rPr>
          <w:rFonts w:hint="cs"/>
          <w:rtl/>
        </w:rPr>
        <w:t xml:space="preserve"> </w:t>
      </w:r>
      <w:proofErr w:type="spellStart"/>
      <w:r>
        <w:rPr>
          <w:rFonts w:hint="cs"/>
          <w:rtl/>
        </w:rPr>
        <w:t>הושעיא</w:t>
      </w:r>
      <w:proofErr w:type="spellEnd"/>
      <w:r>
        <w:rPr>
          <w:rFonts w:hint="cs"/>
          <w:rtl/>
        </w:rPr>
        <w:t xml:space="preserve"> מחלוקת התנאים קיצונית: רבי יהודה מטמא בין בארבעה מיני דמים ובין בשאר מיני דמים, וחכמים מטהרים בין בזה ובין בזה. </w:t>
      </w:r>
    </w:p>
    <w:p w:rsidR="00783ED3" w:rsidRDefault="00783ED3" w:rsidP="00783ED3">
      <w:pPr>
        <w:pStyle w:val="a6"/>
        <w:rPr>
          <w:rFonts w:hint="cs"/>
          <w:rtl/>
        </w:rPr>
      </w:pPr>
      <w:r>
        <w:rPr>
          <w:rFonts w:hint="cs"/>
          <w:rtl/>
        </w:rPr>
        <w:t xml:space="preserve">ברייתא </w:t>
      </w:r>
      <w:proofErr w:type="spellStart"/>
      <w:r>
        <w:rPr>
          <w:rFonts w:hint="cs"/>
          <w:rtl/>
        </w:rPr>
        <w:t>דרב</w:t>
      </w:r>
      <w:proofErr w:type="spellEnd"/>
      <w:r>
        <w:rPr>
          <w:rFonts w:hint="cs"/>
          <w:rtl/>
        </w:rPr>
        <w:t xml:space="preserve"> </w:t>
      </w:r>
      <w:proofErr w:type="spellStart"/>
      <w:r>
        <w:rPr>
          <w:rFonts w:hint="cs"/>
          <w:rtl/>
        </w:rPr>
        <w:t>הושעיא</w:t>
      </w:r>
      <w:proofErr w:type="spellEnd"/>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1002"/>
        <w:gridCol w:w="788"/>
      </w:tblGrid>
      <w:tr w:rsidR="00783ED3" w:rsidTr="00E858B2">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4"/>
              <w:rPr>
                <w:rFonts w:hint="cs"/>
                <w:rtl/>
              </w:rPr>
            </w:pPr>
            <w:r>
              <w:rPr>
                <w:rFonts w:hint="cs"/>
                <w:rtl/>
              </w:rPr>
              <w:t>רבי יהודה</w:t>
            </w: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4"/>
              <w:rPr>
                <w:rFonts w:hint="cs"/>
                <w:rtl/>
              </w:rPr>
            </w:pPr>
            <w:r>
              <w:rPr>
                <w:rFonts w:hint="cs"/>
                <w:rtl/>
              </w:rPr>
              <w:t>חכמים</w:t>
            </w:r>
          </w:p>
        </w:tc>
      </w:tr>
      <w:tr w:rsidR="00783ED3" w:rsidTr="00E858B2">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4"/>
              <w:rPr>
                <w:rFonts w:hint="cs"/>
                <w:rtl/>
              </w:rPr>
            </w:pPr>
            <w:r>
              <w:rPr>
                <w:rFonts w:hint="cs"/>
                <w:rtl/>
              </w:rPr>
              <w:t>חתיכה כמראה ארבעה מיני דמים</w:t>
            </w: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5"/>
              <w:rPr>
                <w:rFonts w:hint="cs"/>
                <w:rtl/>
              </w:rPr>
            </w:pPr>
            <w:r>
              <w:rPr>
                <w:rFonts w:hint="cs"/>
                <w:rtl/>
              </w:rPr>
              <w:t>טמא</w:t>
            </w: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5"/>
              <w:rPr>
                <w:rFonts w:hint="cs"/>
                <w:rtl/>
              </w:rPr>
            </w:pPr>
            <w:r>
              <w:rPr>
                <w:rFonts w:hint="cs"/>
                <w:rtl/>
              </w:rPr>
              <w:t>טהור</w:t>
            </w:r>
          </w:p>
        </w:tc>
      </w:tr>
      <w:tr w:rsidR="00783ED3" w:rsidTr="00E858B2">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4"/>
              <w:rPr>
                <w:rFonts w:hint="cs"/>
                <w:rtl/>
              </w:rPr>
            </w:pPr>
            <w:r>
              <w:rPr>
                <w:rFonts w:hint="cs"/>
                <w:rtl/>
              </w:rPr>
              <w:t>חתיכה כמראה שאר דמים טמאים</w:t>
            </w: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5"/>
              <w:rPr>
                <w:rFonts w:hint="cs"/>
                <w:rtl/>
              </w:rPr>
            </w:pPr>
            <w:r>
              <w:rPr>
                <w:rFonts w:hint="cs"/>
                <w:rtl/>
              </w:rPr>
              <w:t>טמא</w:t>
            </w:r>
          </w:p>
        </w:tc>
        <w:tc>
          <w:tcPr>
            <w:tcW w:w="0" w:type="auto"/>
            <w:tcBorders>
              <w:top w:val="single" w:sz="4" w:space="0" w:color="auto"/>
              <w:left w:val="single" w:sz="4" w:space="0" w:color="auto"/>
              <w:bottom w:val="single" w:sz="4" w:space="0" w:color="auto"/>
              <w:right w:val="single" w:sz="4" w:space="0" w:color="auto"/>
            </w:tcBorders>
          </w:tcPr>
          <w:p w:rsidR="00783ED3" w:rsidRDefault="00783ED3" w:rsidP="00E858B2">
            <w:pPr>
              <w:pStyle w:val="a5"/>
              <w:rPr>
                <w:rFonts w:hint="cs"/>
                <w:rtl/>
              </w:rPr>
            </w:pPr>
            <w:r>
              <w:rPr>
                <w:rFonts w:hint="cs"/>
                <w:rtl/>
              </w:rPr>
              <w:t>טהור</w:t>
            </w:r>
          </w:p>
        </w:tc>
      </w:tr>
    </w:tbl>
    <w:p w:rsidR="00783ED3" w:rsidRDefault="00783ED3" w:rsidP="00783ED3">
      <w:pPr>
        <w:rPr>
          <w:rFonts w:hint="cs"/>
          <w:rtl/>
        </w:rPr>
      </w:pPr>
    </w:p>
    <w:p w:rsidR="00783ED3" w:rsidRDefault="00783ED3" w:rsidP="00783ED3">
      <w:pPr>
        <w:rPr>
          <w:rFonts w:hint="cs"/>
          <w:rtl/>
        </w:rPr>
      </w:pPr>
      <w:r>
        <w:rPr>
          <w:rFonts w:hint="cs"/>
          <w:rtl/>
        </w:rPr>
        <w:t>[מובן שגם במקרה של ספק יחקו רבי יהודה וחכמים, שהרי ממה נפשך לרבי יהודה טמא ולחכמים טהור]</w:t>
      </w:r>
    </w:p>
    <w:p w:rsidR="00783ED3" w:rsidRDefault="00783ED3" w:rsidP="00783ED3">
      <w:pPr>
        <w:rPr>
          <w:rFonts w:hint="cs"/>
          <w:rtl/>
        </w:rPr>
      </w:pPr>
      <w:r>
        <w:rPr>
          <w:rFonts w:hint="cs"/>
          <w:rtl/>
        </w:rPr>
        <w:t xml:space="preserve">בסעיפים ד-ה שוללת הגמרא את האפשרות שאחד מהתנאים נוקט בשיטת ביניים, דהיינו מטמא רק בארבעת מיני דמים, ומטהר בשאר, שכן בברייתא מפורשים שני הסוגים של הדמים, ואם אחד מהם היה בשיטת הביניים </w:t>
      </w:r>
      <w:proofErr w:type="spellStart"/>
      <w:r>
        <w:rPr>
          <w:rFonts w:hint="cs"/>
          <w:rtl/>
        </w:rPr>
        <w:t>היתה</w:t>
      </w:r>
      <w:proofErr w:type="spellEnd"/>
      <w:r>
        <w:rPr>
          <w:rFonts w:hint="cs"/>
          <w:rtl/>
        </w:rPr>
        <w:t xml:space="preserve"> צריכה הברייתא לנקוט רק את המקרה המחודש של השיטה הקיצונית: אם ר"י מטמא תמיד וחכמים בשיטת הביניים היה צ"ל בברייתא רק המקרה של שאר מיני דמים, ואם חכמים מטהרים תמיד </w:t>
      </w:r>
      <w:proofErr w:type="spellStart"/>
      <w:r>
        <w:rPr>
          <w:rFonts w:hint="cs"/>
          <w:rtl/>
        </w:rPr>
        <w:t>ור"י</w:t>
      </w:r>
      <w:proofErr w:type="spellEnd"/>
      <w:r>
        <w:rPr>
          <w:rFonts w:hint="cs"/>
          <w:rtl/>
        </w:rPr>
        <w:t xml:space="preserve"> בשיטת הביניים, היה צ"ל בברייתא רק המקרה של ארבעה מיני דמים. </w:t>
      </w:r>
    </w:p>
    <w:p w:rsidR="00783ED3" w:rsidRDefault="00783ED3" w:rsidP="00783ED3">
      <w:pPr>
        <w:pStyle w:val="4"/>
        <w:rPr>
          <w:rFonts w:hint="cs"/>
          <w:rtl/>
        </w:rPr>
      </w:pPr>
      <w:r>
        <w:rPr>
          <w:rFonts w:hint="cs"/>
          <w:rtl/>
        </w:rPr>
        <w:t xml:space="preserve">מחלוקת התנאים אליבא </w:t>
      </w:r>
      <w:proofErr w:type="spellStart"/>
      <w:r>
        <w:rPr>
          <w:rFonts w:hint="cs"/>
          <w:rtl/>
        </w:rPr>
        <w:t>דרב</w:t>
      </w:r>
      <w:proofErr w:type="spellEnd"/>
      <w:r>
        <w:rPr>
          <w:rFonts w:hint="cs"/>
          <w:rtl/>
        </w:rPr>
        <w:t xml:space="preserve"> נחמן בר יצחק, סעיף ו</w:t>
      </w:r>
    </w:p>
    <w:p w:rsidR="00783ED3" w:rsidRDefault="00783ED3" w:rsidP="00783ED3">
      <w:pPr>
        <w:rPr>
          <w:rFonts w:hint="cs"/>
          <w:rtl/>
        </w:rPr>
      </w:pPr>
      <w:r>
        <w:rPr>
          <w:rFonts w:hint="cs"/>
          <w:rtl/>
        </w:rPr>
        <w:t xml:space="preserve">ממוצא דבר נלמד, שלא ניתן לנמק את שיטת רבי יהודה בכך שלחתיכה יש דין דם, שהרי הוא מטמא אפילו בשאר מיני דמים, ולכן הפתיחה של סעיף ו הוא אלא אמר </w:t>
      </w:r>
      <w:proofErr w:type="spellStart"/>
      <w:r>
        <w:rPr>
          <w:rFonts w:hint="cs"/>
          <w:rtl/>
        </w:rPr>
        <w:t>רנב"י</w:t>
      </w:r>
      <w:proofErr w:type="spellEnd"/>
      <w:r>
        <w:rPr>
          <w:rFonts w:hint="cs"/>
          <w:rtl/>
        </w:rPr>
        <w:t xml:space="preserve">, משום שלאור הברייתא </w:t>
      </w:r>
      <w:proofErr w:type="spellStart"/>
      <w:r>
        <w:rPr>
          <w:rFonts w:hint="cs"/>
          <w:rtl/>
        </w:rPr>
        <w:t>דרב</w:t>
      </w:r>
      <w:proofErr w:type="spellEnd"/>
      <w:r>
        <w:rPr>
          <w:rFonts w:hint="cs"/>
          <w:rtl/>
        </w:rPr>
        <w:t xml:space="preserve"> </w:t>
      </w:r>
      <w:proofErr w:type="spellStart"/>
      <w:r>
        <w:rPr>
          <w:rFonts w:hint="cs"/>
          <w:rtl/>
        </w:rPr>
        <w:t>הושעיא</w:t>
      </w:r>
      <w:proofErr w:type="spellEnd"/>
      <w:r>
        <w:rPr>
          <w:rFonts w:hint="cs"/>
          <w:rtl/>
        </w:rPr>
        <w:t xml:space="preserve"> א"א להסביר את המחלוקת כפי שהעמדנו לעיל. </w:t>
      </w:r>
    </w:p>
    <w:p w:rsidR="00783ED3" w:rsidRDefault="00783ED3" w:rsidP="00783ED3">
      <w:pPr>
        <w:rPr>
          <w:rFonts w:hint="cs"/>
          <w:rtl/>
        </w:rPr>
      </w:pPr>
      <w:r>
        <w:rPr>
          <w:rFonts w:hint="cs"/>
          <w:rtl/>
        </w:rPr>
        <w:t xml:space="preserve">ואכן לשיטת </w:t>
      </w:r>
      <w:proofErr w:type="spellStart"/>
      <w:r>
        <w:rPr>
          <w:rFonts w:hint="cs"/>
          <w:rtl/>
        </w:rPr>
        <w:t>רנב"י</w:t>
      </w:r>
      <w:proofErr w:type="spellEnd"/>
      <w:r>
        <w:rPr>
          <w:rFonts w:hint="cs"/>
          <w:rtl/>
        </w:rPr>
        <w:t xml:space="preserve"> </w:t>
      </w:r>
      <w:proofErr w:type="spellStart"/>
      <w:r>
        <w:rPr>
          <w:rFonts w:hint="cs"/>
          <w:rtl/>
        </w:rPr>
        <w:t>החומרא</w:t>
      </w:r>
      <w:proofErr w:type="spellEnd"/>
      <w:r>
        <w:rPr>
          <w:rFonts w:hint="cs"/>
          <w:rtl/>
        </w:rPr>
        <w:t xml:space="preserve"> של רבי יהודה אינה נובעת מכך שלחתיכה יש דין דם, אלא מההנחה שאין פתיחת הקבר בלא דם, ומכאן שעם החתיכה יצא גם דם, </w:t>
      </w:r>
      <w:proofErr w:type="spellStart"/>
      <w:r>
        <w:rPr>
          <w:rFonts w:hint="cs"/>
          <w:rtl/>
        </w:rPr>
        <w:t>משא"כ</w:t>
      </w:r>
      <w:proofErr w:type="spellEnd"/>
      <w:r>
        <w:rPr>
          <w:rFonts w:hint="cs"/>
          <w:rtl/>
        </w:rPr>
        <w:t xml:space="preserve"> </w:t>
      </w:r>
      <w:proofErr w:type="spellStart"/>
      <w:r>
        <w:rPr>
          <w:rFonts w:hint="cs"/>
          <w:rtl/>
        </w:rPr>
        <w:t>לרבנן</w:t>
      </w:r>
      <w:proofErr w:type="spellEnd"/>
      <w:r>
        <w:rPr>
          <w:rFonts w:hint="cs"/>
          <w:rtl/>
        </w:rPr>
        <w:t xml:space="preserve">, דיש פתיחת הקבר ללא דם. </w:t>
      </w:r>
      <w:bookmarkStart w:id="1" w:name="_GoBack"/>
      <w:bookmarkEnd w:id="1"/>
    </w:p>
    <w:sectPr w:rsidR="00783ED3" w:rsidSect="00783ED3">
      <w:pgSz w:w="11906" w:h="16838"/>
      <w:pgMar w:top="2268" w:right="1985" w:bottom="2268" w:left="1985"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20E0502060401010101"/>
    <w:charset w:val="B1"/>
    <w:family w:val="auto"/>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ED3"/>
    <w:rsid w:val="00672965"/>
    <w:rsid w:val="007666F3"/>
    <w:rsid w:val="00783ED3"/>
    <w:rsid w:val="00D465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ED3"/>
    <w:pPr>
      <w:bidi/>
      <w:spacing w:after="0"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783ED3"/>
    <w:pPr>
      <w:keepNext/>
      <w:pageBreakBefore/>
      <w:spacing w:before="240" w:after="60"/>
      <w:jc w:val="left"/>
      <w:outlineLvl w:val="1"/>
    </w:pPr>
    <w:rPr>
      <w:rFonts w:ascii="Arial" w:hAnsi="Arial"/>
      <w:b/>
      <w:bCs/>
      <w:i/>
      <w:iCs/>
      <w:sz w:val="28"/>
      <w:szCs w:val="28"/>
    </w:rPr>
  </w:style>
  <w:style w:type="paragraph" w:styleId="4">
    <w:name w:val="heading 4"/>
    <w:basedOn w:val="a"/>
    <w:next w:val="a"/>
    <w:link w:val="40"/>
    <w:qFormat/>
    <w:rsid w:val="00783ED3"/>
    <w:pPr>
      <w:keepNext/>
      <w:spacing w:before="240" w:after="60"/>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783ED3"/>
    <w:rPr>
      <w:rFonts w:ascii="Arial" w:eastAsia="Times New Roman" w:hAnsi="Arial" w:cs="David"/>
      <w:b/>
      <w:bCs/>
      <w:i/>
      <w:iCs/>
      <w:sz w:val="28"/>
      <w:szCs w:val="28"/>
    </w:rPr>
  </w:style>
  <w:style w:type="character" w:customStyle="1" w:styleId="40">
    <w:name w:val="כותרת 4 תו"/>
    <w:basedOn w:val="a0"/>
    <w:link w:val="4"/>
    <w:rsid w:val="00783ED3"/>
    <w:rPr>
      <w:rFonts w:ascii="Times New Roman" w:eastAsia="Times New Roman" w:hAnsi="Times New Roman" w:cs="David"/>
      <w:i/>
      <w:iCs/>
      <w:sz w:val="24"/>
      <w:szCs w:val="24"/>
    </w:rPr>
  </w:style>
  <w:style w:type="paragraph" w:customStyle="1" w:styleId="a3">
    <w:name w:val="צטוט"/>
    <w:basedOn w:val="a"/>
    <w:autoRedefine/>
    <w:rsid w:val="00783ED3"/>
    <w:pPr>
      <w:ind w:left="680" w:hanging="340"/>
    </w:pPr>
    <w:rPr>
      <w:rFonts w:cs="Guttman-Toledo"/>
      <w:sz w:val="48"/>
    </w:rPr>
  </w:style>
  <w:style w:type="paragraph" w:customStyle="1" w:styleId="a4">
    <w:name w:val="תא כותרת ימין"/>
    <w:basedOn w:val="a"/>
    <w:rsid w:val="00783ED3"/>
    <w:pPr>
      <w:ind w:right="113"/>
    </w:pPr>
    <w:rPr>
      <w:bCs/>
      <w:szCs w:val="18"/>
    </w:rPr>
  </w:style>
  <w:style w:type="paragraph" w:customStyle="1" w:styleId="a5">
    <w:name w:val="טור שמאל"/>
    <w:basedOn w:val="a"/>
    <w:rsid w:val="00783ED3"/>
    <w:pPr>
      <w:ind w:left="113"/>
    </w:pPr>
    <w:rPr>
      <w:szCs w:val="20"/>
    </w:rPr>
  </w:style>
  <w:style w:type="paragraph" w:customStyle="1" w:styleId="a6">
    <w:name w:val="כותרת טבלה"/>
    <w:basedOn w:val="a"/>
    <w:rsid w:val="00783ED3"/>
    <w:pPr>
      <w:spacing w:before="240" w:after="60"/>
      <w:ind w:left="284"/>
    </w:pPr>
    <w:rPr>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ED3"/>
    <w:pPr>
      <w:bidi/>
      <w:spacing w:after="0"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783ED3"/>
    <w:pPr>
      <w:keepNext/>
      <w:pageBreakBefore/>
      <w:spacing w:before="240" w:after="60"/>
      <w:jc w:val="left"/>
      <w:outlineLvl w:val="1"/>
    </w:pPr>
    <w:rPr>
      <w:rFonts w:ascii="Arial" w:hAnsi="Arial"/>
      <w:b/>
      <w:bCs/>
      <w:i/>
      <w:iCs/>
      <w:sz w:val="28"/>
      <w:szCs w:val="28"/>
    </w:rPr>
  </w:style>
  <w:style w:type="paragraph" w:styleId="4">
    <w:name w:val="heading 4"/>
    <w:basedOn w:val="a"/>
    <w:next w:val="a"/>
    <w:link w:val="40"/>
    <w:qFormat/>
    <w:rsid w:val="00783ED3"/>
    <w:pPr>
      <w:keepNext/>
      <w:spacing w:before="240" w:after="60"/>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783ED3"/>
    <w:rPr>
      <w:rFonts w:ascii="Arial" w:eastAsia="Times New Roman" w:hAnsi="Arial" w:cs="David"/>
      <w:b/>
      <w:bCs/>
      <w:i/>
      <w:iCs/>
      <w:sz w:val="28"/>
      <w:szCs w:val="28"/>
    </w:rPr>
  </w:style>
  <w:style w:type="character" w:customStyle="1" w:styleId="40">
    <w:name w:val="כותרת 4 תו"/>
    <w:basedOn w:val="a0"/>
    <w:link w:val="4"/>
    <w:rsid w:val="00783ED3"/>
    <w:rPr>
      <w:rFonts w:ascii="Times New Roman" w:eastAsia="Times New Roman" w:hAnsi="Times New Roman" w:cs="David"/>
      <w:i/>
      <w:iCs/>
      <w:sz w:val="24"/>
      <w:szCs w:val="24"/>
    </w:rPr>
  </w:style>
  <w:style w:type="paragraph" w:customStyle="1" w:styleId="a3">
    <w:name w:val="צטוט"/>
    <w:basedOn w:val="a"/>
    <w:autoRedefine/>
    <w:rsid w:val="00783ED3"/>
    <w:pPr>
      <w:ind w:left="680" w:hanging="340"/>
    </w:pPr>
    <w:rPr>
      <w:rFonts w:cs="Guttman-Toledo"/>
      <w:sz w:val="48"/>
    </w:rPr>
  </w:style>
  <w:style w:type="paragraph" w:customStyle="1" w:styleId="a4">
    <w:name w:val="תא כותרת ימין"/>
    <w:basedOn w:val="a"/>
    <w:rsid w:val="00783ED3"/>
    <w:pPr>
      <w:ind w:right="113"/>
    </w:pPr>
    <w:rPr>
      <w:bCs/>
      <w:szCs w:val="18"/>
    </w:rPr>
  </w:style>
  <w:style w:type="paragraph" w:customStyle="1" w:styleId="a5">
    <w:name w:val="טור שמאל"/>
    <w:basedOn w:val="a"/>
    <w:rsid w:val="00783ED3"/>
    <w:pPr>
      <w:ind w:left="113"/>
    </w:pPr>
    <w:rPr>
      <w:szCs w:val="20"/>
    </w:rPr>
  </w:style>
  <w:style w:type="paragraph" w:customStyle="1" w:styleId="a6">
    <w:name w:val="כותרת טבלה"/>
    <w:basedOn w:val="a"/>
    <w:rsid w:val="00783ED3"/>
    <w:pPr>
      <w:spacing w:before="240" w:after="60"/>
      <w:ind w:left="284"/>
    </w:pPr>
    <w:rPr>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3434</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הראל</dc:creator>
  <cp:lastModifiedBy>הראל</cp:lastModifiedBy>
  <cp:revision>1</cp:revision>
  <dcterms:created xsi:type="dcterms:W3CDTF">2012-06-11T18:18:00Z</dcterms:created>
  <dcterms:modified xsi:type="dcterms:W3CDTF">2012-06-11T18:19:00Z</dcterms:modified>
</cp:coreProperties>
</file>