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B73" w:rsidRDefault="00A84B73" w:rsidP="00A84B73">
      <w:pPr>
        <w:pStyle w:val="2"/>
        <w:rPr>
          <w:rFonts w:hint="cs"/>
          <w:rtl/>
        </w:rPr>
      </w:pPr>
      <w:bookmarkStart w:id="0" w:name="_Toc331510231"/>
      <w:r>
        <w:rPr>
          <w:rFonts w:hint="cs"/>
          <w:rtl/>
        </w:rPr>
        <w:t xml:space="preserve">סימן </w:t>
      </w: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rPr>
          <w:rFonts w:hint="cs"/>
        </w:rPr>
        <w:instrText>SEQ</w:instrText>
      </w:r>
      <w:r>
        <w:rPr>
          <w:rFonts w:hint="cs"/>
          <w:rtl/>
        </w:rPr>
        <w:instrText xml:space="preserve"> סימניםנדה\* </w:instrText>
      </w:r>
      <w:r>
        <w:rPr>
          <w:rFonts w:hint="cs"/>
        </w:rPr>
        <w:instrText>hebrew1 \* MERGEFORMAT</w:instrText>
      </w:r>
      <w:r>
        <w:rPr>
          <w:rtl/>
        </w:rPr>
        <w:instrText xml:space="preserve"> </w:instrText>
      </w:r>
      <w:r>
        <w:rPr>
          <w:rtl/>
        </w:rPr>
        <w:fldChar w:fldCharType="separate"/>
      </w:r>
      <w:r>
        <w:rPr>
          <w:noProof/>
          <w:rtl/>
        </w:rPr>
        <w:t>י</w:t>
      </w:r>
      <w:r>
        <w:rPr>
          <w:rtl/>
        </w:rPr>
        <w:fldChar w:fldCharType="end"/>
      </w:r>
      <w:bookmarkStart w:id="1" w:name="_GoBack"/>
      <w:r>
        <w:rPr>
          <w:rFonts w:hint="cs"/>
          <w:rtl/>
        </w:rPr>
        <w:t>. בדין יום יא</w:t>
      </w:r>
      <w:bookmarkEnd w:id="1"/>
      <w:r>
        <w:rPr>
          <w:rFonts w:hint="cs"/>
          <w:rtl/>
        </w:rPr>
        <w:t xml:space="preserve">, </w:t>
      </w:r>
      <w:proofErr w:type="spellStart"/>
      <w:r>
        <w:rPr>
          <w:rFonts w:hint="cs"/>
          <w:rtl/>
        </w:rPr>
        <w:t>עא</w:t>
      </w:r>
      <w:proofErr w:type="spellEnd"/>
      <w:r>
        <w:rPr>
          <w:rFonts w:hint="cs"/>
          <w:rtl/>
        </w:rPr>
        <w:t xml:space="preserve"> ע"ב </w:t>
      </w:r>
      <w:r>
        <w:rPr>
          <w:rtl/>
        </w:rPr>
        <w:t>–</w:t>
      </w:r>
      <w:r>
        <w:rPr>
          <w:rFonts w:hint="cs"/>
          <w:rtl/>
        </w:rPr>
        <w:t xml:space="preserve"> עב ע"א</w:t>
      </w:r>
      <w:bookmarkEnd w:id="0"/>
    </w:p>
    <w:p w:rsidR="00A84B73" w:rsidRDefault="00A84B73" w:rsidP="00A84B73">
      <w:pPr>
        <w:pStyle w:val="a3"/>
        <w:rPr>
          <w:rFonts w:hint="cs"/>
          <w:rtl/>
        </w:rPr>
      </w:pP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instrText>SEQ</w:instrText>
      </w:r>
      <w:r>
        <w:rPr>
          <w:rtl/>
        </w:rPr>
        <w:instrText xml:space="preserve"> נדהעב\* </w:instrText>
      </w:r>
      <w:r>
        <w:instrText>hebrew1 \* MERGEFORMAT</w:instrText>
      </w:r>
      <w:r>
        <w:rPr>
          <w:rtl/>
        </w:rPr>
        <w:instrText xml:space="preserve"> </w:instrText>
      </w:r>
      <w:r>
        <w:rPr>
          <w:rtl/>
        </w:rPr>
        <w:fldChar w:fldCharType="separate"/>
      </w:r>
      <w:r>
        <w:rPr>
          <w:noProof/>
          <w:rtl/>
        </w:rPr>
        <w:t>א</w:t>
      </w:r>
      <w:r>
        <w:rPr>
          <w:rtl/>
        </w:rPr>
        <w:fldChar w:fldCharType="end"/>
      </w:r>
      <w:r>
        <w:rPr>
          <w:rFonts w:hint="cs"/>
          <w:rtl/>
        </w:rPr>
        <w:t>.</w:t>
      </w:r>
      <w:r>
        <w:rPr>
          <w:rFonts w:hint="cs"/>
          <w:rtl/>
        </w:rPr>
        <w:tab/>
      </w:r>
      <w:r>
        <w:rPr>
          <w:rtl/>
        </w:rPr>
        <w:t xml:space="preserve">מתני'. הרואה יום אחד עשר, וטבלה לערב ומשמשה, ב"ש אומר: </w:t>
      </w:r>
      <w:proofErr w:type="spellStart"/>
      <w:r>
        <w:rPr>
          <w:rtl/>
        </w:rPr>
        <w:t>מטמאין</w:t>
      </w:r>
      <w:proofErr w:type="spellEnd"/>
      <w:r>
        <w:rPr>
          <w:rtl/>
        </w:rPr>
        <w:t xml:space="preserve"> משכב ומושב, וחייבין בקרבן.</w:t>
      </w:r>
      <w:r>
        <w:rPr>
          <w:rFonts w:hint="cs"/>
          <w:rtl/>
        </w:rPr>
        <w:t xml:space="preserve"> </w:t>
      </w:r>
      <w:r>
        <w:rPr>
          <w:rtl/>
        </w:rPr>
        <w:t xml:space="preserve">וב"ה אומרים: פטורים מן הקרבן. </w:t>
      </w:r>
    </w:p>
    <w:p w:rsidR="00A84B73" w:rsidRDefault="00A84B73" w:rsidP="00A84B73">
      <w:pPr>
        <w:pStyle w:val="a3"/>
        <w:rPr>
          <w:rFonts w:hint="cs"/>
          <w:rtl/>
        </w:rPr>
      </w:pP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instrText>SEQ</w:instrText>
      </w:r>
      <w:r>
        <w:rPr>
          <w:rtl/>
        </w:rPr>
        <w:instrText xml:space="preserve"> נדהעב\* </w:instrText>
      </w:r>
      <w:r>
        <w:instrText>hebrew1 \* MERGEFORMAT</w:instrText>
      </w:r>
      <w:r>
        <w:rPr>
          <w:rtl/>
        </w:rPr>
        <w:instrText xml:space="preserve"> </w:instrText>
      </w:r>
      <w:r>
        <w:rPr>
          <w:rtl/>
        </w:rPr>
        <w:fldChar w:fldCharType="separate"/>
      </w:r>
      <w:r>
        <w:rPr>
          <w:noProof/>
          <w:rtl/>
        </w:rPr>
        <w:t>ב</w:t>
      </w:r>
      <w:r>
        <w:rPr>
          <w:rtl/>
        </w:rPr>
        <w:fldChar w:fldCharType="end"/>
      </w:r>
      <w:r>
        <w:rPr>
          <w:rFonts w:hint="cs"/>
          <w:rtl/>
        </w:rPr>
        <w:t>.</w:t>
      </w:r>
      <w:r>
        <w:rPr>
          <w:rFonts w:hint="cs"/>
          <w:rtl/>
        </w:rPr>
        <w:tab/>
      </w:r>
      <w:r>
        <w:rPr>
          <w:rtl/>
        </w:rPr>
        <w:t xml:space="preserve">טבלה ביום של אחריו ושמשה את ביתה, ואח"כ ראתה, ב"ש אומרים: </w:t>
      </w:r>
      <w:proofErr w:type="spellStart"/>
      <w:r>
        <w:rPr>
          <w:rtl/>
        </w:rPr>
        <w:t>מטמאין</w:t>
      </w:r>
      <w:proofErr w:type="spellEnd"/>
      <w:r>
        <w:rPr>
          <w:rtl/>
        </w:rPr>
        <w:t xml:space="preserve"> משכב ומושב, </w:t>
      </w:r>
      <w:proofErr w:type="spellStart"/>
      <w:r>
        <w:rPr>
          <w:rtl/>
        </w:rPr>
        <w:t>ופטורין</w:t>
      </w:r>
      <w:proofErr w:type="spellEnd"/>
      <w:r>
        <w:rPr>
          <w:rtl/>
        </w:rPr>
        <w:t xml:space="preserve"> מן הקרבן. וב"ה אומרים: </w:t>
      </w:r>
      <w:proofErr w:type="spellStart"/>
      <w:r>
        <w:rPr>
          <w:rtl/>
        </w:rPr>
        <w:t>ה"ז</w:t>
      </w:r>
      <w:proofErr w:type="spellEnd"/>
      <w:r>
        <w:rPr>
          <w:rtl/>
        </w:rPr>
        <w:t xml:space="preserve"> גרגרן. </w:t>
      </w:r>
    </w:p>
    <w:p w:rsidR="00A84B73" w:rsidRDefault="00A84B73" w:rsidP="00A84B73">
      <w:pPr>
        <w:pStyle w:val="a3"/>
        <w:rPr>
          <w:rFonts w:hint="cs"/>
          <w:rtl/>
        </w:rPr>
      </w:pP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instrText>SEQ</w:instrText>
      </w:r>
      <w:r>
        <w:rPr>
          <w:rtl/>
        </w:rPr>
        <w:instrText xml:space="preserve"> נדהעב\* </w:instrText>
      </w:r>
      <w:r>
        <w:instrText>hebrew1 \* MERGEFORMAT</w:instrText>
      </w:r>
      <w:r>
        <w:rPr>
          <w:rtl/>
        </w:rPr>
        <w:instrText xml:space="preserve"> </w:instrText>
      </w:r>
      <w:r>
        <w:rPr>
          <w:rtl/>
        </w:rPr>
        <w:fldChar w:fldCharType="separate"/>
      </w:r>
      <w:r>
        <w:rPr>
          <w:noProof/>
          <w:rtl/>
        </w:rPr>
        <w:t>ג</w:t>
      </w:r>
      <w:r>
        <w:rPr>
          <w:rtl/>
        </w:rPr>
        <w:fldChar w:fldCharType="end"/>
      </w:r>
      <w:r>
        <w:rPr>
          <w:rFonts w:hint="cs"/>
          <w:rtl/>
        </w:rPr>
        <w:t>.</w:t>
      </w:r>
      <w:r>
        <w:rPr>
          <w:rFonts w:hint="cs"/>
          <w:rtl/>
        </w:rPr>
        <w:tab/>
      </w:r>
      <w:r>
        <w:rPr>
          <w:rtl/>
        </w:rPr>
        <w:t xml:space="preserve">ומודים ברואה בתוך י"א יום, וטבלה לערב ושמשה - </w:t>
      </w:r>
      <w:proofErr w:type="spellStart"/>
      <w:r>
        <w:rPr>
          <w:rtl/>
        </w:rPr>
        <w:t>שמטמאין</w:t>
      </w:r>
      <w:proofErr w:type="spellEnd"/>
      <w:r>
        <w:rPr>
          <w:rtl/>
        </w:rPr>
        <w:t xml:space="preserve"> משכב ומושב. וחייבין בקרבן. </w:t>
      </w:r>
    </w:p>
    <w:p w:rsidR="00A84B73" w:rsidRDefault="00A84B73" w:rsidP="00A84B73">
      <w:pPr>
        <w:pStyle w:val="a3"/>
        <w:rPr>
          <w:rFonts w:hint="cs"/>
          <w:rtl/>
        </w:rPr>
      </w:pP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instrText>SEQ</w:instrText>
      </w:r>
      <w:r>
        <w:rPr>
          <w:rtl/>
        </w:rPr>
        <w:instrText xml:space="preserve"> נדהעב\* </w:instrText>
      </w:r>
      <w:r>
        <w:instrText>hebrew1 \* MERGEFORMAT</w:instrText>
      </w:r>
      <w:r>
        <w:rPr>
          <w:rtl/>
        </w:rPr>
        <w:instrText xml:space="preserve"> </w:instrText>
      </w:r>
      <w:r>
        <w:rPr>
          <w:rtl/>
        </w:rPr>
        <w:fldChar w:fldCharType="separate"/>
      </w:r>
      <w:r>
        <w:rPr>
          <w:noProof/>
          <w:rtl/>
        </w:rPr>
        <w:t>ד</w:t>
      </w:r>
      <w:r>
        <w:rPr>
          <w:rtl/>
        </w:rPr>
        <w:fldChar w:fldCharType="end"/>
      </w:r>
      <w:r>
        <w:rPr>
          <w:rFonts w:hint="cs"/>
          <w:rtl/>
        </w:rPr>
        <w:t>.</w:t>
      </w:r>
      <w:r>
        <w:rPr>
          <w:rFonts w:hint="cs"/>
          <w:rtl/>
        </w:rPr>
        <w:tab/>
      </w:r>
      <w:r>
        <w:rPr>
          <w:rtl/>
        </w:rPr>
        <w:t xml:space="preserve">טבלה ביום של אחריו ושמשה - </w:t>
      </w:r>
      <w:proofErr w:type="spellStart"/>
      <w:r>
        <w:rPr>
          <w:rtl/>
        </w:rPr>
        <w:t>ה"ז</w:t>
      </w:r>
      <w:proofErr w:type="spellEnd"/>
      <w:r>
        <w:rPr>
          <w:rtl/>
        </w:rPr>
        <w:t xml:space="preserve"> תרבות רעה, ומגען ובעילתן </w:t>
      </w:r>
      <w:proofErr w:type="spellStart"/>
      <w:r>
        <w:rPr>
          <w:rtl/>
        </w:rPr>
        <w:t>תלויין</w:t>
      </w:r>
      <w:proofErr w:type="spellEnd"/>
      <w:r>
        <w:rPr>
          <w:rtl/>
        </w:rPr>
        <w:t>.</w:t>
      </w:r>
    </w:p>
    <w:p w:rsidR="00A84B73" w:rsidRDefault="00A84B73" w:rsidP="00A84B73">
      <w:pPr>
        <w:pStyle w:val="a3"/>
        <w:rPr>
          <w:rtl/>
        </w:rPr>
      </w:pPr>
      <w:r>
        <w:rPr>
          <w:rtl/>
        </w:rPr>
        <w:t xml:space="preserve"> </w:t>
      </w:r>
    </w:p>
    <w:p w:rsidR="00A84B73" w:rsidRDefault="00A84B73" w:rsidP="00A84B73">
      <w:pPr>
        <w:pStyle w:val="a3"/>
        <w:rPr>
          <w:rFonts w:hint="cs"/>
          <w:rtl/>
        </w:rPr>
      </w:pP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instrText>SEQ</w:instrText>
      </w:r>
      <w:r>
        <w:rPr>
          <w:rtl/>
        </w:rPr>
        <w:instrText xml:space="preserve"> נדהעב\* </w:instrText>
      </w:r>
      <w:r>
        <w:instrText>hebrew1 \* MERGEFORMAT</w:instrText>
      </w:r>
      <w:r>
        <w:rPr>
          <w:rtl/>
        </w:rPr>
        <w:instrText xml:space="preserve"> </w:instrText>
      </w:r>
      <w:r>
        <w:rPr>
          <w:rtl/>
        </w:rPr>
        <w:fldChar w:fldCharType="separate"/>
      </w:r>
      <w:r>
        <w:rPr>
          <w:noProof/>
          <w:rtl/>
        </w:rPr>
        <w:t>ה</w:t>
      </w:r>
      <w:r>
        <w:rPr>
          <w:rtl/>
        </w:rPr>
        <w:fldChar w:fldCharType="end"/>
      </w:r>
      <w:r>
        <w:rPr>
          <w:rFonts w:hint="cs"/>
          <w:rtl/>
        </w:rPr>
        <w:t>.</w:t>
      </w:r>
      <w:r>
        <w:rPr>
          <w:rFonts w:hint="cs"/>
          <w:rtl/>
        </w:rPr>
        <w:tab/>
      </w:r>
      <w:proofErr w:type="spellStart"/>
      <w:r>
        <w:rPr>
          <w:rtl/>
        </w:rPr>
        <w:t>גמ</w:t>
      </w:r>
      <w:proofErr w:type="spellEnd"/>
      <w:r>
        <w:rPr>
          <w:rtl/>
        </w:rPr>
        <w:t xml:space="preserve">'. ת"ר, </w:t>
      </w:r>
      <w:proofErr w:type="spellStart"/>
      <w:r>
        <w:rPr>
          <w:rtl/>
        </w:rPr>
        <w:t>ושוין</w:t>
      </w:r>
      <w:proofErr w:type="spellEnd"/>
      <w:r>
        <w:rPr>
          <w:rtl/>
        </w:rPr>
        <w:t xml:space="preserve"> בטובלת לילה לזבה - שאינה טבילה. </w:t>
      </w:r>
      <w:proofErr w:type="spellStart"/>
      <w:r>
        <w:rPr>
          <w:rtl/>
        </w:rPr>
        <w:t>ושוין</w:t>
      </w:r>
      <w:proofErr w:type="spellEnd"/>
      <w:r>
        <w:rPr>
          <w:rtl/>
        </w:rPr>
        <w:t xml:space="preserve"> ברואה בתוך י"א יום, וטבלה לערב ושמשה - שמטמאה משכב ומושב, וחייבין בקרבן. </w:t>
      </w:r>
    </w:p>
    <w:p w:rsidR="00A84B73" w:rsidRDefault="00A84B73" w:rsidP="00A84B73">
      <w:pPr>
        <w:pStyle w:val="a3"/>
        <w:rPr>
          <w:rFonts w:hint="cs"/>
          <w:rtl/>
        </w:rPr>
      </w:pP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instrText>SEQ</w:instrText>
      </w:r>
      <w:r>
        <w:rPr>
          <w:rtl/>
        </w:rPr>
        <w:instrText xml:space="preserve"> נדהעב\* </w:instrText>
      </w:r>
      <w:r>
        <w:instrText>hebrew1 \* MERGEFORMAT</w:instrText>
      </w:r>
      <w:r>
        <w:rPr>
          <w:rtl/>
        </w:rPr>
        <w:instrText xml:space="preserve"> </w:instrText>
      </w:r>
      <w:r>
        <w:rPr>
          <w:rtl/>
        </w:rPr>
        <w:fldChar w:fldCharType="separate"/>
      </w:r>
      <w:r>
        <w:rPr>
          <w:noProof/>
          <w:rtl/>
        </w:rPr>
        <w:t>ו</w:t>
      </w:r>
      <w:r>
        <w:rPr>
          <w:rtl/>
        </w:rPr>
        <w:fldChar w:fldCharType="end"/>
      </w:r>
      <w:r>
        <w:rPr>
          <w:rFonts w:hint="cs"/>
          <w:rtl/>
        </w:rPr>
        <w:t>.</w:t>
      </w:r>
      <w:r>
        <w:rPr>
          <w:rFonts w:hint="cs"/>
          <w:rtl/>
        </w:rPr>
        <w:tab/>
      </w:r>
      <w:r>
        <w:rPr>
          <w:rtl/>
        </w:rPr>
        <w:t xml:space="preserve">לא נחלקו אלא ביום י"א יום; שב"ש אומרים: </w:t>
      </w:r>
      <w:proofErr w:type="spellStart"/>
      <w:r>
        <w:rPr>
          <w:rtl/>
        </w:rPr>
        <w:t>מטמאין</w:t>
      </w:r>
      <w:proofErr w:type="spellEnd"/>
      <w:r>
        <w:rPr>
          <w:rtl/>
        </w:rPr>
        <w:t xml:space="preserve"> משכב ומושב וחייבין בקרבן. ובית הלל - </w:t>
      </w:r>
      <w:proofErr w:type="spellStart"/>
      <w:r>
        <w:rPr>
          <w:rtl/>
        </w:rPr>
        <w:t>פוטרין</w:t>
      </w:r>
      <w:proofErr w:type="spellEnd"/>
      <w:r>
        <w:rPr>
          <w:rtl/>
        </w:rPr>
        <w:t xml:space="preserve"> מקרבן. </w:t>
      </w:r>
    </w:p>
    <w:p w:rsidR="00A84B73" w:rsidRDefault="00A84B73" w:rsidP="00A84B73">
      <w:pPr>
        <w:pStyle w:val="a3"/>
        <w:rPr>
          <w:rFonts w:hint="cs"/>
          <w:rtl/>
        </w:rPr>
      </w:pP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instrText>SEQ</w:instrText>
      </w:r>
      <w:r>
        <w:rPr>
          <w:rtl/>
        </w:rPr>
        <w:instrText xml:space="preserve"> נדהעב\* </w:instrText>
      </w:r>
      <w:r>
        <w:instrText>hebrew1 \* MERGEFORMAT</w:instrText>
      </w:r>
      <w:r>
        <w:rPr>
          <w:rtl/>
        </w:rPr>
        <w:instrText xml:space="preserve"> </w:instrText>
      </w:r>
      <w:r>
        <w:rPr>
          <w:rtl/>
        </w:rPr>
        <w:fldChar w:fldCharType="separate"/>
      </w:r>
      <w:r>
        <w:rPr>
          <w:noProof/>
          <w:rtl/>
        </w:rPr>
        <w:t>ז</w:t>
      </w:r>
      <w:r>
        <w:rPr>
          <w:rtl/>
        </w:rPr>
        <w:fldChar w:fldCharType="end"/>
      </w:r>
      <w:r>
        <w:rPr>
          <w:rFonts w:hint="cs"/>
          <w:rtl/>
        </w:rPr>
        <w:t>.</w:t>
      </w:r>
      <w:r>
        <w:rPr>
          <w:rFonts w:hint="cs"/>
          <w:rtl/>
        </w:rPr>
        <w:tab/>
      </w:r>
      <w:r>
        <w:rPr>
          <w:rtl/>
        </w:rPr>
        <w:t xml:space="preserve">אמרו להן ב"ש </w:t>
      </w:r>
      <w:proofErr w:type="spellStart"/>
      <w:r>
        <w:rPr>
          <w:rtl/>
        </w:rPr>
        <w:t>לב"ה</w:t>
      </w:r>
      <w:proofErr w:type="spellEnd"/>
      <w:r>
        <w:rPr>
          <w:rtl/>
        </w:rPr>
        <w:t xml:space="preserve">: </w:t>
      </w:r>
      <w:proofErr w:type="spellStart"/>
      <w:r>
        <w:rPr>
          <w:rtl/>
        </w:rPr>
        <w:t>מ"ש</w:t>
      </w:r>
      <w:proofErr w:type="spellEnd"/>
      <w:r>
        <w:rPr>
          <w:rtl/>
        </w:rPr>
        <w:t xml:space="preserve"> יום י"א מיום תוך י"א? אם </w:t>
      </w:r>
      <w:proofErr w:type="spellStart"/>
      <w:r>
        <w:rPr>
          <w:rtl/>
        </w:rPr>
        <w:t>שיוה</w:t>
      </w:r>
      <w:proofErr w:type="spellEnd"/>
      <w:r>
        <w:rPr>
          <w:rtl/>
        </w:rPr>
        <w:t xml:space="preserve"> לו לטומאה לא </w:t>
      </w:r>
      <w:proofErr w:type="spellStart"/>
      <w:r>
        <w:rPr>
          <w:rtl/>
        </w:rPr>
        <w:t>ישוה</w:t>
      </w:r>
      <w:proofErr w:type="spellEnd"/>
      <w:r>
        <w:rPr>
          <w:rtl/>
        </w:rPr>
        <w:t xml:space="preserve"> לו לקרבן? </w:t>
      </w:r>
    </w:p>
    <w:p w:rsidR="00A84B73" w:rsidRDefault="00A84B73" w:rsidP="00A84B73">
      <w:pPr>
        <w:pStyle w:val="a3"/>
        <w:rPr>
          <w:rFonts w:hint="cs"/>
          <w:rtl/>
        </w:rPr>
      </w:pP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instrText>SEQ</w:instrText>
      </w:r>
      <w:r>
        <w:rPr>
          <w:rtl/>
        </w:rPr>
        <w:instrText xml:space="preserve"> נדהעב\* </w:instrText>
      </w:r>
      <w:r>
        <w:instrText>hebrew1 \* MERGEFORMAT</w:instrText>
      </w:r>
      <w:r>
        <w:rPr>
          <w:rtl/>
        </w:rPr>
        <w:instrText xml:space="preserve"> </w:instrText>
      </w:r>
      <w:r>
        <w:rPr>
          <w:rtl/>
        </w:rPr>
        <w:fldChar w:fldCharType="separate"/>
      </w:r>
      <w:r>
        <w:rPr>
          <w:noProof/>
          <w:rtl/>
        </w:rPr>
        <w:t>ח</w:t>
      </w:r>
      <w:r>
        <w:rPr>
          <w:rtl/>
        </w:rPr>
        <w:fldChar w:fldCharType="end"/>
      </w:r>
      <w:r>
        <w:rPr>
          <w:rFonts w:hint="cs"/>
          <w:rtl/>
        </w:rPr>
        <w:t>.</w:t>
      </w:r>
      <w:r>
        <w:rPr>
          <w:rFonts w:hint="cs"/>
          <w:rtl/>
        </w:rPr>
        <w:tab/>
      </w:r>
      <w:r>
        <w:rPr>
          <w:rtl/>
        </w:rPr>
        <w:t xml:space="preserve">אמרו להן ב"ה לב"ש: לא אם אמרת בתוך י"א יום - שכן יום שלאחריו מצטרף עמו לזיבה, תאמרו ביום י"א - שאין יום שלאחריו שנצטרף עמו לזיבה! </w:t>
      </w:r>
    </w:p>
    <w:p w:rsidR="00A84B73" w:rsidRDefault="00A84B73" w:rsidP="00A84B73">
      <w:pPr>
        <w:pStyle w:val="a3"/>
        <w:rPr>
          <w:rFonts w:hint="cs"/>
          <w:rtl/>
        </w:rPr>
      </w:pP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instrText>SEQ</w:instrText>
      </w:r>
      <w:r>
        <w:rPr>
          <w:rtl/>
        </w:rPr>
        <w:instrText xml:space="preserve"> נדהעב\* </w:instrText>
      </w:r>
      <w:r>
        <w:instrText>hebrew1 \* MERGEFORMAT</w:instrText>
      </w:r>
      <w:r>
        <w:rPr>
          <w:rtl/>
        </w:rPr>
        <w:instrText xml:space="preserve"> </w:instrText>
      </w:r>
      <w:r>
        <w:rPr>
          <w:rtl/>
        </w:rPr>
        <w:fldChar w:fldCharType="separate"/>
      </w:r>
      <w:r>
        <w:rPr>
          <w:noProof/>
          <w:rtl/>
        </w:rPr>
        <w:t>ט</w:t>
      </w:r>
      <w:r>
        <w:rPr>
          <w:rtl/>
        </w:rPr>
        <w:fldChar w:fldCharType="end"/>
      </w:r>
      <w:r>
        <w:rPr>
          <w:rFonts w:hint="cs"/>
          <w:rtl/>
        </w:rPr>
        <w:t>.</w:t>
      </w:r>
      <w:r>
        <w:rPr>
          <w:rFonts w:hint="cs"/>
          <w:rtl/>
        </w:rPr>
        <w:tab/>
      </w:r>
      <w:r>
        <w:rPr>
          <w:rtl/>
        </w:rPr>
        <w:t xml:space="preserve">אמרו להם בית שמאי: השוו </w:t>
      </w:r>
      <w:proofErr w:type="spellStart"/>
      <w:r>
        <w:rPr>
          <w:rtl/>
        </w:rPr>
        <w:t>מדותיכם</w:t>
      </w:r>
      <w:proofErr w:type="spellEnd"/>
      <w:r>
        <w:rPr>
          <w:rtl/>
        </w:rPr>
        <w:t xml:space="preserve">, אם </w:t>
      </w:r>
      <w:proofErr w:type="spellStart"/>
      <w:r>
        <w:rPr>
          <w:rtl/>
        </w:rPr>
        <w:t>שיוה</w:t>
      </w:r>
      <w:proofErr w:type="spellEnd"/>
      <w:r>
        <w:rPr>
          <w:rtl/>
        </w:rPr>
        <w:t xml:space="preserve"> לו לטומאה - </w:t>
      </w:r>
      <w:proofErr w:type="spellStart"/>
      <w:r>
        <w:rPr>
          <w:rtl/>
        </w:rPr>
        <w:t>ישוה</w:t>
      </w:r>
      <w:proofErr w:type="spellEnd"/>
      <w:r>
        <w:rPr>
          <w:rtl/>
        </w:rPr>
        <w:t xml:space="preserve"> לו לקרבן, ואם לא </w:t>
      </w:r>
      <w:proofErr w:type="spellStart"/>
      <w:r>
        <w:rPr>
          <w:rtl/>
        </w:rPr>
        <w:t>שיוה</w:t>
      </w:r>
      <w:proofErr w:type="spellEnd"/>
      <w:r>
        <w:rPr>
          <w:rtl/>
        </w:rPr>
        <w:t xml:space="preserve"> לו לקרבן - לא </w:t>
      </w:r>
      <w:proofErr w:type="spellStart"/>
      <w:r>
        <w:rPr>
          <w:rtl/>
        </w:rPr>
        <w:t>ישוה</w:t>
      </w:r>
      <w:proofErr w:type="spellEnd"/>
      <w:r>
        <w:rPr>
          <w:rtl/>
        </w:rPr>
        <w:t xml:space="preserve"> לו לטומאה. </w:t>
      </w:r>
    </w:p>
    <w:p w:rsidR="00A84B73" w:rsidRDefault="00A84B73" w:rsidP="00A84B73">
      <w:pPr>
        <w:pStyle w:val="a3"/>
        <w:rPr>
          <w:rFonts w:hint="cs"/>
          <w:rtl/>
        </w:rPr>
      </w:pP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instrText>SEQ</w:instrText>
      </w:r>
      <w:r>
        <w:rPr>
          <w:rtl/>
        </w:rPr>
        <w:instrText xml:space="preserve"> נדהעב\* </w:instrText>
      </w:r>
      <w:r>
        <w:instrText>hebrew1 \* MERGEFORMAT</w:instrText>
      </w:r>
      <w:r>
        <w:rPr>
          <w:rtl/>
        </w:rPr>
        <w:instrText xml:space="preserve"> </w:instrText>
      </w:r>
      <w:r>
        <w:rPr>
          <w:rtl/>
        </w:rPr>
        <w:fldChar w:fldCharType="separate"/>
      </w:r>
      <w:r>
        <w:rPr>
          <w:noProof/>
          <w:rtl/>
        </w:rPr>
        <w:t>י</w:t>
      </w:r>
      <w:r>
        <w:rPr>
          <w:rtl/>
        </w:rPr>
        <w:fldChar w:fldCharType="end"/>
      </w:r>
      <w:r>
        <w:rPr>
          <w:rFonts w:hint="cs"/>
          <w:rtl/>
        </w:rPr>
        <w:t>.</w:t>
      </w:r>
      <w:r>
        <w:rPr>
          <w:rFonts w:hint="cs"/>
          <w:rtl/>
        </w:rPr>
        <w:tab/>
      </w:r>
      <w:r>
        <w:rPr>
          <w:rtl/>
        </w:rPr>
        <w:t xml:space="preserve">אמרו להם ב"ה: אם </w:t>
      </w:r>
      <w:proofErr w:type="spellStart"/>
      <w:r>
        <w:rPr>
          <w:rtl/>
        </w:rPr>
        <w:t>הביאנוהו</w:t>
      </w:r>
      <w:proofErr w:type="spellEnd"/>
      <w:r>
        <w:rPr>
          <w:rtl/>
        </w:rPr>
        <w:t xml:space="preserve"> לידי טומאה - להחמיר, לא נביאהו לידי קרבן - להקל. </w:t>
      </w:r>
    </w:p>
    <w:p w:rsidR="00A84B73" w:rsidRDefault="00A84B73" w:rsidP="00A84B73">
      <w:pPr>
        <w:pStyle w:val="a3"/>
        <w:rPr>
          <w:rtl/>
        </w:rPr>
      </w:pP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instrText>SEQ</w:instrText>
      </w:r>
      <w:r>
        <w:rPr>
          <w:rtl/>
        </w:rPr>
        <w:instrText xml:space="preserve"> נדהעב\* </w:instrText>
      </w:r>
      <w:r>
        <w:instrText>hebrew1 \* MERGEFORMAT</w:instrText>
      </w:r>
      <w:r>
        <w:rPr>
          <w:rtl/>
        </w:rPr>
        <w:instrText xml:space="preserve"> </w:instrText>
      </w:r>
      <w:r>
        <w:rPr>
          <w:rtl/>
        </w:rPr>
        <w:fldChar w:fldCharType="separate"/>
      </w:r>
      <w:r>
        <w:rPr>
          <w:noProof/>
          <w:rtl/>
        </w:rPr>
        <w:t>יא</w:t>
      </w:r>
      <w:r>
        <w:rPr>
          <w:rtl/>
        </w:rPr>
        <w:fldChar w:fldCharType="end"/>
      </w:r>
      <w:r>
        <w:rPr>
          <w:rFonts w:hint="cs"/>
          <w:rtl/>
        </w:rPr>
        <w:t>.</w:t>
      </w:r>
      <w:r>
        <w:rPr>
          <w:rFonts w:hint="cs"/>
          <w:rtl/>
        </w:rPr>
        <w:tab/>
      </w:r>
      <w:r>
        <w:rPr>
          <w:rtl/>
        </w:rPr>
        <w:t xml:space="preserve">ועוד, מדבריכם אתם </w:t>
      </w:r>
      <w:proofErr w:type="spellStart"/>
      <w:r>
        <w:rPr>
          <w:rtl/>
        </w:rPr>
        <w:t>נושכין</w:t>
      </w:r>
      <w:proofErr w:type="spellEnd"/>
      <w:r>
        <w:rPr>
          <w:rtl/>
        </w:rPr>
        <w:t xml:space="preserve">, שאתם </w:t>
      </w:r>
      <w:proofErr w:type="spellStart"/>
      <w:r>
        <w:rPr>
          <w:rtl/>
        </w:rPr>
        <w:t>אומרין</w:t>
      </w:r>
      <w:proofErr w:type="spellEnd"/>
      <w:r>
        <w:rPr>
          <w:rtl/>
        </w:rPr>
        <w:t xml:space="preserve">, טבלה יום שלאחריו ושמשה, ואח"כ ראתה - מטמא משכב ומושב, ופטורה מן הקרבן אף אתם השוו </w:t>
      </w:r>
      <w:proofErr w:type="spellStart"/>
      <w:r>
        <w:rPr>
          <w:rtl/>
        </w:rPr>
        <w:t>מדותיכם</w:t>
      </w:r>
      <w:proofErr w:type="spellEnd"/>
      <w:r>
        <w:rPr>
          <w:rtl/>
        </w:rPr>
        <w:t xml:space="preserve"> - אם </w:t>
      </w:r>
      <w:proofErr w:type="spellStart"/>
      <w:r>
        <w:rPr>
          <w:rtl/>
        </w:rPr>
        <w:t>שיוה</w:t>
      </w:r>
      <w:proofErr w:type="spellEnd"/>
      <w:r>
        <w:rPr>
          <w:rtl/>
        </w:rPr>
        <w:t xml:space="preserve"> לו לטומאה - </w:t>
      </w:r>
      <w:proofErr w:type="spellStart"/>
      <w:r>
        <w:rPr>
          <w:rtl/>
        </w:rPr>
        <w:t>ישוה</w:t>
      </w:r>
      <w:proofErr w:type="spellEnd"/>
      <w:r>
        <w:rPr>
          <w:rtl/>
        </w:rPr>
        <w:t xml:space="preserve"> לו לקרבן, ואם לא </w:t>
      </w:r>
      <w:proofErr w:type="spellStart"/>
      <w:r>
        <w:rPr>
          <w:rtl/>
        </w:rPr>
        <w:t>שיוה</w:t>
      </w:r>
      <w:proofErr w:type="spellEnd"/>
      <w:r>
        <w:rPr>
          <w:rtl/>
        </w:rPr>
        <w:t xml:space="preserve"> לו לקרבן - לא </w:t>
      </w:r>
      <w:proofErr w:type="spellStart"/>
      <w:r>
        <w:rPr>
          <w:rtl/>
        </w:rPr>
        <w:t>ישוה</w:t>
      </w:r>
      <w:proofErr w:type="spellEnd"/>
      <w:r>
        <w:rPr>
          <w:rtl/>
        </w:rPr>
        <w:t xml:space="preserve"> לו לטומאה! אלא - להחמיר ולא להקל, הכא </w:t>
      </w:r>
      <w:proofErr w:type="spellStart"/>
      <w:r>
        <w:rPr>
          <w:rtl/>
        </w:rPr>
        <w:t>נמי</w:t>
      </w:r>
      <w:proofErr w:type="spellEnd"/>
      <w:r>
        <w:rPr>
          <w:rtl/>
        </w:rPr>
        <w:t xml:space="preserve"> - להחמיר ולא להקל.</w:t>
      </w:r>
    </w:p>
    <w:p w:rsidR="00A84B73" w:rsidRDefault="00A84B73" w:rsidP="00A84B73">
      <w:pPr>
        <w:rPr>
          <w:rFonts w:hint="cs"/>
          <w:rtl/>
        </w:rPr>
      </w:pPr>
    </w:p>
    <w:p w:rsidR="00A84B73" w:rsidRDefault="00A84B73" w:rsidP="00A84B73">
      <w:pPr>
        <w:rPr>
          <w:rFonts w:hint="cs"/>
          <w:rtl/>
        </w:rPr>
      </w:pPr>
    </w:p>
    <w:p w:rsidR="00A84B73" w:rsidRDefault="00A84B73" w:rsidP="00A84B73">
      <w:pPr>
        <w:rPr>
          <w:rFonts w:hint="cs"/>
          <w:rtl/>
        </w:rPr>
      </w:pPr>
      <w:r>
        <w:rPr>
          <w:rFonts w:hint="cs"/>
          <w:rtl/>
        </w:rPr>
        <w:t xml:space="preserve">הנדון </w:t>
      </w:r>
      <w:proofErr w:type="spellStart"/>
      <w:r>
        <w:rPr>
          <w:rFonts w:hint="cs"/>
          <w:rtl/>
        </w:rPr>
        <w:t>בסוגיא</w:t>
      </w:r>
      <w:proofErr w:type="spellEnd"/>
      <w:r>
        <w:rPr>
          <w:rFonts w:hint="cs"/>
          <w:rtl/>
        </w:rPr>
        <w:t xml:space="preserve">: </w:t>
      </w:r>
      <w:proofErr w:type="spellStart"/>
      <w:r>
        <w:rPr>
          <w:rFonts w:hint="cs"/>
          <w:rtl/>
        </w:rPr>
        <w:t>אשה</w:t>
      </w:r>
      <w:proofErr w:type="spellEnd"/>
      <w:r>
        <w:rPr>
          <w:rFonts w:hint="cs"/>
          <w:rtl/>
        </w:rPr>
        <w:t xml:space="preserve"> שראתה בי"א יום שבין נדה לנדה, וטבלה ושמשה קודם שתשמור יום כנגד יום. </w:t>
      </w:r>
    </w:p>
    <w:p w:rsidR="00A84B73" w:rsidRDefault="00A84B73" w:rsidP="00A84B73">
      <w:pPr>
        <w:rPr>
          <w:rFonts w:hint="cs"/>
          <w:rtl/>
        </w:rPr>
      </w:pPr>
      <w:r>
        <w:rPr>
          <w:rFonts w:hint="cs"/>
          <w:rtl/>
        </w:rPr>
        <w:t>דין זה תלוי בשני משתנים:</w:t>
      </w:r>
    </w:p>
    <w:p w:rsidR="00A84B73" w:rsidRDefault="00A84B73" w:rsidP="00A84B73">
      <w:pPr>
        <w:numPr>
          <w:ilvl w:val="0"/>
          <w:numId w:val="1"/>
        </w:numPr>
        <w:rPr>
          <w:rFonts w:hint="cs"/>
        </w:rPr>
      </w:pPr>
      <w:r>
        <w:rPr>
          <w:rFonts w:hint="cs"/>
          <w:rtl/>
        </w:rPr>
        <w:t>האם ראתה ביום י"א או בימים הקודמים (תוך יא)</w:t>
      </w:r>
    </w:p>
    <w:p w:rsidR="00A84B73" w:rsidRDefault="00A84B73" w:rsidP="00A84B73">
      <w:pPr>
        <w:numPr>
          <w:ilvl w:val="0"/>
          <w:numId w:val="1"/>
        </w:numPr>
        <w:rPr>
          <w:rFonts w:hint="cs"/>
          <w:rtl/>
        </w:rPr>
      </w:pPr>
      <w:r>
        <w:rPr>
          <w:rFonts w:hint="cs"/>
          <w:rtl/>
        </w:rPr>
        <w:t>האם טבלה לערב (קודם ששמרה מקצת היום) או לבקר</w:t>
      </w:r>
    </w:p>
    <w:p w:rsidR="00A84B73" w:rsidRDefault="00A84B73" w:rsidP="00A84B73">
      <w:pPr>
        <w:rPr>
          <w:rFonts w:hint="cs"/>
          <w:rtl/>
        </w:rPr>
      </w:pPr>
    </w:p>
    <w:p w:rsidR="00A84B73" w:rsidRDefault="00A84B73" w:rsidP="00A84B73">
      <w:pPr>
        <w:rPr>
          <w:rFonts w:hint="cs"/>
          <w:rtl/>
        </w:rPr>
      </w:pPr>
      <w:r>
        <w:rPr>
          <w:rFonts w:hint="cs"/>
          <w:rtl/>
        </w:rPr>
        <w:t>הדינים האפשריים:</w:t>
      </w:r>
    </w:p>
    <w:p w:rsidR="00A84B73" w:rsidRDefault="00A84B73" w:rsidP="00A84B73">
      <w:pPr>
        <w:numPr>
          <w:ilvl w:val="0"/>
          <w:numId w:val="2"/>
        </w:numPr>
        <w:rPr>
          <w:rFonts w:hint="cs"/>
        </w:rPr>
      </w:pPr>
      <w:r>
        <w:rPr>
          <w:rFonts w:hint="cs"/>
          <w:rtl/>
        </w:rPr>
        <w:t>מטמאים משכב ומושב דאורייתא וחייבין בקרבן</w:t>
      </w:r>
    </w:p>
    <w:p w:rsidR="00A84B73" w:rsidRDefault="00A84B73" w:rsidP="00A84B73">
      <w:pPr>
        <w:numPr>
          <w:ilvl w:val="0"/>
          <w:numId w:val="2"/>
        </w:numPr>
        <w:rPr>
          <w:rFonts w:hint="cs"/>
        </w:rPr>
      </w:pPr>
      <w:proofErr w:type="spellStart"/>
      <w:r>
        <w:rPr>
          <w:rFonts w:hint="cs"/>
          <w:rtl/>
        </w:rPr>
        <w:t>מטמאין</w:t>
      </w:r>
      <w:proofErr w:type="spellEnd"/>
      <w:r>
        <w:rPr>
          <w:rFonts w:hint="cs"/>
          <w:rtl/>
        </w:rPr>
        <w:t xml:space="preserve"> משכב ומושב דרבנן </w:t>
      </w:r>
      <w:proofErr w:type="spellStart"/>
      <w:r>
        <w:rPr>
          <w:rFonts w:hint="cs"/>
          <w:rtl/>
        </w:rPr>
        <w:t>ופטורין</w:t>
      </w:r>
      <w:proofErr w:type="spellEnd"/>
      <w:r>
        <w:rPr>
          <w:rFonts w:hint="cs"/>
          <w:rtl/>
        </w:rPr>
        <w:t xml:space="preserve"> מן הקרבן</w:t>
      </w:r>
    </w:p>
    <w:p w:rsidR="00A84B73" w:rsidRDefault="00A84B73" w:rsidP="00A84B73">
      <w:pPr>
        <w:numPr>
          <w:ilvl w:val="0"/>
          <w:numId w:val="2"/>
        </w:numPr>
        <w:rPr>
          <w:rFonts w:hint="cs"/>
          <w:rtl/>
        </w:rPr>
      </w:pPr>
      <w:r>
        <w:rPr>
          <w:rFonts w:hint="cs"/>
          <w:rtl/>
        </w:rPr>
        <w:t>אסור דרבנן (גרגרן) אך אין טומאה אפילו דרבנן</w:t>
      </w:r>
    </w:p>
    <w:p w:rsidR="00A84B73" w:rsidRDefault="00A84B73" w:rsidP="00A84B73">
      <w:pPr>
        <w:pStyle w:val="a6"/>
        <w:ind w:left="1004"/>
        <w:rPr>
          <w:rFonts w:hint="cs"/>
          <w:rtl/>
        </w:rPr>
      </w:pPr>
      <w:r>
        <w:rPr>
          <w:rFonts w:hint="cs"/>
          <w:rtl/>
        </w:rPr>
        <w:lastRenderedPageBreak/>
        <w:t>טבלה ושמשה קודם שימור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2333"/>
        <w:gridCol w:w="2333"/>
      </w:tblGrid>
      <w:tr w:rsidR="00A84B73" w:rsidTr="006335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73" w:rsidRDefault="00A84B73" w:rsidP="0063354A">
            <w:pPr>
              <w:pStyle w:val="a4"/>
              <w:rPr>
                <w:rFonts w:hint="cs"/>
                <w:rtl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73" w:rsidRDefault="00A84B73" w:rsidP="0063354A">
            <w:pPr>
              <w:pStyle w:val="a4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טבלה לערב ושמשה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73" w:rsidRDefault="00A84B73" w:rsidP="0063354A">
            <w:pPr>
              <w:pStyle w:val="a4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טבלה ביום שלאחריו ושמשה</w:t>
            </w:r>
          </w:p>
        </w:tc>
      </w:tr>
      <w:tr w:rsidR="00A84B73" w:rsidTr="006335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73" w:rsidRDefault="00A84B73" w:rsidP="0063354A">
            <w:pPr>
              <w:pStyle w:val="a4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רואה יום י"א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73" w:rsidRDefault="00A84B73" w:rsidP="0063354A">
            <w:pPr>
              <w:pStyle w:val="a5"/>
              <w:rPr>
                <w:rFonts w:hint="cs"/>
                <w:rtl/>
              </w:rPr>
            </w:pPr>
            <w:proofErr w:type="spellStart"/>
            <w:r>
              <w:rPr>
                <w:rFonts w:hint="cs"/>
                <w:rtl/>
              </w:rPr>
              <w:t>לכו"ע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1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73" w:rsidRDefault="00A84B73" w:rsidP="0063354A">
            <w:pPr>
              <w:pStyle w:val="a5"/>
              <w:rPr>
                <w:rFonts w:hint="cs"/>
                <w:rtl/>
              </w:rPr>
            </w:pPr>
            <w:proofErr w:type="spellStart"/>
            <w:r>
              <w:rPr>
                <w:rFonts w:hint="cs"/>
                <w:rtl/>
              </w:rPr>
              <w:t>לכו"ע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2</w:t>
            </w:r>
          </w:p>
        </w:tc>
      </w:tr>
      <w:tr w:rsidR="00A84B73" w:rsidTr="006335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73" w:rsidRDefault="00A84B73" w:rsidP="0063354A">
            <w:pPr>
              <w:pStyle w:val="a4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רואה בתוך י"א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73" w:rsidRDefault="00A84B73" w:rsidP="0063354A">
            <w:pPr>
              <w:pStyle w:val="a5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מחלוקת: ב"ש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1; ב"ה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73" w:rsidRDefault="00A84B73" w:rsidP="0063354A">
            <w:pPr>
              <w:pStyle w:val="a5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מחלוקת: ב"ש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2; ב"ה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3</w:t>
            </w:r>
          </w:p>
        </w:tc>
      </w:tr>
    </w:tbl>
    <w:p w:rsidR="00A84B73" w:rsidRPr="00DA5135" w:rsidRDefault="00A84B73" w:rsidP="00A84B73">
      <w:pPr>
        <w:rPr>
          <w:rFonts w:hint="cs"/>
          <w:rtl/>
        </w:rPr>
      </w:pPr>
    </w:p>
    <w:p w:rsidR="00A84B73" w:rsidRDefault="00A84B73" w:rsidP="00A84B73">
      <w:pPr>
        <w:rPr>
          <w:rFonts w:hint="cs"/>
          <w:rtl/>
        </w:rPr>
      </w:pPr>
      <w:r>
        <w:rPr>
          <w:rFonts w:hint="cs"/>
          <w:rtl/>
        </w:rPr>
        <w:t xml:space="preserve">מחלוקת ב"ש וב"ה היא רק בשורה התחתונה (הקלה יותר). שיטת ב"ה במשבצת הימנית (החמורה) היא כשיטת ב"ש בשמאלית (הקלה). </w:t>
      </w:r>
    </w:p>
    <w:p w:rsidR="00A84B73" w:rsidRDefault="00A84B73" w:rsidP="00A84B73">
      <w:pPr>
        <w:rPr>
          <w:rFonts w:hint="cs"/>
          <w:rtl/>
        </w:rPr>
      </w:pPr>
    </w:p>
    <w:p w:rsidR="00A84B73" w:rsidRDefault="00A84B73" w:rsidP="00A84B73">
      <w:pPr>
        <w:rPr>
          <w:rFonts w:hint="cs"/>
          <w:rtl/>
        </w:rPr>
      </w:pPr>
      <w:r>
        <w:rPr>
          <w:rFonts w:hint="cs"/>
          <w:rtl/>
        </w:rPr>
        <w:t xml:space="preserve">משנה </w:t>
      </w:r>
    </w:p>
    <w:p w:rsidR="00A84B73" w:rsidRDefault="00A84B73" w:rsidP="00A84B73">
      <w:pPr>
        <w:rPr>
          <w:rFonts w:hint="cs"/>
          <w:rtl/>
        </w:rPr>
      </w:pPr>
      <w:r>
        <w:rPr>
          <w:rFonts w:hint="cs"/>
          <w:rtl/>
        </w:rPr>
        <w:t xml:space="preserve">סעיף א </w:t>
      </w:r>
      <w:r>
        <w:rPr>
          <w:rtl/>
        </w:rPr>
        <w:t>–</w:t>
      </w:r>
      <w:r>
        <w:rPr>
          <w:rFonts w:hint="cs"/>
          <w:rtl/>
        </w:rPr>
        <w:t xml:space="preserve"> ימנית תחתונה</w:t>
      </w:r>
    </w:p>
    <w:p w:rsidR="00A84B73" w:rsidRDefault="00A84B73" w:rsidP="00A84B73">
      <w:pPr>
        <w:rPr>
          <w:rFonts w:hint="cs"/>
          <w:rtl/>
        </w:rPr>
      </w:pPr>
      <w:r>
        <w:rPr>
          <w:rFonts w:hint="cs"/>
          <w:rtl/>
        </w:rPr>
        <w:t xml:space="preserve">סעיף ב </w:t>
      </w:r>
      <w:r>
        <w:rPr>
          <w:rtl/>
        </w:rPr>
        <w:t>–</w:t>
      </w:r>
      <w:r>
        <w:rPr>
          <w:rFonts w:hint="cs"/>
          <w:rtl/>
        </w:rPr>
        <w:t xml:space="preserve"> שמאלית תחתונה</w:t>
      </w:r>
    </w:p>
    <w:p w:rsidR="00A84B73" w:rsidRDefault="00A84B73" w:rsidP="00A84B73">
      <w:pPr>
        <w:rPr>
          <w:rFonts w:hint="cs"/>
          <w:rtl/>
        </w:rPr>
      </w:pPr>
      <w:r>
        <w:rPr>
          <w:rFonts w:hint="cs"/>
          <w:rtl/>
        </w:rPr>
        <w:t xml:space="preserve">סעיף ג </w:t>
      </w:r>
      <w:r>
        <w:rPr>
          <w:rtl/>
        </w:rPr>
        <w:t>–</w:t>
      </w:r>
      <w:r>
        <w:rPr>
          <w:rFonts w:hint="cs"/>
          <w:rtl/>
        </w:rPr>
        <w:t xml:space="preserve"> ימנית עליונה</w:t>
      </w:r>
    </w:p>
    <w:p w:rsidR="00A84B73" w:rsidRDefault="00A84B73" w:rsidP="00A84B73">
      <w:pPr>
        <w:rPr>
          <w:rFonts w:hint="cs"/>
          <w:rtl/>
        </w:rPr>
      </w:pPr>
      <w:r>
        <w:rPr>
          <w:rFonts w:hint="cs"/>
          <w:rtl/>
        </w:rPr>
        <w:t xml:space="preserve">סעיף ד </w:t>
      </w:r>
      <w:r>
        <w:rPr>
          <w:rtl/>
        </w:rPr>
        <w:t>–</w:t>
      </w:r>
      <w:r>
        <w:rPr>
          <w:rFonts w:hint="cs"/>
          <w:rtl/>
        </w:rPr>
        <w:t xml:space="preserve"> שמאלית עליונה</w:t>
      </w:r>
    </w:p>
    <w:p w:rsidR="00A84B73" w:rsidRDefault="00A84B73" w:rsidP="00A84B73">
      <w:pPr>
        <w:rPr>
          <w:rFonts w:hint="cs"/>
          <w:rtl/>
        </w:rPr>
      </w:pPr>
    </w:p>
    <w:p w:rsidR="00A84B73" w:rsidRDefault="00A84B73" w:rsidP="00A84B73">
      <w:pPr>
        <w:rPr>
          <w:rFonts w:hint="cs"/>
          <w:rtl/>
        </w:rPr>
      </w:pPr>
      <w:r>
        <w:rPr>
          <w:rFonts w:hint="cs"/>
          <w:rtl/>
        </w:rPr>
        <w:t>ברייתא</w:t>
      </w:r>
    </w:p>
    <w:p w:rsidR="00A84B73" w:rsidRDefault="00A84B73" w:rsidP="00A84B73">
      <w:pPr>
        <w:rPr>
          <w:rFonts w:hint="cs"/>
          <w:rtl/>
        </w:rPr>
      </w:pPr>
      <w:r>
        <w:rPr>
          <w:rFonts w:hint="cs"/>
          <w:rtl/>
        </w:rPr>
        <w:t xml:space="preserve">סעיף ה </w:t>
      </w:r>
      <w:r>
        <w:rPr>
          <w:rtl/>
        </w:rPr>
        <w:t>–</w:t>
      </w:r>
      <w:r>
        <w:rPr>
          <w:rFonts w:hint="cs"/>
          <w:rtl/>
        </w:rPr>
        <w:t xml:space="preserve"> ימנית עליונה</w:t>
      </w:r>
    </w:p>
    <w:p w:rsidR="00A84B73" w:rsidRDefault="00A84B73" w:rsidP="00A84B73">
      <w:pPr>
        <w:rPr>
          <w:rFonts w:hint="cs"/>
          <w:rtl/>
        </w:rPr>
      </w:pPr>
      <w:r>
        <w:rPr>
          <w:rFonts w:hint="cs"/>
          <w:rtl/>
        </w:rPr>
        <w:t xml:space="preserve">סעיף ו </w:t>
      </w:r>
      <w:r>
        <w:rPr>
          <w:rtl/>
        </w:rPr>
        <w:t>–</w:t>
      </w:r>
      <w:r>
        <w:rPr>
          <w:rFonts w:hint="cs"/>
          <w:rtl/>
        </w:rPr>
        <w:t xml:space="preserve"> ימנית תחתונה</w:t>
      </w:r>
    </w:p>
    <w:p w:rsidR="00A84B73" w:rsidRDefault="00A84B73" w:rsidP="00A84B73">
      <w:pPr>
        <w:pStyle w:val="4"/>
        <w:rPr>
          <w:rFonts w:hint="cs"/>
          <w:rtl/>
        </w:rPr>
      </w:pPr>
      <w:r>
        <w:rPr>
          <w:rFonts w:hint="cs"/>
          <w:rtl/>
        </w:rPr>
        <w:t xml:space="preserve">סעיפים ז-יא, </w:t>
      </w:r>
      <w:proofErr w:type="spellStart"/>
      <w:r>
        <w:rPr>
          <w:rFonts w:hint="cs"/>
          <w:rtl/>
        </w:rPr>
        <w:t>הויכוח</w:t>
      </w:r>
      <w:proofErr w:type="spellEnd"/>
      <w:r>
        <w:rPr>
          <w:rFonts w:hint="cs"/>
          <w:rtl/>
        </w:rPr>
        <w:t xml:space="preserve"> בין ב"ש </w:t>
      </w:r>
      <w:proofErr w:type="spellStart"/>
      <w:r>
        <w:rPr>
          <w:rFonts w:hint="cs"/>
          <w:rtl/>
        </w:rPr>
        <w:t>לב"ה</w:t>
      </w:r>
      <w:proofErr w:type="spellEnd"/>
      <w:r>
        <w:rPr>
          <w:rFonts w:hint="cs"/>
          <w:rtl/>
        </w:rPr>
        <w:t xml:space="preserve"> בנוגע לימנית תחתונה</w:t>
      </w:r>
    </w:p>
    <w:p w:rsidR="00A84B73" w:rsidRDefault="00A84B73" w:rsidP="00A84B73">
      <w:pPr>
        <w:rPr>
          <w:rFonts w:hint="cs"/>
          <w:rtl/>
        </w:rPr>
      </w:pPr>
      <w:proofErr w:type="spellStart"/>
      <w:r>
        <w:rPr>
          <w:rFonts w:hint="cs"/>
          <w:rtl/>
        </w:rPr>
        <w:t>הקושיא</w:t>
      </w:r>
      <w:proofErr w:type="spellEnd"/>
      <w:r>
        <w:rPr>
          <w:rFonts w:hint="cs"/>
          <w:rtl/>
        </w:rPr>
        <w:t xml:space="preserve"> הראשונה שמקשים ב"ש על ב"ה (סעיף ז) נובעת מהשוואת המשבצת הימנית תחתונה לימנית עליונה. לב"ש אין חילוק בין המשבצות, ואילו </w:t>
      </w:r>
      <w:proofErr w:type="spellStart"/>
      <w:r>
        <w:rPr>
          <w:rFonts w:hint="cs"/>
          <w:rtl/>
        </w:rPr>
        <w:t>לב"ה</w:t>
      </w:r>
      <w:proofErr w:type="spellEnd"/>
      <w:r>
        <w:rPr>
          <w:rFonts w:hint="cs"/>
          <w:rtl/>
        </w:rPr>
        <w:t xml:space="preserve"> שווה לטומאה ולא לקרבן. ב"ה מסבירים (סעיף ח) שכיוון שאין יום שמצטרף לטומאה עם יום יא שונה הוא משאר הימים שבתוך יא. </w:t>
      </w:r>
    </w:p>
    <w:p w:rsidR="00A84B73" w:rsidRDefault="00A84B73" w:rsidP="00A84B73">
      <w:pPr>
        <w:rPr>
          <w:rFonts w:hint="cs"/>
          <w:rtl/>
        </w:rPr>
      </w:pPr>
      <w:proofErr w:type="spellStart"/>
      <w:r>
        <w:rPr>
          <w:rFonts w:hint="cs"/>
          <w:rtl/>
        </w:rPr>
        <w:t>הקושיא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השניה</w:t>
      </w:r>
      <w:proofErr w:type="spellEnd"/>
      <w:r>
        <w:rPr>
          <w:rFonts w:hint="cs"/>
          <w:rtl/>
        </w:rPr>
        <w:t xml:space="preserve"> של ב"ש (סעיף ט) היא מהחילוק הפנימי שב"ה מציבים במשבצת הימנית תחתונה: מחד מטמא משכב ומושב ומאידך פטור מקרבן (דין 2). ב"ש טוענים שהדינים האפשריים הם או טומאה וקרבן (דין 1) או לא זה ולא זה (דין 3). </w:t>
      </w:r>
    </w:p>
    <w:p w:rsidR="00A84B73" w:rsidRDefault="00A84B73" w:rsidP="00A84B73">
      <w:pPr>
        <w:rPr>
          <w:rFonts w:hint="cs"/>
          <w:rtl/>
        </w:rPr>
      </w:pPr>
      <w:r>
        <w:rPr>
          <w:rFonts w:hint="cs"/>
          <w:rtl/>
        </w:rPr>
        <w:t xml:space="preserve">תשובת ב"ה מורכבת משני סעיפים: בתחילה (סעיף י) הם מסבירים את </w:t>
      </w:r>
      <w:proofErr w:type="spellStart"/>
      <w:r>
        <w:rPr>
          <w:rFonts w:hint="cs"/>
          <w:rtl/>
        </w:rPr>
        <w:t>ההגיון</w:t>
      </w:r>
      <w:proofErr w:type="spellEnd"/>
      <w:r>
        <w:rPr>
          <w:rFonts w:hint="cs"/>
          <w:rtl/>
        </w:rPr>
        <w:t xml:space="preserve"> של דין 2: טומאה היא </w:t>
      </w:r>
      <w:proofErr w:type="spellStart"/>
      <w:r>
        <w:rPr>
          <w:rFonts w:hint="cs"/>
          <w:rtl/>
        </w:rPr>
        <w:t>חומרא</w:t>
      </w:r>
      <w:proofErr w:type="spellEnd"/>
      <w:r>
        <w:rPr>
          <w:rFonts w:hint="cs"/>
          <w:rtl/>
        </w:rPr>
        <w:t xml:space="preserve"> בלבד, ולכן ניתן להחיל אותה מדרבנן, לעומת חיוב בקרבן שכרוך </w:t>
      </w:r>
      <w:proofErr w:type="spellStart"/>
      <w:r>
        <w:rPr>
          <w:rFonts w:hint="cs"/>
          <w:rtl/>
        </w:rPr>
        <w:t>בקולא</w:t>
      </w:r>
      <w:proofErr w:type="spellEnd"/>
      <w:r>
        <w:rPr>
          <w:rFonts w:hint="cs"/>
          <w:rtl/>
        </w:rPr>
        <w:t xml:space="preserve"> של חולין בעזרה, ולכן לא ניתן לחייבו מדרבנן. בנוסף מחזקים ב"ה את תירוצם (סעיף יא) מתוך שיטת ב"ש גופא: הרי גם ב"ש משתמשים בדין 2 במשבצת השמאלית תחתונה הרי שיש אפשרות להטיל רק טומאה ולפטור מקרבן. </w:t>
      </w:r>
    </w:p>
    <w:p w:rsidR="007666F3" w:rsidRDefault="007666F3"/>
    <w:sectPr w:rsidR="007666F3" w:rsidSect="00A84B73">
      <w:pgSz w:w="11906" w:h="16838"/>
      <w:pgMar w:top="2268" w:right="1985" w:bottom="2268" w:left="1985" w:header="709" w:footer="709" w:gutter="567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David">
    <w:panose1 w:val="020E0502060401010101"/>
    <w:charset w:val="B1"/>
    <w:family w:val="auto"/>
    <w:pitch w:val="variable"/>
    <w:sig w:usb0="00000801" w:usb1="00000000" w:usb2="00000000" w:usb3="00000000" w:csb0="00000020" w:csb1="00000000"/>
  </w:font>
  <w:font w:name="Guttman-Toledo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C6C8E"/>
    <w:multiLevelType w:val="hybridMultilevel"/>
    <w:tmpl w:val="73D8B1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7E441C"/>
    <w:multiLevelType w:val="hybridMultilevel"/>
    <w:tmpl w:val="C4E4D0E4"/>
    <w:lvl w:ilvl="0" w:tplc="183E6DB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B73"/>
    <w:rsid w:val="00672965"/>
    <w:rsid w:val="007666F3"/>
    <w:rsid w:val="00A84B73"/>
    <w:rsid w:val="00D46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B73"/>
    <w:pPr>
      <w:bidi/>
      <w:spacing w:line="300" w:lineRule="exact"/>
    </w:pPr>
    <w:rPr>
      <w:rFonts w:ascii="Times New Roman" w:eastAsia="Times New Roman" w:hAnsi="Times New Roman" w:cs="David"/>
      <w:sz w:val="24"/>
      <w:szCs w:val="24"/>
    </w:rPr>
  </w:style>
  <w:style w:type="paragraph" w:styleId="2">
    <w:name w:val="heading 2"/>
    <w:basedOn w:val="a"/>
    <w:next w:val="a"/>
    <w:link w:val="20"/>
    <w:qFormat/>
    <w:rsid w:val="00A84B73"/>
    <w:pPr>
      <w:keepNext/>
      <w:pageBreakBefore/>
      <w:spacing w:before="240" w:after="60"/>
      <w:jc w:val="left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A84B73"/>
    <w:pPr>
      <w:keepNext/>
      <w:spacing w:before="240" w:after="60"/>
      <w:outlineLvl w:val="3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כותרת 2 תו"/>
    <w:basedOn w:val="a0"/>
    <w:link w:val="2"/>
    <w:rsid w:val="00A84B73"/>
    <w:rPr>
      <w:rFonts w:ascii="Arial" w:eastAsia="Times New Roman" w:hAnsi="Arial" w:cs="David"/>
      <w:b/>
      <w:bCs/>
      <w:i/>
      <w:iCs/>
      <w:sz w:val="28"/>
      <w:szCs w:val="28"/>
    </w:rPr>
  </w:style>
  <w:style w:type="character" w:customStyle="1" w:styleId="40">
    <w:name w:val="כותרת 4 תו"/>
    <w:basedOn w:val="a0"/>
    <w:link w:val="4"/>
    <w:rsid w:val="00A84B73"/>
    <w:rPr>
      <w:rFonts w:ascii="Times New Roman" w:eastAsia="Times New Roman" w:hAnsi="Times New Roman" w:cs="David"/>
      <w:i/>
      <w:iCs/>
      <w:sz w:val="24"/>
      <w:szCs w:val="24"/>
    </w:rPr>
  </w:style>
  <w:style w:type="paragraph" w:customStyle="1" w:styleId="a3">
    <w:name w:val="צטוט"/>
    <w:basedOn w:val="a"/>
    <w:autoRedefine/>
    <w:rsid w:val="00A84B73"/>
    <w:pPr>
      <w:ind w:left="680" w:hanging="340"/>
    </w:pPr>
    <w:rPr>
      <w:rFonts w:cs="Guttman-Toledo"/>
      <w:sz w:val="48"/>
    </w:rPr>
  </w:style>
  <w:style w:type="paragraph" w:customStyle="1" w:styleId="a4">
    <w:name w:val="תא כותרת ימין"/>
    <w:basedOn w:val="a"/>
    <w:rsid w:val="00A84B73"/>
    <w:pPr>
      <w:ind w:right="113"/>
    </w:pPr>
    <w:rPr>
      <w:bCs/>
      <w:szCs w:val="18"/>
    </w:rPr>
  </w:style>
  <w:style w:type="paragraph" w:customStyle="1" w:styleId="a5">
    <w:name w:val="טור שמאל"/>
    <w:basedOn w:val="a"/>
    <w:rsid w:val="00A84B73"/>
    <w:pPr>
      <w:ind w:left="113"/>
    </w:pPr>
    <w:rPr>
      <w:szCs w:val="20"/>
    </w:rPr>
  </w:style>
  <w:style w:type="paragraph" w:customStyle="1" w:styleId="a6">
    <w:name w:val="כותרת טבלה"/>
    <w:basedOn w:val="a"/>
    <w:rsid w:val="00A84B73"/>
    <w:pPr>
      <w:spacing w:before="240" w:after="60"/>
      <w:ind w:left="284"/>
    </w:pPr>
    <w:rPr>
      <w:bCs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B73"/>
    <w:pPr>
      <w:bidi/>
      <w:spacing w:line="300" w:lineRule="exact"/>
    </w:pPr>
    <w:rPr>
      <w:rFonts w:ascii="Times New Roman" w:eastAsia="Times New Roman" w:hAnsi="Times New Roman" w:cs="David"/>
      <w:sz w:val="24"/>
      <w:szCs w:val="24"/>
    </w:rPr>
  </w:style>
  <w:style w:type="paragraph" w:styleId="2">
    <w:name w:val="heading 2"/>
    <w:basedOn w:val="a"/>
    <w:next w:val="a"/>
    <w:link w:val="20"/>
    <w:qFormat/>
    <w:rsid w:val="00A84B73"/>
    <w:pPr>
      <w:keepNext/>
      <w:pageBreakBefore/>
      <w:spacing w:before="240" w:after="60"/>
      <w:jc w:val="left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A84B73"/>
    <w:pPr>
      <w:keepNext/>
      <w:spacing w:before="240" w:after="60"/>
      <w:outlineLvl w:val="3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כותרת 2 תו"/>
    <w:basedOn w:val="a0"/>
    <w:link w:val="2"/>
    <w:rsid w:val="00A84B73"/>
    <w:rPr>
      <w:rFonts w:ascii="Arial" w:eastAsia="Times New Roman" w:hAnsi="Arial" w:cs="David"/>
      <w:b/>
      <w:bCs/>
      <w:i/>
      <w:iCs/>
      <w:sz w:val="28"/>
      <w:szCs w:val="28"/>
    </w:rPr>
  </w:style>
  <w:style w:type="character" w:customStyle="1" w:styleId="40">
    <w:name w:val="כותרת 4 תו"/>
    <w:basedOn w:val="a0"/>
    <w:link w:val="4"/>
    <w:rsid w:val="00A84B73"/>
    <w:rPr>
      <w:rFonts w:ascii="Times New Roman" w:eastAsia="Times New Roman" w:hAnsi="Times New Roman" w:cs="David"/>
      <w:i/>
      <w:iCs/>
      <w:sz w:val="24"/>
      <w:szCs w:val="24"/>
    </w:rPr>
  </w:style>
  <w:style w:type="paragraph" w:customStyle="1" w:styleId="a3">
    <w:name w:val="צטוט"/>
    <w:basedOn w:val="a"/>
    <w:autoRedefine/>
    <w:rsid w:val="00A84B73"/>
    <w:pPr>
      <w:ind w:left="680" w:hanging="340"/>
    </w:pPr>
    <w:rPr>
      <w:rFonts w:cs="Guttman-Toledo"/>
      <w:sz w:val="48"/>
    </w:rPr>
  </w:style>
  <w:style w:type="paragraph" w:customStyle="1" w:styleId="a4">
    <w:name w:val="תא כותרת ימין"/>
    <w:basedOn w:val="a"/>
    <w:rsid w:val="00A84B73"/>
    <w:pPr>
      <w:ind w:right="113"/>
    </w:pPr>
    <w:rPr>
      <w:bCs/>
      <w:szCs w:val="18"/>
    </w:rPr>
  </w:style>
  <w:style w:type="paragraph" w:customStyle="1" w:styleId="a5">
    <w:name w:val="טור שמאל"/>
    <w:basedOn w:val="a"/>
    <w:rsid w:val="00A84B73"/>
    <w:pPr>
      <w:ind w:left="113"/>
    </w:pPr>
    <w:rPr>
      <w:szCs w:val="20"/>
    </w:rPr>
  </w:style>
  <w:style w:type="paragraph" w:customStyle="1" w:styleId="a6">
    <w:name w:val="כותרת טבלה"/>
    <w:basedOn w:val="a"/>
    <w:rsid w:val="00A84B73"/>
    <w:pPr>
      <w:spacing w:before="240" w:after="60"/>
      <w:ind w:left="284"/>
    </w:pPr>
    <w:rPr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575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הראל</dc:creator>
  <cp:lastModifiedBy>הראל</cp:lastModifiedBy>
  <cp:revision>1</cp:revision>
  <dcterms:created xsi:type="dcterms:W3CDTF">2012-07-31T12:32:00Z</dcterms:created>
  <dcterms:modified xsi:type="dcterms:W3CDTF">2012-07-31T12:33:00Z</dcterms:modified>
</cp:coreProperties>
</file>