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B7" w:rsidRDefault="008654B7" w:rsidP="008654B7">
      <w:pPr>
        <w:pStyle w:val="2"/>
        <w:rPr>
          <w:rFonts w:hint="cs"/>
          <w:rtl/>
        </w:rPr>
      </w:pPr>
      <w:bookmarkStart w:id="0" w:name="_Toc331662999"/>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סימניברכות\* </w:instrText>
      </w:r>
      <w:r>
        <w:rPr>
          <w:rFonts w:hint="cs"/>
        </w:rPr>
        <w:instrText>hebrew1 \* MERGEFORMAT</w:instrText>
      </w:r>
      <w:r>
        <w:rPr>
          <w:rtl/>
        </w:rPr>
        <w:instrText xml:space="preserve"> </w:instrText>
      </w:r>
      <w:r>
        <w:rPr>
          <w:rtl/>
        </w:rPr>
        <w:fldChar w:fldCharType="separate"/>
      </w:r>
      <w:r>
        <w:rPr>
          <w:noProof/>
          <w:rtl/>
        </w:rPr>
        <w:t>א</w:t>
      </w:r>
      <w:r>
        <w:rPr>
          <w:rtl/>
        </w:rPr>
        <w:fldChar w:fldCharType="end"/>
      </w:r>
      <w:bookmarkStart w:id="1" w:name="_GoBack"/>
      <w:r>
        <w:rPr>
          <w:rFonts w:hint="cs"/>
          <w:rtl/>
        </w:rPr>
        <w:t>. בדין תחילת זמן ק"ש של ערבית</w:t>
      </w:r>
      <w:bookmarkEnd w:id="1"/>
      <w:r>
        <w:rPr>
          <w:rFonts w:hint="cs"/>
          <w:rtl/>
        </w:rPr>
        <w:t>, ב ע"ב</w:t>
      </w:r>
      <w:bookmarkEnd w:id="0"/>
    </w:p>
    <w:p w:rsidR="008654B7" w:rsidRDefault="008654B7" w:rsidP="008654B7">
      <w:pPr>
        <w:pStyle w:val="a3"/>
        <w:rPr>
          <w:rFonts w:hint="cs"/>
          <w:rtl/>
        </w:rPr>
      </w:pPr>
      <w:r>
        <w:rPr>
          <w:rtl/>
        </w:rPr>
        <w:fldChar w:fldCharType="begin"/>
      </w:r>
      <w:r>
        <w:rPr>
          <w:rtl/>
        </w:rPr>
        <w:instrText xml:space="preserve"> </w:instrText>
      </w:r>
      <w:r>
        <w:instrText>SEQ</w:instrText>
      </w:r>
      <w:r>
        <w:rPr>
          <w:rtl/>
        </w:rPr>
        <w:instrText xml:space="preserve"> ברכותב\*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r>
        <w:rPr>
          <w:rtl/>
        </w:rPr>
        <w:t xml:space="preserve">אמר מר: משעה </w:t>
      </w:r>
      <w:proofErr w:type="spellStart"/>
      <w:r>
        <w:rPr>
          <w:rtl/>
        </w:rPr>
        <w:t>שהכהנים</w:t>
      </w:r>
      <w:proofErr w:type="spellEnd"/>
      <w:r>
        <w:rPr>
          <w:rtl/>
        </w:rPr>
        <w:t xml:space="preserve"> </w:t>
      </w:r>
      <w:proofErr w:type="spellStart"/>
      <w:r>
        <w:rPr>
          <w:rtl/>
        </w:rPr>
        <w:t>נכנסין</w:t>
      </w:r>
      <w:proofErr w:type="spellEnd"/>
      <w:r>
        <w:rPr>
          <w:rtl/>
        </w:rPr>
        <w:t xml:space="preserve"> לאכול בתרומתן. </w:t>
      </w:r>
      <w:proofErr w:type="spellStart"/>
      <w:r>
        <w:rPr>
          <w:rtl/>
        </w:rPr>
        <w:t>ורמינהו</w:t>
      </w:r>
      <w:proofErr w:type="spellEnd"/>
      <w:r>
        <w:rPr>
          <w:rtl/>
        </w:rPr>
        <w:t xml:space="preserve">: מאימתי קורין את שמע </w:t>
      </w:r>
      <w:proofErr w:type="spellStart"/>
      <w:r>
        <w:rPr>
          <w:rtl/>
        </w:rPr>
        <w:t>בערבין</w:t>
      </w:r>
      <w:proofErr w:type="spellEnd"/>
      <w:r>
        <w:rPr>
          <w:rtl/>
        </w:rPr>
        <w:t xml:space="preserve">? משהעני נכנס לאכול פתו במלח, עד שעה שעומד </w:t>
      </w:r>
      <w:proofErr w:type="spellStart"/>
      <w:r>
        <w:rPr>
          <w:rtl/>
        </w:rPr>
        <w:t>ליפטר</w:t>
      </w:r>
      <w:proofErr w:type="spellEnd"/>
      <w:r>
        <w:rPr>
          <w:rtl/>
        </w:rPr>
        <w:t xml:space="preserve"> מתוך סעודתו. סיפא ודאי </w:t>
      </w:r>
      <w:proofErr w:type="spellStart"/>
      <w:r>
        <w:rPr>
          <w:rtl/>
        </w:rPr>
        <w:t>פליגא</w:t>
      </w:r>
      <w:proofErr w:type="spellEnd"/>
      <w:r>
        <w:rPr>
          <w:rtl/>
        </w:rPr>
        <w:t xml:space="preserve"> </w:t>
      </w:r>
      <w:proofErr w:type="spellStart"/>
      <w:r>
        <w:rPr>
          <w:rtl/>
        </w:rPr>
        <w:t>אמתניתין</w:t>
      </w:r>
      <w:proofErr w:type="spellEnd"/>
      <w:r>
        <w:rPr>
          <w:rtl/>
        </w:rPr>
        <w:t xml:space="preserve">; רישא, מי </w:t>
      </w:r>
      <w:proofErr w:type="spellStart"/>
      <w:r>
        <w:rPr>
          <w:rtl/>
        </w:rPr>
        <w:t>לימא</w:t>
      </w:r>
      <w:proofErr w:type="spellEnd"/>
      <w:r>
        <w:rPr>
          <w:rtl/>
        </w:rPr>
        <w:t xml:space="preserve"> פליגי </w:t>
      </w:r>
      <w:proofErr w:type="spellStart"/>
      <w:r>
        <w:rPr>
          <w:rtl/>
        </w:rPr>
        <w:t>אמתניתין</w:t>
      </w:r>
      <w:proofErr w:type="spellEnd"/>
      <w:r>
        <w:rPr>
          <w:rtl/>
        </w:rPr>
        <w:t xml:space="preserve">? - לא, עני וכהן חד </w:t>
      </w:r>
      <w:proofErr w:type="spellStart"/>
      <w:r>
        <w:rPr>
          <w:rtl/>
        </w:rPr>
        <w:t>שיעורא</w:t>
      </w:r>
      <w:proofErr w:type="spellEnd"/>
      <w:r>
        <w:rPr>
          <w:rtl/>
        </w:rPr>
        <w:t xml:space="preserve"> הוא. </w:t>
      </w:r>
    </w:p>
    <w:p w:rsidR="008654B7" w:rsidRDefault="008654B7" w:rsidP="008654B7">
      <w:pPr>
        <w:pStyle w:val="a3"/>
        <w:rPr>
          <w:rFonts w:hint="cs"/>
          <w:rtl/>
        </w:rPr>
      </w:pPr>
      <w:r>
        <w:rPr>
          <w:rtl/>
        </w:rPr>
        <w:fldChar w:fldCharType="begin"/>
      </w:r>
      <w:r>
        <w:rPr>
          <w:rtl/>
        </w:rPr>
        <w:instrText xml:space="preserve"> </w:instrText>
      </w:r>
      <w:r>
        <w:instrText>SEQ</w:instrText>
      </w:r>
      <w:r>
        <w:rPr>
          <w:rtl/>
        </w:rPr>
        <w:instrText xml:space="preserve"> ברכותב\*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proofErr w:type="spellStart"/>
      <w:r>
        <w:rPr>
          <w:rtl/>
        </w:rPr>
        <w:t>ורמינהו</w:t>
      </w:r>
      <w:proofErr w:type="spellEnd"/>
      <w:r>
        <w:rPr>
          <w:rtl/>
        </w:rPr>
        <w:t xml:space="preserve">: מאימתי </w:t>
      </w:r>
      <w:proofErr w:type="spellStart"/>
      <w:r>
        <w:rPr>
          <w:rtl/>
        </w:rPr>
        <w:t>מתחילין</w:t>
      </w:r>
      <w:proofErr w:type="spellEnd"/>
      <w:r>
        <w:rPr>
          <w:rtl/>
        </w:rPr>
        <w:t xml:space="preserve"> לקרות קריאת שמע בערבית? - משעה שבני אדם </w:t>
      </w:r>
      <w:proofErr w:type="spellStart"/>
      <w:r>
        <w:rPr>
          <w:rtl/>
        </w:rPr>
        <w:t>נכנסין</w:t>
      </w:r>
      <w:proofErr w:type="spellEnd"/>
      <w:r>
        <w:rPr>
          <w:rtl/>
        </w:rPr>
        <w:t xml:space="preserve"> לאכול פתן בערבי שבתות, דברי רבי מאיר. וחכמים אומרים: משעה </w:t>
      </w:r>
      <w:proofErr w:type="spellStart"/>
      <w:r>
        <w:rPr>
          <w:rtl/>
        </w:rPr>
        <w:t>שהכהנים</w:t>
      </w:r>
      <w:proofErr w:type="spellEnd"/>
      <w:r>
        <w:rPr>
          <w:rtl/>
        </w:rPr>
        <w:t xml:space="preserve"> </w:t>
      </w:r>
      <w:proofErr w:type="spellStart"/>
      <w:r>
        <w:rPr>
          <w:rtl/>
        </w:rPr>
        <w:t>זכאין</w:t>
      </w:r>
      <w:proofErr w:type="spellEnd"/>
      <w:r>
        <w:rPr>
          <w:rtl/>
        </w:rPr>
        <w:t xml:space="preserve"> לאכול בתרומתן, סימן לדבר צאת הכוכבים. ואף על פי שאין ראיה לדבר זכר לדבר, שנאמר +נחמיה ד'+ ואנחנו עושים במלאכה וחצים מחזיקים </w:t>
      </w:r>
      <w:proofErr w:type="spellStart"/>
      <w:r>
        <w:rPr>
          <w:rtl/>
        </w:rPr>
        <w:t>ברמחים</w:t>
      </w:r>
      <w:proofErr w:type="spellEnd"/>
      <w:r>
        <w:rPr>
          <w:rtl/>
        </w:rPr>
        <w:t xml:space="preserve"> מעלות השחר עד צאת הכוכבים, ואומר +נחמיה ד'+ והיו לנו הלילה משמר והיום מלאכה. מאי ואומר? - וכי </w:t>
      </w:r>
      <w:proofErr w:type="spellStart"/>
      <w:r>
        <w:rPr>
          <w:rtl/>
        </w:rPr>
        <w:t>תימא</w:t>
      </w:r>
      <w:proofErr w:type="spellEnd"/>
      <w:r>
        <w:rPr>
          <w:rtl/>
        </w:rPr>
        <w:t xml:space="preserve"> </w:t>
      </w:r>
      <w:proofErr w:type="spellStart"/>
      <w:r>
        <w:rPr>
          <w:rtl/>
        </w:rPr>
        <w:t>מכי</w:t>
      </w:r>
      <w:proofErr w:type="spellEnd"/>
      <w:r>
        <w:rPr>
          <w:rtl/>
        </w:rPr>
        <w:t xml:space="preserve"> </w:t>
      </w:r>
      <w:proofErr w:type="spellStart"/>
      <w:r>
        <w:rPr>
          <w:rtl/>
        </w:rPr>
        <w:t>ערבא</w:t>
      </w:r>
      <w:proofErr w:type="spellEnd"/>
      <w:r>
        <w:rPr>
          <w:rtl/>
        </w:rPr>
        <w:t xml:space="preserve"> שמשא </w:t>
      </w:r>
      <w:proofErr w:type="spellStart"/>
      <w:r>
        <w:rPr>
          <w:rtl/>
        </w:rPr>
        <w:t>ליליא</w:t>
      </w:r>
      <w:proofErr w:type="spellEnd"/>
      <w:r>
        <w:rPr>
          <w:rtl/>
        </w:rPr>
        <w:t xml:space="preserve"> הוא, </w:t>
      </w:r>
      <w:proofErr w:type="spellStart"/>
      <w:r>
        <w:rPr>
          <w:rtl/>
        </w:rPr>
        <w:t>ואינהו</w:t>
      </w:r>
      <w:proofErr w:type="spellEnd"/>
      <w:r>
        <w:rPr>
          <w:rtl/>
        </w:rPr>
        <w:t xml:space="preserve"> </w:t>
      </w:r>
      <w:proofErr w:type="spellStart"/>
      <w:r>
        <w:rPr>
          <w:rtl/>
        </w:rPr>
        <w:t>דמחשכי</w:t>
      </w:r>
      <w:proofErr w:type="spellEnd"/>
      <w:r>
        <w:rPr>
          <w:rtl/>
        </w:rPr>
        <w:t xml:space="preserve"> ומקדמי, תא שמע: והיו לנו הלילה משמר והיום מלאכה. </w:t>
      </w:r>
      <w:proofErr w:type="spellStart"/>
      <w:r>
        <w:rPr>
          <w:rtl/>
        </w:rPr>
        <w:t>קא</w:t>
      </w:r>
      <w:proofErr w:type="spellEnd"/>
      <w:r>
        <w:rPr>
          <w:rtl/>
        </w:rPr>
        <w:t xml:space="preserve"> </w:t>
      </w:r>
      <w:proofErr w:type="spellStart"/>
      <w:r>
        <w:rPr>
          <w:rtl/>
        </w:rPr>
        <w:t>סלקא</w:t>
      </w:r>
      <w:proofErr w:type="spellEnd"/>
      <w:r>
        <w:rPr>
          <w:rtl/>
        </w:rPr>
        <w:t xml:space="preserve"> דעתך </w:t>
      </w:r>
      <w:proofErr w:type="spellStart"/>
      <w:r>
        <w:rPr>
          <w:rtl/>
        </w:rPr>
        <w:t>דעני</w:t>
      </w:r>
      <w:proofErr w:type="spellEnd"/>
      <w:r>
        <w:rPr>
          <w:rtl/>
        </w:rPr>
        <w:t xml:space="preserve"> ובני אדם חד </w:t>
      </w:r>
      <w:proofErr w:type="spellStart"/>
      <w:r>
        <w:rPr>
          <w:rtl/>
        </w:rPr>
        <w:t>שעורא</w:t>
      </w:r>
      <w:proofErr w:type="spellEnd"/>
      <w:r>
        <w:rPr>
          <w:rtl/>
        </w:rPr>
        <w:t xml:space="preserve"> הוא, ואי אמרת עני וכהן חד </w:t>
      </w:r>
      <w:proofErr w:type="spellStart"/>
      <w:r>
        <w:rPr>
          <w:rtl/>
        </w:rPr>
        <w:t>שעורא</w:t>
      </w:r>
      <w:proofErr w:type="spellEnd"/>
      <w:r>
        <w:rPr>
          <w:rtl/>
        </w:rPr>
        <w:t xml:space="preserve"> הוא - חכמים היינו רבי מאיר! אלא שמע מינה: עני </w:t>
      </w:r>
      <w:proofErr w:type="spellStart"/>
      <w:r>
        <w:rPr>
          <w:rtl/>
        </w:rPr>
        <w:t>שעורא</w:t>
      </w:r>
      <w:proofErr w:type="spellEnd"/>
      <w:r>
        <w:rPr>
          <w:rtl/>
        </w:rPr>
        <w:t xml:space="preserve"> לחוד וכהן </w:t>
      </w:r>
      <w:proofErr w:type="spellStart"/>
      <w:r>
        <w:rPr>
          <w:rtl/>
        </w:rPr>
        <w:t>שעורא</w:t>
      </w:r>
      <w:proofErr w:type="spellEnd"/>
      <w:r>
        <w:rPr>
          <w:rtl/>
        </w:rPr>
        <w:t xml:space="preserve"> לחוד! – </w:t>
      </w:r>
    </w:p>
    <w:p w:rsidR="008654B7" w:rsidRDefault="008654B7" w:rsidP="008654B7">
      <w:pPr>
        <w:pStyle w:val="a3"/>
        <w:rPr>
          <w:rFonts w:hint="cs"/>
          <w:rtl/>
        </w:rPr>
      </w:pPr>
      <w:r>
        <w:rPr>
          <w:rtl/>
        </w:rPr>
        <w:fldChar w:fldCharType="begin"/>
      </w:r>
      <w:r>
        <w:rPr>
          <w:rtl/>
        </w:rPr>
        <w:instrText xml:space="preserve"> </w:instrText>
      </w:r>
      <w:r>
        <w:instrText>SEQ</w:instrText>
      </w:r>
      <w:r>
        <w:rPr>
          <w:rtl/>
        </w:rPr>
        <w:instrText xml:space="preserve"> ברכותב\*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r>
        <w:rPr>
          <w:rtl/>
        </w:rPr>
        <w:t xml:space="preserve">לא, עני וכהן חד </w:t>
      </w:r>
      <w:proofErr w:type="spellStart"/>
      <w:r>
        <w:rPr>
          <w:rtl/>
        </w:rPr>
        <w:t>שעורא</w:t>
      </w:r>
      <w:proofErr w:type="spellEnd"/>
      <w:r>
        <w:rPr>
          <w:rtl/>
        </w:rPr>
        <w:t xml:space="preserve"> הוא, ועני ובני אדם לאו חד </w:t>
      </w:r>
      <w:proofErr w:type="spellStart"/>
      <w:r>
        <w:rPr>
          <w:rtl/>
        </w:rPr>
        <w:t>שעורא</w:t>
      </w:r>
      <w:proofErr w:type="spellEnd"/>
      <w:r>
        <w:rPr>
          <w:rtl/>
        </w:rPr>
        <w:t xml:space="preserve"> הוא. – </w:t>
      </w:r>
    </w:p>
    <w:p w:rsidR="008654B7" w:rsidRDefault="008654B7" w:rsidP="008654B7">
      <w:pPr>
        <w:pStyle w:val="a3"/>
        <w:rPr>
          <w:rtl/>
        </w:rPr>
      </w:pPr>
      <w:r>
        <w:rPr>
          <w:rtl/>
        </w:rPr>
        <w:fldChar w:fldCharType="begin"/>
      </w:r>
      <w:r>
        <w:rPr>
          <w:rtl/>
        </w:rPr>
        <w:instrText xml:space="preserve"> </w:instrText>
      </w:r>
      <w:r>
        <w:instrText>SEQ</w:instrText>
      </w:r>
      <w:r>
        <w:rPr>
          <w:rtl/>
        </w:rPr>
        <w:instrText xml:space="preserve"> ברכותב\*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r>
        <w:rPr>
          <w:rtl/>
        </w:rPr>
        <w:t xml:space="preserve">ועני וכהן חד </w:t>
      </w:r>
      <w:proofErr w:type="spellStart"/>
      <w:r>
        <w:rPr>
          <w:rtl/>
        </w:rPr>
        <w:t>שעורא</w:t>
      </w:r>
      <w:proofErr w:type="spellEnd"/>
      <w:r>
        <w:rPr>
          <w:rtl/>
        </w:rPr>
        <w:t xml:space="preserve"> הוא? </w:t>
      </w:r>
      <w:proofErr w:type="spellStart"/>
      <w:r>
        <w:rPr>
          <w:rtl/>
        </w:rPr>
        <w:t>ורמינהו</w:t>
      </w:r>
      <w:proofErr w:type="spellEnd"/>
      <w:r>
        <w:rPr>
          <w:rtl/>
        </w:rPr>
        <w:t xml:space="preserve">: מאימתי </w:t>
      </w:r>
      <w:proofErr w:type="spellStart"/>
      <w:r>
        <w:rPr>
          <w:rtl/>
        </w:rPr>
        <w:t>מתחילין</w:t>
      </w:r>
      <w:proofErr w:type="spellEnd"/>
      <w:r>
        <w:rPr>
          <w:rtl/>
        </w:rPr>
        <w:t xml:space="preserve"> לקרות שמע </w:t>
      </w:r>
      <w:proofErr w:type="spellStart"/>
      <w:r>
        <w:rPr>
          <w:rtl/>
        </w:rPr>
        <w:t>בערבין</w:t>
      </w:r>
      <w:proofErr w:type="spellEnd"/>
      <w:r>
        <w:rPr>
          <w:rtl/>
        </w:rPr>
        <w:t xml:space="preserve">? - משעה </w:t>
      </w:r>
      <w:proofErr w:type="spellStart"/>
      <w:r>
        <w:rPr>
          <w:rtl/>
        </w:rPr>
        <w:t>שקדש</w:t>
      </w:r>
      <w:proofErr w:type="spellEnd"/>
      <w:r>
        <w:rPr>
          <w:rtl/>
        </w:rPr>
        <w:t xml:space="preserve"> היום בערבי שבתות, דברי רבי אליעזר. רבי יהושע אומר: משעה </w:t>
      </w:r>
      <w:proofErr w:type="spellStart"/>
      <w:r>
        <w:rPr>
          <w:rtl/>
        </w:rPr>
        <w:t>שהכהנים</w:t>
      </w:r>
      <w:proofErr w:type="spellEnd"/>
      <w:r>
        <w:rPr>
          <w:rtl/>
        </w:rPr>
        <w:t xml:space="preserve"> מטוהרים לאכול בתרומתן. רבי מאיר אומר: משעה </w:t>
      </w:r>
      <w:proofErr w:type="spellStart"/>
      <w:r>
        <w:rPr>
          <w:rtl/>
        </w:rPr>
        <w:t>שהכהנים</w:t>
      </w:r>
      <w:proofErr w:type="spellEnd"/>
      <w:r>
        <w:rPr>
          <w:rtl/>
        </w:rPr>
        <w:t xml:space="preserve"> </w:t>
      </w:r>
      <w:proofErr w:type="spellStart"/>
      <w:r>
        <w:rPr>
          <w:rtl/>
        </w:rPr>
        <w:t>טובלין</w:t>
      </w:r>
      <w:proofErr w:type="spellEnd"/>
      <w:r>
        <w:rPr>
          <w:rtl/>
        </w:rPr>
        <w:t xml:space="preserve"> לאכול בתרומתן. אמר לו רבי יהודה: והלא </w:t>
      </w:r>
      <w:proofErr w:type="spellStart"/>
      <w:r>
        <w:rPr>
          <w:rtl/>
        </w:rPr>
        <w:t>כהנים</w:t>
      </w:r>
      <w:proofErr w:type="spellEnd"/>
      <w:r>
        <w:rPr>
          <w:rtl/>
        </w:rPr>
        <w:t xml:space="preserve"> מבעוד יום הם טובלים! רבי </w:t>
      </w:r>
      <w:proofErr w:type="spellStart"/>
      <w:r>
        <w:rPr>
          <w:rtl/>
        </w:rPr>
        <w:t>חנינא</w:t>
      </w:r>
      <w:proofErr w:type="spellEnd"/>
      <w:r>
        <w:rPr>
          <w:rtl/>
        </w:rPr>
        <w:t xml:space="preserve"> אומר: משעה שעני נכנס לאכול פתו במלח. רבי </w:t>
      </w:r>
      <w:proofErr w:type="spellStart"/>
      <w:r>
        <w:rPr>
          <w:rtl/>
        </w:rPr>
        <w:t>אחאי</w:t>
      </w:r>
      <w:proofErr w:type="spellEnd"/>
      <w:r>
        <w:rPr>
          <w:rtl/>
        </w:rPr>
        <w:t xml:space="preserve">, ואמרי לה רבי אחא, אומר: משעה שרוב בני אדם </w:t>
      </w:r>
      <w:proofErr w:type="spellStart"/>
      <w:r>
        <w:rPr>
          <w:rtl/>
        </w:rPr>
        <w:t>נכנסין</w:t>
      </w:r>
      <w:proofErr w:type="spellEnd"/>
      <w:r>
        <w:rPr>
          <w:rtl/>
        </w:rPr>
        <w:t xml:space="preserve"> להסב. ואי אמרת עני וכהן חד </w:t>
      </w:r>
      <w:proofErr w:type="spellStart"/>
      <w:r>
        <w:rPr>
          <w:rtl/>
        </w:rPr>
        <w:t>שעורא</w:t>
      </w:r>
      <w:proofErr w:type="spellEnd"/>
      <w:r>
        <w:rPr>
          <w:rtl/>
        </w:rPr>
        <w:t xml:space="preserve"> הוא - רבי </w:t>
      </w:r>
      <w:proofErr w:type="spellStart"/>
      <w:r>
        <w:rPr>
          <w:rtl/>
        </w:rPr>
        <w:t>חנינא</w:t>
      </w:r>
      <w:proofErr w:type="spellEnd"/>
      <w:r>
        <w:rPr>
          <w:rtl/>
        </w:rPr>
        <w:t xml:space="preserve"> היינו רבי יהושע! אלא לאו שמע מינה: </w:t>
      </w:r>
      <w:proofErr w:type="spellStart"/>
      <w:r>
        <w:rPr>
          <w:rtl/>
        </w:rPr>
        <w:t>שעורא</w:t>
      </w:r>
      <w:proofErr w:type="spellEnd"/>
      <w:r>
        <w:rPr>
          <w:rtl/>
        </w:rPr>
        <w:t xml:space="preserve"> </w:t>
      </w:r>
      <w:proofErr w:type="spellStart"/>
      <w:r>
        <w:rPr>
          <w:rtl/>
        </w:rPr>
        <w:t>דעני</w:t>
      </w:r>
      <w:proofErr w:type="spellEnd"/>
      <w:r>
        <w:rPr>
          <w:rtl/>
        </w:rPr>
        <w:t xml:space="preserve"> לחוד, </w:t>
      </w:r>
      <w:proofErr w:type="spellStart"/>
      <w:r>
        <w:rPr>
          <w:rtl/>
        </w:rPr>
        <w:t>ושעורא</w:t>
      </w:r>
      <w:proofErr w:type="spellEnd"/>
      <w:r>
        <w:rPr>
          <w:rtl/>
        </w:rPr>
        <w:t xml:space="preserve"> </w:t>
      </w:r>
      <w:proofErr w:type="spellStart"/>
      <w:r>
        <w:rPr>
          <w:rtl/>
        </w:rPr>
        <w:t>דכהן</w:t>
      </w:r>
      <w:proofErr w:type="spellEnd"/>
      <w:r>
        <w:rPr>
          <w:rtl/>
        </w:rPr>
        <w:t xml:space="preserve"> לחוד, שמע מינה. הי </w:t>
      </w:r>
      <w:proofErr w:type="spellStart"/>
      <w:r>
        <w:rPr>
          <w:rtl/>
        </w:rPr>
        <w:t>מינייהו</w:t>
      </w:r>
      <w:proofErr w:type="spellEnd"/>
      <w:r>
        <w:rPr>
          <w:rtl/>
        </w:rPr>
        <w:t xml:space="preserve"> מאוחר? - מסתברא </w:t>
      </w:r>
      <w:proofErr w:type="spellStart"/>
      <w:r>
        <w:rPr>
          <w:rtl/>
        </w:rPr>
        <w:t>דעני</w:t>
      </w:r>
      <w:proofErr w:type="spellEnd"/>
      <w:r>
        <w:rPr>
          <w:rtl/>
        </w:rPr>
        <w:t xml:space="preserve"> מאוחר, דאי אמרת </w:t>
      </w:r>
      <w:proofErr w:type="spellStart"/>
      <w:r>
        <w:rPr>
          <w:rtl/>
        </w:rPr>
        <w:t>דעני</w:t>
      </w:r>
      <w:proofErr w:type="spellEnd"/>
      <w:r>
        <w:rPr>
          <w:rtl/>
        </w:rPr>
        <w:t xml:space="preserve"> מוקדם - רבי </w:t>
      </w:r>
      <w:proofErr w:type="spellStart"/>
      <w:r>
        <w:rPr>
          <w:rtl/>
        </w:rPr>
        <w:t>חנינא</w:t>
      </w:r>
      <w:proofErr w:type="spellEnd"/>
      <w:r>
        <w:rPr>
          <w:rtl/>
        </w:rPr>
        <w:t xml:space="preserve"> היינו רבי אליעזר אלא לאו שמע מינה </w:t>
      </w:r>
      <w:proofErr w:type="spellStart"/>
      <w:r>
        <w:rPr>
          <w:rtl/>
        </w:rPr>
        <w:t>דעני</w:t>
      </w:r>
      <w:proofErr w:type="spellEnd"/>
      <w:r>
        <w:rPr>
          <w:rtl/>
        </w:rPr>
        <w:t xml:space="preserve"> מאוחר, שמע מינה. </w:t>
      </w:r>
    </w:p>
    <w:p w:rsidR="008654B7" w:rsidRDefault="008654B7" w:rsidP="008654B7">
      <w:pPr>
        <w:rPr>
          <w:rFonts w:hint="cs"/>
          <w:rtl/>
        </w:rPr>
      </w:pPr>
    </w:p>
    <w:p w:rsidR="008654B7" w:rsidRDefault="008654B7" w:rsidP="008654B7">
      <w:pPr>
        <w:rPr>
          <w:rFonts w:hint="cs"/>
          <w:rtl/>
        </w:rPr>
      </w:pPr>
      <w:r>
        <w:rPr>
          <w:rFonts w:hint="cs"/>
          <w:rtl/>
        </w:rPr>
        <w:t xml:space="preserve">שלוש ברייתות </w:t>
      </w:r>
      <w:proofErr w:type="spellStart"/>
      <w:r>
        <w:rPr>
          <w:rFonts w:hint="cs"/>
          <w:rtl/>
        </w:rPr>
        <w:t>בסוגיין</w:t>
      </w:r>
      <w:proofErr w:type="spellEnd"/>
      <w:r>
        <w:rPr>
          <w:rFonts w:hint="cs"/>
          <w:rtl/>
        </w:rPr>
        <w:t>:</w:t>
      </w:r>
    </w:p>
    <w:p w:rsidR="008654B7" w:rsidRDefault="008654B7" w:rsidP="008654B7">
      <w:pPr>
        <w:rPr>
          <w:rFonts w:hint="cs"/>
          <w:rtl/>
        </w:rPr>
      </w:pPr>
      <w:r>
        <w:rPr>
          <w:rFonts w:hint="cs"/>
          <w:rtl/>
        </w:rPr>
        <w:t xml:space="preserve">ברייתא [1]: </w:t>
      </w:r>
      <w:r>
        <w:rPr>
          <w:rtl/>
        </w:rPr>
        <w:t xml:space="preserve">מאימתי קורין את שמע </w:t>
      </w:r>
      <w:proofErr w:type="spellStart"/>
      <w:r>
        <w:rPr>
          <w:rtl/>
        </w:rPr>
        <w:t>בערבין</w:t>
      </w:r>
      <w:proofErr w:type="spellEnd"/>
      <w:r>
        <w:rPr>
          <w:rtl/>
        </w:rPr>
        <w:t xml:space="preserve">? משהעני נכנס לאכול פתו במלח, עד שעה שעומד </w:t>
      </w:r>
      <w:proofErr w:type="spellStart"/>
      <w:r>
        <w:rPr>
          <w:rtl/>
        </w:rPr>
        <w:t>ליפטר</w:t>
      </w:r>
      <w:proofErr w:type="spellEnd"/>
      <w:r>
        <w:rPr>
          <w:rtl/>
        </w:rPr>
        <w:t xml:space="preserve"> מתוך סעודתו.</w:t>
      </w:r>
      <w:r>
        <w:rPr>
          <w:rFonts w:hint="cs"/>
          <w:rtl/>
        </w:rPr>
        <w:t xml:space="preserve"> [סעיף א]</w:t>
      </w:r>
    </w:p>
    <w:p w:rsidR="008654B7" w:rsidRDefault="008654B7" w:rsidP="008654B7">
      <w:pPr>
        <w:rPr>
          <w:rFonts w:hint="cs"/>
          <w:rtl/>
        </w:rPr>
      </w:pPr>
      <w:r>
        <w:rPr>
          <w:rFonts w:hint="cs"/>
          <w:rtl/>
        </w:rPr>
        <w:t xml:space="preserve">ברייתא [2]: </w:t>
      </w:r>
      <w:r>
        <w:rPr>
          <w:rtl/>
        </w:rPr>
        <w:t xml:space="preserve">מאימתי </w:t>
      </w:r>
      <w:proofErr w:type="spellStart"/>
      <w:r>
        <w:rPr>
          <w:rtl/>
        </w:rPr>
        <w:t>מתחילין</w:t>
      </w:r>
      <w:proofErr w:type="spellEnd"/>
      <w:r>
        <w:rPr>
          <w:rtl/>
        </w:rPr>
        <w:t xml:space="preserve"> לקרות קריאת שמע בערבית? - משעה שבני אדם </w:t>
      </w:r>
      <w:proofErr w:type="spellStart"/>
      <w:r>
        <w:rPr>
          <w:rtl/>
        </w:rPr>
        <w:t>נכנסין</w:t>
      </w:r>
      <w:proofErr w:type="spellEnd"/>
      <w:r>
        <w:rPr>
          <w:rtl/>
        </w:rPr>
        <w:t xml:space="preserve"> לאכול פתן בערבי שבתות, דברי רבי מאיר. וחכמים אומרים: משעה </w:t>
      </w:r>
      <w:proofErr w:type="spellStart"/>
      <w:r>
        <w:rPr>
          <w:rtl/>
        </w:rPr>
        <w:t>שהכהנים</w:t>
      </w:r>
      <w:proofErr w:type="spellEnd"/>
      <w:r>
        <w:rPr>
          <w:rtl/>
        </w:rPr>
        <w:t xml:space="preserve"> </w:t>
      </w:r>
      <w:proofErr w:type="spellStart"/>
      <w:r>
        <w:rPr>
          <w:rtl/>
        </w:rPr>
        <w:t>זכאין</w:t>
      </w:r>
      <w:proofErr w:type="spellEnd"/>
      <w:r>
        <w:rPr>
          <w:rtl/>
        </w:rPr>
        <w:t xml:space="preserve"> לאכול בתרומתן,</w:t>
      </w:r>
      <w:r>
        <w:rPr>
          <w:rFonts w:hint="cs"/>
          <w:rtl/>
        </w:rPr>
        <w:t xml:space="preserve"> וכו' [סעיף ב]</w:t>
      </w:r>
    </w:p>
    <w:p w:rsidR="008654B7" w:rsidRDefault="008654B7" w:rsidP="008654B7">
      <w:pPr>
        <w:rPr>
          <w:rFonts w:hint="cs"/>
          <w:rtl/>
        </w:rPr>
      </w:pPr>
      <w:r>
        <w:rPr>
          <w:rFonts w:hint="cs"/>
          <w:rtl/>
        </w:rPr>
        <w:t xml:space="preserve">ברייתא [3]: </w:t>
      </w:r>
      <w:r>
        <w:rPr>
          <w:rtl/>
        </w:rPr>
        <w:t xml:space="preserve">מאימתי </w:t>
      </w:r>
      <w:proofErr w:type="spellStart"/>
      <w:r>
        <w:rPr>
          <w:rtl/>
        </w:rPr>
        <w:t>מתחילין</w:t>
      </w:r>
      <w:proofErr w:type="spellEnd"/>
      <w:r>
        <w:rPr>
          <w:rtl/>
        </w:rPr>
        <w:t xml:space="preserve"> לקרות שמע </w:t>
      </w:r>
      <w:proofErr w:type="spellStart"/>
      <w:r>
        <w:rPr>
          <w:rtl/>
        </w:rPr>
        <w:t>בערבין</w:t>
      </w:r>
      <w:proofErr w:type="spellEnd"/>
      <w:r>
        <w:rPr>
          <w:rtl/>
        </w:rPr>
        <w:t xml:space="preserve">? - משעה </w:t>
      </w:r>
      <w:proofErr w:type="spellStart"/>
      <w:r>
        <w:rPr>
          <w:rtl/>
        </w:rPr>
        <w:t>שקדש</w:t>
      </w:r>
      <w:proofErr w:type="spellEnd"/>
      <w:r>
        <w:rPr>
          <w:rtl/>
        </w:rPr>
        <w:t xml:space="preserve"> היום בערבי שבתות, דברי רבי אליעזר.</w:t>
      </w:r>
      <w:r>
        <w:rPr>
          <w:rFonts w:hint="cs"/>
          <w:rtl/>
        </w:rPr>
        <w:t xml:space="preserve"> וכו' [סעיף ד]</w:t>
      </w:r>
    </w:p>
    <w:p w:rsidR="008654B7" w:rsidRDefault="008654B7" w:rsidP="008654B7">
      <w:pPr>
        <w:rPr>
          <w:rFonts w:hint="cs"/>
          <w:rtl/>
        </w:rPr>
      </w:pPr>
    </w:p>
    <w:p w:rsidR="008654B7" w:rsidRDefault="008654B7" w:rsidP="008654B7">
      <w:pPr>
        <w:rPr>
          <w:rFonts w:hint="cs"/>
          <w:rtl/>
        </w:rPr>
      </w:pPr>
      <w:r>
        <w:rPr>
          <w:rFonts w:hint="cs"/>
          <w:rtl/>
        </w:rPr>
        <w:lastRenderedPageBreak/>
        <w:t xml:space="preserve">הנדון </w:t>
      </w:r>
      <w:proofErr w:type="spellStart"/>
      <w:r>
        <w:rPr>
          <w:rFonts w:hint="cs"/>
          <w:rtl/>
        </w:rPr>
        <w:t>בסוגיא</w:t>
      </w:r>
      <w:proofErr w:type="spellEnd"/>
      <w:r>
        <w:rPr>
          <w:rFonts w:hint="cs"/>
          <w:rtl/>
        </w:rPr>
        <w:t xml:space="preserve">:  האם ברייתא [1] שקובעת כי תחילת זמן ק"ש הוא משהעני נכנס לאכול פתו במלח חולקת על משנתנו שקובעת את תחילת הזמן לשעה </w:t>
      </w:r>
      <w:proofErr w:type="spellStart"/>
      <w:r>
        <w:rPr>
          <w:rFonts w:hint="cs"/>
          <w:rtl/>
        </w:rPr>
        <w:t>שהכהנים</w:t>
      </w:r>
      <w:proofErr w:type="spellEnd"/>
      <w:r>
        <w:rPr>
          <w:rFonts w:hint="cs"/>
          <w:rtl/>
        </w:rPr>
        <w:t xml:space="preserve"> </w:t>
      </w:r>
      <w:proofErr w:type="spellStart"/>
      <w:r>
        <w:rPr>
          <w:rFonts w:hint="cs"/>
          <w:rtl/>
        </w:rPr>
        <w:t>נכנסין</w:t>
      </w:r>
      <w:proofErr w:type="spellEnd"/>
      <w:r>
        <w:rPr>
          <w:rFonts w:hint="cs"/>
          <w:rtl/>
        </w:rPr>
        <w:t xml:space="preserve"> לאכול בתרומתן, או שאין מחלוקת </w:t>
      </w:r>
      <w:proofErr w:type="spellStart"/>
      <w:r>
        <w:rPr>
          <w:rFonts w:hint="cs"/>
          <w:rtl/>
        </w:rPr>
        <w:t>דאידי</w:t>
      </w:r>
      <w:proofErr w:type="spellEnd"/>
      <w:r>
        <w:rPr>
          <w:rFonts w:hint="cs"/>
          <w:rtl/>
        </w:rPr>
        <w:t xml:space="preserve"> </w:t>
      </w:r>
      <w:proofErr w:type="spellStart"/>
      <w:r>
        <w:rPr>
          <w:rFonts w:hint="cs"/>
          <w:rtl/>
        </w:rPr>
        <w:t>ואידי</w:t>
      </w:r>
      <w:proofErr w:type="spellEnd"/>
      <w:r>
        <w:rPr>
          <w:rFonts w:hint="cs"/>
          <w:rtl/>
        </w:rPr>
        <w:t xml:space="preserve"> חד </w:t>
      </w:r>
      <w:proofErr w:type="spellStart"/>
      <w:r>
        <w:rPr>
          <w:rFonts w:hint="cs"/>
          <w:rtl/>
        </w:rPr>
        <w:t>שיעורא</w:t>
      </w:r>
      <w:proofErr w:type="spellEnd"/>
      <w:r>
        <w:rPr>
          <w:rFonts w:hint="cs"/>
          <w:rtl/>
        </w:rPr>
        <w:t xml:space="preserve"> הוא. </w:t>
      </w:r>
    </w:p>
    <w:p w:rsidR="008654B7" w:rsidRDefault="008654B7" w:rsidP="008654B7">
      <w:pPr>
        <w:rPr>
          <w:rFonts w:hint="cs"/>
          <w:rtl/>
        </w:rPr>
      </w:pPr>
    </w:p>
    <w:p w:rsidR="008654B7" w:rsidRDefault="008654B7" w:rsidP="008654B7">
      <w:pPr>
        <w:rPr>
          <w:rFonts w:hint="cs"/>
          <w:rtl/>
        </w:rPr>
      </w:pPr>
      <w:r>
        <w:rPr>
          <w:rFonts w:hint="cs"/>
          <w:rtl/>
        </w:rPr>
        <w:t xml:space="preserve">בסעיף א מניחה הגמרא שאין מחלוקת </w:t>
      </w:r>
      <w:proofErr w:type="spellStart"/>
      <w:r>
        <w:rPr>
          <w:rFonts w:hint="cs"/>
          <w:rtl/>
        </w:rPr>
        <w:t>ואידי</w:t>
      </w:r>
      <w:proofErr w:type="spellEnd"/>
      <w:r>
        <w:rPr>
          <w:rFonts w:hint="cs"/>
          <w:rtl/>
        </w:rPr>
        <w:t xml:space="preserve"> </w:t>
      </w:r>
      <w:proofErr w:type="spellStart"/>
      <w:r>
        <w:rPr>
          <w:rFonts w:hint="cs"/>
          <w:rtl/>
        </w:rPr>
        <w:t>ואידי</w:t>
      </w:r>
      <w:proofErr w:type="spellEnd"/>
      <w:r>
        <w:rPr>
          <w:rFonts w:hint="cs"/>
          <w:rtl/>
        </w:rPr>
        <w:t xml:space="preserve"> חד </w:t>
      </w:r>
      <w:proofErr w:type="spellStart"/>
      <w:r>
        <w:rPr>
          <w:rFonts w:hint="cs"/>
          <w:rtl/>
        </w:rPr>
        <w:t>שיעורא</w:t>
      </w:r>
      <w:proofErr w:type="spellEnd"/>
      <w:r>
        <w:rPr>
          <w:rFonts w:hint="cs"/>
          <w:rtl/>
        </w:rPr>
        <w:t xml:space="preserve"> הוא. </w:t>
      </w:r>
    </w:p>
    <w:p w:rsidR="008654B7" w:rsidRDefault="008654B7" w:rsidP="008654B7">
      <w:pPr>
        <w:rPr>
          <w:rFonts w:hint="cs"/>
          <w:rtl/>
        </w:rPr>
      </w:pPr>
    </w:p>
    <w:p w:rsidR="008654B7" w:rsidRDefault="008654B7" w:rsidP="008654B7">
      <w:pPr>
        <w:rPr>
          <w:rFonts w:hint="cs"/>
          <w:rtl/>
        </w:rPr>
      </w:pPr>
      <w:r>
        <w:rPr>
          <w:rFonts w:hint="cs"/>
          <w:rtl/>
        </w:rPr>
        <w:t xml:space="preserve">בסעיף ב מוכיחה הגמרא מברייתא [2] ששני שיעורים שונים הם. בברייתא זו נחלקו ר"מ וחכמים אם תחילת הזמן הוא משעה שבנ"א נכנסים לאוכל פתן בע"ש (ר"מ) או משעה </w:t>
      </w:r>
      <w:proofErr w:type="spellStart"/>
      <w:r>
        <w:rPr>
          <w:rFonts w:hint="cs"/>
          <w:rtl/>
        </w:rPr>
        <w:t>שהכהנים</w:t>
      </w:r>
      <w:proofErr w:type="spellEnd"/>
      <w:r>
        <w:rPr>
          <w:rFonts w:hint="cs"/>
          <w:rtl/>
        </w:rPr>
        <w:t xml:space="preserve"> </w:t>
      </w:r>
      <w:proofErr w:type="spellStart"/>
      <w:r>
        <w:rPr>
          <w:rFonts w:hint="cs"/>
          <w:rtl/>
        </w:rPr>
        <w:t>נכנסין</w:t>
      </w:r>
      <w:proofErr w:type="spellEnd"/>
      <w:r>
        <w:rPr>
          <w:rFonts w:hint="cs"/>
          <w:rtl/>
        </w:rPr>
        <w:t xml:space="preserve"> לאכול בתרומתן (חכמים). </w:t>
      </w:r>
    </w:p>
    <w:p w:rsidR="008654B7" w:rsidRDefault="008654B7" w:rsidP="008654B7">
      <w:pPr>
        <w:rPr>
          <w:rFonts w:hint="cs"/>
          <w:rtl/>
        </w:rPr>
      </w:pPr>
      <w:r>
        <w:rPr>
          <w:rFonts w:hint="cs"/>
          <w:rtl/>
        </w:rPr>
        <w:t>דרך ההוכחה היא על דרך השלילה. נציג את ההוכחה בדרך של טיעון:</w:t>
      </w:r>
    </w:p>
    <w:p w:rsidR="008654B7" w:rsidRDefault="008654B7" w:rsidP="008654B7">
      <w:pPr>
        <w:pStyle w:val="4"/>
        <w:rPr>
          <w:rFonts w:hint="cs"/>
          <w:rtl/>
        </w:rPr>
      </w:pPr>
      <w:r>
        <w:rPr>
          <w:rFonts w:hint="cs"/>
          <w:rtl/>
        </w:rPr>
        <w:t>טיעון 1: על דרך השלילה</w:t>
      </w:r>
    </w:p>
    <w:p w:rsidR="008654B7" w:rsidRDefault="008654B7" w:rsidP="008654B7">
      <w:pPr>
        <w:numPr>
          <w:ilvl w:val="0"/>
          <w:numId w:val="1"/>
        </w:numPr>
        <w:rPr>
          <w:rFonts w:hint="cs"/>
        </w:rPr>
      </w:pPr>
      <w:r>
        <w:rPr>
          <w:rFonts w:hint="cs"/>
          <w:rtl/>
        </w:rPr>
        <w:t xml:space="preserve">עני ובני אדם חד </w:t>
      </w:r>
      <w:proofErr w:type="spellStart"/>
      <w:r>
        <w:rPr>
          <w:rFonts w:hint="cs"/>
          <w:rtl/>
        </w:rPr>
        <w:t>שיעורא</w:t>
      </w:r>
      <w:proofErr w:type="spellEnd"/>
      <w:r>
        <w:rPr>
          <w:rFonts w:hint="cs"/>
          <w:rtl/>
        </w:rPr>
        <w:t xml:space="preserve"> הוא (הנחת </w:t>
      </w:r>
      <w:proofErr w:type="spellStart"/>
      <w:r>
        <w:rPr>
          <w:rFonts w:hint="cs"/>
          <w:rtl/>
        </w:rPr>
        <w:t>הסוגיא</w:t>
      </w:r>
      <w:proofErr w:type="spellEnd"/>
      <w:r>
        <w:rPr>
          <w:rFonts w:hint="cs"/>
          <w:rtl/>
        </w:rPr>
        <w:t xml:space="preserve"> בשלב זה)</w:t>
      </w:r>
    </w:p>
    <w:p w:rsidR="008654B7" w:rsidRDefault="008654B7" w:rsidP="008654B7">
      <w:pPr>
        <w:numPr>
          <w:ilvl w:val="0"/>
          <w:numId w:val="1"/>
        </w:numPr>
        <w:rPr>
          <w:rFonts w:hint="cs"/>
        </w:rPr>
      </w:pPr>
      <w:r>
        <w:rPr>
          <w:rFonts w:hint="cs"/>
          <w:rtl/>
        </w:rPr>
        <w:t xml:space="preserve">עני וכהן חד </w:t>
      </w:r>
      <w:proofErr w:type="spellStart"/>
      <w:r>
        <w:rPr>
          <w:rFonts w:hint="cs"/>
          <w:rtl/>
        </w:rPr>
        <w:t>שיעורא</w:t>
      </w:r>
      <w:proofErr w:type="spellEnd"/>
      <w:r>
        <w:rPr>
          <w:rFonts w:hint="cs"/>
          <w:rtl/>
        </w:rPr>
        <w:t xml:space="preserve"> הוא (הנחה לצורך שלילה)</w:t>
      </w:r>
    </w:p>
    <w:p w:rsidR="008654B7" w:rsidRDefault="008654B7" w:rsidP="008654B7">
      <w:pPr>
        <w:numPr>
          <w:ilvl w:val="0"/>
          <w:numId w:val="1"/>
        </w:numPr>
        <w:rPr>
          <w:rFonts w:hint="cs"/>
          <w:rtl/>
        </w:rPr>
      </w:pPr>
      <w:r>
        <w:rPr>
          <w:rFonts w:hint="cs"/>
          <w:rtl/>
        </w:rPr>
        <w:t xml:space="preserve">מסקנה: כהן ובנ"א חד </w:t>
      </w:r>
      <w:proofErr w:type="spellStart"/>
      <w:r>
        <w:rPr>
          <w:rFonts w:hint="cs"/>
          <w:rtl/>
        </w:rPr>
        <w:t>שיעורא</w:t>
      </w:r>
      <w:proofErr w:type="spellEnd"/>
      <w:r>
        <w:rPr>
          <w:rFonts w:hint="cs"/>
          <w:rtl/>
        </w:rPr>
        <w:t xml:space="preserve"> הוא</w:t>
      </w:r>
    </w:p>
    <w:p w:rsidR="008654B7" w:rsidRDefault="008654B7" w:rsidP="008654B7">
      <w:pPr>
        <w:rPr>
          <w:rFonts w:hint="cs"/>
          <w:rtl/>
        </w:rPr>
      </w:pPr>
      <w:r>
        <w:rPr>
          <w:rFonts w:hint="cs"/>
          <w:rtl/>
        </w:rPr>
        <w:t xml:space="preserve">טיעון זה אינו נכון כיוון שהמסקנה סותרת את ברייתא [2] שמהמחלוקת שבה נובע שכהן ובנ"א לאו חד </w:t>
      </w:r>
      <w:proofErr w:type="spellStart"/>
      <w:r>
        <w:rPr>
          <w:rFonts w:hint="cs"/>
          <w:rtl/>
        </w:rPr>
        <w:t>שיעורא</w:t>
      </w:r>
      <w:proofErr w:type="spellEnd"/>
      <w:r>
        <w:rPr>
          <w:rFonts w:hint="cs"/>
          <w:rtl/>
        </w:rPr>
        <w:t xml:space="preserve">, ומשלילת המסקנה רוצה הגמרא להוכיח שההנחה </w:t>
      </w:r>
      <w:proofErr w:type="spellStart"/>
      <w:r>
        <w:rPr>
          <w:rFonts w:hint="cs"/>
          <w:rtl/>
        </w:rPr>
        <w:t>השניה</w:t>
      </w:r>
      <w:proofErr w:type="spellEnd"/>
      <w:r>
        <w:rPr>
          <w:rFonts w:hint="cs"/>
          <w:rtl/>
        </w:rPr>
        <w:t xml:space="preserve"> אינה נכונה. </w:t>
      </w:r>
    </w:p>
    <w:p w:rsidR="008654B7" w:rsidRDefault="008654B7" w:rsidP="008654B7">
      <w:pPr>
        <w:rPr>
          <w:rFonts w:hint="cs"/>
          <w:rtl/>
        </w:rPr>
      </w:pPr>
      <w:r>
        <w:rPr>
          <w:rFonts w:hint="cs"/>
          <w:rtl/>
        </w:rPr>
        <w:t>כעת נציג את אותה הוכחה על דרך החיוב:</w:t>
      </w:r>
    </w:p>
    <w:p w:rsidR="008654B7" w:rsidRDefault="008654B7" w:rsidP="008654B7">
      <w:pPr>
        <w:pStyle w:val="4"/>
        <w:rPr>
          <w:rFonts w:hint="cs"/>
          <w:rtl/>
        </w:rPr>
      </w:pPr>
      <w:r>
        <w:rPr>
          <w:rFonts w:hint="cs"/>
          <w:rtl/>
        </w:rPr>
        <w:t>טיעון 2: על דרך החיוב</w:t>
      </w:r>
    </w:p>
    <w:p w:rsidR="008654B7" w:rsidRDefault="008654B7" w:rsidP="008654B7">
      <w:pPr>
        <w:numPr>
          <w:ilvl w:val="0"/>
          <w:numId w:val="2"/>
        </w:numPr>
        <w:rPr>
          <w:rFonts w:hint="cs"/>
        </w:rPr>
      </w:pPr>
      <w:r>
        <w:rPr>
          <w:rFonts w:hint="cs"/>
          <w:rtl/>
        </w:rPr>
        <w:t xml:space="preserve">עני ובנ"א חד </w:t>
      </w:r>
      <w:proofErr w:type="spellStart"/>
      <w:r>
        <w:rPr>
          <w:rFonts w:hint="cs"/>
          <w:rtl/>
        </w:rPr>
        <w:t>שיעורא</w:t>
      </w:r>
      <w:proofErr w:type="spellEnd"/>
      <w:r>
        <w:rPr>
          <w:rFonts w:hint="cs"/>
          <w:rtl/>
        </w:rPr>
        <w:t xml:space="preserve"> הוא (הנחת </w:t>
      </w:r>
      <w:proofErr w:type="spellStart"/>
      <w:r>
        <w:rPr>
          <w:rFonts w:hint="cs"/>
          <w:rtl/>
        </w:rPr>
        <w:t>הסוגיא</w:t>
      </w:r>
      <w:proofErr w:type="spellEnd"/>
      <w:r>
        <w:rPr>
          <w:rFonts w:hint="cs"/>
          <w:rtl/>
        </w:rPr>
        <w:t xml:space="preserve"> בשלב זה)</w:t>
      </w:r>
    </w:p>
    <w:p w:rsidR="008654B7" w:rsidRDefault="008654B7" w:rsidP="008654B7">
      <w:pPr>
        <w:numPr>
          <w:ilvl w:val="0"/>
          <w:numId w:val="2"/>
        </w:numPr>
        <w:rPr>
          <w:rFonts w:hint="cs"/>
        </w:rPr>
      </w:pPr>
      <w:r>
        <w:rPr>
          <w:rFonts w:hint="cs"/>
          <w:rtl/>
        </w:rPr>
        <w:t xml:space="preserve">כהן ובנ"א תרי שיעורי </w:t>
      </w:r>
      <w:proofErr w:type="spellStart"/>
      <w:r>
        <w:rPr>
          <w:rFonts w:hint="cs"/>
          <w:rtl/>
        </w:rPr>
        <w:t>נינהו</w:t>
      </w:r>
      <w:proofErr w:type="spellEnd"/>
      <w:r>
        <w:rPr>
          <w:rFonts w:hint="cs"/>
          <w:rtl/>
        </w:rPr>
        <w:t xml:space="preserve"> (ברייתא [2])</w:t>
      </w:r>
    </w:p>
    <w:p w:rsidR="008654B7" w:rsidRDefault="008654B7" w:rsidP="008654B7">
      <w:pPr>
        <w:numPr>
          <w:ilvl w:val="0"/>
          <w:numId w:val="2"/>
        </w:numPr>
        <w:rPr>
          <w:rFonts w:hint="cs"/>
        </w:rPr>
      </w:pPr>
      <w:r>
        <w:rPr>
          <w:rFonts w:hint="cs"/>
          <w:rtl/>
        </w:rPr>
        <w:t xml:space="preserve">מסקנה: עני וכהן תרי שיעורי </w:t>
      </w:r>
      <w:proofErr w:type="spellStart"/>
      <w:r>
        <w:rPr>
          <w:rFonts w:hint="cs"/>
          <w:rtl/>
        </w:rPr>
        <w:t>נינהו</w:t>
      </w:r>
      <w:proofErr w:type="spellEnd"/>
    </w:p>
    <w:p w:rsidR="008654B7" w:rsidRDefault="008654B7" w:rsidP="008654B7">
      <w:pPr>
        <w:rPr>
          <w:rFonts w:hint="cs"/>
          <w:rtl/>
        </w:rPr>
      </w:pPr>
    </w:p>
    <w:p w:rsidR="008654B7" w:rsidRDefault="008654B7" w:rsidP="008654B7">
      <w:pPr>
        <w:rPr>
          <w:rFonts w:hint="cs"/>
          <w:rtl/>
        </w:rPr>
      </w:pPr>
      <w:r>
        <w:rPr>
          <w:rFonts w:hint="cs"/>
          <w:rtl/>
        </w:rPr>
        <w:t>[הערה: ניתן לראות שההבדל בין שני הטיעונים הוא ששלבים ב-ג החליפו הן את תוכנם (טענות הפוכות) והן את מיקומם. כך היא דרכו של טיעון על דרך השלילה: נוטלים את ההנחה אותה רוצים להוכיח, הופכים אותה, ומראים כיצד נובעת ממנה מסקנה לא אפשרית. בדרך זו שלילת הטענה אותה רוצים להוכיח מופיעה כהנחה בטיעון. אם נציג אותו טיעון עצמו על דרך החיוב הרי שמהעובדה שהמסקנה לא אפשרית נובע כי שלילת ההנחה אינה נכונה, ומכאן שההנחה עצמה היא הנכונה. כך אם כן ניתן להציג כל הוכחה על דרך השלילה גם כהוכחה על דרך החיוב]</w:t>
      </w:r>
    </w:p>
    <w:p w:rsidR="008654B7" w:rsidRDefault="008654B7" w:rsidP="008654B7">
      <w:pPr>
        <w:rPr>
          <w:rFonts w:hint="cs"/>
          <w:rtl/>
        </w:rPr>
      </w:pPr>
      <w:r>
        <w:rPr>
          <w:rFonts w:hint="cs"/>
          <w:rtl/>
        </w:rPr>
        <w:t>מכל מקום, כיוון שהוכחה זו בנויה על טיעון יש הנחות נוספות שיכולות לגרום למסקנה הלא אפשרית, כפי שקורה במקרה שלפנינו, בסעיף הבא.</w:t>
      </w:r>
    </w:p>
    <w:p w:rsidR="008654B7" w:rsidRDefault="008654B7" w:rsidP="008654B7">
      <w:pPr>
        <w:rPr>
          <w:rFonts w:hint="cs"/>
          <w:rtl/>
        </w:rPr>
      </w:pPr>
    </w:p>
    <w:p w:rsidR="008654B7" w:rsidRDefault="008654B7" w:rsidP="008654B7">
      <w:pPr>
        <w:rPr>
          <w:rFonts w:hint="cs"/>
          <w:rtl/>
        </w:rPr>
      </w:pPr>
      <w:r>
        <w:rPr>
          <w:rFonts w:hint="cs"/>
          <w:rtl/>
        </w:rPr>
        <w:t xml:space="preserve">בסעיף ג </w:t>
      </w:r>
      <w:proofErr w:type="spellStart"/>
      <w:r>
        <w:rPr>
          <w:rFonts w:hint="cs"/>
          <w:rtl/>
        </w:rPr>
        <w:t>פורכת</w:t>
      </w:r>
      <w:proofErr w:type="spellEnd"/>
      <w:r>
        <w:rPr>
          <w:rFonts w:hint="cs"/>
          <w:rtl/>
        </w:rPr>
        <w:t xml:space="preserve"> הגמרא את ההוכחה שבסעיף הקודם על ידי שלילת ההנחה הראשונה בטיעון. אכן המסקנה של טיעון 1 אינה נכונה אך לא בגלל שלילתה של ההנחה  </w:t>
      </w:r>
      <w:proofErr w:type="spellStart"/>
      <w:r>
        <w:rPr>
          <w:rFonts w:hint="cs"/>
          <w:rtl/>
        </w:rPr>
        <w:t>השניה</w:t>
      </w:r>
      <w:proofErr w:type="spellEnd"/>
      <w:r>
        <w:rPr>
          <w:rFonts w:hint="cs"/>
          <w:rtl/>
        </w:rPr>
        <w:t xml:space="preserve"> אלא בגלל שלילתה של ההנחה הראשונה: עני ובנ"א תרי שיעורי </w:t>
      </w:r>
      <w:proofErr w:type="spellStart"/>
      <w:r>
        <w:rPr>
          <w:rFonts w:hint="cs"/>
          <w:rtl/>
        </w:rPr>
        <w:t>נינהו</w:t>
      </w:r>
      <w:proofErr w:type="spellEnd"/>
      <w:r>
        <w:rPr>
          <w:rFonts w:hint="cs"/>
          <w:rtl/>
        </w:rPr>
        <w:t xml:space="preserve">. ומכאן הצד השני של המטבע: גם טיעון 2 אינו נכון כיוון שהנחה א (ההנחה הזהה היחידה בשני הטיעונים) עדיין אינה נכונה. עלה בדינו: אמנם ניתן להוכיח מברייתא [2] שכהן ובנ"א לאו חד </w:t>
      </w:r>
      <w:proofErr w:type="spellStart"/>
      <w:r>
        <w:rPr>
          <w:rFonts w:hint="cs"/>
          <w:rtl/>
        </w:rPr>
        <w:t>שיעורא</w:t>
      </w:r>
      <w:proofErr w:type="spellEnd"/>
      <w:r>
        <w:rPr>
          <w:rFonts w:hint="cs"/>
          <w:rtl/>
        </w:rPr>
        <w:t xml:space="preserve"> הוא, אך מכיוון שעני ובנ"א </w:t>
      </w:r>
      <w:r>
        <w:rPr>
          <w:rFonts w:hint="cs"/>
          <w:rtl/>
        </w:rPr>
        <w:lastRenderedPageBreak/>
        <w:t xml:space="preserve">לאו חד </w:t>
      </w:r>
      <w:proofErr w:type="spellStart"/>
      <w:r>
        <w:rPr>
          <w:rFonts w:hint="cs"/>
          <w:rtl/>
        </w:rPr>
        <w:t>שיעורא</w:t>
      </w:r>
      <w:proofErr w:type="spellEnd"/>
      <w:r>
        <w:rPr>
          <w:rFonts w:hint="cs"/>
          <w:rtl/>
        </w:rPr>
        <w:t xml:space="preserve"> הוא, לא ניתן להוכיח מהברייתא שעני וכהן לאו חד </w:t>
      </w:r>
      <w:proofErr w:type="spellStart"/>
      <w:r>
        <w:rPr>
          <w:rFonts w:hint="cs"/>
          <w:rtl/>
        </w:rPr>
        <w:t>שיעורא</w:t>
      </w:r>
      <w:proofErr w:type="spellEnd"/>
      <w:r>
        <w:rPr>
          <w:rFonts w:hint="cs"/>
          <w:rtl/>
        </w:rPr>
        <w:t xml:space="preserve"> הוא. </w:t>
      </w:r>
    </w:p>
    <w:p w:rsidR="008654B7" w:rsidRDefault="008654B7" w:rsidP="008654B7">
      <w:pPr>
        <w:rPr>
          <w:rFonts w:hint="cs"/>
          <w:rtl/>
        </w:rPr>
      </w:pPr>
    </w:p>
    <w:p w:rsidR="008654B7" w:rsidRDefault="008654B7" w:rsidP="008654B7">
      <w:pPr>
        <w:rPr>
          <w:rFonts w:hint="cs"/>
          <w:rtl/>
        </w:rPr>
      </w:pPr>
      <w:r>
        <w:rPr>
          <w:rFonts w:hint="cs"/>
          <w:rtl/>
        </w:rPr>
        <w:t xml:space="preserve">בסעיף ד מוכיחה הגמרא מחדש את הטענה שעני וכהן לאו חד </w:t>
      </w:r>
      <w:proofErr w:type="spellStart"/>
      <w:r>
        <w:rPr>
          <w:rFonts w:hint="cs"/>
          <w:rtl/>
        </w:rPr>
        <w:t>שיעורא</w:t>
      </w:r>
      <w:proofErr w:type="spellEnd"/>
      <w:r>
        <w:rPr>
          <w:rFonts w:hint="cs"/>
          <w:rtl/>
        </w:rPr>
        <w:t xml:space="preserve"> הוא מברייתא [3], שבה נחלקו רבי יהושע ורבי </w:t>
      </w:r>
      <w:proofErr w:type="spellStart"/>
      <w:r>
        <w:rPr>
          <w:rFonts w:hint="cs"/>
          <w:rtl/>
        </w:rPr>
        <w:t>חנינא</w:t>
      </w:r>
      <w:proofErr w:type="spellEnd"/>
      <w:r>
        <w:rPr>
          <w:rFonts w:hint="cs"/>
          <w:rtl/>
        </w:rPr>
        <w:t xml:space="preserve"> בשני שיעורים אלו, ומכאן ששני שיעורים הם. </w:t>
      </w:r>
    </w:p>
    <w:p w:rsidR="008654B7" w:rsidRDefault="008654B7" w:rsidP="008654B7">
      <w:pPr>
        <w:rPr>
          <w:rFonts w:hint="cs"/>
          <w:rtl/>
        </w:rPr>
      </w:pPr>
    </w:p>
    <w:p w:rsidR="008654B7" w:rsidRDefault="008654B7" w:rsidP="008654B7">
      <w:pPr>
        <w:rPr>
          <w:rFonts w:hint="cs"/>
          <w:rtl/>
        </w:rPr>
      </w:pPr>
      <w:r>
        <w:rPr>
          <w:rFonts w:hint="cs"/>
          <w:rtl/>
        </w:rPr>
        <w:t xml:space="preserve">אמנם </w:t>
      </w:r>
      <w:proofErr w:type="spellStart"/>
      <w:r>
        <w:rPr>
          <w:rFonts w:hint="cs"/>
          <w:rtl/>
        </w:rPr>
        <w:t>בבברייתא</w:t>
      </w:r>
      <w:proofErr w:type="spellEnd"/>
      <w:r>
        <w:rPr>
          <w:rFonts w:hint="cs"/>
          <w:rtl/>
        </w:rPr>
        <w:t xml:space="preserve"> זו מופיע שוב ר"מ שקובע את תחילת הזמן לשעה שבנ"א נכנסים להסב, ועל פי אחד הפירושים ברש"י מדובר על ע"ש, דהיינו כשיטת ר"מ בברייתא [2], ואם כן ניתן לשלול כעת בוודאות את ההוכחה מסעיף ב, שהרי מברייתא זו עולה שאכן עני ובנ"א לאו חד </w:t>
      </w:r>
      <w:proofErr w:type="spellStart"/>
      <w:r>
        <w:rPr>
          <w:rFonts w:hint="cs"/>
          <w:rtl/>
        </w:rPr>
        <w:t>שיעורא</w:t>
      </w:r>
      <w:proofErr w:type="spellEnd"/>
      <w:r>
        <w:rPr>
          <w:rFonts w:hint="cs"/>
          <w:rtl/>
        </w:rPr>
        <w:t xml:space="preserve"> הוא כפי שהניחה הגמרא בסעיף ג. אלא שבעוד שבסעיף ג טענה זו שהגמרא </w:t>
      </w:r>
      <w:proofErr w:type="spellStart"/>
      <w:r>
        <w:rPr>
          <w:rFonts w:hint="cs"/>
          <w:rtl/>
        </w:rPr>
        <w:t>היתה</w:t>
      </w:r>
      <w:proofErr w:type="spellEnd"/>
      <w:r>
        <w:rPr>
          <w:rFonts w:hint="cs"/>
          <w:rtl/>
        </w:rPr>
        <w:t xml:space="preserve"> רק כשלילת ההוכחה של סעיף ב, ולא כטענה הכרחית כעת הופכת טענה זו להיות מוכרחת. </w:t>
      </w:r>
    </w:p>
    <w:p w:rsidR="008654B7" w:rsidRDefault="008654B7" w:rsidP="008654B7">
      <w:pPr>
        <w:rPr>
          <w:rFonts w:hint="cs"/>
          <w:rtl/>
        </w:rPr>
      </w:pPr>
    </w:p>
    <w:p w:rsidR="008654B7" w:rsidRDefault="008654B7" w:rsidP="008654B7">
      <w:pPr>
        <w:rPr>
          <w:rFonts w:hint="cs"/>
          <w:rtl/>
        </w:rPr>
      </w:pPr>
      <w:r>
        <w:rPr>
          <w:rFonts w:hint="cs"/>
          <w:rtl/>
        </w:rPr>
        <w:t xml:space="preserve">ניתן לסכם: מברייתא [2] עולה שכהן ובנ"א לאו חד </w:t>
      </w:r>
      <w:proofErr w:type="spellStart"/>
      <w:r>
        <w:rPr>
          <w:rFonts w:hint="cs"/>
          <w:rtl/>
        </w:rPr>
        <w:t>שיעורא</w:t>
      </w:r>
      <w:proofErr w:type="spellEnd"/>
      <w:r>
        <w:rPr>
          <w:rFonts w:hint="cs"/>
          <w:rtl/>
        </w:rPr>
        <w:t xml:space="preserve"> הוא, אך לא ניתן להוכיח ממנה שגם עני וכהן לאו חד </w:t>
      </w:r>
      <w:proofErr w:type="spellStart"/>
      <w:r>
        <w:rPr>
          <w:rFonts w:hint="cs"/>
          <w:rtl/>
        </w:rPr>
        <w:t>שיעורא</w:t>
      </w:r>
      <w:proofErr w:type="spellEnd"/>
      <w:r>
        <w:rPr>
          <w:rFonts w:hint="cs"/>
          <w:rtl/>
        </w:rPr>
        <w:t xml:space="preserve"> הוא, שהרי מהברייתא [3] עולה שעני ובנ"א לאו חד </w:t>
      </w:r>
      <w:proofErr w:type="spellStart"/>
      <w:r>
        <w:rPr>
          <w:rFonts w:hint="cs"/>
          <w:rtl/>
        </w:rPr>
        <w:t>שיעורא</w:t>
      </w:r>
      <w:proofErr w:type="spellEnd"/>
      <w:r>
        <w:rPr>
          <w:rFonts w:hint="cs"/>
          <w:rtl/>
        </w:rPr>
        <w:t xml:space="preserve"> הוא. </w:t>
      </w:r>
    </w:p>
    <w:p w:rsidR="008654B7" w:rsidRDefault="008654B7" w:rsidP="008654B7">
      <w:pPr>
        <w:rPr>
          <w:rFonts w:hint="cs"/>
          <w:rtl/>
        </w:rPr>
      </w:pPr>
      <w:r>
        <w:rPr>
          <w:rFonts w:hint="cs"/>
          <w:rtl/>
        </w:rPr>
        <w:t xml:space="preserve">אמנם כיוון שבברייתא [3] עצמה מופיעה מחלוקת בין השיעור של עני לשיעור של כהן מוכח אם כן באופן ישיר שעני וכהן לאו חד </w:t>
      </w:r>
      <w:proofErr w:type="spellStart"/>
      <w:r>
        <w:rPr>
          <w:rFonts w:hint="cs"/>
          <w:rtl/>
        </w:rPr>
        <w:t>שיעורא</w:t>
      </w:r>
      <w:proofErr w:type="spellEnd"/>
      <w:r>
        <w:rPr>
          <w:rFonts w:hint="cs"/>
          <w:rtl/>
        </w:rPr>
        <w:t xml:space="preserve"> הוא. </w:t>
      </w:r>
    </w:p>
    <w:p w:rsidR="008654B7" w:rsidRDefault="008654B7" w:rsidP="008654B7">
      <w:pPr>
        <w:rPr>
          <w:rFonts w:hint="cs"/>
          <w:rtl/>
        </w:rPr>
      </w:pPr>
      <w:r>
        <w:rPr>
          <w:rFonts w:hint="cs"/>
          <w:rtl/>
        </w:rPr>
        <w:t xml:space="preserve">תחת ההוכחה העקיפה שנשללה, עלתה וגם נצבה ההוכחה הישירה. </w:t>
      </w:r>
    </w:p>
    <w:p w:rsidR="007666F3" w:rsidRDefault="007666F3"/>
    <w:sectPr w:rsidR="007666F3" w:rsidSect="008654B7">
      <w:pgSz w:w="11906" w:h="16838"/>
      <w:pgMar w:top="1985" w:right="2268" w:bottom="1985" w:left="226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03A1"/>
    <w:multiLevelType w:val="hybridMultilevel"/>
    <w:tmpl w:val="145C5208"/>
    <w:lvl w:ilvl="0" w:tplc="9D7407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967F1"/>
    <w:multiLevelType w:val="hybridMultilevel"/>
    <w:tmpl w:val="38B25B14"/>
    <w:lvl w:ilvl="0" w:tplc="25A232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B7"/>
    <w:rsid w:val="00672965"/>
    <w:rsid w:val="007666F3"/>
    <w:rsid w:val="008654B7"/>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B7"/>
    <w:pPr>
      <w:bidi/>
      <w:spacing w:line="300" w:lineRule="exact"/>
    </w:pPr>
    <w:rPr>
      <w:rFonts w:ascii="Times New Roman" w:eastAsia="Times New Roman" w:hAnsi="Times New Roman" w:cs="David"/>
      <w:sz w:val="24"/>
      <w:szCs w:val="24"/>
    </w:rPr>
  </w:style>
  <w:style w:type="paragraph" w:styleId="2">
    <w:name w:val="heading 2"/>
    <w:basedOn w:val="a"/>
    <w:next w:val="a"/>
    <w:link w:val="20"/>
    <w:qFormat/>
    <w:rsid w:val="008654B7"/>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8654B7"/>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8654B7"/>
    <w:rPr>
      <w:rFonts w:ascii="Arial" w:eastAsia="Times New Roman" w:hAnsi="Arial" w:cs="David"/>
      <w:b/>
      <w:bCs/>
      <w:i/>
      <w:iCs/>
      <w:sz w:val="28"/>
      <w:szCs w:val="28"/>
    </w:rPr>
  </w:style>
  <w:style w:type="character" w:customStyle="1" w:styleId="40">
    <w:name w:val="כותרת 4 תו"/>
    <w:basedOn w:val="a0"/>
    <w:link w:val="4"/>
    <w:rsid w:val="008654B7"/>
    <w:rPr>
      <w:rFonts w:ascii="Times New Roman" w:eastAsia="Times New Roman" w:hAnsi="Times New Roman" w:cs="David"/>
      <w:i/>
      <w:iCs/>
      <w:sz w:val="24"/>
      <w:szCs w:val="24"/>
    </w:rPr>
  </w:style>
  <w:style w:type="paragraph" w:customStyle="1" w:styleId="a3">
    <w:name w:val="צטוט"/>
    <w:basedOn w:val="a"/>
    <w:autoRedefine/>
    <w:rsid w:val="008654B7"/>
    <w:pPr>
      <w:ind w:left="680" w:hanging="340"/>
    </w:pPr>
    <w:rPr>
      <w:rFonts w:cs="Guttman-Toledo"/>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4B7"/>
    <w:pPr>
      <w:bidi/>
      <w:spacing w:line="300" w:lineRule="exact"/>
    </w:pPr>
    <w:rPr>
      <w:rFonts w:ascii="Times New Roman" w:eastAsia="Times New Roman" w:hAnsi="Times New Roman" w:cs="David"/>
      <w:sz w:val="24"/>
      <w:szCs w:val="24"/>
    </w:rPr>
  </w:style>
  <w:style w:type="paragraph" w:styleId="2">
    <w:name w:val="heading 2"/>
    <w:basedOn w:val="a"/>
    <w:next w:val="a"/>
    <w:link w:val="20"/>
    <w:qFormat/>
    <w:rsid w:val="008654B7"/>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8654B7"/>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8654B7"/>
    <w:rPr>
      <w:rFonts w:ascii="Arial" w:eastAsia="Times New Roman" w:hAnsi="Arial" w:cs="David"/>
      <w:b/>
      <w:bCs/>
      <w:i/>
      <w:iCs/>
      <w:sz w:val="28"/>
      <w:szCs w:val="28"/>
    </w:rPr>
  </w:style>
  <w:style w:type="character" w:customStyle="1" w:styleId="40">
    <w:name w:val="כותרת 4 תו"/>
    <w:basedOn w:val="a0"/>
    <w:link w:val="4"/>
    <w:rsid w:val="008654B7"/>
    <w:rPr>
      <w:rFonts w:ascii="Times New Roman" w:eastAsia="Times New Roman" w:hAnsi="Times New Roman" w:cs="David"/>
      <w:i/>
      <w:iCs/>
      <w:sz w:val="24"/>
      <w:szCs w:val="24"/>
    </w:rPr>
  </w:style>
  <w:style w:type="paragraph" w:customStyle="1" w:styleId="a3">
    <w:name w:val="צטוט"/>
    <w:basedOn w:val="a"/>
    <w:autoRedefine/>
    <w:rsid w:val="008654B7"/>
    <w:pPr>
      <w:ind w:left="680" w:hanging="340"/>
    </w:pPr>
    <w:rPr>
      <w:rFonts w:cs="Guttman-Toledo"/>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4315</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2012-08-02T07:34:00Z</dcterms:created>
  <dcterms:modified xsi:type="dcterms:W3CDTF">2012-08-02T07:34:00Z</dcterms:modified>
</cp:coreProperties>
</file>