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BD" w:rsidRDefault="004E34BD" w:rsidP="004E34BD">
      <w:pPr>
        <w:pStyle w:val="2"/>
        <w:rPr>
          <w:rFonts w:hint="cs"/>
          <w:rtl/>
        </w:rPr>
      </w:pPr>
      <w:bookmarkStart w:id="0" w:name="_Toc332184772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סימניברכות\*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 xml:space="preserve">. בדין תחילת זמן ק"ש של ערבית, ג ע"א </w:t>
      </w:r>
      <w:r>
        <w:rPr>
          <w:rtl/>
        </w:rPr>
        <w:t>–</w:t>
      </w:r>
      <w:r>
        <w:rPr>
          <w:rFonts w:hint="cs"/>
          <w:rtl/>
        </w:rPr>
        <w:t xml:space="preserve"> ע"ב</w:t>
      </w:r>
      <w:bookmarkEnd w:id="0"/>
    </w:p>
    <w:p w:rsidR="004E34BD" w:rsidRDefault="004E34BD" w:rsidP="004E34B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תנו רבנן, מפני שלשה דברים אין </w:t>
      </w:r>
      <w:proofErr w:type="spellStart"/>
      <w:r>
        <w:rPr>
          <w:rtl/>
        </w:rPr>
        <w:t>נכנסין</w:t>
      </w:r>
      <w:proofErr w:type="spellEnd"/>
      <w:r>
        <w:rPr>
          <w:rtl/>
        </w:rPr>
        <w:t xml:space="preserve"> לחורבה: מפני חשד, מפני המפולת ומפני </w:t>
      </w:r>
      <w:proofErr w:type="spellStart"/>
      <w:r>
        <w:rPr>
          <w:rtl/>
        </w:rPr>
        <w:t>המזיקין</w:t>
      </w:r>
      <w:proofErr w:type="spellEnd"/>
      <w:r>
        <w:rPr>
          <w:rtl/>
        </w:rPr>
        <w:t xml:space="preserve">. </w:t>
      </w:r>
    </w:p>
    <w:p w:rsidR="004E34BD" w:rsidRDefault="004E34BD" w:rsidP="004E34B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מפני חשד - </w:t>
      </w:r>
      <w:proofErr w:type="spellStart"/>
      <w:r>
        <w:rPr>
          <w:rtl/>
        </w:rPr>
        <w:t>ותיפוק</w:t>
      </w:r>
      <w:proofErr w:type="spellEnd"/>
      <w:r>
        <w:rPr>
          <w:rtl/>
        </w:rPr>
        <w:t xml:space="preserve"> ליה משום מפולת!</w:t>
      </w:r>
      <w:r w:rsidRPr="00820AFA">
        <w:rPr>
          <w:rtl/>
        </w:rPr>
        <w:t xml:space="preserve"> </w:t>
      </w:r>
      <w:proofErr w:type="spellStart"/>
      <w:r>
        <w:rPr>
          <w:rtl/>
        </w:rPr>
        <w:t>בחדתי</w:t>
      </w:r>
      <w:proofErr w:type="spellEnd"/>
      <w:r>
        <w:rPr>
          <w:rtl/>
        </w:rPr>
        <w:t xml:space="preserve">. - </w:t>
      </w:r>
      <w:proofErr w:type="spellStart"/>
      <w:r>
        <w:rPr>
          <w:rtl/>
        </w:rPr>
        <w:t>ותיפוק</w:t>
      </w:r>
      <w:proofErr w:type="spellEnd"/>
      <w:r>
        <w:rPr>
          <w:rtl/>
        </w:rPr>
        <w:t xml:space="preserve"> ליה משום </w:t>
      </w:r>
      <w:proofErr w:type="spellStart"/>
      <w:r>
        <w:rPr>
          <w:rtl/>
        </w:rPr>
        <w:t>מזיקין</w:t>
      </w:r>
      <w:proofErr w:type="spellEnd"/>
      <w:r>
        <w:rPr>
          <w:rtl/>
        </w:rPr>
        <w:t xml:space="preserve"> - בתרי. אי בתרי - חשד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ליכא</w:t>
      </w:r>
      <w:proofErr w:type="spellEnd"/>
      <w:r>
        <w:rPr>
          <w:rtl/>
        </w:rPr>
        <w:t xml:space="preserve">! - בתרי ופריצי. </w:t>
      </w:r>
    </w:p>
    <w:p w:rsidR="004E34BD" w:rsidRDefault="004E34BD" w:rsidP="004E34B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מפני המפולת - </w:t>
      </w:r>
      <w:proofErr w:type="spellStart"/>
      <w:r>
        <w:rPr>
          <w:rtl/>
        </w:rPr>
        <w:t>ותיפוק</w:t>
      </w:r>
      <w:proofErr w:type="spellEnd"/>
      <w:r>
        <w:rPr>
          <w:rtl/>
        </w:rPr>
        <w:t xml:space="preserve"> ליה משום חשד </w:t>
      </w:r>
      <w:proofErr w:type="spellStart"/>
      <w:r>
        <w:rPr>
          <w:rtl/>
        </w:rPr>
        <w:t>ומזיקין</w:t>
      </w:r>
      <w:proofErr w:type="spellEnd"/>
      <w:r>
        <w:rPr>
          <w:rtl/>
        </w:rPr>
        <w:t xml:space="preserve">! - בתרי וכשרי. </w:t>
      </w:r>
    </w:p>
    <w:p w:rsidR="004E34BD" w:rsidRDefault="004E34BD" w:rsidP="004E34BD">
      <w:pPr>
        <w:pStyle w:val="a3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מפני </w:t>
      </w:r>
      <w:proofErr w:type="spellStart"/>
      <w:r>
        <w:rPr>
          <w:rtl/>
        </w:rPr>
        <w:t>המזיקין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ותיפוק</w:t>
      </w:r>
      <w:proofErr w:type="spellEnd"/>
      <w:r>
        <w:rPr>
          <w:rtl/>
        </w:rPr>
        <w:t xml:space="preserve"> ליה מפני חשד ומפולת! - בחורבה חדתי, ובתרי וכשרי. - אי בתרי - </w:t>
      </w:r>
      <w:proofErr w:type="spellStart"/>
      <w:r>
        <w:rPr>
          <w:rtl/>
        </w:rPr>
        <w:t>מזיקין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ליכא</w:t>
      </w:r>
      <w:proofErr w:type="spellEnd"/>
      <w:r>
        <w:rPr>
          <w:rtl/>
        </w:rPr>
        <w:t xml:space="preserve">! - במקומן </w:t>
      </w:r>
      <w:proofErr w:type="spellStart"/>
      <w:r>
        <w:rPr>
          <w:rtl/>
        </w:rPr>
        <w:t>חיישינן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ואיבעית</w:t>
      </w:r>
      <w:proofErr w:type="spellEnd"/>
      <w:r>
        <w:rPr>
          <w:rtl/>
        </w:rPr>
        <w:t xml:space="preserve"> אימא: לעולם בחד, ובחורבה חדתי </w:t>
      </w:r>
      <w:proofErr w:type="spellStart"/>
      <w:r>
        <w:rPr>
          <w:rtl/>
        </w:rPr>
        <w:t>דקאי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בדברא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דהתם</w:t>
      </w:r>
      <w:proofErr w:type="spellEnd"/>
      <w:r>
        <w:rPr>
          <w:rtl/>
        </w:rPr>
        <w:t xml:space="preserve"> משום חשד </w:t>
      </w:r>
      <w:proofErr w:type="spellStart"/>
      <w:r>
        <w:rPr>
          <w:rtl/>
        </w:rPr>
        <w:t>ליכא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דהא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אשה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בדברא</w:t>
      </w:r>
      <w:proofErr w:type="spellEnd"/>
      <w:r>
        <w:rPr>
          <w:rtl/>
        </w:rPr>
        <w:t xml:space="preserve"> לא </w:t>
      </w:r>
      <w:proofErr w:type="spellStart"/>
      <w:r>
        <w:rPr>
          <w:rtl/>
        </w:rPr>
        <w:t>שכיחא</w:t>
      </w:r>
      <w:proofErr w:type="spellEnd"/>
      <w:r>
        <w:rPr>
          <w:rtl/>
        </w:rPr>
        <w:t xml:space="preserve">, ומשום </w:t>
      </w:r>
      <w:proofErr w:type="spellStart"/>
      <w:r>
        <w:rPr>
          <w:rtl/>
        </w:rPr>
        <w:t>מזיקין</w:t>
      </w:r>
      <w:proofErr w:type="spellEnd"/>
      <w:r>
        <w:rPr>
          <w:rtl/>
        </w:rPr>
        <w:t xml:space="preserve"> איכא. </w:t>
      </w:r>
    </w:p>
    <w:p w:rsidR="004E34BD" w:rsidRDefault="004E34BD" w:rsidP="004E34BD">
      <w:pPr>
        <w:rPr>
          <w:rFonts w:hint="cs"/>
          <w:rtl/>
        </w:rPr>
      </w:pPr>
    </w:p>
    <w:p w:rsidR="004E34BD" w:rsidRDefault="004E34BD" w:rsidP="004E34BD">
      <w:pPr>
        <w:rPr>
          <w:rFonts w:hint="cs"/>
          <w:rtl/>
        </w:rPr>
      </w:pPr>
      <w:r>
        <w:rPr>
          <w:rFonts w:hint="cs"/>
          <w:rtl/>
        </w:rPr>
        <w:t xml:space="preserve">שלושה טעמים לאיסור כניסה לחורבה: חשש מפולת, חשש מחדש, חשש </w:t>
      </w:r>
      <w:proofErr w:type="spellStart"/>
      <w:r>
        <w:rPr>
          <w:rFonts w:hint="cs"/>
          <w:rtl/>
        </w:rPr>
        <w:t>ממזיקין</w:t>
      </w:r>
      <w:proofErr w:type="spellEnd"/>
      <w:r>
        <w:rPr>
          <w:rFonts w:hint="cs"/>
          <w:rtl/>
        </w:rPr>
        <w:t xml:space="preserve">. </w:t>
      </w:r>
    </w:p>
    <w:p w:rsidR="004E34BD" w:rsidRDefault="004E34BD" w:rsidP="004E34BD">
      <w:pPr>
        <w:rPr>
          <w:rFonts w:hint="cs"/>
          <w:rtl/>
        </w:rPr>
      </w:pPr>
      <w:r>
        <w:rPr>
          <w:rFonts w:hint="cs"/>
          <w:rtl/>
        </w:rPr>
        <w:t xml:space="preserve">כל אחד מהחששות הללו יש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תמצי שהוא לא קיים:</w:t>
      </w:r>
    </w:p>
    <w:p w:rsidR="004E34BD" w:rsidRDefault="004E34BD" w:rsidP="004E34BD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חשד: בתרי ודווקא </w:t>
      </w:r>
      <w:proofErr w:type="spellStart"/>
      <w:r>
        <w:rPr>
          <w:rFonts w:hint="cs"/>
          <w:rtl/>
        </w:rPr>
        <w:t>בכשרי</w:t>
      </w:r>
      <w:proofErr w:type="spellEnd"/>
      <w:r>
        <w:rPr>
          <w:rFonts w:hint="cs"/>
          <w:rtl/>
        </w:rPr>
        <w:t xml:space="preserve"> או אפילו חד בשדה [במקרה זה יש שני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תמצי]</w:t>
      </w:r>
    </w:p>
    <w:p w:rsidR="004E34BD" w:rsidRDefault="004E34BD" w:rsidP="004E34BD">
      <w:pPr>
        <w:pStyle w:val="a4"/>
        <w:rPr>
          <w:rFonts w:hint="cs"/>
          <w:rtl/>
        </w:rPr>
      </w:pPr>
      <w:r>
        <w:rPr>
          <w:rFonts w:hint="cs"/>
          <w:rtl/>
        </w:rPr>
        <w:t>מפולת: חורבה חדשה</w:t>
      </w:r>
    </w:p>
    <w:p w:rsidR="004E34BD" w:rsidRDefault="004E34BD" w:rsidP="004E34BD">
      <w:pPr>
        <w:pStyle w:val="a4"/>
        <w:rPr>
          <w:rFonts w:hint="cs"/>
          <w:rtl/>
        </w:rPr>
      </w:pPr>
      <w:proofErr w:type="spellStart"/>
      <w:r>
        <w:rPr>
          <w:rFonts w:hint="cs"/>
          <w:rtl/>
        </w:rPr>
        <w:t>מזיקין</w:t>
      </w:r>
      <w:proofErr w:type="spellEnd"/>
      <w:r>
        <w:rPr>
          <w:rFonts w:hint="cs"/>
          <w:rtl/>
        </w:rPr>
        <w:t xml:space="preserve">: תרי ודווקא שלא במקומן של </w:t>
      </w:r>
      <w:proofErr w:type="spellStart"/>
      <w:r>
        <w:rPr>
          <w:rFonts w:hint="cs"/>
          <w:rtl/>
        </w:rPr>
        <w:t>המזיקין</w:t>
      </w:r>
      <w:proofErr w:type="spellEnd"/>
    </w:p>
    <w:p w:rsidR="004E34BD" w:rsidRDefault="004E34BD" w:rsidP="004E34BD">
      <w:pPr>
        <w:rPr>
          <w:rFonts w:hint="cs"/>
          <w:rtl/>
        </w:rPr>
      </w:pPr>
      <w:r>
        <w:rPr>
          <w:rFonts w:hint="cs"/>
          <w:rtl/>
        </w:rPr>
        <w:t xml:space="preserve">נסמן כל אחד </w:t>
      </w:r>
      <w:proofErr w:type="spellStart"/>
      <w:r>
        <w:rPr>
          <w:rFonts w:hint="cs"/>
          <w:rtl/>
        </w:rPr>
        <w:t>מההיכי</w:t>
      </w:r>
      <w:proofErr w:type="spellEnd"/>
      <w:r>
        <w:rPr>
          <w:rFonts w:hint="cs"/>
          <w:rtl/>
        </w:rPr>
        <w:t xml:space="preserve"> תמצי הנ"ל בסימן [+], ולעומת זאת </w:t>
      </w:r>
      <w:proofErr w:type="spellStart"/>
      <w:r>
        <w:rPr>
          <w:rFonts w:hint="cs"/>
          <w:rtl/>
        </w:rPr>
        <w:t>המקקרה</w:t>
      </w:r>
      <w:proofErr w:type="spellEnd"/>
      <w:r>
        <w:rPr>
          <w:rFonts w:hint="cs"/>
          <w:rtl/>
        </w:rPr>
        <w:t xml:space="preserve"> ההופכי, דהיינו </w:t>
      </w:r>
      <w:proofErr w:type="spellStart"/>
      <w:r>
        <w:rPr>
          <w:rFonts w:hint="cs"/>
          <w:rtl/>
        </w:rPr>
        <w:t>שההיכי</w:t>
      </w:r>
      <w:proofErr w:type="spellEnd"/>
      <w:r>
        <w:rPr>
          <w:rFonts w:hint="cs"/>
          <w:rtl/>
        </w:rPr>
        <w:t xml:space="preserve"> תמצי הללו לא קיימים, בסימן [-]. בעזרת הסימנים הללו נתאר את האפשרויות הקיימות בטבלה הבאה:</w:t>
      </w:r>
    </w:p>
    <w:p w:rsidR="004E34BD" w:rsidRDefault="004E34BD" w:rsidP="004E34BD">
      <w:pPr>
        <w:rPr>
          <w:rFonts w:hint="cs"/>
          <w:rtl/>
        </w:rPr>
      </w:pPr>
    </w:p>
    <w:tbl>
      <w:tblPr>
        <w:bidiVisual/>
        <w:tblW w:w="6247" w:type="dxa"/>
        <w:tblInd w:w="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1196"/>
        <w:gridCol w:w="1196"/>
        <w:gridCol w:w="1196"/>
        <w:gridCol w:w="2316"/>
      </w:tblGrid>
      <w:tr w:rsidR="004E34BD" w:rsidTr="00F15B51">
        <w:trPr>
          <w:trHeight w:val="37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bidi w:val="0"/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5"/>
              <w:rPr>
                <w:rFonts w:eastAsia="Arial Unicode MS"/>
              </w:rPr>
            </w:pPr>
            <w:r>
              <w:rPr>
                <w:rFonts w:hint="cs"/>
                <w:rtl/>
              </w:rPr>
              <w:t>חשד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5"/>
              <w:rPr>
                <w:rFonts w:eastAsia="Arial Unicode MS"/>
              </w:rPr>
            </w:pPr>
            <w:r>
              <w:rPr>
                <w:rFonts w:hint="cs"/>
                <w:rtl/>
              </w:rPr>
              <w:t>מפולת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5"/>
              <w:rPr>
                <w:rFonts w:eastAsia="Arial Unicode MS"/>
              </w:rPr>
            </w:pPr>
            <w:proofErr w:type="spellStart"/>
            <w:r>
              <w:rPr>
                <w:rFonts w:hint="cs"/>
                <w:rtl/>
              </w:rPr>
              <w:t>מזיקין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7"/>
              <w:rPr>
                <w:rFonts w:eastAsia="Arial Unicode MS"/>
              </w:rPr>
            </w:pPr>
            <w:r>
              <w:rPr>
                <w:rFonts w:hint="cs"/>
                <w:rtl/>
              </w:rPr>
              <w:t>הדין</w:t>
            </w:r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 w:hint="c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 w:hint="cs"/>
                <w:rtl/>
              </w:rPr>
            </w:pPr>
            <w:r>
              <w:rPr>
                <w:rFonts w:hint="cs"/>
                <w:rtl/>
              </w:rPr>
              <w:t>מותר</w:t>
            </w:r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 xml:space="preserve">אסור מחשש </w:t>
            </w:r>
            <w:proofErr w:type="spellStart"/>
            <w:r>
              <w:rPr>
                <w:rFonts w:hint="cs"/>
                <w:rtl/>
              </w:rPr>
              <w:t>מזיקין</w:t>
            </w:r>
            <w:proofErr w:type="spellEnd"/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>אסור מחשש מפולת</w:t>
            </w:r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 xml:space="preserve">אסור מחשש מפולת </w:t>
            </w:r>
            <w:proofErr w:type="spellStart"/>
            <w:r>
              <w:rPr>
                <w:rFonts w:hint="cs"/>
                <w:rtl/>
              </w:rPr>
              <w:t>ומזיקין</w:t>
            </w:r>
            <w:proofErr w:type="spellEnd"/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>אסור מחשש חשד</w:t>
            </w:r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 xml:space="preserve">אסור מחשש חשד </w:t>
            </w:r>
            <w:proofErr w:type="spellStart"/>
            <w:r>
              <w:rPr>
                <w:rFonts w:hint="cs"/>
                <w:rtl/>
              </w:rPr>
              <w:t>ומזיקין</w:t>
            </w:r>
            <w:proofErr w:type="spellEnd"/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+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>אסור מחשש חשד ומפולת</w:t>
            </w:r>
          </w:p>
        </w:tc>
      </w:tr>
      <w:tr w:rsidR="004E34BD" w:rsidTr="00F15B51">
        <w:trPr>
          <w:trHeight w:val="37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6"/>
              <w:bidi w:val="0"/>
              <w:rPr>
                <w:rFonts w:eastAsia="Arial Unicode MS"/>
              </w:rPr>
            </w:pPr>
            <w:r>
              <w:t>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eastAsia="Arial Unicode MS" w:hint="cs"/>
                <w:rtl/>
              </w:rPr>
              <w:t>-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4BD" w:rsidRDefault="004E34BD" w:rsidP="00F15B51">
            <w:pPr>
              <w:pStyle w:val="a9"/>
              <w:rPr>
                <w:rFonts w:eastAsia="Arial Unicode MS"/>
              </w:rPr>
            </w:pPr>
            <w:r>
              <w:rPr>
                <w:rFonts w:hint="cs"/>
                <w:rtl/>
              </w:rPr>
              <w:t>אסור משלושת הטעמים</w:t>
            </w:r>
          </w:p>
        </w:tc>
      </w:tr>
    </w:tbl>
    <w:p w:rsidR="004E34BD" w:rsidRDefault="004E34BD" w:rsidP="004E34BD">
      <w:pPr>
        <w:rPr>
          <w:rFonts w:hint="cs"/>
          <w:rtl/>
        </w:rPr>
      </w:pPr>
    </w:p>
    <w:p w:rsidR="004E34BD" w:rsidRDefault="004E34BD" w:rsidP="004E34BD">
      <w:pPr>
        <w:rPr>
          <w:rFonts w:hint="cs"/>
          <w:rtl/>
        </w:rPr>
      </w:pPr>
      <w:r>
        <w:rPr>
          <w:rFonts w:hint="cs"/>
          <w:rtl/>
        </w:rPr>
        <w:t xml:space="preserve">בשורה הראשונה לא קיים שום חשש, ולכן אין איסור, ואילו בשורה האחרונה כל החששות קיימים. בשורות שבתווך קיימים רק חלק מהחששות. </w:t>
      </w:r>
    </w:p>
    <w:p w:rsidR="004E34BD" w:rsidRDefault="004E34BD" w:rsidP="004E34BD">
      <w:pPr>
        <w:rPr>
          <w:rFonts w:hint="cs"/>
          <w:rtl/>
        </w:rPr>
      </w:pP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 xml:space="preserve"> מחפשת את המקרים שקיים בהם רק חשש אחד (וזאת כדי להסביר מדוע נצרכו שלושת הטעמים, רש"י), ולשם כך בסעיף א היא מוצאת את שורה 5, בסעיף ב את שורה 3, ובסעיף ג את שורה 2.  </w:t>
      </w:r>
    </w:p>
    <w:p w:rsidR="007666F3" w:rsidRDefault="007666F3" w:rsidP="000E4CFD">
      <w:pPr>
        <w:rPr>
          <w:rtl/>
        </w:rPr>
      </w:pPr>
      <w:bookmarkStart w:id="1" w:name="_GoBack"/>
      <w:bookmarkEnd w:id="1"/>
    </w:p>
    <w:sectPr w:rsidR="007666F3" w:rsidSect="004E34BD">
      <w:pgSz w:w="11906" w:h="16838"/>
      <w:pgMar w:top="1985" w:right="2268" w:bottom="1985" w:left="226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BD"/>
    <w:rsid w:val="000E4CFD"/>
    <w:rsid w:val="004E34BD"/>
    <w:rsid w:val="00672965"/>
    <w:rsid w:val="007666F3"/>
    <w:rsid w:val="00D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BD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4E34BD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E34BD"/>
    <w:rPr>
      <w:rFonts w:ascii="Arial" w:eastAsia="Times New Roman" w:hAnsi="Arial" w:cs="David"/>
      <w:b/>
      <w:bCs/>
      <w:i/>
      <w:iCs/>
      <w:sz w:val="28"/>
      <w:szCs w:val="28"/>
    </w:rPr>
  </w:style>
  <w:style w:type="paragraph" w:customStyle="1" w:styleId="a3">
    <w:name w:val="צטוט"/>
    <w:basedOn w:val="a"/>
    <w:autoRedefine/>
    <w:rsid w:val="004E34BD"/>
    <w:pPr>
      <w:ind w:left="680" w:hanging="340"/>
    </w:pPr>
    <w:rPr>
      <w:rFonts w:cs="Guttman-Toledo"/>
      <w:sz w:val="48"/>
    </w:rPr>
  </w:style>
  <w:style w:type="paragraph" w:styleId="a4">
    <w:name w:val="List"/>
    <w:basedOn w:val="a"/>
    <w:semiHidden/>
    <w:rsid w:val="004E34BD"/>
    <w:pPr>
      <w:ind w:left="624" w:hanging="284"/>
    </w:pPr>
  </w:style>
  <w:style w:type="paragraph" w:customStyle="1" w:styleId="a5">
    <w:name w:val="תא כותרת ימין"/>
    <w:basedOn w:val="a"/>
    <w:rsid w:val="004E34BD"/>
    <w:pPr>
      <w:ind w:right="113"/>
    </w:pPr>
    <w:rPr>
      <w:bCs/>
      <w:szCs w:val="18"/>
    </w:rPr>
  </w:style>
  <w:style w:type="paragraph" w:customStyle="1" w:styleId="a6">
    <w:name w:val="טור ימני"/>
    <w:basedOn w:val="a"/>
    <w:rsid w:val="004E34BD"/>
    <w:pPr>
      <w:ind w:right="113"/>
    </w:pPr>
    <w:rPr>
      <w:bCs/>
      <w:szCs w:val="20"/>
    </w:rPr>
  </w:style>
  <w:style w:type="paragraph" w:customStyle="1" w:styleId="a7">
    <w:name w:val="תא כותרת אמצעי"/>
    <w:basedOn w:val="a8"/>
    <w:rsid w:val="004E34BD"/>
    <w:pPr>
      <w:spacing w:before="100" w:beforeAutospacing="1" w:after="100" w:afterAutospacing="1"/>
      <w:ind w:left="295" w:right="57" w:hanging="238"/>
    </w:pPr>
    <w:rPr>
      <w:bCs/>
      <w:szCs w:val="18"/>
    </w:rPr>
  </w:style>
  <w:style w:type="paragraph" w:customStyle="1" w:styleId="a9">
    <w:name w:val="טור אמצעי"/>
    <w:basedOn w:val="a6"/>
    <w:rsid w:val="004E34BD"/>
    <w:pPr>
      <w:ind w:left="57" w:right="57"/>
    </w:pPr>
    <w:rPr>
      <w:bCs w:val="0"/>
    </w:rPr>
  </w:style>
  <w:style w:type="paragraph" w:styleId="a8">
    <w:name w:val="table of authorities"/>
    <w:basedOn w:val="a"/>
    <w:next w:val="a"/>
    <w:uiPriority w:val="99"/>
    <w:semiHidden/>
    <w:unhideWhenUsed/>
    <w:rsid w:val="004E34BD"/>
    <w:pPr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BD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4E34BD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E34BD"/>
    <w:rPr>
      <w:rFonts w:ascii="Arial" w:eastAsia="Times New Roman" w:hAnsi="Arial" w:cs="David"/>
      <w:b/>
      <w:bCs/>
      <w:i/>
      <w:iCs/>
      <w:sz w:val="28"/>
      <w:szCs w:val="28"/>
    </w:rPr>
  </w:style>
  <w:style w:type="paragraph" w:customStyle="1" w:styleId="a3">
    <w:name w:val="צטוט"/>
    <w:basedOn w:val="a"/>
    <w:autoRedefine/>
    <w:rsid w:val="004E34BD"/>
    <w:pPr>
      <w:ind w:left="680" w:hanging="340"/>
    </w:pPr>
    <w:rPr>
      <w:rFonts w:cs="Guttman-Toledo"/>
      <w:sz w:val="48"/>
    </w:rPr>
  </w:style>
  <w:style w:type="paragraph" w:styleId="a4">
    <w:name w:val="List"/>
    <w:basedOn w:val="a"/>
    <w:semiHidden/>
    <w:rsid w:val="004E34BD"/>
    <w:pPr>
      <w:ind w:left="624" w:hanging="284"/>
    </w:pPr>
  </w:style>
  <w:style w:type="paragraph" w:customStyle="1" w:styleId="a5">
    <w:name w:val="תא כותרת ימין"/>
    <w:basedOn w:val="a"/>
    <w:rsid w:val="004E34BD"/>
    <w:pPr>
      <w:ind w:right="113"/>
    </w:pPr>
    <w:rPr>
      <w:bCs/>
      <w:szCs w:val="18"/>
    </w:rPr>
  </w:style>
  <w:style w:type="paragraph" w:customStyle="1" w:styleId="a6">
    <w:name w:val="טור ימני"/>
    <w:basedOn w:val="a"/>
    <w:rsid w:val="004E34BD"/>
    <w:pPr>
      <w:ind w:right="113"/>
    </w:pPr>
    <w:rPr>
      <w:bCs/>
      <w:szCs w:val="20"/>
    </w:rPr>
  </w:style>
  <w:style w:type="paragraph" w:customStyle="1" w:styleId="a7">
    <w:name w:val="תא כותרת אמצעי"/>
    <w:basedOn w:val="a8"/>
    <w:rsid w:val="004E34BD"/>
    <w:pPr>
      <w:spacing w:before="100" w:beforeAutospacing="1" w:after="100" w:afterAutospacing="1"/>
      <w:ind w:left="295" w:right="57" w:hanging="238"/>
    </w:pPr>
    <w:rPr>
      <w:bCs/>
      <w:szCs w:val="18"/>
    </w:rPr>
  </w:style>
  <w:style w:type="paragraph" w:customStyle="1" w:styleId="a9">
    <w:name w:val="טור אמצעי"/>
    <w:basedOn w:val="a6"/>
    <w:rsid w:val="004E34BD"/>
    <w:pPr>
      <w:ind w:left="57" w:right="57"/>
    </w:pPr>
    <w:rPr>
      <w:bCs w:val="0"/>
    </w:rPr>
  </w:style>
  <w:style w:type="paragraph" w:styleId="a8">
    <w:name w:val="table of authorities"/>
    <w:basedOn w:val="a"/>
    <w:next w:val="a"/>
    <w:uiPriority w:val="99"/>
    <w:semiHidden/>
    <w:unhideWhenUsed/>
    <w:rsid w:val="004E34BD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2012-08-08T12:29:00Z</dcterms:created>
  <dcterms:modified xsi:type="dcterms:W3CDTF">2012-08-08T12:29:00Z</dcterms:modified>
</cp:coreProperties>
</file>