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EC" w:rsidRPr="00FE69CE" w:rsidRDefault="00995AEC" w:rsidP="00995AEC">
      <w:pPr>
        <w:pStyle w:val="2"/>
        <w:rPr>
          <w:rFonts w:hint="cs"/>
          <w:rtl/>
        </w:rPr>
      </w:pPr>
      <w:bookmarkStart w:id="0" w:name="_Toc332740252"/>
      <w:r>
        <w:rPr>
          <w:rFonts w:hint="cs"/>
          <w:rtl/>
        </w:rPr>
        <w:t xml:space="preserve">סימן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SEQ</w:instrText>
      </w:r>
      <w:r>
        <w:rPr>
          <w:rFonts w:hint="cs"/>
          <w:rtl/>
        </w:rPr>
        <w:instrText xml:space="preserve"> סימניברכות\* </w:instrText>
      </w:r>
      <w:r>
        <w:rPr>
          <w:rFonts w:hint="cs"/>
        </w:rP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ד</w:t>
      </w:r>
      <w:r>
        <w:rPr>
          <w:rtl/>
        </w:rPr>
        <w:fldChar w:fldCharType="end"/>
      </w:r>
      <w:r>
        <w:rPr>
          <w:rFonts w:hint="cs"/>
          <w:rtl/>
        </w:rPr>
        <w:t xml:space="preserve">. בדין הפסקה בק"ש, </w:t>
      </w:r>
      <w:proofErr w:type="spellStart"/>
      <w:r>
        <w:rPr>
          <w:rFonts w:hint="cs"/>
          <w:rtl/>
        </w:rPr>
        <w:t>יג</w:t>
      </w:r>
      <w:proofErr w:type="spellEnd"/>
      <w:r>
        <w:rPr>
          <w:rFonts w:hint="cs"/>
          <w:rtl/>
        </w:rPr>
        <w:t xml:space="preserve"> ע"א </w:t>
      </w:r>
      <w:r>
        <w:rPr>
          <w:rtl/>
        </w:rPr>
        <w:t>–</w:t>
      </w:r>
      <w:r>
        <w:rPr>
          <w:rFonts w:hint="cs"/>
          <w:rtl/>
        </w:rPr>
        <w:t xml:space="preserve"> יד ע"א</w:t>
      </w:r>
      <w:bookmarkEnd w:id="0"/>
    </w:p>
    <w:p w:rsidR="00995AEC" w:rsidRDefault="00995AEC" w:rsidP="00995AEC">
      <w:pPr>
        <w:pStyle w:val="a5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ברכותיג\*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א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/משנה/. </w:t>
      </w:r>
      <w:r>
        <w:rPr>
          <w:rFonts w:hint="cs"/>
          <w:rtl/>
        </w:rPr>
        <w:t xml:space="preserve">... </w:t>
      </w:r>
      <w:r>
        <w:rPr>
          <w:rtl/>
        </w:rPr>
        <w:t xml:space="preserve">בפרקים שואל מפני הכבוד ומשיב, ובאמצע - שואל מפני היראה ומשיב, דברי רבי מאיר. רבי יהודה אומר: באמצע שואל מפני היראה ומשיב מפני הכבוד, ובפרקים שואל מפני הכבוד ומשיב שלום לכל אדם. </w:t>
      </w:r>
      <w:r>
        <w:rPr>
          <w:rFonts w:hint="cs"/>
          <w:rtl/>
        </w:rPr>
        <w:t>...</w:t>
      </w:r>
    </w:p>
    <w:p w:rsidR="00995AEC" w:rsidRDefault="00995AEC" w:rsidP="00995AEC">
      <w:pPr>
        <w:pStyle w:val="a5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ברכותיג\*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ב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בפרקים - שואל </w:t>
      </w:r>
      <w:proofErr w:type="spellStart"/>
      <w:r>
        <w:rPr>
          <w:rtl/>
        </w:rPr>
        <w:t>וכו</w:t>
      </w:r>
      <w:proofErr w:type="spellEnd"/>
      <w:r>
        <w:rPr>
          <w:rtl/>
        </w:rPr>
        <w:t xml:space="preserve">'. </w:t>
      </w:r>
      <w:r>
        <w:rPr>
          <w:rFonts w:hint="cs"/>
          <w:rtl/>
        </w:rPr>
        <w:t>...</w:t>
      </w:r>
    </w:p>
    <w:p w:rsidR="00995AEC" w:rsidRDefault="00995AEC" w:rsidP="00995AEC">
      <w:pPr>
        <w:pStyle w:val="a5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ברכותיג\*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ג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proofErr w:type="spellStart"/>
      <w:r>
        <w:rPr>
          <w:rtl/>
        </w:rPr>
        <w:t>חסורי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מחסרא</w:t>
      </w:r>
      <w:proofErr w:type="spellEnd"/>
      <w:r>
        <w:rPr>
          <w:rtl/>
        </w:rPr>
        <w:t xml:space="preserve"> והכי </w:t>
      </w:r>
      <w:proofErr w:type="spellStart"/>
      <w:r>
        <w:rPr>
          <w:rtl/>
        </w:rPr>
        <w:t>קתני</w:t>
      </w:r>
      <w:proofErr w:type="spellEnd"/>
      <w:r>
        <w:rPr>
          <w:rtl/>
        </w:rPr>
        <w:t>: בפרקים - שואל מפני הכבוד ואין צריך לומר שהוא משיב, ובאמצע - שואל מפני היראה ואין צריך לומר שהוא משיב, דברי רבי מאיר; רבי יהודה אומר: באמצע - שואל מפני היראה ומשיב מפני הכבוד,</w:t>
      </w:r>
      <w:r w:rsidRPr="0074206B">
        <w:rPr>
          <w:rtl/>
        </w:rPr>
        <w:t xml:space="preserve"> </w:t>
      </w:r>
      <w:r>
        <w:rPr>
          <w:rtl/>
        </w:rPr>
        <w:t xml:space="preserve">ובפרקים - שואל מפני הכבוד ומשיב שלום לכל אדם. תניא </w:t>
      </w:r>
      <w:proofErr w:type="spellStart"/>
      <w:r>
        <w:rPr>
          <w:rtl/>
        </w:rPr>
        <w:t>נמי</w:t>
      </w:r>
      <w:proofErr w:type="spellEnd"/>
      <w:r>
        <w:rPr>
          <w:rtl/>
        </w:rPr>
        <w:t xml:space="preserve"> הכי: הקורא את שמע ופגע בו רבו או גדול הימנו, בפרקים - שואל מפני הכבוד ואין צריך לומר שהוא משיב, ובאמצע - שואל מפני היראה ואין צריך לומר שהוא משיב, דברי רבי מאיר; רבי יהודה אומר: באמצע - שואל מפני היראה ומשיב מפני הכבוד, ובפרקים - שואל מפני הכבוד ומשיב שלום לכל אדם. </w:t>
      </w:r>
    </w:p>
    <w:p w:rsidR="00995AEC" w:rsidRDefault="00995AEC" w:rsidP="00995AEC">
      <w:pPr>
        <w:rPr>
          <w:rFonts w:hint="cs"/>
          <w:rtl/>
        </w:rPr>
      </w:pPr>
    </w:p>
    <w:p w:rsidR="00995AEC" w:rsidRDefault="00995AEC" w:rsidP="00995AEC">
      <w:pPr>
        <w:rPr>
          <w:rFonts w:hint="cs"/>
          <w:rtl/>
        </w:rPr>
      </w:pPr>
      <w:r>
        <w:rPr>
          <w:rFonts w:hint="cs"/>
          <w:rtl/>
        </w:rPr>
        <w:t xml:space="preserve">שלושה משתנים בלתי תלויים </w:t>
      </w:r>
      <w:proofErr w:type="spellStart"/>
      <w:r>
        <w:rPr>
          <w:rFonts w:hint="cs"/>
          <w:rtl/>
        </w:rPr>
        <w:t>בסוגיא</w:t>
      </w:r>
      <w:proofErr w:type="spellEnd"/>
      <w:r>
        <w:rPr>
          <w:rFonts w:hint="cs"/>
          <w:rtl/>
        </w:rPr>
        <w:t xml:space="preserve"> [הערך הימני חמור יותר]:</w:t>
      </w:r>
    </w:p>
    <w:p w:rsidR="00995AEC" w:rsidRDefault="00995AEC" w:rsidP="00995AEC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המיקום: [באמצע / בפרקים]</w:t>
      </w:r>
    </w:p>
    <w:p w:rsidR="00995AEC" w:rsidRDefault="00995AEC" w:rsidP="00995AEC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סוג ההפסק: [שואל / משיב]</w:t>
      </w:r>
    </w:p>
    <w:p w:rsidR="00995AEC" w:rsidRDefault="00995AEC" w:rsidP="00995AEC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השיטה: [ר"מ / ר"י]</w:t>
      </w:r>
    </w:p>
    <w:p w:rsidR="00995AEC" w:rsidRDefault="00995AEC" w:rsidP="00995AEC">
      <w:pPr>
        <w:rPr>
          <w:rFonts w:hint="cs"/>
          <w:rtl/>
        </w:rPr>
      </w:pPr>
    </w:p>
    <w:p w:rsidR="00995AEC" w:rsidRDefault="00995AEC" w:rsidP="00995AEC">
      <w:pPr>
        <w:rPr>
          <w:rFonts w:hint="cs"/>
          <w:rtl/>
        </w:rPr>
      </w:pPr>
      <w:r>
        <w:rPr>
          <w:rFonts w:hint="cs"/>
          <w:rtl/>
        </w:rPr>
        <w:t>המשתנה הבלתי תלוי הוא למי מותר להפסיק, ושלושה ערכים יש לו (מהחמור לקל):</w:t>
      </w:r>
      <w:r>
        <w:rPr>
          <w:rStyle w:val="ae"/>
          <w:rtl/>
        </w:rPr>
        <w:footnoteReference w:id="1"/>
      </w:r>
    </w:p>
    <w:p w:rsidR="00995AEC" w:rsidRDefault="00995AEC" w:rsidP="00995AEC">
      <w:pPr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רק מפני היראה</w:t>
      </w:r>
    </w:p>
    <w:p w:rsidR="00995AEC" w:rsidRDefault="00995AEC" w:rsidP="00995AEC">
      <w:pPr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גם מפני היראה וגם מפני הכבוד</w:t>
      </w:r>
    </w:p>
    <w:p w:rsidR="00995AEC" w:rsidRDefault="00995AEC" w:rsidP="00995AEC">
      <w:pPr>
        <w:numPr>
          <w:ilvl w:val="0"/>
          <w:numId w:val="2"/>
        </w:numPr>
        <w:rPr>
          <w:rtl/>
        </w:rPr>
      </w:pPr>
      <w:r>
        <w:rPr>
          <w:rFonts w:hint="cs"/>
          <w:rtl/>
        </w:rPr>
        <w:t>מפני היראה, מפני הכבוד, ואפילו לכל אדם</w:t>
      </w:r>
    </w:p>
    <w:p w:rsidR="00995AEC" w:rsidRDefault="00995AEC" w:rsidP="00995AEC">
      <w:pPr>
        <w:pStyle w:val="aa"/>
        <w:ind w:firstLine="436"/>
        <w:rPr>
          <w:rFonts w:hint="cs"/>
          <w:rtl/>
        </w:rPr>
      </w:pPr>
      <w:r>
        <w:rPr>
          <w:rFonts w:hint="cs"/>
          <w:rtl/>
        </w:rPr>
        <w:t>רבי מאיר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רבי יהודה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684"/>
        <w:gridCol w:w="703"/>
        <w:gridCol w:w="222"/>
        <w:gridCol w:w="862"/>
        <w:gridCol w:w="684"/>
        <w:gridCol w:w="703"/>
      </w:tblGrid>
      <w:tr w:rsidR="00995AEC" w:rsidTr="00FE604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95AEC" w:rsidRDefault="00995AEC" w:rsidP="00FE604D">
            <w:pPr>
              <w:rPr>
                <w:rFonts w:hint="cs"/>
              </w:rPr>
            </w:pPr>
          </w:p>
        </w:tc>
        <w:tc>
          <w:tcPr>
            <w:tcW w:w="0" w:type="auto"/>
          </w:tcPr>
          <w:p w:rsidR="00995AEC" w:rsidRDefault="00995AEC" w:rsidP="00FE604D">
            <w:pPr>
              <w:pStyle w:val="ab"/>
              <w:rPr>
                <w:rFonts w:hint="cs"/>
              </w:rPr>
            </w:pPr>
            <w:r>
              <w:rPr>
                <w:rFonts w:hint="cs"/>
                <w:rtl/>
              </w:rPr>
              <w:t>שואל</w:t>
            </w:r>
          </w:p>
        </w:tc>
        <w:tc>
          <w:tcPr>
            <w:tcW w:w="0" w:type="auto"/>
          </w:tcPr>
          <w:p w:rsidR="00995AEC" w:rsidRDefault="00995AEC" w:rsidP="00FE604D">
            <w:pPr>
              <w:pStyle w:val="a8"/>
              <w:rPr>
                <w:rFonts w:hint="cs"/>
              </w:rPr>
            </w:pPr>
            <w:r>
              <w:rPr>
                <w:rFonts w:hint="cs"/>
                <w:rtl/>
              </w:rPr>
              <w:t>משיב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95AEC" w:rsidRDefault="00995AEC" w:rsidP="00FE604D">
            <w:pPr>
              <w:rPr>
                <w:rFonts w:hint="cs"/>
              </w:rPr>
            </w:pPr>
          </w:p>
        </w:tc>
        <w:tc>
          <w:tcPr>
            <w:tcW w:w="0" w:type="auto"/>
          </w:tcPr>
          <w:p w:rsidR="00995AEC" w:rsidRDefault="00995AEC" w:rsidP="00FE604D">
            <w:pPr>
              <w:rPr>
                <w:rFonts w:hint="cs"/>
              </w:rPr>
            </w:pPr>
          </w:p>
        </w:tc>
        <w:tc>
          <w:tcPr>
            <w:tcW w:w="0" w:type="auto"/>
          </w:tcPr>
          <w:p w:rsidR="00995AEC" w:rsidRDefault="00995AEC" w:rsidP="00FE604D">
            <w:pPr>
              <w:pStyle w:val="ab"/>
              <w:rPr>
                <w:rFonts w:hint="cs"/>
              </w:rPr>
            </w:pPr>
            <w:r>
              <w:rPr>
                <w:rFonts w:hint="cs"/>
                <w:rtl/>
              </w:rPr>
              <w:t>שואל</w:t>
            </w:r>
          </w:p>
        </w:tc>
        <w:tc>
          <w:tcPr>
            <w:tcW w:w="0" w:type="auto"/>
          </w:tcPr>
          <w:p w:rsidR="00995AEC" w:rsidRDefault="00995AEC" w:rsidP="00FE604D">
            <w:pPr>
              <w:pStyle w:val="a8"/>
              <w:rPr>
                <w:rFonts w:hint="cs"/>
              </w:rPr>
            </w:pPr>
            <w:r>
              <w:rPr>
                <w:rFonts w:hint="cs"/>
                <w:rtl/>
              </w:rPr>
              <w:t>משיב</w:t>
            </w:r>
          </w:p>
        </w:tc>
      </w:tr>
      <w:tr w:rsidR="00995AEC" w:rsidTr="00FE604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95AEC" w:rsidRDefault="00995AEC" w:rsidP="00FE604D">
            <w:pPr>
              <w:pStyle w:val="a7"/>
              <w:rPr>
                <w:rFonts w:hint="cs"/>
              </w:rPr>
            </w:pPr>
            <w:r>
              <w:rPr>
                <w:rFonts w:hint="cs"/>
                <w:rtl/>
              </w:rPr>
              <w:t>באמצע</w:t>
            </w:r>
          </w:p>
        </w:tc>
        <w:tc>
          <w:tcPr>
            <w:tcW w:w="0" w:type="auto"/>
          </w:tcPr>
          <w:p w:rsidR="00995AEC" w:rsidRDefault="00995AEC" w:rsidP="00FE604D">
            <w:pPr>
              <w:pStyle w:val="ad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</w:tcPr>
          <w:p w:rsidR="00995AEC" w:rsidRDefault="00995AEC" w:rsidP="00FE604D">
            <w:pPr>
              <w:pStyle w:val="a9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95AEC" w:rsidRDefault="00995AEC" w:rsidP="00FE604D">
            <w:pPr>
              <w:pStyle w:val="a7"/>
              <w:rPr>
                <w:rFonts w:hint="cs"/>
                <w:rtl/>
              </w:rPr>
            </w:pPr>
          </w:p>
        </w:tc>
        <w:tc>
          <w:tcPr>
            <w:tcW w:w="0" w:type="auto"/>
          </w:tcPr>
          <w:p w:rsidR="00995AEC" w:rsidRDefault="00995AEC" w:rsidP="00FE604D">
            <w:pPr>
              <w:pStyle w:val="a7"/>
              <w:rPr>
                <w:rFonts w:hint="cs"/>
              </w:rPr>
            </w:pPr>
            <w:r>
              <w:rPr>
                <w:rFonts w:hint="cs"/>
                <w:rtl/>
              </w:rPr>
              <w:t>באמצע</w:t>
            </w:r>
          </w:p>
        </w:tc>
        <w:tc>
          <w:tcPr>
            <w:tcW w:w="0" w:type="auto"/>
          </w:tcPr>
          <w:p w:rsidR="00995AEC" w:rsidRDefault="00995AEC" w:rsidP="00FE604D">
            <w:pPr>
              <w:pStyle w:val="ad"/>
              <w:rPr>
                <w:rFonts w:hint="cs"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</w:tcPr>
          <w:p w:rsidR="00995AEC" w:rsidRDefault="00995AEC" w:rsidP="00FE604D">
            <w:pPr>
              <w:pStyle w:val="a9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995AEC" w:rsidTr="00FE604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95AEC" w:rsidRDefault="00995AEC" w:rsidP="00FE604D">
            <w:pPr>
              <w:pStyle w:val="a7"/>
              <w:rPr>
                <w:rFonts w:hint="cs"/>
              </w:rPr>
            </w:pPr>
            <w:r>
              <w:rPr>
                <w:rFonts w:hint="cs"/>
                <w:rtl/>
              </w:rPr>
              <w:t>בפרקים</w:t>
            </w:r>
          </w:p>
        </w:tc>
        <w:tc>
          <w:tcPr>
            <w:tcW w:w="0" w:type="auto"/>
          </w:tcPr>
          <w:p w:rsidR="00995AEC" w:rsidRDefault="00995AEC" w:rsidP="00FE604D">
            <w:pPr>
              <w:pStyle w:val="ad"/>
              <w:rPr>
                <w:rFonts w:hint="cs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</w:tcPr>
          <w:p w:rsidR="00995AEC" w:rsidRDefault="00995AEC" w:rsidP="00FE604D">
            <w:pPr>
              <w:pStyle w:val="a9"/>
              <w:rPr>
                <w:rFonts w:hint="cs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95AEC" w:rsidRDefault="00995AEC" w:rsidP="00FE604D">
            <w:pPr>
              <w:pStyle w:val="a7"/>
              <w:rPr>
                <w:rFonts w:hint="cs"/>
                <w:rtl/>
              </w:rPr>
            </w:pPr>
          </w:p>
        </w:tc>
        <w:tc>
          <w:tcPr>
            <w:tcW w:w="0" w:type="auto"/>
          </w:tcPr>
          <w:p w:rsidR="00995AEC" w:rsidRDefault="00995AEC" w:rsidP="00FE604D">
            <w:pPr>
              <w:pStyle w:val="a7"/>
              <w:rPr>
                <w:rFonts w:hint="cs"/>
              </w:rPr>
            </w:pPr>
            <w:r>
              <w:rPr>
                <w:rFonts w:hint="cs"/>
                <w:rtl/>
              </w:rPr>
              <w:t>בפרקים</w:t>
            </w:r>
          </w:p>
        </w:tc>
        <w:tc>
          <w:tcPr>
            <w:tcW w:w="0" w:type="auto"/>
          </w:tcPr>
          <w:p w:rsidR="00995AEC" w:rsidRDefault="00995AEC" w:rsidP="00FE604D">
            <w:pPr>
              <w:pStyle w:val="ad"/>
              <w:rPr>
                <w:rFonts w:hint="cs"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</w:tcPr>
          <w:p w:rsidR="00995AEC" w:rsidRDefault="00995AEC" w:rsidP="00FE604D">
            <w:pPr>
              <w:pStyle w:val="a9"/>
              <w:rPr>
                <w:rFonts w:hint="cs"/>
              </w:rPr>
            </w:pPr>
            <w:r>
              <w:rPr>
                <w:rFonts w:hint="cs"/>
                <w:rtl/>
              </w:rPr>
              <w:t>3</w:t>
            </w:r>
          </w:p>
        </w:tc>
      </w:tr>
    </w:tbl>
    <w:p w:rsidR="00995AEC" w:rsidRDefault="00995AEC" w:rsidP="00995AEC">
      <w:pPr>
        <w:rPr>
          <w:rFonts w:hint="cs"/>
          <w:rtl/>
        </w:rPr>
      </w:pPr>
      <w:r>
        <w:rPr>
          <w:rFonts w:hint="cs"/>
          <w:rtl/>
        </w:rPr>
        <w:t>מספר דגשים לטבלה:</w:t>
      </w:r>
    </w:p>
    <w:p w:rsidR="00995AEC" w:rsidRDefault="00995AEC" w:rsidP="00995AEC">
      <w:pPr>
        <w:pStyle w:val="a6"/>
        <w:rPr>
          <w:rFonts w:hint="cs"/>
          <w:rtl/>
        </w:rPr>
      </w:pPr>
      <w:r>
        <w:rPr>
          <w:rFonts w:hint="cs"/>
          <w:rtl/>
        </w:rPr>
        <w:t xml:space="preserve">לפי ר"מ רק המשתנה הראשון רלבנטי (השורות), ואין שום </w:t>
      </w:r>
      <w:proofErr w:type="spellStart"/>
      <w:r>
        <w:rPr>
          <w:rFonts w:hint="cs"/>
          <w:rtl/>
        </w:rPr>
        <w:t>נפק"מ</w:t>
      </w:r>
      <w:proofErr w:type="spellEnd"/>
      <w:r>
        <w:rPr>
          <w:rFonts w:hint="cs"/>
          <w:rtl/>
        </w:rPr>
        <w:t xml:space="preserve"> בסוג ההפסקה (הטורים). </w:t>
      </w:r>
    </w:p>
    <w:p w:rsidR="00995AEC" w:rsidRDefault="00995AEC" w:rsidP="00995AEC">
      <w:pPr>
        <w:pStyle w:val="a6"/>
        <w:rPr>
          <w:rFonts w:hint="cs"/>
          <w:rtl/>
        </w:rPr>
      </w:pPr>
      <w:r>
        <w:rPr>
          <w:rFonts w:hint="cs"/>
          <w:rtl/>
        </w:rPr>
        <w:t xml:space="preserve">אין מחלוקת בין ר"מ </w:t>
      </w:r>
      <w:proofErr w:type="spellStart"/>
      <w:r>
        <w:rPr>
          <w:rFonts w:hint="cs"/>
          <w:rtl/>
        </w:rPr>
        <w:t>ור"י</w:t>
      </w:r>
      <w:proofErr w:type="spellEnd"/>
      <w:r>
        <w:rPr>
          <w:rFonts w:hint="cs"/>
          <w:rtl/>
        </w:rPr>
        <w:t xml:space="preserve"> בדין השואל (טור ימני)</w:t>
      </w:r>
    </w:p>
    <w:p w:rsidR="007666F3" w:rsidRDefault="00995AEC" w:rsidP="00995AEC">
      <w:pPr>
        <w:pStyle w:val="a6"/>
        <w:rPr>
          <w:rtl/>
        </w:rPr>
      </w:pPr>
      <w:r>
        <w:rPr>
          <w:rFonts w:hint="cs"/>
          <w:rtl/>
        </w:rPr>
        <w:t xml:space="preserve">ר"י מוסיף דרגה אחת של </w:t>
      </w:r>
      <w:proofErr w:type="spellStart"/>
      <w:r>
        <w:rPr>
          <w:rFonts w:hint="cs"/>
          <w:rtl/>
        </w:rPr>
        <w:t>קולא</w:t>
      </w:r>
      <w:proofErr w:type="spellEnd"/>
      <w:r>
        <w:rPr>
          <w:rFonts w:hint="cs"/>
          <w:rtl/>
        </w:rPr>
        <w:t xml:space="preserve"> בדין משיב (טור שמאלי), בכל שורה לפום דרגה </w:t>
      </w:r>
      <w:proofErr w:type="spellStart"/>
      <w:r>
        <w:rPr>
          <w:rFonts w:hint="cs"/>
          <w:rtl/>
        </w:rPr>
        <w:t>דיליה</w:t>
      </w:r>
      <w:proofErr w:type="spellEnd"/>
      <w:r>
        <w:rPr>
          <w:rFonts w:hint="cs"/>
          <w:rtl/>
        </w:rPr>
        <w:t xml:space="preserve">. </w:t>
      </w:r>
      <w:bookmarkStart w:id="1" w:name="_GoBack"/>
      <w:bookmarkEnd w:id="1"/>
    </w:p>
    <w:sectPr w:rsidR="007666F3" w:rsidSect="00995AEC">
      <w:pgSz w:w="11906" w:h="16838"/>
      <w:pgMar w:top="1985" w:right="2268" w:bottom="1985" w:left="226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E8" w:rsidRDefault="003A3AE8" w:rsidP="00995AEC">
      <w:pPr>
        <w:spacing w:line="240" w:lineRule="auto"/>
      </w:pPr>
      <w:r>
        <w:separator/>
      </w:r>
    </w:p>
  </w:endnote>
  <w:endnote w:type="continuationSeparator" w:id="0">
    <w:p w:rsidR="003A3AE8" w:rsidRDefault="003A3AE8" w:rsidP="00995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E8" w:rsidRDefault="003A3AE8" w:rsidP="00995AEC">
      <w:pPr>
        <w:spacing w:line="240" w:lineRule="auto"/>
      </w:pPr>
      <w:r>
        <w:separator/>
      </w:r>
    </w:p>
  </w:footnote>
  <w:footnote w:type="continuationSeparator" w:id="0">
    <w:p w:rsidR="003A3AE8" w:rsidRDefault="003A3AE8" w:rsidP="00995AEC">
      <w:pPr>
        <w:spacing w:line="240" w:lineRule="auto"/>
      </w:pPr>
      <w:r>
        <w:continuationSeparator/>
      </w:r>
    </w:p>
  </w:footnote>
  <w:footnote w:id="1">
    <w:p w:rsidR="00995AEC" w:rsidRDefault="00995AEC" w:rsidP="00995AEC">
      <w:pPr>
        <w:pStyle w:val="a3"/>
        <w:rPr>
          <w:rFonts w:hint="cs"/>
        </w:rPr>
      </w:pPr>
      <w:r>
        <w:rPr>
          <w:rStyle w:val="a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הערה מתודית: היה ניתן להגדיר משתנה </w:t>
      </w:r>
      <w:proofErr w:type="spellStart"/>
      <w:r>
        <w:rPr>
          <w:rFonts w:hint="cs"/>
          <w:rtl/>
        </w:rPr>
        <w:t>ב"ת</w:t>
      </w:r>
      <w:proofErr w:type="spellEnd"/>
      <w:r>
        <w:rPr>
          <w:rFonts w:hint="cs"/>
          <w:rtl/>
        </w:rPr>
        <w:t xml:space="preserve"> נוסף: למי מותר להפסיק, והמשתנה התלוי יהיה רק מותר או אסור, אלא שמצב כזה יכפיל את הטבלאות, ויפגע בבהירות.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5F43"/>
    <w:multiLevelType w:val="hybridMultilevel"/>
    <w:tmpl w:val="45A2A494"/>
    <w:lvl w:ilvl="0" w:tplc="655C0D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D773E"/>
    <w:multiLevelType w:val="hybridMultilevel"/>
    <w:tmpl w:val="38380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EC"/>
    <w:rsid w:val="000E4CFD"/>
    <w:rsid w:val="003A3AE8"/>
    <w:rsid w:val="00672965"/>
    <w:rsid w:val="007666F3"/>
    <w:rsid w:val="00995AEC"/>
    <w:rsid w:val="00D4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EC"/>
    <w:pPr>
      <w:bidi/>
      <w:spacing w:line="30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995AEC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995AEC"/>
    <w:rPr>
      <w:rFonts w:ascii="Arial" w:eastAsia="Times New Roman" w:hAnsi="Arial" w:cs="David"/>
      <w:b/>
      <w:bCs/>
      <w:i/>
      <w:iCs/>
      <w:sz w:val="28"/>
      <w:szCs w:val="28"/>
    </w:rPr>
  </w:style>
  <w:style w:type="paragraph" w:styleId="a3">
    <w:name w:val="footnote text"/>
    <w:aliases w:val="הערות שוליים"/>
    <w:basedOn w:val="a"/>
    <w:link w:val="a4"/>
    <w:semiHidden/>
    <w:rsid w:val="00995AEC"/>
    <w:rPr>
      <w:sz w:val="20"/>
      <w:szCs w:val="22"/>
    </w:rPr>
  </w:style>
  <w:style w:type="character" w:customStyle="1" w:styleId="a4">
    <w:name w:val="טקסט הערת שוליים תו"/>
    <w:basedOn w:val="a0"/>
    <w:link w:val="a3"/>
    <w:semiHidden/>
    <w:rsid w:val="00995AEC"/>
    <w:rPr>
      <w:rFonts w:ascii="Times New Roman" w:eastAsia="Times New Roman" w:hAnsi="Times New Roman" w:cs="David"/>
      <w:sz w:val="20"/>
    </w:rPr>
  </w:style>
  <w:style w:type="paragraph" w:customStyle="1" w:styleId="a5">
    <w:name w:val="צטוט"/>
    <w:basedOn w:val="a"/>
    <w:autoRedefine/>
    <w:rsid w:val="00995AEC"/>
    <w:pPr>
      <w:ind w:left="680" w:hanging="340"/>
    </w:pPr>
    <w:rPr>
      <w:rFonts w:cs="Guttman-Toledo"/>
      <w:sz w:val="48"/>
    </w:rPr>
  </w:style>
  <w:style w:type="paragraph" w:styleId="a6">
    <w:name w:val="List"/>
    <w:basedOn w:val="a"/>
    <w:semiHidden/>
    <w:rsid w:val="00995AEC"/>
    <w:pPr>
      <w:ind w:left="624" w:hanging="284"/>
    </w:pPr>
  </w:style>
  <w:style w:type="paragraph" w:customStyle="1" w:styleId="a7">
    <w:name w:val="תא כותרת ימין"/>
    <w:basedOn w:val="a"/>
    <w:rsid w:val="00995AEC"/>
    <w:pPr>
      <w:ind w:right="113"/>
    </w:pPr>
    <w:rPr>
      <w:bCs/>
      <w:szCs w:val="18"/>
    </w:rPr>
  </w:style>
  <w:style w:type="paragraph" w:customStyle="1" w:styleId="a8">
    <w:name w:val="תא כותרת שמאל"/>
    <w:basedOn w:val="a"/>
    <w:rsid w:val="00995AEC"/>
    <w:pPr>
      <w:ind w:left="113"/>
    </w:pPr>
    <w:rPr>
      <w:bCs/>
      <w:szCs w:val="18"/>
    </w:rPr>
  </w:style>
  <w:style w:type="paragraph" w:customStyle="1" w:styleId="a9">
    <w:name w:val="טור שמאל"/>
    <w:basedOn w:val="a"/>
    <w:rsid w:val="00995AEC"/>
    <w:pPr>
      <w:ind w:left="113"/>
    </w:pPr>
    <w:rPr>
      <w:szCs w:val="20"/>
    </w:rPr>
  </w:style>
  <w:style w:type="paragraph" w:customStyle="1" w:styleId="aa">
    <w:name w:val="כותרת טבלה"/>
    <w:basedOn w:val="a"/>
    <w:rsid w:val="00995AEC"/>
    <w:pPr>
      <w:spacing w:before="240" w:after="60"/>
      <w:ind w:left="284"/>
    </w:pPr>
    <w:rPr>
      <w:bCs/>
      <w:szCs w:val="20"/>
    </w:rPr>
  </w:style>
  <w:style w:type="paragraph" w:customStyle="1" w:styleId="ab">
    <w:name w:val="תא כותרת אמצעי"/>
    <w:basedOn w:val="ac"/>
    <w:rsid w:val="00995AEC"/>
    <w:pPr>
      <w:spacing w:before="100" w:beforeAutospacing="1" w:after="100" w:afterAutospacing="1"/>
      <w:ind w:left="295" w:right="57" w:hanging="238"/>
    </w:pPr>
    <w:rPr>
      <w:bCs/>
      <w:szCs w:val="18"/>
    </w:rPr>
  </w:style>
  <w:style w:type="paragraph" w:customStyle="1" w:styleId="ad">
    <w:name w:val="טור אמצעי"/>
    <w:basedOn w:val="a"/>
    <w:rsid w:val="00995AEC"/>
    <w:pPr>
      <w:ind w:left="57" w:right="57"/>
    </w:pPr>
    <w:rPr>
      <w:szCs w:val="20"/>
    </w:rPr>
  </w:style>
  <w:style w:type="character" w:styleId="ae">
    <w:name w:val="footnote reference"/>
    <w:semiHidden/>
    <w:rsid w:val="00995AEC"/>
    <w:rPr>
      <w:rFonts w:cs="David"/>
      <w:szCs w:val="20"/>
      <w:bdr w:val="none" w:sz="0" w:space="0" w:color="auto"/>
      <w:vertAlign w:val="superscript"/>
    </w:rPr>
  </w:style>
  <w:style w:type="paragraph" w:styleId="ac">
    <w:name w:val="table of authorities"/>
    <w:basedOn w:val="a"/>
    <w:next w:val="a"/>
    <w:uiPriority w:val="99"/>
    <w:semiHidden/>
    <w:unhideWhenUsed/>
    <w:rsid w:val="00995AEC"/>
    <w:pPr>
      <w:ind w:left="240" w:hanging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EC"/>
    <w:pPr>
      <w:bidi/>
      <w:spacing w:line="30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995AEC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995AEC"/>
    <w:rPr>
      <w:rFonts w:ascii="Arial" w:eastAsia="Times New Roman" w:hAnsi="Arial" w:cs="David"/>
      <w:b/>
      <w:bCs/>
      <w:i/>
      <w:iCs/>
      <w:sz w:val="28"/>
      <w:szCs w:val="28"/>
    </w:rPr>
  </w:style>
  <w:style w:type="paragraph" w:styleId="a3">
    <w:name w:val="footnote text"/>
    <w:aliases w:val="הערות שוליים"/>
    <w:basedOn w:val="a"/>
    <w:link w:val="a4"/>
    <w:semiHidden/>
    <w:rsid w:val="00995AEC"/>
    <w:rPr>
      <w:sz w:val="20"/>
      <w:szCs w:val="22"/>
    </w:rPr>
  </w:style>
  <w:style w:type="character" w:customStyle="1" w:styleId="a4">
    <w:name w:val="טקסט הערת שוליים תו"/>
    <w:basedOn w:val="a0"/>
    <w:link w:val="a3"/>
    <w:semiHidden/>
    <w:rsid w:val="00995AEC"/>
    <w:rPr>
      <w:rFonts w:ascii="Times New Roman" w:eastAsia="Times New Roman" w:hAnsi="Times New Roman" w:cs="David"/>
      <w:sz w:val="20"/>
    </w:rPr>
  </w:style>
  <w:style w:type="paragraph" w:customStyle="1" w:styleId="a5">
    <w:name w:val="צטוט"/>
    <w:basedOn w:val="a"/>
    <w:autoRedefine/>
    <w:rsid w:val="00995AEC"/>
    <w:pPr>
      <w:ind w:left="680" w:hanging="340"/>
    </w:pPr>
    <w:rPr>
      <w:rFonts w:cs="Guttman-Toledo"/>
      <w:sz w:val="48"/>
    </w:rPr>
  </w:style>
  <w:style w:type="paragraph" w:styleId="a6">
    <w:name w:val="List"/>
    <w:basedOn w:val="a"/>
    <w:semiHidden/>
    <w:rsid w:val="00995AEC"/>
    <w:pPr>
      <w:ind w:left="624" w:hanging="284"/>
    </w:pPr>
  </w:style>
  <w:style w:type="paragraph" w:customStyle="1" w:styleId="a7">
    <w:name w:val="תא כותרת ימין"/>
    <w:basedOn w:val="a"/>
    <w:rsid w:val="00995AEC"/>
    <w:pPr>
      <w:ind w:right="113"/>
    </w:pPr>
    <w:rPr>
      <w:bCs/>
      <w:szCs w:val="18"/>
    </w:rPr>
  </w:style>
  <w:style w:type="paragraph" w:customStyle="1" w:styleId="a8">
    <w:name w:val="תא כותרת שמאל"/>
    <w:basedOn w:val="a"/>
    <w:rsid w:val="00995AEC"/>
    <w:pPr>
      <w:ind w:left="113"/>
    </w:pPr>
    <w:rPr>
      <w:bCs/>
      <w:szCs w:val="18"/>
    </w:rPr>
  </w:style>
  <w:style w:type="paragraph" w:customStyle="1" w:styleId="a9">
    <w:name w:val="טור שמאל"/>
    <w:basedOn w:val="a"/>
    <w:rsid w:val="00995AEC"/>
    <w:pPr>
      <w:ind w:left="113"/>
    </w:pPr>
    <w:rPr>
      <w:szCs w:val="20"/>
    </w:rPr>
  </w:style>
  <w:style w:type="paragraph" w:customStyle="1" w:styleId="aa">
    <w:name w:val="כותרת טבלה"/>
    <w:basedOn w:val="a"/>
    <w:rsid w:val="00995AEC"/>
    <w:pPr>
      <w:spacing w:before="240" w:after="60"/>
      <w:ind w:left="284"/>
    </w:pPr>
    <w:rPr>
      <w:bCs/>
      <w:szCs w:val="20"/>
    </w:rPr>
  </w:style>
  <w:style w:type="paragraph" w:customStyle="1" w:styleId="ab">
    <w:name w:val="תא כותרת אמצעי"/>
    <w:basedOn w:val="ac"/>
    <w:rsid w:val="00995AEC"/>
    <w:pPr>
      <w:spacing w:before="100" w:beforeAutospacing="1" w:after="100" w:afterAutospacing="1"/>
      <w:ind w:left="295" w:right="57" w:hanging="238"/>
    </w:pPr>
    <w:rPr>
      <w:bCs/>
      <w:szCs w:val="18"/>
    </w:rPr>
  </w:style>
  <w:style w:type="paragraph" w:customStyle="1" w:styleId="ad">
    <w:name w:val="טור אמצעי"/>
    <w:basedOn w:val="a"/>
    <w:rsid w:val="00995AEC"/>
    <w:pPr>
      <w:ind w:left="57" w:right="57"/>
    </w:pPr>
    <w:rPr>
      <w:szCs w:val="20"/>
    </w:rPr>
  </w:style>
  <w:style w:type="character" w:styleId="ae">
    <w:name w:val="footnote reference"/>
    <w:semiHidden/>
    <w:rsid w:val="00995AEC"/>
    <w:rPr>
      <w:rFonts w:cs="David"/>
      <w:szCs w:val="20"/>
      <w:bdr w:val="none" w:sz="0" w:space="0" w:color="auto"/>
      <w:vertAlign w:val="superscript"/>
    </w:rPr>
  </w:style>
  <w:style w:type="paragraph" w:styleId="ac">
    <w:name w:val="table of authorities"/>
    <w:basedOn w:val="a"/>
    <w:next w:val="a"/>
    <w:uiPriority w:val="99"/>
    <w:semiHidden/>
    <w:unhideWhenUsed/>
    <w:rsid w:val="00995AEC"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הראל</dc:creator>
  <cp:lastModifiedBy>הראל</cp:lastModifiedBy>
  <cp:revision>1</cp:revision>
  <dcterms:created xsi:type="dcterms:W3CDTF">2012-08-14T18:57:00Z</dcterms:created>
  <dcterms:modified xsi:type="dcterms:W3CDTF">2012-08-14T18:57:00Z</dcterms:modified>
</cp:coreProperties>
</file>