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C3" w:rsidRDefault="00F41DC3" w:rsidP="00F41DC3">
      <w:pPr>
        <w:rPr>
          <w:rFonts w:cs="David"/>
          <w:sz w:val="38"/>
          <w:szCs w:val="38"/>
          <w:rtl/>
        </w:rPr>
      </w:pPr>
      <w:r w:rsidRPr="00E22FD6">
        <w:rPr>
          <w:rFonts w:cs="David" w:hint="cs"/>
          <w:sz w:val="38"/>
          <w:szCs w:val="38"/>
          <w:highlight w:val="cyan"/>
          <w:rtl/>
        </w:rPr>
        <w:t xml:space="preserve">טבלאות עזר  של מסקנות הגמרא  ללימוד  </w:t>
      </w:r>
      <w:r w:rsidRPr="00EA0360">
        <w:rPr>
          <w:rFonts w:cs="David" w:hint="cs"/>
          <w:sz w:val="38"/>
          <w:szCs w:val="38"/>
          <w:highlight w:val="cyan"/>
          <w:rtl/>
        </w:rPr>
        <w:t>ברכות דף יד</w:t>
      </w:r>
    </w:p>
    <w:p w:rsidR="00F41DC3" w:rsidRDefault="00F41DC3" w:rsidP="00F41DC3">
      <w:pPr>
        <w:rPr>
          <w:rFonts w:cs="David"/>
          <w:sz w:val="38"/>
          <w:szCs w:val="38"/>
          <w:rtl/>
        </w:rPr>
      </w:pPr>
      <w:r w:rsidRPr="001E686F">
        <w:rPr>
          <w:rFonts w:cs="David" w:hint="cs"/>
          <w:sz w:val="26"/>
          <w:szCs w:val="26"/>
          <w:rtl/>
        </w:rPr>
        <w:t>ערך הרב חנניה מלכה</w:t>
      </w:r>
    </w:p>
    <w:tbl>
      <w:tblPr>
        <w:tblStyle w:val="a3"/>
        <w:tblpPr w:leftFromText="180" w:rightFromText="180" w:vertAnchor="text" w:horzAnchor="margin" w:tblpY="129"/>
        <w:bidiVisual/>
        <w:tblW w:w="9498" w:type="dxa"/>
        <w:tblInd w:w="-976" w:type="dxa"/>
        <w:tblLook w:val="04A0" w:firstRow="1" w:lastRow="0" w:firstColumn="1" w:lastColumn="0" w:noHBand="0" w:noVBand="1"/>
      </w:tblPr>
      <w:tblGrid>
        <w:gridCol w:w="3106"/>
        <w:gridCol w:w="2130"/>
        <w:gridCol w:w="2131"/>
        <w:gridCol w:w="2131"/>
      </w:tblGrid>
      <w:tr w:rsidR="00F41DC3" w:rsidTr="000D1796">
        <w:tc>
          <w:tcPr>
            <w:tcW w:w="9498" w:type="dxa"/>
            <w:gridSpan w:val="4"/>
          </w:tcPr>
          <w:p w:rsidR="00F41DC3" w:rsidRDefault="00F41DC3" w:rsidP="000D1796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A34705">
              <w:rPr>
                <w:rFonts w:cs="David" w:hint="cs"/>
                <w:sz w:val="44"/>
                <w:szCs w:val="44"/>
                <w:highlight w:val="yellow"/>
                <w:rtl/>
              </w:rPr>
              <w:t>הסבר המילה "ומשיב"  לשיטת רבי מאיר</w:t>
            </w:r>
          </w:p>
        </w:tc>
      </w:tr>
      <w:tr w:rsidR="00F41DC3" w:rsidTr="000D1796">
        <w:tc>
          <w:tcPr>
            <w:tcW w:w="3106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במשנה נאמר </w:t>
            </w:r>
          </w:p>
        </w:tc>
        <w:tc>
          <w:tcPr>
            <w:tcW w:w="2130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שלרבי מאיר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  <w:gridSpan w:val="2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לרבי יהודה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</w:tr>
      <w:tr w:rsidR="00F41DC3" w:rsidTr="000D1796">
        <w:tc>
          <w:tcPr>
            <w:tcW w:w="3106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2067BB">
              <w:rPr>
                <w:rFonts w:cs="David" w:hint="cs"/>
                <w:sz w:val="28"/>
                <w:szCs w:val="28"/>
                <w:rtl/>
              </w:rPr>
              <w:t>בפרקים</w:t>
            </w:r>
          </w:p>
        </w:tc>
        <w:tc>
          <w:tcPr>
            <w:tcW w:w="2130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2067BB">
              <w:rPr>
                <w:rFonts w:cs="David" w:hint="cs"/>
                <w:sz w:val="28"/>
                <w:szCs w:val="28"/>
                <w:rtl/>
              </w:rPr>
              <w:t>שואל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מפני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הכבוד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highlight w:val="yellow"/>
                <w:rtl/>
              </w:rPr>
              <w:t>ומשיב</w:t>
            </w:r>
          </w:p>
        </w:tc>
        <w:tc>
          <w:tcPr>
            <w:tcW w:w="4262" w:type="dxa"/>
            <w:gridSpan w:val="2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2067BB">
              <w:rPr>
                <w:rFonts w:cs="David" w:hint="cs"/>
                <w:sz w:val="28"/>
                <w:szCs w:val="28"/>
                <w:rtl/>
              </w:rPr>
              <w:t>שואל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מפני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הכבוד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ומשיב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שלום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לכל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אדם</w:t>
            </w:r>
            <w:r w:rsidRPr="002067BB">
              <w:rPr>
                <w:rFonts w:cs="David"/>
                <w:sz w:val="28"/>
                <w:szCs w:val="28"/>
                <w:rtl/>
              </w:rPr>
              <w:t>.</w:t>
            </w:r>
          </w:p>
        </w:tc>
      </w:tr>
      <w:tr w:rsidR="00F41DC3" w:rsidTr="000D1796">
        <w:tc>
          <w:tcPr>
            <w:tcW w:w="3106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באמצע </w:t>
            </w:r>
          </w:p>
        </w:tc>
        <w:tc>
          <w:tcPr>
            <w:tcW w:w="2130" w:type="dxa"/>
          </w:tcPr>
          <w:p w:rsidR="00F41DC3" w:rsidRPr="002067BB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 w:rsidRPr="002067BB">
              <w:rPr>
                <w:rFonts w:cs="David" w:hint="cs"/>
                <w:sz w:val="28"/>
                <w:szCs w:val="28"/>
                <w:rtl/>
              </w:rPr>
              <w:t>שואל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מפני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היראה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highlight w:val="yellow"/>
                <w:rtl/>
              </w:rPr>
              <w:t>ומשיב</w:t>
            </w:r>
          </w:p>
        </w:tc>
        <w:tc>
          <w:tcPr>
            <w:tcW w:w="4262" w:type="dxa"/>
            <w:gridSpan w:val="2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2067BB">
              <w:rPr>
                <w:rFonts w:cs="David" w:hint="cs"/>
                <w:sz w:val="28"/>
                <w:szCs w:val="28"/>
                <w:rtl/>
              </w:rPr>
              <w:t>באמצע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שואל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מפני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היראה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ומשיב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מפני</w:t>
            </w:r>
            <w:r w:rsidRPr="002067BB"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2067BB">
              <w:rPr>
                <w:rFonts w:cs="David" w:hint="cs"/>
                <w:sz w:val="28"/>
                <w:szCs w:val="28"/>
                <w:rtl/>
              </w:rPr>
              <w:t>הכבוד</w:t>
            </w:r>
          </w:p>
        </w:tc>
      </w:tr>
      <w:tr w:rsidR="00F41DC3" w:rsidTr="000D1796">
        <w:tc>
          <w:tcPr>
            <w:tcW w:w="9498" w:type="dxa"/>
            <w:gridSpan w:val="4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F41DC3" w:rsidTr="000D1796">
        <w:tc>
          <w:tcPr>
            <w:tcW w:w="3106" w:type="dxa"/>
            <w:vMerge w:val="restart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 w:rsidRPr="00A34705">
              <w:rPr>
                <w:rFonts w:cs="David" w:hint="cs"/>
                <w:sz w:val="36"/>
                <w:szCs w:val="36"/>
                <w:rtl/>
              </w:rPr>
              <w:t xml:space="preserve">כיצד מסבירים את המילים </w:t>
            </w:r>
            <w:r w:rsidRPr="00A34705">
              <w:rPr>
                <w:rFonts w:cs="David" w:hint="cs"/>
                <w:sz w:val="36"/>
                <w:szCs w:val="36"/>
                <w:highlight w:val="yellow"/>
                <w:rtl/>
              </w:rPr>
              <w:t>ומשיב</w:t>
            </w:r>
            <w:r w:rsidRPr="00A34705">
              <w:rPr>
                <w:rFonts w:cs="David" w:hint="cs"/>
                <w:sz w:val="36"/>
                <w:szCs w:val="36"/>
                <w:rtl/>
              </w:rPr>
              <w:t xml:space="preserve">  לשיטת רבי מאיר</w:t>
            </w:r>
            <w:r>
              <w:rPr>
                <w:rFonts w:cs="David" w:hint="cs"/>
                <w:sz w:val="28"/>
                <w:szCs w:val="28"/>
                <w:rtl/>
              </w:rPr>
              <w:t>?</w:t>
            </w:r>
          </w:p>
        </w:tc>
        <w:tc>
          <w:tcPr>
            <w:tcW w:w="2130" w:type="dxa"/>
          </w:tcPr>
          <w:p w:rsidR="00F41DC3" w:rsidRPr="002067BB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אפשרות א</w:t>
            </w:r>
          </w:p>
        </w:tc>
        <w:tc>
          <w:tcPr>
            <w:tcW w:w="2131" w:type="dxa"/>
          </w:tcPr>
          <w:p w:rsidR="00F41DC3" w:rsidRPr="002067BB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אפשרות ב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אפשרות ג</w:t>
            </w:r>
          </w:p>
        </w:tc>
      </w:tr>
      <w:tr w:rsidR="00F41DC3" w:rsidTr="000D1796">
        <w:tc>
          <w:tcPr>
            <w:tcW w:w="3106" w:type="dxa"/>
            <w:vMerge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130" w:type="dxa"/>
          </w:tcPr>
          <w:p w:rsidR="00F41DC3" w:rsidRPr="002067BB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ומשיב מפני הכבוד ומשיב מפני היראה ..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בפרקים משיב לכל אדם , ובאמצע משיב מפני הכבוד.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צריך לשנות את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הגרסא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ולומר שבפרקים שאין צריך לומר ומשיב (מפני הכבוד) ובאמצע אין צריך לומר ומשיב (מפני היראה).</w:t>
            </w:r>
          </w:p>
        </w:tc>
      </w:tr>
      <w:tr w:rsidR="00F41DC3" w:rsidTr="000D1796">
        <w:tc>
          <w:tcPr>
            <w:tcW w:w="3106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דחיית האפשרות</w:t>
            </w:r>
          </w:p>
        </w:tc>
        <w:tc>
          <w:tcPr>
            <w:tcW w:w="2130" w:type="dxa"/>
          </w:tcPr>
          <w:p w:rsidR="00F41DC3" w:rsidRPr="002067BB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זה פשוט ואין צורך לכתוב זאת. 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אלו דברי רבי יהודה.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זו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המסקנא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ויש ברייתא שהסבירה בפרוש כך. </w:t>
            </w:r>
          </w:p>
        </w:tc>
      </w:tr>
    </w:tbl>
    <w:p w:rsidR="00F41DC3" w:rsidRDefault="00F41DC3" w:rsidP="00F41DC3">
      <w:pPr>
        <w:rPr>
          <w:rFonts w:cs="David" w:hint="cs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2294" w:tblpY="95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41DC3" w:rsidTr="000D1796">
        <w:tc>
          <w:tcPr>
            <w:tcW w:w="8522" w:type="dxa"/>
            <w:gridSpan w:val="3"/>
          </w:tcPr>
          <w:p w:rsidR="00F41DC3" w:rsidRPr="00514109" w:rsidRDefault="00F41DC3" w:rsidP="000D1796">
            <w:pPr>
              <w:jc w:val="center"/>
              <w:rPr>
                <w:rFonts w:cs="David"/>
                <w:sz w:val="36"/>
                <w:szCs w:val="36"/>
                <w:rtl/>
              </w:rPr>
            </w:pPr>
            <w:r w:rsidRPr="00514109">
              <w:rPr>
                <w:rFonts w:cs="David" w:hint="cs"/>
                <w:sz w:val="36"/>
                <w:szCs w:val="36"/>
                <w:highlight w:val="yellow"/>
                <w:rtl/>
              </w:rPr>
              <w:t xml:space="preserve">האם  הפסקה באמצע הלל </w:t>
            </w:r>
            <w:r>
              <w:rPr>
                <w:rFonts w:cs="David" w:hint="cs"/>
                <w:sz w:val="36"/>
                <w:szCs w:val="36"/>
                <w:highlight w:val="yellow"/>
                <w:rtl/>
              </w:rPr>
              <w:t xml:space="preserve"> </w:t>
            </w:r>
            <w:r w:rsidRPr="00514109">
              <w:rPr>
                <w:rFonts w:cs="David" w:hint="cs"/>
                <w:sz w:val="36"/>
                <w:szCs w:val="36"/>
                <w:highlight w:val="yellow"/>
                <w:rtl/>
              </w:rPr>
              <w:t>וקריאת מגילה  דינה כדיני הפסק באמצע ק"ש?</w:t>
            </w:r>
          </w:p>
        </w:tc>
      </w:tr>
      <w:tr w:rsidR="00F41DC3" w:rsidTr="000D1796">
        <w:tc>
          <w:tcPr>
            <w:tcW w:w="2840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רבי </w:t>
            </w:r>
            <w:proofErr w:type="spellStart"/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חייא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82" w:type="dxa"/>
            <w:gridSpan w:val="2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פוסק ואין בכך כלום כיוון שזה מדרבנן.</w:t>
            </w:r>
          </w:p>
        </w:tc>
      </w:tr>
      <w:tr w:rsidR="00F41DC3" w:rsidTr="000D1796">
        <w:tc>
          <w:tcPr>
            <w:tcW w:w="2840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רבה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בימים שהיחיד גומר את ההלל דינו כק"ש לפי רבי יהודה. </w:t>
            </w:r>
            <w:r w:rsidRPr="00514109">
              <w:rPr>
                <w:rFonts w:cs="David" w:hint="cs"/>
                <w:sz w:val="26"/>
                <w:szCs w:val="26"/>
                <w:rtl/>
              </w:rPr>
              <w:t>(באמצע שואל מפני היראה ומשיב מפני הכבוד).</w:t>
            </w:r>
          </w:p>
        </w:tc>
        <w:tc>
          <w:tcPr>
            <w:tcW w:w="284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בימים שאין היחיד גומר את ההלל פוסק גם באמצע מפני הכבוד ומשיב לכל אדם.</w:t>
            </w:r>
          </w:p>
        </w:tc>
      </w:tr>
    </w:tbl>
    <w:p w:rsidR="00F41DC3" w:rsidRDefault="00F41DC3" w:rsidP="00F41DC3">
      <w:pPr>
        <w:rPr>
          <w:rFonts w:cs="David" w:hint="cs"/>
          <w:sz w:val="28"/>
          <w:szCs w:val="28"/>
          <w:rtl/>
        </w:rPr>
      </w:pPr>
    </w:p>
    <w:p w:rsidR="00F41DC3" w:rsidRDefault="00F41DC3" w:rsidP="00F41DC3">
      <w:pPr>
        <w:rPr>
          <w:rFonts w:cs="David"/>
          <w:sz w:val="28"/>
          <w:szCs w:val="28"/>
          <w:rtl/>
        </w:rPr>
      </w:pPr>
    </w:p>
    <w:p w:rsidR="00F41DC3" w:rsidRDefault="00F41DC3" w:rsidP="00F41DC3">
      <w:pPr>
        <w:rPr>
          <w:rFonts w:cs="David" w:hint="cs"/>
          <w:sz w:val="28"/>
          <w:szCs w:val="28"/>
          <w:rtl/>
        </w:rPr>
      </w:pPr>
    </w:p>
    <w:p w:rsidR="00F41DC3" w:rsidRDefault="00F41DC3" w:rsidP="00F41DC3">
      <w:pPr>
        <w:rPr>
          <w:rFonts w:cs="David" w:hint="cs"/>
          <w:sz w:val="28"/>
          <w:szCs w:val="28"/>
          <w:rtl/>
        </w:rPr>
      </w:pPr>
    </w:p>
    <w:p w:rsidR="00F41DC3" w:rsidRDefault="00F41DC3" w:rsidP="00F41DC3">
      <w:pPr>
        <w:rPr>
          <w:rFonts w:cs="David" w:hint="cs"/>
          <w:sz w:val="28"/>
          <w:szCs w:val="28"/>
          <w:rtl/>
        </w:rPr>
      </w:pPr>
    </w:p>
    <w:p w:rsidR="00F41DC3" w:rsidRDefault="00F41DC3" w:rsidP="00F41DC3">
      <w:pPr>
        <w:rPr>
          <w:rFonts w:cs="David" w:hint="cs"/>
          <w:sz w:val="28"/>
          <w:szCs w:val="28"/>
          <w:rtl/>
        </w:rPr>
      </w:pPr>
    </w:p>
    <w:p w:rsidR="00F41DC3" w:rsidRDefault="00F41DC3" w:rsidP="00F41DC3">
      <w:pPr>
        <w:rPr>
          <w:rFonts w:cs="David" w:hint="cs"/>
          <w:sz w:val="28"/>
          <w:szCs w:val="28"/>
          <w:rtl/>
        </w:rPr>
      </w:pPr>
    </w:p>
    <w:tbl>
      <w:tblPr>
        <w:tblStyle w:val="a3"/>
        <w:bidiVisual/>
        <w:tblW w:w="0" w:type="auto"/>
        <w:tblInd w:w="-183" w:type="dxa"/>
        <w:tblLook w:val="04A0" w:firstRow="1" w:lastRow="0" w:firstColumn="1" w:lastColumn="0" w:noHBand="0" w:noVBand="1"/>
      </w:tblPr>
      <w:tblGrid>
        <w:gridCol w:w="2125"/>
        <w:gridCol w:w="2135"/>
        <w:gridCol w:w="2131"/>
        <w:gridCol w:w="2131"/>
      </w:tblGrid>
      <w:tr w:rsidR="00F41DC3" w:rsidTr="000D1796">
        <w:tc>
          <w:tcPr>
            <w:tcW w:w="8522" w:type="dxa"/>
            <w:gridSpan w:val="4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 w:rsidRPr="00EA0360">
              <w:rPr>
                <w:rFonts w:cs="David" w:hint="cs"/>
                <w:sz w:val="46"/>
                <w:szCs w:val="46"/>
                <w:highlight w:val="yellow"/>
                <w:rtl/>
              </w:rPr>
              <w:lastRenderedPageBreak/>
              <w:t>סדר פרשיות שמע והיה אם שמוע ויאמר:</w:t>
            </w:r>
          </w:p>
        </w:tc>
      </w:tr>
      <w:tr w:rsidR="00F41DC3" w:rsidTr="000D1796">
        <w:tc>
          <w:tcPr>
            <w:tcW w:w="8522" w:type="dxa"/>
            <w:gridSpan w:val="4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בתורה סדר הפרשיות הוא </w:t>
            </w:r>
            <w:r w:rsidRPr="009A7571">
              <w:rPr>
                <w:rFonts w:cs="David" w:hint="cs"/>
                <w:sz w:val="28"/>
                <w:szCs w:val="28"/>
                <w:highlight w:val="magenta"/>
                <w:rtl/>
              </w:rPr>
              <w:t>ויאמר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(במדבר טו) </w:t>
            </w:r>
            <w:r w:rsidRPr="009A7571">
              <w:rPr>
                <w:rFonts w:cs="David" w:hint="cs"/>
                <w:sz w:val="28"/>
                <w:szCs w:val="28"/>
                <w:highlight w:val="magenta"/>
                <w:rtl/>
              </w:rPr>
              <w:t>שמע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(דברים ו) </w:t>
            </w:r>
            <w:r w:rsidRPr="009A7571">
              <w:rPr>
                <w:rFonts w:cs="David" w:hint="cs"/>
                <w:sz w:val="28"/>
                <w:szCs w:val="28"/>
                <w:highlight w:val="magenta"/>
                <w:rtl/>
              </w:rPr>
              <w:t>והיה אם שמוע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(דברים יא) בסדר הקריאה תקנו חכמים סדר שונה הגמרא מבארת מדוע? </w:t>
            </w:r>
          </w:p>
        </w:tc>
      </w:tr>
      <w:tr w:rsidR="00F41DC3" w:rsidTr="000D1796">
        <w:tc>
          <w:tcPr>
            <w:tcW w:w="2125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שמע 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והיה אם שמוע 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ויאמר </w:t>
            </w:r>
          </w:p>
        </w:tc>
      </w:tr>
      <w:tr w:rsidR="00F41DC3" w:rsidTr="000D1796">
        <w:tc>
          <w:tcPr>
            <w:tcW w:w="2125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רבי יהושע בן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קרחה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במשנה</w:t>
            </w:r>
          </w:p>
        </w:tc>
        <w:tc>
          <w:tcPr>
            <w:tcW w:w="2135" w:type="dxa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שיקבל עול מלכות שמיים תחילה.</w:t>
            </w:r>
          </w:p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(גם ביום ובלילה)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ואחר כך יקבל עול מצוות .</w:t>
            </w:r>
          </w:p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(גם ביום ובלילה)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פרשת ציצית נוהגת בעיקרון רק ביום שלילה לאו זמן ציצית. </w:t>
            </w:r>
          </w:p>
        </w:tc>
      </w:tr>
      <w:tr w:rsidR="00F41DC3" w:rsidTr="000D1796">
        <w:tc>
          <w:tcPr>
            <w:tcW w:w="2125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רבי שמעון בר יוחאי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מוסיף הסבר נוסף.</w:t>
            </w:r>
          </w:p>
        </w:tc>
        <w:tc>
          <w:tcPr>
            <w:tcW w:w="2135" w:type="dxa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יש בה מצווה :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ללמוד  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magenta"/>
                <w:rtl/>
              </w:rPr>
              <w:t>"ודברת בם"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וללמד 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magenta"/>
                <w:rtl/>
              </w:rPr>
              <w:t>"</w:t>
            </w:r>
            <w:proofErr w:type="spellStart"/>
            <w:r w:rsidRPr="00E16A3F">
              <w:rPr>
                <w:rFonts w:cs="David" w:hint="cs"/>
                <w:sz w:val="28"/>
                <w:szCs w:val="28"/>
                <w:highlight w:val="magenta"/>
                <w:rtl/>
              </w:rPr>
              <w:t>ושננתם</w:t>
            </w:r>
            <w:proofErr w:type="spellEnd"/>
            <w:r w:rsidRPr="00E16A3F">
              <w:rPr>
                <w:rFonts w:cs="David" w:hint="cs"/>
                <w:sz w:val="28"/>
                <w:szCs w:val="28"/>
                <w:highlight w:val="magenta"/>
                <w:rtl/>
              </w:rPr>
              <w:t>"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ולעשות:</w:t>
            </w:r>
          </w:p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A0360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Pr="00E16A3F">
              <w:rPr>
                <w:rFonts w:cs="David" w:hint="cs"/>
                <w:sz w:val="24"/>
                <w:szCs w:val="24"/>
                <w:highlight w:val="magenta"/>
                <w:rtl/>
              </w:rPr>
              <w:t>"וקשרתם"</w:t>
            </w:r>
            <w:r w:rsidRPr="00EA0360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A0360">
              <w:rPr>
                <w:rFonts w:cs="David"/>
                <w:sz w:val="24"/>
                <w:szCs w:val="24"/>
                <w:rtl/>
              </w:rPr>
              <w:t>–</w:t>
            </w:r>
            <w:r w:rsidRPr="00EA0360">
              <w:rPr>
                <w:rFonts w:cs="David" w:hint="cs"/>
                <w:sz w:val="24"/>
                <w:szCs w:val="24"/>
                <w:rtl/>
              </w:rPr>
              <w:t xml:space="preserve"> תפילין </w:t>
            </w:r>
            <w:r w:rsidRPr="00E16A3F">
              <w:rPr>
                <w:rFonts w:cs="David" w:hint="cs"/>
                <w:sz w:val="26"/>
                <w:szCs w:val="26"/>
                <w:highlight w:val="magenta"/>
                <w:rtl/>
              </w:rPr>
              <w:t>"וכתבתם"-</w:t>
            </w:r>
            <w:r w:rsidRPr="00EA0360">
              <w:rPr>
                <w:rFonts w:cs="David" w:hint="cs"/>
                <w:sz w:val="26"/>
                <w:szCs w:val="26"/>
                <w:rtl/>
              </w:rPr>
              <w:t xml:space="preserve"> מזוזה. 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יש בה מצווה  : 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ללמד  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"ולמדתם אותם"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ולעשות:</w:t>
            </w:r>
          </w:p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A0360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Pr="00E16A3F">
              <w:rPr>
                <w:rFonts w:cs="David" w:hint="cs"/>
                <w:sz w:val="24"/>
                <w:szCs w:val="24"/>
                <w:highlight w:val="magenta"/>
                <w:rtl/>
              </w:rPr>
              <w:t>"וקשרתם"</w:t>
            </w:r>
            <w:r w:rsidRPr="00EA0360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A0360">
              <w:rPr>
                <w:rFonts w:cs="David"/>
                <w:sz w:val="24"/>
                <w:szCs w:val="24"/>
                <w:rtl/>
              </w:rPr>
              <w:t>–</w:t>
            </w:r>
            <w:r w:rsidRPr="00EA0360">
              <w:rPr>
                <w:rFonts w:cs="David" w:hint="cs"/>
                <w:sz w:val="24"/>
                <w:szCs w:val="24"/>
                <w:rtl/>
              </w:rPr>
              <w:t xml:space="preserve"> תפילין </w:t>
            </w:r>
            <w:r w:rsidRPr="00E16A3F">
              <w:rPr>
                <w:rFonts w:cs="David" w:hint="cs"/>
                <w:sz w:val="26"/>
                <w:szCs w:val="26"/>
                <w:highlight w:val="magenta"/>
                <w:rtl/>
              </w:rPr>
              <w:t>"וכתבתם"-</w:t>
            </w:r>
            <w:r w:rsidRPr="00EA0360">
              <w:rPr>
                <w:rFonts w:cs="David" w:hint="cs"/>
                <w:sz w:val="26"/>
                <w:szCs w:val="26"/>
                <w:rtl/>
              </w:rPr>
              <w:t xml:space="preserve"> מזוזה.</w:t>
            </w:r>
          </w:p>
        </w:tc>
        <w:tc>
          <w:tcPr>
            <w:tcW w:w="2131" w:type="dxa"/>
          </w:tcPr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יש בה מצווה   :</w:t>
            </w: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 w:hint="cs"/>
                <w:sz w:val="28"/>
                <w:szCs w:val="28"/>
                <w:rtl/>
              </w:rPr>
            </w:pPr>
          </w:p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לעשות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פרשת ציצית</w:t>
            </w:r>
          </w:p>
        </w:tc>
      </w:tr>
    </w:tbl>
    <w:p w:rsidR="00F41DC3" w:rsidRDefault="00F41DC3" w:rsidP="00F41DC3">
      <w:pPr>
        <w:rPr>
          <w:rFonts w:cs="David"/>
          <w:sz w:val="28"/>
          <w:szCs w:val="28"/>
          <w:rtl/>
        </w:rPr>
      </w:pPr>
    </w:p>
    <w:p w:rsidR="00F41DC3" w:rsidRDefault="00F41DC3" w:rsidP="00F41DC3">
      <w:pPr>
        <w:rPr>
          <w:rFonts w:cs="David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41DC3" w:rsidTr="000D1796">
        <w:tc>
          <w:tcPr>
            <w:tcW w:w="8522" w:type="dxa"/>
            <w:gridSpan w:val="3"/>
          </w:tcPr>
          <w:p w:rsidR="00F41DC3" w:rsidRPr="00E16A3F" w:rsidRDefault="00F41DC3" w:rsidP="000D1796">
            <w:pPr>
              <w:jc w:val="center"/>
              <w:rPr>
                <w:rFonts w:cs="David" w:hint="cs"/>
                <w:sz w:val="36"/>
                <w:szCs w:val="36"/>
                <w:rtl/>
              </w:rPr>
            </w:pPr>
            <w:r w:rsidRPr="00E16A3F">
              <w:rPr>
                <w:rFonts w:cs="David" w:hint="cs"/>
                <w:sz w:val="40"/>
                <w:szCs w:val="40"/>
                <w:highlight w:val="yellow"/>
                <w:rtl/>
              </w:rPr>
              <w:t>נושאים שונים</w:t>
            </w:r>
          </w:p>
        </w:tc>
      </w:tr>
      <w:tr w:rsidR="00F41DC3" w:rsidTr="000D1796">
        <w:tc>
          <w:tcPr>
            <w:tcW w:w="2840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טעימה לשרוי בתענית</w:t>
            </w:r>
          </w:p>
        </w:tc>
        <w:tc>
          <w:tcPr>
            <w:tcW w:w="284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נתינת שלום לחברו לפני תפילת שמונה עשרה</w:t>
            </w:r>
          </w:p>
        </w:tc>
        <w:tc>
          <w:tcPr>
            <w:tcW w:w="284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עשיית חפציו לפני תפילת שמונה עשרה</w:t>
            </w:r>
          </w:p>
        </w:tc>
      </w:tr>
      <w:tr w:rsidR="00F41DC3" w:rsidTr="000D1796">
        <w:tc>
          <w:tcPr>
            <w:tcW w:w="2840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רבי אמי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:מותר ואין בכך כלום עד שיעור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רביעתא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(רביעית הלוג- ביצה ומחצה).</w:t>
            </w:r>
          </w:p>
        </w:tc>
        <w:tc>
          <w:tcPr>
            <w:tcW w:w="284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רב</w:t>
            </w:r>
            <w:r>
              <w:rPr>
                <w:rFonts w:cs="David" w:hint="cs"/>
                <w:sz w:val="28"/>
                <w:szCs w:val="28"/>
                <w:rtl/>
              </w:rPr>
              <w:t xml:space="preserve">": מי שעושה זאת כאילו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עשאו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עבודה זה וזה רק כשמשכים לפתחו.</w:t>
            </w:r>
          </w:p>
        </w:tc>
        <w:tc>
          <w:tcPr>
            <w:tcW w:w="2841" w:type="dxa"/>
          </w:tcPr>
          <w:p w:rsidR="00F41DC3" w:rsidRDefault="00F41DC3" w:rsidP="000D1796">
            <w:pPr>
              <w:rPr>
                <w:rFonts w:cs="David"/>
                <w:sz w:val="28"/>
                <w:szCs w:val="28"/>
                <w:rtl/>
              </w:rPr>
            </w:pPr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 </w:t>
            </w:r>
            <w:proofErr w:type="spellStart"/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>אידי</w:t>
            </w:r>
            <w:proofErr w:type="spellEnd"/>
            <w:r w:rsidRPr="00E16A3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 בר אבין רב יצחק בר אשיאן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: אסור לעשות חפציו לפני התפילה ומי שמתפלל לפני שעושה חפציו הקב"ה עושה לו את חפציו.</w:t>
            </w:r>
          </w:p>
        </w:tc>
      </w:tr>
    </w:tbl>
    <w:p w:rsidR="00F41DC3" w:rsidRPr="00A6612F" w:rsidRDefault="00F41DC3" w:rsidP="00F41DC3">
      <w:pPr>
        <w:rPr>
          <w:rFonts w:cs="David"/>
          <w:sz w:val="28"/>
          <w:szCs w:val="28"/>
        </w:rPr>
      </w:pPr>
    </w:p>
    <w:p w:rsidR="00D50F23" w:rsidRPr="00F41DC3" w:rsidRDefault="00D50F23">
      <w:bookmarkStart w:id="0" w:name="_GoBack"/>
      <w:bookmarkEnd w:id="0"/>
    </w:p>
    <w:sectPr w:rsidR="00D50F23" w:rsidRPr="00F41DC3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C3"/>
    <w:rsid w:val="00C615BF"/>
    <w:rsid w:val="00D50F23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2012-08-15T08:07:00Z</dcterms:created>
  <dcterms:modified xsi:type="dcterms:W3CDTF">2012-08-15T08:07:00Z</dcterms:modified>
</cp:coreProperties>
</file>