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54" w:rsidRDefault="00BD1854" w:rsidP="00BD1854">
      <w:pPr>
        <w:pStyle w:val="2"/>
        <w:spacing w:before="480" w:after="360" w:line="340" w:lineRule="atLeast"/>
        <w:ind w:left="0"/>
        <w:rPr>
          <w:rFonts w:ascii="Arial Narrow" w:hAnsi="Arial Narrow" w:cs="Guttman Vilna" w:hint="cs"/>
          <w:b/>
          <w:bCs/>
          <w:sz w:val="32"/>
          <w:szCs w:val="32"/>
          <w:rtl/>
        </w:rPr>
      </w:pPr>
      <w:r>
        <w:rPr>
          <w:rFonts w:ascii="Arial Narrow" w:hAnsi="Arial Narrow" w:cs="Guttman Vilna" w:hint="cs"/>
          <w:b/>
          <w:bCs/>
          <w:sz w:val="32"/>
          <w:szCs w:val="32"/>
          <w:rtl/>
        </w:rPr>
        <w:t>טבילת בעל קרי</w:t>
      </w:r>
    </w:p>
    <w:p w:rsidR="00BD1854" w:rsidRDefault="00BD1854" w:rsidP="00BD1854">
      <w:pPr>
        <w:pStyle w:val="2"/>
        <w:spacing w:before="0" w:after="0" w:line="340" w:lineRule="atLeast"/>
        <w:ind w:left="3357"/>
        <w:rPr>
          <w:rFonts w:cs="Guttman Rashi" w:hint="cs"/>
          <w:sz w:val="18"/>
          <w:szCs w:val="18"/>
          <w:rtl/>
        </w:rPr>
      </w:pPr>
      <w:r>
        <w:rPr>
          <w:rFonts w:cs="Guttman Stam" w:hint="cs"/>
          <w:sz w:val="22"/>
          <w:szCs w:val="22"/>
          <w:rtl/>
        </w:rPr>
        <w:t xml:space="preserve">"וְרָחַץ בַּמַּיִם אֶת כָּל בְּשָׂרוֹ וְטָמֵא עַד הָעָרֶב" </w:t>
      </w:r>
      <w:r>
        <w:rPr>
          <w:rFonts w:cs="Guttman Rashi" w:hint="cs"/>
          <w:sz w:val="18"/>
          <w:szCs w:val="18"/>
          <w:rtl/>
        </w:rPr>
        <w:t>(ויקרא טו, טז).</w:t>
      </w:r>
    </w:p>
    <w:p w:rsidR="00BD1854" w:rsidRDefault="00BD1854" w:rsidP="00BD1854">
      <w:pPr>
        <w:pStyle w:val="2"/>
        <w:spacing w:before="360" w:after="120" w:line="340" w:lineRule="atLeast"/>
        <w:ind w:left="0"/>
        <w:rPr>
          <w:rFonts w:cs="Guttman Vilna" w:hint="cs"/>
          <w:b/>
          <w:bCs/>
          <w:szCs w:val="24"/>
          <w:rtl/>
        </w:rPr>
      </w:pPr>
      <w:r>
        <w:rPr>
          <w:rFonts w:cs="Guttman Vilna" w:hint="cs"/>
          <w:b/>
          <w:bCs/>
          <w:szCs w:val="24"/>
          <w:rtl/>
        </w:rPr>
        <w:t>שאלה</w:t>
      </w:r>
    </w:p>
    <w:p w:rsidR="00BD1854" w:rsidRDefault="00BD1854" w:rsidP="00BD1854">
      <w:pPr>
        <w:spacing w:before="120" w:line="340" w:lineRule="atLeast"/>
        <w:ind w:firstLine="397"/>
        <w:jc w:val="center"/>
        <w:rPr>
          <w:rFonts w:cs="David" w:hint="cs"/>
          <w:b/>
          <w:bCs/>
          <w:sz w:val="24"/>
          <w:szCs w:val="24"/>
          <w:rtl/>
        </w:rPr>
      </w:pPr>
      <w:r>
        <w:rPr>
          <w:rFonts w:cs="David" w:hint="cs"/>
          <w:b/>
          <w:bCs/>
          <w:sz w:val="24"/>
          <w:szCs w:val="24"/>
          <w:rtl/>
        </w:rPr>
        <w:t xml:space="preserve">האם בעל קרי </w:t>
      </w:r>
      <w:r>
        <w:rPr>
          <w:rFonts w:cs="David" w:hint="cs"/>
          <w:b/>
          <w:bCs/>
          <w:sz w:val="24"/>
          <w:szCs w:val="20"/>
          <w:rtl/>
        </w:rPr>
        <w:t>(דהיינו מי שיצאה ממנו שכבת זרע בשוגג או בזדון)</w:t>
      </w:r>
      <w:r>
        <w:rPr>
          <w:rFonts w:cs="David" w:hint="cs"/>
          <w:b/>
          <w:bCs/>
          <w:sz w:val="24"/>
          <w:szCs w:val="24"/>
          <w:rtl/>
        </w:rPr>
        <w:t xml:space="preserve"> יכול להתפלל או לעסוק בתורה לפני שהוא טבל במקווה, או שפך על עצמו ט' קבין </w:t>
      </w:r>
      <w:r>
        <w:rPr>
          <w:rFonts w:cs="David" w:hint="cs"/>
          <w:b/>
          <w:bCs/>
          <w:sz w:val="24"/>
          <w:szCs w:val="20"/>
          <w:rtl/>
        </w:rPr>
        <w:t>(שלושה עשר ליטר)</w:t>
      </w:r>
      <w:r>
        <w:rPr>
          <w:rFonts w:cs="David" w:hint="cs"/>
          <w:b/>
          <w:bCs/>
          <w:sz w:val="24"/>
          <w:szCs w:val="24"/>
          <w:rtl/>
        </w:rPr>
        <w:t xml:space="preserve"> של מים?</w:t>
      </w: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t>דין תורה</w:t>
      </w:r>
    </w:p>
    <w:p w:rsidR="00BD1854" w:rsidRDefault="00BD1854" w:rsidP="00BD1854">
      <w:pPr>
        <w:tabs>
          <w:tab w:val="left" w:pos="2160"/>
        </w:tabs>
        <w:spacing w:before="120" w:line="340" w:lineRule="atLeast"/>
        <w:ind w:firstLine="397"/>
        <w:jc w:val="both"/>
        <w:rPr>
          <w:rFonts w:cs="David" w:hint="cs"/>
          <w:sz w:val="24"/>
          <w:szCs w:val="24"/>
          <w:rtl/>
        </w:rPr>
      </w:pPr>
      <w:r>
        <w:rPr>
          <w:rFonts w:cs="David" w:hint="cs"/>
          <w:b/>
          <w:bCs/>
          <w:sz w:val="24"/>
          <w:szCs w:val="24"/>
          <w:rtl/>
        </w:rPr>
        <w:t>בפרשתנו</w:t>
      </w:r>
      <w:r>
        <w:rPr>
          <w:rFonts w:cs="David" w:hint="cs"/>
          <w:sz w:val="24"/>
          <w:szCs w:val="24"/>
          <w:rtl/>
        </w:rPr>
        <w:t xml:space="preserve"> נאמר כי אדם שיצאה ממנו שכבת זרע צריך לטבול באותו יום, ובערב הוא יהיה טהור: "וְאִישׁ כִּי תֵצֵא מִמֶּנּוּ שִׁכְבַת זָרַע וְרָחַץ בַּמַּיִם אֶת כָּל בְּשָׂרוֹ וְטָמֵא עַד הָעָרֶב" </w:t>
      </w:r>
      <w:r>
        <w:rPr>
          <w:rFonts w:cs="David" w:hint="cs"/>
          <w:sz w:val="24"/>
          <w:szCs w:val="20"/>
          <w:rtl/>
        </w:rPr>
        <w:t>(ויקרא טו, טז)</w:t>
      </w:r>
      <w:r>
        <w:rPr>
          <w:rFonts w:cs="David" w:hint="cs"/>
          <w:sz w:val="24"/>
          <w:szCs w:val="24"/>
          <w:rtl/>
        </w:rPr>
        <w:t xml:space="preserve">. דין זה שייך לזמן שבית המקדש היה קיים, שאז היו נוהגים דיני טומאה וטהרה. אך מיום שחרב בית המקדש בטלו דיני טומאה וטהרה, ודין זה אינו נוהג עוד. </w:t>
      </w:r>
      <w:r>
        <w:rPr>
          <w:rFonts w:cs="David" w:hint="cs"/>
          <w:b/>
          <w:bCs/>
          <w:sz w:val="24"/>
          <w:szCs w:val="24"/>
          <w:rtl/>
        </w:rPr>
        <w:t xml:space="preserve">מדין תורה </w:t>
      </w:r>
      <w:r>
        <w:rPr>
          <w:rFonts w:cs="David" w:hint="cs"/>
          <w:sz w:val="24"/>
          <w:szCs w:val="24"/>
          <w:rtl/>
        </w:rPr>
        <w:t xml:space="preserve">בעל קרי אינו צריך לטבול. </w:t>
      </w: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t>תקנת עזרא</w:t>
      </w:r>
    </w:p>
    <w:p w:rsidR="00BD1854" w:rsidRDefault="00BD1854" w:rsidP="00BD1854">
      <w:pPr>
        <w:spacing w:before="120" w:line="340" w:lineRule="atLeast"/>
        <w:ind w:firstLine="397"/>
        <w:jc w:val="both"/>
        <w:rPr>
          <w:rFonts w:cs="David"/>
          <w:sz w:val="24"/>
          <w:szCs w:val="24"/>
          <w:rtl/>
        </w:rPr>
        <w:sectPr w:rsidR="00BD1854" w:rsidSect="00BD1854">
          <w:headerReference w:type="default" r:id="rId5"/>
          <w:pgSz w:w="11906" w:h="16838" w:code="9"/>
          <w:pgMar w:top="3175" w:right="2835" w:bottom="3175" w:left="2835" w:header="2552" w:footer="709" w:gutter="0"/>
          <w:pgNumType w:fmt="hebrew1"/>
          <w:cols w:space="708"/>
          <w:bidi/>
          <w:rtlGutter/>
          <w:docGrid w:linePitch="360"/>
        </w:sectPr>
      </w:pPr>
      <w:r>
        <w:rPr>
          <w:rFonts w:cs="David" w:hint="cs"/>
          <w:sz w:val="24"/>
          <w:szCs w:val="24"/>
          <w:rtl/>
        </w:rPr>
        <w:t xml:space="preserve">כאשר עלה </w:t>
      </w:r>
      <w:r>
        <w:rPr>
          <w:rFonts w:cs="David" w:hint="cs"/>
          <w:b/>
          <w:bCs/>
          <w:sz w:val="24"/>
          <w:szCs w:val="24"/>
          <w:rtl/>
        </w:rPr>
        <w:t>עזרא הסופר</w:t>
      </w:r>
      <w:r>
        <w:rPr>
          <w:rFonts w:cs="David" w:hint="cs"/>
          <w:sz w:val="24"/>
          <w:szCs w:val="24"/>
          <w:rtl/>
        </w:rPr>
        <w:t xml:space="preserve"> לארץ הוא תיקן עשר תקנות חדשות שהיו נצרכות לעם ישראל באותו הדור. אחת מהתקנות הייתה שבעלי קרי יצטרכו לטבול לפני שהם רוצים ללמוד תורה או לקרוא קריאת שמע. "עשר תקנות תיקן עזרא, שקורין במנחה בשבת, וקורין בשני </w:t>
      </w:r>
    </w:p>
    <w:p w:rsidR="00BD1854" w:rsidRDefault="00BD1854" w:rsidP="00BD1854">
      <w:pPr>
        <w:spacing w:line="340" w:lineRule="atLeast"/>
        <w:jc w:val="both"/>
        <w:rPr>
          <w:rFonts w:cs="David" w:hint="cs"/>
          <w:sz w:val="24"/>
          <w:szCs w:val="24"/>
          <w:rtl/>
        </w:rPr>
      </w:pPr>
      <w:r>
        <w:rPr>
          <w:rFonts w:cs="David" w:hint="cs"/>
          <w:sz w:val="24"/>
          <w:szCs w:val="24"/>
          <w:rtl/>
        </w:rPr>
        <w:lastRenderedPageBreak/>
        <w:t>ובחמישי...</w:t>
      </w:r>
      <w:r>
        <w:rPr>
          <w:rFonts w:cs="David" w:hint="cs"/>
          <w:b/>
          <w:bCs/>
          <w:sz w:val="24"/>
          <w:szCs w:val="24"/>
          <w:rtl/>
        </w:rPr>
        <w:t>ותיקן טבילה לבעלי קריין</w:t>
      </w:r>
      <w:r>
        <w:rPr>
          <w:rFonts w:cs="David" w:hint="cs"/>
          <w:sz w:val="24"/>
          <w:szCs w:val="24"/>
          <w:rtl/>
        </w:rPr>
        <w:t xml:space="preserve">" </w:t>
      </w:r>
      <w:r>
        <w:rPr>
          <w:rFonts w:cs="David" w:hint="cs"/>
          <w:sz w:val="24"/>
          <w:szCs w:val="20"/>
          <w:rtl/>
        </w:rPr>
        <w:t>(ב"ק פב.)</w:t>
      </w:r>
      <w:r>
        <w:rPr>
          <w:rFonts w:cs="David" w:hint="cs"/>
          <w:sz w:val="24"/>
          <w:szCs w:val="24"/>
          <w:rtl/>
        </w:rPr>
        <w:t>. מזמנו של עזרא היה בעל קרי חייב לטבול</w:t>
      </w:r>
      <w:r>
        <w:rPr>
          <w:rFonts w:cs="David" w:hint="cs"/>
          <w:b/>
          <w:bCs/>
          <w:sz w:val="24"/>
          <w:szCs w:val="24"/>
          <w:rtl/>
        </w:rPr>
        <w:t xml:space="preserve"> מדין תקנת עזרא</w:t>
      </w:r>
      <w:r>
        <w:rPr>
          <w:rFonts w:cs="David" w:hint="cs"/>
          <w:sz w:val="24"/>
          <w:szCs w:val="24"/>
          <w:rtl/>
        </w:rPr>
        <w:t xml:space="preserve">. </w:t>
      </w: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t>ביטלו את תקנת עזרא</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הגמרא</w:t>
      </w:r>
      <w:r>
        <w:rPr>
          <w:rFonts w:cs="David" w:hint="cs"/>
          <w:sz w:val="24"/>
          <w:szCs w:val="24"/>
          <w:rtl/>
        </w:rPr>
        <w:t xml:space="preserve"> במסכת </w:t>
      </w:r>
      <w:r>
        <w:rPr>
          <w:rFonts w:cs="David" w:hint="cs"/>
          <w:b/>
          <w:bCs/>
          <w:sz w:val="24"/>
          <w:szCs w:val="24"/>
          <w:rtl/>
        </w:rPr>
        <w:t xml:space="preserve">ברכות </w:t>
      </w:r>
      <w:r>
        <w:rPr>
          <w:rFonts w:cs="David" w:hint="cs"/>
          <w:sz w:val="24"/>
          <w:szCs w:val="24"/>
          <w:rtl/>
        </w:rPr>
        <w:t xml:space="preserve">מבארת כי למעשה ביטלו את תקנת עזרא. "כי אתא </w:t>
      </w:r>
      <w:r>
        <w:rPr>
          <w:rFonts w:cs="David" w:hint="cs"/>
          <w:b/>
          <w:bCs/>
          <w:sz w:val="24"/>
          <w:szCs w:val="24"/>
          <w:rtl/>
        </w:rPr>
        <w:t>זעירי</w:t>
      </w:r>
      <w:r>
        <w:rPr>
          <w:rFonts w:cs="David" w:hint="cs"/>
          <w:sz w:val="24"/>
          <w:szCs w:val="24"/>
          <w:rtl/>
        </w:rPr>
        <w:t xml:space="preserve">, אמר: בטלוה לטבילותא" </w:t>
      </w:r>
      <w:r>
        <w:rPr>
          <w:rFonts w:cs="David" w:hint="cs"/>
          <w:sz w:val="24"/>
          <w:szCs w:val="20"/>
          <w:rtl/>
        </w:rPr>
        <w:t>(ברכות כב.)</w:t>
      </w:r>
      <w:r>
        <w:rPr>
          <w:rFonts w:cs="David" w:hint="cs"/>
          <w:sz w:val="24"/>
          <w:szCs w:val="24"/>
          <w:rtl/>
        </w:rPr>
        <w:t xml:space="preserve">. </w:t>
      </w:r>
      <w:r>
        <w:rPr>
          <w:rFonts w:cs="David" w:hint="cs"/>
          <w:b/>
          <w:bCs/>
          <w:sz w:val="24"/>
          <w:szCs w:val="24"/>
          <w:rtl/>
        </w:rPr>
        <w:t>תרגום</w:t>
      </w:r>
      <w:r>
        <w:rPr>
          <w:rFonts w:cs="David" w:hint="cs"/>
          <w:sz w:val="24"/>
          <w:szCs w:val="24"/>
          <w:rtl/>
        </w:rPr>
        <w:t>:</w:t>
      </w:r>
      <w:r>
        <w:rPr>
          <w:rFonts w:cs="David"/>
          <w:sz w:val="24"/>
          <w:szCs w:val="24"/>
          <w:rtl/>
        </w:rPr>
        <w:t xml:space="preserve"> </w:t>
      </w:r>
      <w:r>
        <w:rPr>
          <w:rFonts w:cs="David" w:hint="cs"/>
          <w:sz w:val="24"/>
          <w:szCs w:val="24"/>
          <w:rtl/>
        </w:rPr>
        <w:t xml:space="preserve">כאשר בא זעירי </w:t>
      </w:r>
      <w:r>
        <w:rPr>
          <w:rFonts w:cs="David" w:hint="cs"/>
          <w:sz w:val="24"/>
          <w:szCs w:val="20"/>
          <w:rtl/>
        </w:rPr>
        <w:t>(שם של חכם)</w:t>
      </w:r>
      <w:r>
        <w:rPr>
          <w:rFonts w:cs="David" w:hint="cs"/>
          <w:sz w:val="24"/>
          <w:szCs w:val="24"/>
          <w:rtl/>
        </w:rPr>
        <w:t xml:space="preserve"> אמר שבטלו את חובת הטבילה. הסיבה שביטלו את טבילת עזרא היא מפני </w:t>
      </w:r>
      <w:r>
        <w:rPr>
          <w:rFonts w:cs="David" w:hint="cs"/>
          <w:b/>
          <w:bCs/>
          <w:sz w:val="24"/>
          <w:szCs w:val="24"/>
          <w:rtl/>
        </w:rPr>
        <w:t>שדברי תורה אינם מקבלים טומאה</w:t>
      </w:r>
      <w:r>
        <w:rPr>
          <w:rFonts w:cs="David" w:hint="cs"/>
          <w:sz w:val="24"/>
          <w:szCs w:val="24"/>
          <w:rtl/>
        </w:rPr>
        <w:t xml:space="preserve">, ולכן אין בעיה שבעל קרי ילמד תורה. </w:t>
      </w:r>
      <w:r>
        <w:rPr>
          <w:rFonts w:cs="David" w:hint="cs"/>
          <w:b/>
          <w:bCs/>
          <w:sz w:val="24"/>
          <w:szCs w:val="24"/>
          <w:rtl/>
        </w:rPr>
        <w:t>הרמב</w:t>
      </w:r>
      <w:r>
        <w:rPr>
          <w:rFonts w:cs="David"/>
          <w:sz w:val="24"/>
          <w:szCs w:val="24"/>
          <w:rtl/>
        </w:rPr>
        <w:t>"</w:t>
      </w:r>
      <w:r>
        <w:rPr>
          <w:rFonts w:cs="David" w:hint="cs"/>
          <w:b/>
          <w:bCs/>
          <w:sz w:val="24"/>
          <w:szCs w:val="24"/>
          <w:rtl/>
        </w:rPr>
        <w:t>ם</w:t>
      </w:r>
      <w:r>
        <w:rPr>
          <w:rFonts w:cs="David" w:hint="cs"/>
          <w:sz w:val="24"/>
          <w:szCs w:val="24"/>
          <w:rtl/>
        </w:rPr>
        <w:t xml:space="preserve"> כתב סיבה נוספת שבגינה בטלו תקנה זו, והיא מפני שלא היה כוח לציבור לעמוד בה, וזה לשונו: "וכבר בטלה גם תקנה זו של טבילה לפי שלא פשטה בכל ישראל ולא היה כוח בציבור לעמוד בה" </w:t>
      </w:r>
      <w:r>
        <w:rPr>
          <w:rFonts w:cs="David" w:hint="cs"/>
          <w:sz w:val="24"/>
          <w:szCs w:val="20"/>
          <w:rtl/>
        </w:rPr>
        <w:t>(הל</w:t>
      </w:r>
      <w:r>
        <w:rPr>
          <w:rFonts w:cs="David"/>
          <w:sz w:val="24"/>
          <w:szCs w:val="20"/>
          <w:rtl/>
        </w:rPr>
        <w:t>'</w:t>
      </w:r>
      <w:r>
        <w:rPr>
          <w:rFonts w:cs="David" w:hint="cs"/>
          <w:sz w:val="24"/>
          <w:szCs w:val="20"/>
          <w:rtl/>
        </w:rPr>
        <w:t xml:space="preserve"> תפילה פ"ד, ה"ה)</w:t>
      </w:r>
      <w:r>
        <w:rPr>
          <w:rFonts w:cs="David" w:hint="cs"/>
          <w:sz w:val="24"/>
          <w:szCs w:val="24"/>
          <w:rtl/>
        </w:rPr>
        <w:t xml:space="preserve">. וכן כתב </w:t>
      </w:r>
      <w:r>
        <w:rPr>
          <w:rFonts w:cs="David" w:hint="cs"/>
          <w:b/>
          <w:bCs/>
          <w:sz w:val="24"/>
          <w:szCs w:val="24"/>
          <w:rtl/>
        </w:rPr>
        <w:t>השולחן ערוך</w:t>
      </w:r>
      <w:r>
        <w:rPr>
          <w:rFonts w:cs="David" w:hint="cs"/>
          <w:sz w:val="24"/>
          <w:szCs w:val="24"/>
          <w:rtl/>
        </w:rPr>
        <w:t xml:space="preserve">, "ואחר כך בטלו אותה תקנה והעמידו הדבר על הדין, שאף בעל קרי מותר בדברי תורה ובקריאת שמע ובתפלה בלא טבילה ובלא רחיצה דתשעה קבין וכן פשט המנהג" </w:t>
      </w:r>
      <w:r>
        <w:rPr>
          <w:rFonts w:cs="David" w:hint="cs"/>
          <w:sz w:val="24"/>
          <w:szCs w:val="20"/>
          <w:rtl/>
        </w:rPr>
        <w:t>(שו"ע או"ח פח, א)</w:t>
      </w:r>
      <w:r>
        <w:rPr>
          <w:rFonts w:cs="David" w:hint="cs"/>
          <w:sz w:val="24"/>
          <w:szCs w:val="24"/>
          <w:rtl/>
        </w:rPr>
        <w:t xml:space="preserve">. </w:t>
      </w: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t>גם החכמים שהקלו בדין חובת הטבילה היו מחמירים על עצמם</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הגמרא</w:t>
      </w:r>
      <w:r>
        <w:rPr>
          <w:rFonts w:cs="David" w:hint="cs"/>
          <w:sz w:val="24"/>
          <w:szCs w:val="24"/>
          <w:rtl/>
        </w:rPr>
        <w:t xml:space="preserve"> מספרת על </w:t>
      </w:r>
      <w:r>
        <w:rPr>
          <w:rFonts w:cs="David" w:hint="cs"/>
          <w:b/>
          <w:bCs/>
          <w:sz w:val="24"/>
          <w:szCs w:val="24"/>
          <w:rtl/>
        </w:rPr>
        <w:t xml:space="preserve">רבי יהודה, </w:t>
      </w:r>
      <w:r>
        <w:rPr>
          <w:rFonts w:cs="David" w:hint="cs"/>
          <w:sz w:val="24"/>
          <w:szCs w:val="24"/>
          <w:rtl/>
        </w:rPr>
        <w:t xml:space="preserve">שלמרות שהיה מקל בהלכה זו ואומר שבעלי קרי לא חייבים לטבול על מנת ללמוד תורה, על עצמו הוא היה מחמיר, והיה טובל לפני שהיה מלמד את תלמידיו תורה. ואפילו אם היה רוצה ללמדם הלכות דרך ארץ היה מחמיר על עצמו וטובל לפני הלימוד: "מעשה ברבי יהודה שראה קרי והיה מהלך על גב הנהר. אמרו לו תלמידיו: רבנו, שנה לנו פרק אחד בהלכות דרך ארץ! ירד וטבל ושנה להם. אמרו לו: לא כך למדתנו רבנו: בעל קרי שונה הוא בהלכות דרך ארץ מבלי לטבול? אמר להם: אף על פי שמיקל אני על אחרים, </w:t>
      </w:r>
      <w:r>
        <w:rPr>
          <w:rFonts w:cs="David" w:hint="cs"/>
          <w:b/>
          <w:bCs/>
          <w:sz w:val="24"/>
          <w:szCs w:val="24"/>
          <w:rtl/>
        </w:rPr>
        <w:t>מחמיר</w:t>
      </w:r>
      <w:r>
        <w:rPr>
          <w:rFonts w:cs="David" w:hint="cs"/>
          <w:sz w:val="24"/>
          <w:szCs w:val="24"/>
          <w:rtl/>
        </w:rPr>
        <w:t xml:space="preserve"> אני על עצמי</w:t>
      </w:r>
      <w:r>
        <w:rPr>
          <w:rFonts w:cs="David"/>
          <w:sz w:val="24"/>
          <w:szCs w:val="24"/>
          <w:rtl/>
        </w:rPr>
        <w:t>"</w:t>
      </w:r>
      <w:r>
        <w:rPr>
          <w:rFonts w:cs="David" w:hint="cs"/>
          <w:sz w:val="24"/>
          <w:szCs w:val="24"/>
          <w:rtl/>
        </w:rPr>
        <w:t xml:space="preserve"> </w:t>
      </w:r>
      <w:r>
        <w:rPr>
          <w:rFonts w:cs="David" w:hint="cs"/>
          <w:sz w:val="24"/>
          <w:szCs w:val="20"/>
          <w:rtl/>
        </w:rPr>
        <w:t>(ברכות כב.)</w:t>
      </w:r>
      <w:r>
        <w:rPr>
          <w:rFonts w:cs="David" w:hint="cs"/>
          <w:sz w:val="24"/>
          <w:szCs w:val="24"/>
          <w:rtl/>
        </w:rPr>
        <w:t xml:space="preserve">. </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עוד מבארת הגמרא</w:t>
      </w:r>
      <w:r>
        <w:rPr>
          <w:rFonts w:cs="David" w:hint="cs"/>
          <w:sz w:val="24"/>
          <w:szCs w:val="24"/>
          <w:rtl/>
        </w:rPr>
        <w:t xml:space="preserve"> בשם </w:t>
      </w:r>
      <w:r>
        <w:rPr>
          <w:rFonts w:cs="David" w:hint="cs"/>
          <w:b/>
          <w:bCs/>
          <w:sz w:val="24"/>
          <w:szCs w:val="24"/>
          <w:rtl/>
        </w:rPr>
        <w:t xml:space="preserve">רבי ינאי </w:t>
      </w:r>
      <w:r>
        <w:rPr>
          <w:rFonts w:cs="David" w:hint="cs"/>
          <w:sz w:val="24"/>
          <w:szCs w:val="24"/>
          <w:rtl/>
        </w:rPr>
        <w:t xml:space="preserve">שראוי להחמיר בטבילה זו: "אמר רבי ינאי: שמעתי שמקילין בה </w:t>
      </w:r>
      <w:r>
        <w:rPr>
          <w:rFonts w:cs="David" w:hint="cs"/>
          <w:sz w:val="24"/>
          <w:szCs w:val="20"/>
          <w:rtl/>
        </w:rPr>
        <w:t>(בטבילה זו)</w:t>
      </w:r>
      <w:r>
        <w:rPr>
          <w:rFonts w:cs="David" w:hint="cs"/>
          <w:sz w:val="24"/>
          <w:szCs w:val="24"/>
          <w:rtl/>
        </w:rPr>
        <w:t xml:space="preserve"> ושמעתי שמחמירין בה, </w:t>
      </w:r>
      <w:r>
        <w:rPr>
          <w:rFonts w:cs="David" w:hint="cs"/>
          <w:b/>
          <w:bCs/>
          <w:sz w:val="24"/>
          <w:szCs w:val="24"/>
          <w:rtl/>
        </w:rPr>
        <w:t xml:space="preserve">וכל המחמיר בה </w:t>
      </w:r>
      <w:r>
        <w:rPr>
          <w:rFonts w:cs="David" w:hint="cs"/>
          <w:sz w:val="24"/>
          <w:szCs w:val="24"/>
          <w:rtl/>
        </w:rPr>
        <w:t>על עצמו, מאריכין לו ימיו ושנותיו</w:t>
      </w:r>
      <w:r>
        <w:rPr>
          <w:rFonts w:cs="David"/>
          <w:sz w:val="24"/>
          <w:szCs w:val="24"/>
          <w:rtl/>
        </w:rPr>
        <w:t>"</w:t>
      </w:r>
      <w:r>
        <w:rPr>
          <w:rFonts w:cs="David" w:hint="cs"/>
          <w:sz w:val="24"/>
          <w:szCs w:val="24"/>
          <w:rtl/>
        </w:rPr>
        <w:t xml:space="preserve"> </w:t>
      </w:r>
      <w:r>
        <w:rPr>
          <w:rFonts w:cs="David" w:hint="cs"/>
          <w:sz w:val="24"/>
          <w:szCs w:val="20"/>
          <w:rtl/>
        </w:rPr>
        <w:t>(שם)</w:t>
      </w:r>
      <w:r>
        <w:rPr>
          <w:rFonts w:cs="David" w:hint="cs"/>
          <w:sz w:val="24"/>
          <w:szCs w:val="24"/>
          <w:rtl/>
        </w:rPr>
        <w:t xml:space="preserve">. </w:t>
      </w: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t>הרמב</w:t>
      </w:r>
      <w:r>
        <w:rPr>
          <w:rFonts w:cs="Guttman Vilna"/>
          <w:b/>
          <w:bCs/>
          <w:szCs w:val="24"/>
          <w:rtl/>
        </w:rPr>
        <w:t>"</w:t>
      </w:r>
      <w:r>
        <w:rPr>
          <w:rFonts w:cs="Guttman Vilna" w:hint="cs"/>
          <w:b/>
          <w:bCs/>
          <w:szCs w:val="24"/>
          <w:rtl/>
        </w:rPr>
        <w:t>ם היה מחמיר על עצמו</w:t>
      </w:r>
    </w:p>
    <w:p w:rsidR="00BD1854" w:rsidRDefault="00BD1854" w:rsidP="00BD1854">
      <w:pPr>
        <w:spacing w:before="120" w:line="340" w:lineRule="atLeast"/>
        <w:ind w:firstLine="397"/>
        <w:jc w:val="both"/>
        <w:rPr>
          <w:rFonts w:cs="David" w:hint="cs"/>
          <w:sz w:val="24"/>
          <w:szCs w:val="24"/>
          <w:rtl/>
        </w:rPr>
      </w:pPr>
      <w:r>
        <w:rPr>
          <w:rFonts w:cs="David" w:hint="cs"/>
          <w:sz w:val="24"/>
          <w:szCs w:val="24"/>
          <w:rtl/>
        </w:rPr>
        <w:t xml:space="preserve"> בספר </w:t>
      </w:r>
      <w:r>
        <w:rPr>
          <w:rFonts w:cs="David" w:hint="cs"/>
          <w:b/>
          <w:bCs/>
          <w:sz w:val="24"/>
          <w:szCs w:val="24"/>
          <w:rtl/>
        </w:rPr>
        <w:t>ראשית חוכמה</w:t>
      </w:r>
      <w:r>
        <w:rPr>
          <w:rFonts w:cs="David" w:hint="cs"/>
          <w:sz w:val="24"/>
          <w:szCs w:val="24"/>
          <w:rtl/>
        </w:rPr>
        <w:t xml:space="preserve"> מביא כי גם </w:t>
      </w:r>
      <w:r>
        <w:rPr>
          <w:rFonts w:cs="David" w:hint="cs"/>
          <w:b/>
          <w:bCs/>
          <w:sz w:val="24"/>
          <w:szCs w:val="24"/>
          <w:rtl/>
        </w:rPr>
        <w:t>הרמב</w:t>
      </w:r>
      <w:r>
        <w:rPr>
          <w:rFonts w:cs="David"/>
          <w:sz w:val="24"/>
          <w:szCs w:val="24"/>
          <w:rtl/>
        </w:rPr>
        <w:t>"</w:t>
      </w:r>
      <w:r>
        <w:rPr>
          <w:rFonts w:cs="David" w:hint="cs"/>
          <w:b/>
          <w:bCs/>
          <w:sz w:val="24"/>
          <w:szCs w:val="24"/>
          <w:rtl/>
        </w:rPr>
        <w:t>ם</w:t>
      </w:r>
      <w:r>
        <w:rPr>
          <w:rFonts w:cs="David" w:hint="cs"/>
          <w:sz w:val="24"/>
          <w:szCs w:val="24"/>
          <w:rtl/>
        </w:rPr>
        <w:t xml:space="preserve"> שפסק שבטלה תקנת טבילה זו, פסק זאת להמון</w:t>
      </w:r>
      <w:r>
        <w:rPr>
          <w:rFonts w:cs="David" w:hint="cs"/>
          <w:b/>
          <w:bCs/>
          <w:sz w:val="24"/>
          <w:szCs w:val="24"/>
          <w:rtl/>
        </w:rPr>
        <w:t xml:space="preserve"> מצד הדין</w:t>
      </w:r>
      <w:r>
        <w:rPr>
          <w:rFonts w:cs="David" w:hint="cs"/>
          <w:sz w:val="24"/>
          <w:szCs w:val="24"/>
          <w:rtl/>
        </w:rPr>
        <w:t xml:space="preserve">, אך על עצמו הוא החמיר בעניין זה, ומעולם לא ביטל טבילה זו, וזה לשונו: </w:t>
      </w:r>
      <w:r>
        <w:rPr>
          <w:rFonts w:cs="David"/>
          <w:sz w:val="24"/>
          <w:szCs w:val="24"/>
          <w:rtl/>
        </w:rPr>
        <w:t>"</w:t>
      </w:r>
      <w:r>
        <w:rPr>
          <w:rFonts w:cs="David" w:hint="cs"/>
          <w:sz w:val="24"/>
          <w:szCs w:val="24"/>
          <w:rtl/>
        </w:rPr>
        <w:t xml:space="preserve">וכן כתב רבנו משה </w:t>
      </w:r>
      <w:r>
        <w:rPr>
          <w:rFonts w:cs="David" w:hint="cs"/>
          <w:sz w:val="24"/>
          <w:szCs w:val="20"/>
          <w:rtl/>
        </w:rPr>
        <w:t>(בן מימון)</w:t>
      </w:r>
      <w:r>
        <w:rPr>
          <w:rFonts w:cs="David" w:hint="cs"/>
          <w:sz w:val="24"/>
          <w:szCs w:val="24"/>
          <w:rtl/>
        </w:rPr>
        <w:t xml:space="preserve"> ז"ל דכל ראשי ישיבות שבבבל תמהו עליו למה היה מקל כל כך בעניין טבילות בעל קרי, והוא ז"ל השיב להם </w:t>
      </w:r>
      <w:r>
        <w:rPr>
          <w:rFonts w:cs="David" w:hint="cs"/>
          <w:b/>
          <w:bCs/>
          <w:sz w:val="24"/>
          <w:szCs w:val="24"/>
          <w:rtl/>
        </w:rPr>
        <w:t xml:space="preserve">שמימיו לא ביטל אותה, </w:t>
      </w:r>
      <w:r>
        <w:rPr>
          <w:rFonts w:cs="David" w:hint="cs"/>
          <w:sz w:val="24"/>
          <w:szCs w:val="24"/>
          <w:rtl/>
        </w:rPr>
        <w:t xml:space="preserve">אלא שלא היה יכול לכתוב בחבורו כי אם היוצא מן הדין על פי ההלכה" </w:t>
      </w:r>
      <w:r>
        <w:rPr>
          <w:rFonts w:cs="David" w:hint="cs"/>
          <w:sz w:val="24"/>
          <w:szCs w:val="20"/>
          <w:rtl/>
        </w:rPr>
        <w:t>(ראשית חוכמה, שער האהבה, פ"יא)</w:t>
      </w:r>
      <w:r>
        <w:rPr>
          <w:rFonts w:cs="David" w:hint="cs"/>
          <w:sz w:val="24"/>
          <w:szCs w:val="24"/>
          <w:rtl/>
        </w:rPr>
        <w:t xml:space="preserve">. </w:t>
      </w: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t>לצורך תפילה צריך לטבול או לשפוך ט' קבין על עצמו</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הגמרא</w:t>
      </w:r>
      <w:r>
        <w:rPr>
          <w:rFonts w:cs="David" w:hint="cs"/>
          <w:sz w:val="24"/>
          <w:szCs w:val="24"/>
          <w:rtl/>
        </w:rPr>
        <w:t xml:space="preserve"> דלעיל דנה לגבי השאלה האם בעל קרי צריך לטבול לצורך לימוד תורה או לצורך אמירת קריאת שמע. לגבי השאלה האם בעל קרי צריך לטבול לצורך </w:t>
      </w:r>
      <w:r>
        <w:rPr>
          <w:rFonts w:cs="David" w:hint="cs"/>
          <w:b/>
          <w:bCs/>
          <w:sz w:val="24"/>
          <w:szCs w:val="24"/>
          <w:rtl/>
        </w:rPr>
        <w:t>תפילה</w:t>
      </w:r>
      <w:r>
        <w:rPr>
          <w:rFonts w:cs="David" w:hint="cs"/>
          <w:sz w:val="24"/>
          <w:szCs w:val="24"/>
          <w:rtl/>
        </w:rPr>
        <w:t xml:space="preserve"> הגמרא לא דנה, וכתב </w:t>
      </w:r>
      <w:r>
        <w:rPr>
          <w:rFonts w:cs="David" w:hint="cs"/>
          <w:b/>
          <w:bCs/>
          <w:sz w:val="24"/>
          <w:szCs w:val="24"/>
          <w:rtl/>
        </w:rPr>
        <w:t>רבינו האי גאון זצ</w:t>
      </w:r>
      <w:r>
        <w:rPr>
          <w:rFonts w:cs="David"/>
          <w:sz w:val="24"/>
          <w:szCs w:val="24"/>
          <w:rtl/>
        </w:rPr>
        <w:t>"</w:t>
      </w:r>
      <w:r>
        <w:rPr>
          <w:rFonts w:cs="David" w:hint="cs"/>
          <w:b/>
          <w:bCs/>
          <w:sz w:val="24"/>
          <w:szCs w:val="24"/>
          <w:rtl/>
        </w:rPr>
        <w:t>ל</w:t>
      </w:r>
      <w:r>
        <w:rPr>
          <w:rFonts w:cs="David" w:hint="cs"/>
          <w:sz w:val="24"/>
          <w:szCs w:val="24"/>
          <w:rtl/>
        </w:rPr>
        <w:t xml:space="preserve"> שמכיוון שבגמרא דין זה לא מבורר, יש לנקוט במנהג כל ישראל, שכל בעלי קריין אע"פ שאין להם מים </w:t>
      </w:r>
      <w:r>
        <w:rPr>
          <w:rFonts w:cs="David" w:hint="cs"/>
          <w:sz w:val="24"/>
          <w:szCs w:val="20"/>
          <w:rtl/>
        </w:rPr>
        <w:t>(מקווה)</w:t>
      </w:r>
      <w:r>
        <w:rPr>
          <w:rFonts w:cs="David" w:hint="cs"/>
          <w:sz w:val="24"/>
          <w:szCs w:val="24"/>
          <w:rtl/>
        </w:rPr>
        <w:t xml:space="preserve"> אין מתפללין עד שירחצו. וכדבריו כתבו </w:t>
      </w:r>
      <w:r>
        <w:rPr>
          <w:rFonts w:cs="David" w:hint="cs"/>
          <w:b/>
          <w:bCs/>
          <w:sz w:val="24"/>
          <w:szCs w:val="24"/>
          <w:rtl/>
        </w:rPr>
        <w:t>הרי</w:t>
      </w:r>
      <w:r>
        <w:rPr>
          <w:rFonts w:cs="David"/>
          <w:sz w:val="24"/>
          <w:szCs w:val="24"/>
          <w:rtl/>
        </w:rPr>
        <w:t>"</w:t>
      </w:r>
      <w:r>
        <w:rPr>
          <w:rFonts w:cs="David" w:hint="cs"/>
          <w:b/>
          <w:bCs/>
          <w:sz w:val="24"/>
          <w:szCs w:val="24"/>
          <w:rtl/>
        </w:rPr>
        <w:t>ף</w:t>
      </w:r>
      <w:r>
        <w:rPr>
          <w:rFonts w:cs="David" w:hint="cs"/>
          <w:sz w:val="24"/>
          <w:szCs w:val="24"/>
          <w:rtl/>
        </w:rPr>
        <w:t xml:space="preserve"> </w:t>
      </w:r>
      <w:r>
        <w:rPr>
          <w:rFonts w:cs="David" w:hint="cs"/>
          <w:sz w:val="24"/>
          <w:szCs w:val="20"/>
          <w:rtl/>
        </w:rPr>
        <w:t>(בברכות יג:)</w:t>
      </w:r>
      <w:r>
        <w:rPr>
          <w:rFonts w:cs="David" w:hint="cs"/>
          <w:sz w:val="24"/>
          <w:szCs w:val="24"/>
          <w:rtl/>
        </w:rPr>
        <w:t xml:space="preserve">, </w:t>
      </w:r>
      <w:r>
        <w:rPr>
          <w:rFonts w:cs="David" w:hint="cs"/>
          <w:b/>
          <w:bCs/>
          <w:sz w:val="24"/>
          <w:szCs w:val="24"/>
          <w:rtl/>
        </w:rPr>
        <w:t xml:space="preserve">הראש </w:t>
      </w:r>
      <w:r>
        <w:rPr>
          <w:rFonts w:cs="David" w:hint="cs"/>
          <w:sz w:val="24"/>
          <w:szCs w:val="20"/>
          <w:rtl/>
        </w:rPr>
        <w:t>(ברכות פ"ג סי"כ)</w:t>
      </w:r>
      <w:r>
        <w:rPr>
          <w:rFonts w:cs="David" w:hint="cs"/>
          <w:sz w:val="24"/>
          <w:szCs w:val="24"/>
          <w:rtl/>
        </w:rPr>
        <w:t xml:space="preserve"> </w:t>
      </w:r>
      <w:r>
        <w:rPr>
          <w:rFonts w:cs="David" w:hint="cs"/>
          <w:b/>
          <w:bCs/>
          <w:sz w:val="24"/>
          <w:szCs w:val="24"/>
          <w:rtl/>
        </w:rPr>
        <w:t>והרמב</w:t>
      </w:r>
      <w:r>
        <w:rPr>
          <w:rFonts w:cs="David"/>
          <w:sz w:val="24"/>
          <w:szCs w:val="24"/>
          <w:rtl/>
        </w:rPr>
        <w:t>"</w:t>
      </w:r>
      <w:r>
        <w:rPr>
          <w:rFonts w:cs="David" w:hint="cs"/>
          <w:b/>
          <w:bCs/>
          <w:sz w:val="24"/>
          <w:szCs w:val="24"/>
          <w:rtl/>
        </w:rPr>
        <w:t>ם:</w:t>
      </w:r>
      <w:r>
        <w:rPr>
          <w:rFonts w:cs="David" w:hint="cs"/>
          <w:sz w:val="24"/>
          <w:szCs w:val="24"/>
          <w:rtl/>
        </w:rPr>
        <w:t xml:space="preserve"> "אמנם </w:t>
      </w:r>
      <w:r>
        <w:rPr>
          <w:rFonts w:cs="David" w:hint="cs"/>
          <w:sz w:val="24"/>
          <w:szCs w:val="20"/>
          <w:rtl/>
        </w:rPr>
        <w:t>(לגבי)</w:t>
      </w:r>
      <w:r>
        <w:rPr>
          <w:rFonts w:cs="David" w:hint="cs"/>
          <w:sz w:val="24"/>
          <w:szCs w:val="24"/>
          <w:rtl/>
        </w:rPr>
        <w:t xml:space="preserve"> התפלה, כבר נהגו שלא יתפלל בעל קרי עד ירחץ במים" </w:t>
      </w:r>
      <w:r>
        <w:rPr>
          <w:rFonts w:cs="David" w:hint="cs"/>
          <w:sz w:val="24"/>
          <w:szCs w:val="20"/>
          <w:rtl/>
        </w:rPr>
        <w:t>(פירוש המשניות ברכות פ"ג מ"ד, ושם מ"ו, ובהל</w:t>
      </w:r>
      <w:r>
        <w:rPr>
          <w:rFonts w:cs="David"/>
          <w:sz w:val="24"/>
          <w:szCs w:val="20"/>
          <w:rtl/>
        </w:rPr>
        <w:t>'</w:t>
      </w:r>
      <w:r>
        <w:rPr>
          <w:rFonts w:cs="David" w:hint="cs"/>
          <w:sz w:val="24"/>
          <w:szCs w:val="20"/>
          <w:rtl/>
        </w:rPr>
        <w:t xml:space="preserve"> תפילה פ"ד, ה"ו)</w:t>
      </w:r>
      <w:r>
        <w:rPr>
          <w:rFonts w:cs="David" w:hint="cs"/>
          <w:sz w:val="24"/>
          <w:szCs w:val="24"/>
          <w:rtl/>
        </w:rPr>
        <w:t xml:space="preserve">. </w:t>
      </w: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lastRenderedPageBreak/>
        <w:t>ראוי להחמיר</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 xml:space="preserve">החפץ חיים </w:t>
      </w:r>
      <w:r>
        <w:rPr>
          <w:rFonts w:cs="David" w:hint="cs"/>
          <w:sz w:val="24"/>
          <w:szCs w:val="24"/>
          <w:rtl/>
        </w:rPr>
        <w:t xml:space="preserve">בספרו </w:t>
      </w:r>
      <w:r>
        <w:rPr>
          <w:rFonts w:cs="David" w:hint="cs"/>
          <w:b/>
          <w:bCs/>
          <w:sz w:val="24"/>
          <w:szCs w:val="24"/>
          <w:rtl/>
        </w:rPr>
        <w:t>משנה ברורה</w:t>
      </w:r>
      <w:r>
        <w:rPr>
          <w:rFonts w:cs="David" w:hint="cs"/>
          <w:sz w:val="24"/>
          <w:szCs w:val="24"/>
          <w:rtl/>
        </w:rPr>
        <w:t xml:space="preserve"> כתב, כי למרות </w:t>
      </w:r>
      <w:r>
        <w:rPr>
          <w:rFonts w:cs="David" w:hint="cs"/>
          <w:b/>
          <w:bCs/>
          <w:sz w:val="24"/>
          <w:szCs w:val="24"/>
          <w:rtl/>
        </w:rPr>
        <w:t xml:space="preserve">שהשולחן ערוך </w:t>
      </w:r>
      <w:r>
        <w:rPr>
          <w:rFonts w:cs="David" w:hint="cs"/>
          <w:sz w:val="24"/>
          <w:szCs w:val="24"/>
          <w:rtl/>
        </w:rPr>
        <w:t xml:space="preserve">הקל בדין זה ולא הצריך טבילה כלל, לא לתלמוד תורה ולא לתפילה, "מכל מקום יש אנשי מעשה שנוהגין בתקנה זו וטובלין את עצמם לקריין. ואם קשה עליהם הטבילה רוחצין את עצמם בט' קבין" </w:t>
      </w:r>
      <w:r>
        <w:rPr>
          <w:rFonts w:cs="David" w:hint="cs"/>
          <w:sz w:val="24"/>
          <w:szCs w:val="20"/>
          <w:rtl/>
        </w:rPr>
        <w:t>(משנ"ב סי' פח ס"ק ד)</w:t>
      </w:r>
      <w:r>
        <w:rPr>
          <w:rFonts w:cs="David" w:hint="cs"/>
          <w:sz w:val="24"/>
          <w:szCs w:val="24"/>
          <w:rtl/>
        </w:rPr>
        <w:t xml:space="preserve">. וכתב </w:t>
      </w:r>
      <w:r>
        <w:rPr>
          <w:rFonts w:cs="David" w:hint="cs"/>
          <w:b/>
          <w:bCs/>
          <w:sz w:val="24"/>
          <w:szCs w:val="24"/>
          <w:rtl/>
        </w:rPr>
        <w:t>ספר החינוך</w:t>
      </w:r>
      <w:r>
        <w:rPr>
          <w:rFonts w:cs="David" w:hint="cs"/>
          <w:sz w:val="24"/>
          <w:szCs w:val="24"/>
          <w:rtl/>
        </w:rPr>
        <w:t xml:space="preserve"> על אנשים אלו: </w:t>
      </w:r>
      <w:r>
        <w:rPr>
          <w:rFonts w:cs="David"/>
          <w:sz w:val="24"/>
          <w:szCs w:val="24"/>
          <w:rtl/>
        </w:rPr>
        <w:t>"</w:t>
      </w:r>
      <w:r>
        <w:rPr>
          <w:rFonts w:cs="David" w:hint="cs"/>
          <w:sz w:val="24"/>
          <w:szCs w:val="24"/>
          <w:rtl/>
        </w:rPr>
        <w:t xml:space="preserve">ואמנם בעל נפש המיטהר לקריו גם היום מדה טובה ומשובחת היא לו ותבוא עליו ברכה, ויודע דרך הטהרה ורוב טובה יחזיק בה" </w:t>
      </w:r>
      <w:r>
        <w:rPr>
          <w:rFonts w:cs="David" w:hint="cs"/>
          <w:sz w:val="24"/>
          <w:szCs w:val="20"/>
          <w:rtl/>
        </w:rPr>
        <w:t>(ספר החינוך מצווה קפ)</w:t>
      </w:r>
      <w:r>
        <w:rPr>
          <w:rFonts w:cs="David" w:hint="cs"/>
          <w:sz w:val="24"/>
          <w:szCs w:val="24"/>
          <w:rtl/>
        </w:rPr>
        <w:t xml:space="preserve">. </w:t>
      </w:r>
    </w:p>
    <w:p w:rsidR="00BD1854" w:rsidRDefault="00BD1854" w:rsidP="00BD1854">
      <w:pPr>
        <w:pStyle w:val="2"/>
        <w:spacing w:before="360" w:after="120" w:line="340" w:lineRule="atLeast"/>
        <w:ind w:left="0"/>
        <w:jc w:val="left"/>
        <w:rPr>
          <w:rFonts w:cs="Guttman Vilna" w:hint="cs"/>
          <w:b/>
          <w:bCs/>
          <w:szCs w:val="24"/>
          <w:rtl/>
        </w:rPr>
      </w:pPr>
    </w:p>
    <w:p w:rsidR="00BD1854" w:rsidRDefault="00BD1854" w:rsidP="00BD1854">
      <w:pPr>
        <w:pStyle w:val="2"/>
        <w:spacing w:before="360" w:after="120" w:line="340" w:lineRule="atLeast"/>
        <w:ind w:left="0"/>
        <w:jc w:val="left"/>
        <w:rPr>
          <w:rFonts w:cs="Guttman Vilna" w:hint="cs"/>
          <w:b/>
          <w:bCs/>
          <w:szCs w:val="24"/>
          <w:rtl/>
        </w:rPr>
      </w:pPr>
      <w:r>
        <w:rPr>
          <w:rFonts w:cs="Guttman Vilna" w:hint="cs"/>
          <w:b/>
          <w:bCs/>
          <w:szCs w:val="24"/>
          <w:rtl/>
        </w:rPr>
        <w:t xml:space="preserve">לא להחמיר היכן שלא צריך </w:t>
      </w:r>
    </w:p>
    <w:p w:rsidR="00BD1854" w:rsidRDefault="00BD1854" w:rsidP="00BD1854">
      <w:pPr>
        <w:spacing w:before="120" w:line="340" w:lineRule="atLeast"/>
        <w:ind w:firstLine="397"/>
        <w:jc w:val="both"/>
        <w:rPr>
          <w:rFonts w:cs="David" w:hint="cs"/>
          <w:sz w:val="24"/>
          <w:szCs w:val="24"/>
          <w:rtl/>
        </w:rPr>
      </w:pPr>
      <w:r>
        <w:rPr>
          <w:rFonts w:cs="David" w:hint="cs"/>
          <w:sz w:val="24"/>
          <w:szCs w:val="24"/>
          <w:rtl/>
        </w:rPr>
        <w:t xml:space="preserve">גם הרוצים להחמיר בטבילה זו עליהם לדעת כי במקרה שאין להם אפשרות לטבול או לרחוץ עצמם בתשעה קבין מים, אין הם צריכים להתבטל מתלמוד תורה או תפילה בשל כך, שסברה זו טעות היא. ולכן במקרה שאינם יכולים לטבול או לרחוץ, ילמדו ויתפללו כרגיל. וכן כתב בעל ספר </w:t>
      </w:r>
      <w:r>
        <w:rPr>
          <w:rFonts w:cs="David"/>
          <w:sz w:val="24"/>
          <w:szCs w:val="24"/>
          <w:rtl/>
        </w:rPr>
        <w:t>"</w:t>
      </w:r>
      <w:r>
        <w:rPr>
          <w:rFonts w:cs="David" w:hint="cs"/>
          <w:b/>
          <w:bCs/>
          <w:sz w:val="24"/>
          <w:szCs w:val="24"/>
          <w:rtl/>
        </w:rPr>
        <w:t>ראשית חוכמה</w:t>
      </w:r>
      <w:r>
        <w:rPr>
          <w:rFonts w:cs="David"/>
          <w:sz w:val="24"/>
          <w:szCs w:val="24"/>
          <w:rtl/>
        </w:rPr>
        <w:t>"</w:t>
      </w:r>
      <w:r>
        <w:rPr>
          <w:rFonts w:cs="David" w:hint="cs"/>
          <w:sz w:val="24"/>
          <w:szCs w:val="24"/>
          <w:rtl/>
        </w:rPr>
        <w:t xml:space="preserve">: "ומכל מקום אם הוא אנוס ולא תזדמן לו הטבילה, לא יבטל מפני זה לא תורה ולא תפילה, כי כדאי הם המקילים </w:t>
      </w:r>
      <w:r>
        <w:rPr>
          <w:rFonts w:cs="David" w:hint="cs"/>
          <w:sz w:val="24"/>
          <w:szCs w:val="20"/>
          <w:rtl/>
        </w:rPr>
        <w:t>(הסוברים שלא צריך לטבול)</w:t>
      </w:r>
      <w:r>
        <w:rPr>
          <w:rFonts w:cs="David" w:hint="cs"/>
          <w:sz w:val="24"/>
          <w:szCs w:val="24"/>
          <w:rtl/>
        </w:rPr>
        <w:t xml:space="preserve"> לסמוך עליהם בשעת הדחק. ובלילה בעוד שלא טבל, לא יניח מלקום באשמורת מלעסוק בתורה מפני שהוא טמא, כי כדאי הם שאר הפוסקים </w:t>
      </w:r>
      <w:r>
        <w:rPr>
          <w:rFonts w:cs="David" w:hint="cs"/>
          <w:sz w:val="24"/>
          <w:szCs w:val="20"/>
          <w:rtl/>
        </w:rPr>
        <w:t>(הסוברים שבעל קרי פטור מטבילה בין לתלמוד תורה ובין לתפילה)</w:t>
      </w:r>
      <w:r>
        <w:rPr>
          <w:rFonts w:cs="David" w:hint="cs"/>
          <w:sz w:val="24"/>
          <w:szCs w:val="24"/>
          <w:rtl/>
        </w:rPr>
        <w:t xml:space="preserve"> לסמוך עליהם. ומי שיחמיר על עצמו שלא יעסוק בתורה ותפלה בלא טבילה אפילו כשהוא חולה </w:t>
      </w:r>
      <w:r>
        <w:rPr>
          <w:rFonts w:cs="David" w:hint="cs"/>
          <w:b/>
          <w:bCs/>
          <w:sz w:val="24"/>
          <w:szCs w:val="24"/>
          <w:rtl/>
        </w:rPr>
        <w:t>סברה זרה היא</w:t>
      </w:r>
      <w:r>
        <w:rPr>
          <w:rFonts w:cs="David" w:hint="cs"/>
          <w:sz w:val="24"/>
          <w:szCs w:val="24"/>
          <w:rtl/>
        </w:rPr>
        <w:t xml:space="preserve"> ואין ראוי לסמוך עליה" </w:t>
      </w:r>
      <w:r>
        <w:rPr>
          <w:rFonts w:cs="David" w:hint="cs"/>
          <w:sz w:val="24"/>
          <w:szCs w:val="20"/>
          <w:rtl/>
        </w:rPr>
        <w:t>(ראשית חוכמה, שער האהבה, פ"יא)</w:t>
      </w:r>
      <w:r>
        <w:rPr>
          <w:rFonts w:cs="David" w:hint="cs"/>
          <w:sz w:val="24"/>
          <w:szCs w:val="24"/>
          <w:rtl/>
        </w:rPr>
        <w:t xml:space="preserve">. </w:t>
      </w:r>
    </w:p>
    <w:p w:rsidR="00BD1854" w:rsidRDefault="00BD1854" w:rsidP="00BD1854">
      <w:pPr>
        <w:pStyle w:val="2"/>
        <w:spacing w:before="360" w:after="120" w:line="340" w:lineRule="atLeast"/>
        <w:ind w:left="74"/>
        <w:rPr>
          <w:rFonts w:cs="Guttman Vilna" w:hint="cs"/>
          <w:b/>
          <w:bCs/>
          <w:szCs w:val="24"/>
          <w:rtl/>
        </w:rPr>
      </w:pPr>
      <w:r>
        <w:rPr>
          <w:rFonts w:cs="Guttman Vilna" w:hint="cs"/>
          <w:b/>
          <w:bCs/>
          <w:szCs w:val="24"/>
          <w:rtl/>
        </w:rPr>
        <w:t xml:space="preserve">לסיכום </w:t>
      </w:r>
    </w:p>
    <w:p w:rsidR="00BD1854" w:rsidRDefault="00BD1854" w:rsidP="00BD1854">
      <w:pPr>
        <w:spacing w:before="120" w:line="340" w:lineRule="atLeast"/>
        <w:ind w:firstLine="397"/>
        <w:jc w:val="both"/>
        <w:rPr>
          <w:rFonts w:cs="David" w:hint="cs"/>
          <w:b/>
          <w:bCs/>
          <w:sz w:val="24"/>
          <w:szCs w:val="24"/>
          <w:rtl/>
        </w:rPr>
      </w:pPr>
      <w:r>
        <w:rPr>
          <w:rFonts w:cs="David" w:hint="cs"/>
          <w:b/>
          <w:bCs/>
          <w:sz w:val="24"/>
          <w:szCs w:val="24"/>
          <w:rtl/>
        </w:rPr>
        <w:t>א. מדין תורה</w:t>
      </w:r>
      <w:r>
        <w:rPr>
          <w:rFonts w:cs="David" w:hint="cs"/>
          <w:sz w:val="24"/>
          <w:szCs w:val="24"/>
          <w:rtl/>
        </w:rPr>
        <w:t xml:space="preserve"> בעל קרי אינו צריך לטבול. </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ב. עזרא תיקן</w:t>
      </w:r>
      <w:r>
        <w:rPr>
          <w:rFonts w:cs="David" w:hint="cs"/>
          <w:sz w:val="24"/>
          <w:szCs w:val="24"/>
          <w:rtl/>
        </w:rPr>
        <w:t xml:space="preserve"> שמזמנו בעל קרי יטבול לצורך תלמוד תורה, אך לאחר מכן תקנה זו בטלה. </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 xml:space="preserve">ג. </w:t>
      </w:r>
      <w:r>
        <w:rPr>
          <w:rFonts w:cs="David" w:hint="cs"/>
          <w:sz w:val="24"/>
          <w:szCs w:val="24"/>
          <w:rtl/>
        </w:rPr>
        <w:t xml:space="preserve">למרות שמצד הדין בטלה תקנה זו, </w:t>
      </w:r>
      <w:r>
        <w:rPr>
          <w:rFonts w:cs="David" w:hint="cs"/>
          <w:b/>
          <w:bCs/>
          <w:sz w:val="24"/>
          <w:szCs w:val="24"/>
          <w:rtl/>
        </w:rPr>
        <w:t>גדולי ישראל וחסידים ואנשי מעשה</w:t>
      </w:r>
      <w:r>
        <w:rPr>
          <w:rFonts w:cs="David" w:hint="cs"/>
          <w:sz w:val="24"/>
          <w:szCs w:val="24"/>
          <w:rtl/>
        </w:rPr>
        <w:t xml:space="preserve"> החמירו בה, ובפרט לצורך תפילה. ולכן אדם שיצאה ממנו שכבת זרע, ראוי לכל הפחות שלפני התפילה ירחץ עצמו במים כמה דקות. </w:t>
      </w:r>
    </w:p>
    <w:p w:rsidR="00BD1854" w:rsidRDefault="00BD1854" w:rsidP="00BD1854">
      <w:pPr>
        <w:spacing w:before="120" w:line="340" w:lineRule="atLeast"/>
        <w:ind w:firstLine="397"/>
        <w:jc w:val="both"/>
        <w:rPr>
          <w:rFonts w:cs="David" w:hint="cs"/>
          <w:sz w:val="24"/>
          <w:szCs w:val="24"/>
          <w:rtl/>
        </w:rPr>
      </w:pPr>
      <w:r>
        <w:rPr>
          <w:rFonts w:cs="David" w:hint="cs"/>
          <w:b/>
          <w:bCs/>
          <w:sz w:val="24"/>
          <w:szCs w:val="24"/>
          <w:rtl/>
        </w:rPr>
        <w:t xml:space="preserve">ד. </w:t>
      </w:r>
      <w:r>
        <w:rPr>
          <w:rFonts w:cs="David" w:hint="cs"/>
          <w:sz w:val="24"/>
          <w:szCs w:val="24"/>
          <w:rtl/>
        </w:rPr>
        <w:t xml:space="preserve">אם אין לו אפשרות לא לטבול ולא לרחוץ, לא יבטל מתלמוד תורה או מתפילה. </w:t>
      </w:r>
    </w:p>
    <w:p w:rsidR="000C52DF" w:rsidRDefault="000C52DF">
      <w:bookmarkStart w:id="0" w:name="_GoBack"/>
      <w:bookmarkEnd w:id="0"/>
    </w:p>
    <w:sectPr w:rsidR="000C52DF" w:rsidSect="00C615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Guttman Vilna">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E3" w:rsidRDefault="00BD1854">
    <w:pPr>
      <w:pStyle w:val="a4"/>
      <w:framePr w:wrap="around" w:vAnchor="text" w:hAnchor="margin" w:xAlign="inside" w:y="1"/>
      <w:jc w:val="right"/>
      <w:rPr>
        <w:rStyle w:val="a3"/>
        <w:rFonts w:cs="Guttman Vilna"/>
        <w:sz w:val="24"/>
        <w:szCs w:val="24"/>
      </w:rPr>
    </w:pPr>
    <w:r>
      <w:rPr>
        <w:rStyle w:val="a3"/>
        <w:rFonts w:cs="Guttman Vilna"/>
        <w:sz w:val="24"/>
        <w:szCs w:val="24"/>
        <w:rtl/>
      </w:rPr>
      <w:fldChar w:fldCharType="begin"/>
    </w:r>
    <w:r>
      <w:rPr>
        <w:rStyle w:val="a3"/>
        <w:rFonts w:cs="Guttman Vilna"/>
        <w:sz w:val="24"/>
        <w:szCs w:val="24"/>
      </w:rPr>
      <w:instrText xml:space="preserve">PAGE  </w:instrText>
    </w:r>
    <w:r>
      <w:rPr>
        <w:rStyle w:val="a3"/>
        <w:rFonts w:cs="Guttman Vilna"/>
        <w:sz w:val="24"/>
        <w:szCs w:val="24"/>
        <w:rtl/>
      </w:rPr>
      <w:fldChar w:fldCharType="separate"/>
    </w:r>
    <w:r>
      <w:rPr>
        <w:rStyle w:val="a3"/>
        <w:rFonts w:cs="Guttman Vilna"/>
        <w:noProof/>
        <w:sz w:val="24"/>
        <w:szCs w:val="24"/>
        <w:rtl/>
      </w:rPr>
      <w:t>3</w:t>
    </w:r>
    <w:r>
      <w:rPr>
        <w:rStyle w:val="a3"/>
        <w:rFonts w:cs="Guttman Vilna"/>
        <w:sz w:val="24"/>
        <w:szCs w:val="24"/>
        <w:rtl/>
      </w:rPr>
      <w:fldChar w:fldCharType="end"/>
    </w:r>
  </w:p>
  <w:p w:rsidR="00E85DE3" w:rsidRDefault="00BD1854">
    <w:pPr>
      <w:pStyle w:val="a4"/>
      <w:spacing w:line="60" w:lineRule="atLeast"/>
      <w:rPr>
        <w:rFonts w:cs="Guttman Vilna" w:hint="cs"/>
        <w:sz w:val="24"/>
        <w:szCs w:val="24"/>
        <w:rtl/>
      </w:rPr>
    </w:pPr>
    <w:r>
      <w:rPr>
        <w:rFonts w:cs="Guttman Vilna" w:hint="cs"/>
        <w:sz w:val="24"/>
        <w:szCs w:val="24"/>
        <w:rtl/>
      </w:rPr>
      <w:t>פרשת שמיני</w:t>
    </w:r>
  </w:p>
  <w:p w:rsidR="00E85DE3" w:rsidRDefault="00BD1854">
    <w:pPr>
      <w:pStyle w:val="a4"/>
      <w:spacing w:line="80" w:lineRule="atLeast"/>
      <w:jc w:val="both"/>
      <w:rPr>
        <w:rFonts w:cs="Guttman Vilna" w:hint="cs"/>
        <w:sz w:val="12"/>
        <w:szCs w:val="12"/>
      </w:rPr>
    </w:pPr>
    <w:r>
      <w:rPr>
        <w:rFonts w:hint="cs"/>
        <w:sz w:val="8"/>
        <w:szCs w:val="8"/>
        <w:rtl/>
      </w:rPr>
      <w:t>________________________________________</w:t>
    </w:r>
    <w:r>
      <w:rPr>
        <w:rFonts w:hint="cs"/>
        <w:sz w:val="8"/>
        <w:szCs w:val="8"/>
        <w:rtl/>
      </w:rPr>
      <w:t>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54"/>
    <w:rsid w:val="000C52DF"/>
    <w:rsid w:val="00BD1854"/>
    <w:rsid w:val="00C615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54"/>
    <w:pPr>
      <w:bidi/>
      <w:spacing w:after="0" w:line="240" w:lineRule="auto"/>
    </w:pPr>
    <w:rPr>
      <w:rFonts w:ascii="Times New Roman" w:eastAsia="Times New Roman" w:hAnsi="Times New Roman" w:cs="Arial"/>
      <w:sz w:val="4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BD1854"/>
  </w:style>
  <w:style w:type="paragraph" w:styleId="a4">
    <w:name w:val="header"/>
    <w:basedOn w:val="a"/>
    <w:link w:val="a5"/>
    <w:semiHidden/>
    <w:rsid w:val="00BD1854"/>
    <w:pPr>
      <w:tabs>
        <w:tab w:val="center" w:pos="4153"/>
        <w:tab w:val="right" w:pos="8306"/>
      </w:tabs>
    </w:pPr>
    <w:rPr>
      <w:rFonts w:cs="David"/>
      <w:sz w:val="34"/>
      <w:szCs w:val="34"/>
      <w:lang w:eastAsia="en-US"/>
    </w:rPr>
  </w:style>
  <w:style w:type="character" w:customStyle="1" w:styleId="a5">
    <w:name w:val="כותרת עליונה תו"/>
    <w:basedOn w:val="a0"/>
    <w:link w:val="a4"/>
    <w:semiHidden/>
    <w:rsid w:val="00BD1854"/>
    <w:rPr>
      <w:rFonts w:ascii="Times New Roman" w:eastAsia="Times New Roman" w:hAnsi="Times New Roman" w:cs="David"/>
      <w:sz w:val="34"/>
      <w:szCs w:val="34"/>
    </w:rPr>
  </w:style>
  <w:style w:type="paragraph" w:customStyle="1" w:styleId="2">
    <w:name w:val="סגנון2"/>
    <w:basedOn w:val="a"/>
    <w:rsid w:val="00BD1854"/>
    <w:pPr>
      <w:spacing w:before="240" w:after="240" w:line="360" w:lineRule="auto"/>
      <w:ind w:left="75"/>
      <w:jc w:val="center"/>
    </w:pPr>
    <w:rPr>
      <w:rFonts w:ascii="Arial" w:hAnsi="Arial" w:cs="David"/>
      <w:sz w:val="24"/>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54"/>
    <w:pPr>
      <w:bidi/>
      <w:spacing w:after="0" w:line="240" w:lineRule="auto"/>
    </w:pPr>
    <w:rPr>
      <w:rFonts w:ascii="Times New Roman" w:eastAsia="Times New Roman" w:hAnsi="Times New Roman" w:cs="Arial"/>
      <w:sz w:val="4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BD1854"/>
  </w:style>
  <w:style w:type="paragraph" w:styleId="a4">
    <w:name w:val="header"/>
    <w:basedOn w:val="a"/>
    <w:link w:val="a5"/>
    <w:semiHidden/>
    <w:rsid w:val="00BD1854"/>
    <w:pPr>
      <w:tabs>
        <w:tab w:val="center" w:pos="4153"/>
        <w:tab w:val="right" w:pos="8306"/>
      </w:tabs>
    </w:pPr>
    <w:rPr>
      <w:rFonts w:cs="David"/>
      <w:sz w:val="34"/>
      <w:szCs w:val="34"/>
      <w:lang w:eastAsia="en-US"/>
    </w:rPr>
  </w:style>
  <w:style w:type="character" w:customStyle="1" w:styleId="a5">
    <w:name w:val="כותרת עליונה תו"/>
    <w:basedOn w:val="a0"/>
    <w:link w:val="a4"/>
    <w:semiHidden/>
    <w:rsid w:val="00BD1854"/>
    <w:rPr>
      <w:rFonts w:ascii="Times New Roman" w:eastAsia="Times New Roman" w:hAnsi="Times New Roman" w:cs="David"/>
      <w:sz w:val="34"/>
      <w:szCs w:val="34"/>
    </w:rPr>
  </w:style>
  <w:style w:type="paragraph" w:customStyle="1" w:styleId="2">
    <w:name w:val="סגנון2"/>
    <w:basedOn w:val="a"/>
    <w:rsid w:val="00BD1854"/>
    <w:pPr>
      <w:spacing w:before="240" w:after="240" w:line="360" w:lineRule="auto"/>
      <w:ind w:left="75"/>
      <w:jc w:val="center"/>
    </w:pPr>
    <w:rPr>
      <w:rFonts w:ascii="Arial" w:hAnsi="Arial" w:cs="David"/>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4046</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2012-08-23T11:07:00Z</dcterms:created>
  <dcterms:modified xsi:type="dcterms:W3CDTF">2012-08-23T11:07:00Z</dcterms:modified>
</cp:coreProperties>
</file>