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22" w:rsidRPr="00E72CFA" w:rsidRDefault="00357C22" w:rsidP="00357C22">
      <w:pPr>
        <w:spacing w:line="240" w:lineRule="auto"/>
        <w:rPr>
          <w:rFonts w:ascii="Times New Roman" w:eastAsia="Times New Roman" w:hAnsi="Times New Roman" w:cs="David"/>
          <w:sz w:val="36"/>
          <w:szCs w:val="36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עזר של מסקנות הגמרא ללימוד ברכות דף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לג</w:t>
      </w:r>
    </w:p>
    <w:p w:rsidR="00357C22" w:rsidRPr="00E72CFA" w:rsidRDefault="00357C22" w:rsidP="00357C22">
      <w:pPr>
        <w:rPr>
          <w:rFonts w:cs="David" w:hint="cs"/>
          <w:sz w:val="36"/>
          <w:szCs w:val="36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ערך הרב</w:t>
      </w:r>
      <w:bookmarkStart w:id="0" w:name="_GoBack"/>
      <w:bookmarkEnd w:id="0"/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חנניה מלכה</w:t>
      </w:r>
      <w:r w:rsidRPr="00E72CFA">
        <w:rPr>
          <w:rFonts w:ascii="Times New Roman" w:eastAsia="Times New Roman" w:hAnsi="Times New Roman" w:cs="David"/>
          <w:sz w:val="36"/>
          <w:szCs w:val="36"/>
          <w:highlight w:val="magenta"/>
          <w:rtl/>
        </w:rPr>
        <w:tab/>
      </w:r>
    </w:p>
    <w:p w:rsidR="00357C22" w:rsidRPr="005C784D" w:rsidRDefault="00357C22" w:rsidP="00624A88">
      <w:pPr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10349" w:type="dxa"/>
        <w:tblInd w:w="-517" w:type="dxa"/>
        <w:tblLook w:val="04A0" w:firstRow="1" w:lastRow="0" w:firstColumn="1" w:lastColumn="0" w:noHBand="0" w:noVBand="1"/>
      </w:tblPr>
      <w:tblGrid>
        <w:gridCol w:w="1134"/>
        <w:gridCol w:w="2293"/>
        <w:gridCol w:w="1980"/>
        <w:gridCol w:w="2118"/>
        <w:gridCol w:w="2824"/>
      </w:tblGrid>
      <w:tr w:rsidR="00357C22" w:rsidRPr="005C784D" w:rsidTr="00357C22">
        <w:tc>
          <w:tcPr>
            <w:tcW w:w="10349" w:type="dxa"/>
            <w:gridSpan w:val="5"/>
          </w:tcPr>
          <w:p w:rsidR="00357C22" w:rsidRPr="005C784D" w:rsidRDefault="00357C22" w:rsidP="00357C22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>מתי פוסקים באמצע תפילת שמונה עשרה?</w:t>
            </w:r>
          </w:p>
        </w:tc>
      </w:tr>
      <w:tr w:rsidR="00887D1D" w:rsidRPr="005C784D" w:rsidTr="005C784D">
        <w:tc>
          <w:tcPr>
            <w:tcW w:w="1134" w:type="dxa"/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במשנה </w:t>
            </w:r>
          </w:p>
        </w:tc>
        <w:tc>
          <w:tcPr>
            <w:tcW w:w="2293" w:type="dxa"/>
          </w:tcPr>
          <w:p w:rsidR="00357C22" w:rsidRPr="005C784D" w:rsidRDefault="00357C22" w:rsidP="00357C22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אפילו המלך שואל בשלומו לא ישיבנו.</w:t>
            </w:r>
          </w:p>
        </w:tc>
        <w:tc>
          <w:tcPr>
            <w:tcW w:w="1980" w:type="dxa"/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בגמרא למלך עכו"ם עונה.</w:t>
            </w:r>
          </w:p>
        </w:tc>
        <w:tc>
          <w:tcPr>
            <w:tcW w:w="4942" w:type="dxa"/>
            <w:gridSpan w:val="2"/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החסיד לא ענה לשר עכו"ם (משמע שזה רק מדרגת חסידות וגם נאמר לו שהתחייב בנפשו).</w:t>
            </w:r>
          </w:p>
        </w:tc>
      </w:tr>
      <w:tr w:rsidR="005C784D" w:rsidRPr="005C784D" w:rsidTr="005C784D">
        <w:tc>
          <w:tcPr>
            <w:tcW w:w="1134" w:type="dxa"/>
            <w:tcBorders>
              <w:bottom w:val="single" w:sz="4" w:space="0" w:color="auto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במשנה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אפילו נחש כרוך על עקבו לא יפסיק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שבדרך כלל נחש לא נושך אא"כ נפל עליו ודחק אותו.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אבל מפני עקרב פוסק , שנושך.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מפני שור תם מרחיק 50 אמה ומפני שור מועד כמלא עינו.</w:t>
            </w:r>
          </w:p>
        </w:tc>
      </w:tr>
      <w:tr w:rsidR="005C784D" w:rsidRPr="005C784D" w:rsidTr="005C784D">
        <w:tc>
          <w:tcPr>
            <w:tcW w:w="1134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93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357C22" w:rsidRDefault="00357C22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E72CFA" w:rsidRPr="005C784D" w:rsidRDefault="00E72CF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18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24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FC573C" w:rsidRPr="005C784D" w:rsidTr="00B04F35">
        <w:tc>
          <w:tcPr>
            <w:tcW w:w="10349" w:type="dxa"/>
            <w:gridSpan w:val="5"/>
          </w:tcPr>
          <w:p w:rsidR="00FC573C" w:rsidRPr="005C784D" w:rsidRDefault="005C784D" w:rsidP="005C784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>היכן נאמרות התוספות בתפילה ומדוע דווקא שם?</w:t>
            </w:r>
          </w:p>
        </w:tc>
      </w:tr>
      <w:tr w:rsidR="005C784D" w:rsidRPr="005C784D" w:rsidTr="005C784D">
        <w:tc>
          <w:tcPr>
            <w:tcW w:w="1134" w:type="dxa"/>
            <w:vMerge w:val="restart"/>
          </w:tcPr>
          <w:p w:rsidR="00FC573C" w:rsidRPr="005C784D" w:rsidRDefault="00FC573C">
            <w:pPr>
              <w:rPr>
                <w:rFonts w:cs="David" w:hint="cs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במשנה </w:t>
            </w:r>
          </w:p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נאמר </w:t>
            </w:r>
          </w:p>
        </w:tc>
        <w:tc>
          <w:tcPr>
            <w:tcW w:w="2293" w:type="dxa"/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מזכירין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גבורות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גשמים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בתחיית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המתים</w:t>
            </w:r>
          </w:p>
        </w:tc>
        <w:tc>
          <w:tcPr>
            <w:tcW w:w="1980" w:type="dxa"/>
            <w:vMerge w:val="restart"/>
          </w:tcPr>
          <w:p w:rsidR="00FC573C" w:rsidRPr="005C784D" w:rsidRDefault="00FC573C" w:rsidP="00FC573C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רב יוסף הסביר מדוע קבעו עניינים אלו בברכות אלו?</w:t>
            </w:r>
          </w:p>
        </w:tc>
        <w:tc>
          <w:tcPr>
            <w:tcW w:w="4942" w:type="dxa"/>
            <w:gridSpan w:val="2"/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מתוך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ששקולה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כתחיית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המתים</w:t>
            </w:r>
          </w:p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C784D" w:rsidRPr="005C784D" w:rsidTr="005C784D">
        <w:tc>
          <w:tcPr>
            <w:tcW w:w="1134" w:type="dxa"/>
            <w:vMerge/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93" w:type="dxa"/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ושאלה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בברכת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השנים</w:t>
            </w:r>
          </w:p>
        </w:tc>
        <w:tc>
          <w:tcPr>
            <w:tcW w:w="1980" w:type="dxa"/>
            <w:vMerge/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42" w:type="dxa"/>
            <w:gridSpan w:val="2"/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מתוך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שהיא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פרנסה</w:t>
            </w:r>
          </w:p>
        </w:tc>
      </w:tr>
      <w:tr w:rsidR="005C784D" w:rsidRPr="005C784D" w:rsidTr="005C784D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והבדלה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בחונן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הדעת</w:t>
            </w:r>
          </w:p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C573C" w:rsidRPr="005C784D" w:rsidRDefault="00FC573C" w:rsidP="00140B62">
            <w:pPr>
              <w:rPr>
                <w:rFonts w:cs="David"/>
                <w:sz w:val="24"/>
                <w:szCs w:val="24"/>
              </w:rPr>
            </w:pPr>
          </w:p>
          <w:p w:rsidR="00FC573C" w:rsidRPr="005C784D" w:rsidRDefault="00FC573C" w:rsidP="00140B62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מתוך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שהיא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חכמה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FC573C" w:rsidRPr="005C784D" w:rsidRDefault="00FC573C" w:rsidP="00140B6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ולחכמים: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מתוך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שהיא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חול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לפיכך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קבעוה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בברכת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חול</w:t>
            </w:r>
          </w:p>
        </w:tc>
      </w:tr>
      <w:tr w:rsidR="005C784D" w:rsidRPr="005C784D" w:rsidTr="005C784D">
        <w:tc>
          <w:tcPr>
            <w:tcW w:w="1134" w:type="dxa"/>
            <w:tcBorders>
              <w:left w:val="nil"/>
              <w:right w:val="nil"/>
            </w:tcBorders>
          </w:tcPr>
          <w:p w:rsidR="00442D69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93" w:type="dxa"/>
            <w:tcBorders>
              <w:left w:val="nil"/>
              <w:right w:val="nil"/>
            </w:tcBorders>
          </w:tcPr>
          <w:p w:rsidR="00442D69" w:rsidRPr="005C784D" w:rsidRDefault="00442D69" w:rsidP="00FD3ED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442D69" w:rsidRDefault="00442D69" w:rsidP="00FD3EDE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E72CFA" w:rsidRPr="005C784D" w:rsidRDefault="00E72CFA" w:rsidP="00FD3ED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18" w:type="dxa"/>
            <w:tcBorders>
              <w:left w:val="nil"/>
              <w:right w:val="nil"/>
            </w:tcBorders>
          </w:tcPr>
          <w:p w:rsidR="00442D69" w:rsidRPr="005C784D" w:rsidRDefault="00442D69" w:rsidP="00FD3EDE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24" w:type="dxa"/>
            <w:tcBorders>
              <w:left w:val="nil"/>
              <w:right w:val="nil"/>
            </w:tcBorders>
          </w:tcPr>
          <w:p w:rsidR="00442D69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442D69" w:rsidRPr="005C784D" w:rsidTr="00CB4ACF">
        <w:tc>
          <w:tcPr>
            <w:tcW w:w="10349" w:type="dxa"/>
            <w:gridSpan w:val="5"/>
          </w:tcPr>
          <w:p w:rsidR="00442D69" w:rsidRPr="005C784D" w:rsidRDefault="00442D69" w:rsidP="00442D69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 xml:space="preserve">אתה חונן , אתה </w:t>
            </w:r>
            <w:proofErr w:type="spellStart"/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>חוננתנו</w:t>
            </w:r>
            <w:proofErr w:type="spellEnd"/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 xml:space="preserve"> , הבדלה</w:t>
            </w:r>
          </w:p>
        </w:tc>
      </w:tr>
      <w:tr w:rsidR="00FC573C" w:rsidRPr="005C784D" w:rsidTr="005C784D">
        <w:tc>
          <w:tcPr>
            <w:tcW w:w="1134" w:type="dxa"/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ברכת אתה חונן</w:t>
            </w:r>
          </w:p>
        </w:tc>
        <w:tc>
          <w:tcPr>
            <w:tcW w:w="4273" w:type="dxa"/>
            <w:gridSpan w:val="2"/>
          </w:tcPr>
          <w:p w:rsidR="00FC573C" w:rsidRPr="005C784D" w:rsidRDefault="00FC573C" w:rsidP="00FC573C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רב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אמי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: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גדולה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דעה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שנתנה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בתחלת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ברכה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חול</w:t>
            </w:r>
          </w:p>
          <w:p w:rsidR="00FC573C" w:rsidRPr="005C784D" w:rsidRDefault="00FC573C" w:rsidP="00FC573C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שנתנה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בין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שתי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אותיות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שנאמר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: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דעות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'.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וכל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שאין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דעה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אסור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לרחם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עליו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, </w:t>
            </w:r>
          </w:p>
          <w:p w:rsidR="00FC573C" w:rsidRPr="005C784D" w:rsidRDefault="00FC573C" w:rsidP="00FC573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42" w:type="dxa"/>
            <w:gridSpan w:val="2"/>
          </w:tcPr>
          <w:p w:rsidR="00FC573C" w:rsidRPr="005C784D" w:rsidRDefault="00FC573C" w:rsidP="00FC573C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רבי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אלעזר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: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אדם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שיש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דעה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-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כאילו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נבנה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בית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המקדש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בימיו</w:t>
            </w:r>
            <w:r w:rsidRPr="005C784D">
              <w:rPr>
                <w:rFonts w:cs="David"/>
                <w:sz w:val="24"/>
                <w:szCs w:val="24"/>
                <w:rtl/>
              </w:rPr>
              <w:t>;</w:t>
            </w:r>
          </w:p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C784D" w:rsidRPr="005C784D" w:rsidTr="005C784D">
        <w:tc>
          <w:tcPr>
            <w:tcW w:w="1134" w:type="dxa"/>
          </w:tcPr>
          <w:p w:rsidR="00357C22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אתה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חוננתנו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93" w:type="dxa"/>
          </w:tcPr>
          <w:p w:rsidR="00357C22" w:rsidRPr="005C784D" w:rsidRDefault="00442D69" w:rsidP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בתחילה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קבעוה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בתפלה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, </w:t>
            </w:r>
          </w:p>
        </w:tc>
        <w:tc>
          <w:tcPr>
            <w:tcW w:w="1980" w:type="dxa"/>
          </w:tcPr>
          <w:p w:rsidR="00357C22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העשירו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-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קבעוה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הכוס</w:t>
            </w:r>
            <w:r w:rsidRPr="005C784D">
              <w:rPr>
                <w:rFonts w:cs="David"/>
                <w:sz w:val="24"/>
                <w:szCs w:val="24"/>
                <w:rtl/>
              </w:rPr>
              <w:t>,</w:t>
            </w:r>
          </w:p>
        </w:tc>
        <w:tc>
          <w:tcPr>
            <w:tcW w:w="2118" w:type="dxa"/>
          </w:tcPr>
          <w:p w:rsidR="00357C22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הענו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-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חזרו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וקבעוה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בתפלה</w:t>
            </w:r>
            <w:r w:rsidRPr="005C784D">
              <w:rPr>
                <w:rFonts w:cs="David"/>
                <w:sz w:val="24"/>
                <w:szCs w:val="24"/>
                <w:rtl/>
              </w:rPr>
              <w:t>,</w:t>
            </w:r>
          </w:p>
        </w:tc>
        <w:tc>
          <w:tcPr>
            <w:tcW w:w="2824" w:type="dxa"/>
          </w:tcPr>
          <w:p w:rsidR="00357C22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והם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אמרו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: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המבדיל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בתפלה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צריך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שיבדיל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הכוס</w:t>
            </w:r>
            <w:r w:rsidRPr="005C784D">
              <w:rPr>
                <w:rFonts w:cs="David"/>
                <w:sz w:val="24"/>
                <w:szCs w:val="24"/>
                <w:rtl/>
              </w:rPr>
              <w:t>.</w:t>
            </w:r>
          </w:p>
        </w:tc>
      </w:tr>
      <w:tr w:rsidR="005C784D" w:rsidRPr="005C784D" w:rsidTr="005C784D">
        <w:tc>
          <w:tcPr>
            <w:tcW w:w="1134" w:type="dxa"/>
          </w:tcPr>
          <w:p w:rsidR="00FC573C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הבדלה </w:t>
            </w:r>
          </w:p>
        </w:tc>
        <w:tc>
          <w:tcPr>
            <w:tcW w:w="2293" w:type="dxa"/>
          </w:tcPr>
          <w:p w:rsidR="00FC573C" w:rsidRPr="005C784D" w:rsidRDefault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רב נחמן בר יצחק, הבדיל על הכוס יבדיל בתפילה.</w:t>
            </w:r>
          </w:p>
        </w:tc>
        <w:tc>
          <w:tcPr>
            <w:tcW w:w="4098" w:type="dxa"/>
            <w:gridSpan w:val="2"/>
          </w:tcPr>
          <w:p w:rsidR="00FC573C" w:rsidRPr="005C784D" w:rsidRDefault="00624A88" w:rsidP="00442D69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לא הבדיל בתפילה ואכל לפני הבדלה על הכוס, לרב ששת חוזר לראש.  </w:t>
            </w:r>
          </w:p>
        </w:tc>
        <w:tc>
          <w:tcPr>
            <w:tcW w:w="2824" w:type="dxa"/>
          </w:tcPr>
          <w:p w:rsidR="00FC573C" w:rsidRPr="005C784D" w:rsidRDefault="00FC573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624A88" w:rsidRPr="005C784D" w:rsidTr="005C784D">
        <w:tc>
          <w:tcPr>
            <w:tcW w:w="1134" w:type="dxa"/>
          </w:tcPr>
          <w:p w:rsidR="00624A88" w:rsidRPr="005C784D" w:rsidRDefault="00624A88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שולחן ערוך</w:t>
            </w:r>
          </w:p>
        </w:tc>
        <w:tc>
          <w:tcPr>
            <w:tcW w:w="9215" w:type="dxa"/>
            <w:gridSpan w:val="4"/>
          </w:tcPr>
          <w:p w:rsidR="00624A88" w:rsidRPr="005C784D" w:rsidRDefault="00624A88" w:rsidP="00624A88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שולחן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ערוך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רצד,א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624A88" w:rsidRPr="005C784D" w:rsidRDefault="00624A88" w:rsidP="00624A88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ואם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טעה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ולא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משלים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תפלתו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ואינו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חוזר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מפני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שצריך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להבדיל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הכוס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.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ואם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טעם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קודם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שהבדיל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הכוס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צריך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לחזור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ולהבדיל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בתפלה</w:t>
            </w:r>
            <w:r w:rsidRPr="005C784D">
              <w:rPr>
                <w:rFonts w:cs="David"/>
                <w:sz w:val="24"/>
                <w:szCs w:val="24"/>
                <w:rtl/>
              </w:rPr>
              <w:t>.</w:t>
            </w:r>
          </w:p>
        </w:tc>
      </w:tr>
      <w:tr w:rsidR="005C784D" w:rsidRPr="005C784D" w:rsidTr="005C784D">
        <w:tc>
          <w:tcPr>
            <w:tcW w:w="1134" w:type="dxa"/>
            <w:tcBorders>
              <w:bottom w:val="single" w:sz="4" w:space="0" w:color="auto"/>
            </w:tcBorders>
          </w:tcPr>
          <w:p w:rsidR="00357C22" w:rsidRPr="005C784D" w:rsidRDefault="00887D1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הבדלה בתפילה במוצ"ש שהוא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יוט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 טוב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357C22" w:rsidRPr="005C784D" w:rsidRDefault="00887D1D" w:rsidP="00887D1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רבי אליעזר אמר במשנה שאת ברכת אתה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חוננתנו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 אומרים בהודאה.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87D1D" w:rsidRPr="005C784D" w:rsidRDefault="00887D1D" w:rsidP="00887D1D">
            <w:pPr>
              <w:rPr>
                <w:rFonts w:cs="David"/>
                <w:sz w:val="24"/>
                <w:szCs w:val="24"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רבי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חייא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אבין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</w:p>
          <w:p w:rsidR="00887D1D" w:rsidRPr="005C784D" w:rsidRDefault="00887D1D" w:rsidP="00887D1D">
            <w:pPr>
              <w:rPr>
                <w:rFonts w:cs="David"/>
                <w:sz w:val="24"/>
                <w:szCs w:val="24"/>
              </w:rPr>
            </w:pP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אמרמשמיה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דרבי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יוחנן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: </w:t>
            </w:r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>הלכה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כרבי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אליעזר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ביום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טוב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שחל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להיות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אחר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השבת</w:t>
            </w:r>
            <w:r w:rsidRPr="005C784D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357C22" w:rsidRPr="005C784D" w:rsidRDefault="00887D1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והסיבה שאמר הלכה לא מפני שחולקים עליו, שגם חכמים מסכימים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איתו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ור"ע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 למרות שהוא חולק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בדר"כ</w:t>
            </w:r>
            <w:proofErr w:type="spellEnd"/>
            <w:r w:rsidRPr="005C784D">
              <w:rPr>
                <w:rFonts w:cs="David" w:hint="cs"/>
                <w:sz w:val="24"/>
                <w:szCs w:val="24"/>
                <w:rtl/>
              </w:rPr>
              <w:t xml:space="preserve"> הלכה לא כמותו.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5C784D" w:rsidRPr="005C784D" w:rsidRDefault="00887D1D">
            <w:pPr>
              <w:rPr>
                <w:rFonts w:cs="David" w:hint="cs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הסיבה שאמר הלכה כמותו להוציא ממי שאמר את השמועה בלשון מטין, כלומר לא מורים לרבים. </w:t>
            </w:r>
          </w:p>
          <w:p w:rsidR="00357C22" w:rsidRPr="005C784D" w:rsidRDefault="00887D1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ולרב יוסף אומרים תודיענו.  </w:t>
            </w:r>
          </w:p>
        </w:tc>
      </w:tr>
      <w:tr w:rsidR="005C784D" w:rsidRPr="005C784D" w:rsidTr="005C784D">
        <w:tc>
          <w:tcPr>
            <w:tcW w:w="1134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93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left w:val="nil"/>
              <w:right w:val="nil"/>
            </w:tcBorders>
          </w:tcPr>
          <w:p w:rsidR="00357C22" w:rsidRDefault="00357C22">
            <w:pPr>
              <w:rPr>
                <w:rFonts w:cs="David" w:hint="cs"/>
                <w:sz w:val="24"/>
                <w:szCs w:val="24"/>
                <w:rtl/>
              </w:rPr>
            </w:pPr>
          </w:p>
          <w:p w:rsidR="00E72CFA" w:rsidRPr="005C784D" w:rsidRDefault="00E72CFA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18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24" w:type="dxa"/>
            <w:tcBorders>
              <w:left w:val="nil"/>
              <w:right w:val="nil"/>
            </w:tcBorders>
          </w:tcPr>
          <w:p w:rsidR="00357C22" w:rsidRPr="005C784D" w:rsidRDefault="00357C22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5C784D" w:rsidRPr="005C784D" w:rsidTr="00A51EE8">
        <w:tc>
          <w:tcPr>
            <w:tcW w:w="10349" w:type="dxa"/>
            <w:gridSpan w:val="5"/>
          </w:tcPr>
          <w:p w:rsidR="005C784D" w:rsidRPr="005C784D" w:rsidRDefault="005C784D" w:rsidP="005C784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highlight w:val="yellow"/>
                <w:rtl/>
              </w:rPr>
              <w:t>האומר מילים שמשמעותם בעייתית</w:t>
            </w:r>
          </w:p>
        </w:tc>
      </w:tr>
      <w:tr w:rsidR="005C784D" w:rsidRPr="005C784D" w:rsidTr="005C784D">
        <w:tc>
          <w:tcPr>
            <w:tcW w:w="1134" w:type="dxa"/>
            <w:vMerge w:val="restart"/>
          </w:tcPr>
          <w:p w:rsidR="005C784D" w:rsidRPr="005C784D" w:rsidRDefault="005C784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במשנה האומר דברים אלו משתקין אותו</w:t>
            </w:r>
          </w:p>
        </w:tc>
        <w:tc>
          <w:tcPr>
            <w:tcW w:w="4273" w:type="dxa"/>
            <w:gridSpan w:val="2"/>
          </w:tcPr>
          <w:p w:rsidR="005C784D" w:rsidRDefault="005C784D" w:rsidP="005C784D">
            <w:pPr>
              <w:rPr>
                <w:rFonts w:cs="David" w:hint="cs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מודים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מודים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 </w:t>
            </w:r>
            <w:r w:rsidRPr="005C784D">
              <w:rPr>
                <w:rFonts w:cs="David" w:hint="cs"/>
                <w:sz w:val="24"/>
                <w:szCs w:val="24"/>
                <w:rtl/>
              </w:rPr>
              <w:t xml:space="preserve">-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משום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דמיחזי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כשתי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רשויות</w:t>
            </w:r>
            <w:r w:rsidRPr="005C784D">
              <w:rPr>
                <w:rFonts w:cs="David"/>
                <w:sz w:val="24"/>
                <w:szCs w:val="24"/>
                <w:rtl/>
              </w:rPr>
              <w:t>,</w:t>
            </w:r>
          </w:p>
          <w:p w:rsidR="00E72CFA" w:rsidRPr="005C784D" w:rsidRDefault="00E72CFA" w:rsidP="005C784D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(מי שאומר את פסוק שמע בשלמותו פעמיים דינו כאומר מודים מודים).</w:t>
            </w:r>
          </w:p>
        </w:tc>
        <w:tc>
          <w:tcPr>
            <w:tcW w:w="4942" w:type="dxa"/>
            <w:gridSpan w:val="2"/>
          </w:tcPr>
          <w:p w:rsidR="005C784D" w:rsidRPr="005C784D" w:rsidRDefault="005C784D" w:rsidP="005C784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ועל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טוב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יזכר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שמך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 xml:space="preserve">-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משמע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הטובה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ולא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הרעה</w:t>
            </w:r>
            <w:r w:rsidRPr="005C784D">
              <w:rPr>
                <w:rFonts w:cs="David"/>
                <w:sz w:val="24"/>
                <w:szCs w:val="24"/>
                <w:rtl/>
              </w:rPr>
              <w:t>,</w:t>
            </w:r>
          </w:p>
        </w:tc>
      </w:tr>
      <w:tr w:rsidR="005C784D" w:rsidRPr="005C784D" w:rsidTr="005C784D">
        <w:trPr>
          <w:trHeight w:val="694"/>
        </w:trPr>
        <w:tc>
          <w:tcPr>
            <w:tcW w:w="1134" w:type="dxa"/>
            <w:vMerge/>
          </w:tcPr>
          <w:p w:rsidR="005C784D" w:rsidRPr="005C784D" w:rsidRDefault="005C784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215" w:type="dxa"/>
            <w:gridSpan w:val="4"/>
          </w:tcPr>
          <w:p w:rsidR="00E72CFA" w:rsidRDefault="005C784D" w:rsidP="005C784D">
            <w:pPr>
              <w:rPr>
                <w:rFonts w:cs="David" w:hint="cs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>על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צפור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יגיעו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רחמיך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: .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מפני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שמטיל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קנאה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במעשה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בראשית</w:t>
            </w:r>
            <w:r w:rsidRPr="005C784D">
              <w:rPr>
                <w:rFonts w:cs="David" w:hint="cs"/>
                <w:sz w:val="24"/>
                <w:szCs w:val="24"/>
                <w:rtl/>
              </w:rPr>
              <w:t xml:space="preserve"> (שרק עליהם מרחמים) </w:t>
            </w:r>
          </w:p>
          <w:p w:rsidR="005C784D" w:rsidRPr="005C784D" w:rsidRDefault="005C784D" w:rsidP="005C784D">
            <w:pPr>
              <w:rPr>
                <w:rFonts w:cs="David"/>
                <w:sz w:val="24"/>
                <w:szCs w:val="24"/>
                <w:rtl/>
              </w:rPr>
            </w:pPr>
            <w:r w:rsidRPr="005C784D">
              <w:rPr>
                <w:rFonts w:cs="David" w:hint="cs"/>
                <w:sz w:val="24"/>
                <w:szCs w:val="24"/>
                <w:rtl/>
              </w:rPr>
              <w:t xml:space="preserve">ב.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מפני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שעושה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proofErr w:type="spellStart"/>
            <w:r w:rsidRPr="005C784D">
              <w:rPr>
                <w:rFonts w:cs="David" w:hint="cs"/>
                <w:sz w:val="24"/>
                <w:szCs w:val="24"/>
                <w:rtl/>
              </w:rPr>
              <w:t>מדותיו</w:t>
            </w:r>
            <w:proofErr w:type="spellEnd"/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של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הקדוש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ברוך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הוא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רחמים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ואינן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אלא</w:t>
            </w:r>
            <w:r w:rsidRPr="005C784D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5C784D">
              <w:rPr>
                <w:rFonts w:cs="David" w:hint="cs"/>
                <w:sz w:val="24"/>
                <w:szCs w:val="24"/>
                <w:rtl/>
              </w:rPr>
              <w:t>גזרות</w:t>
            </w:r>
          </w:p>
        </w:tc>
      </w:tr>
    </w:tbl>
    <w:p w:rsidR="00887D1D" w:rsidRPr="005C784D" w:rsidRDefault="00887D1D" w:rsidP="00887D1D">
      <w:pPr>
        <w:rPr>
          <w:rFonts w:cs="David"/>
          <w:sz w:val="24"/>
          <w:szCs w:val="24"/>
          <w:rtl/>
        </w:rPr>
      </w:pPr>
    </w:p>
    <w:p w:rsidR="00887D1D" w:rsidRPr="005C784D" w:rsidRDefault="00887D1D" w:rsidP="00887D1D">
      <w:pPr>
        <w:rPr>
          <w:rFonts w:cs="David"/>
          <w:sz w:val="24"/>
          <w:szCs w:val="24"/>
        </w:rPr>
      </w:pPr>
    </w:p>
    <w:sectPr w:rsidR="00887D1D" w:rsidRPr="005C784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22"/>
    <w:rsid w:val="00357C22"/>
    <w:rsid w:val="00442D69"/>
    <w:rsid w:val="005C784D"/>
    <w:rsid w:val="005E6554"/>
    <w:rsid w:val="00624A88"/>
    <w:rsid w:val="00887D1D"/>
    <w:rsid w:val="00C615BF"/>
    <w:rsid w:val="00E72CFA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2012-09-02T20:06:00Z</dcterms:created>
  <dcterms:modified xsi:type="dcterms:W3CDTF">2012-09-02T21:10:00Z</dcterms:modified>
</cp:coreProperties>
</file>