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FD" w:rsidRPr="00E72CFA" w:rsidRDefault="00A565FD" w:rsidP="009A6802">
      <w:pPr>
        <w:spacing w:line="240" w:lineRule="auto"/>
        <w:rPr>
          <w:rFonts w:ascii="Times New Roman" w:eastAsia="Times New Roman" w:hAnsi="Times New Roman" w:cs="David"/>
          <w:sz w:val="36"/>
          <w:szCs w:val="36"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055206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דף </w:t>
      </w:r>
      <w:r w:rsidRPr="009A6802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ל</w:t>
      </w:r>
      <w:r w:rsidR="009A6802" w:rsidRPr="009A6802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ה</w:t>
      </w:r>
    </w:p>
    <w:p w:rsidR="00A565FD" w:rsidRDefault="00A565FD" w:rsidP="00A565FD">
      <w:pPr>
        <w:rPr>
          <w:rFonts w:hint="cs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ערך הרב חנניה מלכה</w:t>
      </w:r>
      <w:r w:rsidRPr="00E72CFA">
        <w:rPr>
          <w:rFonts w:ascii="Times New Roman" w:eastAsia="Times New Roman" w:hAnsi="Times New Roman" w:cs="David"/>
          <w:sz w:val="36"/>
          <w:szCs w:val="36"/>
          <w:highlight w:val="magenta"/>
          <w:rtl/>
        </w:rPr>
        <w:tab/>
      </w:r>
    </w:p>
    <w:tbl>
      <w:tblPr>
        <w:tblStyle w:val="a3"/>
        <w:tblpPr w:leftFromText="180" w:rightFromText="180" w:vertAnchor="text" w:horzAnchor="margin" w:tblpY="137"/>
        <w:bidiVisual/>
        <w:tblW w:w="9889" w:type="dxa"/>
        <w:tblLook w:val="04A0" w:firstRow="1" w:lastRow="0" w:firstColumn="1" w:lastColumn="0" w:noHBand="0" w:noVBand="1"/>
      </w:tblPr>
      <w:tblGrid>
        <w:gridCol w:w="2291"/>
        <w:gridCol w:w="1838"/>
        <w:gridCol w:w="1824"/>
        <w:gridCol w:w="12"/>
        <w:gridCol w:w="1548"/>
        <w:gridCol w:w="149"/>
        <w:gridCol w:w="2227"/>
      </w:tblGrid>
      <w:tr w:rsidR="00FF36BB" w:rsidTr="00FF36BB">
        <w:tc>
          <w:tcPr>
            <w:tcW w:w="9889" w:type="dxa"/>
            <w:gridSpan w:val="7"/>
          </w:tcPr>
          <w:p w:rsidR="00FF36BB" w:rsidRPr="00FF36BB" w:rsidRDefault="00FF36BB" w:rsidP="00FF36BB">
            <w:pPr>
              <w:jc w:val="center"/>
              <w:rPr>
                <w:highlight w:val="yellow"/>
                <w:rtl/>
              </w:rPr>
            </w:pPr>
            <w:r w:rsidRPr="00FF36BB">
              <w:rPr>
                <w:rFonts w:hint="cs"/>
                <w:highlight w:val="yellow"/>
                <w:rtl/>
              </w:rPr>
              <w:t xml:space="preserve">                                       הנושא מניין שצריך לברך על המאכל?</w:t>
            </w:r>
          </w:p>
        </w:tc>
      </w:tr>
      <w:tr w:rsidR="00FF36BB" w:rsidTr="00FF36BB">
        <w:tc>
          <w:tcPr>
            <w:tcW w:w="9889" w:type="dxa"/>
            <w:gridSpan w:val="7"/>
          </w:tcPr>
          <w:p w:rsidR="00FF36BB" w:rsidRPr="00FF36BB" w:rsidRDefault="00FF36BB" w:rsidP="00FF36BB">
            <w:pPr>
              <w:jc w:val="center"/>
              <w:rPr>
                <w:highlight w:val="yellow"/>
                <w:rtl/>
              </w:rPr>
            </w:pPr>
            <w:r w:rsidRPr="00FF36BB">
              <w:rPr>
                <w:rFonts w:hint="cs"/>
                <w:highlight w:val="yellow"/>
                <w:rtl/>
              </w:rPr>
              <w:t xml:space="preserve">                                        ר"ע קודש הלולים(2 הלולים ) לפני ואחרי</w:t>
            </w:r>
          </w:p>
        </w:tc>
      </w:tr>
      <w:tr w:rsidR="00FF36BB" w:rsidTr="00FF36BB">
        <w:tc>
          <w:tcPr>
            <w:tcW w:w="4129" w:type="dxa"/>
            <w:gridSpan w:val="2"/>
            <w:vMerge w:val="restart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מבנה הסוגיה , להראות שיש בעיה במקור הלימוד בפסוק וגם חרי שהפסוק מסתדר </w:t>
            </w:r>
            <w:proofErr w:type="spellStart"/>
            <w:r>
              <w:rPr>
                <w:rFonts w:hint="cs"/>
                <w:rtl/>
              </w:rPr>
              <w:t>לההראות</w:t>
            </w:r>
            <w:proofErr w:type="spellEnd"/>
            <w:r>
              <w:rPr>
                <w:rFonts w:hint="cs"/>
                <w:rtl/>
              </w:rPr>
              <w:t xml:space="preserve"> שא"א ללמוד לשאר מינים, כי הם אינם דומים לכרם או נטע רבעי </w:t>
            </w:r>
          </w:p>
        </w:tc>
        <w:tc>
          <w:tcPr>
            <w:tcW w:w="5760" w:type="dxa"/>
            <w:gridSpan w:val="5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קודש הילולים</w:t>
            </w:r>
          </w:p>
        </w:tc>
      </w:tr>
      <w:tr w:rsidR="00FF36BB" w:rsidTr="00DB28CF">
        <w:tc>
          <w:tcPr>
            <w:tcW w:w="4129" w:type="dxa"/>
            <w:gridSpan w:val="2"/>
            <w:vMerge/>
          </w:tcPr>
          <w:p w:rsidR="00FF36BB" w:rsidRDefault="00FF36BB" w:rsidP="00FF36BB">
            <w:pPr>
              <w:rPr>
                <w:rtl/>
              </w:rPr>
            </w:pPr>
          </w:p>
        </w:tc>
        <w:tc>
          <w:tcPr>
            <w:tcW w:w="183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הלול א </w:t>
            </w:r>
          </w:p>
        </w:tc>
        <w:tc>
          <w:tcPr>
            <w:tcW w:w="154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הלול ב </w:t>
            </w:r>
          </w:p>
        </w:tc>
        <w:tc>
          <w:tcPr>
            <w:tcW w:w="2376" w:type="dxa"/>
            <w:gridSpan w:val="2"/>
            <w:tcBorders>
              <w:bottom w:val="nil"/>
              <w:right w:val="nil"/>
            </w:tcBorders>
          </w:tcPr>
          <w:p w:rsidR="00FF36BB" w:rsidRDefault="00FF36BB" w:rsidP="00FF36BB">
            <w:pPr>
              <w:rPr>
                <w:rtl/>
              </w:rPr>
            </w:pPr>
          </w:p>
        </w:tc>
      </w:tr>
      <w:tr w:rsidR="00FF36BB" w:rsidTr="00DB28CF">
        <w:tc>
          <w:tcPr>
            <w:tcW w:w="4129" w:type="dxa"/>
            <w:gridSpan w:val="2"/>
            <w:vMerge/>
          </w:tcPr>
          <w:p w:rsidR="00FF36BB" w:rsidRDefault="00FF36BB" w:rsidP="00FF36BB">
            <w:pPr>
              <w:rPr>
                <w:rtl/>
              </w:rPr>
            </w:pPr>
          </w:p>
        </w:tc>
        <w:tc>
          <w:tcPr>
            <w:tcW w:w="183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חלל ואחר כך תאכל</w:t>
            </w:r>
          </w:p>
        </w:tc>
        <w:tc>
          <w:tcPr>
            <w:tcW w:w="154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רק דבר הטעון שירה יין צריך חילול</w:t>
            </w:r>
          </w:p>
        </w:tc>
        <w:tc>
          <w:tcPr>
            <w:tcW w:w="2376" w:type="dxa"/>
            <w:gridSpan w:val="2"/>
            <w:tcBorders>
              <w:top w:val="nil"/>
              <w:right w:val="nil"/>
            </w:tcBorders>
          </w:tcPr>
          <w:p w:rsidR="00FF36BB" w:rsidRDefault="00FF36BB" w:rsidP="00FF36BB">
            <w:pPr>
              <w:rPr>
                <w:rtl/>
              </w:rPr>
            </w:pPr>
          </w:p>
        </w:tc>
      </w:tr>
      <w:tr w:rsidR="00FF36BB" w:rsidTr="00FF36BB">
        <w:tc>
          <w:tcPr>
            <w:tcW w:w="2291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נטע רבעי</w:t>
            </w:r>
          </w:p>
        </w:tc>
        <w:tc>
          <w:tcPr>
            <w:tcW w:w="183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לא צריך את הלימוד שרק יין צריך חילול</w:t>
            </w:r>
          </w:p>
        </w:tc>
        <w:tc>
          <w:tcPr>
            <w:tcW w:w="183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חלל ואחר כך תאכל</w:t>
            </w:r>
          </w:p>
        </w:tc>
        <w:tc>
          <w:tcPr>
            <w:tcW w:w="154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לחובת ברכה </w:t>
            </w:r>
          </w:p>
        </w:tc>
        <w:tc>
          <w:tcPr>
            <w:tcW w:w="237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חסר לו מקור לברכה אבל </w:t>
            </w:r>
            <w:proofErr w:type="spellStart"/>
            <w:r>
              <w:rPr>
                <w:rFonts w:hint="cs"/>
                <w:rtl/>
              </w:rPr>
              <w:t>איא</w:t>
            </w:r>
            <w:proofErr w:type="spellEnd"/>
            <w:r>
              <w:rPr>
                <w:rFonts w:hint="cs"/>
                <w:rtl/>
              </w:rPr>
              <w:t xml:space="preserve"> אפשר ללמוד ממנו לשאר מינים שאינם בני נטיעה כגון ביצים ובשר.</w:t>
            </w:r>
          </w:p>
        </w:tc>
      </w:tr>
      <w:tr w:rsidR="00FF36BB" w:rsidTr="00FF36BB">
        <w:tc>
          <w:tcPr>
            <w:tcW w:w="2291" w:type="dxa"/>
            <w:vMerge w:val="restart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כרם רבעי</w:t>
            </w:r>
          </w:p>
        </w:tc>
        <w:tc>
          <w:tcPr>
            <w:tcW w:w="183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לומד ג"ש </w:t>
            </w:r>
          </w:p>
        </w:tc>
        <w:tc>
          <w:tcPr>
            <w:tcW w:w="183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חלל ואחר כך תאכל</w:t>
            </w:r>
          </w:p>
        </w:tc>
        <w:tc>
          <w:tcPr>
            <w:tcW w:w="154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לחובת ברכה</w:t>
            </w:r>
          </w:p>
        </w:tc>
        <w:tc>
          <w:tcPr>
            <w:tcW w:w="237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חסר לו מקור לברכה לאחריו אבל חסר לו מקור לברכה לפניו וגם אם נלמד </w:t>
            </w:r>
            <w:proofErr w:type="spellStart"/>
            <w:r>
              <w:rPr>
                <w:rFonts w:hint="cs"/>
                <w:rtl/>
              </w:rPr>
              <w:t>מק"ו</w:t>
            </w:r>
            <w:proofErr w:type="spellEnd"/>
            <w:r>
              <w:rPr>
                <w:rFonts w:hint="cs"/>
                <w:rtl/>
              </w:rPr>
              <w:t xml:space="preserve"> חסר לו מקור לשאר מינים.</w:t>
            </w:r>
          </w:p>
        </w:tc>
      </w:tr>
      <w:tr w:rsidR="00FF36BB" w:rsidTr="00FF36BB">
        <w:tc>
          <w:tcPr>
            <w:tcW w:w="2291" w:type="dxa"/>
            <w:vMerge/>
          </w:tcPr>
          <w:p w:rsidR="00FF36BB" w:rsidRDefault="00FF36BB" w:rsidP="00FF36BB">
            <w:pPr>
              <w:rPr>
                <w:rtl/>
              </w:rPr>
            </w:pPr>
          </w:p>
        </w:tc>
        <w:tc>
          <w:tcPr>
            <w:tcW w:w="183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לא לומד ג"ש </w:t>
            </w:r>
          </w:p>
        </w:tc>
        <w:tc>
          <w:tcPr>
            <w:tcW w:w="183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חלל ואחר כך תאכל</w:t>
            </w:r>
          </w:p>
        </w:tc>
        <w:tc>
          <w:tcPr>
            <w:tcW w:w="1548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רק דבר הטעון שירה יין צריך חילול</w:t>
            </w:r>
          </w:p>
        </w:tc>
        <w:tc>
          <w:tcPr>
            <w:tcW w:w="2376" w:type="dxa"/>
            <w:gridSpan w:val="2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חסר לו מקור לברכה לאחריו ולפניו.</w:t>
            </w:r>
          </w:p>
        </w:tc>
      </w:tr>
      <w:tr w:rsidR="00FF36BB" w:rsidTr="00FF36BB">
        <w:tc>
          <w:tcPr>
            <w:tcW w:w="9889" w:type="dxa"/>
            <w:gridSpan w:val="7"/>
          </w:tcPr>
          <w:p w:rsidR="00FF36BB" w:rsidRDefault="00FF36BB" w:rsidP="00DB28CF">
            <w:pPr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נסיון</w:t>
            </w:r>
            <w:proofErr w:type="spellEnd"/>
            <w:r>
              <w:rPr>
                <w:rFonts w:hint="cs"/>
                <w:rtl/>
              </w:rPr>
              <w:t xml:space="preserve"> ללמוד מכרם או מנטע רבעי לשאר המינים</w:t>
            </w:r>
          </w:p>
        </w:tc>
      </w:tr>
      <w:tr w:rsidR="00FF36BB" w:rsidTr="00FF36BB">
        <w:tc>
          <w:tcPr>
            <w:tcW w:w="5965" w:type="dxa"/>
            <w:gridSpan w:val="4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ניסון ללמוד מכרם לשאר מינים</w:t>
            </w:r>
          </w:p>
        </w:tc>
        <w:tc>
          <w:tcPr>
            <w:tcW w:w="3924" w:type="dxa"/>
            <w:gridSpan w:val="3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ניסון ללמוד משבעת מינים  לשאר מינים</w:t>
            </w:r>
          </w:p>
        </w:tc>
      </w:tr>
      <w:tr w:rsidR="00FF36BB" w:rsidTr="00DB28CF">
        <w:tc>
          <w:tcPr>
            <w:tcW w:w="2291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כרם</w:t>
            </w:r>
          </w:p>
        </w:tc>
        <w:tc>
          <w:tcPr>
            <w:tcW w:w="3674" w:type="dxa"/>
            <w:gridSpan w:val="3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קמה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שבעת מינם </w:t>
            </w:r>
            <w:proofErr w:type="spellStart"/>
            <w:r>
              <w:rPr>
                <w:rFonts w:hint="cs"/>
                <w:rtl/>
              </w:rPr>
              <w:t>חיבים</w:t>
            </w:r>
            <w:proofErr w:type="spellEnd"/>
            <w:r>
              <w:rPr>
                <w:rFonts w:hint="cs"/>
                <w:rtl/>
              </w:rPr>
              <w:t xml:space="preserve"> ביכורים ושאר מינים לא </w:t>
            </w:r>
          </w:p>
        </w:tc>
      </w:tr>
      <w:tr w:rsidR="00DB28CF" w:rsidTr="00DB28CF">
        <w:tc>
          <w:tcPr>
            <w:tcW w:w="2291" w:type="dxa"/>
          </w:tcPr>
          <w:p w:rsidR="00DB28CF" w:rsidRDefault="00DB28CF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עוללות שחייבות במתנות עניים ולכן יתחייב בברכה.</w:t>
            </w:r>
          </w:p>
        </w:tc>
        <w:tc>
          <w:tcPr>
            <w:tcW w:w="3674" w:type="dxa"/>
            <w:gridSpan w:val="3"/>
          </w:tcPr>
          <w:p w:rsidR="00DB28CF" w:rsidRDefault="00DB28CF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תבואה שלא חייבת בעוללות חייבת בברכת המזון.</w:t>
            </w:r>
          </w:p>
        </w:tc>
        <w:tc>
          <w:tcPr>
            <w:tcW w:w="3924" w:type="dxa"/>
            <w:gridSpan w:val="3"/>
            <w:tcBorders>
              <w:right w:val="nil"/>
            </w:tcBorders>
          </w:tcPr>
          <w:p w:rsidR="00DB28CF" w:rsidRDefault="00DB28CF" w:rsidP="00FF36BB">
            <w:pPr>
              <w:rPr>
                <w:rtl/>
              </w:rPr>
            </w:pPr>
          </w:p>
        </w:tc>
      </w:tr>
      <w:tr w:rsidR="00FF36BB" w:rsidTr="00FF36BB">
        <w:tc>
          <w:tcPr>
            <w:tcW w:w="2291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חייב בחלה </w:t>
            </w:r>
          </w:p>
        </w:tc>
        <w:tc>
          <w:tcPr>
            <w:tcW w:w="3674" w:type="dxa"/>
            <w:gridSpan w:val="3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חייבת בחלה</w:t>
            </w:r>
          </w:p>
        </w:tc>
        <w:tc>
          <w:tcPr>
            <w:tcW w:w="3924" w:type="dxa"/>
            <w:gridSpan w:val="3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מנטע רבעי אי אפשר ללמוד על שאר המינים</w:t>
            </w:r>
          </w:p>
        </w:tc>
      </w:tr>
      <w:tr w:rsidR="00FF36BB" w:rsidTr="00DB28CF">
        <w:tc>
          <w:tcPr>
            <w:tcW w:w="5953" w:type="dxa"/>
            <w:gridSpan w:val="3"/>
          </w:tcPr>
          <w:p w:rsidR="00FF36BB" w:rsidRDefault="00FF36BB" w:rsidP="00FF36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דבר שנהנה וטעון ברכה</w:t>
            </w:r>
          </w:p>
        </w:tc>
        <w:tc>
          <w:tcPr>
            <w:tcW w:w="1709" w:type="dxa"/>
            <w:gridSpan w:val="3"/>
            <w:tcBorders>
              <w:right w:val="nil"/>
            </w:tcBorders>
          </w:tcPr>
          <w:p w:rsidR="00FF36BB" w:rsidRDefault="00FF36BB" w:rsidP="00FF36BB">
            <w:pPr>
              <w:rPr>
                <w:rtl/>
              </w:rPr>
            </w:pPr>
          </w:p>
        </w:tc>
        <w:tc>
          <w:tcPr>
            <w:tcW w:w="2227" w:type="dxa"/>
            <w:tcBorders>
              <w:left w:val="nil"/>
              <w:right w:val="nil"/>
            </w:tcBorders>
          </w:tcPr>
          <w:p w:rsidR="00FF36BB" w:rsidRDefault="00FF36BB" w:rsidP="00FF36BB">
            <w:pPr>
              <w:rPr>
                <w:rtl/>
              </w:rPr>
            </w:pPr>
          </w:p>
        </w:tc>
      </w:tr>
      <w:tr w:rsidR="00FF36BB" w:rsidTr="00FF36BB">
        <w:tc>
          <w:tcPr>
            <w:tcW w:w="2291" w:type="dxa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צד מזבח ניסוך היין </w:t>
            </w:r>
          </w:p>
        </w:tc>
        <w:tc>
          <w:tcPr>
            <w:tcW w:w="3674" w:type="dxa"/>
            <w:gridSpan w:val="3"/>
          </w:tcPr>
          <w:p w:rsidR="00FF36BB" w:rsidRDefault="00FF36BB" w:rsidP="00FF36BB">
            <w:pPr>
              <w:rPr>
                <w:rtl/>
              </w:rPr>
            </w:pPr>
            <w:r>
              <w:rPr>
                <w:rFonts w:hint="cs"/>
                <w:rtl/>
              </w:rPr>
              <w:t>צד מזבח סולת למנחות</w:t>
            </w:r>
          </w:p>
        </w:tc>
        <w:tc>
          <w:tcPr>
            <w:tcW w:w="3924" w:type="dxa"/>
            <w:gridSpan w:val="3"/>
          </w:tcPr>
          <w:p w:rsidR="00FF36BB" w:rsidRPr="00FF36BB" w:rsidRDefault="00FF36BB" w:rsidP="00FF36BB">
            <w:pPr>
              <w:rPr>
                <w:highlight w:val="yellow"/>
                <w:rtl/>
              </w:rPr>
            </w:pPr>
            <w:r w:rsidRPr="00FF36BB">
              <w:rPr>
                <w:rFonts w:hint="cs"/>
                <w:highlight w:val="yellow"/>
                <w:rtl/>
              </w:rPr>
              <w:t xml:space="preserve">המסקנה לומדים שצריך לברך </w:t>
            </w:r>
            <w:proofErr w:type="spellStart"/>
            <w:r w:rsidRPr="00FF36BB">
              <w:rPr>
                <w:rFonts w:hint="cs"/>
                <w:highlight w:val="yellow"/>
                <w:rtl/>
              </w:rPr>
              <w:t>מסברא</w:t>
            </w:r>
            <w:proofErr w:type="spellEnd"/>
            <w:r w:rsidRPr="00FF36BB">
              <w:rPr>
                <w:rFonts w:hint="cs"/>
                <w:highlight w:val="yellow"/>
                <w:rtl/>
              </w:rPr>
              <w:t xml:space="preserve"> </w:t>
            </w:r>
          </w:p>
        </w:tc>
      </w:tr>
      <w:tr w:rsidR="00FF36BB" w:rsidTr="00DB28CF"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F36BB" w:rsidRDefault="00FF36BB" w:rsidP="00FF36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בשאר מינים אין צד מזבח ולכן אי אפשר ללמוד מכרם וקמה לשאר מינים</w:t>
            </w:r>
          </w:p>
        </w:tc>
        <w:tc>
          <w:tcPr>
            <w:tcW w:w="3936" w:type="dxa"/>
            <w:gridSpan w:val="4"/>
            <w:tcBorders>
              <w:bottom w:val="single" w:sz="4" w:space="0" w:color="auto"/>
            </w:tcBorders>
          </w:tcPr>
          <w:p w:rsidR="00FF36BB" w:rsidRPr="00FF36BB" w:rsidRDefault="00FF36BB" w:rsidP="00FF36BB">
            <w:pPr>
              <w:jc w:val="center"/>
              <w:rPr>
                <w:highlight w:val="yellow"/>
                <w:rtl/>
              </w:rPr>
            </w:pPr>
            <w:r w:rsidRPr="00FF36BB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אסור לו לאדם </w:t>
            </w:r>
            <w:proofErr w:type="spellStart"/>
            <w:r w:rsidRPr="00FF36BB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שיהנה</w:t>
            </w:r>
            <w:proofErr w:type="spellEnd"/>
            <w:r w:rsidRPr="00FF36BB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 מן העולם הזה בלא ברכה</w:t>
            </w:r>
          </w:p>
        </w:tc>
      </w:tr>
      <w:tr w:rsidR="00FF36BB" w:rsidTr="00DB28CF">
        <w:tc>
          <w:tcPr>
            <w:tcW w:w="5953" w:type="dxa"/>
            <w:gridSpan w:val="3"/>
            <w:tcBorders>
              <w:left w:val="nil"/>
              <w:right w:val="nil"/>
            </w:tcBorders>
          </w:tcPr>
          <w:p w:rsidR="00FF36BB" w:rsidRDefault="00FF36BB" w:rsidP="00FF36BB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936" w:type="dxa"/>
            <w:gridSpan w:val="4"/>
            <w:tcBorders>
              <w:left w:val="nil"/>
              <w:right w:val="nil"/>
            </w:tcBorders>
          </w:tcPr>
          <w:p w:rsidR="00FF36BB" w:rsidRPr="00FF36BB" w:rsidRDefault="00FF36BB" w:rsidP="00FF36B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</w:pPr>
          </w:p>
        </w:tc>
      </w:tr>
      <w:tr w:rsidR="00FF36BB" w:rsidTr="003F6130">
        <w:tc>
          <w:tcPr>
            <w:tcW w:w="9889" w:type="dxa"/>
            <w:gridSpan w:val="7"/>
          </w:tcPr>
          <w:p w:rsidR="00FF36BB" w:rsidRPr="00FF36BB" w:rsidRDefault="00FF36BB" w:rsidP="00FF36B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>מדוע יש ברכה מיוחדת ליין</w:t>
            </w:r>
          </w:p>
        </w:tc>
      </w:tr>
      <w:tr w:rsidR="00FF36BB" w:rsidTr="00FF36BB">
        <w:tc>
          <w:tcPr>
            <w:tcW w:w="5953" w:type="dxa"/>
            <w:gridSpan w:val="3"/>
          </w:tcPr>
          <w:p w:rsidR="00FF36BB" w:rsidRDefault="00FF36BB" w:rsidP="00FF36B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השתנה לעילוי </w:t>
            </w:r>
          </w:p>
        </w:tc>
        <w:tc>
          <w:tcPr>
            <w:tcW w:w="3936" w:type="dxa"/>
            <w:gridSpan w:val="4"/>
          </w:tcPr>
          <w:p w:rsidR="00FF36BB" w:rsidRPr="00DB28CF" w:rsidRDefault="00FF36BB" w:rsidP="00FF36B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DB28CF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גם </w:t>
            </w:r>
            <w:proofErr w:type="spellStart"/>
            <w:r w:rsidRPr="00DB28CF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זיית</w:t>
            </w:r>
            <w:proofErr w:type="spellEnd"/>
            <w:r w:rsidRPr="00DB28CF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השתנה לעילוי ואפשר לברך בורא פרי עץ הזיית</w:t>
            </w:r>
          </w:p>
        </w:tc>
      </w:tr>
      <w:tr w:rsidR="00FF36BB" w:rsidTr="00FF36BB">
        <w:tc>
          <w:tcPr>
            <w:tcW w:w="5953" w:type="dxa"/>
            <w:gridSpan w:val="3"/>
          </w:tcPr>
          <w:p w:rsidR="00FF36BB" w:rsidRDefault="00FF36BB" w:rsidP="00FF36B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יין זן </w:t>
            </w:r>
          </w:p>
        </w:tc>
        <w:tc>
          <w:tcPr>
            <w:tcW w:w="3936" w:type="dxa"/>
            <w:gridSpan w:val="4"/>
          </w:tcPr>
          <w:p w:rsidR="00FF36BB" w:rsidRPr="00DB28CF" w:rsidRDefault="00DB28CF" w:rsidP="00FF36B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DB28CF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גם שמן זן</w:t>
            </w:r>
          </w:p>
        </w:tc>
      </w:tr>
      <w:tr w:rsidR="00DB28CF" w:rsidTr="00DB28CF">
        <w:tc>
          <w:tcPr>
            <w:tcW w:w="9889" w:type="dxa"/>
            <w:gridSpan w:val="7"/>
            <w:tcBorders>
              <w:bottom w:val="single" w:sz="4" w:space="0" w:color="auto"/>
            </w:tcBorders>
          </w:tcPr>
          <w:p w:rsidR="00DB28CF" w:rsidRPr="00DB28CF" w:rsidRDefault="00DB28CF" w:rsidP="00FF36BB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rtl/>
              </w:rPr>
              <w:t>יין  סועד קצת ומשמח  ולא נברך עליו ברכת המזון כי רוב בני האדם לא קובעים עליו סעודה</w:t>
            </w:r>
          </w:p>
        </w:tc>
      </w:tr>
      <w:tr w:rsidR="00DB28CF" w:rsidTr="00DB28CF">
        <w:tc>
          <w:tcPr>
            <w:tcW w:w="5953" w:type="dxa"/>
            <w:gridSpan w:val="3"/>
            <w:tcBorders>
              <w:left w:val="nil"/>
              <w:right w:val="nil"/>
            </w:tcBorders>
          </w:tcPr>
          <w:p w:rsidR="00DB28CF" w:rsidRDefault="00DB28CF" w:rsidP="00FF36BB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936" w:type="dxa"/>
            <w:gridSpan w:val="4"/>
            <w:tcBorders>
              <w:left w:val="nil"/>
              <w:right w:val="nil"/>
            </w:tcBorders>
          </w:tcPr>
          <w:p w:rsidR="00DB28CF" w:rsidRPr="00DB28CF" w:rsidRDefault="00DB28CF" w:rsidP="00FF36BB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</w:tc>
      </w:tr>
      <w:tr w:rsidR="00DB28CF" w:rsidTr="00475A31">
        <w:tc>
          <w:tcPr>
            <w:tcW w:w="9889" w:type="dxa"/>
            <w:gridSpan w:val="7"/>
          </w:tcPr>
          <w:p w:rsidR="00DB28CF" w:rsidRPr="00DB28CF" w:rsidRDefault="00DB28CF" w:rsidP="00DB28CF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 w:rsidRPr="00DB28CF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 xml:space="preserve">מתי  </w:t>
            </w:r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proofErr w:type="spellStart"/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מברכין</w:t>
            </w:r>
            <w:proofErr w:type="spellEnd"/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על</w:t>
            </w:r>
            <w:r w:rsidRPr="00DB28CF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שמן זית </w:t>
            </w:r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י</w:t>
            </w:r>
            <w:r w:rsidRPr="00DB28CF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בורא פרי העץ</w:t>
            </w:r>
          </w:p>
        </w:tc>
      </w:tr>
      <w:tr w:rsidR="00DB28CF" w:rsidTr="00FF36BB">
        <w:tc>
          <w:tcPr>
            <w:tcW w:w="5953" w:type="dxa"/>
            <w:gridSpan w:val="3"/>
          </w:tcPr>
          <w:p w:rsidR="00DB28CF" w:rsidRDefault="00DB28CF" w:rsidP="00FF36B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אם ששותה </w:t>
            </w:r>
          </w:p>
        </w:tc>
        <w:tc>
          <w:tcPr>
            <w:tcW w:w="3936" w:type="dxa"/>
            <w:gridSpan w:val="4"/>
          </w:tcPr>
          <w:p w:rsidR="00DB28CF" w:rsidRPr="00DB28CF" w:rsidRDefault="00DB28CF" w:rsidP="00FF36BB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מזיק</w:t>
            </w:r>
          </w:p>
        </w:tc>
      </w:tr>
      <w:tr w:rsidR="00DB28CF" w:rsidTr="00FF36BB">
        <w:tc>
          <w:tcPr>
            <w:tcW w:w="5953" w:type="dxa"/>
            <w:gridSpan w:val="3"/>
          </w:tcPr>
          <w:p w:rsidR="00DB28CF" w:rsidRDefault="00DB28CF" w:rsidP="00FF36B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אם שאוכל פת </w:t>
            </w:r>
          </w:p>
        </w:tc>
        <w:tc>
          <w:tcPr>
            <w:tcW w:w="3936" w:type="dxa"/>
            <w:gridSpan w:val="4"/>
          </w:tcPr>
          <w:p w:rsidR="00DB28CF" w:rsidRPr="00DB28CF" w:rsidRDefault="00DB28CF" w:rsidP="00FF36BB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הפת עיקר</w:t>
            </w:r>
          </w:p>
        </w:tc>
      </w:tr>
      <w:tr w:rsidR="00DB28CF" w:rsidTr="00FF36BB">
        <w:tc>
          <w:tcPr>
            <w:tcW w:w="5953" w:type="dxa"/>
            <w:gridSpan w:val="3"/>
          </w:tcPr>
          <w:p w:rsidR="00DB28CF" w:rsidRDefault="00DB28CF" w:rsidP="00FF36B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ששותה על ידי </w:t>
            </w:r>
            <w:proofErr w:type="spellStart"/>
            <w:r>
              <w:rPr>
                <w:rFonts w:hint="cs"/>
                <w:rtl/>
              </w:rPr>
              <w:t>אנגירון</w:t>
            </w:r>
            <w:proofErr w:type="spellEnd"/>
            <w:r>
              <w:rPr>
                <w:rFonts w:hint="cs"/>
                <w:rtl/>
              </w:rPr>
              <w:t xml:space="preserve"> (מאכל שרגילים לתת לתוכו </w:t>
            </w:r>
            <w:proofErr w:type="spellStart"/>
            <w:r>
              <w:rPr>
                <w:rFonts w:hint="cs"/>
                <w:rtl/>
              </w:rPr>
              <w:t>שמ</w:t>
            </w:r>
            <w:proofErr w:type="spellEnd"/>
            <w:r>
              <w:rPr>
                <w:rFonts w:hint="cs"/>
                <w:rtl/>
              </w:rPr>
              <w:t xml:space="preserve"> ויין )</w:t>
            </w:r>
          </w:p>
        </w:tc>
        <w:tc>
          <w:tcPr>
            <w:tcW w:w="3936" w:type="dxa"/>
            <w:gridSpan w:val="4"/>
          </w:tcPr>
          <w:p w:rsidR="00DB28CF" w:rsidRPr="00DB28CF" w:rsidRDefault="00DB28CF" w:rsidP="00FF36BB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שהעיקר זה השמן כגון שחושש בגרונו והחידוש למרות שמכוון לרפואה צריך לברך</w:t>
            </w:r>
          </w:p>
        </w:tc>
      </w:tr>
      <w:tr w:rsidR="00DB28CF" w:rsidTr="00CF3761">
        <w:tc>
          <w:tcPr>
            <w:tcW w:w="9889" w:type="dxa"/>
            <w:gridSpan w:val="7"/>
          </w:tcPr>
          <w:p w:rsidR="00DB28CF" w:rsidRDefault="00DB28CF" w:rsidP="00FF36BB">
            <w:pPr>
              <w:jc w:val="center"/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</w:pPr>
          </w:p>
        </w:tc>
      </w:tr>
    </w:tbl>
    <w:p w:rsidR="00627FF5" w:rsidRPr="00A565FD" w:rsidRDefault="00627FF5" w:rsidP="00A565FD">
      <w:bookmarkStart w:id="0" w:name="_GoBack"/>
      <w:bookmarkEnd w:id="0"/>
    </w:p>
    <w:sectPr w:rsidR="00627FF5" w:rsidRPr="00A565F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FD"/>
    <w:rsid w:val="001A2796"/>
    <w:rsid w:val="00627FF5"/>
    <w:rsid w:val="009A6802"/>
    <w:rsid w:val="00A565FD"/>
    <w:rsid w:val="00C615BF"/>
    <w:rsid w:val="00DB28CF"/>
    <w:rsid w:val="00F91599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A565FD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6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A565FD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6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79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2012-09-05T12:11:00Z</dcterms:created>
  <dcterms:modified xsi:type="dcterms:W3CDTF">2012-09-05T13:02:00Z</dcterms:modified>
</cp:coreProperties>
</file>