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31"/>
        <w:bidiVisual/>
        <w:tblW w:w="10491" w:type="dxa"/>
        <w:tblLook w:val="04A0" w:firstRow="1" w:lastRow="0" w:firstColumn="1" w:lastColumn="0" w:noHBand="0" w:noVBand="1"/>
      </w:tblPr>
      <w:tblGrid>
        <w:gridCol w:w="1560"/>
        <w:gridCol w:w="1842"/>
        <w:gridCol w:w="1090"/>
        <w:gridCol w:w="1704"/>
        <w:gridCol w:w="1705"/>
        <w:gridCol w:w="2590"/>
      </w:tblGrid>
      <w:tr w:rsidR="0005450D" w:rsidRPr="0005450D" w:rsidTr="0005450D">
        <w:tc>
          <w:tcPr>
            <w:tcW w:w="10491" w:type="dxa"/>
            <w:gridSpan w:val="6"/>
            <w:tcBorders>
              <w:top w:val="nil"/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sz w:val="44"/>
                <w:szCs w:val="44"/>
                <w:rtl/>
              </w:rPr>
            </w:pPr>
            <w:r w:rsidRPr="0005450D">
              <w:rPr>
                <w:rFonts w:ascii="Times New Roman" w:eastAsia="Times New Roman" w:hAnsi="Times New Roman" w:cs="David" w:hint="cs"/>
                <w:sz w:val="44"/>
                <w:szCs w:val="44"/>
                <w:highlight w:val="magenta"/>
                <w:rtl/>
              </w:rPr>
              <w:t xml:space="preserve">טבלאות עזר של מסקנות הגמרא ללימוד ברכות דף </w:t>
            </w:r>
            <w:r w:rsidRPr="0005450D">
              <w:rPr>
                <w:rFonts w:ascii="Times New Roman" w:eastAsia="Times New Roman" w:hAnsi="Times New Roman" w:cs="David" w:hint="cs"/>
                <w:sz w:val="44"/>
                <w:szCs w:val="44"/>
                <w:highlight w:val="magenta"/>
                <w:rtl/>
              </w:rPr>
              <w:t>מט</w:t>
            </w:r>
          </w:p>
          <w:p w:rsidR="0005450D" w:rsidRPr="0005450D" w:rsidRDefault="0005450D" w:rsidP="0005450D">
            <w:pPr>
              <w:jc w:val="center"/>
              <w:rPr>
                <w:rFonts w:cs="David" w:hint="cs"/>
                <w:b/>
                <w:bCs/>
                <w:highlight w:val="yellow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/>
                <w:b/>
                <w:bCs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>ברכה נודה בברכת המזון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רבי אבא </w:t>
            </w:r>
          </w:p>
        </w:tc>
        <w:tc>
          <w:tcPr>
            <w:tcW w:w="2932" w:type="dxa"/>
            <w:gridSpan w:val="2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צריך הודאה בתחילה ובסוף ולפחות הודאה א</w:t>
            </w:r>
          </w:p>
        </w:tc>
        <w:tc>
          <w:tcPr>
            <w:tcW w:w="3409" w:type="dxa"/>
            <w:gridSpan w:val="2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והחותם מנחיל ארצות (לאומות ) הרי זה בור</w:t>
            </w:r>
          </w:p>
        </w:tc>
        <w:tc>
          <w:tcPr>
            <w:tcW w:w="259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לא הזכיר ברית ותורה לא יצא</w:t>
            </w:r>
          </w:p>
        </w:tc>
      </w:tr>
      <w:tr w:rsidR="0005450D" w:rsidRPr="0005450D" w:rsidTr="0005450D">
        <w:tc>
          <w:tcPr>
            <w:tcW w:w="1560" w:type="dxa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</w:t>
            </w:r>
            <w:proofErr w:type="spellStart"/>
            <w:r w:rsidRPr="0005450D">
              <w:rPr>
                <w:rFonts w:cs="David" w:hint="cs"/>
                <w:rtl/>
              </w:rPr>
              <w:t>חסדא</w:t>
            </w:r>
            <w:proofErr w:type="spellEnd"/>
            <w:r w:rsidRPr="0005450D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  <w:r w:rsidRPr="0005450D">
              <w:rPr>
                <w:rFonts w:cs="David" w:hint="cs"/>
                <w:rtl/>
              </w:rPr>
              <w:t xml:space="preserve">סבר כרב חננאל שלא צריך להזכיר ברית (מילה) תורה ומלכות כיוון שאינם שייכות בנשים ועבדים. ורב ששת זקף צווארו כנחש עליו. ורבי </w:t>
            </w:r>
            <w:proofErr w:type="spellStart"/>
            <w:r w:rsidRPr="0005450D">
              <w:rPr>
                <w:rFonts w:cs="David" w:hint="cs"/>
                <w:rtl/>
              </w:rPr>
              <w:t>זירא</w:t>
            </w:r>
            <w:proofErr w:type="spellEnd"/>
            <w:r w:rsidRPr="0005450D">
              <w:rPr>
                <w:rFonts w:cs="David" w:hint="cs"/>
                <w:rtl/>
              </w:rPr>
              <w:t xml:space="preserve"> שאלו מדוע עזב את שיטות רוב התנאים.</w:t>
            </w:r>
          </w:p>
        </w:tc>
      </w:tr>
      <w:tr w:rsidR="0005450D" w:rsidRPr="0005450D" w:rsidTr="0005450D">
        <w:tc>
          <w:tcPr>
            <w:tcW w:w="156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/>
                <w:b/>
                <w:bCs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>ברכת הטוב והמטיב</w:t>
            </w:r>
          </w:p>
        </w:tc>
      </w:tr>
      <w:tr w:rsidR="0005450D" w:rsidRPr="0005450D" w:rsidTr="0005450D">
        <w:tc>
          <w:tcPr>
            <w:tcW w:w="1560" w:type="dxa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אבא יוסי בן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דוסתאי</w:t>
            </w:r>
            <w:proofErr w:type="spellEnd"/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 ורבנן</w:t>
            </w:r>
          </w:p>
        </w:tc>
        <w:tc>
          <w:tcPr>
            <w:tcW w:w="4636" w:type="dxa"/>
            <w:gridSpan w:val="3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צריכה הזכרת מלכות כי היא מדרבנן והיא ברכה חדשה שאינה סמוכה לחברתה</w:t>
            </w:r>
          </w:p>
        </w:tc>
        <w:tc>
          <w:tcPr>
            <w:tcW w:w="4295" w:type="dxa"/>
            <w:gridSpan w:val="2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אינה צריכה הזכרת מלכות כי היא מהתורה והיא סמוכה לחברתה</w:t>
            </w:r>
          </w:p>
        </w:tc>
      </w:tr>
      <w:tr w:rsidR="0005450D" w:rsidRPr="0005450D" w:rsidTr="0005450D">
        <w:tc>
          <w:tcPr>
            <w:tcW w:w="156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4636" w:type="dxa"/>
            <w:gridSpan w:val="3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</w:p>
        </w:tc>
        <w:tc>
          <w:tcPr>
            <w:tcW w:w="4295" w:type="dxa"/>
            <w:gridSpan w:val="2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>רבה בר חנה בשם רבי יוחנן צריכה הזכרת מלכות (</w:t>
            </w:r>
            <w:proofErr w:type="spellStart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>אמ"ה</w:t>
            </w:r>
            <w:proofErr w:type="spellEnd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>)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  <w:r w:rsidRPr="0005450D">
              <w:rPr>
                <w:rFonts w:cs="David" w:hint="cs"/>
                <w:rtl/>
              </w:rPr>
              <w:t xml:space="preserve">רבי </w:t>
            </w:r>
            <w:proofErr w:type="spellStart"/>
            <w:r w:rsidRPr="0005450D">
              <w:rPr>
                <w:rFonts w:cs="David" w:hint="cs"/>
                <w:rtl/>
              </w:rPr>
              <w:t>זירא</w:t>
            </w:r>
            <w:proofErr w:type="spellEnd"/>
            <w:r w:rsidRPr="0005450D">
              <w:rPr>
                <w:rFonts w:cs="David" w:hint="cs"/>
                <w:rtl/>
              </w:rPr>
              <w:t xml:space="preserve"> הסביר שצריכה 2 מלכויות (אבינו </w:t>
            </w:r>
            <w:proofErr w:type="spellStart"/>
            <w:r w:rsidRPr="0005450D">
              <w:rPr>
                <w:rFonts w:cs="David" w:hint="cs"/>
                <w:rtl/>
              </w:rPr>
              <w:t>מלכנו..המלך</w:t>
            </w:r>
            <w:proofErr w:type="spellEnd"/>
            <w:r w:rsidRPr="0005450D">
              <w:rPr>
                <w:rFonts w:cs="David" w:hint="cs"/>
                <w:rtl/>
              </w:rPr>
              <w:t xml:space="preserve"> הטוב )אחת בשבילה ואחת בשביל בונה ירושלים שבה נזכר ומלכות בית דוד תחזרנה.. וא"א לחתום בה במלכות כיוון שהיא סמוכה לחברתה לכן </w:t>
            </w:r>
            <w:proofErr w:type="spellStart"/>
            <w:r w:rsidRPr="0005450D">
              <w:rPr>
                <w:rFonts w:cs="David" w:hint="cs"/>
                <w:rtl/>
              </w:rPr>
              <w:t>בהטוב</w:t>
            </w:r>
            <w:proofErr w:type="spellEnd"/>
            <w:r w:rsidRPr="0005450D">
              <w:rPr>
                <w:rFonts w:cs="David" w:hint="cs"/>
                <w:rtl/>
              </w:rPr>
              <w:t xml:space="preserve"> והמטיב תאמר 2 מלכויות.</w:t>
            </w:r>
          </w:p>
        </w:tc>
      </w:tr>
      <w:tr w:rsidR="0005450D" w:rsidRPr="0005450D" w:rsidTr="0005450D">
        <w:tc>
          <w:tcPr>
            <w:tcW w:w="1560" w:type="dxa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</w:t>
            </w:r>
            <w:proofErr w:type="spellStart"/>
            <w:r w:rsidRPr="0005450D">
              <w:rPr>
                <w:rFonts w:cs="David" w:hint="cs"/>
                <w:rtl/>
              </w:rPr>
              <w:t>פפא</w:t>
            </w:r>
            <w:proofErr w:type="spellEnd"/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צריכה 3 מלכויות בפתיחה </w:t>
            </w:r>
            <w:proofErr w:type="spellStart"/>
            <w:r w:rsidRPr="0005450D">
              <w:rPr>
                <w:rFonts w:cs="David" w:hint="cs"/>
                <w:rtl/>
              </w:rPr>
              <w:t>אלהני</w:t>
            </w:r>
            <w:proofErr w:type="spellEnd"/>
            <w:r w:rsidRPr="0005450D">
              <w:rPr>
                <w:rFonts w:cs="David" w:hint="cs"/>
                <w:rtl/>
              </w:rPr>
              <w:t xml:space="preserve"> מלך העולם ולעד האל אבינו מלכנו .. המלך הטוב, כנגד ברכת הארץ.</w:t>
            </w:r>
          </w:p>
        </w:tc>
      </w:tr>
      <w:tr w:rsidR="0005450D" w:rsidRPr="0005450D" w:rsidTr="0005450D">
        <w:tc>
          <w:tcPr>
            <w:tcW w:w="10491" w:type="dxa"/>
            <w:gridSpan w:val="6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jc w:val="center"/>
              <w:rPr>
                <w:rFonts w:cs="David" w:hint="cs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 w:hint="cs"/>
                <w:b/>
                <w:bCs/>
                <w:highlight w:val="yellow"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 xml:space="preserve">ברכת בונה ירושלים (מתחילה ברחם ...על ישראל עמך ועל </w:t>
            </w:r>
            <w:proofErr w:type="spellStart"/>
            <w:r w:rsidRPr="0005450D">
              <w:rPr>
                <w:rFonts w:cs="David" w:hint="cs"/>
                <w:b/>
                <w:bCs/>
                <w:highlight w:val="yellow"/>
                <w:rtl/>
              </w:rPr>
              <w:t>ירושליים</w:t>
            </w:r>
            <w:proofErr w:type="spellEnd"/>
            <w:r w:rsidRPr="0005450D">
              <w:rPr>
                <w:rFonts w:cs="David" w:hint="cs"/>
                <w:b/>
                <w:bCs/>
                <w:highlight w:val="yellow"/>
                <w:rtl/>
              </w:rPr>
              <w:t xml:space="preserve"> עירך </w:t>
            </w:r>
            <w:r w:rsidRPr="0005450D">
              <w:rPr>
                <w:rFonts w:cs="David"/>
                <w:b/>
                <w:bCs/>
                <w:highlight w:val="yellow"/>
                <w:rtl/>
              </w:rPr>
              <w:t>–</w:t>
            </w:r>
            <w:r w:rsidRPr="0005450D">
              <w:rPr>
                <w:rFonts w:cs="David" w:hint="cs"/>
                <w:b/>
                <w:bCs/>
                <w:highlight w:val="yellow"/>
                <w:rtl/>
              </w:rPr>
              <w:t xml:space="preserve"> 2 עניינים ישראל וירושלים)</w:t>
            </w:r>
          </w:p>
          <w:p w:rsidR="0005450D" w:rsidRPr="0005450D" w:rsidRDefault="0005450D" w:rsidP="0005450D">
            <w:pPr>
              <w:jc w:val="center"/>
              <w:rPr>
                <w:rFonts w:cs="David"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>והגמרא מבררת מה הדין לגבי חתימה</w:t>
            </w: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רבי יוסי בר' יהודה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אומר</w:t>
            </w:r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>או</w:t>
            </w:r>
            <w:proofErr w:type="spellEnd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 xml:space="preserve"> בונה ירושלים או </w:t>
            </w:r>
            <w:r w:rsidRPr="009A4CBB">
              <w:rPr>
                <w:rFonts w:ascii="Arial" w:eastAsia="Times New Roman" w:hAnsi="Arial" w:cs="David"/>
                <w:color w:val="000000"/>
                <w:rtl/>
              </w:rPr>
              <w:t>מושיע ישראל</w:t>
            </w: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רבה בר רב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הונא</w:t>
            </w:r>
            <w:proofErr w:type="spellEnd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 xml:space="preserve"> פתח ברחם על ישראל בלי ירושלים וחתם בונה ירושלים מושיע ישראל</w:t>
            </w:r>
            <w:r w:rsidRPr="0005450D">
              <w:rPr>
                <w:rFonts w:cs="David" w:hint="cs"/>
                <w:rtl/>
              </w:rPr>
              <w:t xml:space="preserve"> ורב </w:t>
            </w:r>
            <w:proofErr w:type="spellStart"/>
            <w:r w:rsidRPr="0005450D">
              <w:rPr>
                <w:rFonts w:cs="David" w:hint="cs"/>
                <w:rtl/>
              </w:rPr>
              <w:t>חסדא</w:t>
            </w:r>
            <w:proofErr w:type="spellEnd"/>
            <w:r w:rsidRPr="0005450D">
              <w:rPr>
                <w:rFonts w:cs="David" w:hint="cs"/>
                <w:rtl/>
              </w:rPr>
              <w:t xml:space="preserve"> הקשה עליו מרבי שאמר שאין חותמים בשתי עניינים לא קשורים, כי אין עושים את המצוות חבילות </w:t>
            </w:r>
            <w:proofErr w:type="spellStart"/>
            <w:r w:rsidRPr="0005450D">
              <w:rPr>
                <w:rFonts w:cs="David" w:hint="cs"/>
                <w:rtl/>
              </w:rPr>
              <w:t>חבילות</w:t>
            </w:r>
            <w:proofErr w:type="spellEnd"/>
            <w:r w:rsidRPr="0005450D">
              <w:rPr>
                <w:rFonts w:cs="David" w:hint="cs"/>
                <w:rtl/>
              </w:rPr>
              <w:t>.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ששת 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>פתח ברחם על עמך ישראל חותם במושיע ישראל פתח ברחם</w:t>
            </w:r>
            <w:r w:rsidRPr="0005450D">
              <w:rPr>
                <w:rFonts w:ascii="Arial" w:eastAsia="Times New Roman" w:hAnsi="Arial" w:cs="David"/>
                <w:color w:val="000000"/>
                <w:rtl/>
              </w:rPr>
              <w:t xml:space="preserve"> על ירושלים חותם בבונה ירושלים </w:t>
            </w:r>
          </w:p>
        </w:tc>
      </w:tr>
      <w:tr w:rsidR="0005450D" w:rsidRPr="0005450D" w:rsidTr="0005450D">
        <w:tc>
          <w:tcPr>
            <w:tcW w:w="1560" w:type="dxa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נחמן 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אפי' פתח ברחם על ישראל חותם בבונה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ירושלים</w:t>
            </w:r>
            <w:r w:rsidRPr="0005450D">
              <w:rPr>
                <w:rFonts w:cs="David" w:hint="cs"/>
                <w:rtl/>
              </w:rPr>
              <w:t>,שירושלים</w:t>
            </w:r>
            <w:proofErr w:type="spellEnd"/>
            <w:r w:rsidRPr="0005450D">
              <w:rPr>
                <w:rFonts w:cs="David" w:hint="cs"/>
                <w:rtl/>
              </w:rPr>
              <w:t xml:space="preserve"> תבנה בזמן כינוס ישראל.</w:t>
            </w:r>
          </w:p>
        </w:tc>
      </w:tr>
      <w:tr w:rsidR="0005450D" w:rsidRPr="0005450D" w:rsidTr="0005450D">
        <w:tc>
          <w:tcPr>
            <w:tcW w:w="156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/>
                <w:b/>
                <w:bCs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>דין השוכח להזכיר רצה בשבת או יעלה ויבא ביום טוב ובראשי חודשים.</w:t>
            </w: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גידל ישב לפני רב </w:t>
            </w:r>
            <w:proofErr w:type="spellStart"/>
            <w:r w:rsidRPr="0005450D">
              <w:rPr>
                <w:rFonts w:cs="David" w:hint="cs"/>
                <w:rtl/>
              </w:rPr>
              <w:t>הונא</w:t>
            </w:r>
            <w:proofErr w:type="spellEnd"/>
            <w:r w:rsidRPr="0005450D">
              <w:rPr>
                <w:rFonts w:cs="David" w:hint="cs"/>
                <w:rtl/>
              </w:rPr>
              <w:t xml:space="preserve"> ואמר 3 דינים 2 אמר משם רב והם ברורים ואחד לא ברור.</w:t>
            </w:r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 xml:space="preserve"> רבי </w:t>
            </w:r>
            <w:proofErr w:type="spellStart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>זירא</w:t>
            </w:r>
            <w:proofErr w:type="spellEnd"/>
            <w:r w:rsidRPr="0005450D">
              <w:rPr>
                <w:rFonts w:ascii="Arial" w:eastAsia="Times New Roman" w:hAnsi="Arial" w:cs="David" w:hint="cs"/>
                <w:color w:val="000000"/>
                <w:rtl/>
              </w:rPr>
              <w:t xml:space="preserve"> שישב מאחוריו הסתפק בדין השלישי.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דין א ברור 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>טעה ולא הזכיר של שבת אומר ברוך שנתן שבתות למנוחה לעמו ישראל באהבה לאות ולברית ברוך מקדש השבת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דין ב ברור 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טעה ולא הזכיר של יום טוב אומר ברוך שנתן ימים טובים לעמו ישראל לשמחה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ולזכרון</w:t>
            </w:r>
            <w:proofErr w:type="spellEnd"/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 ברוך מקדש ישראל והזמנים</w:t>
            </w:r>
            <w:r w:rsidRPr="0005450D">
              <w:rPr>
                <w:rFonts w:cs="David" w:hint="cs"/>
                <w:rtl/>
              </w:rPr>
              <w:t>.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דין ג לא ברור 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  <w:r w:rsidRPr="009A4CBB">
              <w:rPr>
                <w:rFonts w:ascii="Arial" w:eastAsia="Times New Roman" w:hAnsi="Arial" w:cs="David"/>
                <w:color w:val="000000"/>
                <w:rtl/>
              </w:rPr>
              <w:t xml:space="preserve">טעה ולא הזכיר של ראש חודש אומר ברוך שנתן ראשי חדשים לעמו ישראל </w:t>
            </w:r>
            <w:proofErr w:type="spellStart"/>
            <w:r w:rsidRPr="009A4CBB">
              <w:rPr>
                <w:rFonts w:ascii="Arial" w:eastAsia="Times New Roman" w:hAnsi="Arial" w:cs="David"/>
                <w:color w:val="000000"/>
                <w:rtl/>
              </w:rPr>
              <w:t>לזכרון</w:t>
            </w:r>
            <w:proofErr w:type="spellEnd"/>
          </w:p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לרבי </w:t>
            </w:r>
            <w:proofErr w:type="spellStart"/>
            <w:r w:rsidRPr="0005450D">
              <w:rPr>
                <w:rFonts w:cs="David" w:hint="cs"/>
                <w:rtl/>
              </w:rPr>
              <w:t>זירא</w:t>
            </w:r>
            <w:proofErr w:type="spellEnd"/>
            <w:r w:rsidRPr="0005450D">
              <w:rPr>
                <w:rFonts w:cs="David" w:hint="cs"/>
                <w:rtl/>
              </w:rPr>
              <w:t xml:space="preserve"> לא היה ברור: א. האם צריך להזכיר שמחה </w:t>
            </w:r>
            <w:r w:rsidRPr="0005450D">
              <w:rPr>
                <w:rFonts w:cs="David"/>
                <w:rtl/>
              </w:rPr>
              <w:t>–</w:t>
            </w:r>
            <w:r w:rsidRPr="0005450D">
              <w:rPr>
                <w:rFonts w:cs="David" w:hint="cs"/>
                <w:rtl/>
              </w:rPr>
              <w:t xml:space="preserve"> </w:t>
            </w:r>
            <w:proofErr w:type="spellStart"/>
            <w:r w:rsidRPr="0005450D">
              <w:rPr>
                <w:rFonts w:cs="David" w:hint="cs"/>
                <w:rtl/>
              </w:rPr>
              <w:t>לזכרון</w:t>
            </w:r>
            <w:proofErr w:type="spellEnd"/>
            <w:r w:rsidRPr="0005450D">
              <w:rPr>
                <w:rFonts w:cs="David" w:hint="cs"/>
                <w:rtl/>
              </w:rPr>
              <w:t xml:space="preserve"> ולשמחה.  ב. האם חותם ברוך מקדש ישראל וראשי חודשים. ג. האם הוא אמר דין זה בשם עצמו או בשם רב. </w:t>
            </w:r>
          </w:p>
        </w:tc>
      </w:tr>
      <w:tr w:rsidR="0005450D" w:rsidRPr="0005450D" w:rsidTr="0005450D"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 נחמן ביאר </w:t>
            </w:r>
            <w:r w:rsidRPr="0005450D">
              <w:rPr>
                <w:rFonts w:ascii="Arial" w:hAnsi="Arial" w:cs="David" w:hint="cs"/>
                <w:color w:val="000000"/>
                <w:rtl/>
              </w:rPr>
              <w:t>בשם</w:t>
            </w:r>
            <w:r w:rsidRPr="0005450D">
              <w:rPr>
                <w:rFonts w:ascii="Arial" w:hAnsi="Arial" w:cs="David"/>
                <w:color w:val="000000"/>
                <w:rtl/>
              </w:rPr>
              <w:t xml:space="preserve"> רב </w:t>
            </w:r>
            <w:r w:rsidRPr="0005450D">
              <w:rPr>
                <w:rFonts w:ascii="Arial" w:hAnsi="Arial" w:cs="David" w:hint="cs"/>
                <w:color w:val="000000"/>
                <w:rtl/>
              </w:rPr>
              <w:t xml:space="preserve"> לגבי שבת ויום טוב</w:t>
            </w:r>
            <w:r w:rsidRPr="0005450D">
              <w:rPr>
                <w:rFonts w:ascii="Arial" w:hAnsi="Arial" w:cs="David"/>
                <w:color w:val="000000"/>
                <w:rtl/>
              </w:rPr>
              <w:t xml:space="preserve"> לא שנו אלא שלא פתח </w:t>
            </w:r>
            <w:proofErr w:type="spellStart"/>
            <w:r w:rsidRPr="0005450D">
              <w:rPr>
                <w:rFonts w:ascii="Arial" w:hAnsi="Arial" w:cs="David"/>
                <w:color w:val="000000"/>
                <w:rtl/>
              </w:rPr>
              <w:t>בהטוב</w:t>
            </w:r>
            <w:proofErr w:type="spellEnd"/>
            <w:r w:rsidRPr="0005450D">
              <w:rPr>
                <w:rFonts w:ascii="Arial" w:hAnsi="Arial" w:cs="David"/>
                <w:color w:val="000000"/>
                <w:rtl/>
              </w:rPr>
              <w:t xml:space="preserve"> והמטיב אבל פתח </w:t>
            </w:r>
            <w:proofErr w:type="spellStart"/>
            <w:r w:rsidRPr="0005450D">
              <w:rPr>
                <w:rFonts w:ascii="Arial" w:hAnsi="Arial" w:cs="David"/>
                <w:color w:val="000000"/>
                <w:rtl/>
              </w:rPr>
              <w:t>בהטוב</w:t>
            </w:r>
            <w:proofErr w:type="spellEnd"/>
            <w:r w:rsidRPr="0005450D">
              <w:rPr>
                <w:rFonts w:ascii="Arial" w:hAnsi="Arial" w:cs="David"/>
                <w:color w:val="000000"/>
                <w:rtl/>
              </w:rPr>
              <w:t xml:space="preserve"> והמטיב חוזר לראש</w:t>
            </w:r>
          </w:p>
        </w:tc>
      </w:tr>
      <w:tr w:rsidR="0005450D" w:rsidRPr="0005450D" w:rsidTr="0005450D">
        <w:tc>
          <w:tcPr>
            <w:tcW w:w="10491" w:type="dxa"/>
            <w:gridSpan w:val="6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jc w:val="center"/>
              <w:rPr>
                <w:rFonts w:cs="David" w:hint="cs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 w:hint="cs"/>
                <w:b/>
                <w:bCs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>ההבדל בין אי הזכרת ראש חודש בתפילה להזכרה בברכת המזון</w:t>
            </w:r>
          </w:p>
        </w:tc>
      </w:tr>
      <w:tr w:rsidR="0005450D" w:rsidRPr="0005450D" w:rsidTr="0005450D"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  <w:r w:rsidRPr="0005450D">
              <w:rPr>
                <w:rFonts w:ascii="Arial" w:hAnsi="Arial" w:cs="David" w:hint="cs"/>
                <w:color w:val="000000"/>
                <w:rtl/>
              </w:rPr>
              <w:t xml:space="preserve">רב נחמן אמר בשם שמואל </w:t>
            </w:r>
            <w:r w:rsidRPr="0005450D">
              <w:rPr>
                <w:rFonts w:ascii="Arial" w:hAnsi="Arial" w:cs="David"/>
                <w:color w:val="000000"/>
                <w:rtl/>
              </w:rPr>
              <w:t xml:space="preserve">טעה ולא הזכיר של ראש חדש בתפלה </w:t>
            </w:r>
            <w:proofErr w:type="spellStart"/>
            <w:r w:rsidRPr="0005450D">
              <w:rPr>
                <w:rFonts w:ascii="Arial" w:hAnsi="Arial" w:cs="David"/>
                <w:color w:val="000000"/>
                <w:rtl/>
              </w:rPr>
              <w:t>מחזירין</w:t>
            </w:r>
            <w:proofErr w:type="spellEnd"/>
            <w:r w:rsidRPr="0005450D">
              <w:rPr>
                <w:rFonts w:ascii="Arial" w:hAnsi="Arial" w:cs="David"/>
                <w:color w:val="000000"/>
                <w:rtl/>
              </w:rPr>
              <w:t xml:space="preserve"> אותו בברכת המזון אין </w:t>
            </w:r>
            <w:proofErr w:type="spellStart"/>
            <w:r w:rsidRPr="0005450D">
              <w:rPr>
                <w:rFonts w:ascii="Arial" w:hAnsi="Arial" w:cs="David"/>
                <w:color w:val="000000"/>
                <w:rtl/>
              </w:rPr>
              <w:t>מחזירין</w:t>
            </w:r>
            <w:proofErr w:type="spellEnd"/>
            <w:r w:rsidRPr="0005450D">
              <w:rPr>
                <w:rFonts w:ascii="Arial" w:hAnsi="Arial" w:cs="David"/>
                <w:color w:val="000000"/>
                <w:rtl/>
              </w:rPr>
              <w:t xml:space="preserve"> אותו</w:t>
            </w:r>
            <w:r w:rsidRPr="0005450D">
              <w:rPr>
                <w:rFonts w:cs="David" w:hint="cs"/>
                <w:rtl/>
              </w:rPr>
              <w:t xml:space="preserve">, וביאר רב נחמן </w:t>
            </w:r>
            <w:proofErr w:type="spellStart"/>
            <w:r w:rsidRPr="0005450D">
              <w:rPr>
                <w:rFonts w:cs="David" w:hint="cs"/>
                <w:rtl/>
              </w:rPr>
              <w:t>מסברא</w:t>
            </w:r>
            <w:proofErr w:type="spellEnd"/>
            <w:r w:rsidRPr="0005450D">
              <w:rPr>
                <w:rFonts w:cs="David" w:hint="cs"/>
                <w:rtl/>
              </w:rPr>
              <w:t xml:space="preserve"> שכיוון שתפילה היא חובה </w:t>
            </w:r>
            <w:proofErr w:type="spellStart"/>
            <w:r w:rsidRPr="0005450D">
              <w:rPr>
                <w:rFonts w:cs="David" w:hint="cs"/>
                <w:rtl/>
              </w:rPr>
              <w:t>מחזירין</w:t>
            </w:r>
            <w:proofErr w:type="spellEnd"/>
            <w:r w:rsidRPr="0005450D">
              <w:rPr>
                <w:rFonts w:cs="David" w:hint="cs"/>
                <w:rtl/>
              </w:rPr>
              <w:t xml:space="preserve"> אבל לאכול אין חובה ולכן לא </w:t>
            </w:r>
            <w:proofErr w:type="spellStart"/>
            <w:r w:rsidRPr="0005450D">
              <w:rPr>
                <w:rFonts w:cs="David" w:hint="cs"/>
                <w:rtl/>
              </w:rPr>
              <w:t>מחזירין</w:t>
            </w:r>
            <w:proofErr w:type="spellEnd"/>
            <w:r w:rsidRPr="0005450D">
              <w:rPr>
                <w:rFonts w:cs="David" w:hint="cs"/>
                <w:rtl/>
              </w:rPr>
              <w:t xml:space="preserve">. ובזמן שיש חובת אכילה כמו בימים טובים ובשבתות אם לא אמר רצה ויעלה ויבא </w:t>
            </w:r>
            <w:proofErr w:type="spellStart"/>
            <w:r w:rsidRPr="0005450D">
              <w:rPr>
                <w:rFonts w:cs="David" w:hint="cs"/>
                <w:rtl/>
              </w:rPr>
              <w:t>מחזירין</w:t>
            </w:r>
            <w:proofErr w:type="spellEnd"/>
            <w:r w:rsidRPr="0005450D">
              <w:rPr>
                <w:rFonts w:cs="David" w:hint="cs"/>
                <w:rtl/>
              </w:rPr>
              <w:t xml:space="preserve"> אותו. </w:t>
            </w:r>
          </w:p>
        </w:tc>
      </w:tr>
      <w:tr w:rsidR="0005450D" w:rsidRPr="0005450D" w:rsidTr="0005450D">
        <w:tc>
          <w:tcPr>
            <w:tcW w:w="6196" w:type="dxa"/>
            <w:gridSpan w:val="4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rPr>
                <w:rFonts w:cs="David" w:hint="cs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jc w:val="center"/>
              <w:rPr>
                <w:rFonts w:cs="David" w:hint="cs"/>
                <w:b/>
                <w:bCs/>
                <w:rtl/>
              </w:rPr>
            </w:pPr>
            <w:r w:rsidRPr="0005450D">
              <w:rPr>
                <w:rFonts w:cs="David" w:hint="cs"/>
                <w:b/>
                <w:bCs/>
                <w:highlight w:val="yellow"/>
                <w:rtl/>
              </w:rPr>
              <w:t xml:space="preserve">שיטת רבי מאיר ורבי יהודה בשיעורי כביצה וכזית לעניין חובת זימון וחזרה על חמץ ובשר קודשים שיצא מחוץ </w:t>
            </w:r>
            <w:proofErr w:type="spellStart"/>
            <w:r w:rsidRPr="0005450D">
              <w:rPr>
                <w:rFonts w:cs="David" w:hint="cs"/>
                <w:b/>
                <w:bCs/>
                <w:highlight w:val="yellow"/>
                <w:rtl/>
              </w:rPr>
              <w:t>לירושליים</w:t>
            </w:r>
            <w:proofErr w:type="spellEnd"/>
            <w:r w:rsidRPr="0005450D">
              <w:rPr>
                <w:rFonts w:cs="David" w:hint="cs"/>
                <w:b/>
                <w:bCs/>
                <w:highlight w:val="yellow"/>
                <w:rtl/>
              </w:rPr>
              <w:t>.</w:t>
            </w:r>
          </w:p>
        </w:tc>
      </w:tr>
      <w:tr w:rsidR="0005450D" w:rsidRPr="0005450D" w:rsidTr="0005450D">
        <w:tc>
          <w:tcPr>
            <w:tcW w:w="6196" w:type="dxa"/>
            <w:gridSpan w:val="4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</w:p>
        </w:tc>
        <w:tc>
          <w:tcPr>
            <w:tcW w:w="1705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רבי מאיר</w:t>
            </w:r>
          </w:p>
        </w:tc>
        <w:tc>
          <w:tcPr>
            <w:tcW w:w="259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רבי יהודה</w:t>
            </w:r>
          </w:p>
        </w:tc>
      </w:tr>
      <w:tr w:rsidR="0005450D" w:rsidRPr="0005450D" w:rsidTr="0005450D">
        <w:tc>
          <w:tcPr>
            <w:tcW w:w="6196" w:type="dxa"/>
            <w:gridSpan w:val="4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במשנה השיעור לזימון</w:t>
            </w:r>
          </w:p>
        </w:tc>
        <w:tc>
          <w:tcPr>
            <w:tcW w:w="1705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כזית</w:t>
            </w:r>
          </w:p>
        </w:tc>
        <w:tc>
          <w:tcPr>
            <w:tcW w:w="259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כביצה</w:t>
            </w:r>
          </w:p>
        </w:tc>
      </w:tr>
      <w:tr w:rsidR="0005450D" w:rsidRPr="0005450D" w:rsidTr="0005450D">
        <w:tc>
          <w:tcPr>
            <w:tcW w:w="6196" w:type="dxa"/>
            <w:gridSpan w:val="4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לעניין חמץ בבית ובשר קודש שחוזרים עליהם</w:t>
            </w:r>
          </w:p>
        </w:tc>
        <w:tc>
          <w:tcPr>
            <w:tcW w:w="1705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כביצה </w:t>
            </w:r>
          </w:p>
        </w:tc>
        <w:tc>
          <w:tcPr>
            <w:tcW w:w="259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כזית</w:t>
            </w:r>
          </w:p>
        </w:tc>
      </w:tr>
      <w:tr w:rsidR="0005450D" w:rsidRPr="0005450D" w:rsidTr="0005450D">
        <w:tc>
          <w:tcPr>
            <w:tcW w:w="6196" w:type="dxa"/>
            <w:gridSpan w:val="4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לרב יחונן מוחלפת השיטה ו</w:t>
            </w:r>
            <w:bookmarkStart w:id="0" w:name="_GoBack"/>
            <w:bookmarkEnd w:id="0"/>
            <w:r w:rsidRPr="0005450D">
              <w:rPr>
                <w:rFonts w:cs="David" w:hint="cs"/>
                <w:rtl/>
              </w:rPr>
              <w:t xml:space="preserve">גם הזימון </w:t>
            </w:r>
          </w:p>
        </w:tc>
        <w:tc>
          <w:tcPr>
            <w:tcW w:w="1705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כביצה</w:t>
            </w:r>
          </w:p>
        </w:tc>
        <w:tc>
          <w:tcPr>
            <w:tcW w:w="259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כזית</w:t>
            </w:r>
          </w:p>
        </w:tc>
      </w:tr>
      <w:tr w:rsidR="0005450D" w:rsidRPr="0005450D" w:rsidTr="0005450D">
        <w:trPr>
          <w:trHeight w:val="660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proofErr w:type="spellStart"/>
            <w:r w:rsidRPr="0005450D">
              <w:rPr>
                <w:rFonts w:cs="David" w:hint="cs"/>
                <w:rtl/>
              </w:rPr>
              <w:t>אביי</w:t>
            </w:r>
            <w:proofErr w:type="spellEnd"/>
            <w:r w:rsidRPr="0005450D">
              <w:rPr>
                <w:rFonts w:cs="David" w:hint="cs"/>
                <w:rtl/>
              </w:rPr>
              <w:t xml:space="preserve">  לגבי זימון חלוקים  בפסוק שלרבי מאיר די  בשיעור אכילה  (ואכלת) </w:t>
            </w:r>
            <w:proofErr w:type="spellStart"/>
            <w:r w:rsidRPr="0005450D">
              <w:rPr>
                <w:rFonts w:cs="David" w:hint="cs"/>
                <w:rtl/>
              </w:rPr>
              <w:t>ולר"י</w:t>
            </w:r>
            <w:proofErr w:type="spellEnd"/>
            <w:r w:rsidRPr="0005450D">
              <w:rPr>
                <w:rFonts w:cs="David" w:hint="cs"/>
                <w:rtl/>
              </w:rPr>
              <w:t xml:space="preserve"> צריך שביעה (ואכלת ושבעת) אך לגבי חזרה לרבי מאיר חזרה כשיעור טומאה  (אוכל מקבל טומאה משיעור כביצה- ר"ת)ו רבי יהודה חזרה כשיעור אכילת איסור (כזית )</w:t>
            </w:r>
          </w:p>
        </w:tc>
      </w:tr>
      <w:tr w:rsidR="0005450D" w:rsidRPr="0005450D" w:rsidTr="0005450D">
        <w:tc>
          <w:tcPr>
            <w:tcW w:w="10491" w:type="dxa"/>
            <w:gridSpan w:val="6"/>
            <w:tcBorders>
              <w:left w:val="nil"/>
              <w:right w:val="nil"/>
            </w:tcBorders>
          </w:tcPr>
          <w:p w:rsidR="0005450D" w:rsidRPr="0005450D" w:rsidRDefault="0005450D" w:rsidP="0005450D">
            <w:pPr>
              <w:tabs>
                <w:tab w:val="left" w:pos="861"/>
                <w:tab w:val="center" w:pos="4482"/>
              </w:tabs>
              <w:rPr>
                <w:rFonts w:cs="David"/>
                <w:rtl/>
              </w:rPr>
            </w:pPr>
          </w:p>
        </w:tc>
      </w:tr>
      <w:tr w:rsidR="0005450D" w:rsidRPr="0005450D" w:rsidTr="0005450D">
        <w:tc>
          <w:tcPr>
            <w:tcW w:w="10491" w:type="dxa"/>
            <w:gridSpan w:val="6"/>
          </w:tcPr>
          <w:p w:rsidR="0005450D" w:rsidRPr="0005450D" w:rsidRDefault="0005450D" w:rsidP="0005450D">
            <w:pPr>
              <w:tabs>
                <w:tab w:val="left" w:pos="861"/>
                <w:tab w:val="center" w:pos="4482"/>
              </w:tabs>
              <w:rPr>
                <w:rFonts w:cs="David"/>
                <w:b/>
                <w:bCs/>
                <w:rtl/>
              </w:rPr>
            </w:pPr>
            <w:r w:rsidRPr="0005450D">
              <w:rPr>
                <w:rFonts w:cs="David"/>
                <w:rtl/>
              </w:rPr>
              <w:tab/>
            </w:r>
            <w:r w:rsidRPr="0005450D">
              <w:rPr>
                <w:rFonts w:cs="David"/>
                <w:rtl/>
              </w:rPr>
              <w:tab/>
            </w:r>
            <w:r w:rsidRPr="0005450D">
              <w:rPr>
                <w:rFonts w:cs="David" w:hint="cs"/>
                <w:b/>
                <w:bCs/>
                <w:highlight w:val="yellow"/>
                <w:rtl/>
              </w:rPr>
              <w:t>נוסח ברכת הזימון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רבי עקיבא </w:t>
            </w:r>
          </w:p>
        </w:tc>
        <w:tc>
          <w:tcPr>
            <w:tcW w:w="1842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בשלושה נברך </w:t>
            </w:r>
          </w:p>
        </w:tc>
        <w:tc>
          <w:tcPr>
            <w:tcW w:w="7089" w:type="dxa"/>
            <w:gridSpan w:val="4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בעשרה ומעלה נברך לאלוהנו, כמו בתפילה שבכל ציבור אומרים ברכו את ה'. </w:t>
            </w:r>
          </w:p>
        </w:tc>
      </w:tr>
      <w:tr w:rsidR="0005450D" w:rsidRPr="0005450D" w:rsidTr="0005450D">
        <w:tc>
          <w:tcPr>
            <w:tcW w:w="1560" w:type="dxa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 xml:space="preserve">רבי יוסי הגלילי </w:t>
            </w:r>
          </w:p>
        </w:tc>
        <w:tc>
          <w:tcPr>
            <w:tcW w:w="8931" w:type="dxa"/>
            <w:gridSpan w:val="5"/>
          </w:tcPr>
          <w:p w:rsidR="0005450D" w:rsidRPr="0005450D" w:rsidRDefault="0005450D" w:rsidP="0005450D">
            <w:pPr>
              <w:rPr>
                <w:rFonts w:cs="David"/>
                <w:rtl/>
              </w:rPr>
            </w:pPr>
            <w:r w:rsidRPr="0005450D">
              <w:rPr>
                <w:rFonts w:cs="David" w:hint="cs"/>
                <w:rtl/>
              </w:rPr>
              <w:t>משנים לפי הכמות שנאמר במקהלות לפי כל קהל ברכה שונה</w:t>
            </w:r>
          </w:p>
        </w:tc>
      </w:tr>
    </w:tbl>
    <w:p w:rsidR="009A4CBB" w:rsidRDefault="009A4CBB" w:rsidP="0005450D"/>
    <w:sectPr w:rsidR="009A4CB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BB"/>
    <w:rsid w:val="0002520F"/>
    <w:rsid w:val="000472A0"/>
    <w:rsid w:val="0005450D"/>
    <w:rsid w:val="001805D5"/>
    <w:rsid w:val="004F7EFE"/>
    <w:rsid w:val="00692F90"/>
    <w:rsid w:val="008A69DC"/>
    <w:rsid w:val="00966430"/>
    <w:rsid w:val="009A4CBB"/>
    <w:rsid w:val="00C01195"/>
    <w:rsid w:val="00C260AB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A4CBB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CBB"/>
    <w:rPr>
      <w:b/>
      <w:bCs/>
    </w:rPr>
  </w:style>
  <w:style w:type="table" w:styleId="a4">
    <w:name w:val="Table Grid"/>
    <w:basedOn w:val="a1"/>
    <w:uiPriority w:val="59"/>
    <w:rsid w:val="009A4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A4CBB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CBB"/>
    <w:rPr>
      <w:b/>
      <w:bCs/>
    </w:rPr>
  </w:style>
  <w:style w:type="table" w:styleId="a4">
    <w:name w:val="Table Grid"/>
    <w:basedOn w:val="a1"/>
    <w:uiPriority w:val="59"/>
    <w:rsid w:val="009A4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6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01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2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2012-09-18T18:25:00Z</dcterms:created>
  <dcterms:modified xsi:type="dcterms:W3CDTF">2012-09-18T19:56:00Z</dcterms:modified>
</cp:coreProperties>
</file>