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tblpY="838"/>
        <w:bidiVisual/>
        <w:tblW w:w="9781" w:type="dxa"/>
        <w:tblLook w:val="04A0" w:firstRow="1" w:lastRow="0" w:firstColumn="1" w:lastColumn="0" w:noHBand="0" w:noVBand="1"/>
      </w:tblPr>
      <w:tblGrid>
        <w:gridCol w:w="1074"/>
        <w:gridCol w:w="1193"/>
        <w:gridCol w:w="1276"/>
        <w:gridCol w:w="1640"/>
        <w:gridCol w:w="1201"/>
        <w:gridCol w:w="1202"/>
        <w:gridCol w:w="2195"/>
      </w:tblGrid>
      <w:tr w:rsidR="00DE3BEC" w:rsidRPr="00BC7E6E" w:rsidTr="004304E0">
        <w:tc>
          <w:tcPr>
            <w:tcW w:w="9781" w:type="dxa"/>
            <w:gridSpan w:val="7"/>
          </w:tcPr>
          <w:p w:rsidR="00DE3BEC" w:rsidRPr="00BC7E6E" w:rsidRDefault="00DE3BEC" w:rsidP="00DE3BEC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highlight w:val="yellow"/>
                <w:rtl/>
              </w:rPr>
              <w:t>העדיפות לומר נברך על ברכו.</w:t>
            </w:r>
          </w:p>
        </w:tc>
      </w:tr>
      <w:tr w:rsidR="00DE3BEC" w:rsidRPr="00BC7E6E" w:rsidTr="00083B2C"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שמואל לעולם אל יוציא אדם עצמו מן הכלל, כך שלשון נברך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עדיפא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, ולמרות שהמשנה התירה לומר ברכו עדיף לומר נברך, וראיה לדבר שבשישה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רשאין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להיחלק, משמע שאומר נברך.</w:t>
            </w:r>
          </w:p>
        </w:tc>
      </w:tr>
      <w:tr w:rsidR="00DE3BEC" w:rsidRPr="00BC7E6E" w:rsidTr="00083B2C">
        <w:tc>
          <w:tcPr>
            <w:tcW w:w="1074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09" w:type="dxa"/>
            <w:gridSpan w:val="3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9932A1" w:rsidRPr="00BC7E6E" w:rsidTr="00BC7E6E">
        <w:tc>
          <w:tcPr>
            <w:tcW w:w="9781" w:type="dxa"/>
            <w:gridSpan w:val="7"/>
          </w:tcPr>
          <w:p w:rsidR="009932A1" w:rsidRPr="00083B2C" w:rsidRDefault="009932A1" w:rsidP="009932A1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דקדוק תלמידי חכמים בנוסח הברכה</w:t>
            </w:r>
          </w:p>
        </w:tc>
      </w:tr>
      <w:tr w:rsidR="0023781A" w:rsidRPr="00BC7E6E" w:rsidTr="004304E0">
        <w:tc>
          <w:tcPr>
            <w:tcW w:w="9781" w:type="dxa"/>
            <w:gridSpan w:val="7"/>
          </w:tcPr>
          <w:p w:rsidR="0023781A" w:rsidRPr="00BC7E6E" w:rsidRDefault="0023781A" w:rsidP="00DE3BEC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 האומר </w:t>
            </w:r>
            <w:r w:rsidRPr="00BC7E6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ובטובו 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הרי זה תלמיד חכם אך האומר </w:t>
            </w:r>
            <w:r w:rsidRPr="00BC7E6E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מטובו 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שמשמע שנהנה רק במעט מה' הרי ה בור. ובבקשה דוד אמר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</w:t>
            </w:r>
            <w:r w:rsidRPr="00BC7E6E">
              <w:rPr>
                <w:rFonts w:cs="David" w:hint="cs"/>
                <w:b/>
                <w:bCs/>
                <w:i/>
                <w:iCs/>
                <w:sz w:val="24"/>
                <w:szCs w:val="24"/>
                <w:rtl/>
              </w:rPr>
              <w:t>מ</w:t>
            </w:r>
            <w:r w:rsidRPr="00BC7E6E">
              <w:rPr>
                <w:rFonts w:cs="David" w:hint="cs"/>
                <w:sz w:val="24"/>
                <w:szCs w:val="24"/>
                <w:rtl/>
              </w:rPr>
              <w:t>ברכותך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 יבורך (משמע מעט) כיוון שבבקשה לא מבקשים הרבה חוץ מדברי תורה שעל זה אמר ה' הרחב פיך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ואמלאהו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23781A" w:rsidRPr="00BC7E6E" w:rsidTr="004304E0">
        <w:tc>
          <w:tcPr>
            <w:tcW w:w="9781" w:type="dxa"/>
            <w:gridSpan w:val="7"/>
          </w:tcPr>
          <w:p w:rsidR="0023781A" w:rsidRPr="00BC7E6E" w:rsidRDefault="0023781A" w:rsidP="00DE3BEC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ובטובו </w:t>
            </w:r>
            <w:r w:rsidRPr="00BC7E6E">
              <w:rPr>
                <w:rFonts w:cs="David" w:hint="cs"/>
                <w:b/>
                <w:bCs/>
                <w:sz w:val="24"/>
                <w:szCs w:val="24"/>
                <w:rtl/>
              </w:rPr>
              <w:t>חיינו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 תלמיד חכם ובטובו חיים השאר בור שמשמע שאנחנו לא חיים בזכותו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ונהרלאי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הפכו והלכה לא כמותם</w:t>
            </w:r>
          </w:p>
        </w:tc>
      </w:tr>
      <w:tr w:rsidR="0023781A" w:rsidRPr="00BC7E6E" w:rsidTr="004304E0">
        <w:tc>
          <w:tcPr>
            <w:tcW w:w="9781" w:type="dxa"/>
            <w:gridSpan w:val="7"/>
          </w:tcPr>
          <w:p w:rsidR="0023781A" w:rsidRPr="00BC7E6E" w:rsidRDefault="0023781A" w:rsidP="00DE3BEC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יוחנן נברך שאכלו משלו ת"ח למי שאכלנו משלו בור שמשמע שמדבר על בעל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הבית.ובהגדה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אומרים למי שעשה ניסים כיוון ששם אי אפשר לטעות שרק ה' יכול לעשות ניסים. </w:t>
            </w:r>
          </w:p>
        </w:tc>
      </w:tr>
      <w:tr w:rsidR="0023781A" w:rsidRPr="00BC7E6E" w:rsidTr="00083B2C"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23781A" w:rsidRPr="00BC7E6E" w:rsidRDefault="0023781A" w:rsidP="00DE3BEC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יוחנן ברוך שאכלנו משלו  ת"ח על המון שאכלנו הרי זה בור שנראה שמשבח את המזון אא"כ הם בעשה שאז מזכיר שם שמיים בתחילה </w:t>
            </w:r>
          </w:p>
        </w:tc>
      </w:tr>
      <w:tr w:rsidR="00DE3BEC" w:rsidRPr="00BC7E6E" w:rsidTr="00083B2C">
        <w:tc>
          <w:tcPr>
            <w:tcW w:w="1074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09" w:type="dxa"/>
            <w:gridSpan w:val="3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nil"/>
              <w:right w:val="nil"/>
            </w:tcBorders>
          </w:tcPr>
          <w:p w:rsidR="00DE3BEC" w:rsidRPr="00BC7E6E" w:rsidRDefault="00DE3BEC" w:rsidP="00DE3BEC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376CDD" w:rsidRPr="00BC7E6E" w:rsidTr="004304E0">
        <w:tc>
          <w:tcPr>
            <w:tcW w:w="9781" w:type="dxa"/>
            <w:gridSpan w:val="7"/>
          </w:tcPr>
          <w:p w:rsidR="00376CDD" w:rsidRPr="00BC7E6E" w:rsidRDefault="00376CDD" w:rsidP="00376CDD">
            <w:pPr>
              <w:jc w:val="center"/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נוסח ברכת הזימון</w:t>
            </w:r>
          </w:p>
        </w:tc>
      </w:tr>
      <w:tr w:rsidR="00376CDD" w:rsidRPr="00BC7E6E" w:rsidTr="004304E0">
        <w:tc>
          <w:tcPr>
            <w:tcW w:w="1074" w:type="dxa"/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עקיבא </w:t>
            </w:r>
          </w:p>
        </w:tc>
        <w:tc>
          <w:tcPr>
            <w:tcW w:w="8707" w:type="dxa"/>
            <w:gridSpan w:val="6"/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>בעשרה ומעלה נברך לאלוהנו, כמו בתפילה שבכל ציבור אומרים ברכו את ה'. את הפסוק של רבי יוסי למד שבקריעת ים סוף אפילו עוברים שבמעי אימם אמרו שירה, והלכה כמותו.</w:t>
            </w:r>
          </w:p>
        </w:tc>
      </w:tr>
      <w:tr w:rsidR="00376CDD" w:rsidRPr="00BC7E6E" w:rsidTr="004304E0">
        <w:tc>
          <w:tcPr>
            <w:tcW w:w="1074" w:type="dxa"/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רבי יוסי </w:t>
            </w:r>
          </w:p>
        </w:tc>
        <w:tc>
          <w:tcPr>
            <w:tcW w:w="8707" w:type="dxa"/>
            <w:gridSpan w:val="6"/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>משנים לפי הכמות שנאמר במקהלות לפי כל קהל ברכה שונה, ואת הלימוד על העוברים שאמרו שירה לומד מהמילה "ממקור".</w:t>
            </w:r>
          </w:p>
        </w:tc>
      </w:tr>
      <w:tr w:rsidR="00083B2C" w:rsidRPr="00BC7E6E" w:rsidTr="00E04C20">
        <w:tc>
          <w:tcPr>
            <w:tcW w:w="9781" w:type="dxa"/>
            <w:gridSpan w:val="7"/>
          </w:tcPr>
          <w:p w:rsidR="00083B2C" w:rsidRPr="00083B2C" w:rsidRDefault="00083B2C" w:rsidP="00083B2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עניינים נוספים בזימון</w:t>
            </w:r>
          </w:p>
        </w:tc>
      </w:tr>
      <w:tr w:rsidR="00376CDD" w:rsidRPr="00BC7E6E" w:rsidTr="004304E0">
        <w:tc>
          <w:tcPr>
            <w:tcW w:w="9781" w:type="dxa"/>
            <w:gridSpan w:val="7"/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רבא בבית ראש הגלות היינו מזמנים שלושה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שלושה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ולא בעשרה כדי שלא ישמע ראש הגלות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ויקפיד,ולא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יצאו בזימונו מפני רעש הסועדים. </w:t>
            </w:r>
          </w:p>
        </w:tc>
      </w:tr>
      <w:tr w:rsidR="00083B2C" w:rsidRPr="00BC7E6E" w:rsidTr="00083B2C"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083B2C" w:rsidRPr="00BC7E6E" w:rsidRDefault="00083B2C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רבה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תוספא</w:t>
            </w:r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ה</w:t>
            </w:r>
            <w:proofErr w:type="spellEnd"/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שלשה שאכלו ואחד ברך </w:t>
            </w:r>
            <w:proofErr w:type="spellStart"/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מ</w:t>
            </w:r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זמנין</w:t>
            </w:r>
            <w:proofErr w:type="spellEnd"/>
            <w:r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עליו אבל לא יכול לזמן למפרע</w:t>
            </w:r>
          </w:p>
        </w:tc>
      </w:tr>
      <w:tr w:rsidR="00376CDD" w:rsidRPr="00BC7E6E" w:rsidTr="00083B2C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083B2C" w:rsidRPr="00BC7E6E" w:rsidTr="00FA1E60">
        <w:tc>
          <w:tcPr>
            <w:tcW w:w="9781" w:type="dxa"/>
            <w:gridSpan w:val="7"/>
          </w:tcPr>
          <w:p w:rsidR="00083B2C" w:rsidRPr="00083B2C" w:rsidRDefault="00083B2C" w:rsidP="00083B2C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אמירת ברכו את ה \ המבורך בתפילה</w:t>
            </w:r>
          </w:p>
        </w:tc>
      </w:tr>
      <w:tr w:rsidR="00376CDD" w:rsidRPr="00BC7E6E" w:rsidTr="00083B2C"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376CDD" w:rsidRPr="00BC7E6E" w:rsidRDefault="00376CDD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>לדעת רבי ישמעאל אומר בת</w:t>
            </w:r>
            <w:r w:rsidR="009932A1" w:rsidRPr="00BC7E6E">
              <w:rPr>
                <w:rFonts w:cs="David" w:hint="cs"/>
                <w:sz w:val="24"/>
                <w:szCs w:val="24"/>
                <w:rtl/>
              </w:rPr>
              <w:t xml:space="preserve">פילה ברכו 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את ה' המבורך ולרבי עקיבא אומר ברכו את ה',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ורפרם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בר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פפא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ברך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כר"ע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וענו לו כרבי ישמעאל ורבא הוכיח אותו, כלי חרס שחור למה להיכנס למחלוקת זו. ועוד שהמנהג כרבי ישמעאל</w:t>
            </w:r>
          </w:p>
        </w:tc>
      </w:tr>
      <w:tr w:rsidR="00083B2C" w:rsidRPr="00BC7E6E" w:rsidTr="00083B2C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083B2C" w:rsidRPr="00BC7E6E" w:rsidRDefault="00083B2C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4F4A97" w:rsidRPr="00BC7E6E" w:rsidTr="004304E0">
        <w:tc>
          <w:tcPr>
            <w:tcW w:w="9781" w:type="dxa"/>
            <w:gridSpan w:val="7"/>
          </w:tcPr>
          <w:p w:rsidR="004F4A97" w:rsidRPr="00083B2C" w:rsidRDefault="004F4A97" w:rsidP="00083B2C">
            <w:pPr>
              <w:jc w:val="center"/>
              <w:rPr>
                <w:rFonts w:cs="David"/>
                <w:b/>
                <w:bCs/>
                <w:sz w:val="24"/>
                <w:szCs w:val="24"/>
                <w:highlight w:val="yellow"/>
                <w:rtl/>
              </w:rPr>
            </w:pPr>
            <w:r w:rsidRPr="00083B2C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highlight w:val="yellow"/>
                <w:rtl/>
              </w:rPr>
              <w:t>מה בא המשפט  "</w:t>
            </w:r>
            <w:r w:rsidRPr="00083B2C">
              <w:rPr>
                <w:rFonts w:ascii="Arial" w:hAnsi="Arial" w:cs="David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ג' שאכלו כאחת אינן </w:t>
            </w:r>
            <w:proofErr w:type="spellStart"/>
            <w:r w:rsidRPr="00083B2C">
              <w:rPr>
                <w:rFonts w:ascii="Arial" w:hAnsi="Arial" w:cs="David"/>
                <w:b/>
                <w:bCs/>
                <w:color w:val="000000"/>
                <w:sz w:val="24"/>
                <w:szCs w:val="24"/>
                <w:highlight w:val="yellow"/>
                <w:rtl/>
              </w:rPr>
              <w:t>רשאין</w:t>
            </w:r>
            <w:proofErr w:type="spellEnd"/>
            <w:r w:rsidRPr="00083B2C">
              <w:rPr>
                <w:rFonts w:ascii="Arial" w:hAnsi="Arial" w:cs="David"/>
                <w:b/>
                <w:bCs/>
                <w:color w:val="000000"/>
                <w:sz w:val="24"/>
                <w:szCs w:val="24"/>
                <w:highlight w:val="yellow"/>
                <w:rtl/>
              </w:rPr>
              <w:t xml:space="preserve"> </w:t>
            </w:r>
            <w:proofErr w:type="spellStart"/>
            <w:r w:rsidRPr="00083B2C">
              <w:rPr>
                <w:rFonts w:ascii="Arial" w:hAnsi="Arial" w:cs="David"/>
                <w:b/>
                <w:bCs/>
                <w:color w:val="000000"/>
                <w:sz w:val="24"/>
                <w:szCs w:val="24"/>
                <w:highlight w:val="yellow"/>
                <w:rtl/>
              </w:rPr>
              <w:t>ליחלק</w:t>
            </w:r>
            <w:proofErr w:type="spellEnd"/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"  לחדש לנו</w:t>
            </w:r>
          </w:p>
        </w:tc>
      </w:tr>
      <w:tr w:rsidR="004F4A97" w:rsidRPr="00BC7E6E" w:rsidTr="004304E0">
        <w:tc>
          <w:tcPr>
            <w:tcW w:w="2267" w:type="dxa"/>
            <w:gridSpan w:val="2"/>
            <w:vMerge w:val="restart"/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רבי אבא אמר שמואל</w:t>
            </w:r>
          </w:p>
        </w:tc>
        <w:tc>
          <w:tcPr>
            <w:tcW w:w="7514" w:type="dxa"/>
            <w:gridSpan w:val="5"/>
          </w:tcPr>
          <w:p w:rsidR="004F4A97" w:rsidRPr="00BC7E6E" w:rsidRDefault="004F4A97" w:rsidP="004F4A97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>.</w:t>
            </w: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ג' שישבו לאכול כאחת </w:t>
            </w:r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ו</w:t>
            </w: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עדיין לא אכלו אינן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רשאין</w:t>
            </w:r>
            <w:proofErr w:type="spellEnd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ליחלק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, </w:t>
            </w:r>
          </w:p>
        </w:tc>
      </w:tr>
      <w:tr w:rsidR="004F4A97" w:rsidRPr="00BC7E6E" w:rsidTr="004304E0">
        <w:tc>
          <w:tcPr>
            <w:tcW w:w="2267" w:type="dxa"/>
            <w:gridSpan w:val="2"/>
            <w:vMerge/>
          </w:tcPr>
          <w:p w:rsidR="004F4A97" w:rsidRPr="00BC7E6E" w:rsidRDefault="004F4A97" w:rsidP="00376CDD">
            <w:pPr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7514" w:type="dxa"/>
            <w:gridSpan w:val="5"/>
          </w:tcPr>
          <w:p w:rsidR="004F4A97" w:rsidRPr="00BC7E6E" w:rsidRDefault="004F4A97" w:rsidP="00376CDD">
            <w:pPr>
              <w:rPr>
                <w:rFonts w:ascii="Arial" w:hAnsi="Arial" w:cs="David"/>
                <w:color w:val="000000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>.</w:t>
            </w: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ג' שישבו לאכול כאחת </w:t>
            </w:r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ו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כל אחד אוכל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מככרו</w:t>
            </w:r>
            <w:proofErr w:type="spellEnd"/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אינן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רשאין</w:t>
            </w:r>
            <w:proofErr w:type="spellEnd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ליחלק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>,</w:t>
            </w:r>
          </w:p>
        </w:tc>
      </w:tr>
      <w:tr w:rsidR="004F4A97" w:rsidRPr="00BC7E6E" w:rsidTr="00083B2C">
        <w:tc>
          <w:tcPr>
            <w:tcW w:w="1074" w:type="dxa"/>
            <w:tcBorders>
              <w:bottom w:val="single" w:sz="4" w:space="0" w:color="auto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רב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הונא</w:t>
            </w:r>
            <w:proofErr w:type="spellEnd"/>
          </w:p>
        </w:tc>
        <w:tc>
          <w:tcPr>
            <w:tcW w:w="8707" w:type="dxa"/>
            <w:gridSpan w:val="6"/>
            <w:tcBorders>
              <w:bottom w:val="single" w:sz="4" w:space="0" w:color="auto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ג' שבאו מג' חבורות אינן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רשאין</w:t>
            </w:r>
            <w:proofErr w:type="spellEnd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>ליחלק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ורבא סייג בתנאי שלא זמנו עליהם שם. </w:t>
            </w:r>
            <w:r w:rsidR="00D76817" w:rsidRPr="00BC7E6E">
              <w:rPr>
                <w:rFonts w:cs="David" w:hint="cs"/>
                <w:sz w:val="24"/>
                <w:szCs w:val="24"/>
                <w:rtl/>
              </w:rPr>
              <w:t>ומביא ראיה ממיטה טמאה שגנבו חציה ופוקעת ממנה טומאה.</w:t>
            </w:r>
          </w:p>
        </w:tc>
      </w:tr>
      <w:tr w:rsidR="004F4A97" w:rsidRPr="00BC7E6E" w:rsidTr="00083B2C">
        <w:tc>
          <w:tcPr>
            <w:tcW w:w="1074" w:type="dxa"/>
            <w:tcBorders>
              <w:left w:val="nil"/>
              <w:right w:val="nil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4109" w:type="dxa"/>
            <w:gridSpan w:val="3"/>
            <w:tcBorders>
              <w:left w:val="nil"/>
              <w:right w:val="nil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1" w:type="dxa"/>
            <w:tcBorders>
              <w:left w:val="nil"/>
              <w:right w:val="nil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202" w:type="dxa"/>
            <w:tcBorders>
              <w:left w:val="nil"/>
              <w:right w:val="nil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195" w:type="dxa"/>
            <w:tcBorders>
              <w:left w:val="nil"/>
              <w:right w:val="nil"/>
            </w:tcBorders>
          </w:tcPr>
          <w:p w:rsidR="004F4A97" w:rsidRPr="00BC7E6E" w:rsidRDefault="004F4A97" w:rsidP="00376CDD">
            <w:pPr>
              <w:rPr>
                <w:rFonts w:cs="David"/>
                <w:sz w:val="24"/>
                <w:szCs w:val="24"/>
                <w:rtl/>
              </w:rPr>
            </w:pPr>
          </w:p>
        </w:tc>
      </w:tr>
      <w:tr w:rsidR="00D76817" w:rsidRPr="00BC7E6E" w:rsidTr="004304E0">
        <w:tc>
          <w:tcPr>
            <w:tcW w:w="9781" w:type="dxa"/>
            <w:gridSpan w:val="7"/>
          </w:tcPr>
          <w:p w:rsidR="00D76817" w:rsidRPr="00BC7E6E" w:rsidRDefault="00D76817" w:rsidP="00D76817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ascii="Arial" w:hAnsi="Arial" w:cs="David" w:hint="cs"/>
                <w:b/>
                <w:bCs/>
                <w:color w:val="000000"/>
                <w:sz w:val="24"/>
                <w:szCs w:val="24"/>
                <w:rtl/>
              </w:rPr>
              <w:t>במשנה</w:t>
            </w:r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C7E6E">
              <w:rPr>
                <w:rFonts w:ascii="Arial" w:hAnsi="Arial" w:cs="David"/>
                <w:color w:val="000000"/>
                <w:sz w:val="24"/>
                <w:szCs w:val="24"/>
                <w:rtl/>
              </w:rPr>
              <w:t xml:space="preserve">שתי חבורות </w:t>
            </w:r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רק בזמן שרואות אלו את אלו </w:t>
            </w:r>
            <w:proofErr w:type="spellStart"/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>מצטרפין</w:t>
            </w:r>
            <w:proofErr w:type="spellEnd"/>
            <w:r w:rsidRPr="00BC7E6E">
              <w:rPr>
                <w:rFonts w:ascii="Arial" w:hAnsi="Arial" w:cs="David" w:hint="cs"/>
                <w:color w:val="000000"/>
                <w:sz w:val="24"/>
                <w:szCs w:val="24"/>
                <w:rtl/>
              </w:rPr>
              <w:t xml:space="preserve"> </w:t>
            </w:r>
            <w:r w:rsidRPr="00BC7E6E">
              <w:rPr>
                <w:rFonts w:cs="David" w:hint="cs"/>
                <w:sz w:val="24"/>
                <w:szCs w:val="24"/>
                <w:rtl/>
              </w:rPr>
              <w:t xml:space="preserve"> ומוסיפה הגמרא שאם יש שמש בניהם גם שלא רואים </w:t>
            </w:r>
          </w:p>
        </w:tc>
      </w:tr>
      <w:tr w:rsidR="00D76817" w:rsidRPr="00BC7E6E" w:rsidTr="004304E0">
        <w:tc>
          <w:tcPr>
            <w:tcW w:w="1074" w:type="dxa"/>
          </w:tcPr>
          <w:p w:rsidR="00D76817" w:rsidRPr="00083B2C" w:rsidRDefault="00D76817" w:rsidP="00376CD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יין לא מזוג</w:t>
            </w:r>
            <w:r w:rsidRPr="00083B2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69" w:type="dxa"/>
            <w:gridSpan w:val="2"/>
          </w:tcPr>
          <w:p w:rsidR="00D76817" w:rsidRPr="00BC7E6E" w:rsidRDefault="00D76817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לרבי אליעזר ברכתו העץ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ונטלין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ממנו ידיים </w:t>
            </w:r>
          </w:p>
        </w:tc>
        <w:tc>
          <w:tcPr>
            <w:tcW w:w="6238" w:type="dxa"/>
            <w:gridSpan w:val="4"/>
          </w:tcPr>
          <w:p w:rsidR="00D76817" w:rsidRPr="00BC7E6E" w:rsidRDefault="00D76817" w:rsidP="00376CDD">
            <w:pPr>
              <w:rPr>
                <w:rFonts w:cs="David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לחכמים ברכתו הגפן כיוון שראוי לרפואה </w:t>
            </w:r>
            <w:r w:rsidR="004304E0" w:rsidRPr="00BC7E6E">
              <w:rPr>
                <w:rFonts w:cs="David" w:hint="cs"/>
                <w:sz w:val="24"/>
                <w:szCs w:val="24"/>
                <w:rtl/>
              </w:rPr>
              <w:t xml:space="preserve">, אבל בכוס ברכה צריך יין מזוג  משום מצווה מן המובחר </w:t>
            </w:r>
            <w:r w:rsidRPr="00BC7E6E">
              <w:rPr>
                <w:rFonts w:cs="David" w:hint="cs"/>
                <w:sz w:val="24"/>
                <w:szCs w:val="24"/>
                <w:rtl/>
              </w:rPr>
              <w:t>ואין נוטלים ממנו לידיים</w:t>
            </w:r>
          </w:p>
        </w:tc>
      </w:tr>
      <w:tr w:rsidR="004304E0" w:rsidRPr="00BC7E6E" w:rsidTr="00BC7E6E">
        <w:tc>
          <w:tcPr>
            <w:tcW w:w="9781" w:type="dxa"/>
            <w:gridSpan w:val="7"/>
          </w:tcPr>
          <w:p w:rsidR="004304E0" w:rsidRPr="00BC7E6E" w:rsidRDefault="004304E0" w:rsidP="00376CDD">
            <w:pPr>
              <w:rPr>
                <w:rFonts w:cs="David" w:hint="cs"/>
                <w:sz w:val="24"/>
                <w:szCs w:val="24"/>
                <w:rtl/>
              </w:rPr>
            </w:pPr>
            <w:r w:rsidRPr="00083B2C">
              <w:rPr>
                <w:rFonts w:ascii="Arial" w:eastAsia="Times New Roman" w:hAnsi="Arial" w:cs="David"/>
                <w:b/>
                <w:bCs/>
                <w:color w:val="000000"/>
                <w:sz w:val="24"/>
                <w:szCs w:val="24"/>
                <w:highlight w:val="yellow"/>
                <w:rtl/>
              </w:rPr>
              <w:t>ד' דברים נאמרו בפת</w:t>
            </w:r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אין </w:t>
            </w:r>
            <w:proofErr w:type="spellStart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מניחין</w:t>
            </w:r>
            <w:proofErr w:type="spellEnd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בשר חי על הפת ואין </w:t>
            </w:r>
            <w:proofErr w:type="spellStart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מעבירין</w:t>
            </w:r>
            <w:proofErr w:type="spellEnd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כוס מלא על הפת ואין </w:t>
            </w:r>
            <w:proofErr w:type="spellStart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זורקין</w:t>
            </w:r>
            <w:proofErr w:type="spellEnd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את הפת ואין </w:t>
            </w:r>
            <w:proofErr w:type="spellStart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>סומכין</w:t>
            </w:r>
            <w:proofErr w:type="spellEnd"/>
            <w:r w:rsidRPr="00DE3BEC">
              <w:rPr>
                <w:rFonts w:ascii="Arial" w:eastAsia="Times New Roman" w:hAnsi="Arial" w:cs="David"/>
                <w:color w:val="000000"/>
                <w:sz w:val="24"/>
                <w:szCs w:val="24"/>
                <w:rtl/>
              </w:rPr>
              <w:t xml:space="preserve"> את הקערה בפת</w:t>
            </w:r>
          </w:p>
        </w:tc>
      </w:tr>
      <w:tr w:rsidR="009932A1" w:rsidRPr="00BC7E6E" w:rsidTr="00083B2C">
        <w:tc>
          <w:tcPr>
            <w:tcW w:w="9781" w:type="dxa"/>
            <w:gridSpan w:val="7"/>
            <w:tcBorders>
              <w:bottom w:val="single" w:sz="4" w:space="0" w:color="auto"/>
            </w:tcBorders>
          </w:tcPr>
          <w:p w:rsidR="009932A1" w:rsidRPr="00BC7E6E" w:rsidRDefault="009932A1" w:rsidP="00376CDD">
            <w:pPr>
              <w:rPr>
                <w:rFonts w:cs="David" w:hint="cs"/>
                <w:sz w:val="24"/>
                <w:szCs w:val="24"/>
                <w:rtl/>
              </w:rPr>
            </w:pPr>
            <w:r w:rsidRPr="00BC7E6E">
              <w:rPr>
                <w:rFonts w:cs="David" w:hint="cs"/>
                <w:sz w:val="24"/>
                <w:szCs w:val="24"/>
                <w:rtl/>
              </w:rPr>
              <w:t xml:space="preserve">מר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זוטרא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זרק פירות לפני רב אשי כיוון שפירות שלא נמאסים בזריקתן מותר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לזורקן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9932A1" w:rsidRPr="00BC7E6E" w:rsidTr="00083B2C">
        <w:tc>
          <w:tcPr>
            <w:tcW w:w="9781" w:type="dxa"/>
            <w:gridSpan w:val="7"/>
            <w:tcBorders>
              <w:left w:val="nil"/>
              <w:right w:val="nil"/>
            </w:tcBorders>
          </w:tcPr>
          <w:p w:rsidR="009932A1" w:rsidRPr="00BC7E6E" w:rsidRDefault="009932A1" w:rsidP="00376CDD">
            <w:pPr>
              <w:rPr>
                <w:rFonts w:cs="David" w:hint="cs"/>
                <w:sz w:val="24"/>
                <w:szCs w:val="24"/>
                <w:rtl/>
              </w:rPr>
            </w:pPr>
          </w:p>
        </w:tc>
      </w:tr>
      <w:tr w:rsidR="009932A1" w:rsidRPr="00BC7E6E" w:rsidTr="00BC7E6E">
        <w:tc>
          <w:tcPr>
            <w:tcW w:w="9781" w:type="dxa"/>
            <w:gridSpan w:val="7"/>
          </w:tcPr>
          <w:p w:rsidR="009932A1" w:rsidRPr="00BC7E6E" w:rsidRDefault="009932A1" w:rsidP="00376CDD">
            <w:pPr>
              <w:rPr>
                <w:rFonts w:cs="David" w:hint="cs"/>
                <w:sz w:val="24"/>
                <w:szCs w:val="24"/>
                <w:rtl/>
              </w:rPr>
            </w:pPr>
            <w:r w:rsidRPr="00083B2C">
              <w:rPr>
                <w:rFonts w:cs="David" w:hint="cs"/>
                <w:b/>
                <w:bCs/>
                <w:sz w:val="24"/>
                <w:szCs w:val="24"/>
                <w:highlight w:val="yellow"/>
                <w:rtl/>
              </w:rPr>
              <w:t>המכניס אוכל ונזכר שלא ברך</w:t>
            </w:r>
            <w:r w:rsidRPr="00083B2C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BC7E6E">
              <w:rPr>
                <w:rFonts w:cs="David" w:hint="cs"/>
                <w:sz w:val="24"/>
                <w:szCs w:val="24"/>
                <w:rtl/>
              </w:rPr>
              <w:t>במשקין</w:t>
            </w:r>
            <w:proofErr w:type="spellEnd"/>
            <w:r w:rsidRPr="00BC7E6E">
              <w:rPr>
                <w:rFonts w:cs="David" w:hint="cs"/>
                <w:sz w:val="24"/>
                <w:szCs w:val="24"/>
                <w:rtl/>
              </w:rPr>
              <w:t xml:space="preserve"> שאם יפלוט ימאסו  בולע , בדבר שלא ימאס פולט מברך ומכניס , ובדבר שימאס מסלק לצד</w:t>
            </w:r>
          </w:p>
        </w:tc>
      </w:tr>
    </w:tbl>
    <w:p w:rsidR="00376CDD" w:rsidRDefault="00DE3BEC" w:rsidP="00BC7E6E">
      <w:pPr>
        <w:rPr>
          <w:rFonts w:ascii="Arial" w:hAnsi="Arial" w:cs="Arial"/>
          <w:color w:val="000000"/>
          <w:sz w:val="23"/>
          <w:szCs w:val="23"/>
        </w:rPr>
      </w:pPr>
      <w:r w:rsidRPr="0005450D">
        <w:rPr>
          <w:rFonts w:ascii="Times New Roman" w:eastAsia="Times New Roman" w:hAnsi="Times New Roman" w:cs="David" w:hint="cs"/>
          <w:sz w:val="44"/>
          <w:szCs w:val="44"/>
          <w:highlight w:val="magenta"/>
          <w:rtl/>
        </w:rPr>
        <w:t>טבלאות עזר של</w:t>
      </w:r>
      <w:r>
        <w:rPr>
          <w:rFonts w:ascii="Times New Roman" w:eastAsia="Times New Roman" w:hAnsi="Times New Roman" w:cs="David" w:hint="cs"/>
          <w:sz w:val="44"/>
          <w:szCs w:val="44"/>
          <w:highlight w:val="magenta"/>
          <w:rtl/>
        </w:rPr>
        <w:t xml:space="preserve"> מסקנות הגמרא ללימוד ברכות דף </w:t>
      </w:r>
      <w:r w:rsidRPr="00DE3BEC">
        <w:rPr>
          <w:rFonts w:ascii="Times New Roman" w:eastAsia="Times New Roman" w:hAnsi="Times New Roman" w:cs="David" w:hint="cs"/>
          <w:sz w:val="44"/>
          <w:szCs w:val="44"/>
          <w:highlight w:val="magenta"/>
          <w:rtl/>
        </w:rPr>
        <w:t>נ</w:t>
      </w:r>
    </w:p>
    <w:p w:rsidR="00376CDD" w:rsidRDefault="00376CDD" w:rsidP="00376CDD">
      <w:pPr>
        <w:pStyle w:val="NormalWeb"/>
        <w:shd w:val="clear" w:color="auto" w:fill="FDFBF4"/>
        <w:bidi/>
        <w:spacing w:line="285" w:lineRule="atLeast"/>
        <w:jc w:val="both"/>
        <w:rPr>
          <w:rFonts w:ascii="Arial" w:hAnsi="Arial" w:cs="Arial" w:hint="cs"/>
          <w:color w:val="000000"/>
          <w:sz w:val="23"/>
          <w:szCs w:val="23"/>
          <w:rtl/>
        </w:rPr>
      </w:pPr>
      <w:bookmarkStart w:id="0" w:name="_GoBack"/>
      <w:bookmarkEnd w:id="0"/>
    </w:p>
    <w:sectPr w:rsidR="00376CDD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EC"/>
    <w:rsid w:val="00083B2C"/>
    <w:rsid w:val="0023781A"/>
    <w:rsid w:val="00260986"/>
    <w:rsid w:val="00376CDD"/>
    <w:rsid w:val="004304E0"/>
    <w:rsid w:val="004F4A97"/>
    <w:rsid w:val="009932A1"/>
    <w:rsid w:val="00BC7E6E"/>
    <w:rsid w:val="00C615BF"/>
    <w:rsid w:val="00CA5888"/>
    <w:rsid w:val="00D76817"/>
    <w:rsid w:val="00DE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E3BEC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E3BEC"/>
    <w:rPr>
      <w:b/>
      <w:bCs/>
    </w:rPr>
  </w:style>
  <w:style w:type="table" w:styleId="a4">
    <w:name w:val="Table Grid"/>
    <w:basedOn w:val="a1"/>
    <w:uiPriority w:val="59"/>
    <w:rsid w:val="00DE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DE3BEC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DE3BEC"/>
    <w:rPr>
      <w:b/>
      <w:bCs/>
    </w:rPr>
  </w:style>
  <w:style w:type="table" w:styleId="a4">
    <w:name w:val="Table Grid"/>
    <w:basedOn w:val="a1"/>
    <w:uiPriority w:val="59"/>
    <w:rsid w:val="00DE3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4045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91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357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4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6683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B6A258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578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417</Words>
  <Characters>2090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2012-09-19T14:05:00Z</dcterms:created>
  <dcterms:modified xsi:type="dcterms:W3CDTF">2012-09-20T12:21:00Z</dcterms:modified>
</cp:coreProperties>
</file>