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XSpec="center" w:tblpY="1212"/>
        <w:bidiVisual/>
        <w:tblW w:w="10065" w:type="dxa"/>
        <w:tblLook w:val="04A0" w:firstRow="1" w:lastRow="0" w:firstColumn="1" w:lastColumn="0" w:noHBand="0" w:noVBand="1"/>
      </w:tblPr>
      <w:tblGrid>
        <w:gridCol w:w="1559"/>
        <w:gridCol w:w="567"/>
        <w:gridCol w:w="378"/>
        <w:gridCol w:w="1465"/>
        <w:gridCol w:w="239"/>
        <w:gridCol w:w="1704"/>
        <w:gridCol w:w="1459"/>
        <w:gridCol w:w="246"/>
        <w:gridCol w:w="2448"/>
      </w:tblGrid>
      <w:tr w:rsidR="00524BCA" w:rsidTr="00815C98">
        <w:tc>
          <w:tcPr>
            <w:tcW w:w="10065" w:type="dxa"/>
            <w:gridSpan w:val="9"/>
          </w:tcPr>
          <w:p w:rsidR="00524BCA" w:rsidRPr="00524BCA" w:rsidRDefault="00524BCA" w:rsidP="00815C98">
            <w:pPr>
              <w:rPr>
                <w:rFonts w:hint="cs"/>
                <w:rtl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אין </w:t>
            </w:r>
            <w:proofErr w:type="spellStart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מברכין</w:t>
            </w:r>
            <w:proofErr w:type="spellEnd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לא על הנר ולא על הבשמים של </w:t>
            </w:r>
            <w:proofErr w:type="spellStart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עכו''ם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proofErr w:type="spellStart"/>
            <w:r w:rsidRPr="00A5767F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א''ר</w:t>
            </w:r>
            <w:proofErr w:type="spellEnd"/>
            <w:r w:rsidRPr="00A5767F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 </w:t>
            </w:r>
            <w:proofErr w:type="spellStart"/>
            <w:r w:rsidRPr="00A5767F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חנינא</w:t>
            </w:r>
            <w:proofErr w:type="spellEnd"/>
            <w:r w:rsidRPr="00A5767F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 </w:t>
            </w:r>
            <w:proofErr w:type="spellStart"/>
            <w:r w:rsidRPr="00A5767F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מסורא</w:t>
            </w:r>
            <w:proofErr w:type="spellEnd"/>
            <w:r w:rsidRPr="00A5767F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 מפני שסתם מסבת עובדי כוכבים </w:t>
            </w:r>
            <w:proofErr w:type="spellStart"/>
            <w:r w:rsidRPr="00A5767F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לע</w:t>
            </w:r>
            <w:proofErr w:type="spellEnd"/>
            <w:r w:rsidRPr="00A5767F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''ז </w:t>
            </w:r>
            <w:r>
              <w:rPr>
                <w:rFonts w:hint="cs"/>
                <w:rtl/>
              </w:rPr>
              <w:t>.</w:t>
            </w:r>
          </w:p>
          <w:p w:rsidR="00524BCA" w:rsidRDefault="00524BCA" w:rsidP="00815C98">
            <w:pPr>
              <w:rPr>
                <w:rFonts w:hint="cs"/>
                <w:rtl/>
              </w:rPr>
            </w:pPr>
          </w:p>
        </w:tc>
      </w:tr>
      <w:tr w:rsidR="00524BCA" w:rsidTr="00815C98">
        <w:tc>
          <w:tcPr>
            <w:tcW w:w="10065" w:type="dxa"/>
            <w:gridSpan w:val="9"/>
            <w:tcBorders>
              <w:bottom w:val="single" w:sz="4" w:space="0" w:color="auto"/>
            </w:tcBorders>
          </w:tcPr>
          <w:p w:rsidR="00524BCA" w:rsidRDefault="00524BCA" w:rsidP="00815C98">
            <w:pPr>
              <w:rPr>
                <w:rFonts w:hint="cs"/>
                <w:rtl/>
              </w:rPr>
            </w:pPr>
            <w:r w:rsidRPr="00A5767F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אור ששבת </w:t>
            </w:r>
            <w:proofErr w:type="spellStart"/>
            <w:r w:rsidRPr="00A5767F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מברכין</w:t>
            </w:r>
            <w:proofErr w:type="spellEnd"/>
            <w:r w:rsidRPr="00A5767F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 עליו ושלא שבת אין </w:t>
            </w:r>
            <w:proofErr w:type="spellStart"/>
            <w:r w:rsidRPr="00A5767F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מברכין</w:t>
            </w:r>
            <w:proofErr w:type="spellEnd"/>
            <w:r w:rsidRPr="00A5767F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 עליו</w:t>
            </w:r>
            <w:r>
              <w:rPr>
                <w:rFonts w:hint="cs"/>
                <w:rtl/>
              </w:rPr>
              <w:t xml:space="preserve"> ובאר רב נחמן ששבת ממלאכת עבירה אבל אם היה דלוק בהיתר מותר.</w:t>
            </w:r>
          </w:p>
        </w:tc>
      </w:tr>
      <w:tr w:rsidR="00524BCA" w:rsidTr="00815C98">
        <w:tc>
          <w:tcPr>
            <w:tcW w:w="2504" w:type="dxa"/>
            <w:gridSpan w:val="3"/>
            <w:tcBorders>
              <w:left w:val="nil"/>
              <w:right w:val="nil"/>
            </w:tcBorders>
          </w:tcPr>
          <w:p w:rsidR="00524BCA" w:rsidRDefault="00524BCA" w:rsidP="00815C98">
            <w:pPr>
              <w:rPr>
                <w:rFonts w:hint="cs"/>
                <w:rtl/>
              </w:rPr>
            </w:pPr>
          </w:p>
        </w:tc>
        <w:tc>
          <w:tcPr>
            <w:tcW w:w="1704" w:type="dxa"/>
            <w:gridSpan w:val="2"/>
            <w:tcBorders>
              <w:left w:val="nil"/>
              <w:right w:val="nil"/>
            </w:tcBorders>
          </w:tcPr>
          <w:p w:rsidR="00524BCA" w:rsidRDefault="00524BCA" w:rsidP="00815C98">
            <w:pPr>
              <w:rPr>
                <w:rFonts w:hint="cs"/>
                <w:rtl/>
              </w:rPr>
            </w:pPr>
          </w:p>
        </w:tc>
        <w:tc>
          <w:tcPr>
            <w:tcW w:w="1704" w:type="dxa"/>
            <w:tcBorders>
              <w:left w:val="nil"/>
              <w:right w:val="nil"/>
            </w:tcBorders>
          </w:tcPr>
          <w:p w:rsidR="00524BCA" w:rsidRDefault="00524BCA" w:rsidP="00815C98">
            <w:pPr>
              <w:rPr>
                <w:rFonts w:hint="cs"/>
                <w:rtl/>
              </w:rPr>
            </w:pPr>
          </w:p>
        </w:tc>
        <w:tc>
          <w:tcPr>
            <w:tcW w:w="1705" w:type="dxa"/>
            <w:gridSpan w:val="2"/>
            <w:tcBorders>
              <w:left w:val="nil"/>
              <w:right w:val="nil"/>
            </w:tcBorders>
          </w:tcPr>
          <w:p w:rsidR="00524BCA" w:rsidRDefault="00524BCA" w:rsidP="00815C98">
            <w:pPr>
              <w:rPr>
                <w:rFonts w:hint="cs"/>
                <w:rtl/>
              </w:rPr>
            </w:pPr>
          </w:p>
        </w:tc>
        <w:tc>
          <w:tcPr>
            <w:tcW w:w="2448" w:type="dxa"/>
            <w:tcBorders>
              <w:left w:val="nil"/>
              <w:right w:val="nil"/>
            </w:tcBorders>
          </w:tcPr>
          <w:p w:rsidR="00524BCA" w:rsidRDefault="00524BCA" w:rsidP="00815C98">
            <w:pPr>
              <w:rPr>
                <w:rFonts w:hint="cs"/>
                <w:rtl/>
              </w:rPr>
            </w:pPr>
          </w:p>
        </w:tc>
      </w:tr>
      <w:tr w:rsidR="004824F8" w:rsidTr="00815C98">
        <w:tc>
          <w:tcPr>
            <w:tcW w:w="3969" w:type="dxa"/>
            <w:gridSpan w:val="4"/>
            <w:tcBorders>
              <w:bottom w:val="single" w:sz="4" w:space="0" w:color="auto"/>
            </w:tcBorders>
          </w:tcPr>
          <w:p w:rsidR="004824F8" w:rsidRDefault="004824F8" w:rsidP="00815C98">
            <w:pPr>
              <w:rPr>
                <w:rtl/>
              </w:rPr>
            </w:pPr>
            <w:proofErr w:type="spellStart"/>
            <w:r w:rsidRPr="0023036E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נכרי</w:t>
            </w:r>
            <w:proofErr w:type="spellEnd"/>
            <w:r w:rsidRPr="0023036E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 שהדליק מישראל</w:t>
            </w:r>
            <w:r w:rsidRPr="0023036E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 </w:t>
            </w:r>
            <w:r w:rsidRPr="0023036E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וישראל שהדליק </w:t>
            </w:r>
            <w:proofErr w:type="spellStart"/>
            <w:r w:rsidRPr="0023036E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מנכרי</w:t>
            </w:r>
            <w:proofErr w:type="spellEnd"/>
            <w:r w:rsidRPr="0023036E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 </w:t>
            </w:r>
            <w:proofErr w:type="spellStart"/>
            <w:r w:rsidRPr="0023036E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מברכין</w:t>
            </w:r>
            <w:proofErr w:type="spellEnd"/>
            <w:r w:rsidRPr="0023036E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 עליו </w:t>
            </w:r>
            <w:r>
              <w:rPr>
                <w:rFonts w:hint="cs"/>
                <w:rtl/>
              </w:rPr>
              <w:t xml:space="preserve"> על תוספת ההיתר ביד ישראל</w:t>
            </w:r>
          </w:p>
        </w:tc>
        <w:tc>
          <w:tcPr>
            <w:tcW w:w="6096" w:type="dxa"/>
            <w:gridSpan w:val="5"/>
            <w:tcBorders>
              <w:bottom w:val="single" w:sz="4" w:space="0" w:color="auto"/>
            </w:tcBorders>
          </w:tcPr>
          <w:p w:rsidR="004824F8" w:rsidRDefault="004824F8" w:rsidP="00815C98">
            <w:pPr>
              <w:rPr>
                <w:rFonts w:hint="cs"/>
                <w:rtl/>
              </w:rPr>
            </w:pPr>
            <w:proofErr w:type="spellStart"/>
            <w:r w:rsidRPr="0023036E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נכרי</w:t>
            </w:r>
            <w:proofErr w:type="spellEnd"/>
            <w:r w:rsidRPr="0023036E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 </w:t>
            </w:r>
            <w:r>
              <w:rPr>
                <w:rFonts w:ascii="Arial" w:eastAsia="Times New Roman" w:hAnsi="Arial" w:cs="Arial" w:hint="cs"/>
                <w:color w:val="000000"/>
                <w:sz w:val="23"/>
                <w:szCs w:val="23"/>
                <w:rtl/>
              </w:rPr>
              <w:t xml:space="preserve"> שהדליק </w:t>
            </w:r>
            <w:proofErr w:type="spellStart"/>
            <w:r w:rsidRPr="0023036E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מנכרי</w:t>
            </w:r>
            <w:proofErr w:type="spellEnd"/>
            <w:r w:rsidRPr="0023036E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 אין </w:t>
            </w:r>
            <w:proofErr w:type="spellStart"/>
            <w:r w:rsidRPr="0023036E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מברכין</w:t>
            </w:r>
            <w:proofErr w:type="spellEnd"/>
            <w:r w:rsidRPr="0023036E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 עליו</w:t>
            </w:r>
            <w:r>
              <w:rPr>
                <w:rFonts w:hint="cs"/>
                <w:rtl/>
              </w:rPr>
              <w:t xml:space="preserve"> ולמרות שיש תוספת שהתחדשה במוצ"ש בהיתר  גזרו שמא יבואו להדליק מנוכרי ראשון ובאש הראשונה שהדליק בשבת .</w:t>
            </w:r>
          </w:p>
        </w:tc>
      </w:tr>
      <w:tr w:rsidR="00524BCA" w:rsidTr="00815C98">
        <w:tc>
          <w:tcPr>
            <w:tcW w:w="2504" w:type="dxa"/>
            <w:gridSpan w:val="3"/>
            <w:tcBorders>
              <w:left w:val="nil"/>
              <w:right w:val="nil"/>
            </w:tcBorders>
          </w:tcPr>
          <w:p w:rsidR="00524BCA" w:rsidRDefault="00524BCA" w:rsidP="00815C98">
            <w:pPr>
              <w:rPr>
                <w:rFonts w:hint="cs"/>
                <w:rtl/>
              </w:rPr>
            </w:pPr>
          </w:p>
        </w:tc>
        <w:tc>
          <w:tcPr>
            <w:tcW w:w="1704" w:type="dxa"/>
            <w:gridSpan w:val="2"/>
            <w:tcBorders>
              <w:left w:val="nil"/>
              <w:right w:val="nil"/>
            </w:tcBorders>
          </w:tcPr>
          <w:p w:rsidR="00524BCA" w:rsidRDefault="00524BCA" w:rsidP="00815C98">
            <w:pPr>
              <w:rPr>
                <w:rFonts w:hint="cs"/>
                <w:rtl/>
              </w:rPr>
            </w:pPr>
          </w:p>
        </w:tc>
        <w:tc>
          <w:tcPr>
            <w:tcW w:w="1704" w:type="dxa"/>
            <w:tcBorders>
              <w:left w:val="nil"/>
              <w:right w:val="nil"/>
            </w:tcBorders>
          </w:tcPr>
          <w:p w:rsidR="00524BCA" w:rsidRDefault="00524BCA" w:rsidP="00815C98">
            <w:pPr>
              <w:rPr>
                <w:rFonts w:hint="cs"/>
                <w:rtl/>
              </w:rPr>
            </w:pPr>
          </w:p>
        </w:tc>
        <w:tc>
          <w:tcPr>
            <w:tcW w:w="1705" w:type="dxa"/>
            <w:gridSpan w:val="2"/>
            <w:tcBorders>
              <w:left w:val="nil"/>
              <w:right w:val="nil"/>
            </w:tcBorders>
          </w:tcPr>
          <w:p w:rsidR="00524BCA" w:rsidRDefault="00524BCA" w:rsidP="00815C98">
            <w:pPr>
              <w:rPr>
                <w:rFonts w:hint="cs"/>
                <w:rtl/>
              </w:rPr>
            </w:pPr>
          </w:p>
        </w:tc>
        <w:tc>
          <w:tcPr>
            <w:tcW w:w="2448" w:type="dxa"/>
            <w:tcBorders>
              <w:left w:val="nil"/>
              <w:right w:val="nil"/>
            </w:tcBorders>
          </w:tcPr>
          <w:p w:rsidR="00524BCA" w:rsidRDefault="00524BCA" w:rsidP="00815C98">
            <w:pPr>
              <w:rPr>
                <w:rFonts w:hint="cs"/>
                <w:rtl/>
              </w:rPr>
            </w:pPr>
          </w:p>
        </w:tc>
      </w:tr>
      <w:tr w:rsidR="004824F8" w:rsidTr="00815C98">
        <w:tc>
          <w:tcPr>
            <w:tcW w:w="10065" w:type="dxa"/>
            <w:gridSpan w:val="9"/>
            <w:tcBorders>
              <w:bottom w:val="single" w:sz="4" w:space="0" w:color="auto"/>
            </w:tcBorders>
          </w:tcPr>
          <w:p w:rsidR="004824F8" w:rsidRDefault="004824F8" w:rsidP="00815C98">
            <w:pPr>
              <w:rPr>
                <w:rFonts w:hint="cs"/>
                <w:rtl/>
              </w:rPr>
            </w:pPr>
            <w:r w:rsidRPr="0023036E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היה מהלך חוץ לכרך וראה אור אם רוב נכרים אינו מברך אם רוב ישראל מברך</w:t>
            </w:r>
            <w:r>
              <w:rPr>
                <w:rFonts w:hint="cs"/>
                <w:rtl/>
              </w:rPr>
              <w:t xml:space="preserve"> וגם מחצה על מחצה מברך </w:t>
            </w:r>
          </w:p>
        </w:tc>
      </w:tr>
      <w:tr w:rsidR="00524BCA" w:rsidTr="00815C98">
        <w:tc>
          <w:tcPr>
            <w:tcW w:w="2504" w:type="dxa"/>
            <w:gridSpan w:val="3"/>
            <w:tcBorders>
              <w:left w:val="nil"/>
              <w:right w:val="nil"/>
            </w:tcBorders>
          </w:tcPr>
          <w:p w:rsidR="00524BCA" w:rsidRDefault="00524BCA" w:rsidP="00815C98">
            <w:pPr>
              <w:rPr>
                <w:rFonts w:hint="cs"/>
                <w:rtl/>
              </w:rPr>
            </w:pPr>
          </w:p>
        </w:tc>
        <w:tc>
          <w:tcPr>
            <w:tcW w:w="1704" w:type="dxa"/>
            <w:gridSpan w:val="2"/>
            <w:tcBorders>
              <w:left w:val="nil"/>
              <w:right w:val="nil"/>
            </w:tcBorders>
          </w:tcPr>
          <w:p w:rsidR="00524BCA" w:rsidRDefault="00524BCA" w:rsidP="00815C98">
            <w:pPr>
              <w:rPr>
                <w:rFonts w:hint="cs"/>
                <w:rtl/>
              </w:rPr>
            </w:pPr>
          </w:p>
        </w:tc>
        <w:tc>
          <w:tcPr>
            <w:tcW w:w="1704" w:type="dxa"/>
            <w:tcBorders>
              <w:left w:val="nil"/>
              <w:right w:val="nil"/>
            </w:tcBorders>
          </w:tcPr>
          <w:p w:rsidR="00524BCA" w:rsidRDefault="00524BCA" w:rsidP="00815C98">
            <w:pPr>
              <w:rPr>
                <w:rFonts w:hint="cs"/>
                <w:rtl/>
              </w:rPr>
            </w:pPr>
          </w:p>
        </w:tc>
        <w:tc>
          <w:tcPr>
            <w:tcW w:w="1705" w:type="dxa"/>
            <w:gridSpan w:val="2"/>
            <w:tcBorders>
              <w:left w:val="nil"/>
              <w:right w:val="nil"/>
            </w:tcBorders>
          </w:tcPr>
          <w:p w:rsidR="00524BCA" w:rsidRDefault="00524BCA" w:rsidP="00815C98">
            <w:pPr>
              <w:rPr>
                <w:rFonts w:hint="cs"/>
                <w:rtl/>
              </w:rPr>
            </w:pPr>
          </w:p>
        </w:tc>
        <w:tc>
          <w:tcPr>
            <w:tcW w:w="2448" w:type="dxa"/>
            <w:tcBorders>
              <w:left w:val="nil"/>
              <w:right w:val="nil"/>
            </w:tcBorders>
          </w:tcPr>
          <w:p w:rsidR="00524BCA" w:rsidRDefault="00524BCA" w:rsidP="00815C98">
            <w:pPr>
              <w:rPr>
                <w:rFonts w:hint="cs"/>
                <w:rtl/>
              </w:rPr>
            </w:pPr>
          </w:p>
        </w:tc>
      </w:tr>
      <w:tr w:rsidR="004824F8" w:rsidTr="00815C98">
        <w:tc>
          <w:tcPr>
            <w:tcW w:w="10065" w:type="dxa"/>
            <w:gridSpan w:val="9"/>
            <w:tcBorders>
              <w:bottom w:val="single" w:sz="4" w:space="0" w:color="auto"/>
            </w:tcBorders>
          </w:tcPr>
          <w:p w:rsidR="004824F8" w:rsidRDefault="004824F8" w:rsidP="00815C98">
            <w:pPr>
              <w:rPr>
                <w:rFonts w:hint="cs"/>
                <w:rtl/>
              </w:rPr>
            </w:pPr>
            <w:r w:rsidRPr="0023036E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היה מהלך חוץ לכרך וראה תינוק ואבוקה בידו בודק אחריו אם ישראל הוא מברך אם </w:t>
            </w:r>
            <w:proofErr w:type="spellStart"/>
            <w:r w:rsidRPr="0023036E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נכרי</w:t>
            </w:r>
            <w:proofErr w:type="spellEnd"/>
            <w:r w:rsidRPr="0023036E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 הוא אינו מברך</w:t>
            </w:r>
            <w:r>
              <w:rPr>
                <w:rFonts w:hint="cs"/>
                <w:rtl/>
              </w:rPr>
              <w:t xml:space="preserve"> ומדובר סמוך לשקיעה שבגדול ודאי נוכרי אבל בתינוק אולי הוא יהודי שטעה ולקח את הנר  מוקדם ולכן צריך לבדוק. </w:t>
            </w:r>
          </w:p>
        </w:tc>
      </w:tr>
      <w:tr w:rsidR="00524BCA" w:rsidTr="00815C98">
        <w:tc>
          <w:tcPr>
            <w:tcW w:w="2504" w:type="dxa"/>
            <w:gridSpan w:val="3"/>
            <w:tcBorders>
              <w:left w:val="nil"/>
              <w:right w:val="nil"/>
            </w:tcBorders>
          </w:tcPr>
          <w:p w:rsidR="00524BCA" w:rsidRDefault="00524BCA" w:rsidP="00815C98">
            <w:pPr>
              <w:rPr>
                <w:rFonts w:hint="cs"/>
                <w:rtl/>
              </w:rPr>
            </w:pPr>
          </w:p>
        </w:tc>
        <w:tc>
          <w:tcPr>
            <w:tcW w:w="1704" w:type="dxa"/>
            <w:gridSpan w:val="2"/>
            <w:tcBorders>
              <w:left w:val="nil"/>
              <w:right w:val="nil"/>
            </w:tcBorders>
          </w:tcPr>
          <w:p w:rsidR="00524BCA" w:rsidRDefault="00524BCA" w:rsidP="00815C98">
            <w:pPr>
              <w:rPr>
                <w:rFonts w:hint="cs"/>
                <w:rtl/>
              </w:rPr>
            </w:pPr>
          </w:p>
        </w:tc>
        <w:tc>
          <w:tcPr>
            <w:tcW w:w="1704" w:type="dxa"/>
            <w:tcBorders>
              <w:left w:val="nil"/>
              <w:right w:val="nil"/>
            </w:tcBorders>
          </w:tcPr>
          <w:p w:rsidR="00524BCA" w:rsidRDefault="00524BCA" w:rsidP="00815C98">
            <w:pPr>
              <w:rPr>
                <w:rFonts w:hint="cs"/>
                <w:rtl/>
              </w:rPr>
            </w:pPr>
          </w:p>
        </w:tc>
        <w:tc>
          <w:tcPr>
            <w:tcW w:w="1705" w:type="dxa"/>
            <w:gridSpan w:val="2"/>
            <w:tcBorders>
              <w:left w:val="nil"/>
              <w:right w:val="nil"/>
            </w:tcBorders>
          </w:tcPr>
          <w:p w:rsidR="00524BCA" w:rsidRDefault="00524BCA" w:rsidP="00815C98">
            <w:pPr>
              <w:rPr>
                <w:rFonts w:hint="cs"/>
                <w:rtl/>
              </w:rPr>
            </w:pPr>
          </w:p>
        </w:tc>
        <w:tc>
          <w:tcPr>
            <w:tcW w:w="2448" w:type="dxa"/>
            <w:tcBorders>
              <w:left w:val="nil"/>
              <w:right w:val="nil"/>
            </w:tcBorders>
          </w:tcPr>
          <w:p w:rsidR="00524BCA" w:rsidRDefault="00524BCA" w:rsidP="00815C98">
            <w:pPr>
              <w:rPr>
                <w:rFonts w:hint="cs"/>
                <w:rtl/>
              </w:rPr>
            </w:pPr>
          </w:p>
        </w:tc>
      </w:tr>
      <w:tr w:rsidR="00E53E75" w:rsidTr="00815C98">
        <w:tc>
          <w:tcPr>
            <w:tcW w:w="10065" w:type="dxa"/>
            <w:gridSpan w:val="9"/>
          </w:tcPr>
          <w:p w:rsidR="00E53E75" w:rsidRDefault="00E53E75" w:rsidP="00815C98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רק על אש שנועדה להאיר מברכים  ולכן </w:t>
            </w:r>
          </w:p>
        </w:tc>
      </w:tr>
      <w:tr w:rsidR="00E53E75" w:rsidTr="00815C98">
        <w:tc>
          <w:tcPr>
            <w:tcW w:w="1559" w:type="dxa"/>
          </w:tcPr>
          <w:p w:rsidR="00E53E75" w:rsidRDefault="00E53E75" w:rsidP="00815C98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על אש הכבשן </w:t>
            </w:r>
          </w:p>
        </w:tc>
        <w:tc>
          <w:tcPr>
            <w:tcW w:w="8506" w:type="dxa"/>
            <w:gridSpan w:val="8"/>
          </w:tcPr>
          <w:p w:rsidR="00E53E75" w:rsidRDefault="00E53E75" w:rsidP="00815C98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בתחילה נועדה לשרוף האבנים ואין מברכים ובסוף נועדה להאיר </w:t>
            </w:r>
            <w:proofErr w:type="spellStart"/>
            <w:r>
              <w:rPr>
                <w:rFonts w:hint="cs"/>
                <w:rtl/>
              </w:rPr>
              <w:t>ומברכין</w:t>
            </w:r>
            <w:proofErr w:type="spellEnd"/>
            <w:r>
              <w:rPr>
                <w:rFonts w:hint="cs"/>
                <w:rtl/>
              </w:rPr>
              <w:t>.</w:t>
            </w:r>
          </w:p>
        </w:tc>
      </w:tr>
      <w:tr w:rsidR="00E53E75" w:rsidTr="00815C98">
        <w:tc>
          <w:tcPr>
            <w:tcW w:w="1559" w:type="dxa"/>
          </w:tcPr>
          <w:p w:rsidR="00E53E75" w:rsidRDefault="00E53E75" w:rsidP="00815C98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אש של תנור וכיריים </w:t>
            </w:r>
          </w:p>
        </w:tc>
        <w:tc>
          <w:tcPr>
            <w:tcW w:w="8506" w:type="dxa"/>
            <w:gridSpan w:val="8"/>
          </w:tcPr>
          <w:p w:rsidR="00E53E75" w:rsidRDefault="00E53E75" w:rsidP="00815C98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בתחילה נועד להסיק , ואין </w:t>
            </w:r>
            <w:proofErr w:type="spellStart"/>
            <w:r>
              <w:rPr>
                <w:rFonts w:hint="cs"/>
                <w:rtl/>
              </w:rPr>
              <w:t>מברכין</w:t>
            </w:r>
            <w:proofErr w:type="spellEnd"/>
            <w:r>
              <w:rPr>
                <w:rFonts w:hint="cs"/>
                <w:rtl/>
              </w:rPr>
              <w:t xml:space="preserve"> ולבסוף </w:t>
            </w:r>
            <w:proofErr w:type="spellStart"/>
            <w:r>
              <w:rPr>
                <w:rFonts w:hint="cs"/>
                <w:rtl/>
              </w:rPr>
              <w:t>נועד,לחום</w:t>
            </w:r>
            <w:proofErr w:type="spellEnd"/>
            <w:r>
              <w:rPr>
                <w:rFonts w:hint="cs"/>
                <w:rtl/>
              </w:rPr>
              <w:t xml:space="preserve"> את האור שלא יצא ו גם להאיר </w:t>
            </w:r>
            <w:proofErr w:type="spellStart"/>
            <w:r>
              <w:rPr>
                <w:rFonts w:hint="cs"/>
                <w:rtl/>
              </w:rPr>
              <w:t>ומברכין</w:t>
            </w:r>
            <w:proofErr w:type="spellEnd"/>
            <w:r>
              <w:rPr>
                <w:rFonts w:hint="cs"/>
                <w:rtl/>
              </w:rPr>
              <w:t xml:space="preserve">. </w:t>
            </w:r>
          </w:p>
        </w:tc>
      </w:tr>
      <w:tr w:rsidR="00E53E75" w:rsidTr="00815C98">
        <w:tc>
          <w:tcPr>
            <w:tcW w:w="1559" w:type="dxa"/>
          </w:tcPr>
          <w:p w:rsidR="00E53E75" w:rsidRDefault="00E53E75" w:rsidP="00815C98">
            <w:pPr>
              <w:rPr>
                <w:rFonts w:hint="cs"/>
                <w:rtl/>
              </w:rPr>
            </w:pPr>
            <w:r w:rsidRPr="0023036E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אור של בית הכנסת ושל בית המדרש</w:t>
            </w:r>
          </w:p>
        </w:tc>
        <w:tc>
          <w:tcPr>
            <w:tcW w:w="8506" w:type="dxa"/>
            <w:gridSpan w:val="8"/>
          </w:tcPr>
          <w:p w:rsidR="00E53E75" w:rsidRDefault="00E53E75" w:rsidP="00815C98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שיש אדם חשוב (מן הסתם הודלק בשבילו) לא </w:t>
            </w:r>
            <w:proofErr w:type="spellStart"/>
            <w:r>
              <w:rPr>
                <w:rFonts w:hint="cs"/>
                <w:rtl/>
              </w:rPr>
              <w:t>מברכין</w:t>
            </w:r>
            <w:proofErr w:type="spellEnd"/>
            <w:r>
              <w:rPr>
                <w:rFonts w:hint="cs"/>
                <w:rtl/>
              </w:rPr>
              <w:t xml:space="preserve"> , שאין אדם חשוב (</w:t>
            </w:r>
            <w:proofErr w:type="spellStart"/>
            <w:r>
              <w:rPr>
                <w:rFonts w:hint="cs"/>
                <w:rtl/>
              </w:rPr>
              <w:t>מברכין</w:t>
            </w:r>
            <w:proofErr w:type="spellEnd"/>
            <w:r>
              <w:rPr>
                <w:rFonts w:hint="cs"/>
                <w:rtl/>
              </w:rPr>
              <w:t xml:space="preserve">). ויש אומרים שגם שיש אדם חשוב תלוי אם יש חזן שצריך לאכול לאור הנר והודלק להאיר ולכן מותר  לברך, </w:t>
            </w:r>
            <w:r w:rsidR="00250B96">
              <w:rPr>
                <w:rFonts w:hint="cs"/>
                <w:rtl/>
              </w:rPr>
              <w:t xml:space="preserve">וי"א שאם יש לבנה אזי הנר לא נעשה להאיר ואסור לברך לאורו. </w:t>
            </w:r>
            <w:r>
              <w:rPr>
                <w:rFonts w:hint="cs"/>
                <w:rtl/>
              </w:rPr>
              <w:t xml:space="preserve"> </w:t>
            </w:r>
          </w:p>
        </w:tc>
      </w:tr>
      <w:tr w:rsidR="00250B96" w:rsidTr="00815C98">
        <w:tc>
          <w:tcPr>
            <w:tcW w:w="1559" w:type="dxa"/>
          </w:tcPr>
          <w:p w:rsidR="00250B96" w:rsidRDefault="00250B96" w:rsidP="00815C98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נר של מת </w:t>
            </w:r>
          </w:p>
        </w:tc>
        <w:tc>
          <w:tcPr>
            <w:tcW w:w="8506" w:type="dxa"/>
            <w:gridSpan w:val="8"/>
          </w:tcPr>
          <w:p w:rsidR="00250B96" w:rsidRDefault="00250B96" w:rsidP="00815C98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אין מברכים עליו שעשוי לכבוד, ולא להאיר. (רק אם מוצאים נר לכבודו גם ביום אזי ידוע  שהנירות של מת כזה נעשו לכבוד)</w:t>
            </w:r>
          </w:p>
        </w:tc>
      </w:tr>
      <w:tr w:rsidR="00250B96" w:rsidTr="00815C98">
        <w:tc>
          <w:tcPr>
            <w:tcW w:w="10065" w:type="dxa"/>
            <w:gridSpan w:val="9"/>
            <w:tcBorders>
              <w:bottom w:val="single" w:sz="4" w:space="0" w:color="auto"/>
            </w:tcBorders>
          </w:tcPr>
          <w:p w:rsidR="00250B96" w:rsidRDefault="00250B96" w:rsidP="00815C98">
            <w:pPr>
              <w:rPr>
                <w:rFonts w:hint="cs"/>
                <w:rtl/>
              </w:rPr>
            </w:pPr>
            <w:r w:rsidRPr="0023036E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היו </w:t>
            </w:r>
            <w:proofErr w:type="spellStart"/>
            <w:r w:rsidRPr="0023036E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יושבין</w:t>
            </w:r>
            <w:proofErr w:type="spellEnd"/>
            <w:r w:rsidRPr="0023036E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 בבית המדרש והביאו אור לפניהם </w:t>
            </w:r>
            <w:proofErr w:type="spellStart"/>
            <w:r w:rsidRPr="0023036E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בש</w:t>
            </w:r>
            <w:proofErr w:type="spellEnd"/>
            <w:r w:rsidRPr="0023036E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''א כל אחד ואחד מברך לעצמו </w:t>
            </w:r>
            <w:r>
              <w:rPr>
                <w:rFonts w:ascii="Arial" w:eastAsia="Times New Roman" w:hAnsi="Arial" w:cs="Arial" w:hint="cs"/>
                <w:color w:val="000000"/>
                <w:sz w:val="23"/>
                <w:szCs w:val="23"/>
                <w:rtl/>
              </w:rPr>
              <w:t xml:space="preserve"> מפני ביטול בית מדרש במילה אמן  </w:t>
            </w:r>
            <w:proofErr w:type="spellStart"/>
            <w:r>
              <w:rPr>
                <w:rFonts w:ascii="Arial" w:eastAsia="Times New Roman" w:hAnsi="Arial" w:cs="Arial" w:hint="cs"/>
                <w:color w:val="000000"/>
                <w:sz w:val="23"/>
                <w:szCs w:val="23"/>
                <w:rtl/>
              </w:rPr>
              <w:t>ןראיה</w:t>
            </w:r>
            <w:proofErr w:type="spellEnd"/>
            <w:r>
              <w:rPr>
                <w:rFonts w:ascii="Arial" w:eastAsia="Times New Roman" w:hAnsi="Arial" w:cs="Arial" w:hint="cs"/>
                <w:color w:val="000000"/>
                <w:sz w:val="23"/>
                <w:szCs w:val="23"/>
                <w:rtl/>
              </w:rPr>
              <w:t xml:space="preserve"> שגם מילה אחת נקראת ביטול בית מדרש שאצל ר"ג לא היו אומרים אסותא  </w:t>
            </w:r>
            <w:proofErr w:type="spellStart"/>
            <w:r w:rsidRPr="0023036E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ובה''א</w:t>
            </w:r>
            <w:proofErr w:type="spellEnd"/>
            <w:r w:rsidRPr="0023036E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 אחד מברך לכולן</w:t>
            </w:r>
            <w:r>
              <w:rPr>
                <w:rFonts w:hint="cs"/>
                <w:rtl/>
              </w:rPr>
              <w:t xml:space="preserve"> משום ברוב עם הדרת מלך. </w:t>
            </w:r>
          </w:p>
        </w:tc>
      </w:tr>
      <w:tr w:rsidR="00524BCA" w:rsidTr="00815C98">
        <w:tc>
          <w:tcPr>
            <w:tcW w:w="2504" w:type="dxa"/>
            <w:gridSpan w:val="3"/>
            <w:tcBorders>
              <w:left w:val="nil"/>
              <w:right w:val="nil"/>
            </w:tcBorders>
          </w:tcPr>
          <w:p w:rsidR="00524BCA" w:rsidRDefault="00524BCA" w:rsidP="00815C98">
            <w:pPr>
              <w:rPr>
                <w:rFonts w:hint="cs"/>
                <w:rtl/>
              </w:rPr>
            </w:pPr>
          </w:p>
        </w:tc>
        <w:tc>
          <w:tcPr>
            <w:tcW w:w="1704" w:type="dxa"/>
            <w:gridSpan w:val="2"/>
            <w:tcBorders>
              <w:left w:val="nil"/>
              <w:right w:val="nil"/>
            </w:tcBorders>
          </w:tcPr>
          <w:p w:rsidR="00524BCA" w:rsidRDefault="00524BCA" w:rsidP="00815C98">
            <w:pPr>
              <w:rPr>
                <w:rFonts w:hint="cs"/>
                <w:rtl/>
              </w:rPr>
            </w:pPr>
          </w:p>
        </w:tc>
        <w:tc>
          <w:tcPr>
            <w:tcW w:w="1704" w:type="dxa"/>
            <w:tcBorders>
              <w:left w:val="nil"/>
              <w:right w:val="nil"/>
            </w:tcBorders>
          </w:tcPr>
          <w:p w:rsidR="00524BCA" w:rsidRDefault="00524BCA" w:rsidP="00815C98">
            <w:pPr>
              <w:rPr>
                <w:rFonts w:hint="cs"/>
                <w:rtl/>
              </w:rPr>
            </w:pPr>
          </w:p>
        </w:tc>
        <w:tc>
          <w:tcPr>
            <w:tcW w:w="1705" w:type="dxa"/>
            <w:gridSpan w:val="2"/>
            <w:tcBorders>
              <w:left w:val="nil"/>
              <w:right w:val="nil"/>
            </w:tcBorders>
          </w:tcPr>
          <w:p w:rsidR="00524BCA" w:rsidRDefault="00524BCA" w:rsidP="00815C98">
            <w:pPr>
              <w:rPr>
                <w:rFonts w:hint="cs"/>
                <w:rtl/>
              </w:rPr>
            </w:pPr>
          </w:p>
        </w:tc>
        <w:tc>
          <w:tcPr>
            <w:tcW w:w="2448" w:type="dxa"/>
            <w:tcBorders>
              <w:left w:val="nil"/>
              <w:right w:val="nil"/>
            </w:tcBorders>
          </w:tcPr>
          <w:p w:rsidR="00524BCA" w:rsidRDefault="00524BCA" w:rsidP="00815C98">
            <w:pPr>
              <w:rPr>
                <w:rFonts w:hint="cs"/>
                <w:rtl/>
              </w:rPr>
            </w:pPr>
          </w:p>
        </w:tc>
      </w:tr>
      <w:tr w:rsidR="00C150C9" w:rsidTr="00815C98">
        <w:tc>
          <w:tcPr>
            <w:tcW w:w="10065" w:type="dxa"/>
            <w:gridSpan w:val="9"/>
          </w:tcPr>
          <w:p w:rsidR="00C150C9" w:rsidRDefault="00C150C9" w:rsidP="00815C98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רק על בושם שנועד לשם הרחה מברכים  ולכן </w:t>
            </w:r>
          </w:p>
        </w:tc>
      </w:tr>
      <w:tr w:rsidR="00C150C9" w:rsidTr="00815C98">
        <w:tc>
          <w:tcPr>
            <w:tcW w:w="2504" w:type="dxa"/>
            <w:gridSpan w:val="3"/>
          </w:tcPr>
          <w:p w:rsidR="00C150C9" w:rsidRDefault="00C150C9" w:rsidP="00815C98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בשמים של מת </w:t>
            </w:r>
          </w:p>
        </w:tc>
        <w:tc>
          <w:tcPr>
            <w:tcW w:w="7561" w:type="dxa"/>
            <w:gridSpan w:val="6"/>
          </w:tcPr>
          <w:p w:rsidR="00C150C9" w:rsidRDefault="00C150C9" w:rsidP="00815C98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לא מברכים כי נעשו לכבוד המת </w:t>
            </w:r>
          </w:p>
        </w:tc>
      </w:tr>
      <w:tr w:rsidR="00C150C9" w:rsidTr="00815C98">
        <w:tc>
          <w:tcPr>
            <w:tcW w:w="10065" w:type="dxa"/>
            <w:gridSpan w:val="9"/>
          </w:tcPr>
          <w:p w:rsidR="00C150C9" w:rsidRDefault="00C150C9" w:rsidP="00815C98">
            <w:pPr>
              <w:rPr>
                <w:rFonts w:hint="cs"/>
                <w:rtl/>
              </w:rPr>
            </w:pPr>
            <w:r w:rsidRPr="0023036E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אמר רב </w:t>
            </w:r>
            <w:proofErr w:type="spellStart"/>
            <w:r w:rsidRPr="0023036E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הונא</w:t>
            </w:r>
            <w:proofErr w:type="spellEnd"/>
            <w:r w:rsidRPr="0023036E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 בשמים של בית </w:t>
            </w:r>
            <w:proofErr w:type="spellStart"/>
            <w:r w:rsidRPr="0023036E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הכסא</w:t>
            </w:r>
            <w:proofErr w:type="spellEnd"/>
            <w:r w:rsidRPr="0023036E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 ושמן העשוי להעביר את </w:t>
            </w:r>
            <w:proofErr w:type="spellStart"/>
            <w:r w:rsidRPr="0023036E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הזוהמא</w:t>
            </w:r>
            <w:proofErr w:type="spellEnd"/>
            <w:r w:rsidRPr="0023036E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 אין </w:t>
            </w:r>
            <w:proofErr w:type="spellStart"/>
            <w:r w:rsidRPr="0023036E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מברכין</w:t>
            </w:r>
            <w:proofErr w:type="spellEnd"/>
            <w:r w:rsidRPr="0023036E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 עליו</w:t>
            </w:r>
          </w:p>
        </w:tc>
      </w:tr>
      <w:tr w:rsidR="00C150C9" w:rsidTr="00815C98">
        <w:tc>
          <w:tcPr>
            <w:tcW w:w="10065" w:type="dxa"/>
            <w:gridSpan w:val="9"/>
          </w:tcPr>
          <w:p w:rsidR="00C150C9" w:rsidRDefault="00C150C9" w:rsidP="00815C98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בחנות של בשם מברכים כיוון </w:t>
            </w:r>
            <w:proofErr w:type="spellStart"/>
            <w:r>
              <w:rPr>
                <w:rFonts w:hint="cs"/>
                <w:rtl/>
              </w:rPr>
              <w:t>שהבשם</w:t>
            </w:r>
            <w:proofErr w:type="spellEnd"/>
            <w:r>
              <w:rPr>
                <w:rFonts w:hint="cs"/>
                <w:rtl/>
              </w:rPr>
              <w:t xml:space="preserve"> שם אותם שם שיריחו ואולי יקנו.</w:t>
            </w:r>
          </w:p>
        </w:tc>
      </w:tr>
      <w:tr w:rsidR="00C150C9" w:rsidTr="00815C98">
        <w:tc>
          <w:tcPr>
            <w:tcW w:w="10065" w:type="dxa"/>
            <w:gridSpan w:val="9"/>
          </w:tcPr>
          <w:p w:rsidR="00C150C9" w:rsidRDefault="00C150C9" w:rsidP="00815C98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מהלך חוץ לכרך והרוב ישראל ת"ק מברך, לרבי יוסי לא יברך שיש מיעוט שמקטר לכשפים ועוד מיעוט שמגמר את הבגדים כך שהרוב לא נועד לריח .</w:t>
            </w:r>
          </w:p>
        </w:tc>
      </w:tr>
      <w:tr w:rsidR="00C150C9" w:rsidTr="00815C98">
        <w:tc>
          <w:tcPr>
            <w:tcW w:w="10065" w:type="dxa"/>
            <w:gridSpan w:val="9"/>
            <w:tcBorders>
              <w:bottom w:val="single" w:sz="4" w:space="0" w:color="auto"/>
            </w:tcBorders>
          </w:tcPr>
          <w:p w:rsidR="00C150C9" w:rsidRDefault="00C150C9" w:rsidP="00815C98">
            <w:pPr>
              <w:rPr>
                <w:rFonts w:hint="cs"/>
                <w:rtl/>
              </w:rPr>
            </w:pPr>
            <w:r w:rsidRPr="0023036E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ר' </w:t>
            </w:r>
            <w:proofErr w:type="spellStart"/>
            <w:r w:rsidRPr="0023036E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חייא</w:t>
            </w:r>
            <w:proofErr w:type="spellEnd"/>
            <w:r w:rsidRPr="0023036E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 בר אבא אמר רבי יוחנן המהלך בערבי שבתות </w:t>
            </w:r>
            <w:proofErr w:type="spellStart"/>
            <w:r w:rsidRPr="0023036E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בטבריא</w:t>
            </w:r>
            <w:proofErr w:type="spellEnd"/>
            <w:r w:rsidRPr="0023036E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 ובמוצאי שבתות </w:t>
            </w:r>
            <w:proofErr w:type="spellStart"/>
            <w:r w:rsidRPr="0023036E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בצפורי</w:t>
            </w:r>
            <w:proofErr w:type="spellEnd"/>
            <w:r w:rsidRPr="0023036E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 והריח ריח אינו מברך מפני שחזקתו אינו עשוי אלא לגמר בו את הכלים</w:t>
            </w:r>
          </w:p>
        </w:tc>
      </w:tr>
      <w:tr w:rsidR="00C150C9" w:rsidTr="00815C98">
        <w:tc>
          <w:tcPr>
            <w:tcW w:w="2504" w:type="dxa"/>
            <w:gridSpan w:val="3"/>
            <w:tcBorders>
              <w:left w:val="nil"/>
              <w:right w:val="nil"/>
            </w:tcBorders>
          </w:tcPr>
          <w:p w:rsidR="00C150C9" w:rsidRDefault="00C150C9" w:rsidP="00815C98">
            <w:pPr>
              <w:rPr>
                <w:rFonts w:hint="cs"/>
                <w:rtl/>
              </w:rPr>
            </w:pPr>
          </w:p>
        </w:tc>
        <w:tc>
          <w:tcPr>
            <w:tcW w:w="1704" w:type="dxa"/>
            <w:gridSpan w:val="2"/>
            <w:tcBorders>
              <w:left w:val="nil"/>
              <w:right w:val="nil"/>
            </w:tcBorders>
          </w:tcPr>
          <w:p w:rsidR="00C150C9" w:rsidRDefault="00C150C9" w:rsidP="00815C98">
            <w:pPr>
              <w:rPr>
                <w:rFonts w:hint="cs"/>
                <w:rtl/>
              </w:rPr>
            </w:pPr>
          </w:p>
        </w:tc>
        <w:tc>
          <w:tcPr>
            <w:tcW w:w="1704" w:type="dxa"/>
            <w:tcBorders>
              <w:left w:val="nil"/>
              <w:right w:val="nil"/>
            </w:tcBorders>
          </w:tcPr>
          <w:p w:rsidR="00C150C9" w:rsidRDefault="00C150C9" w:rsidP="00815C98">
            <w:pPr>
              <w:rPr>
                <w:rFonts w:hint="cs"/>
                <w:rtl/>
              </w:rPr>
            </w:pPr>
          </w:p>
        </w:tc>
        <w:tc>
          <w:tcPr>
            <w:tcW w:w="1705" w:type="dxa"/>
            <w:gridSpan w:val="2"/>
            <w:tcBorders>
              <w:left w:val="nil"/>
              <w:right w:val="nil"/>
            </w:tcBorders>
          </w:tcPr>
          <w:p w:rsidR="00C150C9" w:rsidRDefault="00C150C9" w:rsidP="00815C98">
            <w:pPr>
              <w:rPr>
                <w:rFonts w:hint="cs"/>
                <w:rtl/>
              </w:rPr>
            </w:pPr>
          </w:p>
        </w:tc>
        <w:tc>
          <w:tcPr>
            <w:tcW w:w="2448" w:type="dxa"/>
            <w:tcBorders>
              <w:left w:val="nil"/>
              <w:right w:val="nil"/>
            </w:tcBorders>
          </w:tcPr>
          <w:p w:rsidR="00C150C9" w:rsidRDefault="00C150C9" w:rsidP="00815C98">
            <w:pPr>
              <w:rPr>
                <w:rFonts w:hint="cs"/>
                <w:rtl/>
              </w:rPr>
            </w:pPr>
          </w:p>
        </w:tc>
      </w:tr>
      <w:tr w:rsidR="0090112B" w:rsidTr="00815C98">
        <w:tc>
          <w:tcPr>
            <w:tcW w:w="2126" w:type="dxa"/>
            <w:gridSpan w:val="2"/>
          </w:tcPr>
          <w:p w:rsidR="0090112B" w:rsidRDefault="0090112B" w:rsidP="00815C98">
            <w:pPr>
              <w:rPr>
                <w:rtl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ואין </w:t>
            </w:r>
            <w:proofErr w:type="spellStart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מברכין</w:t>
            </w:r>
            <w:proofErr w:type="spellEnd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על הנר עד </w:t>
            </w:r>
            <w:proofErr w:type="spellStart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שיאותו</w:t>
            </w:r>
            <w:proofErr w:type="spellEnd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:</w:t>
            </w:r>
          </w:p>
        </w:tc>
        <w:tc>
          <w:tcPr>
            <w:tcW w:w="5245" w:type="dxa"/>
            <w:gridSpan w:val="5"/>
          </w:tcPr>
          <w:p w:rsidR="0090112B" w:rsidRDefault="0090112B" w:rsidP="00815C98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רב יהודה בשם רב שהקרובים נהנים ממנו גם מרחוק יכול לברך. </w:t>
            </w:r>
            <w:r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 xml:space="preserve">ומה ששנינו שלא מברכים במקרה ש </w:t>
            </w: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ראה שלהבת ולא נשתמש לאורה</w:t>
            </w:r>
            <w:r>
              <w:rPr>
                <w:rFonts w:hint="cs"/>
                <w:rtl/>
              </w:rPr>
              <w:t xml:space="preserve">  מדובר באש עמומה שהולכת ונגמרת שגם הקרובים לא נהנים. והוא ברך בפועל על נר </w:t>
            </w:r>
            <w:proofErr w:type="spellStart"/>
            <w:r>
              <w:rPr>
                <w:rFonts w:hint="cs"/>
                <w:rtl/>
              </w:rPr>
              <w:t>אדא</w:t>
            </w:r>
            <w:proofErr w:type="spellEnd"/>
            <w:r>
              <w:rPr>
                <w:rFonts w:hint="cs"/>
                <w:rtl/>
              </w:rPr>
              <w:t xml:space="preserve"> השמש שהיה גר רחוק </w:t>
            </w:r>
          </w:p>
        </w:tc>
        <w:tc>
          <w:tcPr>
            <w:tcW w:w="2694" w:type="dxa"/>
            <w:gridSpan w:val="2"/>
          </w:tcPr>
          <w:p w:rsidR="0090112B" w:rsidRDefault="0090112B" w:rsidP="00815C98">
            <w:pPr>
              <w:rPr>
                <w:rFonts w:hint="cs"/>
                <w:rtl/>
              </w:rPr>
            </w:pPr>
            <w:proofErr w:type="spellStart"/>
            <w:r>
              <w:rPr>
                <w:rFonts w:hint="cs"/>
                <w:rtl/>
              </w:rPr>
              <w:t>ולרבא</w:t>
            </w:r>
            <w:proofErr w:type="spellEnd"/>
            <w:r>
              <w:rPr>
                <w:rFonts w:hint="cs"/>
                <w:rtl/>
              </w:rPr>
              <w:t xml:space="preserve"> צריך </w:t>
            </w:r>
            <w:proofErr w:type="spellStart"/>
            <w:r>
              <w:rPr>
                <w:rFonts w:hint="cs"/>
                <w:rtl/>
              </w:rPr>
              <w:t>שיאותו</w:t>
            </w:r>
            <w:proofErr w:type="spellEnd"/>
            <w:r>
              <w:rPr>
                <w:rFonts w:hint="cs"/>
                <w:rtl/>
              </w:rPr>
              <w:t xml:space="preserve"> ממש ויוכל להבדיל בין מטבעות</w:t>
            </w:r>
            <w:r>
              <w:rPr>
                <w:rFonts w:hint="cs"/>
                <w:rtl/>
              </w:rPr>
              <w:t xml:space="preserve"> והיה מברך על נר של אדם שגר קרוב אליו. </w:t>
            </w:r>
          </w:p>
        </w:tc>
      </w:tr>
      <w:tr w:rsidR="00E91AAC" w:rsidTr="00815C98">
        <w:tc>
          <w:tcPr>
            <w:tcW w:w="10065" w:type="dxa"/>
            <w:gridSpan w:val="9"/>
          </w:tcPr>
          <w:p w:rsidR="00E91AAC" w:rsidRDefault="00E91AAC" w:rsidP="00815C98">
            <w:pPr>
              <w:rPr>
                <w:rFonts w:hint="cs"/>
                <w:rtl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אמר רב יהודה אמר רב אין מחזרין על האור כדרך שמחזרים על </w:t>
            </w:r>
            <w:proofErr w:type="spellStart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המצות</w:t>
            </w:r>
            <w:r>
              <w:rPr>
                <w:rFonts w:hint="cs"/>
                <w:rtl/>
              </w:rPr>
              <w:t>,ומששמע</w:t>
            </w:r>
            <w:proofErr w:type="spellEnd"/>
            <w:r>
              <w:rPr>
                <w:rFonts w:hint="cs"/>
                <w:rtl/>
              </w:rPr>
              <w:t xml:space="preserve"> זאת רבי </w:t>
            </w:r>
            <w:proofErr w:type="spellStart"/>
            <w:r>
              <w:rPr>
                <w:rFonts w:hint="cs"/>
                <w:rtl/>
              </w:rPr>
              <w:t>יזירא</w:t>
            </w:r>
            <w:proofErr w:type="spellEnd"/>
            <w:r>
              <w:rPr>
                <w:rFonts w:hint="cs"/>
                <w:rtl/>
              </w:rPr>
              <w:t xml:space="preserve"> נהג כך </w:t>
            </w:r>
          </w:p>
        </w:tc>
      </w:tr>
      <w:tr w:rsidR="00E91AAC" w:rsidTr="00815C98">
        <w:tc>
          <w:tcPr>
            <w:tcW w:w="2504" w:type="dxa"/>
            <w:gridSpan w:val="3"/>
          </w:tcPr>
          <w:p w:rsidR="00E91AAC" w:rsidRDefault="00E91AAC" w:rsidP="00815C98">
            <w:pPr>
              <w:rPr>
                <w:rtl/>
              </w:rPr>
            </w:pPr>
          </w:p>
        </w:tc>
        <w:tc>
          <w:tcPr>
            <w:tcW w:w="3408" w:type="dxa"/>
            <w:gridSpan w:val="3"/>
          </w:tcPr>
          <w:p w:rsidR="00E91AAC" w:rsidRDefault="00E91AAC" w:rsidP="00815C98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בית שמאי </w:t>
            </w:r>
          </w:p>
        </w:tc>
        <w:tc>
          <w:tcPr>
            <w:tcW w:w="4153" w:type="dxa"/>
            <w:gridSpan w:val="3"/>
          </w:tcPr>
          <w:p w:rsidR="00E91AAC" w:rsidRDefault="00E91AAC" w:rsidP="00815C98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בית הלל</w:t>
            </w:r>
          </w:p>
        </w:tc>
      </w:tr>
      <w:tr w:rsidR="00E91AAC" w:rsidTr="00815C98">
        <w:tc>
          <w:tcPr>
            <w:tcW w:w="2504" w:type="dxa"/>
            <w:gridSpan w:val="3"/>
          </w:tcPr>
          <w:p w:rsidR="00E91AAC" w:rsidRDefault="00E91AAC" w:rsidP="00815C98">
            <w:pPr>
              <w:rPr>
                <w:rtl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מי שאכל ושכח ולא בירך</w:t>
            </w:r>
            <w:r>
              <w:rPr>
                <w:rFonts w:hint="cs"/>
                <w:rtl/>
              </w:rPr>
              <w:t xml:space="preserve"> (במזיד </w:t>
            </w:r>
            <w:proofErr w:type="spellStart"/>
            <w:r>
              <w:rPr>
                <w:rFonts w:hint="cs"/>
                <w:rtl/>
              </w:rPr>
              <w:t>לכו"ע</w:t>
            </w:r>
            <w:proofErr w:type="spellEnd"/>
            <w:r>
              <w:rPr>
                <w:rFonts w:hint="cs"/>
                <w:rtl/>
              </w:rPr>
              <w:t xml:space="preserve"> חוזר)</w:t>
            </w:r>
          </w:p>
        </w:tc>
        <w:tc>
          <w:tcPr>
            <w:tcW w:w="3408" w:type="dxa"/>
            <w:gridSpan w:val="3"/>
          </w:tcPr>
          <w:p w:rsidR="00E91AAC" w:rsidRDefault="00E91AAC" w:rsidP="00815C98">
            <w:pPr>
              <w:rPr>
                <w:rtl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יחזור למקומו ויברך</w:t>
            </w:r>
            <w:r>
              <w:rPr>
                <w:rFonts w:hint="cs"/>
                <w:rtl/>
              </w:rPr>
              <w:t xml:space="preserve"> שאם על ארנק היה חוזר כל שכן על כבוד שמיים </w:t>
            </w:r>
          </w:p>
        </w:tc>
        <w:tc>
          <w:tcPr>
            <w:tcW w:w="4153" w:type="dxa"/>
            <w:gridSpan w:val="3"/>
          </w:tcPr>
          <w:p w:rsidR="00E91AAC" w:rsidRDefault="00E91AAC" w:rsidP="00815C98">
            <w:pPr>
              <w:rPr>
                <w:rFonts w:hint="cs"/>
                <w:rtl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יברך במקום שנזכר</w:t>
            </w:r>
          </w:p>
        </w:tc>
      </w:tr>
      <w:tr w:rsidR="00E91AAC" w:rsidTr="00815C98">
        <w:tc>
          <w:tcPr>
            <w:tcW w:w="2504" w:type="dxa"/>
            <w:gridSpan w:val="3"/>
          </w:tcPr>
          <w:p w:rsidR="00E91AAC" w:rsidRDefault="00E91AAC" w:rsidP="00815C98">
            <w:pPr>
              <w:rPr>
                <w:rFonts w:hint="cs"/>
                <w:rtl/>
              </w:rPr>
            </w:pPr>
          </w:p>
        </w:tc>
        <w:tc>
          <w:tcPr>
            <w:tcW w:w="3408" w:type="dxa"/>
            <w:gridSpan w:val="3"/>
          </w:tcPr>
          <w:p w:rsidR="00E91AAC" w:rsidRDefault="00E91AAC" w:rsidP="00815C98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אחד עשה כמוהם וחזר ומצא ארנק זהב  , </w:t>
            </w:r>
            <w:proofErr w:type="spellStart"/>
            <w:r>
              <w:rPr>
                <w:rFonts w:hint="cs"/>
                <w:rtl/>
              </w:rPr>
              <w:t>רבב"ח</w:t>
            </w:r>
            <w:proofErr w:type="spellEnd"/>
            <w:r>
              <w:rPr>
                <w:rFonts w:hint="cs"/>
                <w:rtl/>
              </w:rPr>
              <w:t xml:space="preserve"> הלך </w:t>
            </w:r>
            <w:proofErr w:type="spellStart"/>
            <w:r>
              <w:rPr>
                <w:rFonts w:hint="cs"/>
                <w:rtl/>
              </w:rPr>
              <w:t>השיירא</w:t>
            </w:r>
            <w:proofErr w:type="spellEnd"/>
            <w:r>
              <w:rPr>
                <w:rFonts w:hint="cs"/>
                <w:rtl/>
              </w:rPr>
              <w:t xml:space="preserve"> והמציא ששכח יונה ומצא יונה. </w:t>
            </w:r>
          </w:p>
        </w:tc>
        <w:tc>
          <w:tcPr>
            <w:tcW w:w="4153" w:type="dxa"/>
            <w:gridSpan w:val="3"/>
          </w:tcPr>
          <w:p w:rsidR="00E91AAC" w:rsidRDefault="00E91AAC" w:rsidP="00815C98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אחד עשה במזיד </w:t>
            </w:r>
            <w:proofErr w:type="spellStart"/>
            <w:r>
              <w:rPr>
                <w:rFonts w:hint="cs"/>
                <w:rtl/>
              </w:rPr>
              <w:t>כב"ה</w:t>
            </w:r>
            <w:proofErr w:type="spellEnd"/>
            <w:r>
              <w:rPr>
                <w:rFonts w:hint="cs"/>
                <w:rtl/>
              </w:rPr>
              <w:t xml:space="preserve"> ואכלו אריה </w:t>
            </w:r>
          </w:p>
        </w:tc>
      </w:tr>
      <w:tr w:rsidR="00E91AAC" w:rsidTr="00815C98">
        <w:tc>
          <w:tcPr>
            <w:tcW w:w="2504" w:type="dxa"/>
            <w:gridSpan w:val="3"/>
          </w:tcPr>
          <w:p w:rsidR="00E91AAC" w:rsidRDefault="00E91AAC" w:rsidP="00815C98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מברך עד שיעור עיכול </w:t>
            </w:r>
          </w:p>
        </w:tc>
        <w:tc>
          <w:tcPr>
            <w:tcW w:w="7561" w:type="dxa"/>
            <w:gridSpan w:val="6"/>
          </w:tcPr>
          <w:p w:rsidR="00E91AAC" w:rsidRDefault="00E91AAC" w:rsidP="00815C98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לרבי יוחנן כל זמן שאינו רעב ולריש לקיש באכילה </w:t>
            </w:r>
            <w:proofErr w:type="spellStart"/>
            <w:r>
              <w:rPr>
                <w:rFonts w:hint="cs"/>
                <w:rtl/>
              </w:rPr>
              <w:t>מועטת</w:t>
            </w:r>
            <w:proofErr w:type="spellEnd"/>
            <w:r>
              <w:rPr>
                <w:rFonts w:hint="cs"/>
                <w:rtl/>
              </w:rPr>
              <w:t xml:space="preserve">  כל זמן שצמא מחמת אכילתו ובאכילה מרובה , ארבע </w:t>
            </w:r>
            <w:proofErr w:type="spellStart"/>
            <w:r>
              <w:rPr>
                <w:rFonts w:hint="cs"/>
                <w:rtl/>
              </w:rPr>
              <w:t>מילין</w:t>
            </w:r>
            <w:proofErr w:type="spellEnd"/>
            <w:r>
              <w:rPr>
                <w:rFonts w:hint="cs"/>
                <w:rtl/>
              </w:rPr>
              <w:t xml:space="preserve">. </w:t>
            </w:r>
          </w:p>
        </w:tc>
      </w:tr>
      <w:tr w:rsidR="00815C98" w:rsidTr="00815C98">
        <w:tc>
          <w:tcPr>
            <w:tcW w:w="2504" w:type="dxa"/>
            <w:gridSpan w:val="3"/>
          </w:tcPr>
          <w:p w:rsidR="00815C98" w:rsidRDefault="00815C98" w:rsidP="00815C98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מי עדיף המברך או העונה </w:t>
            </w:r>
          </w:p>
        </w:tc>
        <w:tc>
          <w:tcPr>
            <w:tcW w:w="7561" w:type="dxa"/>
            <w:gridSpan w:val="6"/>
          </w:tcPr>
          <w:p w:rsidR="00815C98" w:rsidRDefault="00815C98" w:rsidP="00815C98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מחלוקת תנאים וחלק מהתנאים אמרו לבניהם חטוף </w:t>
            </w:r>
            <w:proofErr w:type="spellStart"/>
            <w:r>
              <w:rPr>
                <w:rFonts w:hint="cs"/>
                <w:rtl/>
              </w:rPr>
              <w:t>ובריך</w:t>
            </w:r>
            <w:proofErr w:type="spellEnd"/>
            <w:r>
              <w:rPr>
                <w:rFonts w:hint="cs"/>
                <w:rtl/>
              </w:rPr>
              <w:t>.</w:t>
            </w:r>
          </w:p>
        </w:tc>
      </w:tr>
    </w:tbl>
    <w:p w:rsidR="00815C98" w:rsidRPr="0032495E" w:rsidRDefault="00815C98" w:rsidP="00815C98">
      <w:pPr>
        <w:rPr>
          <w:rFonts w:ascii="Arial" w:hAnsi="Arial" w:cs="Arial"/>
          <w:color w:val="000000"/>
          <w:sz w:val="21"/>
          <w:szCs w:val="21"/>
          <w:rtl/>
        </w:rPr>
      </w:pPr>
      <w:r w:rsidRPr="0032495E">
        <w:rPr>
          <w:rFonts w:ascii="Times New Roman" w:eastAsia="Times New Roman" w:hAnsi="Times New Roman" w:cs="David" w:hint="cs"/>
          <w:sz w:val="42"/>
          <w:szCs w:val="42"/>
          <w:highlight w:val="magenta"/>
          <w:rtl/>
        </w:rPr>
        <w:t>טבלאות עזר של</w:t>
      </w:r>
      <w:r>
        <w:rPr>
          <w:rFonts w:ascii="Times New Roman" w:eastAsia="Times New Roman" w:hAnsi="Times New Roman" w:cs="David" w:hint="cs"/>
          <w:sz w:val="42"/>
          <w:szCs w:val="42"/>
          <w:highlight w:val="magenta"/>
          <w:rtl/>
        </w:rPr>
        <w:t xml:space="preserve"> מסקנות הגמרא ללימוד ברכות </w:t>
      </w:r>
      <w:bookmarkStart w:id="0" w:name="_GoBack"/>
      <w:bookmarkEnd w:id="0"/>
      <w:r w:rsidRPr="00815C98">
        <w:rPr>
          <w:rFonts w:ascii="Times New Roman" w:eastAsia="Times New Roman" w:hAnsi="Times New Roman" w:cs="David" w:hint="cs"/>
          <w:sz w:val="42"/>
          <w:szCs w:val="42"/>
          <w:highlight w:val="magenta"/>
          <w:rtl/>
        </w:rPr>
        <w:t xml:space="preserve">דף </w:t>
      </w:r>
      <w:proofErr w:type="spellStart"/>
      <w:r w:rsidRPr="00815C98">
        <w:rPr>
          <w:rFonts w:ascii="Times New Roman" w:eastAsia="Times New Roman" w:hAnsi="Times New Roman" w:cs="David" w:hint="cs"/>
          <w:sz w:val="42"/>
          <w:szCs w:val="42"/>
          <w:highlight w:val="magenta"/>
          <w:rtl/>
        </w:rPr>
        <w:t>נ</w:t>
      </w:r>
      <w:r w:rsidRPr="00815C98">
        <w:rPr>
          <w:rFonts w:ascii="Times New Roman" w:eastAsia="Times New Roman" w:hAnsi="Times New Roman" w:cs="David" w:hint="cs"/>
          <w:sz w:val="42"/>
          <w:szCs w:val="42"/>
          <w:highlight w:val="magenta"/>
          <w:rtl/>
        </w:rPr>
        <w:t>ג</w:t>
      </w:r>
      <w:proofErr w:type="spellEnd"/>
    </w:p>
    <w:p w:rsidR="00A5767F" w:rsidRPr="00A5767F" w:rsidRDefault="00A5767F" w:rsidP="00A5767F"/>
    <w:sectPr w:rsidR="00A5767F" w:rsidRPr="00A5767F" w:rsidSect="00C615B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67F"/>
    <w:rsid w:val="00172729"/>
    <w:rsid w:val="00210572"/>
    <w:rsid w:val="0023036E"/>
    <w:rsid w:val="00250B96"/>
    <w:rsid w:val="004824F8"/>
    <w:rsid w:val="00524BCA"/>
    <w:rsid w:val="006A3FE9"/>
    <w:rsid w:val="00815C98"/>
    <w:rsid w:val="008346CE"/>
    <w:rsid w:val="0090112B"/>
    <w:rsid w:val="00A5767F"/>
    <w:rsid w:val="00AF698A"/>
    <w:rsid w:val="00C150C9"/>
    <w:rsid w:val="00C615BF"/>
    <w:rsid w:val="00CB5EE6"/>
    <w:rsid w:val="00D701F5"/>
    <w:rsid w:val="00E53E75"/>
    <w:rsid w:val="00E91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76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a"/>
    <w:uiPriority w:val="99"/>
    <w:semiHidden/>
    <w:unhideWhenUsed/>
    <w:rsid w:val="006A3FE9"/>
    <w:pPr>
      <w:bidi w:val="0"/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76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a"/>
    <w:uiPriority w:val="99"/>
    <w:semiHidden/>
    <w:unhideWhenUsed/>
    <w:rsid w:val="006A3FE9"/>
    <w:pPr>
      <w:bidi w:val="0"/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44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881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7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53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957699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654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8" w:color="B6A258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903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178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8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10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716037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481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8" w:color="B6A258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140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756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463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47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00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215283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557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8" w:color="B6A258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919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261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5558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5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98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221665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90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8" w:color="B6A258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214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2911</TotalTime>
  <Pages>1</Pages>
  <Words>496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2012-09-20T22:40:00Z</dcterms:created>
  <dcterms:modified xsi:type="dcterms:W3CDTF">2012-09-22T23:29:00Z</dcterms:modified>
</cp:coreProperties>
</file>