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621"/>
        <w:bidiVisual/>
        <w:tblW w:w="9464" w:type="dxa"/>
        <w:tblLook w:val="04A0" w:firstRow="1" w:lastRow="0" w:firstColumn="1" w:lastColumn="0" w:noHBand="0" w:noVBand="1"/>
      </w:tblPr>
      <w:tblGrid>
        <w:gridCol w:w="2646"/>
        <w:gridCol w:w="1704"/>
        <w:gridCol w:w="1704"/>
        <w:gridCol w:w="1705"/>
        <w:gridCol w:w="1705"/>
      </w:tblGrid>
      <w:tr w:rsidR="0096747A" w:rsidTr="0049587D">
        <w:tc>
          <w:tcPr>
            <w:tcW w:w="2646" w:type="dxa"/>
            <w:tcBorders>
              <w:top w:val="nil"/>
              <w:left w:val="nil"/>
              <w:right w:val="nil"/>
            </w:tcBorders>
          </w:tcPr>
          <w:p w:rsidR="0096747A" w:rsidRDefault="0096747A" w:rsidP="0049587D">
            <w:pPr>
              <w:rPr>
                <w:rFonts w:hint="cs"/>
                <w:rtl/>
              </w:rPr>
            </w:pPr>
          </w:p>
        </w:tc>
        <w:tc>
          <w:tcPr>
            <w:tcW w:w="1704" w:type="dxa"/>
            <w:tcBorders>
              <w:top w:val="nil"/>
              <w:left w:val="nil"/>
              <w:right w:val="nil"/>
            </w:tcBorders>
          </w:tcPr>
          <w:p w:rsidR="0096747A" w:rsidRDefault="0096747A" w:rsidP="0049587D">
            <w:pPr>
              <w:rPr>
                <w:rtl/>
              </w:rPr>
            </w:pPr>
          </w:p>
        </w:tc>
        <w:tc>
          <w:tcPr>
            <w:tcW w:w="1704" w:type="dxa"/>
            <w:tcBorders>
              <w:top w:val="nil"/>
              <w:left w:val="nil"/>
              <w:right w:val="nil"/>
            </w:tcBorders>
          </w:tcPr>
          <w:p w:rsidR="0096747A" w:rsidRDefault="0096747A" w:rsidP="0049587D">
            <w:pPr>
              <w:rPr>
                <w:rtl/>
              </w:rPr>
            </w:pPr>
          </w:p>
        </w:tc>
        <w:tc>
          <w:tcPr>
            <w:tcW w:w="1705" w:type="dxa"/>
            <w:tcBorders>
              <w:top w:val="nil"/>
              <w:left w:val="nil"/>
              <w:right w:val="nil"/>
            </w:tcBorders>
          </w:tcPr>
          <w:p w:rsidR="0096747A" w:rsidRDefault="0096747A" w:rsidP="0049587D">
            <w:pPr>
              <w:rPr>
                <w:rtl/>
              </w:rPr>
            </w:pPr>
          </w:p>
        </w:tc>
        <w:tc>
          <w:tcPr>
            <w:tcW w:w="1705" w:type="dxa"/>
            <w:tcBorders>
              <w:top w:val="nil"/>
              <w:left w:val="nil"/>
              <w:right w:val="nil"/>
            </w:tcBorders>
          </w:tcPr>
          <w:p w:rsidR="0096747A" w:rsidRDefault="0096747A" w:rsidP="0049587D">
            <w:pPr>
              <w:rPr>
                <w:rtl/>
              </w:rPr>
            </w:pPr>
          </w:p>
        </w:tc>
      </w:tr>
      <w:tr w:rsidR="0096747A" w:rsidTr="0049587D">
        <w:tc>
          <w:tcPr>
            <w:tcW w:w="9464" w:type="dxa"/>
            <w:gridSpan w:val="5"/>
          </w:tcPr>
          <w:p w:rsidR="0096747A" w:rsidRDefault="0096747A" w:rsidP="0049587D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לא יאכל הזב עם הזבה מפני הרגל עבירה</w:t>
            </w:r>
          </w:p>
        </w:tc>
      </w:tr>
      <w:tr w:rsidR="0096747A" w:rsidTr="0049587D">
        <w:tc>
          <w:tcPr>
            <w:tcW w:w="9464" w:type="dxa"/>
            <w:gridSpan w:val="5"/>
          </w:tcPr>
          <w:p w:rsidR="0096747A" w:rsidRDefault="0096747A" w:rsidP="0049587D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לא יאכל זב פרוש עם זב עם הארץ שמא ירגילנו אצלו</w:t>
            </w:r>
          </w:p>
        </w:tc>
      </w:tr>
      <w:tr w:rsidR="0096747A" w:rsidTr="0049587D">
        <w:tc>
          <w:tcPr>
            <w:tcW w:w="4350" w:type="dxa"/>
            <w:gridSpan w:val="2"/>
            <w:tcBorders>
              <w:bottom w:val="single" w:sz="4" w:space="0" w:color="auto"/>
            </w:tcBorders>
          </w:tcPr>
          <w:p w:rsidR="0096747A" w:rsidRDefault="0096747A" w:rsidP="0049587D">
            <w:pPr>
              <w:rPr>
                <w:rtl/>
              </w:rPr>
            </w:pP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אביי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גזירה שמא יאכילנו דברים שאינן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מתוקנין</w:t>
            </w:r>
            <w:proofErr w:type="spellEnd"/>
          </w:p>
        </w:tc>
        <w:tc>
          <w:tcPr>
            <w:tcW w:w="5114" w:type="dxa"/>
            <w:gridSpan w:val="3"/>
            <w:tcBorders>
              <w:bottom w:val="single" w:sz="4" w:space="0" w:color="auto"/>
            </w:tcBorders>
          </w:tcPr>
          <w:p w:rsidR="0096747A" w:rsidRDefault="0096747A" w:rsidP="0049587D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ורבא אמר רוב עמי הארץ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מעשרין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הן אלא שמא יהא רגיל אצלו ויאכילנו דברים טמאין בימי טהרתו</w:t>
            </w:r>
          </w:p>
        </w:tc>
      </w:tr>
      <w:tr w:rsidR="0096747A" w:rsidTr="0049587D">
        <w:tc>
          <w:tcPr>
            <w:tcW w:w="2646" w:type="dxa"/>
            <w:tcBorders>
              <w:left w:val="nil"/>
              <w:right w:val="nil"/>
            </w:tcBorders>
          </w:tcPr>
          <w:p w:rsidR="0096747A" w:rsidRDefault="0096747A" w:rsidP="0049587D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96747A" w:rsidRDefault="0096747A" w:rsidP="0049587D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96747A" w:rsidRDefault="0096747A" w:rsidP="0049587D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96747A" w:rsidRDefault="0096747A" w:rsidP="0049587D">
            <w:pPr>
              <w:rPr>
                <w:rFonts w:hint="cs"/>
                <w:rtl/>
              </w:rPr>
            </w:pPr>
          </w:p>
          <w:p w:rsidR="0049587D" w:rsidRDefault="0049587D" w:rsidP="0049587D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96747A" w:rsidRDefault="0096747A" w:rsidP="0049587D">
            <w:pPr>
              <w:rPr>
                <w:rtl/>
              </w:rPr>
            </w:pPr>
          </w:p>
        </w:tc>
      </w:tr>
      <w:tr w:rsidR="0096747A" w:rsidTr="0049587D">
        <w:tc>
          <w:tcPr>
            <w:tcW w:w="9464" w:type="dxa"/>
            <w:gridSpan w:val="5"/>
          </w:tcPr>
          <w:p w:rsidR="0096747A" w:rsidRDefault="0096747A" w:rsidP="0049587D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נדה מהו שתישן עם בעלה היא בבגדה והוא בבגדו</w:t>
            </w:r>
          </w:p>
        </w:tc>
      </w:tr>
      <w:tr w:rsidR="0096747A" w:rsidTr="0049587D">
        <w:tc>
          <w:tcPr>
            <w:tcW w:w="9464" w:type="dxa"/>
            <w:gridSpan w:val="5"/>
          </w:tcPr>
          <w:p w:rsidR="0096747A" w:rsidRDefault="0096747A" w:rsidP="0049587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אי אפשר לדמות זאת לסוגיית אכילת עוף עם גבינה על שולחן אחד,  כיוון שאצל בעל ואשה יש שינוי שהם ישנים </w:t>
            </w:r>
            <w:proofErr w:type="spellStart"/>
            <w:r>
              <w:rPr>
                <w:rFonts w:hint="cs"/>
                <w:rtl/>
              </w:rPr>
              <w:t>בגדיהם,מה</w:t>
            </w:r>
            <w:proofErr w:type="spellEnd"/>
            <w:r>
              <w:rPr>
                <w:rFonts w:hint="cs"/>
                <w:rtl/>
              </w:rPr>
              <w:t xml:space="preserve"> שאין כן במקרה של עוף וגבינה על שולחן אחד. ולכן לומדים זאת מפסוק</w:t>
            </w:r>
          </w:p>
        </w:tc>
      </w:tr>
      <w:tr w:rsidR="0096747A" w:rsidTr="0049587D">
        <w:tc>
          <w:tcPr>
            <w:tcW w:w="9464" w:type="dxa"/>
            <w:gridSpan w:val="5"/>
          </w:tcPr>
          <w:p w:rsidR="0096747A" w:rsidRDefault="0096747A" w:rsidP="0049587D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אל ההרים לא אכל ועיניו לא נשא אל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גלולי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בית ישראל ואת אשת רעהו לא טמא ואל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אשה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נדה לא יקרב מקיש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אשה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נדה לאשת רעהו מה אשת רעהו הוא בבגדו והיא בבגדה אסור אף אשתו נדה הוא בבגדו והיא בבגדה אסור</w:t>
            </w:r>
            <w:r>
              <w:rPr>
                <w:rFonts w:hint="cs"/>
                <w:rtl/>
              </w:rPr>
              <w:t xml:space="preserve">. </w:t>
            </w:r>
          </w:p>
        </w:tc>
      </w:tr>
      <w:tr w:rsidR="0096747A" w:rsidTr="0049587D">
        <w:tc>
          <w:tcPr>
            <w:tcW w:w="9464" w:type="dxa"/>
            <w:gridSpan w:val="5"/>
          </w:tcPr>
          <w:p w:rsidR="0096747A" w:rsidRDefault="0096747A" w:rsidP="0049587D">
            <w:pPr>
              <w:rPr>
                <w:rtl/>
              </w:rPr>
            </w:pPr>
            <w:r>
              <w:rPr>
                <w:rFonts w:hint="cs"/>
                <w:rtl/>
              </w:rPr>
              <w:t>וראיה לדבר הסיפור עם אליהו הנביא שאמר לאשה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 על בעלה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ששנה הרבה וקרא הרבה ושימש תלמידי חכמים הרבה ומת בחצי ימיו</w:t>
            </w:r>
            <w:r>
              <w:rPr>
                <w:rFonts w:hint="cs"/>
                <w:rtl/>
              </w:rPr>
              <w:t xml:space="preserve">, ברוך המקום שהרגו מפני שישן </w:t>
            </w:r>
            <w:proofErr w:type="spellStart"/>
            <w:r>
              <w:rPr>
                <w:rFonts w:hint="cs"/>
                <w:rtl/>
              </w:rPr>
              <w:t>עימה</w:t>
            </w:r>
            <w:proofErr w:type="spellEnd"/>
            <w:r>
              <w:rPr>
                <w:rFonts w:hint="cs"/>
                <w:rtl/>
              </w:rPr>
              <w:t xml:space="preserve"> באותה מיטה (או לא נוגעים או נוגעים עם הפרד של סינר) בימי שבעת הנקיים.</w:t>
            </w:r>
          </w:p>
        </w:tc>
      </w:tr>
      <w:tr w:rsidR="0096747A" w:rsidTr="0049587D">
        <w:tc>
          <w:tcPr>
            <w:tcW w:w="9464" w:type="dxa"/>
            <w:gridSpan w:val="5"/>
            <w:tcBorders>
              <w:bottom w:val="single" w:sz="4" w:space="0" w:color="auto"/>
            </w:tcBorders>
          </w:tcPr>
          <w:p w:rsidR="0096747A" w:rsidRDefault="0096747A" w:rsidP="0049587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ולדעת רבי אלעזר בן </w:t>
            </w:r>
            <w:proofErr w:type="spellStart"/>
            <w:r>
              <w:rPr>
                <w:rFonts w:hint="cs"/>
                <w:rtl/>
              </w:rPr>
              <w:t>פדת</w:t>
            </w:r>
            <w:proofErr w:type="spellEnd"/>
            <w:r>
              <w:rPr>
                <w:rFonts w:hint="cs"/>
                <w:rtl/>
              </w:rPr>
              <w:t xml:space="preserve"> הדבר מותר שרק גלוי ערווה נאסר. </w:t>
            </w:r>
          </w:p>
        </w:tc>
      </w:tr>
      <w:tr w:rsidR="0096747A" w:rsidTr="0049587D">
        <w:tc>
          <w:tcPr>
            <w:tcW w:w="2646" w:type="dxa"/>
            <w:tcBorders>
              <w:left w:val="nil"/>
              <w:right w:val="nil"/>
            </w:tcBorders>
          </w:tcPr>
          <w:p w:rsidR="0096747A" w:rsidRDefault="0096747A" w:rsidP="0049587D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96747A" w:rsidRDefault="0096747A" w:rsidP="0049587D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96747A" w:rsidRDefault="0096747A" w:rsidP="0049587D">
            <w:pPr>
              <w:rPr>
                <w:rFonts w:hint="cs"/>
                <w:rtl/>
              </w:rPr>
            </w:pPr>
          </w:p>
          <w:p w:rsidR="0049587D" w:rsidRDefault="0049587D" w:rsidP="0049587D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96747A" w:rsidRDefault="0096747A" w:rsidP="0049587D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96747A" w:rsidRDefault="0096747A" w:rsidP="0049587D">
            <w:pPr>
              <w:rPr>
                <w:rtl/>
              </w:rPr>
            </w:pPr>
          </w:p>
        </w:tc>
      </w:tr>
      <w:tr w:rsidR="0096747A" w:rsidTr="0049587D">
        <w:tc>
          <w:tcPr>
            <w:tcW w:w="9464" w:type="dxa"/>
            <w:gridSpan w:val="5"/>
          </w:tcPr>
          <w:p w:rsidR="0096747A" w:rsidRDefault="0096747A" w:rsidP="0049587D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אין פולין לאור הנר ואין קורין לאור הנר</w:t>
            </w:r>
            <w:r w:rsidR="00DF7D99">
              <w:rPr>
                <w:rFonts w:hint="cs"/>
                <w:rtl/>
              </w:rPr>
              <w:t xml:space="preserve"> הם חלק מ 18 ה</w:t>
            </w:r>
            <w:r>
              <w:rPr>
                <w:rFonts w:hint="cs"/>
                <w:rtl/>
              </w:rPr>
              <w:t xml:space="preserve">לכות ששנו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בעליית חנניה בן חזקיה בן גרון </w:t>
            </w:r>
            <w:r w:rsidR="00DF7D99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שעלו לבקרו</w:t>
            </w:r>
            <w:r>
              <w:rPr>
                <w:rFonts w:hint="cs"/>
                <w:rtl/>
              </w:rPr>
              <w:t>,</w:t>
            </w:r>
            <w:r w:rsidR="00DF7D99">
              <w:rPr>
                <w:rFonts w:hint="cs"/>
                <w:rtl/>
              </w:rPr>
              <w:t xml:space="preserve"> וגורסים במשנה ואלו.</w:t>
            </w:r>
          </w:p>
        </w:tc>
      </w:tr>
      <w:tr w:rsidR="00DF7D99" w:rsidTr="0049587D">
        <w:tc>
          <w:tcPr>
            <w:tcW w:w="9464" w:type="dxa"/>
            <w:gridSpan w:val="5"/>
            <w:tcBorders>
              <w:bottom w:val="single" w:sz="4" w:space="0" w:color="auto"/>
            </w:tcBorders>
          </w:tcPr>
          <w:p w:rsidR="00DF7D99" w:rsidRDefault="00DF7D99" w:rsidP="0049587D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חנניה בן חזקיה וסיעתו</w:t>
            </w:r>
            <w:r>
              <w:rPr>
                <w:rFonts w:hint="cs"/>
                <w:rtl/>
              </w:rPr>
              <w:t xml:space="preserve"> כתב את מגילת תענית ו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אלמלא הוא נגנז ספר יחזקאל שהיו דבריו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סותרין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דברי תורה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העלו לו ג' מאות גרבי שמן וישב בעלייה ודרשן:</w:t>
            </w:r>
          </w:p>
        </w:tc>
      </w:tr>
      <w:tr w:rsidR="0096747A" w:rsidTr="0049587D">
        <w:tc>
          <w:tcPr>
            <w:tcW w:w="2646" w:type="dxa"/>
            <w:tcBorders>
              <w:left w:val="nil"/>
              <w:right w:val="nil"/>
            </w:tcBorders>
          </w:tcPr>
          <w:p w:rsidR="0096747A" w:rsidRDefault="0096747A" w:rsidP="0049587D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96747A" w:rsidRDefault="0096747A" w:rsidP="0049587D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96747A" w:rsidRDefault="0096747A" w:rsidP="0049587D">
            <w:pPr>
              <w:rPr>
                <w:rFonts w:hint="cs"/>
                <w:rtl/>
              </w:rPr>
            </w:pPr>
          </w:p>
          <w:p w:rsidR="0049587D" w:rsidRDefault="0049587D" w:rsidP="0049587D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96747A" w:rsidRDefault="0096747A" w:rsidP="0049587D">
            <w:pPr>
              <w:rPr>
                <w:rFonts w:hint="cs"/>
                <w:rtl/>
              </w:rPr>
            </w:pPr>
            <w:bookmarkStart w:id="0" w:name="_GoBack"/>
            <w:bookmarkEnd w:id="0"/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96747A" w:rsidRDefault="0096747A" w:rsidP="0049587D">
            <w:pPr>
              <w:rPr>
                <w:rtl/>
              </w:rPr>
            </w:pPr>
          </w:p>
        </w:tc>
      </w:tr>
      <w:tr w:rsidR="00DF7D99" w:rsidTr="0049587D">
        <w:tc>
          <w:tcPr>
            <w:tcW w:w="9464" w:type="dxa"/>
            <w:gridSpan w:val="5"/>
          </w:tcPr>
          <w:p w:rsidR="00DF7D99" w:rsidRDefault="00DF7D99" w:rsidP="0049587D">
            <w:pPr>
              <w:rPr>
                <w:rtl/>
              </w:rPr>
            </w:pPr>
            <w:r>
              <w:rPr>
                <w:rFonts w:hint="cs"/>
                <w:rtl/>
              </w:rPr>
              <w:t>ובעליה זו נכנסו חכמים לבקרו ,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נמנו ורבו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ב''ש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על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ב''ה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וי''ח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דברים גזרו בו ביום:</w:t>
            </w:r>
          </w:p>
        </w:tc>
      </w:tr>
      <w:tr w:rsidR="00DF7D99" w:rsidTr="0049587D">
        <w:tc>
          <w:tcPr>
            <w:tcW w:w="2646" w:type="dxa"/>
          </w:tcPr>
          <w:p w:rsidR="00DF7D99" w:rsidRDefault="00DF7D99" w:rsidP="0049587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הקדמה </w:t>
            </w:r>
          </w:p>
        </w:tc>
        <w:tc>
          <w:tcPr>
            <w:tcW w:w="6818" w:type="dxa"/>
            <w:gridSpan w:val="4"/>
          </w:tcPr>
          <w:p w:rsidR="00DF7D99" w:rsidRDefault="00DF7D99" w:rsidP="0049587D">
            <w:pPr>
              <w:rPr>
                <w:rtl/>
              </w:rPr>
            </w:pPr>
            <w:r>
              <w:rPr>
                <w:rFonts w:hint="cs"/>
                <w:rtl/>
              </w:rPr>
              <w:t>מאכל חולין שנגע בראשון לטומאה נהפך לשני לטומאה, אך אם נגע בשני לא נעשה שלישי</w:t>
            </w:r>
          </w:p>
        </w:tc>
      </w:tr>
      <w:tr w:rsidR="00DF7D99" w:rsidTr="0049587D">
        <w:tc>
          <w:tcPr>
            <w:tcW w:w="2646" w:type="dxa"/>
            <w:tcBorders>
              <w:bottom w:val="single" w:sz="4" w:space="0" w:color="auto"/>
            </w:tcBorders>
          </w:tcPr>
          <w:p w:rsidR="00DF7D99" w:rsidRDefault="00DF7D99" w:rsidP="0049587D">
            <w:pPr>
              <w:rPr>
                <w:rtl/>
              </w:rPr>
            </w:pPr>
          </w:p>
        </w:tc>
        <w:tc>
          <w:tcPr>
            <w:tcW w:w="6818" w:type="dxa"/>
            <w:gridSpan w:val="4"/>
            <w:tcBorders>
              <w:bottom w:val="single" w:sz="4" w:space="0" w:color="auto"/>
            </w:tcBorders>
          </w:tcPr>
          <w:p w:rsidR="00DF7D99" w:rsidRDefault="00DF7D99" w:rsidP="0049587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תרומה גם אם נגעה שני נעשית שלישי לטומאה, ולכן ברגע שגוזרים על דבר שהוא שני לטומאה הוא מטמא את התרומה שנוגעת בו </w:t>
            </w:r>
          </w:p>
        </w:tc>
      </w:tr>
      <w:tr w:rsidR="00C0235D" w:rsidTr="0049587D">
        <w:tc>
          <w:tcPr>
            <w:tcW w:w="9464" w:type="dxa"/>
            <w:gridSpan w:val="5"/>
            <w:tcBorders>
              <w:left w:val="nil"/>
              <w:right w:val="nil"/>
            </w:tcBorders>
          </w:tcPr>
          <w:p w:rsidR="00C0235D" w:rsidRDefault="00C0235D" w:rsidP="0049587D">
            <w:pPr>
              <w:jc w:val="center"/>
              <w:rPr>
                <w:rFonts w:hint="cs"/>
                <w:rtl/>
              </w:rPr>
            </w:pPr>
          </w:p>
          <w:p w:rsidR="0049587D" w:rsidRDefault="0049587D" w:rsidP="0049587D">
            <w:pPr>
              <w:jc w:val="center"/>
              <w:rPr>
                <w:rtl/>
              </w:rPr>
            </w:pPr>
          </w:p>
        </w:tc>
      </w:tr>
      <w:tr w:rsidR="0049587D" w:rsidTr="0049587D">
        <w:tc>
          <w:tcPr>
            <w:tcW w:w="9464" w:type="dxa"/>
            <w:gridSpan w:val="5"/>
          </w:tcPr>
          <w:p w:rsidR="0049587D" w:rsidRDefault="0049587D" w:rsidP="0049587D">
            <w:pPr>
              <w:jc w:val="center"/>
              <w:rPr>
                <w:rFonts w:hint="cs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אלו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פוסלין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את התרומה</w:t>
            </w:r>
            <w:r>
              <w:rPr>
                <w:rFonts w:hint="cs"/>
                <w:rtl/>
              </w:rPr>
              <w:t xml:space="preserve"> מגזרת חכמים.</w:t>
            </w:r>
          </w:p>
        </w:tc>
      </w:tr>
      <w:tr w:rsidR="00FD1750" w:rsidTr="0049587D">
        <w:tc>
          <w:tcPr>
            <w:tcW w:w="2646" w:type="dxa"/>
          </w:tcPr>
          <w:p w:rsidR="00FD1750" w:rsidRDefault="00FD1750" w:rsidP="0049587D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האוכל אוכל ראשון</w:t>
            </w:r>
          </w:p>
        </w:tc>
        <w:tc>
          <w:tcPr>
            <w:tcW w:w="6818" w:type="dxa"/>
            <w:gridSpan w:val="4"/>
            <w:vMerge w:val="restart"/>
          </w:tcPr>
          <w:p w:rsidR="00FD1750" w:rsidRDefault="00FD1750" w:rsidP="0049587D">
            <w:pPr>
              <w:rPr>
                <w:rtl/>
              </w:rPr>
            </w:pPr>
            <w:r>
              <w:rPr>
                <w:rFonts w:hint="cs"/>
                <w:rtl/>
              </w:rPr>
              <w:t>מחשש שמא ישתה או יאכל ביחד עם המאכל או המשקה הטמא תרומה ויפסלה .</w:t>
            </w:r>
          </w:p>
        </w:tc>
      </w:tr>
      <w:tr w:rsidR="00FD1750" w:rsidTr="0049587D">
        <w:tc>
          <w:tcPr>
            <w:tcW w:w="2646" w:type="dxa"/>
          </w:tcPr>
          <w:p w:rsidR="00FD1750" w:rsidRDefault="00FD1750" w:rsidP="0049587D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והאוכל אוכל שני</w:t>
            </w:r>
          </w:p>
        </w:tc>
        <w:tc>
          <w:tcPr>
            <w:tcW w:w="6818" w:type="dxa"/>
            <w:gridSpan w:val="4"/>
            <w:vMerge/>
          </w:tcPr>
          <w:p w:rsidR="00FD1750" w:rsidRDefault="00FD1750" w:rsidP="0049587D">
            <w:pPr>
              <w:rPr>
                <w:rtl/>
              </w:rPr>
            </w:pPr>
          </w:p>
        </w:tc>
      </w:tr>
      <w:tr w:rsidR="00FD1750" w:rsidTr="0049587D">
        <w:tc>
          <w:tcPr>
            <w:tcW w:w="2646" w:type="dxa"/>
          </w:tcPr>
          <w:p w:rsidR="00FD1750" w:rsidRDefault="00FD1750" w:rsidP="0049587D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והשותה משקין טמאין</w:t>
            </w:r>
          </w:p>
        </w:tc>
        <w:tc>
          <w:tcPr>
            <w:tcW w:w="6818" w:type="dxa"/>
            <w:gridSpan w:val="4"/>
            <w:vMerge/>
          </w:tcPr>
          <w:p w:rsidR="00FD1750" w:rsidRDefault="00FD1750" w:rsidP="0049587D">
            <w:pPr>
              <w:rPr>
                <w:rtl/>
              </w:rPr>
            </w:pPr>
          </w:p>
        </w:tc>
      </w:tr>
      <w:tr w:rsidR="00FD1750" w:rsidTr="0049587D">
        <w:tc>
          <w:tcPr>
            <w:tcW w:w="2646" w:type="dxa"/>
          </w:tcPr>
          <w:p w:rsidR="00FD1750" w:rsidRDefault="00FD1750" w:rsidP="0049587D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והבא ראשו ורובו במים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שאובין</w:t>
            </w:r>
            <w:proofErr w:type="spellEnd"/>
          </w:p>
        </w:tc>
        <w:tc>
          <w:tcPr>
            <w:tcW w:w="6818" w:type="dxa"/>
            <w:gridSpan w:val="4"/>
          </w:tcPr>
          <w:p w:rsidR="00FD1750" w:rsidRDefault="00FD1750" w:rsidP="0049587D">
            <w:pPr>
              <w:rPr>
                <w:rtl/>
              </w:rPr>
            </w:pPr>
            <w:r>
              <w:rPr>
                <w:rFonts w:hint="cs"/>
                <w:rtl/>
              </w:rPr>
              <w:t>מחשש שמא לא טבל ואינו טהור.</w:t>
            </w:r>
          </w:p>
        </w:tc>
      </w:tr>
      <w:tr w:rsidR="00FD1750" w:rsidTr="0049587D">
        <w:tc>
          <w:tcPr>
            <w:tcW w:w="2646" w:type="dxa"/>
          </w:tcPr>
          <w:p w:rsidR="00FD1750" w:rsidRDefault="00FD1750" w:rsidP="0049587D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וטהור שנפלו על ראשו ורובו שלשה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לוגין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מים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שאובין</w:t>
            </w:r>
            <w:proofErr w:type="spellEnd"/>
          </w:p>
        </w:tc>
        <w:tc>
          <w:tcPr>
            <w:tcW w:w="6818" w:type="dxa"/>
            <w:gridSpan w:val="4"/>
          </w:tcPr>
          <w:p w:rsidR="00FD1750" w:rsidRDefault="00FD1750" w:rsidP="0049587D">
            <w:pPr>
              <w:rPr>
                <w:rtl/>
              </w:rPr>
            </w:pPr>
            <w:r>
              <w:rPr>
                <w:rFonts w:hint="cs"/>
                <w:rtl/>
              </w:rPr>
              <w:t>כדי שיקיימו את הגזרה הקודמת.</w:t>
            </w:r>
          </w:p>
        </w:tc>
      </w:tr>
      <w:tr w:rsidR="00FD1750" w:rsidTr="0049587D">
        <w:tc>
          <w:tcPr>
            <w:tcW w:w="2646" w:type="dxa"/>
          </w:tcPr>
          <w:p w:rsidR="00FD1750" w:rsidRDefault="00FD1750" w:rsidP="0049587D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והספר</w:t>
            </w:r>
          </w:p>
        </w:tc>
        <w:tc>
          <w:tcPr>
            <w:tcW w:w="6818" w:type="dxa"/>
            <w:gridSpan w:val="4"/>
          </w:tcPr>
          <w:p w:rsidR="00FD1750" w:rsidRDefault="00FD1750" w:rsidP="0049587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שהיו מחביאים תרומה אצל ספרי הקודש והיו </w:t>
            </w:r>
            <w:proofErr w:type="spellStart"/>
            <w:r>
              <w:rPr>
                <w:rFonts w:hint="cs"/>
                <w:rtl/>
              </w:rPr>
              <w:t>עכברין</w:t>
            </w:r>
            <w:proofErr w:type="spellEnd"/>
            <w:r>
              <w:rPr>
                <w:rFonts w:hint="cs"/>
                <w:rtl/>
              </w:rPr>
              <w:t xml:space="preserve"> אוכלים אותם ולכן גזרו שהספר עצמו מטמא את התרומה</w:t>
            </w:r>
          </w:p>
        </w:tc>
      </w:tr>
      <w:tr w:rsidR="00FD1750" w:rsidTr="0049587D">
        <w:tc>
          <w:tcPr>
            <w:tcW w:w="2646" w:type="dxa"/>
          </w:tcPr>
          <w:p w:rsidR="00FD1750" w:rsidRDefault="00FD1750" w:rsidP="0049587D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והידים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6818" w:type="dxa"/>
            <w:gridSpan w:val="4"/>
          </w:tcPr>
          <w:p w:rsidR="00FD1750" w:rsidRDefault="00FD1750" w:rsidP="0049587D">
            <w:pPr>
              <w:rPr>
                <w:rtl/>
              </w:rPr>
            </w:pPr>
            <w:r>
              <w:rPr>
                <w:rFonts w:hint="cs"/>
                <w:rtl/>
              </w:rPr>
              <w:t>בגלל שהם עסקניות  (שלמה גזר לעניין קודשים, הלל ושמאי גזרו גם לעניין תרומה ולא קיבלו מהם, ובאו תלמידיהם וגזרו וקיבלו מהם).</w:t>
            </w:r>
          </w:p>
        </w:tc>
      </w:tr>
      <w:tr w:rsidR="00FD1750" w:rsidTr="0049587D">
        <w:tc>
          <w:tcPr>
            <w:tcW w:w="2646" w:type="dxa"/>
          </w:tcPr>
          <w:p w:rsidR="00FD1750" w:rsidRDefault="00FD1750" w:rsidP="0049587D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והטבול יום </w:t>
            </w:r>
          </w:p>
        </w:tc>
        <w:tc>
          <w:tcPr>
            <w:tcW w:w="6818" w:type="dxa"/>
            <w:gridSpan w:val="4"/>
          </w:tcPr>
          <w:p w:rsidR="00FD1750" w:rsidRDefault="00FD1750" w:rsidP="0049587D">
            <w:pPr>
              <w:rPr>
                <w:rtl/>
              </w:rPr>
            </w:pPr>
            <w:r>
              <w:rPr>
                <w:rFonts w:hint="cs"/>
                <w:rtl/>
              </w:rPr>
              <w:t>זה מהתורה וצריך להוריד אותו</w:t>
            </w:r>
          </w:p>
        </w:tc>
      </w:tr>
      <w:tr w:rsidR="00FD1750" w:rsidTr="0049587D">
        <w:tc>
          <w:tcPr>
            <w:tcW w:w="2646" w:type="dxa"/>
          </w:tcPr>
          <w:p w:rsidR="00FD1750" w:rsidRDefault="00FD1750" w:rsidP="0049587D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והאוכלים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שנטמאו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במשקין</w:t>
            </w:r>
            <w:proofErr w:type="spellEnd"/>
          </w:p>
        </w:tc>
        <w:tc>
          <w:tcPr>
            <w:tcW w:w="6818" w:type="dxa"/>
            <w:gridSpan w:val="4"/>
          </w:tcPr>
          <w:p w:rsidR="00FD1750" w:rsidRDefault="00FD1750" w:rsidP="0049587D">
            <w:pPr>
              <w:rPr>
                <w:rtl/>
              </w:rPr>
            </w:pP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במשקין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הבאין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מחמת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ידים</w:t>
            </w:r>
            <w:proofErr w:type="spellEnd"/>
            <w:r>
              <w:rPr>
                <w:rFonts w:hint="cs"/>
                <w:rtl/>
              </w:rPr>
              <w:t xml:space="preserve"> גזרה משום משקה שנגע בו שרץ</w:t>
            </w:r>
          </w:p>
        </w:tc>
      </w:tr>
      <w:tr w:rsidR="00FD1750" w:rsidTr="0049587D">
        <w:tc>
          <w:tcPr>
            <w:tcW w:w="2646" w:type="dxa"/>
          </w:tcPr>
          <w:p w:rsidR="00FD1750" w:rsidRDefault="00FD1750" w:rsidP="0049587D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והכלים שנטמאו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במשקין</w:t>
            </w:r>
            <w:proofErr w:type="spellEnd"/>
          </w:p>
        </w:tc>
        <w:tc>
          <w:tcPr>
            <w:tcW w:w="6818" w:type="dxa"/>
            <w:gridSpan w:val="4"/>
          </w:tcPr>
          <w:p w:rsidR="00FD1750" w:rsidRDefault="00FD1750" w:rsidP="0049587D">
            <w:pPr>
              <w:rPr>
                <w:rtl/>
              </w:rPr>
            </w:pP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במשקין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הבאין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מחמת שרץ וגזירה משום משקין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דזב</w:t>
            </w:r>
            <w:proofErr w:type="spellEnd"/>
          </w:p>
        </w:tc>
      </w:tr>
    </w:tbl>
    <w:p w:rsidR="0049587D" w:rsidRPr="00383703" w:rsidRDefault="0049587D" w:rsidP="0049587D">
      <w:pPr>
        <w:spacing w:line="240" w:lineRule="auto"/>
        <w:rPr>
          <w:rFonts w:ascii="Times New Roman" w:eastAsia="Times New Roman" w:hAnsi="Times New Roman" w:cs="David"/>
          <w:sz w:val="38"/>
          <w:szCs w:val="38"/>
        </w:rPr>
      </w:pPr>
      <w:r w:rsidRPr="005E6C65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טבלאות עזר של מסקנות הגמרא </w:t>
      </w:r>
      <w:proofErr w:type="spellStart"/>
      <w:r w:rsidRPr="0049587D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ללימודשבת</w:t>
      </w:r>
      <w:proofErr w:type="spellEnd"/>
      <w:r w:rsidRPr="0049587D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דף</w:t>
      </w:r>
      <w:r w:rsidRPr="0049587D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</w:t>
      </w:r>
      <w:proofErr w:type="spellStart"/>
      <w:r w:rsidRPr="0049587D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יג</w:t>
      </w:r>
      <w:proofErr w:type="spellEnd"/>
      <w:r w:rsidRPr="0049587D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- יד</w:t>
      </w:r>
    </w:p>
    <w:p w:rsidR="0096747A" w:rsidRPr="0049587D" w:rsidRDefault="0096747A" w:rsidP="0096747A">
      <w:pPr>
        <w:rPr>
          <w:rtl/>
        </w:rPr>
      </w:pPr>
    </w:p>
    <w:p w:rsidR="0096747A" w:rsidRDefault="0096747A" w:rsidP="0096747A">
      <w:pPr>
        <w:rPr>
          <w:rtl/>
        </w:rPr>
      </w:pPr>
    </w:p>
    <w:sectPr w:rsidR="0096747A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47A"/>
    <w:rsid w:val="004577D1"/>
    <w:rsid w:val="0049587D"/>
    <w:rsid w:val="0056120B"/>
    <w:rsid w:val="0096747A"/>
    <w:rsid w:val="00C0235D"/>
    <w:rsid w:val="00C615BF"/>
    <w:rsid w:val="00DF7D99"/>
    <w:rsid w:val="00FD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a"/>
    <w:uiPriority w:val="99"/>
    <w:unhideWhenUsed/>
    <w:rsid w:val="0096747A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674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a"/>
    <w:uiPriority w:val="99"/>
    <w:unhideWhenUsed/>
    <w:rsid w:val="0096747A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67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0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8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9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563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83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19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5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5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7978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3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7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370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2012-10-16T11:46:00Z</dcterms:created>
  <dcterms:modified xsi:type="dcterms:W3CDTF">2012-10-17T07:57:00Z</dcterms:modified>
</cp:coreProperties>
</file>