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131"/>
        <w:bidiVisual/>
        <w:tblW w:w="9923" w:type="dxa"/>
        <w:tblLook w:val="04A0" w:firstRow="1" w:lastRow="0" w:firstColumn="1" w:lastColumn="0" w:noHBand="0" w:noVBand="1"/>
      </w:tblPr>
      <w:tblGrid>
        <w:gridCol w:w="2396"/>
        <w:gridCol w:w="331"/>
        <w:gridCol w:w="1373"/>
        <w:gridCol w:w="1704"/>
        <w:gridCol w:w="1705"/>
        <w:gridCol w:w="2414"/>
      </w:tblGrid>
      <w:tr w:rsidR="006B4692" w:rsidTr="006B4692">
        <w:tc>
          <w:tcPr>
            <w:tcW w:w="9923" w:type="dxa"/>
            <w:gridSpan w:val="6"/>
          </w:tcPr>
          <w:p w:rsidR="006B4692" w:rsidRDefault="006B4692" w:rsidP="006B469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יוסי בן </w:t>
            </w:r>
            <w:proofErr w:type="spellStart"/>
            <w:r>
              <w:rPr>
                <w:rFonts w:hint="cs"/>
                <w:rtl/>
              </w:rPr>
              <w:t>יועזר</w:t>
            </w:r>
            <w:proofErr w:type="spellEnd"/>
            <w:r>
              <w:rPr>
                <w:rFonts w:hint="cs"/>
                <w:rtl/>
              </w:rPr>
              <w:t xml:space="preserve"> ויוסי בן יוחנן גזרו טומאה על כלי זכוכית</w:t>
            </w:r>
          </w:p>
          <w:p w:rsidR="006B4692" w:rsidRDefault="006B4692" w:rsidP="006B46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(לא ברור כמו </w:t>
            </w:r>
            <w:proofErr w:type="spellStart"/>
            <w:r>
              <w:rPr>
                <w:rFonts w:hint="cs"/>
                <w:rtl/>
              </w:rPr>
              <w:t>כמו</w:t>
            </w:r>
            <w:proofErr w:type="spellEnd"/>
            <w:r>
              <w:rPr>
                <w:rFonts w:hint="cs"/>
                <w:rtl/>
              </w:rPr>
              <w:t xml:space="preserve"> מה כלי זכוכית טמאים ככלי חרס או ככלי מתכת )</w:t>
            </w:r>
          </w:p>
        </w:tc>
      </w:tr>
      <w:tr w:rsidR="006B4692" w:rsidTr="006B4692">
        <w:tc>
          <w:tcPr>
            <w:tcW w:w="2396" w:type="dxa"/>
          </w:tcPr>
          <w:p w:rsidR="006B4692" w:rsidRPr="00357AB1" w:rsidRDefault="006B4692" w:rsidP="006B4692">
            <w:pPr>
              <w:rPr>
                <w:b/>
                <w:bCs/>
                <w:rtl/>
              </w:rPr>
            </w:pPr>
            <w:r w:rsidRPr="00357AB1">
              <w:rPr>
                <w:rFonts w:hint="cs"/>
                <w:b/>
                <w:bCs/>
                <w:rtl/>
              </w:rPr>
              <w:t xml:space="preserve">כלי זכוכית </w:t>
            </w:r>
          </w:p>
        </w:tc>
        <w:tc>
          <w:tcPr>
            <w:tcW w:w="1704" w:type="dxa"/>
            <w:gridSpan w:val="2"/>
          </w:tcPr>
          <w:p w:rsidR="006B4692" w:rsidRPr="00357AB1" w:rsidRDefault="006B4692" w:rsidP="006B4692">
            <w:pPr>
              <w:rPr>
                <w:b/>
                <w:bCs/>
                <w:highlight w:val="cyan"/>
                <w:rtl/>
              </w:rPr>
            </w:pPr>
            <w:r w:rsidRPr="00357AB1">
              <w:rPr>
                <w:rFonts w:hint="cs"/>
                <w:b/>
                <w:bCs/>
                <w:highlight w:val="cyan"/>
                <w:rtl/>
              </w:rPr>
              <w:t xml:space="preserve">נטהר במקווה </w:t>
            </w:r>
          </w:p>
        </w:tc>
        <w:tc>
          <w:tcPr>
            <w:tcW w:w="1704" w:type="dxa"/>
          </w:tcPr>
          <w:p w:rsidR="006B4692" w:rsidRPr="00357AB1" w:rsidRDefault="006B4692" w:rsidP="006B4692">
            <w:pPr>
              <w:rPr>
                <w:b/>
                <w:bCs/>
                <w:highlight w:val="cyan"/>
                <w:rtl/>
              </w:rPr>
            </w:pPr>
            <w:r w:rsidRPr="00357AB1">
              <w:rPr>
                <w:rFonts w:hint="cs"/>
                <w:b/>
                <w:bCs/>
                <w:highlight w:val="cyan"/>
                <w:rtl/>
              </w:rPr>
              <w:t>מטמא מגבו</w:t>
            </w:r>
          </w:p>
        </w:tc>
        <w:tc>
          <w:tcPr>
            <w:tcW w:w="1705" w:type="dxa"/>
          </w:tcPr>
          <w:p w:rsidR="006B4692" w:rsidRPr="00357AB1" w:rsidRDefault="006B4692" w:rsidP="006B4692">
            <w:pPr>
              <w:rPr>
                <w:b/>
                <w:bCs/>
                <w:highlight w:val="yellow"/>
                <w:rtl/>
              </w:rPr>
            </w:pPr>
            <w:r w:rsidRPr="00357AB1">
              <w:rPr>
                <w:rFonts w:hint="cs"/>
                <w:b/>
                <w:bCs/>
                <w:highlight w:val="yellow"/>
                <w:rtl/>
              </w:rPr>
              <w:t xml:space="preserve">לא חוזרים לטומאה ישנה </w:t>
            </w:r>
          </w:p>
        </w:tc>
        <w:tc>
          <w:tcPr>
            <w:tcW w:w="2414" w:type="dxa"/>
          </w:tcPr>
          <w:p w:rsidR="006B4692" w:rsidRPr="00357AB1" w:rsidRDefault="006B4692" w:rsidP="006B4692">
            <w:pPr>
              <w:rPr>
                <w:b/>
                <w:bCs/>
                <w:highlight w:val="yellow"/>
                <w:rtl/>
              </w:rPr>
            </w:pPr>
            <w:r w:rsidRPr="00357AB1">
              <w:rPr>
                <w:rFonts w:hint="cs"/>
                <w:b/>
                <w:bCs/>
                <w:highlight w:val="yellow"/>
                <w:rtl/>
              </w:rPr>
              <w:t>פישוטיהם לא מקבלים טומאה</w:t>
            </w:r>
          </w:p>
        </w:tc>
      </w:tr>
      <w:tr w:rsidR="006B4692" w:rsidTr="006B4692">
        <w:tc>
          <w:tcPr>
            <w:tcW w:w="2396" w:type="dxa"/>
          </w:tcPr>
          <w:p w:rsidR="006B4692" w:rsidRDefault="006B4692" w:rsidP="006B469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מה לא מתאים בדימוי לכלי חרס</w:t>
            </w:r>
          </w:p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מסומן בכתב יד </w:t>
            </w:r>
          </w:p>
        </w:tc>
        <w:tc>
          <w:tcPr>
            <w:tcW w:w="1704" w:type="dxa"/>
            <w:gridSpan w:val="2"/>
          </w:tcPr>
          <w:p w:rsidR="006B4692" w:rsidRPr="00357AB1" w:rsidRDefault="006B4692" w:rsidP="006B4692">
            <w:pPr>
              <w:rPr>
                <w:rFonts w:cs="Guttman Yad-Brush"/>
                <w:highlight w:val="cyan"/>
                <w:rtl/>
              </w:rPr>
            </w:pPr>
            <w:r w:rsidRPr="00357AB1">
              <w:rPr>
                <w:rFonts w:cs="Guttman Yad-Brush" w:hint="cs"/>
                <w:highlight w:val="cyan"/>
                <w:rtl/>
              </w:rPr>
              <w:t xml:space="preserve">לא נטהר במקווה </w:t>
            </w:r>
          </w:p>
        </w:tc>
        <w:tc>
          <w:tcPr>
            <w:tcW w:w="1704" w:type="dxa"/>
          </w:tcPr>
          <w:p w:rsidR="006B4692" w:rsidRPr="00357AB1" w:rsidRDefault="006B4692" w:rsidP="006B4692">
            <w:pPr>
              <w:rPr>
                <w:rFonts w:cs="Guttman Yad-Brush"/>
                <w:highlight w:val="cyan"/>
                <w:rtl/>
              </w:rPr>
            </w:pPr>
            <w:r w:rsidRPr="00357AB1">
              <w:rPr>
                <w:rFonts w:cs="Guttman Yad-Brush" w:hint="cs"/>
                <w:highlight w:val="cyan"/>
                <w:rtl/>
              </w:rPr>
              <w:t xml:space="preserve">לא מטמא מגבו </w:t>
            </w:r>
          </w:p>
        </w:tc>
        <w:tc>
          <w:tcPr>
            <w:tcW w:w="1705" w:type="dxa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>לא חוזרים לטומאה ישנה</w:t>
            </w:r>
          </w:p>
        </w:tc>
        <w:tc>
          <w:tcPr>
            <w:tcW w:w="2414" w:type="dxa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>פישוטיהם לא מקבלים טומאה</w:t>
            </w:r>
          </w:p>
        </w:tc>
      </w:tr>
      <w:tr w:rsidR="006B4692" w:rsidTr="006B4692">
        <w:tc>
          <w:tcPr>
            <w:tcW w:w="2396" w:type="dxa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>מה לא מתאים בדימוי לכלי מתכת מסומן בכתב יד</w:t>
            </w:r>
          </w:p>
        </w:tc>
        <w:tc>
          <w:tcPr>
            <w:tcW w:w="1704" w:type="dxa"/>
            <w:gridSpan w:val="2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נטהר במקווה </w:t>
            </w:r>
          </w:p>
        </w:tc>
        <w:tc>
          <w:tcPr>
            <w:tcW w:w="1704" w:type="dxa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מטמין מגבן </w:t>
            </w:r>
          </w:p>
        </w:tc>
        <w:tc>
          <w:tcPr>
            <w:tcW w:w="1705" w:type="dxa"/>
          </w:tcPr>
          <w:p w:rsidR="006B4692" w:rsidRPr="0028483B" w:rsidRDefault="006B4692" w:rsidP="006B4692">
            <w:pPr>
              <w:rPr>
                <w:rFonts w:cs="Guttman Yad-Brush"/>
                <w:rtl/>
              </w:rPr>
            </w:pPr>
            <w:r w:rsidRPr="0028483B">
              <w:rPr>
                <w:rFonts w:cs="Guttman Yad-Brush" w:hint="cs"/>
                <w:highlight w:val="yellow"/>
                <w:rtl/>
              </w:rPr>
              <w:t>חוזרים לטומאה ישנה</w:t>
            </w:r>
            <w:r w:rsidRPr="0028483B">
              <w:rPr>
                <w:rFonts w:cs="Guttman Yad-Brush" w:hint="cs"/>
                <w:rtl/>
              </w:rPr>
              <w:t xml:space="preserve"> </w:t>
            </w:r>
          </w:p>
        </w:tc>
        <w:tc>
          <w:tcPr>
            <w:tcW w:w="2414" w:type="dxa"/>
          </w:tcPr>
          <w:p w:rsidR="006B4692" w:rsidRPr="0028483B" w:rsidRDefault="006B4692" w:rsidP="006B4692">
            <w:pPr>
              <w:rPr>
                <w:rFonts w:cs="Guttman Yad-Brush"/>
                <w:rtl/>
              </w:rPr>
            </w:pPr>
            <w:r w:rsidRPr="0028483B">
              <w:rPr>
                <w:rFonts w:cs="Guttman Yad-Brush" w:hint="cs"/>
                <w:highlight w:val="yellow"/>
                <w:rtl/>
              </w:rPr>
              <w:t>פישוטיהם מקבלים טומאה</w:t>
            </w:r>
            <w:r w:rsidRPr="0028483B">
              <w:rPr>
                <w:rFonts w:cs="Guttman Yad-Brush" w:hint="cs"/>
                <w:rtl/>
              </w:rPr>
              <w:t xml:space="preserve"> </w:t>
            </w:r>
          </w:p>
        </w:tc>
      </w:tr>
      <w:tr w:rsidR="006B4692" w:rsidTr="006B4692">
        <w:tc>
          <w:tcPr>
            <w:tcW w:w="2396" w:type="dxa"/>
            <w:tcBorders>
              <w:bottom w:val="single" w:sz="4" w:space="0" w:color="auto"/>
            </w:tcBorders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למה שלא מתאים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6B4692" w:rsidRPr="00357AB1" w:rsidRDefault="006B4692" w:rsidP="006B4692">
            <w:pPr>
              <w:rPr>
                <w:highlight w:val="cyan"/>
                <w:rtl/>
              </w:rPr>
            </w:pPr>
            <w:r w:rsidRPr="00357AB1">
              <w:rPr>
                <w:rFonts w:hint="cs"/>
                <w:highlight w:val="cyan"/>
                <w:rtl/>
              </w:rPr>
              <w:t xml:space="preserve">בכלי שהעמידו בברזל שנקרא כלי ברזל </w:t>
            </w:r>
            <w:r>
              <w:rPr>
                <w:rFonts w:hint="cs"/>
                <w:highlight w:val="cyan"/>
                <w:rtl/>
              </w:rPr>
              <w:t>על שם המעמיד(כשיטת רבי מאיר)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6B4692" w:rsidRPr="00357AB1" w:rsidRDefault="006B4692" w:rsidP="006B4692">
            <w:pPr>
              <w:rPr>
                <w:highlight w:val="cyan"/>
                <w:rtl/>
              </w:rPr>
            </w:pPr>
            <w:r w:rsidRPr="00357AB1">
              <w:rPr>
                <w:rFonts w:hint="cs"/>
                <w:highlight w:val="cyan"/>
                <w:rtl/>
              </w:rPr>
              <w:t>מכיוון שכלי זכוכית שקופים גזרו שיטמאו מגבן (רב אשי)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6B4692" w:rsidRPr="00357AB1" w:rsidRDefault="006B4692" w:rsidP="006B4692">
            <w:pPr>
              <w:rPr>
                <w:highlight w:val="yellow"/>
                <w:rtl/>
              </w:rPr>
            </w:pPr>
            <w:r w:rsidRPr="00357AB1">
              <w:rPr>
                <w:rFonts w:hint="cs"/>
                <w:highlight w:val="yellow"/>
                <w:rtl/>
              </w:rPr>
              <w:t xml:space="preserve">מכיוון שגזרת טומאה ישנה היא מדרבנן לא גזרו לגבי כלי זכוכית שהם עצמן מדרבנן. 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6B4692" w:rsidRPr="00357AB1" w:rsidRDefault="006B4692" w:rsidP="006B4692">
            <w:pPr>
              <w:rPr>
                <w:highlight w:val="yellow"/>
                <w:rtl/>
              </w:rPr>
            </w:pPr>
            <w:r w:rsidRPr="00357AB1">
              <w:rPr>
                <w:rFonts w:hint="cs"/>
                <w:highlight w:val="yellow"/>
                <w:rtl/>
              </w:rPr>
              <w:t xml:space="preserve">עשו בהם </w:t>
            </w:r>
            <w:proofErr w:type="spellStart"/>
            <w:r w:rsidRPr="00357AB1">
              <w:rPr>
                <w:rFonts w:hint="cs"/>
                <w:highlight w:val="yellow"/>
                <w:rtl/>
              </w:rPr>
              <w:t>קולא</w:t>
            </w:r>
            <w:proofErr w:type="spellEnd"/>
            <w:r w:rsidRPr="00357AB1">
              <w:rPr>
                <w:rFonts w:hint="cs"/>
                <w:highlight w:val="yellow"/>
                <w:rtl/>
              </w:rPr>
              <w:t xml:space="preserve"> להיכר  שהם טמאים רק מדרבנן כדי שלא ישרפו תרומה וקודשים שנוגעים בהם.</w:t>
            </w:r>
          </w:p>
        </w:tc>
      </w:tr>
      <w:tr w:rsidR="006B4692" w:rsidTr="006B4692">
        <w:tc>
          <w:tcPr>
            <w:tcW w:w="2396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Fonts w:hint="cs"/>
                <w:rtl/>
              </w:rPr>
            </w:pPr>
          </w:p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</w:tr>
      <w:tr w:rsidR="006B4692" w:rsidTr="006B4692">
        <w:tc>
          <w:tcPr>
            <w:tcW w:w="9923" w:type="dxa"/>
            <w:gridSpan w:val="6"/>
          </w:tcPr>
          <w:p w:rsidR="006B4692" w:rsidRDefault="006B4692" w:rsidP="006B4692">
            <w:pPr>
              <w:rPr>
                <w:rtl/>
              </w:rPr>
            </w:pPr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שמעון בן שטח גזר טומאה על כלי מתכות</w:t>
            </w:r>
            <w:r>
              <w:rPr>
                <w:rFonts w:hint="cs"/>
                <w:rtl/>
              </w:rPr>
              <w:t xml:space="preserve"> (הרי טומאת מתכות היא מהתורה? אז מה הוא גזר)</w:t>
            </w:r>
          </w:p>
        </w:tc>
      </w:tr>
      <w:tr w:rsidR="006B4692" w:rsidTr="006B4692">
        <w:tc>
          <w:tcPr>
            <w:tcW w:w="2396" w:type="dxa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טומאה ישנה שנטמאו במת </w:t>
            </w:r>
          </w:p>
        </w:tc>
        <w:tc>
          <w:tcPr>
            <w:tcW w:w="7527" w:type="dxa"/>
            <w:gridSpan w:val="5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שמא תתבטל תורת מי חטאת </w:t>
            </w:r>
          </w:p>
        </w:tc>
      </w:tr>
      <w:tr w:rsidR="006B4692" w:rsidTr="006B4692">
        <w:tc>
          <w:tcPr>
            <w:tcW w:w="2396" w:type="dxa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ולמי שמאר שלכל הטומאות גזרו טומאה ישנה </w:t>
            </w:r>
          </w:p>
        </w:tc>
        <w:tc>
          <w:tcPr>
            <w:tcW w:w="3408" w:type="dxa"/>
            <w:gridSpan w:val="3"/>
          </w:tcPr>
          <w:p w:rsidR="006B4692" w:rsidRDefault="006B4692" w:rsidP="006B4692">
            <w:pPr>
              <w:rPr>
                <w:rtl/>
              </w:rPr>
            </w:pPr>
            <w:proofErr w:type="spellStart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אביי</w:t>
            </w:r>
            <w:proofErr w:type="spellEnd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גזירה שמא לא יקבנו בכדי טהרתו </w:t>
            </w:r>
            <w:r>
              <w:rPr>
                <w:rFonts w:hint="cs"/>
                <w:rtl/>
              </w:rPr>
              <w:t>(כמוציא רימון ).</w:t>
            </w:r>
          </w:p>
        </w:tc>
        <w:tc>
          <w:tcPr>
            <w:tcW w:w="4119" w:type="dxa"/>
            <w:gridSpan w:val="2"/>
          </w:tcPr>
          <w:p w:rsidR="006B4692" w:rsidRDefault="006B4692" w:rsidP="006B4692">
            <w:pPr>
              <w:rPr>
                <w:rtl/>
              </w:rPr>
            </w:pPr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רבא אמר גזירה שמא יאמרו טבילה בת יומא עולה לה</w:t>
            </w:r>
            <w:r>
              <w:rPr>
                <w:rFonts w:hint="cs"/>
                <w:rtl/>
              </w:rPr>
              <w:t xml:space="preserve"> (ואין צריך הערב שמש)</w:t>
            </w:r>
          </w:p>
        </w:tc>
      </w:tr>
      <w:tr w:rsidR="006B4692" w:rsidTr="006B4692">
        <w:tc>
          <w:tcPr>
            <w:tcW w:w="2396" w:type="dxa"/>
            <w:tcBorders>
              <w:bottom w:val="single" w:sz="4" w:space="0" w:color="auto"/>
            </w:tcBorders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ששברו לגמרי </w:t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>יש חשש שבפעם אחרת לא יקבנו בכדי טהרתו.</w:t>
            </w:r>
          </w:p>
        </w:tc>
        <w:tc>
          <w:tcPr>
            <w:tcW w:w="4119" w:type="dxa"/>
            <w:gridSpan w:val="2"/>
            <w:tcBorders>
              <w:bottom w:val="single" w:sz="4" w:space="0" w:color="auto"/>
            </w:tcBorders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כיוון ששברו לגמרי זה נראה ולא יאמרו שאין צריך הערב שמש </w:t>
            </w:r>
          </w:p>
        </w:tc>
      </w:tr>
      <w:tr w:rsidR="006B4692" w:rsidTr="006B4692">
        <w:tc>
          <w:tcPr>
            <w:tcW w:w="2396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Fonts w:hint="cs"/>
                <w:rtl/>
              </w:rPr>
            </w:pPr>
          </w:p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2414" w:type="dxa"/>
            <w:tcBorders>
              <w:left w:val="nil"/>
              <w:right w:val="nil"/>
            </w:tcBorders>
          </w:tcPr>
          <w:p w:rsidR="006B4692" w:rsidRDefault="006B4692" w:rsidP="006B4692">
            <w:pPr>
              <w:rPr>
                <w:rtl/>
              </w:rPr>
            </w:pPr>
          </w:p>
        </w:tc>
      </w:tr>
      <w:tr w:rsidR="006B4692" w:rsidTr="006B4692">
        <w:tc>
          <w:tcPr>
            <w:tcW w:w="9923" w:type="dxa"/>
            <w:gridSpan w:val="6"/>
          </w:tcPr>
          <w:p w:rsidR="006B4692" w:rsidRDefault="006B4692" w:rsidP="006B46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עוד אחת </w:t>
            </w:r>
            <w:proofErr w:type="spellStart"/>
            <w:r>
              <w:rPr>
                <w:rFonts w:hint="cs"/>
                <w:rtl/>
              </w:rPr>
              <w:t>מיח</w:t>
            </w:r>
            <w:proofErr w:type="spellEnd"/>
            <w:r>
              <w:rPr>
                <w:rFonts w:hint="cs"/>
                <w:rtl/>
              </w:rPr>
              <w:t xml:space="preserve"> הגזרות שגזרו בעליית חנניה</w:t>
            </w:r>
          </w:p>
        </w:tc>
      </w:tr>
      <w:tr w:rsidR="006B4692" w:rsidTr="006B4692">
        <w:tc>
          <w:tcPr>
            <w:tcW w:w="2396" w:type="dxa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הקדמה </w:t>
            </w:r>
          </w:p>
        </w:tc>
        <w:tc>
          <w:tcPr>
            <w:tcW w:w="7527" w:type="dxa"/>
            <w:gridSpan w:val="5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>מים שאובים , פסולים את המקווה. השאלה מתי נקרא ששאבו אותם</w:t>
            </w:r>
          </w:p>
        </w:tc>
      </w:tr>
      <w:tr w:rsidR="006B4692" w:rsidTr="006B4692">
        <w:tc>
          <w:tcPr>
            <w:tcW w:w="9923" w:type="dxa"/>
            <w:gridSpan w:val="6"/>
          </w:tcPr>
          <w:p w:rsidR="006B4692" w:rsidRDefault="006B4692" w:rsidP="006B4692">
            <w:pPr>
              <w:rPr>
                <w:rtl/>
              </w:rPr>
            </w:pPr>
            <w:r w:rsidRPr="00DA0BC0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המניח </w:t>
            </w:r>
            <w:r w:rsidRPr="00DA0BC0">
              <w:rPr>
                <w:rFonts w:ascii="Arial" w:eastAsia="Times New Roman" w:hAnsi="Arial" w:cs="Arial"/>
                <w:color w:val="000000"/>
                <w:sz w:val="23"/>
                <w:szCs w:val="23"/>
                <w:highlight w:val="yellow"/>
                <w:rtl/>
              </w:rPr>
              <w:t>כלים</w:t>
            </w:r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תחת הצינור לקבל בהן מי גשמים אחד כלים גדולים ואחד כלים קטנים ואפילו כלי אבנים וכלי אדמה וכלי גללים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(למרות שאינם מקבלים טומאה נחשבים לשאובים) </w:t>
            </w:r>
            <w:proofErr w:type="spellStart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פוסלין</w:t>
            </w:r>
            <w:proofErr w:type="spellEnd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את </w:t>
            </w:r>
            <w:proofErr w:type="spellStart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המקוה</w:t>
            </w:r>
            <w:proofErr w:type="spellEnd"/>
          </w:p>
        </w:tc>
      </w:tr>
      <w:tr w:rsidR="006B4692" w:rsidTr="006B4692">
        <w:tc>
          <w:tcPr>
            <w:tcW w:w="9923" w:type="dxa"/>
            <w:gridSpan w:val="6"/>
          </w:tcPr>
          <w:p w:rsidR="006B4692" w:rsidRDefault="006B4692" w:rsidP="006B4692">
            <w:pPr>
              <w:jc w:val="center"/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 w:rsidRPr="00400FFF"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yellow"/>
                <w:rtl/>
              </w:rPr>
              <w:t>השוכח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כלי </w:t>
            </w:r>
            <w:r w:rsidRPr="00400FFF"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yellow"/>
                <w:rtl/>
              </w:rPr>
              <w:t>בחצר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לכולם לא נחשב שאובים </w:t>
            </w:r>
          </w:p>
          <w:p w:rsidR="006B4692" w:rsidRDefault="006B4692" w:rsidP="006B4692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400FFF">
              <w:rPr>
                <w:rFonts w:ascii="Arial" w:eastAsia="Times New Roman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השוכח שהניחם </w:t>
            </w:r>
            <w:r w:rsidRPr="00400FFF">
              <w:rPr>
                <w:rFonts w:ascii="Arial" w:eastAsia="Times New Roman" w:hAnsi="Arial" w:cs="Arial" w:hint="cs"/>
                <w:color w:val="000000"/>
                <w:sz w:val="23"/>
                <w:szCs w:val="23"/>
                <w:highlight w:val="yellow"/>
                <w:rtl/>
              </w:rPr>
              <w:t>תחת הצינור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בשעת קישור עבים </w:t>
            </w:r>
            <w:proofErr w:type="spellStart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ונתפזרו</w:t>
            </w:r>
            <w:proofErr w:type="spellEnd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וחזרו </w:t>
            </w:r>
            <w:proofErr w:type="spellStart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ונתקשרו</w:t>
            </w:r>
            <w:proofErr w:type="spellEnd"/>
          </w:p>
        </w:tc>
      </w:tr>
      <w:tr w:rsidR="006B4692" w:rsidTr="006B4692">
        <w:tc>
          <w:tcPr>
            <w:tcW w:w="2727" w:type="dxa"/>
            <w:gridSpan w:val="2"/>
          </w:tcPr>
          <w:p w:rsidR="006B4692" w:rsidRDefault="006B4692" w:rsidP="006B4692">
            <w:pPr>
              <w:rPr>
                <w:rtl/>
              </w:rPr>
            </w:pPr>
          </w:p>
        </w:tc>
        <w:tc>
          <w:tcPr>
            <w:tcW w:w="3077" w:type="dxa"/>
            <w:gridSpan w:val="2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ית שמאי 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מטמאין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לא בטלה מחשבתו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4119" w:type="dxa"/>
            <w:gridSpan w:val="2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וב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ית הלל </w:t>
            </w:r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מטהרין</w:t>
            </w:r>
            <w:proofErr w:type="spellEnd"/>
            <w:r w:rsidRPr="00CA754C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בטלה מחשבתו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B4692" w:rsidTr="006B4692">
        <w:tc>
          <w:tcPr>
            <w:tcW w:w="2727" w:type="dxa"/>
            <w:gridSpan w:val="2"/>
          </w:tcPr>
          <w:p w:rsidR="006B4692" w:rsidRDefault="006B4692" w:rsidP="006B469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מאיר </w:t>
            </w:r>
          </w:p>
        </w:tc>
        <w:tc>
          <w:tcPr>
            <w:tcW w:w="3077" w:type="dxa"/>
            <w:gridSpan w:val="2"/>
          </w:tcPr>
          <w:p w:rsidR="006B4692" w:rsidRDefault="006B4692" w:rsidP="006B469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בית שמאי נמנו ורבו על בית הלל</w:t>
            </w:r>
          </w:p>
        </w:tc>
        <w:tc>
          <w:tcPr>
            <w:tcW w:w="4119" w:type="dxa"/>
            <w:gridSpan w:val="2"/>
          </w:tcPr>
          <w:p w:rsidR="006B4692" w:rsidRDefault="006B4692" w:rsidP="006B469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6B4692" w:rsidTr="006B4692">
        <w:tc>
          <w:tcPr>
            <w:tcW w:w="2727" w:type="dxa"/>
            <w:gridSpan w:val="2"/>
          </w:tcPr>
          <w:p w:rsidR="006B4692" w:rsidRDefault="006B4692" w:rsidP="006B469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רבי יוסי </w:t>
            </w:r>
          </w:p>
        </w:tc>
        <w:tc>
          <w:tcPr>
            <w:tcW w:w="7196" w:type="dxa"/>
            <w:gridSpan w:val="4"/>
          </w:tcPr>
          <w:p w:rsidR="006B4692" w:rsidRDefault="006B4692" w:rsidP="006B4692">
            <w:pP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עדיין הם חולקים ואף אחד לא ניצח את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חבירו</w:t>
            </w:r>
            <w:proofErr w:type="spellEnd"/>
          </w:p>
          <w:p w:rsidR="006B4692" w:rsidRDefault="006B4692" w:rsidP="006B469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ולכן הדבר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ההנוסף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שגזרו הוא שנות כותים נידות מעריסתן </w:t>
            </w:r>
          </w:p>
        </w:tc>
      </w:tr>
    </w:tbl>
    <w:p w:rsidR="006B4692" w:rsidRPr="00383703" w:rsidRDefault="006B4692" w:rsidP="006B4692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טבלאות עזר של מסקנ</w:t>
      </w:r>
      <w:bookmarkStart w:id="0" w:name="_GoBack"/>
      <w:bookmarkEnd w:id="0"/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ות הגמרא </w:t>
      </w:r>
      <w:proofErr w:type="spellStart"/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 w:rsidRPr="006B469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Pr="006B469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טז</w:t>
      </w:r>
      <w:proofErr w:type="spellEnd"/>
    </w:p>
    <w:p w:rsidR="00CA754C" w:rsidRPr="006B4692" w:rsidRDefault="00CA754C" w:rsidP="00CA754C">
      <w:pPr>
        <w:rPr>
          <w:rFonts w:hint="cs"/>
          <w:rtl/>
        </w:rPr>
      </w:pPr>
    </w:p>
    <w:p w:rsidR="00CA754C" w:rsidRDefault="00CA754C" w:rsidP="00CA754C">
      <w:pPr>
        <w:rPr>
          <w:rFonts w:hint="cs"/>
          <w:rtl/>
        </w:rPr>
      </w:pPr>
    </w:p>
    <w:p w:rsidR="00CA754C" w:rsidRDefault="00CA754C" w:rsidP="00CA754C">
      <w:pPr>
        <w:rPr>
          <w:rFonts w:hint="cs"/>
          <w:rtl/>
        </w:rPr>
      </w:pPr>
    </w:p>
    <w:p w:rsidR="00CA754C" w:rsidRDefault="00CA754C" w:rsidP="00CA754C"/>
    <w:p w:rsidR="00CA754C" w:rsidRPr="00CA754C" w:rsidRDefault="00CA754C" w:rsidP="00CA754C"/>
    <w:sectPr w:rsidR="00CA754C" w:rsidRPr="00CA754C" w:rsidSect="00C615BF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81" w:rsidRDefault="00944F81" w:rsidP="006B4692">
      <w:pPr>
        <w:spacing w:after="0" w:line="240" w:lineRule="auto"/>
      </w:pPr>
      <w:r>
        <w:separator/>
      </w:r>
    </w:p>
  </w:endnote>
  <w:endnote w:type="continuationSeparator" w:id="0">
    <w:p w:rsidR="00944F81" w:rsidRDefault="00944F81" w:rsidP="006B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92" w:rsidRDefault="006B4692" w:rsidP="006B4692">
    <w:pPr>
      <w:pStyle w:val="a6"/>
      <w:rPr>
        <w:rFonts w:hint="cs"/>
        <w:rtl/>
      </w:rPr>
    </w:pPr>
    <w:r>
      <w:rPr>
        <w:rFonts w:hint="cs"/>
        <w:rtl/>
      </w:rPr>
      <w:t>ללומדים: אלו סיכומים שלא עברו הגהה ומוגשים לכם בוורד כדי שתשנו  ותגיהו ותרבו תורה כפי רצונכם. הערות והארות חנניה 0525669881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81" w:rsidRDefault="00944F81" w:rsidP="006B4692">
      <w:pPr>
        <w:spacing w:after="0" w:line="240" w:lineRule="auto"/>
      </w:pPr>
      <w:r>
        <w:separator/>
      </w:r>
    </w:p>
  </w:footnote>
  <w:footnote w:type="continuationSeparator" w:id="0">
    <w:p w:rsidR="00944F81" w:rsidRDefault="00944F81" w:rsidP="006B4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4C"/>
    <w:rsid w:val="000F3A6E"/>
    <w:rsid w:val="0019690D"/>
    <w:rsid w:val="0028483B"/>
    <w:rsid w:val="00357AB1"/>
    <w:rsid w:val="00400FFF"/>
    <w:rsid w:val="00560A94"/>
    <w:rsid w:val="00622EB1"/>
    <w:rsid w:val="006B4692"/>
    <w:rsid w:val="00944F81"/>
    <w:rsid w:val="00BB580C"/>
    <w:rsid w:val="00C615BF"/>
    <w:rsid w:val="00CA754C"/>
    <w:rsid w:val="00D13518"/>
    <w:rsid w:val="00D766E4"/>
    <w:rsid w:val="00D85ADE"/>
    <w:rsid w:val="00DA0BC0"/>
    <w:rsid w:val="00D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46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B4692"/>
  </w:style>
  <w:style w:type="paragraph" w:styleId="a6">
    <w:name w:val="footer"/>
    <w:basedOn w:val="a"/>
    <w:link w:val="a7"/>
    <w:uiPriority w:val="99"/>
    <w:unhideWhenUsed/>
    <w:rsid w:val="006B46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B4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46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6B4692"/>
  </w:style>
  <w:style w:type="paragraph" w:styleId="a6">
    <w:name w:val="footer"/>
    <w:basedOn w:val="a"/>
    <w:link w:val="a7"/>
    <w:uiPriority w:val="99"/>
    <w:unhideWhenUsed/>
    <w:rsid w:val="006B46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6B4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53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265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7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2012-10-18T06:22:00Z</dcterms:created>
  <dcterms:modified xsi:type="dcterms:W3CDTF">2012-10-18T11:56:00Z</dcterms:modified>
</cp:coreProperties>
</file>