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CB7668" w14:textId="77777777" w:rsidR="00940290" w:rsidRDefault="00940290" w:rsidP="00940290">
      <w:pPr>
        <w:pStyle w:val="ab"/>
        <w:rPr>
          <w:rFonts w:hint="cs"/>
          <w:sz w:val="62"/>
          <w:szCs w:val="60"/>
          <w:rtl/>
        </w:rPr>
      </w:pPr>
      <w:bookmarkStart w:id="0" w:name="_GoBack"/>
      <w:bookmarkEnd w:id="0"/>
      <w:r>
        <w:rPr>
          <w:rFonts w:hint="cs"/>
          <w:sz w:val="62"/>
          <w:szCs w:val="60"/>
          <w:rtl/>
        </w:rPr>
        <w:t>מסכת שבת</w:t>
      </w:r>
    </w:p>
    <w:p w14:paraId="728A405B" w14:textId="77777777" w:rsidR="00940290" w:rsidRDefault="00940290" w:rsidP="00940290">
      <w:pPr>
        <w:pStyle w:val="ab"/>
        <w:rPr>
          <w:rFonts w:hint="cs"/>
          <w:sz w:val="62"/>
          <w:szCs w:val="60"/>
          <w:rtl/>
        </w:rPr>
      </w:pPr>
      <w:r>
        <w:rPr>
          <w:rFonts w:hint="cs"/>
          <w:sz w:val="62"/>
          <w:szCs w:val="60"/>
          <w:rtl/>
        </w:rPr>
        <w:t>פרק א'</w:t>
      </w:r>
    </w:p>
    <w:p w14:paraId="3CD3D553" w14:textId="77777777" w:rsidR="00940290" w:rsidRDefault="00940290" w:rsidP="00940290">
      <w:pPr>
        <w:pStyle w:val="1"/>
        <w:rPr>
          <w:rFonts w:hint="cs"/>
          <w:rtl/>
        </w:rPr>
      </w:pPr>
      <w:r>
        <w:rPr>
          <w:rFonts w:hint="cs"/>
          <w:rtl/>
        </w:rPr>
        <w:t>דף ב, א (</w:t>
      </w:r>
      <w:r>
        <w:rPr>
          <w:rtl/>
        </w:rPr>
        <w:t>פ</w:t>
      </w:r>
      <w:r>
        <w:rPr>
          <w:rFonts w:hint="cs"/>
          <w:rtl/>
        </w:rPr>
        <w:t>"</w:t>
      </w:r>
      <w:r>
        <w:rPr>
          <w:rtl/>
        </w:rPr>
        <w:t>א מ</w:t>
      </w:r>
      <w:r>
        <w:rPr>
          <w:rFonts w:hint="cs"/>
          <w:rtl/>
        </w:rPr>
        <w:t>"</w:t>
      </w:r>
      <w:r>
        <w:rPr>
          <w:rtl/>
        </w:rPr>
        <w:t>א</w:t>
      </w:r>
      <w:r>
        <w:rPr>
          <w:rFonts w:hint="cs"/>
          <w:rtl/>
        </w:rPr>
        <w:t>): "</w:t>
      </w:r>
      <w:r>
        <w:rPr>
          <w:rtl/>
        </w:rPr>
        <w:t>ונתן לתוך ידו של עני</w:t>
      </w:r>
      <w:r>
        <w:rPr>
          <w:rFonts w:hint="cs"/>
          <w:rtl/>
        </w:rPr>
        <w:t xml:space="preserve">" </w:t>
      </w:r>
    </w:p>
    <w:p w14:paraId="25ABAB25" w14:textId="77777777" w:rsidR="00940290" w:rsidRDefault="00940290" w:rsidP="00940290">
      <w:pPr>
        <w:pStyle w:val="2"/>
        <w:spacing w:before="120" w:after="120"/>
        <w:rPr>
          <w:rFonts w:hint="cs"/>
          <w:rtl/>
        </w:rPr>
      </w:pPr>
      <w:r>
        <w:rPr>
          <w:rFonts w:hint="cs"/>
          <w:rtl/>
        </w:rPr>
        <w:t>לאן נעלמה ה' היידוע של "</w:t>
      </w:r>
      <w:r>
        <w:rPr>
          <w:rFonts w:hint="cs"/>
          <w:b/>
          <w:bCs/>
          <w:rtl/>
        </w:rPr>
        <w:t>ה</w:t>
      </w:r>
      <w:r>
        <w:rPr>
          <w:rtl/>
        </w:rPr>
        <w:t>עני</w:t>
      </w:r>
      <w:r>
        <w:rPr>
          <w:rFonts w:hint="cs"/>
          <w:rtl/>
        </w:rPr>
        <w:t>"?</w:t>
      </w:r>
    </w:p>
    <w:p w14:paraId="45D163B0" w14:textId="77777777" w:rsidR="00940290" w:rsidRDefault="00940290" w:rsidP="00940290">
      <w:pPr>
        <w:ind w:firstLine="284"/>
        <w:rPr>
          <w:rFonts w:hint="cs"/>
          <w:rtl/>
        </w:rPr>
      </w:pPr>
      <w:r>
        <w:rPr>
          <w:rtl/>
        </w:rPr>
        <w:t>שנ</w:t>
      </w:r>
      <w:r>
        <w:rPr>
          <w:rFonts w:hint="cs"/>
          <w:rtl/>
        </w:rPr>
        <w:t>ינו: "</w:t>
      </w:r>
      <w:r>
        <w:rPr>
          <w:b/>
          <w:bCs/>
          <w:rtl/>
        </w:rPr>
        <w:t>העני</w:t>
      </w:r>
      <w:r>
        <w:rPr>
          <w:rtl/>
        </w:rPr>
        <w:t xml:space="preserve"> עומד בחוץ ו</w:t>
      </w:r>
      <w:r>
        <w:rPr>
          <w:b/>
          <w:bCs/>
          <w:rtl/>
        </w:rPr>
        <w:t>בעל הבית</w:t>
      </w:r>
      <w:r>
        <w:rPr>
          <w:rtl/>
        </w:rPr>
        <w:t xml:space="preserve"> בפנים, פשט </w:t>
      </w:r>
      <w:r>
        <w:rPr>
          <w:b/>
          <w:bCs/>
          <w:rtl/>
        </w:rPr>
        <w:t>העני</w:t>
      </w:r>
      <w:r>
        <w:rPr>
          <w:rtl/>
        </w:rPr>
        <w:t xml:space="preserve"> את ידו לפנים ונתן לתוך ידו של </w:t>
      </w:r>
      <w:r>
        <w:rPr>
          <w:b/>
          <w:bCs/>
          <w:rtl/>
        </w:rPr>
        <w:t>בעל הבית</w:t>
      </w:r>
      <w:r>
        <w:rPr>
          <w:rFonts w:hint="cs"/>
          <w:rtl/>
        </w:rPr>
        <w:t>" וכו'. בכל משנה זו מוזכרים שמות העצם "</w:t>
      </w:r>
      <w:r>
        <w:rPr>
          <w:rtl/>
        </w:rPr>
        <w:t>עני</w:t>
      </w:r>
      <w:r>
        <w:rPr>
          <w:rFonts w:hint="cs"/>
          <w:rtl/>
        </w:rPr>
        <w:t>" ו"</w:t>
      </w:r>
      <w:r>
        <w:rPr>
          <w:rtl/>
        </w:rPr>
        <w:t>בעל בית</w:t>
      </w:r>
      <w:r>
        <w:rPr>
          <w:rFonts w:hint="cs"/>
          <w:rtl/>
        </w:rPr>
        <w:t>" בתוספת ה' היידוע, כמודגש למעלה. ברם, במשפט הבא נאמר: "</w:t>
      </w:r>
      <w:r>
        <w:rPr>
          <w:rtl/>
        </w:rPr>
        <w:t xml:space="preserve">פשט </w:t>
      </w:r>
      <w:r>
        <w:rPr>
          <w:b/>
          <w:bCs/>
          <w:rtl/>
        </w:rPr>
        <w:t>בעל הבית</w:t>
      </w:r>
      <w:r>
        <w:rPr>
          <w:rtl/>
        </w:rPr>
        <w:t xml:space="preserve"> את ידו לחוץ ונתן לתוך ידו של </w:t>
      </w:r>
      <w:r>
        <w:rPr>
          <w:b/>
          <w:bCs/>
          <w:rtl/>
        </w:rPr>
        <w:t>עני</w:t>
      </w:r>
      <w:r>
        <w:rPr>
          <w:rFonts w:hint="cs"/>
          <w:rtl/>
        </w:rPr>
        <w:t>". מה נשתנה "עָנִי" זה מכל "הֶעָנִי" במשנה זו? מדוע לא נאמר "</w:t>
      </w:r>
      <w:r>
        <w:rPr>
          <w:rtl/>
        </w:rPr>
        <w:t xml:space="preserve">לתוך ידו של </w:t>
      </w:r>
      <w:r>
        <w:rPr>
          <w:rFonts w:hint="cs"/>
          <w:b/>
          <w:bCs/>
          <w:rtl/>
        </w:rPr>
        <w:t>הֶ</w:t>
      </w:r>
      <w:r>
        <w:rPr>
          <w:rtl/>
        </w:rPr>
        <w:t>עני</w:t>
      </w:r>
      <w:r>
        <w:rPr>
          <w:rFonts w:hint="cs"/>
          <w:rtl/>
        </w:rPr>
        <w:t>"?</w:t>
      </w:r>
    </w:p>
    <w:p w14:paraId="0CEA2817" w14:textId="77777777" w:rsidR="00940290" w:rsidRDefault="00940290" w:rsidP="00940290">
      <w:pPr>
        <w:ind w:firstLine="284"/>
        <w:rPr>
          <w:rFonts w:hint="cs"/>
          <w:rtl/>
        </w:rPr>
      </w:pPr>
      <w:r>
        <w:rPr>
          <w:rFonts w:hint="cs"/>
          <w:rtl/>
        </w:rPr>
        <w:t>כיוצא בדבר יש לשאול בנוסח המשנה בתחילת פרק רביעי בברכות: מדוע כל התפילות מיודעות ("</w:t>
      </w:r>
      <w:r>
        <w:rPr>
          <w:rtl/>
        </w:rPr>
        <w:t xml:space="preserve">תפלת </w:t>
      </w:r>
      <w:r>
        <w:rPr>
          <w:b/>
          <w:bCs/>
          <w:rtl/>
        </w:rPr>
        <w:t>ה</w:t>
      </w:r>
      <w:r>
        <w:rPr>
          <w:rtl/>
        </w:rPr>
        <w:t>שחר</w:t>
      </w:r>
      <w:r>
        <w:rPr>
          <w:rFonts w:hint="cs"/>
          <w:rtl/>
        </w:rPr>
        <w:t>",</w:t>
      </w:r>
      <w:r>
        <w:rPr>
          <w:rtl/>
        </w:rPr>
        <w:t xml:space="preserve"> </w:t>
      </w:r>
      <w:r>
        <w:rPr>
          <w:rFonts w:hint="cs"/>
          <w:rtl/>
        </w:rPr>
        <w:t>"</w:t>
      </w:r>
      <w:r>
        <w:rPr>
          <w:rtl/>
        </w:rPr>
        <w:t xml:space="preserve">תפלת </w:t>
      </w:r>
      <w:r>
        <w:rPr>
          <w:b/>
          <w:bCs/>
          <w:rtl/>
        </w:rPr>
        <w:t>ה</w:t>
      </w:r>
      <w:r>
        <w:rPr>
          <w:rtl/>
        </w:rPr>
        <w:t>מנחה</w:t>
      </w:r>
      <w:r>
        <w:rPr>
          <w:rFonts w:hint="cs"/>
          <w:rtl/>
        </w:rPr>
        <w:t>"</w:t>
      </w:r>
      <w:r>
        <w:rPr>
          <w:rtl/>
        </w:rPr>
        <w:t xml:space="preserve"> </w:t>
      </w:r>
      <w:r>
        <w:rPr>
          <w:rFonts w:hint="cs"/>
          <w:rtl/>
        </w:rPr>
        <w:t>ו"</w:t>
      </w:r>
      <w:r>
        <w:rPr>
          <w:rtl/>
        </w:rPr>
        <w:t xml:space="preserve">תפלת </w:t>
      </w:r>
      <w:r>
        <w:rPr>
          <w:b/>
          <w:bCs/>
          <w:rtl/>
        </w:rPr>
        <w:t>ה</w:t>
      </w:r>
      <w:r>
        <w:rPr>
          <w:rtl/>
        </w:rPr>
        <w:t>ערב</w:t>
      </w:r>
      <w:r>
        <w:rPr>
          <w:rFonts w:hint="cs"/>
          <w:rtl/>
        </w:rPr>
        <w:t>"), ורק תפילה אחת סתמית, ללא יידוע: התפילה "</w:t>
      </w:r>
      <w:r>
        <w:rPr>
          <w:rtl/>
        </w:rPr>
        <w:t>של</w:t>
      </w:r>
      <w:r>
        <w:rPr>
          <w:rFonts w:hint="cs"/>
          <w:rtl/>
        </w:rPr>
        <w:t xml:space="preserve"> </w:t>
      </w:r>
      <w:r>
        <w:rPr>
          <w:rtl/>
        </w:rPr>
        <w:t>מוספין</w:t>
      </w:r>
      <w:r>
        <w:rPr>
          <w:rFonts w:hint="cs"/>
          <w:rtl/>
        </w:rPr>
        <w:t>" (ולא "</w:t>
      </w:r>
      <w:r>
        <w:rPr>
          <w:rtl/>
        </w:rPr>
        <w:t>של</w:t>
      </w:r>
      <w:r>
        <w:rPr>
          <w:rFonts w:hint="cs"/>
          <w:rtl/>
        </w:rPr>
        <w:t xml:space="preserve"> </w:t>
      </w:r>
      <w:r>
        <w:rPr>
          <w:rFonts w:hint="cs"/>
          <w:b/>
          <w:bCs/>
          <w:rtl/>
        </w:rPr>
        <w:t>ה</w:t>
      </w:r>
      <w:r>
        <w:rPr>
          <w:rtl/>
        </w:rPr>
        <w:t>מוספין</w:t>
      </w:r>
      <w:r>
        <w:rPr>
          <w:rFonts w:hint="cs"/>
          <w:rtl/>
        </w:rPr>
        <w:t xml:space="preserve">")? </w:t>
      </w:r>
    </w:p>
    <w:p w14:paraId="0E10A2F8" w14:textId="77777777" w:rsidR="00940290" w:rsidRDefault="00940290" w:rsidP="00940290">
      <w:pPr>
        <w:ind w:firstLine="284"/>
        <w:rPr>
          <w:rFonts w:hint="cs"/>
          <w:sz w:val="26"/>
          <w:rtl/>
        </w:rPr>
      </w:pPr>
      <w:r>
        <w:rPr>
          <w:rFonts w:hint="cs"/>
          <w:sz w:val="26"/>
          <w:rtl/>
        </w:rPr>
        <w:t>קושיה שלישית, מעין הקודמות, יש לשאול על לשון המשנה בפרק קניין [ה]תורה</w:t>
      </w:r>
      <w:r>
        <w:rPr>
          <w:rStyle w:val="a4"/>
          <w:rtl/>
        </w:rPr>
        <w:footnoteReference w:id="1"/>
      </w:r>
      <w:r>
        <w:rPr>
          <w:rFonts w:hint="cs"/>
          <w:sz w:val="26"/>
          <w:rtl/>
        </w:rPr>
        <w:t xml:space="preserve">. פרק זה, אשר צורף לחמשת פרקי המשנה של </w:t>
      </w:r>
      <w:r>
        <w:rPr>
          <w:sz w:val="26"/>
          <w:rtl/>
        </w:rPr>
        <w:t xml:space="preserve">מסכת </w:t>
      </w:r>
      <w:r>
        <w:rPr>
          <w:rFonts w:hint="cs"/>
          <w:sz w:val="26"/>
          <w:rtl/>
        </w:rPr>
        <w:lastRenderedPageBreak/>
        <w:t>אבות, עוסק בדרכי הקנייה של תורתנו הקדושה. גם בפרק זה משמשות צורות סתמיות ומיודעות בערבוביה, כגון: "</w:t>
      </w:r>
      <w:r>
        <w:rPr>
          <w:sz w:val="26"/>
          <w:rtl/>
        </w:rPr>
        <w:t>אוי להם לבריות מעלבונה</w:t>
      </w:r>
      <w:r>
        <w:rPr>
          <w:rFonts w:hint="cs"/>
          <w:sz w:val="26"/>
          <w:rtl/>
        </w:rPr>
        <w:t xml:space="preserve"> </w:t>
      </w:r>
      <w:r>
        <w:rPr>
          <w:b/>
          <w:bCs/>
          <w:sz w:val="26"/>
          <w:rtl/>
        </w:rPr>
        <w:t>ש</w:t>
      </w:r>
      <w:r>
        <w:rPr>
          <w:rFonts w:hint="cs"/>
          <w:b/>
          <w:bCs/>
          <w:sz w:val="26"/>
          <w:rtl/>
        </w:rPr>
        <w:t>ֶ</w:t>
      </w:r>
      <w:r>
        <w:rPr>
          <w:b/>
          <w:bCs/>
          <w:sz w:val="26"/>
          <w:rtl/>
        </w:rPr>
        <w:t>ל ת</w:t>
      </w:r>
      <w:r>
        <w:rPr>
          <w:rFonts w:hint="cs"/>
          <w:b/>
          <w:bCs/>
          <w:sz w:val="26"/>
          <w:rtl/>
        </w:rPr>
        <w:t>ּ</w:t>
      </w:r>
      <w:r>
        <w:rPr>
          <w:b/>
          <w:bCs/>
          <w:sz w:val="26"/>
          <w:rtl/>
        </w:rPr>
        <w:t>ו</w:t>
      </w:r>
      <w:r>
        <w:rPr>
          <w:rFonts w:hint="cs"/>
          <w:b/>
          <w:bCs/>
          <w:sz w:val="26"/>
          <w:rtl/>
        </w:rPr>
        <w:t>ֹ</w:t>
      </w:r>
      <w:r>
        <w:rPr>
          <w:b/>
          <w:bCs/>
          <w:sz w:val="26"/>
          <w:rtl/>
        </w:rPr>
        <w:t>ר</w:t>
      </w:r>
      <w:r>
        <w:rPr>
          <w:rFonts w:hint="cs"/>
          <w:b/>
          <w:bCs/>
          <w:sz w:val="26"/>
          <w:rtl/>
        </w:rPr>
        <w:t>ָ</w:t>
      </w:r>
      <w:r>
        <w:rPr>
          <w:b/>
          <w:bCs/>
          <w:sz w:val="26"/>
          <w:rtl/>
        </w:rPr>
        <w:t>ה</w:t>
      </w:r>
      <w:r>
        <w:rPr>
          <w:rFonts w:hint="cs"/>
          <w:sz w:val="26"/>
          <w:rtl/>
        </w:rPr>
        <w:t xml:space="preserve">, </w:t>
      </w:r>
      <w:r>
        <w:rPr>
          <w:sz w:val="26"/>
          <w:rtl/>
        </w:rPr>
        <w:t xml:space="preserve">שכל מי שאינו עוסק </w:t>
      </w:r>
      <w:r>
        <w:rPr>
          <w:b/>
          <w:bCs/>
          <w:sz w:val="26"/>
          <w:rtl/>
        </w:rPr>
        <w:t>ב</w:t>
      </w:r>
      <w:r>
        <w:rPr>
          <w:rFonts w:hint="cs"/>
          <w:b/>
          <w:bCs/>
          <w:sz w:val="26"/>
          <w:rtl/>
        </w:rPr>
        <w:t>ַּ</w:t>
      </w:r>
      <w:r>
        <w:rPr>
          <w:b/>
          <w:bCs/>
          <w:sz w:val="26"/>
          <w:rtl/>
        </w:rPr>
        <w:t>ת</w:t>
      </w:r>
      <w:r>
        <w:rPr>
          <w:rFonts w:hint="cs"/>
          <w:b/>
          <w:bCs/>
          <w:sz w:val="26"/>
          <w:rtl/>
        </w:rPr>
        <w:t>ּ</w:t>
      </w:r>
      <w:r>
        <w:rPr>
          <w:b/>
          <w:bCs/>
          <w:sz w:val="26"/>
          <w:rtl/>
        </w:rPr>
        <w:t>ו</w:t>
      </w:r>
      <w:r>
        <w:rPr>
          <w:rFonts w:hint="cs"/>
          <w:b/>
          <w:bCs/>
          <w:sz w:val="26"/>
          <w:rtl/>
        </w:rPr>
        <w:t>ֹ</w:t>
      </w:r>
      <w:r>
        <w:rPr>
          <w:b/>
          <w:bCs/>
          <w:sz w:val="26"/>
          <w:rtl/>
        </w:rPr>
        <w:t>ר</w:t>
      </w:r>
      <w:r>
        <w:rPr>
          <w:rFonts w:hint="cs"/>
          <w:b/>
          <w:bCs/>
          <w:sz w:val="26"/>
          <w:rtl/>
        </w:rPr>
        <w:t>ָ</w:t>
      </w:r>
      <w:r>
        <w:rPr>
          <w:b/>
          <w:bCs/>
          <w:sz w:val="26"/>
          <w:rtl/>
        </w:rPr>
        <w:t xml:space="preserve">ה </w:t>
      </w:r>
      <w:r>
        <w:rPr>
          <w:sz w:val="26"/>
          <w:rtl/>
        </w:rPr>
        <w:t>נקרא נזוף</w:t>
      </w:r>
      <w:r>
        <w:rPr>
          <w:rFonts w:hint="cs"/>
          <w:sz w:val="26"/>
          <w:rtl/>
        </w:rPr>
        <w:t>" (</w:t>
      </w:r>
      <w:r>
        <w:rPr>
          <w:rFonts w:hint="cs"/>
          <w:sz w:val="18"/>
          <w:szCs w:val="20"/>
          <w:rtl/>
        </w:rPr>
        <w:t xml:space="preserve">פ"ו </w:t>
      </w:r>
      <w:r>
        <w:rPr>
          <w:sz w:val="18"/>
          <w:szCs w:val="20"/>
          <w:rtl/>
        </w:rPr>
        <w:t>מ</w:t>
      </w:r>
      <w:r>
        <w:rPr>
          <w:rFonts w:hint="cs"/>
          <w:sz w:val="18"/>
          <w:szCs w:val="20"/>
          <w:rtl/>
        </w:rPr>
        <w:t>"</w:t>
      </w:r>
      <w:r>
        <w:rPr>
          <w:sz w:val="18"/>
          <w:szCs w:val="20"/>
          <w:rtl/>
        </w:rPr>
        <w:t>ב</w:t>
      </w:r>
      <w:r>
        <w:rPr>
          <w:rFonts w:hint="cs"/>
          <w:sz w:val="26"/>
          <w:rtl/>
        </w:rPr>
        <w:t>), וכגון: "</w:t>
      </w:r>
      <w:r>
        <w:rPr>
          <w:sz w:val="26"/>
          <w:rtl/>
        </w:rPr>
        <w:t xml:space="preserve">כך היא דרכה </w:t>
      </w:r>
      <w:r>
        <w:rPr>
          <w:b/>
          <w:bCs/>
          <w:sz w:val="26"/>
          <w:rtl/>
        </w:rPr>
        <w:t>ש</w:t>
      </w:r>
      <w:r>
        <w:rPr>
          <w:rFonts w:hint="cs"/>
          <w:b/>
          <w:bCs/>
          <w:sz w:val="26"/>
          <w:rtl/>
        </w:rPr>
        <w:t>ֶ</w:t>
      </w:r>
      <w:r>
        <w:rPr>
          <w:b/>
          <w:bCs/>
          <w:sz w:val="26"/>
          <w:rtl/>
        </w:rPr>
        <w:t>ל ת</w:t>
      </w:r>
      <w:r>
        <w:rPr>
          <w:rFonts w:hint="cs"/>
          <w:b/>
          <w:bCs/>
          <w:sz w:val="26"/>
          <w:rtl/>
        </w:rPr>
        <w:t>ּ</w:t>
      </w:r>
      <w:r>
        <w:rPr>
          <w:b/>
          <w:bCs/>
          <w:sz w:val="26"/>
          <w:rtl/>
        </w:rPr>
        <w:t>ו</w:t>
      </w:r>
      <w:r>
        <w:rPr>
          <w:rFonts w:hint="cs"/>
          <w:b/>
          <w:bCs/>
          <w:sz w:val="26"/>
          <w:rtl/>
        </w:rPr>
        <w:t>ֹ</w:t>
      </w:r>
      <w:r>
        <w:rPr>
          <w:b/>
          <w:bCs/>
          <w:sz w:val="26"/>
          <w:rtl/>
        </w:rPr>
        <w:t>ר</w:t>
      </w:r>
      <w:r>
        <w:rPr>
          <w:rFonts w:hint="cs"/>
          <w:b/>
          <w:bCs/>
          <w:sz w:val="26"/>
          <w:rtl/>
        </w:rPr>
        <w:t>ָ</w:t>
      </w:r>
      <w:r>
        <w:rPr>
          <w:b/>
          <w:bCs/>
          <w:sz w:val="26"/>
          <w:rtl/>
        </w:rPr>
        <w:t>ה</w:t>
      </w:r>
      <w:r>
        <w:rPr>
          <w:rFonts w:hint="cs"/>
          <w:sz w:val="26"/>
          <w:rtl/>
        </w:rPr>
        <w:t xml:space="preserve">: </w:t>
      </w:r>
      <w:r>
        <w:rPr>
          <w:sz w:val="26"/>
          <w:rtl/>
        </w:rPr>
        <w:t>פת במלח תאכל</w:t>
      </w:r>
      <w:r>
        <w:rPr>
          <w:rFonts w:hint="cs"/>
          <w:sz w:val="26"/>
          <w:rtl/>
        </w:rPr>
        <w:t xml:space="preserve">... </w:t>
      </w:r>
      <w:r>
        <w:rPr>
          <w:b/>
          <w:bCs/>
          <w:sz w:val="26"/>
          <w:rtl/>
        </w:rPr>
        <w:t>ו</w:t>
      </w:r>
      <w:r>
        <w:rPr>
          <w:rFonts w:hint="cs"/>
          <w:b/>
          <w:bCs/>
          <w:sz w:val="26"/>
          <w:rtl/>
        </w:rPr>
        <w:t>ּ</w:t>
      </w:r>
      <w:r>
        <w:rPr>
          <w:b/>
          <w:bCs/>
          <w:sz w:val="26"/>
          <w:rtl/>
        </w:rPr>
        <w:t>ב</w:t>
      </w:r>
      <w:r>
        <w:rPr>
          <w:rFonts w:hint="cs"/>
          <w:b/>
          <w:bCs/>
          <w:sz w:val="26"/>
          <w:rtl/>
        </w:rPr>
        <w:t>ַ</w:t>
      </w:r>
      <w:r>
        <w:rPr>
          <w:b/>
          <w:bCs/>
          <w:sz w:val="26"/>
          <w:rtl/>
        </w:rPr>
        <w:t>ת</w:t>
      </w:r>
      <w:r>
        <w:rPr>
          <w:rFonts w:hint="cs"/>
          <w:b/>
          <w:bCs/>
          <w:sz w:val="26"/>
          <w:rtl/>
        </w:rPr>
        <w:t>ּ</w:t>
      </w:r>
      <w:r>
        <w:rPr>
          <w:b/>
          <w:bCs/>
          <w:sz w:val="26"/>
          <w:rtl/>
        </w:rPr>
        <w:t>ו</w:t>
      </w:r>
      <w:r>
        <w:rPr>
          <w:rFonts w:hint="cs"/>
          <w:b/>
          <w:bCs/>
          <w:sz w:val="26"/>
          <w:rtl/>
        </w:rPr>
        <w:t>ֹ</w:t>
      </w:r>
      <w:r>
        <w:rPr>
          <w:b/>
          <w:bCs/>
          <w:sz w:val="26"/>
          <w:rtl/>
        </w:rPr>
        <w:t>ר</w:t>
      </w:r>
      <w:r>
        <w:rPr>
          <w:rFonts w:hint="cs"/>
          <w:b/>
          <w:bCs/>
          <w:sz w:val="26"/>
          <w:rtl/>
        </w:rPr>
        <w:t>ָ</w:t>
      </w:r>
      <w:r>
        <w:rPr>
          <w:b/>
          <w:bCs/>
          <w:sz w:val="26"/>
          <w:rtl/>
        </w:rPr>
        <w:t>ה</w:t>
      </w:r>
      <w:r>
        <w:rPr>
          <w:sz w:val="26"/>
          <w:rtl/>
        </w:rPr>
        <w:t xml:space="preserve"> אתה עמל</w:t>
      </w:r>
      <w:r>
        <w:rPr>
          <w:rFonts w:hint="cs"/>
          <w:sz w:val="26"/>
          <w:rtl/>
        </w:rPr>
        <w:t>" (</w:t>
      </w:r>
      <w:r>
        <w:rPr>
          <w:rFonts w:hint="cs"/>
          <w:sz w:val="18"/>
          <w:szCs w:val="20"/>
          <w:rtl/>
        </w:rPr>
        <w:t>שם מ"ד</w:t>
      </w:r>
      <w:r>
        <w:rPr>
          <w:rFonts w:hint="cs"/>
          <w:sz w:val="26"/>
          <w:rtl/>
        </w:rPr>
        <w:t>). הואיל והמִלה "</w:t>
      </w:r>
      <w:r>
        <w:rPr>
          <w:b/>
          <w:bCs/>
          <w:sz w:val="26"/>
          <w:rtl/>
        </w:rPr>
        <w:t>ב</w:t>
      </w:r>
      <w:r>
        <w:rPr>
          <w:rFonts w:hint="cs"/>
          <w:b/>
          <w:bCs/>
          <w:sz w:val="26"/>
          <w:rtl/>
        </w:rPr>
        <w:t>ַּ</w:t>
      </w:r>
      <w:r>
        <w:rPr>
          <w:b/>
          <w:bCs/>
          <w:sz w:val="26"/>
          <w:rtl/>
        </w:rPr>
        <w:t>ת</w:t>
      </w:r>
      <w:r>
        <w:rPr>
          <w:rFonts w:hint="cs"/>
          <w:b/>
          <w:bCs/>
          <w:sz w:val="26"/>
          <w:rtl/>
        </w:rPr>
        <w:t>ּ</w:t>
      </w:r>
      <w:r>
        <w:rPr>
          <w:sz w:val="26"/>
          <w:rtl/>
        </w:rPr>
        <w:t>ו</w:t>
      </w:r>
      <w:r>
        <w:rPr>
          <w:rFonts w:hint="cs"/>
          <w:sz w:val="26"/>
          <w:rtl/>
        </w:rPr>
        <w:t>ֹ</w:t>
      </w:r>
      <w:r>
        <w:rPr>
          <w:sz w:val="26"/>
          <w:rtl/>
        </w:rPr>
        <w:t>ר</w:t>
      </w:r>
      <w:r>
        <w:rPr>
          <w:rFonts w:hint="cs"/>
          <w:sz w:val="26"/>
          <w:rtl/>
        </w:rPr>
        <w:t>ָ</w:t>
      </w:r>
      <w:r>
        <w:rPr>
          <w:sz w:val="26"/>
          <w:rtl/>
        </w:rPr>
        <w:t>ה</w:t>
      </w:r>
      <w:r>
        <w:rPr>
          <w:rFonts w:hint="cs"/>
          <w:sz w:val="26"/>
          <w:rtl/>
        </w:rPr>
        <w:t xml:space="preserve">" </w:t>
      </w:r>
      <w:r>
        <w:rPr>
          <w:rFonts w:hint="cs"/>
          <w:sz w:val="24"/>
          <w:rtl/>
        </w:rPr>
        <w:t>מיודעת (</w:t>
      </w:r>
      <w:r>
        <w:rPr>
          <w:rFonts w:ascii="Arial" w:hAnsi="Arial" w:cs="Arial" w:hint="cs"/>
          <w:sz w:val="24"/>
          <w:rtl/>
        </w:rPr>
        <w:t>=</w:t>
      </w:r>
      <w:r>
        <w:rPr>
          <w:rFonts w:hint="cs"/>
          <w:sz w:val="24"/>
          <w:rtl/>
        </w:rPr>
        <w:t xml:space="preserve"> "</w:t>
      </w:r>
      <w:r>
        <w:rPr>
          <w:rFonts w:hint="cs"/>
          <w:b/>
          <w:bCs/>
          <w:sz w:val="24"/>
          <w:rtl/>
        </w:rPr>
        <w:t>בְּ</w:t>
      </w:r>
      <w:r>
        <w:rPr>
          <w:rFonts w:ascii="Arial" w:hAnsi="Arial" w:cs="Arial" w:hint="cs"/>
          <w:sz w:val="24"/>
          <w:rtl/>
        </w:rPr>
        <w:t>+</w:t>
      </w:r>
      <w:r>
        <w:rPr>
          <w:rFonts w:hint="cs"/>
          <w:b/>
          <w:bCs/>
          <w:sz w:val="24"/>
          <w:rtl/>
        </w:rPr>
        <w:t>הַ</w:t>
      </w:r>
      <w:r>
        <w:rPr>
          <w:sz w:val="24"/>
          <w:rtl/>
        </w:rPr>
        <w:t>ת</w:t>
      </w:r>
      <w:r>
        <w:rPr>
          <w:rFonts w:hint="cs"/>
          <w:sz w:val="24"/>
          <w:rtl/>
        </w:rPr>
        <w:t>ּ</w:t>
      </w:r>
      <w:r>
        <w:rPr>
          <w:sz w:val="24"/>
          <w:rtl/>
        </w:rPr>
        <w:t>ו</w:t>
      </w:r>
      <w:r>
        <w:rPr>
          <w:rFonts w:hint="cs"/>
          <w:sz w:val="24"/>
          <w:rtl/>
        </w:rPr>
        <w:t>ֹ</w:t>
      </w:r>
      <w:r>
        <w:rPr>
          <w:sz w:val="24"/>
          <w:rtl/>
        </w:rPr>
        <w:t>ר</w:t>
      </w:r>
      <w:r>
        <w:rPr>
          <w:rFonts w:hint="cs"/>
          <w:sz w:val="24"/>
          <w:rtl/>
        </w:rPr>
        <w:t>ָ</w:t>
      </w:r>
      <w:r>
        <w:rPr>
          <w:sz w:val="24"/>
          <w:rtl/>
        </w:rPr>
        <w:t>ה</w:t>
      </w:r>
      <w:r>
        <w:rPr>
          <w:rFonts w:hint="cs"/>
          <w:sz w:val="24"/>
          <w:rtl/>
        </w:rPr>
        <w:t>", לעומת "</w:t>
      </w:r>
      <w:r>
        <w:rPr>
          <w:rFonts w:hint="cs"/>
          <w:b/>
          <w:bCs/>
          <w:sz w:val="24"/>
          <w:rtl/>
        </w:rPr>
        <w:t>בְּ</w:t>
      </w:r>
      <w:r>
        <w:rPr>
          <w:sz w:val="24"/>
          <w:rtl/>
        </w:rPr>
        <w:t>תו</w:t>
      </w:r>
      <w:r>
        <w:rPr>
          <w:rFonts w:hint="cs"/>
          <w:sz w:val="24"/>
          <w:rtl/>
        </w:rPr>
        <w:t>ֹ</w:t>
      </w:r>
      <w:r>
        <w:rPr>
          <w:sz w:val="24"/>
          <w:rtl/>
        </w:rPr>
        <w:t>ר</w:t>
      </w:r>
      <w:r>
        <w:rPr>
          <w:rFonts w:hint="cs"/>
          <w:sz w:val="24"/>
          <w:rtl/>
        </w:rPr>
        <w:t>ָ</w:t>
      </w:r>
      <w:r>
        <w:rPr>
          <w:sz w:val="24"/>
          <w:rtl/>
        </w:rPr>
        <w:t>ה</w:t>
      </w:r>
      <w:r>
        <w:rPr>
          <w:rFonts w:hint="cs"/>
          <w:sz w:val="24"/>
          <w:rtl/>
        </w:rPr>
        <w:t xml:space="preserve">") </w:t>
      </w:r>
      <w:r>
        <w:rPr>
          <w:rFonts w:hint="cs"/>
          <w:sz w:val="26"/>
          <w:rtl/>
        </w:rPr>
        <w:t>פעמיים, היה מתבקש לִשְנות עם יידוע בכל המשנה: "</w:t>
      </w:r>
      <w:r>
        <w:rPr>
          <w:sz w:val="26"/>
          <w:rtl/>
        </w:rPr>
        <w:t>עלבונה</w:t>
      </w:r>
      <w:r>
        <w:rPr>
          <w:rFonts w:hint="cs"/>
          <w:sz w:val="26"/>
          <w:rtl/>
        </w:rPr>
        <w:t xml:space="preserve"> </w:t>
      </w:r>
      <w:r>
        <w:rPr>
          <w:sz w:val="26"/>
          <w:rtl/>
        </w:rPr>
        <w:t>ש</w:t>
      </w:r>
      <w:r>
        <w:rPr>
          <w:rFonts w:hint="cs"/>
          <w:sz w:val="26"/>
          <w:rtl/>
        </w:rPr>
        <w:t>ֶ</w:t>
      </w:r>
      <w:r>
        <w:rPr>
          <w:sz w:val="26"/>
          <w:rtl/>
        </w:rPr>
        <w:t xml:space="preserve">ל </w:t>
      </w:r>
      <w:r>
        <w:rPr>
          <w:rFonts w:hint="cs"/>
          <w:b/>
          <w:bCs/>
          <w:sz w:val="26"/>
          <w:rtl/>
        </w:rPr>
        <w:t>הַ</w:t>
      </w:r>
      <w:r>
        <w:rPr>
          <w:sz w:val="26"/>
          <w:rtl/>
        </w:rPr>
        <w:t>ת</w:t>
      </w:r>
      <w:r>
        <w:rPr>
          <w:rFonts w:hint="cs"/>
          <w:sz w:val="26"/>
          <w:rtl/>
        </w:rPr>
        <w:t>ּ</w:t>
      </w:r>
      <w:r>
        <w:rPr>
          <w:sz w:val="26"/>
          <w:rtl/>
        </w:rPr>
        <w:t>ו</w:t>
      </w:r>
      <w:r>
        <w:rPr>
          <w:rFonts w:hint="cs"/>
          <w:sz w:val="26"/>
          <w:rtl/>
        </w:rPr>
        <w:t>ֹ</w:t>
      </w:r>
      <w:r>
        <w:rPr>
          <w:sz w:val="26"/>
          <w:rtl/>
        </w:rPr>
        <w:t>ר</w:t>
      </w:r>
      <w:r>
        <w:rPr>
          <w:rFonts w:hint="cs"/>
          <w:sz w:val="26"/>
          <w:rtl/>
        </w:rPr>
        <w:t>ָ</w:t>
      </w:r>
      <w:r>
        <w:rPr>
          <w:sz w:val="26"/>
          <w:rtl/>
        </w:rPr>
        <w:t>ה</w:t>
      </w:r>
      <w:r>
        <w:rPr>
          <w:rFonts w:hint="cs"/>
          <w:sz w:val="26"/>
          <w:rtl/>
        </w:rPr>
        <w:t xml:space="preserve">... </w:t>
      </w:r>
      <w:r>
        <w:rPr>
          <w:sz w:val="26"/>
          <w:rtl/>
        </w:rPr>
        <w:t>דרכה ש</w:t>
      </w:r>
      <w:r>
        <w:rPr>
          <w:rFonts w:hint="cs"/>
          <w:sz w:val="26"/>
          <w:rtl/>
        </w:rPr>
        <w:t>ֶ</w:t>
      </w:r>
      <w:r>
        <w:rPr>
          <w:sz w:val="26"/>
          <w:rtl/>
        </w:rPr>
        <w:t xml:space="preserve">ל </w:t>
      </w:r>
      <w:r>
        <w:rPr>
          <w:rFonts w:hint="cs"/>
          <w:b/>
          <w:bCs/>
          <w:sz w:val="26"/>
          <w:rtl/>
        </w:rPr>
        <w:t>הַ</w:t>
      </w:r>
      <w:r>
        <w:rPr>
          <w:sz w:val="26"/>
          <w:rtl/>
        </w:rPr>
        <w:t>ת</w:t>
      </w:r>
      <w:r>
        <w:rPr>
          <w:rFonts w:hint="cs"/>
          <w:sz w:val="26"/>
          <w:rtl/>
        </w:rPr>
        <w:t>ּ</w:t>
      </w:r>
      <w:r>
        <w:rPr>
          <w:sz w:val="26"/>
          <w:rtl/>
        </w:rPr>
        <w:t>ו</w:t>
      </w:r>
      <w:r>
        <w:rPr>
          <w:rFonts w:hint="cs"/>
          <w:sz w:val="26"/>
          <w:rtl/>
        </w:rPr>
        <w:t>ֹ</w:t>
      </w:r>
      <w:r>
        <w:rPr>
          <w:sz w:val="26"/>
          <w:rtl/>
        </w:rPr>
        <w:t>ר</w:t>
      </w:r>
      <w:r>
        <w:rPr>
          <w:rFonts w:hint="cs"/>
          <w:sz w:val="26"/>
          <w:rtl/>
        </w:rPr>
        <w:t>ָ</w:t>
      </w:r>
      <w:r>
        <w:rPr>
          <w:sz w:val="26"/>
          <w:rtl/>
        </w:rPr>
        <w:t>ה</w:t>
      </w:r>
      <w:r>
        <w:rPr>
          <w:rFonts w:hint="cs"/>
          <w:sz w:val="26"/>
          <w:rtl/>
        </w:rPr>
        <w:t>"! הבדל זה משמעותי מאוד, משום שהמונח "תורה" באופן סתמי עלול להתפרש על כל תורה (</w:t>
      </w:r>
      <w:r>
        <w:rPr>
          <w:rFonts w:hint="cs"/>
          <w:sz w:val="18"/>
          <w:szCs w:val="20"/>
          <w:rtl/>
        </w:rPr>
        <w:t>כגון "תורת היחסוּת" של אלברט איינשטיין</w:t>
      </w:r>
      <w:r>
        <w:rPr>
          <w:rFonts w:hint="cs"/>
          <w:sz w:val="26"/>
          <w:rtl/>
        </w:rPr>
        <w:t>), לעומת "</w:t>
      </w:r>
      <w:r>
        <w:rPr>
          <w:rFonts w:hint="cs"/>
          <w:b/>
          <w:bCs/>
          <w:sz w:val="26"/>
          <w:rtl/>
        </w:rPr>
        <w:t>הַ</w:t>
      </w:r>
      <w:r>
        <w:rPr>
          <w:sz w:val="26"/>
          <w:rtl/>
        </w:rPr>
        <w:t>ת</w:t>
      </w:r>
      <w:r>
        <w:rPr>
          <w:rFonts w:hint="cs"/>
          <w:sz w:val="26"/>
          <w:rtl/>
        </w:rPr>
        <w:t>ּ</w:t>
      </w:r>
      <w:r>
        <w:rPr>
          <w:sz w:val="26"/>
          <w:rtl/>
        </w:rPr>
        <w:t>ו</w:t>
      </w:r>
      <w:r>
        <w:rPr>
          <w:rFonts w:hint="cs"/>
          <w:sz w:val="26"/>
          <w:rtl/>
        </w:rPr>
        <w:t>ֹ</w:t>
      </w:r>
      <w:r>
        <w:rPr>
          <w:sz w:val="26"/>
          <w:rtl/>
        </w:rPr>
        <w:t>ר</w:t>
      </w:r>
      <w:r>
        <w:rPr>
          <w:rFonts w:hint="cs"/>
          <w:sz w:val="26"/>
          <w:rtl/>
        </w:rPr>
        <w:t>ָ</w:t>
      </w:r>
      <w:r>
        <w:rPr>
          <w:sz w:val="26"/>
          <w:rtl/>
        </w:rPr>
        <w:t>ה</w:t>
      </w:r>
      <w:r>
        <w:rPr>
          <w:rFonts w:hint="cs"/>
          <w:sz w:val="26"/>
          <w:rtl/>
        </w:rPr>
        <w:t>" המיודעת, דהיינו התורה הקדושה, תורת ה' לעמו ישראל.</w:t>
      </w:r>
    </w:p>
    <w:p w14:paraId="2F48C8CE" w14:textId="77777777" w:rsidR="00940290" w:rsidRDefault="00940290" w:rsidP="00940290">
      <w:pPr>
        <w:ind w:firstLine="284"/>
        <w:rPr>
          <w:rFonts w:hint="cs"/>
          <w:rtl/>
        </w:rPr>
      </w:pPr>
      <w:r>
        <w:rPr>
          <w:rFonts w:hint="cs"/>
          <w:rtl/>
        </w:rPr>
        <w:t xml:space="preserve">אם נבין את תהליך לידתה של המִלית "שֶׁל", יוסברו תמיהות אלו, ללא צורך בתירוצים מפולפלים. </w:t>
      </w:r>
    </w:p>
    <w:p w14:paraId="164C4FF8" w14:textId="77777777" w:rsidR="00940290" w:rsidRDefault="00940290" w:rsidP="00940290">
      <w:pPr>
        <w:ind w:firstLine="284"/>
        <w:rPr>
          <w:rFonts w:hint="cs"/>
          <w:rtl/>
        </w:rPr>
      </w:pPr>
      <w:r>
        <w:rPr>
          <w:rFonts w:hint="cs"/>
          <w:rtl/>
        </w:rPr>
        <w:t>המִלית "שֶׁל" היא אחד ממאפייניה הבולטים של לשון חז"ל. "שֶׁל" היא הרכּבה של שתי אותיות שימוש: שׁ' הזיקה (</w:t>
      </w:r>
      <w:r>
        <w:rPr>
          <w:rFonts w:hint="cs"/>
          <w:sz w:val="18"/>
          <w:szCs w:val="20"/>
          <w:rtl/>
        </w:rPr>
        <w:t>שהיא קיצורהּ של מִלית הזיקה "</w:t>
      </w:r>
      <w:r>
        <w:rPr>
          <w:sz w:val="18"/>
          <w:szCs w:val="20"/>
          <w:rtl/>
        </w:rPr>
        <w:t>אֲשֶׁר</w:t>
      </w:r>
      <w:r>
        <w:rPr>
          <w:rFonts w:hint="cs"/>
          <w:sz w:val="18"/>
          <w:szCs w:val="20"/>
          <w:rtl/>
        </w:rPr>
        <w:t>"</w:t>
      </w:r>
      <w:r>
        <w:rPr>
          <w:rFonts w:hint="cs"/>
          <w:rtl/>
        </w:rPr>
        <w:t>) ואות השימוש ל' (</w:t>
      </w:r>
      <w:r>
        <w:rPr>
          <w:rFonts w:hint="cs"/>
          <w:sz w:val="18"/>
          <w:szCs w:val="20"/>
          <w:rtl/>
        </w:rPr>
        <w:t>שהיא קיצור של מִלית היחס "אֶל"</w:t>
      </w:r>
      <w:r>
        <w:rPr>
          <w:rFonts w:hint="cs"/>
          <w:rtl/>
        </w:rPr>
        <w:t>). במקרא לא מופיעה המִלית "שֶׁל" בפני עצמה</w:t>
      </w:r>
      <w:r>
        <w:rPr>
          <w:rStyle w:val="a4"/>
          <w:rtl/>
        </w:rPr>
        <w:footnoteReference w:id="2"/>
      </w:r>
      <w:r>
        <w:rPr>
          <w:rFonts w:hint="cs"/>
          <w:rtl/>
        </w:rPr>
        <w:t>, אך רֶצֶף אותיות השימוש "</w:t>
      </w:r>
      <w:r>
        <w:rPr>
          <w:rtl/>
        </w:rPr>
        <w:t>שֶׁ</w:t>
      </w:r>
      <w:r>
        <w:rPr>
          <w:rFonts w:ascii="Arial" w:hAnsi="Arial" w:cs="Arial" w:hint="cs"/>
          <w:sz w:val="24"/>
          <w:rtl/>
        </w:rPr>
        <w:t>+</w:t>
      </w:r>
      <w:r>
        <w:rPr>
          <w:rtl/>
        </w:rPr>
        <w:t>ל</w:t>
      </w:r>
      <w:r>
        <w:rPr>
          <w:rFonts w:hint="cs"/>
          <w:rtl/>
        </w:rPr>
        <w:t>ְ" נמצא בלשון המקרא שבע פעמים: ב</w:t>
      </w:r>
      <w:r>
        <w:rPr>
          <w:rtl/>
        </w:rPr>
        <w:t xml:space="preserve">מלכים </w:t>
      </w:r>
      <w:r>
        <w:rPr>
          <w:rFonts w:hint="cs"/>
          <w:rtl/>
        </w:rPr>
        <w:t>(</w:t>
      </w:r>
      <w:r>
        <w:rPr>
          <w:sz w:val="18"/>
          <w:szCs w:val="20"/>
          <w:rtl/>
        </w:rPr>
        <w:t>ב</w:t>
      </w:r>
      <w:r>
        <w:rPr>
          <w:rFonts w:hint="cs"/>
          <w:sz w:val="18"/>
          <w:szCs w:val="20"/>
          <w:rtl/>
        </w:rPr>
        <w:t>'</w:t>
      </w:r>
      <w:r>
        <w:rPr>
          <w:sz w:val="18"/>
          <w:szCs w:val="20"/>
          <w:rtl/>
        </w:rPr>
        <w:t xml:space="preserve"> ו</w:t>
      </w:r>
      <w:r>
        <w:rPr>
          <w:rFonts w:hint="cs"/>
          <w:sz w:val="18"/>
          <w:szCs w:val="20"/>
          <w:rtl/>
        </w:rPr>
        <w:t xml:space="preserve">, </w:t>
      </w:r>
      <w:r>
        <w:rPr>
          <w:sz w:val="18"/>
          <w:szCs w:val="20"/>
          <w:rtl/>
        </w:rPr>
        <w:t>יא</w:t>
      </w:r>
      <w:r>
        <w:rPr>
          <w:rFonts w:hint="cs"/>
          <w:rtl/>
        </w:rPr>
        <w:t>), ב</w:t>
      </w:r>
      <w:r>
        <w:rPr>
          <w:rtl/>
        </w:rPr>
        <w:t xml:space="preserve">יונה </w:t>
      </w:r>
      <w:r>
        <w:rPr>
          <w:rFonts w:hint="cs"/>
          <w:rtl/>
        </w:rPr>
        <w:t>(</w:t>
      </w:r>
      <w:r>
        <w:rPr>
          <w:sz w:val="18"/>
          <w:szCs w:val="20"/>
          <w:rtl/>
        </w:rPr>
        <w:t>א</w:t>
      </w:r>
      <w:r>
        <w:rPr>
          <w:rFonts w:hint="cs"/>
          <w:sz w:val="18"/>
          <w:szCs w:val="20"/>
          <w:rtl/>
        </w:rPr>
        <w:t>,</w:t>
      </w:r>
      <w:r>
        <w:rPr>
          <w:sz w:val="18"/>
          <w:szCs w:val="20"/>
          <w:rtl/>
        </w:rPr>
        <w:t xml:space="preserve"> ז</w:t>
      </w:r>
      <w:r>
        <w:rPr>
          <w:rFonts w:hint="cs"/>
          <w:sz w:val="18"/>
          <w:szCs w:val="20"/>
          <w:rtl/>
        </w:rPr>
        <w:t xml:space="preserve">; </w:t>
      </w:r>
      <w:r>
        <w:rPr>
          <w:sz w:val="18"/>
          <w:szCs w:val="20"/>
          <w:rtl/>
        </w:rPr>
        <w:t>יב</w:t>
      </w:r>
      <w:r>
        <w:rPr>
          <w:rFonts w:hint="cs"/>
          <w:rtl/>
        </w:rPr>
        <w:t>), ב</w:t>
      </w:r>
      <w:r>
        <w:rPr>
          <w:rtl/>
        </w:rPr>
        <w:t xml:space="preserve">קהלת </w:t>
      </w:r>
      <w:r>
        <w:rPr>
          <w:rFonts w:hint="cs"/>
          <w:rtl/>
        </w:rPr>
        <w:t>(</w:t>
      </w:r>
      <w:r>
        <w:rPr>
          <w:sz w:val="18"/>
          <w:szCs w:val="20"/>
          <w:rtl/>
        </w:rPr>
        <w:t>ח</w:t>
      </w:r>
      <w:r>
        <w:rPr>
          <w:rFonts w:hint="cs"/>
          <w:sz w:val="18"/>
          <w:szCs w:val="20"/>
          <w:rtl/>
        </w:rPr>
        <w:t xml:space="preserve">, </w:t>
      </w:r>
      <w:r>
        <w:rPr>
          <w:sz w:val="18"/>
          <w:szCs w:val="20"/>
          <w:rtl/>
        </w:rPr>
        <w:t>יז</w:t>
      </w:r>
      <w:r>
        <w:rPr>
          <w:rFonts w:hint="cs"/>
          <w:rtl/>
        </w:rPr>
        <w:t>) וב</w:t>
      </w:r>
      <w:r>
        <w:rPr>
          <w:rtl/>
        </w:rPr>
        <w:t xml:space="preserve">שיר השירים </w:t>
      </w:r>
      <w:r>
        <w:rPr>
          <w:rFonts w:hint="cs"/>
          <w:rtl/>
        </w:rPr>
        <w:t>(</w:t>
      </w:r>
      <w:r>
        <w:rPr>
          <w:sz w:val="18"/>
          <w:szCs w:val="20"/>
          <w:rtl/>
        </w:rPr>
        <w:t>א</w:t>
      </w:r>
      <w:r>
        <w:rPr>
          <w:rFonts w:hint="cs"/>
          <w:sz w:val="18"/>
          <w:szCs w:val="20"/>
          <w:rtl/>
        </w:rPr>
        <w:t xml:space="preserve">, </w:t>
      </w:r>
      <w:r>
        <w:rPr>
          <w:sz w:val="18"/>
          <w:szCs w:val="20"/>
          <w:rtl/>
        </w:rPr>
        <w:t>ו</w:t>
      </w:r>
      <w:r>
        <w:rPr>
          <w:rFonts w:hint="cs"/>
          <w:sz w:val="18"/>
          <w:szCs w:val="20"/>
          <w:rtl/>
        </w:rPr>
        <w:t xml:space="preserve">; </w:t>
      </w:r>
      <w:r>
        <w:rPr>
          <w:sz w:val="18"/>
          <w:szCs w:val="20"/>
          <w:rtl/>
        </w:rPr>
        <w:t>ג</w:t>
      </w:r>
      <w:r>
        <w:rPr>
          <w:rFonts w:hint="cs"/>
          <w:sz w:val="18"/>
          <w:szCs w:val="20"/>
          <w:rtl/>
        </w:rPr>
        <w:t>,</w:t>
      </w:r>
      <w:r>
        <w:rPr>
          <w:sz w:val="18"/>
          <w:szCs w:val="20"/>
          <w:rtl/>
        </w:rPr>
        <w:t xml:space="preserve"> ז</w:t>
      </w:r>
      <w:r>
        <w:rPr>
          <w:rFonts w:hint="cs"/>
          <w:sz w:val="18"/>
          <w:szCs w:val="20"/>
          <w:rtl/>
        </w:rPr>
        <w:t xml:space="preserve">; </w:t>
      </w:r>
      <w:r>
        <w:rPr>
          <w:sz w:val="18"/>
          <w:szCs w:val="20"/>
          <w:rtl/>
        </w:rPr>
        <w:t>ח</w:t>
      </w:r>
      <w:r>
        <w:rPr>
          <w:rFonts w:hint="cs"/>
          <w:sz w:val="18"/>
          <w:szCs w:val="20"/>
          <w:rtl/>
        </w:rPr>
        <w:t>,</w:t>
      </w:r>
      <w:r>
        <w:rPr>
          <w:sz w:val="18"/>
          <w:szCs w:val="20"/>
          <w:rtl/>
        </w:rPr>
        <w:t xml:space="preserve"> יב</w:t>
      </w:r>
      <w:r>
        <w:rPr>
          <w:rFonts w:hint="cs"/>
          <w:rtl/>
        </w:rPr>
        <w:t>).</w:t>
      </w:r>
      <w:r>
        <w:rPr>
          <w:rtl/>
        </w:rPr>
        <w:t xml:space="preserve"> </w:t>
      </w:r>
    </w:p>
    <w:p w14:paraId="08A49B5D" w14:textId="77777777" w:rsidR="00940290" w:rsidRDefault="00940290" w:rsidP="00940290">
      <w:pPr>
        <w:ind w:firstLine="284"/>
        <w:rPr>
          <w:rFonts w:hint="cs"/>
          <w:rtl/>
        </w:rPr>
      </w:pPr>
      <w:r>
        <w:rPr>
          <w:rFonts w:hint="cs"/>
          <w:rtl/>
        </w:rPr>
        <w:lastRenderedPageBreak/>
        <w:t>הרצף "</w:t>
      </w:r>
      <w:r>
        <w:rPr>
          <w:rtl/>
        </w:rPr>
        <w:t>שֶׁלּ</w:t>
      </w:r>
      <w:r>
        <w:rPr>
          <w:rFonts w:hint="cs"/>
          <w:rtl/>
        </w:rPr>
        <w:t>-"</w:t>
      </w:r>
      <w:r>
        <w:rPr>
          <w:rStyle w:val="a4"/>
          <w:rtl/>
        </w:rPr>
        <w:footnoteReference w:id="3"/>
      </w:r>
      <w:r>
        <w:rPr>
          <w:rFonts w:hint="cs"/>
          <w:rtl/>
        </w:rPr>
        <w:t xml:space="preserve"> מציין בדרך כלל את השייכות והקניין (</w:t>
      </w:r>
      <w:r>
        <w:rPr>
          <w:rFonts w:ascii="Arial" w:hAnsi="Arial" w:hint="cs"/>
          <w:sz w:val="18"/>
          <w:szCs w:val="20"/>
          <w:rtl/>
        </w:rPr>
        <w:t>על שימושים נוספים של "</w:t>
      </w:r>
      <w:r>
        <w:rPr>
          <w:rFonts w:ascii="Arial" w:hAnsi="Arial"/>
          <w:sz w:val="18"/>
          <w:szCs w:val="20"/>
          <w:rtl/>
        </w:rPr>
        <w:t>שֶׁל</w:t>
      </w:r>
      <w:r>
        <w:rPr>
          <w:rFonts w:ascii="Arial" w:hAnsi="Arial" w:hint="cs"/>
          <w:sz w:val="18"/>
          <w:szCs w:val="20"/>
          <w:rtl/>
        </w:rPr>
        <w:t>" - ראה להלן דף כג, א</w:t>
      </w:r>
      <w:r>
        <w:rPr>
          <w:rFonts w:hint="cs"/>
          <w:rtl/>
        </w:rPr>
        <w:t>), כגון: "</w:t>
      </w:r>
      <w:r>
        <w:rPr>
          <w:rFonts w:hint="cs"/>
          <w:sz w:val="18"/>
          <w:szCs w:val="20"/>
          <w:rtl/>
        </w:rPr>
        <w:t>(</w:t>
      </w:r>
      <w:r>
        <w:rPr>
          <w:sz w:val="18"/>
          <w:szCs w:val="20"/>
          <w:rtl/>
        </w:rPr>
        <w:t>כַּרְמִי</w:t>
      </w:r>
      <w:r>
        <w:rPr>
          <w:rFonts w:hint="cs"/>
          <w:sz w:val="18"/>
          <w:szCs w:val="20"/>
          <w:rtl/>
        </w:rPr>
        <w:t>)</w:t>
      </w:r>
      <w:r>
        <w:rPr>
          <w:sz w:val="18"/>
          <w:szCs w:val="20"/>
          <w:rtl/>
        </w:rPr>
        <w:t xml:space="preserve"> </w:t>
      </w:r>
      <w:r>
        <w:rPr>
          <w:rtl/>
        </w:rPr>
        <w:t>שֶׁלִּי</w:t>
      </w:r>
      <w:r>
        <w:rPr>
          <w:rFonts w:hint="cs"/>
          <w:rtl/>
        </w:rPr>
        <w:t>" (</w:t>
      </w:r>
      <w:r>
        <w:rPr>
          <w:sz w:val="18"/>
          <w:szCs w:val="20"/>
          <w:rtl/>
        </w:rPr>
        <w:t>שיר השירים א</w:t>
      </w:r>
      <w:r>
        <w:rPr>
          <w:rFonts w:hint="cs"/>
          <w:sz w:val="18"/>
          <w:szCs w:val="20"/>
          <w:rtl/>
        </w:rPr>
        <w:t xml:space="preserve">, </w:t>
      </w:r>
      <w:r>
        <w:rPr>
          <w:sz w:val="18"/>
          <w:szCs w:val="20"/>
          <w:rtl/>
        </w:rPr>
        <w:t>ו</w:t>
      </w:r>
      <w:r>
        <w:rPr>
          <w:rFonts w:hint="cs"/>
          <w:sz w:val="18"/>
          <w:szCs w:val="20"/>
          <w:rtl/>
        </w:rPr>
        <w:t xml:space="preserve">; </w:t>
      </w:r>
      <w:r>
        <w:rPr>
          <w:sz w:val="18"/>
          <w:szCs w:val="20"/>
          <w:rtl/>
        </w:rPr>
        <w:t>ח</w:t>
      </w:r>
      <w:r>
        <w:rPr>
          <w:rFonts w:hint="cs"/>
          <w:sz w:val="18"/>
          <w:szCs w:val="20"/>
          <w:rtl/>
        </w:rPr>
        <w:t>,</w:t>
      </w:r>
      <w:r>
        <w:rPr>
          <w:sz w:val="18"/>
          <w:szCs w:val="20"/>
          <w:rtl/>
        </w:rPr>
        <w:t xml:space="preserve"> יב</w:t>
      </w:r>
      <w:r>
        <w:rPr>
          <w:rFonts w:hint="cs"/>
          <w:rtl/>
        </w:rPr>
        <w:t>)</w:t>
      </w:r>
      <w:r>
        <w:rPr>
          <w:rtl/>
        </w:rPr>
        <w:t xml:space="preserve"> </w:t>
      </w:r>
      <w:r>
        <w:rPr>
          <w:rFonts w:hint="cs"/>
          <w:rtl/>
        </w:rPr>
        <w:t>שנתקצר מ"</w:t>
      </w:r>
      <w:r>
        <w:rPr>
          <w:rtl/>
        </w:rPr>
        <w:t>אֲשֶׁר לִי</w:t>
      </w:r>
      <w:r>
        <w:rPr>
          <w:rFonts w:hint="cs"/>
          <w:rtl/>
        </w:rPr>
        <w:t>" (</w:t>
      </w:r>
      <w:r>
        <w:rPr>
          <w:szCs w:val="20"/>
          <w:rtl/>
        </w:rPr>
        <w:t>בראשית</w:t>
      </w:r>
      <w:r>
        <w:rPr>
          <w:rFonts w:hint="cs"/>
          <w:szCs w:val="20"/>
          <w:rtl/>
        </w:rPr>
        <w:t xml:space="preserve"> </w:t>
      </w:r>
      <w:r>
        <w:rPr>
          <w:sz w:val="18"/>
          <w:szCs w:val="20"/>
          <w:rtl/>
        </w:rPr>
        <w:t>מז</w:t>
      </w:r>
      <w:r>
        <w:rPr>
          <w:rFonts w:hint="cs"/>
          <w:sz w:val="18"/>
          <w:szCs w:val="20"/>
          <w:rtl/>
        </w:rPr>
        <w:t>,</w:t>
      </w:r>
      <w:r>
        <w:rPr>
          <w:sz w:val="18"/>
          <w:szCs w:val="20"/>
          <w:rtl/>
        </w:rPr>
        <w:t xml:space="preserve"> ו</w:t>
      </w:r>
      <w:r>
        <w:rPr>
          <w:rFonts w:hint="cs"/>
          <w:rtl/>
        </w:rPr>
        <w:t>), ופירושם זהה: מה שבבעלותי, מה ששייך לי; כיוצא בו: "</w:t>
      </w:r>
      <w:r>
        <w:rPr>
          <w:rFonts w:hint="cs"/>
          <w:sz w:val="18"/>
          <w:szCs w:val="20"/>
          <w:rtl/>
        </w:rPr>
        <w:t>[</w:t>
      </w:r>
      <w:r>
        <w:rPr>
          <w:sz w:val="18"/>
          <w:szCs w:val="20"/>
          <w:rtl/>
        </w:rPr>
        <w:t>הִנֵּה מִטָּתוֹ</w:t>
      </w:r>
      <w:r>
        <w:rPr>
          <w:rFonts w:hint="cs"/>
          <w:sz w:val="18"/>
          <w:szCs w:val="20"/>
          <w:rtl/>
        </w:rPr>
        <w:t>]</w:t>
      </w:r>
      <w:r>
        <w:rPr>
          <w:sz w:val="18"/>
          <w:szCs w:val="20"/>
          <w:rtl/>
        </w:rPr>
        <w:t xml:space="preserve"> </w:t>
      </w:r>
      <w:r>
        <w:rPr>
          <w:b/>
          <w:bCs/>
          <w:rtl/>
        </w:rPr>
        <w:t>שֶׁלִּ</w:t>
      </w:r>
      <w:r>
        <w:rPr>
          <w:rtl/>
        </w:rPr>
        <w:t>שְׁלֹמֹה</w:t>
      </w:r>
      <w:r>
        <w:rPr>
          <w:rFonts w:hint="cs"/>
          <w:rtl/>
        </w:rPr>
        <w:t>" פירושו כפירוש הצורה הארוכה: "</w:t>
      </w:r>
      <w:r>
        <w:rPr>
          <w:rFonts w:hint="cs"/>
          <w:sz w:val="18"/>
          <w:szCs w:val="20"/>
          <w:rtl/>
        </w:rPr>
        <w:t>[</w:t>
      </w:r>
      <w:r>
        <w:rPr>
          <w:sz w:val="18"/>
          <w:szCs w:val="20"/>
          <w:rtl/>
        </w:rPr>
        <w:t>שִׁיר הַשִּׁירִים</w:t>
      </w:r>
      <w:r>
        <w:rPr>
          <w:rFonts w:hint="cs"/>
          <w:sz w:val="18"/>
          <w:szCs w:val="20"/>
          <w:rtl/>
        </w:rPr>
        <w:t>]</w:t>
      </w:r>
      <w:r>
        <w:rPr>
          <w:sz w:val="18"/>
          <w:szCs w:val="20"/>
          <w:rtl/>
        </w:rPr>
        <w:t xml:space="preserve"> </w:t>
      </w:r>
      <w:r>
        <w:rPr>
          <w:b/>
          <w:bCs/>
          <w:rtl/>
        </w:rPr>
        <w:t>אֲשֶׁר לִ</w:t>
      </w:r>
      <w:r>
        <w:rPr>
          <w:rtl/>
        </w:rPr>
        <w:t>שְׁלֹמֹה</w:t>
      </w:r>
      <w:r>
        <w:rPr>
          <w:rFonts w:hint="cs"/>
          <w:rtl/>
        </w:rPr>
        <w:t>" (</w:t>
      </w:r>
      <w:r>
        <w:rPr>
          <w:sz w:val="18"/>
          <w:szCs w:val="20"/>
          <w:rtl/>
        </w:rPr>
        <w:t>שיר השירים א</w:t>
      </w:r>
      <w:r>
        <w:rPr>
          <w:rFonts w:hint="cs"/>
          <w:sz w:val="18"/>
          <w:szCs w:val="20"/>
          <w:rtl/>
        </w:rPr>
        <w:t>,</w:t>
      </w:r>
      <w:r>
        <w:rPr>
          <w:sz w:val="18"/>
          <w:szCs w:val="20"/>
          <w:rtl/>
        </w:rPr>
        <w:t xml:space="preserve"> </w:t>
      </w:r>
      <w:r>
        <w:rPr>
          <w:rFonts w:hint="cs"/>
          <w:sz w:val="18"/>
          <w:szCs w:val="20"/>
          <w:rtl/>
        </w:rPr>
        <w:t xml:space="preserve">א; </w:t>
      </w:r>
      <w:r>
        <w:rPr>
          <w:sz w:val="18"/>
          <w:szCs w:val="20"/>
          <w:rtl/>
        </w:rPr>
        <w:t>ג</w:t>
      </w:r>
      <w:r>
        <w:rPr>
          <w:rFonts w:hint="cs"/>
          <w:sz w:val="18"/>
          <w:szCs w:val="20"/>
          <w:rtl/>
        </w:rPr>
        <w:t>,</w:t>
      </w:r>
      <w:r>
        <w:rPr>
          <w:sz w:val="18"/>
          <w:szCs w:val="20"/>
          <w:rtl/>
        </w:rPr>
        <w:t xml:space="preserve"> ז</w:t>
      </w:r>
      <w:r>
        <w:rPr>
          <w:rFonts w:hint="cs"/>
          <w:rtl/>
        </w:rPr>
        <w:t>)</w:t>
      </w:r>
      <w:r>
        <w:rPr>
          <w:rStyle w:val="a4"/>
          <w:rtl/>
        </w:rPr>
        <w:footnoteReference w:id="4"/>
      </w:r>
      <w:r>
        <w:rPr>
          <w:rFonts w:hint="cs"/>
          <w:rtl/>
        </w:rPr>
        <w:t>.</w:t>
      </w:r>
    </w:p>
    <w:p w14:paraId="2DE8F017" w14:textId="77777777" w:rsidR="00940290" w:rsidRDefault="00940290" w:rsidP="00940290">
      <w:pPr>
        <w:ind w:firstLine="338"/>
        <w:rPr>
          <w:rFonts w:hint="cs"/>
          <w:rtl/>
        </w:rPr>
      </w:pPr>
      <w:r>
        <w:rPr>
          <w:rFonts w:hint="cs"/>
          <w:rtl/>
        </w:rPr>
        <w:t>לשון חז"ל "חוסכת" שתי אותיות, ובמקום מִלית הזיקה המקראית "</w:t>
      </w:r>
      <w:r>
        <w:rPr>
          <w:rtl/>
        </w:rPr>
        <w:t>אֲ</w:t>
      </w:r>
      <w:r>
        <w:rPr>
          <w:b/>
          <w:bCs/>
          <w:rtl/>
        </w:rPr>
        <w:t>שֶׁ</w:t>
      </w:r>
      <w:r>
        <w:rPr>
          <w:rtl/>
        </w:rPr>
        <w:t>ר</w:t>
      </w:r>
      <w:r>
        <w:rPr>
          <w:rFonts w:hint="cs"/>
          <w:rtl/>
        </w:rPr>
        <w:t>", משמשת בה אות השימוש שׁ'</w:t>
      </w:r>
      <w:r>
        <w:rPr>
          <w:rStyle w:val="a4"/>
          <w:rtl/>
        </w:rPr>
        <w:footnoteReference w:id="5"/>
      </w:r>
      <w:r>
        <w:rPr>
          <w:rFonts w:hint="cs"/>
          <w:rtl/>
        </w:rPr>
        <w:t xml:space="preserve"> (למעט שיבוצים מקראיים</w:t>
      </w:r>
      <w:r>
        <w:rPr>
          <w:rStyle w:val="a4"/>
          <w:rtl/>
        </w:rPr>
        <w:footnoteReference w:id="6"/>
      </w:r>
      <w:r>
        <w:rPr>
          <w:rFonts w:hint="cs"/>
          <w:rtl/>
        </w:rPr>
        <w:t>). לפיכך, בלשון חכמים נמצא רק את "</w:t>
      </w:r>
      <w:r>
        <w:rPr>
          <w:rtl/>
        </w:rPr>
        <w:t>שֶׁלּ</w:t>
      </w:r>
      <w:r>
        <w:rPr>
          <w:rFonts w:hint="cs"/>
          <w:rtl/>
        </w:rPr>
        <w:t>-", כגון "</w:t>
      </w:r>
      <w:r>
        <w:rPr>
          <w:rFonts w:hint="cs"/>
          <w:sz w:val="18"/>
          <w:szCs w:val="20"/>
          <w:rtl/>
        </w:rPr>
        <w:t>(</w:t>
      </w:r>
      <w:r>
        <w:rPr>
          <w:sz w:val="18"/>
          <w:szCs w:val="20"/>
          <w:rtl/>
        </w:rPr>
        <w:t xml:space="preserve">שלי </w:t>
      </w:r>
      <w:r>
        <w:rPr>
          <w:rFonts w:hint="cs"/>
          <w:sz w:val="18"/>
          <w:szCs w:val="20"/>
          <w:rtl/>
        </w:rPr>
        <w:t xml:space="preserve">-) </w:t>
      </w:r>
      <w:r>
        <w:rPr>
          <w:b/>
          <w:bCs/>
          <w:rtl/>
        </w:rPr>
        <w:t>שֶׁל</w:t>
      </w:r>
      <w:r>
        <w:rPr>
          <w:rFonts w:hint="cs"/>
          <w:b/>
          <w:bCs/>
          <w:rtl/>
        </w:rPr>
        <w:t>ּ</w:t>
      </w:r>
      <w:r>
        <w:rPr>
          <w:b/>
          <w:bCs/>
          <w:rtl/>
        </w:rPr>
        <w:t>ָ</w:t>
      </w:r>
      <w:r>
        <w:rPr>
          <w:rtl/>
        </w:rPr>
        <w:t>ךְ</w:t>
      </w:r>
      <w:r>
        <w:rPr>
          <w:rFonts w:hint="cs"/>
          <w:rtl/>
        </w:rPr>
        <w:t xml:space="preserve">" בלשון </w:t>
      </w:r>
      <w:r>
        <w:rPr>
          <w:rFonts w:hint="cs"/>
          <w:rtl/>
        </w:rPr>
        <w:lastRenderedPageBreak/>
        <w:t>המשנה (</w:t>
      </w:r>
      <w:r>
        <w:rPr>
          <w:sz w:val="18"/>
          <w:szCs w:val="20"/>
          <w:rtl/>
        </w:rPr>
        <w:t>אבות פ</w:t>
      </w:r>
      <w:r>
        <w:rPr>
          <w:rFonts w:hint="cs"/>
          <w:sz w:val="18"/>
          <w:szCs w:val="20"/>
          <w:rtl/>
        </w:rPr>
        <w:t>"</w:t>
      </w:r>
      <w:r>
        <w:rPr>
          <w:sz w:val="18"/>
          <w:szCs w:val="20"/>
          <w:rtl/>
        </w:rPr>
        <w:t>ה מ</w:t>
      </w:r>
      <w:r>
        <w:rPr>
          <w:rFonts w:hint="cs"/>
          <w:sz w:val="18"/>
          <w:szCs w:val="20"/>
          <w:rtl/>
        </w:rPr>
        <w:t>"</w:t>
      </w:r>
      <w:r>
        <w:rPr>
          <w:sz w:val="18"/>
          <w:szCs w:val="20"/>
          <w:rtl/>
        </w:rPr>
        <w:t>י</w:t>
      </w:r>
      <w:r>
        <w:rPr>
          <w:rFonts w:hint="cs"/>
          <w:rtl/>
        </w:rPr>
        <w:t>) המקביל ל"</w:t>
      </w:r>
      <w:r>
        <w:rPr>
          <w:rFonts w:hint="cs"/>
          <w:sz w:val="18"/>
          <w:szCs w:val="20"/>
          <w:rtl/>
        </w:rPr>
        <w:t>(</w:t>
      </w:r>
      <w:r>
        <w:rPr>
          <w:sz w:val="18"/>
          <w:szCs w:val="20"/>
          <w:rtl/>
        </w:rPr>
        <w:t>יְהִי לְךָ</w:t>
      </w:r>
      <w:r>
        <w:rPr>
          <w:rFonts w:hint="cs"/>
          <w:sz w:val="18"/>
          <w:szCs w:val="20"/>
          <w:rtl/>
        </w:rPr>
        <w:t>)</w:t>
      </w:r>
      <w:r>
        <w:rPr>
          <w:sz w:val="18"/>
          <w:szCs w:val="20"/>
          <w:rtl/>
        </w:rPr>
        <w:t xml:space="preserve"> </w:t>
      </w:r>
      <w:r>
        <w:rPr>
          <w:b/>
          <w:bCs/>
          <w:rtl/>
        </w:rPr>
        <w:t>אֲשֶׁר לָךְ</w:t>
      </w:r>
      <w:r>
        <w:rPr>
          <w:rFonts w:hint="cs"/>
          <w:rtl/>
        </w:rPr>
        <w:t>" המקראי (</w:t>
      </w:r>
      <w:r>
        <w:rPr>
          <w:sz w:val="18"/>
          <w:szCs w:val="20"/>
          <w:rtl/>
        </w:rPr>
        <w:t>בראשית</w:t>
      </w:r>
      <w:r>
        <w:rPr>
          <w:rFonts w:hint="cs"/>
          <w:sz w:val="14"/>
          <w:szCs w:val="16"/>
          <w:rtl/>
        </w:rPr>
        <w:t xml:space="preserve"> </w:t>
      </w:r>
      <w:r>
        <w:rPr>
          <w:sz w:val="18"/>
          <w:szCs w:val="20"/>
          <w:rtl/>
        </w:rPr>
        <w:t>לג</w:t>
      </w:r>
      <w:r>
        <w:rPr>
          <w:rFonts w:hint="cs"/>
          <w:sz w:val="18"/>
          <w:szCs w:val="20"/>
          <w:rtl/>
        </w:rPr>
        <w:t xml:space="preserve">, </w:t>
      </w:r>
      <w:r>
        <w:rPr>
          <w:sz w:val="18"/>
          <w:szCs w:val="20"/>
          <w:rtl/>
        </w:rPr>
        <w:t>ט</w:t>
      </w:r>
      <w:r>
        <w:rPr>
          <w:rFonts w:hint="cs"/>
          <w:sz w:val="26"/>
          <w:rtl/>
        </w:rPr>
        <w:t>)</w:t>
      </w:r>
      <w:r>
        <w:rPr>
          <w:rStyle w:val="a4"/>
          <w:rtl/>
        </w:rPr>
        <w:footnoteReference w:id="7"/>
      </w:r>
      <w:r>
        <w:rPr>
          <w:rFonts w:hint="cs"/>
          <w:rtl/>
        </w:rPr>
        <w:t xml:space="preserve">. </w:t>
      </w:r>
    </w:p>
    <w:p w14:paraId="5C4F69C3" w14:textId="77777777" w:rsidR="00940290" w:rsidRDefault="00940290" w:rsidP="00940290">
      <w:pPr>
        <w:ind w:firstLine="284"/>
        <w:rPr>
          <w:rFonts w:hint="cs"/>
          <w:rtl/>
        </w:rPr>
      </w:pPr>
      <w:r>
        <w:rPr>
          <w:rFonts w:hint="cs"/>
          <w:sz w:val="24"/>
          <w:rtl/>
        </w:rPr>
        <w:t xml:space="preserve">עד כה ראינו כי </w:t>
      </w:r>
      <w:r>
        <w:rPr>
          <w:rFonts w:hint="cs"/>
          <w:rtl/>
        </w:rPr>
        <w:t xml:space="preserve">המִלית </w:t>
      </w:r>
      <w:r>
        <w:rPr>
          <w:rFonts w:hint="cs"/>
          <w:sz w:val="24"/>
          <w:rtl/>
        </w:rPr>
        <w:t>"שֶׁל", המֻכֶּרת לנו כ</w:t>
      </w:r>
      <w:r>
        <w:rPr>
          <w:rFonts w:hint="cs"/>
          <w:rtl/>
        </w:rPr>
        <w:t>מִלית ה</w:t>
      </w:r>
      <w:r>
        <w:rPr>
          <w:rFonts w:hint="cs"/>
          <w:sz w:val="24"/>
          <w:rtl/>
        </w:rPr>
        <w:t xml:space="preserve">עומדת בפני עצמה, היתה בראשונה צמודה למִלה הבאה, דוגמת </w:t>
      </w:r>
      <w:r>
        <w:rPr>
          <w:rFonts w:hint="cs"/>
          <w:rtl/>
        </w:rPr>
        <w:t>"</w:t>
      </w:r>
      <w:r>
        <w:rPr>
          <w:b/>
          <w:bCs/>
          <w:rtl/>
        </w:rPr>
        <w:t>שֶׁלִּ</w:t>
      </w:r>
      <w:r>
        <w:rPr>
          <w:rtl/>
        </w:rPr>
        <w:t>שְׁלֹמֹה</w:t>
      </w:r>
      <w:r>
        <w:rPr>
          <w:rFonts w:hint="cs"/>
          <w:rtl/>
        </w:rPr>
        <w:t>"</w:t>
      </w:r>
      <w:r>
        <w:rPr>
          <w:rFonts w:hint="cs"/>
          <w:sz w:val="24"/>
          <w:rtl/>
        </w:rPr>
        <w:t>. מנהג עתיק זה אינו מייחד את לשון המקרא</w:t>
      </w:r>
      <w:r>
        <w:rPr>
          <w:rStyle w:val="a4"/>
          <w:rtl/>
        </w:rPr>
        <w:footnoteReference w:id="8"/>
      </w:r>
      <w:r>
        <w:rPr>
          <w:rFonts w:hint="cs"/>
          <w:sz w:val="24"/>
          <w:rtl/>
        </w:rPr>
        <w:t>, ואנו מוצאים אותו גם בכתוֹבות עתיקות מימי חז"ל</w:t>
      </w:r>
      <w:r>
        <w:rPr>
          <w:rStyle w:val="a4"/>
          <w:rtl/>
        </w:rPr>
        <w:footnoteReference w:id="9"/>
      </w:r>
      <w:r>
        <w:rPr>
          <w:rFonts w:hint="cs"/>
          <w:sz w:val="24"/>
          <w:rtl/>
        </w:rPr>
        <w:t xml:space="preserve">, בכתבי </w:t>
      </w:r>
      <w:r>
        <w:rPr>
          <w:rFonts w:hint="cs"/>
          <w:rtl/>
        </w:rPr>
        <w:t>יד של המשנה, התלמודים והמדרשים</w:t>
      </w:r>
      <w:r>
        <w:rPr>
          <w:rStyle w:val="a4"/>
          <w:rtl/>
        </w:rPr>
        <w:footnoteReference w:id="10"/>
      </w:r>
      <w:r>
        <w:rPr>
          <w:rFonts w:hint="cs"/>
          <w:rtl/>
        </w:rPr>
        <w:t xml:space="preserve">, בכתביהם של גאונים וראשונים, וכך יש נוהגים עד </w:t>
      </w:r>
      <w:r>
        <w:rPr>
          <w:rFonts w:hint="cs"/>
          <w:rtl/>
        </w:rPr>
        <w:lastRenderedPageBreak/>
        <w:t xml:space="preserve">עצם היום הזה בקריאתם ובתפילתם: "לא יִקֹּב אָדָם שְׁפוֹפֶרֶת </w:t>
      </w:r>
      <w:r>
        <w:rPr>
          <w:b/>
          <w:bCs/>
          <w:rtl/>
        </w:rPr>
        <w:t>שֶלּ</w:t>
      </w:r>
      <w:r>
        <w:rPr>
          <w:rFonts w:hint="cs"/>
          <w:b/>
          <w:bCs/>
          <w:rtl/>
        </w:rPr>
        <w:t>ְ</w:t>
      </w:r>
      <w:r>
        <w:rPr>
          <w:rFonts w:hint="cs"/>
          <w:rtl/>
        </w:rPr>
        <w:t>-</w:t>
      </w:r>
      <w:r>
        <w:rPr>
          <w:rFonts w:hint="cs"/>
          <w:b/>
          <w:bCs/>
          <w:rtl/>
        </w:rPr>
        <w:t>ב</w:t>
      </w:r>
      <w:r>
        <w:rPr>
          <w:rFonts w:hint="cs"/>
          <w:rtl/>
        </w:rPr>
        <w:t>יצָה</w:t>
      </w:r>
      <w:r>
        <w:rPr>
          <w:rStyle w:val="a4"/>
          <w:rtl/>
        </w:rPr>
        <w:footnoteReference w:id="11"/>
      </w:r>
      <w:r>
        <w:rPr>
          <w:rFonts w:hint="cs"/>
          <w:rtl/>
        </w:rPr>
        <w:t xml:space="preserve">... וַאֲפִילוּ הִיא </w:t>
      </w:r>
      <w:r>
        <w:rPr>
          <w:b/>
          <w:bCs/>
          <w:rtl/>
        </w:rPr>
        <w:t>שֶלּ</w:t>
      </w:r>
      <w:r>
        <w:rPr>
          <w:rFonts w:hint="cs"/>
          <w:b/>
          <w:bCs/>
          <w:rtl/>
        </w:rPr>
        <w:t>ְ</w:t>
      </w:r>
      <w:r>
        <w:rPr>
          <w:rFonts w:hint="cs"/>
          <w:rtl/>
        </w:rPr>
        <w:t>-חֶרֶס" (</w:t>
      </w:r>
      <w:r>
        <w:rPr>
          <w:rFonts w:hint="cs"/>
          <w:sz w:val="20"/>
          <w:szCs w:val="20"/>
          <w:rtl/>
        </w:rPr>
        <w:t>פרק "במה מדליקין"</w:t>
      </w:r>
      <w:r>
        <w:rPr>
          <w:rFonts w:hint="cs"/>
          <w:rtl/>
        </w:rPr>
        <w:t xml:space="preserve">), "בִּקְדֻשָּׁתוֹ </w:t>
      </w:r>
      <w:r>
        <w:rPr>
          <w:b/>
          <w:bCs/>
          <w:rtl/>
        </w:rPr>
        <w:t>שֶלּ</w:t>
      </w:r>
      <w:r>
        <w:rPr>
          <w:rFonts w:hint="cs"/>
          <w:b/>
          <w:bCs/>
          <w:rtl/>
        </w:rPr>
        <w:t>ְ</w:t>
      </w:r>
      <w:r>
        <w:rPr>
          <w:rFonts w:hint="cs"/>
          <w:rtl/>
        </w:rPr>
        <w:t>-אַהֲרֹן" (</w:t>
      </w:r>
      <w:r>
        <w:rPr>
          <w:rFonts w:hint="cs"/>
          <w:sz w:val="18"/>
          <w:szCs w:val="20"/>
          <w:rtl/>
        </w:rPr>
        <w:t>ברכת כהנים</w:t>
      </w:r>
      <w:r>
        <w:rPr>
          <w:rFonts w:hint="cs"/>
          <w:rtl/>
        </w:rPr>
        <w:t>), "</w:t>
      </w:r>
      <w:r>
        <w:rPr>
          <w:rtl/>
        </w:rPr>
        <w:t xml:space="preserve">בִּבְרִיתוֹ </w:t>
      </w:r>
      <w:r>
        <w:rPr>
          <w:b/>
          <w:bCs/>
          <w:rtl/>
        </w:rPr>
        <w:t>שֶלּ</w:t>
      </w:r>
      <w:r>
        <w:rPr>
          <w:rFonts w:hint="cs"/>
          <w:b/>
          <w:bCs/>
          <w:rtl/>
        </w:rPr>
        <w:t>ְ</w:t>
      </w:r>
      <w:r>
        <w:rPr>
          <w:rFonts w:hint="cs"/>
          <w:rtl/>
        </w:rPr>
        <w:t>-</w:t>
      </w:r>
      <w:r>
        <w:rPr>
          <w:rtl/>
        </w:rPr>
        <w:t>אַבְרָהָם אָבִינוּ</w:t>
      </w:r>
      <w:r>
        <w:rPr>
          <w:rFonts w:hint="cs"/>
          <w:rtl/>
        </w:rPr>
        <w:t>" (</w:t>
      </w:r>
      <w:r>
        <w:rPr>
          <w:rFonts w:hint="cs"/>
          <w:sz w:val="18"/>
          <w:szCs w:val="20"/>
          <w:rtl/>
        </w:rPr>
        <w:t>ברכת המילה</w:t>
      </w:r>
      <w:r>
        <w:rPr>
          <w:rFonts w:hint="cs"/>
          <w:rtl/>
        </w:rPr>
        <w:t>)</w:t>
      </w:r>
      <w:r>
        <w:rPr>
          <w:rStyle w:val="a4"/>
          <w:rtl/>
        </w:rPr>
        <w:footnoteReference w:id="12"/>
      </w:r>
      <w:r>
        <w:rPr>
          <w:rFonts w:hint="cs"/>
          <w:rtl/>
        </w:rPr>
        <w:t>.</w:t>
      </w:r>
    </w:p>
    <w:p w14:paraId="6D993BA6" w14:textId="77777777" w:rsidR="00940290" w:rsidRDefault="00940290" w:rsidP="00940290">
      <w:pPr>
        <w:ind w:firstLine="284"/>
        <w:rPr>
          <w:rFonts w:hint="cs"/>
          <w:rtl/>
        </w:rPr>
      </w:pPr>
      <w:r>
        <w:rPr>
          <w:rFonts w:hint="cs"/>
          <w:rtl/>
        </w:rPr>
        <w:t>בשלב מאוחר</w:t>
      </w:r>
      <w:r>
        <w:rPr>
          <w:rStyle w:val="a4"/>
          <w:rtl/>
        </w:rPr>
        <w:footnoteReference w:id="13"/>
      </w:r>
      <w:r>
        <w:rPr>
          <w:rFonts w:hint="cs"/>
          <w:rtl/>
        </w:rPr>
        <w:t xml:space="preserve"> החלה "שֶׁל" להִפָּרד והיא נהייתה מִלית עצמאית, הן בדיבור והן בכתיבה</w:t>
      </w:r>
      <w:r>
        <w:rPr>
          <w:rStyle w:val="a4"/>
          <w:rtl/>
        </w:rPr>
        <w:footnoteReference w:id="14"/>
      </w:r>
      <w:r>
        <w:rPr>
          <w:rFonts w:hint="cs"/>
          <w:rtl/>
        </w:rPr>
        <w:t>, כגון (</w:t>
      </w:r>
      <w:r>
        <w:rPr>
          <w:rFonts w:hint="cs"/>
          <w:sz w:val="18"/>
          <w:szCs w:val="20"/>
          <w:rtl/>
        </w:rPr>
        <w:t>לפי נוסח הדפוסים</w:t>
      </w:r>
      <w:r>
        <w:rPr>
          <w:rFonts w:hint="cs"/>
          <w:rtl/>
        </w:rPr>
        <w:t>): "</w:t>
      </w:r>
      <w:r>
        <w:rPr>
          <w:rtl/>
        </w:rPr>
        <w:t xml:space="preserve">בית דינו </w:t>
      </w:r>
      <w:r>
        <w:rPr>
          <w:rFonts w:hint="cs"/>
          <w:b/>
          <w:bCs/>
          <w:rtl/>
        </w:rPr>
        <w:t>שֶׁל</w:t>
      </w:r>
      <w:r>
        <w:rPr>
          <w:rtl/>
        </w:rPr>
        <w:t xml:space="preserve"> </w:t>
      </w:r>
      <w:r>
        <w:rPr>
          <w:rtl/>
        </w:rPr>
        <w:lastRenderedPageBreak/>
        <w:t>שלמה</w:t>
      </w:r>
      <w:r>
        <w:rPr>
          <w:rFonts w:hint="cs"/>
          <w:rtl/>
        </w:rPr>
        <w:t>" (</w:t>
      </w:r>
      <w:r>
        <w:rPr>
          <w:sz w:val="18"/>
          <w:szCs w:val="20"/>
          <w:rtl/>
        </w:rPr>
        <w:t>מכות כג</w:t>
      </w:r>
      <w:r>
        <w:rPr>
          <w:rFonts w:hint="cs"/>
          <w:sz w:val="18"/>
          <w:szCs w:val="20"/>
          <w:rtl/>
        </w:rPr>
        <w:t xml:space="preserve">, </w:t>
      </w:r>
      <w:r>
        <w:rPr>
          <w:sz w:val="18"/>
          <w:szCs w:val="20"/>
          <w:rtl/>
        </w:rPr>
        <w:t>ב</w:t>
      </w:r>
      <w:r>
        <w:rPr>
          <w:rStyle w:val="a4"/>
          <w:szCs w:val="20"/>
          <w:rtl/>
        </w:rPr>
        <w:footnoteReference w:id="15"/>
      </w:r>
      <w:r>
        <w:rPr>
          <w:rFonts w:hint="cs"/>
          <w:rtl/>
        </w:rPr>
        <w:t>), "</w:t>
      </w:r>
      <w:r>
        <w:rPr>
          <w:rtl/>
        </w:rPr>
        <w:t xml:space="preserve">זה אומר </w:t>
      </w:r>
      <w:r>
        <w:rPr>
          <w:rFonts w:hint="cs"/>
          <w:rtl/>
        </w:rPr>
        <w:t>'</w:t>
      </w:r>
      <w:r>
        <w:rPr>
          <w:rFonts w:hint="cs"/>
          <w:b/>
          <w:bCs/>
          <w:rtl/>
        </w:rPr>
        <w:t>שֶׁל</w:t>
      </w:r>
      <w:r>
        <w:rPr>
          <w:rtl/>
        </w:rPr>
        <w:t xml:space="preserve"> אבותי</w:t>
      </w:r>
      <w:r>
        <w:rPr>
          <w:rFonts w:hint="cs"/>
          <w:rtl/>
        </w:rPr>
        <w:t>'"</w:t>
      </w:r>
      <w:r>
        <w:rPr>
          <w:rtl/>
        </w:rPr>
        <w:t xml:space="preserve"> </w:t>
      </w:r>
      <w:r>
        <w:rPr>
          <w:rFonts w:hint="cs"/>
          <w:rtl/>
        </w:rPr>
        <w:t>(</w:t>
      </w:r>
      <w:r>
        <w:rPr>
          <w:sz w:val="18"/>
          <w:szCs w:val="20"/>
          <w:rtl/>
        </w:rPr>
        <w:t>בבא בתרא לא</w:t>
      </w:r>
      <w:r>
        <w:rPr>
          <w:rFonts w:hint="cs"/>
          <w:sz w:val="18"/>
          <w:szCs w:val="20"/>
          <w:rtl/>
        </w:rPr>
        <w:t xml:space="preserve">, </w:t>
      </w:r>
      <w:r>
        <w:rPr>
          <w:sz w:val="18"/>
          <w:szCs w:val="20"/>
          <w:rtl/>
        </w:rPr>
        <w:t>א</w:t>
      </w:r>
      <w:r>
        <w:rPr>
          <w:rFonts w:hint="cs"/>
          <w:rtl/>
        </w:rPr>
        <w:t xml:space="preserve">). כך הוא המנהג הנפוץ בימינו ברוב עדות ישראל וברוב סידורי התפילה בקטעים שלעיל: "שְׁפוֹפֶרֶת </w:t>
      </w:r>
      <w:r>
        <w:rPr>
          <w:rFonts w:hint="cs"/>
          <w:b/>
          <w:bCs/>
          <w:rtl/>
        </w:rPr>
        <w:t>שֶׁל</w:t>
      </w:r>
      <w:r>
        <w:rPr>
          <w:rtl/>
        </w:rPr>
        <w:t xml:space="preserve"> </w:t>
      </w:r>
      <w:r>
        <w:rPr>
          <w:rFonts w:hint="cs"/>
          <w:b/>
          <w:bCs/>
          <w:rtl/>
        </w:rPr>
        <w:t>בּ</w:t>
      </w:r>
      <w:r>
        <w:rPr>
          <w:rFonts w:hint="cs"/>
          <w:rtl/>
        </w:rPr>
        <w:t>יצָה</w:t>
      </w:r>
      <w:r>
        <w:rPr>
          <w:rStyle w:val="a4"/>
          <w:rtl/>
        </w:rPr>
        <w:footnoteReference w:id="16"/>
      </w:r>
      <w:r>
        <w:rPr>
          <w:rFonts w:hint="cs"/>
          <w:rtl/>
        </w:rPr>
        <w:t xml:space="preserve">... </w:t>
      </w:r>
      <w:r>
        <w:rPr>
          <w:rFonts w:hint="cs"/>
          <w:b/>
          <w:bCs/>
          <w:rtl/>
        </w:rPr>
        <w:t>שֶׁל</w:t>
      </w:r>
      <w:r>
        <w:rPr>
          <w:rtl/>
        </w:rPr>
        <w:t xml:space="preserve"> </w:t>
      </w:r>
      <w:r>
        <w:rPr>
          <w:rFonts w:hint="cs"/>
          <w:rtl/>
        </w:rPr>
        <w:t>חֶרֶס" (</w:t>
      </w:r>
      <w:r>
        <w:rPr>
          <w:rFonts w:hint="cs"/>
          <w:sz w:val="18"/>
          <w:szCs w:val="20"/>
          <w:rtl/>
        </w:rPr>
        <w:t>וכן מודפס להלן דף כט, ב</w:t>
      </w:r>
      <w:r>
        <w:rPr>
          <w:rFonts w:hint="cs"/>
          <w:rtl/>
        </w:rPr>
        <w:t>), "</w:t>
      </w:r>
      <w:r>
        <w:rPr>
          <w:rtl/>
        </w:rPr>
        <w:t xml:space="preserve">בִּבְרִיתוֹ </w:t>
      </w:r>
      <w:r>
        <w:rPr>
          <w:rFonts w:hint="cs"/>
          <w:b/>
          <w:bCs/>
          <w:rtl/>
        </w:rPr>
        <w:t>שֶׁל</w:t>
      </w:r>
      <w:r>
        <w:rPr>
          <w:rtl/>
        </w:rPr>
        <w:t xml:space="preserve"> אַבְרָהָם אָבִינוּ</w:t>
      </w:r>
      <w:r>
        <w:rPr>
          <w:rFonts w:hint="cs"/>
          <w:rtl/>
        </w:rPr>
        <w:t>" (</w:t>
      </w:r>
      <w:r>
        <w:rPr>
          <w:rFonts w:hint="cs"/>
          <w:sz w:val="18"/>
          <w:szCs w:val="20"/>
          <w:rtl/>
        </w:rPr>
        <w:t xml:space="preserve">וכן מודפס להלן דף </w:t>
      </w:r>
      <w:r>
        <w:rPr>
          <w:sz w:val="18"/>
          <w:szCs w:val="20"/>
          <w:rtl/>
        </w:rPr>
        <w:t>קלז</w:t>
      </w:r>
      <w:r>
        <w:rPr>
          <w:rFonts w:hint="cs"/>
          <w:sz w:val="18"/>
          <w:szCs w:val="20"/>
          <w:rtl/>
        </w:rPr>
        <w:t xml:space="preserve">, </w:t>
      </w:r>
      <w:r>
        <w:rPr>
          <w:sz w:val="18"/>
          <w:szCs w:val="20"/>
          <w:rtl/>
        </w:rPr>
        <w:t>ב</w:t>
      </w:r>
      <w:r>
        <w:rPr>
          <w:rFonts w:hint="cs"/>
          <w:rtl/>
        </w:rPr>
        <w:t xml:space="preserve">), "בִּקְדֻשָּׁתוֹ </w:t>
      </w:r>
      <w:r>
        <w:rPr>
          <w:rFonts w:hint="cs"/>
          <w:b/>
          <w:bCs/>
          <w:rtl/>
        </w:rPr>
        <w:t>שֶׁל</w:t>
      </w:r>
      <w:r>
        <w:rPr>
          <w:rtl/>
        </w:rPr>
        <w:t xml:space="preserve"> </w:t>
      </w:r>
      <w:r>
        <w:rPr>
          <w:rFonts w:hint="cs"/>
          <w:rtl/>
        </w:rPr>
        <w:t>אַהֲרֹן" (</w:t>
      </w:r>
      <w:r>
        <w:rPr>
          <w:rFonts w:hint="cs"/>
          <w:sz w:val="18"/>
          <w:szCs w:val="20"/>
          <w:rtl/>
        </w:rPr>
        <w:t>וכן מודפס ב</w:t>
      </w:r>
      <w:r>
        <w:rPr>
          <w:sz w:val="18"/>
          <w:szCs w:val="20"/>
          <w:rtl/>
        </w:rPr>
        <w:t xml:space="preserve">סוטה </w:t>
      </w:r>
      <w:r>
        <w:rPr>
          <w:rFonts w:hint="cs"/>
          <w:sz w:val="18"/>
          <w:szCs w:val="20"/>
          <w:rtl/>
        </w:rPr>
        <w:t xml:space="preserve">דף </w:t>
      </w:r>
      <w:r>
        <w:rPr>
          <w:sz w:val="18"/>
          <w:szCs w:val="20"/>
          <w:rtl/>
        </w:rPr>
        <w:t>לט</w:t>
      </w:r>
      <w:r>
        <w:rPr>
          <w:rFonts w:hint="cs"/>
          <w:sz w:val="18"/>
          <w:szCs w:val="20"/>
          <w:rtl/>
        </w:rPr>
        <w:t xml:space="preserve">, </w:t>
      </w:r>
      <w:r>
        <w:rPr>
          <w:sz w:val="18"/>
          <w:szCs w:val="20"/>
          <w:rtl/>
        </w:rPr>
        <w:t>א</w:t>
      </w:r>
      <w:r>
        <w:rPr>
          <w:rFonts w:hint="cs"/>
          <w:rtl/>
        </w:rPr>
        <w:t>)</w:t>
      </w:r>
      <w:r>
        <w:rPr>
          <w:rStyle w:val="a4"/>
          <w:rtl/>
        </w:rPr>
        <w:footnoteReference w:id="17"/>
      </w:r>
      <w:r>
        <w:rPr>
          <w:rFonts w:hint="cs"/>
          <w:rtl/>
        </w:rPr>
        <w:t>. בשש דוגמות אלו לא יצרה עמידתה העצמאית של המִלית "שֶׁל" כל בעיה</w:t>
      </w:r>
      <w:r>
        <w:rPr>
          <w:rStyle w:val="a4"/>
          <w:rtl/>
        </w:rPr>
        <w:footnoteReference w:id="18"/>
      </w:r>
      <w:r>
        <w:rPr>
          <w:rFonts w:hint="cs"/>
          <w:rtl/>
        </w:rPr>
        <w:t>.</w:t>
      </w:r>
    </w:p>
    <w:p w14:paraId="2A923908" w14:textId="77777777" w:rsidR="00940290" w:rsidRDefault="00940290" w:rsidP="00940290">
      <w:pPr>
        <w:ind w:firstLine="284"/>
        <w:rPr>
          <w:rFonts w:hint="cs"/>
          <w:rtl/>
        </w:rPr>
      </w:pPr>
      <w:r>
        <w:rPr>
          <w:rFonts w:hint="cs"/>
          <w:rtl/>
        </w:rPr>
        <w:t>המבוכה הכרוכה בתהליך הפרדת "שֶׁל" מן המִלה הבאה היא כיצד לנהוג באותם מקרים (שבהם יתכן) שהמִלה הבאה צריכה להיות מיודעת, וה' היידוע מובלעת בל' השימוש</w:t>
      </w:r>
      <w:r>
        <w:rPr>
          <w:rStyle w:val="a4"/>
          <w:rtl/>
        </w:rPr>
        <w:footnoteReference w:id="19"/>
      </w:r>
      <w:r>
        <w:rPr>
          <w:rFonts w:hint="cs"/>
          <w:rtl/>
        </w:rPr>
        <w:t>, כפי שקרה במשנתנו, במשנת "תפלת השחר" ובאבות:</w:t>
      </w:r>
    </w:p>
    <w:p w14:paraId="46A2A6C5" w14:textId="77777777" w:rsidR="00940290" w:rsidRDefault="00940290" w:rsidP="00940290">
      <w:pPr>
        <w:ind w:firstLine="284"/>
        <w:rPr>
          <w:rFonts w:hint="cs"/>
          <w:rtl/>
        </w:rPr>
      </w:pPr>
      <w:r>
        <w:rPr>
          <w:rFonts w:hint="cs"/>
          <w:sz w:val="26"/>
          <w:rtl/>
        </w:rPr>
        <w:lastRenderedPageBreak/>
        <w:t xml:space="preserve">פרק קניין תורה אכן אינו עוסק בכל תורה שהיא, אלא זהו פרק קניין התורה, </w:t>
      </w:r>
      <w:r>
        <w:rPr>
          <w:rFonts w:hint="cs"/>
          <w:b/>
          <w:bCs/>
          <w:sz w:val="26"/>
          <w:rtl/>
        </w:rPr>
        <w:t>ה</w:t>
      </w:r>
      <w:r>
        <w:rPr>
          <w:rFonts w:hint="cs"/>
          <w:sz w:val="26"/>
          <w:rtl/>
        </w:rPr>
        <w:t xml:space="preserve">תורה הידועה, תורת ה' לעמו ישראל. לאור האמור יובן כי בנוסח המקורי שֶקדם </w:t>
      </w:r>
      <w:r>
        <w:rPr>
          <w:rFonts w:hint="cs"/>
          <w:rtl/>
        </w:rPr>
        <w:t>להִפָּרד</w:t>
      </w:r>
      <w:r>
        <w:rPr>
          <w:rFonts w:hint="cs"/>
          <w:sz w:val="26"/>
          <w:rtl/>
        </w:rPr>
        <w:t>וּת ה</w:t>
      </w:r>
      <w:r>
        <w:rPr>
          <w:rFonts w:hint="cs"/>
          <w:rtl/>
        </w:rPr>
        <w:t>מִלית "שֶׁל" שָנוּ</w:t>
      </w:r>
      <w:r>
        <w:rPr>
          <w:rFonts w:hint="cs"/>
          <w:sz w:val="26"/>
          <w:rtl/>
        </w:rPr>
        <w:t>: "</w:t>
      </w:r>
      <w:r>
        <w:rPr>
          <w:sz w:val="26"/>
          <w:rtl/>
        </w:rPr>
        <w:t>עלבונה</w:t>
      </w:r>
      <w:r>
        <w:rPr>
          <w:rFonts w:hint="cs"/>
          <w:sz w:val="26"/>
          <w:rtl/>
        </w:rPr>
        <w:t xml:space="preserve"> </w:t>
      </w:r>
      <w:r>
        <w:rPr>
          <w:b/>
          <w:bCs/>
          <w:sz w:val="26"/>
          <w:rtl/>
        </w:rPr>
        <w:t>ש</w:t>
      </w:r>
      <w:r>
        <w:rPr>
          <w:rFonts w:hint="cs"/>
          <w:b/>
          <w:bCs/>
          <w:sz w:val="26"/>
          <w:rtl/>
        </w:rPr>
        <w:t>ֶ</w:t>
      </w:r>
      <w:r>
        <w:rPr>
          <w:b/>
          <w:bCs/>
          <w:sz w:val="26"/>
          <w:rtl/>
        </w:rPr>
        <w:t>ל</w:t>
      </w:r>
      <w:r>
        <w:rPr>
          <w:rFonts w:hint="cs"/>
          <w:b/>
          <w:bCs/>
          <w:sz w:val="26"/>
          <w:rtl/>
        </w:rPr>
        <w:t>ַּ</w:t>
      </w:r>
      <w:r>
        <w:rPr>
          <w:b/>
          <w:bCs/>
          <w:sz w:val="26"/>
          <w:rtl/>
        </w:rPr>
        <w:t>ת</w:t>
      </w:r>
      <w:r>
        <w:rPr>
          <w:rFonts w:hint="cs"/>
          <w:b/>
          <w:bCs/>
          <w:sz w:val="26"/>
          <w:rtl/>
        </w:rPr>
        <w:t>ּ</w:t>
      </w:r>
      <w:r>
        <w:rPr>
          <w:b/>
          <w:bCs/>
          <w:sz w:val="26"/>
          <w:rtl/>
        </w:rPr>
        <w:t>ו</w:t>
      </w:r>
      <w:r>
        <w:rPr>
          <w:rFonts w:hint="cs"/>
          <w:b/>
          <w:bCs/>
          <w:sz w:val="26"/>
          <w:rtl/>
        </w:rPr>
        <w:t>ֹ</w:t>
      </w:r>
      <w:r>
        <w:rPr>
          <w:b/>
          <w:bCs/>
          <w:sz w:val="26"/>
          <w:rtl/>
        </w:rPr>
        <w:t>ר</w:t>
      </w:r>
      <w:r>
        <w:rPr>
          <w:rFonts w:hint="cs"/>
          <w:b/>
          <w:bCs/>
          <w:sz w:val="26"/>
          <w:rtl/>
        </w:rPr>
        <w:t>ָ</w:t>
      </w:r>
      <w:r>
        <w:rPr>
          <w:b/>
          <w:bCs/>
          <w:sz w:val="26"/>
          <w:rtl/>
        </w:rPr>
        <w:t>ה</w:t>
      </w:r>
      <w:r>
        <w:rPr>
          <w:rFonts w:hint="cs"/>
          <w:sz w:val="26"/>
          <w:rtl/>
        </w:rPr>
        <w:t xml:space="preserve">... </w:t>
      </w:r>
      <w:r>
        <w:rPr>
          <w:sz w:val="26"/>
          <w:rtl/>
        </w:rPr>
        <w:t xml:space="preserve">דרכה </w:t>
      </w:r>
      <w:r>
        <w:rPr>
          <w:b/>
          <w:bCs/>
          <w:sz w:val="26"/>
          <w:rtl/>
        </w:rPr>
        <w:t>ש</w:t>
      </w:r>
      <w:r>
        <w:rPr>
          <w:rFonts w:hint="cs"/>
          <w:b/>
          <w:bCs/>
          <w:sz w:val="26"/>
          <w:rtl/>
        </w:rPr>
        <w:t>ֶ</w:t>
      </w:r>
      <w:r>
        <w:rPr>
          <w:b/>
          <w:bCs/>
          <w:sz w:val="26"/>
          <w:rtl/>
        </w:rPr>
        <w:t>ל</w:t>
      </w:r>
      <w:r>
        <w:rPr>
          <w:rFonts w:hint="cs"/>
          <w:b/>
          <w:bCs/>
          <w:sz w:val="26"/>
          <w:rtl/>
        </w:rPr>
        <w:t>ַּ</w:t>
      </w:r>
      <w:r>
        <w:rPr>
          <w:b/>
          <w:bCs/>
          <w:sz w:val="26"/>
          <w:rtl/>
        </w:rPr>
        <w:t>ת</w:t>
      </w:r>
      <w:r>
        <w:rPr>
          <w:rFonts w:hint="cs"/>
          <w:b/>
          <w:bCs/>
          <w:sz w:val="26"/>
          <w:rtl/>
        </w:rPr>
        <w:t>ּ</w:t>
      </w:r>
      <w:r>
        <w:rPr>
          <w:b/>
          <w:bCs/>
          <w:sz w:val="26"/>
          <w:rtl/>
        </w:rPr>
        <w:t>ו</w:t>
      </w:r>
      <w:r>
        <w:rPr>
          <w:rFonts w:hint="cs"/>
          <w:b/>
          <w:bCs/>
          <w:sz w:val="26"/>
          <w:rtl/>
        </w:rPr>
        <w:t>ֹ</w:t>
      </w:r>
      <w:r>
        <w:rPr>
          <w:b/>
          <w:bCs/>
          <w:sz w:val="26"/>
          <w:rtl/>
        </w:rPr>
        <w:t>ר</w:t>
      </w:r>
      <w:r>
        <w:rPr>
          <w:rFonts w:hint="cs"/>
          <w:b/>
          <w:bCs/>
          <w:sz w:val="26"/>
          <w:rtl/>
        </w:rPr>
        <w:t>ָ</w:t>
      </w:r>
      <w:r>
        <w:rPr>
          <w:b/>
          <w:bCs/>
          <w:sz w:val="26"/>
          <w:rtl/>
        </w:rPr>
        <w:t>ה</w:t>
      </w:r>
      <w:r>
        <w:rPr>
          <w:rFonts w:hint="cs"/>
          <w:sz w:val="26"/>
          <w:rtl/>
        </w:rPr>
        <w:t>"</w:t>
      </w:r>
      <w:r>
        <w:rPr>
          <w:rStyle w:val="a4"/>
          <w:rtl/>
        </w:rPr>
        <w:footnoteReference w:id="20"/>
      </w:r>
      <w:r>
        <w:rPr>
          <w:rFonts w:hint="cs"/>
          <w:sz w:val="26"/>
          <w:rtl/>
        </w:rPr>
        <w:t xml:space="preserve">. </w:t>
      </w:r>
      <w:r>
        <w:rPr>
          <w:rFonts w:hint="cs"/>
          <w:rtl/>
        </w:rPr>
        <w:t xml:space="preserve">ניקוד ל' השימוש בפתח והדגש החזק הבא אחריו, מרמזים על היידוע, ואכן כוונת חז"ל לומר: </w:t>
      </w:r>
      <w:r>
        <w:rPr>
          <w:rFonts w:hint="cs"/>
          <w:sz w:val="26"/>
          <w:rtl/>
        </w:rPr>
        <w:t>"</w:t>
      </w:r>
      <w:r>
        <w:rPr>
          <w:sz w:val="26"/>
          <w:rtl/>
        </w:rPr>
        <w:t>ש</w:t>
      </w:r>
      <w:r>
        <w:rPr>
          <w:rFonts w:hint="cs"/>
          <w:sz w:val="26"/>
          <w:rtl/>
        </w:rPr>
        <w:t>ֶ</w:t>
      </w:r>
      <w:r>
        <w:rPr>
          <w:sz w:val="26"/>
          <w:rtl/>
        </w:rPr>
        <w:t xml:space="preserve">ל </w:t>
      </w:r>
      <w:r>
        <w:rPr>
          <w:rFonts w:hint="cs"/>
          <w:b/>
          <w:bCs/>
          <w:sz w:val="26"/>
          <w:rtl/>
        </w:rPr>
        <w:t>הַ</w:t>
      </w:r>
      <w:r>
        <w:rPr>
          <w:sz w:val="26"/>
          <w:rtl/>
        </w:rPr>
        <w:t>ת</w:t>
      </w:r>
      <w:r>
        <w:rPr>
          <w:rFonts w:hint="cs"/>
          <w:sz w:val="26"/>
          <w:rtl/>
        </w:rPr>
        <w:t>ּ</w:t>
      </w:r>
      <w:r>
        <w:rPr>
          <w:sz w:val="26"/>
          <w:rtl/>
        </w:rPr>
        <w:t>ו</w:t>
      </w:r>
      <w:r>
        <w:rPr>
          <w:rFonts w:hint="cs"/>
          <w:sz w:val="26"/>
          <w:rtl/>
        </w:rPr>
        <w:t>ֹ</w:t>
      </w:r>
      <w:r>
        <w:rPr>
          <w:sz w:val="26"/>
          <w:rtl/>
        </w:rPr>
        <w:t>ר</w:t>
      </w:r>
      <w:r>
        <w:rPr>
          <w:rFonts w:hint="cs"/>
          <w:sz w:val="26"/>
          <w:rtl/>
        </w:rPr>
        <w:t>ָ</w:t>
      </w:r>
      <w:r>
        <w:rPr>
          <w:sz w:val="26"/>
          <w:rtl/>
        </w:rPr>
        <w:t>ה</w:t>
      </w:r>
      <w:r>
        <w:rPr>
          <w:rFonts w:hint="cs"/>
          <w:rtl/>
        </w:rPr>
        <w:t xml:space="preserve">". ברם, מעתיקים מאוחרים הפרידו את </w:t>
      </w:r>
      <w:r>
        <w:rPr>
          <w:rFonts w:hint="cs"/>
          <w:sz w:val="26"/>
          <w:rtl/>
        </w:rPr>
        <w:t>ה</w:t>
      </w:r>
      <w:r>
        <w:rPr>
          <w:rFonts w:hint="cs"/>
          <w:rtl/>
        </w:rPr>
        <w:t xml:space="preserve">מִלית "שֶׁל", אך לא הוסיפו כמתבקש את ה' היידוע, וכך נוצרה הערבוביה המתוארת. </w:t>
      </w:r>
    </w:p>
    <w:p w14:paraId="68E4BC9D" w14:textId="77777777" w:rsidR="00940290" w:rsidRDefault="00940290" w:rsidP="00940290">
      <w:pPr>
        <w:ind w:firstLine="284"/>
        <w:rPr>
          <w:rFonts w:hint="cs"/>
          <w:sz w:val="26"/>
          <w:rtl/>
        </w:rPr>
      </w:pPr>
      <w:r>
        <w:rPr>
          <w:rFonts w:hint="cs"/>
          <w:rtl/>
        </w:rPr>
        <w:t>כך גם במשנת תפלת השחר: נוסח המשנה המקורי הוא "ו</w:t>
      </w:r>
      <w:r>
        <w:rPr>
          <w:sz w:val="26"/>
          <w:rtl/>
        </w:rPr>
        <w:t>של</w:t>
      </w:r>
      <w:r>
        <w:rPr>
          <w:rFonts w:hint="cs"/>
          <w:sz w:val="26"/>
          <w:rtl/>
        </w:rPr>
        <w:t>ַ</w:t>
      </w:r>
      <w:r>
        <w:rPr>
          <w:sz w:val="26"/>
          <w:rtl/>
        </w:rPr>
        <w:t>מ</w:t>
      </w:r>
      <w:r>
        <w:rPr>
          <w:rFonts w:hint="cs"/>
          <w:sz w:val="26"/>
          <w:rtl/>
        </w:rPr>
        <w:t>ּ</w:t>
      </w:r>
      <w:r>
        <w:rPr>
          <w:sz w:val="26"/>
          <w:rtl/>
        </w:rPr>
        <w:t>וספין</w:t>
      </w:r>
      <w:r>
        <w:rPr>
          <w:rFonts w:hint="cs"/>
          <w:sz w:val="26"/>
          <w:rtl/>
        </w:rPr>
        <w:t>" (</w:t>
      </w:r>
      <w:r>
        <w:rPr>
          <w:rFonts w:hint="cs"/>
          <w:sz w:val="18"/>
          <w:szCs w:val="20"/>
          <w:rtl/>
        </w:rPr>
        <w:t>כ"ה בכתבי יד וב</w:t>
      </w:r>
      <w:r>
        <w:rPr>
          <w:sz w:val="18"/>
          <w:szCs w:val="20"/>
          <w:rtl/>
        </w:rPr>
        <w:t>כתב יד קדשו</w:t>
      </w:r>
      <w:r>
        <w:rPr>
          <w:rFonts w:hint="cs"/>
          <w:sz w:val="18"/>
          <w:szCs w:val="20"/>
          <w:rtl/>
        </w:rPr>
        <w:t xml:space="preserve"> שלרמב"ם</w:t>
      </w:r>
      <w:r>
        <w:rPr>
          <w:rFonts w:hint="cs"/>
          <w:sz w:val="26"/>
          <w:rtl/>
        </w:rPr>
        <w:t>) ובמקום לפענחו "ו</w:t>
      </w:r>
      <w:r>
        <w:rPr>
          <w:sz w:val="26"/>
          <w:rtl/>
        </w:rPr>
        <w:t>של</w:t>
      </w:r>
      <w:r>
        <w:rPr>
          <w:rFonts w:hint="cs"/>
          <w:sz w:val="26"/>
          <w:rtl/>
        </w:rPr>
        <w:t xml:space="preserve"> </w:t>
      </w:r>
      <w:r>
        <w:rPr>
          <w:rFonts w:hint="cs"/>
          <w:b/>
          <w:bCs/>
          <w:sz w:val="26"/>
          <w:rtl/>
        </w:rPr>
        <w:t>ה</w:t>
      </w:r>
      <w:r>
        <w:rPr>
          <w:sz w:val="26"/>
          <w:rtl/>
        </w:rPr>
        <w:t>מוספין</w:t>
      </w:r>
      <w:r>
        <w:rPr>
          <w:rFonts w:hint="cs"/>
          <w:sz w:val="26"/>
          <w:rtl/>
        </w:rPr>
        <w:t>", גזר הגוזר את המִלה לשתים, ולא שת לִבו כי במעשה זה מעלים את היידוע.</w:t>
      </w:r>
    </w:p>
    <w:p w14:paraId="2A24C634" w14:textId="77777777" w:rsidR="00940290" w:rsidRDefault="00940290" w:rsidP="00940290">
      <w:pPr>
        <w:ind w:firstLine="284"/>
        <w:rPr>
          <w:rFonts w:hint="cs"/>
          <w:rtl/>
        </w:rPr>
      </w:pPr>
      <w:r>
        <w:rPr>
          <w:rFonts w:hint="cs"/>
          <w:rtl/>
        </w:rPr>
        <w:t xml:space="preserve">עתה נשוב למשנתנו: צירוף המִלים המקורי במשנתנו, </w:t>
      </w:r>
      <w:r>
        <w:rPr>
          <w:rFonts w:hint="cs"/>
          <w:sz w:val="26"/>
          <w:rtl/>
        </w:rPr>
        <w:t>כמתועד בכתבי היד,</w:t>
      </w:r>
      <w:r>
        <w:rPr>
          <w:rFonts w:hint="cs"/>
          <w:rtl/>
        </w:rPr>
        <w:t xml:space="preserve"> היה "יָדוֹ שֶׁ</w:t>
      </w:r>
      <w:r>
        <w:rPr>
          <w:rFonts w:hint="cs"/>
          <w:b/>
          <w:bCs/>
          <w:rtl/>
        </w:rPr>
        <w:t>לֶ</w:t>
      </w:r>
      <w:r>
        <w:rPr>
          <w:rFonts w:hint="cs"/>
          <w:rtl/>
        </w:rPr>
        <w:t xml:space="preserve">עָנִי". ניקוד ל' השימוש בסגול, </w:t>
      </w:r>
      <w:r>
        <w:rPr>
          <w:rFonts w:hint="cs"/>
          <w:sz w:val="26"/>
          <w:rtl/>
        </w:rPr>
        <w:t xml:space="preserve">המופיע כבר </w:t>
      </w:r>
      <w:r>
        <w:rPr>
          <w:rFonts w:hint="cs"/>
          <w:sz w:val="26"/>
          <w:rtl/>
        </w:rPr>
        <w:lastRenderedPageBreak/>
        <w:t>בכתבי היד של המשנה</w:t>
      </w:r>
      <w:r>
        <w:rPr>
          <w:rStyle w:val="a4"/>
          <w:rtl/>
        </w:rPr>
        <w:footnoteReference w:id="21"/>
      </w:r>
      <w:r>
        <w:rPr>
          <w:rFonts w:hint="cs"/>
          <w:rtl/>
        </w:rPr>
        <w:t>, מרמז על היידוע</w:t>
      </w:r>
      <w:r>
        <w:rPr>
          <w:rStyle w:val="a4"/>
          <w:rtl/>
        </w:rPr>
        <w:footnoteReference w:id="22"/>
      </w:r>
      <w:r>
        <w:rPr>
          <w:rFonts w:hint="cs"/>
          <w:rtl/>
        </w:rPr>
        <w:t>, דהיינו: "יָדוֹ</w:t>
      </w:r>
      <w:r>
        <w:rPr>
          <w:rFonts w:hint="cs"/>
          <w:b/>
          <w:bCs/>
          <w:rtl/>
        </w:rPr>
        <w:t xml:space="preserve"> </w:t>
      </w:r>
      <w:r>
        <w:rPr>
          <w:rFonts w:hint="cs"/>
          <w:rtl/>
        </w:rPr>
        <w:t xml:space="preserve">שֶׁל </w:t>
      </w:r>
      <w:r>
        <w:rPr>
          <w:rFonts w:hint="cs"/>
          <w:b/>
          <w:bCs/>
          <w:rtl/>
        </w:rPr>
        <w:t>הֶ</w:t>
      </w:r>
      <w:r>
        <w:rPr>
          <w:rFonts w:hint="cs"/>
          <w:rtl/>
        </w:rPr>
        <w:t>עָנִי" (כשאר "</w:t>
      </w:r>
      <w:r>
        <w:rPr>
          <w:rFonts w:hint="cs"/>
          <w:b/>
          <w:bCs/>
          <w:rtl/>
        </w:rPr>
        <w:t>הֶ</w:t>
      </w:r>
      <w:r>
        <w:rPr>
          <w:rFonts w:hint="cs"/>
          <w:rtl/>
        </w:rPr>
        <w:t xml:space="preserve">עָנִי" שבמשנה זו). החפץ לקרוא את </w:t>
      </w:r>
      <w:r>
        <w:rPr>
          <w:rFonts w:hint="cs"/>
          <w:sz w:val="26"/>
          <w:rtl/>
        </w:rPr>
        <w:t>ה</w:t>
      </w:r>
      <w:r>
        <w:rPr>
          <w:rFonts w:hint="cs"/>
          <w:rtl/>
        </w:rPr>
        <w:t xml:space="preserve">מִלית "שֶׁל" בנפרד, חייב לשחזֵר ולקרוא את ה' היידוע. נוסח הדפוסים "יָדוֹ שֶׁל עָנִי", </w:t>
      </w:r>
      <w:r>
        <w:rPr>
          <w:rFonts w:hint="cs"/>
          <w:sz w:val="26"/>
          <w:rtl/>
        </w:rPr>
        <w:t>"ו</w:t>
      </w:r>
      <w:r>
        <w:rPr>
          <w:sz w:val="26"/>
          <w:rtl/>
        </w:rPr>
        <w:t>של</w:t>
      </w:r>
      <w:r>
        <w:rPr>
          <w:rFonts w:hint="cs"/>
          <w:sz w:val="26"/>
          <w:rtl/>
        </w:rPr>
        <w:t xml:space="preserve"> </w:t>
      </w:r>
      <w:r>
        <w:rPr>
          <w:sz w:val="26"/>
          <w:rtl/>
        </w:rPr>
        <w:t>מוספין</w:t>
      </w:r>
      <w:r>
        <w:rPr>
          <w:rFonts w:hint="cs"/>
          <w:sz w:val="26"/>
          <w:rtl/>
        </w:rPr>
        <w:t>",</w:t>
      </w:r>
      <w:r>
        <w:rPr>
          <w:sz w:val="26"/>
          <w:rtl/>
        </w:rPr>
        <w:t xml:space="preserve"> </w:t>
      </w:r>
      <w:r>
        <w:rPr>
          <w:rFonts w:hint="cs"/>
          <w:sz w:val="26"/>
          <w:rtl/>
        </w:rPr>
        <w:t>"</w:t>
      </w:r>
      <w:r>
        <w:rPr>
          <w:sz w:val="26"/>
          <w:rtl/>
        </w:rPr>
        <w:t>ש</w:t>
      </w:r>
      <w:r>
        <w:rPr>
          <w:rFonts w:hint="cs"/>
          <w:sz w:val="26"/>
          <w:rtl/>
        </w:rPr>
        <w:t>ֶ</w:t>
      </w:r>
      <w:r>
        <w:rPr>
          <w:sz w:val="26"/>
          <w:rtl/>
        </w:rPr>
        <w:t>ל ת</w:t>
      </w:r>
      <w:r>
        <w:rPr>
          <w:rFonts w:hint="cs"/>
          <w:sz w:val="26"/>
          <w:rtl/>
        </w:rPr>
        <w:t>ּ</w:t>
      </w:r>
      <w:r>
        <w:rPr>
          <w:sz w:val="26"/>
          <w:rtl/>
        </w:rPr>
        <w:t>ו</w:t>
      </w:r>
      <w:r>
        <w:rPr>
          <w:rFonts w:hint="cs"/>
          <w:sz w:val="26"/>
          <w:rtl/>
        </w:rPr>
        <w:t>ֹ</w:t>
      </w:r>
      <w:r>
        <w:rPr>
          <w:sz w:val="26"/>
          <w:rtl/>
        </w:rPr>
        <w:t>ר</w:t>
      </w:r>
      <w:r>
        <w:rPr>
          <w:rFonts w:hint="cs"/>
          <w:sz w:val="26"/>
          <w:rtl/>
        </w:rPr>
        <w:t>ָ</w:t>
      </w:r>
      <w:r>
        <w:rPr>
          <w:sz w:val="26"/>
          <w:rtl/>
        </w:rPr>
        <w:t>ה</w:t>
      </w:r>
      <w:r>
        <w:rPr>
          <w:rFonts w:hint="cs"/>
          <w:sz w:val="26"/>
          <w:rtl/>
        </w:rPr>
        <w:t>" וכיו"ב - הוא שינוי מלשון חכמים שלא עלתה על דעתם</w:t>
      </w:r>
      <w:r>
        <w:rPr>
          <w:rFonts w:hint="cs"/>
          <w:rtl/>
        </w:rPr>
        <w:t>, ופעמים שהוא יוצר קשיים וטעיות בהבנת דבריהם על בוריים</w:t>
      </w:r>
      <w:r>
        <w:rPr>
          <w:rStyle w:val="a4"/>
          <w:rtl/>
        </w:rPr>
        <w:footnoteReference w:id="23"/>
      </w:r>
      <w:r>
        <w:rPr>
          <w:rFonts w:hint="cs"/>
          <w:rtl/>
        </w:rPr>
        <w:t xml:space="preserve">. </w:t>
      </w:r>
    </w:p>
    <w:p w14:paraId="5FD47355" w14:textId="77777777" w:rsidR="00940290" w:rsidRDefault="00940290" w:rsidP="00940290">
      <w:pPr>
        <w:ind w:firstLine="284"/>
        <w:rPr>
          <w:rFonts w:hint="cs"/>
        </w:rPr>
      </w:pPr>
      <w:r>
        <w:rPr>
          <w:rFonts w:hint="cs"/>
          <w:rtl/>
        </w:rPr>
        <w:t>כללו של-דבר, כל מִלה הבאה לאחר "שֶׁל"' טעונה בדיקה אם סתמית היא כדינהּ, או שיש להחזיר עטרת יידועהּ למקומהּ: "של [ה]..." (</w:t>
      </w:r>
      <w:r>
        <w:rPr>
          <w:rFonts w:hint="cs"/>
          <w:sz w:val="20"/>
          <w:szCs w:val="20"/>
          <w:rtl/>
        </w:rPr>
        <w:t>בכמה מקרים שבהם יש מקום להסתפק האם יש לשחזר את ה' היידוע, אם לאו, ראה הערה</w:t>
      </w:r>
      <w:r>
        <w:rPr>
          <w:rStyle w:val="a4"/>
          <w:rtl/>
        </w:rPr>
        <w:footnoteReference w:id="24"/>
      </w:r>
      <w:r>
        <w:rPr>
          <w:rFonts w:hint="cs"/>
          <w:sz w:val="26"/>
          <w:rtl/>
        </w:rPr>
        <w:t>).</w:t>
      </w:r>
    </w:p>
    <w:p w14:paraId="745977CA" w14:textId="77777777" w:rsidR="00273399" w:rsidRPr="00940290" w:rsidRDefault="00273399" w:rsidP="00273399">
      <w:pPr>
        <w:pStyle w:val="1"/>
        <w:rPr>
          <w:rFonts w:hint="cs"/>
          <w:rtl/>
        </w:rPr>
      </w:pPr>
    </w:p>
    <w:p w14:paraId="27558083" w14:textId="77777777" w:rsidR="00940290" w:rsidRDefault="00940290" w:rsidP="00940290">
      <w:pPr>
        <w:pStyle w:val="1"/>
        <w:rPr>
          <w:rFonts w:hint="cs"/>
          <w:rtl/>
        </w:rPr>
      </w:pPr>
      <w:r>
        <w:rPr>
          <w:rFonts w:hint="cs"/>
          <w:rtl/>
        </w:rPr>
        <w:t>דף ב, ב: "</w:t>
      </w:r>
      <w:r>
        <w:rPr>
          <w:rtl/>
        </w:rPr>
        <w:t>מראות נגעים</w:t>
      </w:r>
      <w:r>
        <w:rPr>
          <w:rFonts w:hint="cs"/>
          <w:rtl/>
        </w:rPr>
        <w:t xml:space="preserve"> -</w:t>
      </w:r>
      <w:r>
        <w:rPr>
          <w:rtl/>
        </w:rPr>
        <w:t xml:space="preserve"> ש</w:t>
      </w:r>
      <w:r>
        <w:rPr>
          <w:rFonts w:hint="cs"/>
          <w:rtl/>
        </w:rPr>
        <w:t>נ</w:t>
      </w:r>
      <w:r>
        <w:rPr>
          <w:rtl/>
        </w:rPr>
        <w:t>ים שהן ארבע</w:t>
      </w:r>
      <w:r>
        <w:rPr>
          <w:rFonts w:hint="cs"/>
          <w:rtl/>
        </w:rPr>
        <w:t xml:space="preserve">ה" </w:t>
      </w:r>
    </w:p>
    <w:p w14:paraId="162FEC72" w14:textId="77777777" w:rsidR="00940290" w:rsidRDefault="00940290" w:rsidP="00940290">
      <w:pPr>
        <w:pStyle w:val="2"/>
        <w:rPr>
          <w:rFonts w:hint="cs"/>
          <w:rtl/>
        </w:rPr>
      </w:pPr>
      <w:r>
        <w:rPr>
          <w:rFonts w:hint="cs"/>
          <w:rtl/>
        </w:rPr>
        <w:t>"</w:t>
      </w:r>
      <w:r>
        <w:rPr>
          <w:rtl/>
        </w:rPr>
        <w:t>מרא</w:t>
      </w:r>
      <w:r>
        <w:rPr>
          <w:rFonts w:hint="cs"/>
          <w:rtl/>
        </w:rPr>
        <w:t>ות" - זכר או נקבה?</w:t>
      </w:r>
    </w:p>
    <w:p w14:paraId="478E967F" w14:textId="77777777" w:rsidR="00940290" w:rsidRDefault="00940290" w:rsidP="00940290">
      <w:pPr>
        <w:ind w:firstLine="284"/>
        <w:rPr>
          <w:rFonts w:hint="cs"/>
          <w:rtl/>
        </w:rPr>
      </w:pPr>
      <w:r>
        <w:rPr>
          <w:rFonts w:hint="cs"/>
          <w:rtl/>
        </w:rPr>
        <w:t>יש סבורים שלשון חז"ל משובשת ופרוצה ללא סדרים וכללי דקדוק. בניגוד לסברה זו, נראה להלן כי קדמונינו סברו כי גם לשון חז"ל מוקפדת ומדוקדקת מבחינה לשונית, אף אם כלליה ופרטיה שונים מכללי הדקדוק המוכרים לנו מלשון המקרא, וכפי שאמרו "לשון תורה לחוד ולשון חכמים לחוד"</w:t>
      </w:r>
      <w:r>
        <w:rPr>
          <w:rStyle w:val="a4"/>
          <w:rtl/>
        </w:rPr>
        <w:footnoteReference w:id="25"/>
      </w:r>
      <w:r>
        <w:rPr>
          <w:rFonts w:hint="cs"/>
          <w:rtl/>
        </w:rPr>
        <w:t>. מלבד העובדה שרובדי הלשון נבדלים זה מזה בכלליהם הלשוניים, יש לדעת שכל הלשונות -- ובכלל זה הלשון העברית לרבדיה השונים (אף לשון התורה אשר "דִברה כלשון בני אדם") -- אינן עשויות "מקשה אחת" ולא בנקל ניתן להבין את כל מנהגי הלשון הקבועים והחריגים</w:t>
      </w:r>
      <w:r>
        <w:rPr>
          <w:rStyle w:val="a4"/>
          <w:rtl/>
        </w:rPr>
        <w:footnoteReference w:id="26"/>
      </w:r>
      <w:r>
        <w:rPr>
          <w:rFonts w:hint="cs"/>
          <w:rtl/>
        </w:rPr>
        <w:t xml:space="preserve">. </w:t>
      </w:r>
    </w:p>
    <w:p w14:paraId="4430721C" w14:textId="77777777" w:rsidR="00940290" w:rsidRDefault="00940290" w:rsidP="00940290">
      <w:pPr>
        <w:ind w:firstLine="284"/>
        <w:rPr>
          <w:rFonts w:hint="cs"/>
          <w:rtl/>
        </w:rPr>
      </w:pPr>
      <w:r>
        <w:rPr>
          <w:rFonts w:hint="cs"/>
          <w:rtl/>
        </w:rPr>
        <w:lastRenderedPageBreak/>
        <w:t>אחת התופעות המאפיינות את הלשון העברית (בניגוד לאנגלית, למשל) היא ההבחנה בין לשון זכר ללשון נקבה</w:t>
      </w:r>
      <w:r>
        <w:rPr>
          <w:rStyle w:val="a4"/>
          <w:rtl/>
        </w:rPr>
        <w:footnoteReference w:id="27"/>
      </w:r>
      <w:r>
        <w:rPr>
          <w:rFonts w:hint="cs"/>
          <w:rtl/>
        </w:rPr>
        <w:t>. גם תופעה זו איננה נוהגת תמיד</w:t>
      </w:r>
      <w:r>
        <w:rPr>
          <w:rStyle w:val="a4"/>
          <w:rtl/>
        </w:rPr>
        <w:footnoteReference w:id="28"/>
      </w:r>
      <w:r>
        <w:rPr>
          <w:rFonts w:hint="cs"/>
          <w:rtl/>
        </w:rPr>
        <w:t xml:space="preserve">, אך חריגים בלשון אינם מבטלים את הכלל. על הבחנה זו שָמר עורך המשנה, רבי יהודה הנשיא, אשר "היה צח </w:t>
      </w:r>
      <w:r>
        <w:rPr>
          <w:rFonts w:hint="cs"/>
          <w:rtl/>
        </w:rPr>
        <w:lastRenderedPageBreak/>
        <w:t>לשון ובקי בשפה העברית יותר מכל אדם"</w:t>
      </w:r>
      <w:r>
        <w:rPr>
          <w:rStyle w:val="a4"/>
          <w:rtl/>
        </w:rPr>
        <w:footnoteReference w:id="29"/>
      </w:r>
      <w:r>
        <w:rPr>
          <w:rFonts w:hint="cs"/>
          <w:rtl/>
        </w:rPr>
        <w:t xml:space="preserve">, כמודגם במשנה הפותחת את מסכת שבועות המובאת בראש סוגייתנו: </w:t>
      </w:r>
    </w:p>
    <w:p w14:paraId="11966C33" w14:textId="77777777" w:rsidR="00940290" w:rsidRDefault="00940290" w:rsidP="00940290">
      <w:pPr>
        <w:ind w:left="720" w:firstLine="284"/>
        <w:rPr>
          <w:rFonts w:hint="cs"/>
          <w:rtl/>
        </w:rPr>
      </w:pPr>
      <w:r>
        <w:rPr>
          <w:rFonts w:hint="cs"/>
          <w:rtl/>
        </w:rPr>
        <w:t>"</w:t>
      </w:r>
      <w:r>
        <w:rPr>
          <w:rtl/>
        </w:rPr>
        <w:t xml:space="preserve">שבועות </w:t>
      </w:r>
      <w:r>
        <w:rPr>
          <w:rFonts w:hint="cs"/>
          <w:rtl/>
        </w:rPr>
        <w:tab/>
      </w:r>
      <w:r>
        <w:rPr>
          <w:rFonts w:hint="cs"/>
          <w:rtl/>
        </w:rPr>
        <w:tab/>
      </w:r>
      <w:r>
        <w:rPr>
          <w:rFonts w:hint="cs"/>
          <w:rtl/>
        </w:rPr>
        <w:tab/>
      </w:r>
      <w:r>
        <w:rPr>
          <w:rtl/>
        </w:rPr>
        <w:t>שתים שהן ארבע</w:t>
      </w:r>
      <w:r>
        <w:rPr>
          <w:rFonts w:hint="cs"/>
          <w:rtl/>
        </w:rPr>
        <w:t>,</w:t>
      </w:r>
      <w:r>
        <w:rPr>
          <w:rtl/>
        </w:rPr>
        <w:t xml:space="preserve"> </w:t>
      </w:r>
    </w:p>
    <w:p w14:paraId="52C193B4" w14:textId="77777777" w:rsidR="00940290" w:rsidRDefault="00940290" w:rsidP="00940290">
      <w:pPr>
        <w:ind w:left="720" w:firstLine="284"/>
        <w:rPr>
          <w:rFonts w:hint="cs"/>
          <w:rtl/>
        </w:rPr>
      </w:pPr>
      <w:r>
        <w:rPr>
          <w:rtl/>
        </w:rPr>
        <w:t xml:space="preserve">ידיעות הטומאה </w:t>
      </w:r>
      <w:r>
        <w:rPr>
          <w:rFonts w:hint="cs"/>
          <w:rtl/>
        </w:rPr>
        <w:tab/>
      </w:r>
      <w:r>
        <w:rPr>
          <w:rFonts w:hint="cs"/>
          <w:rtl/>
        </w:rPr>
        <w:tab/>
      </w:r>
      <w:r>
        <w:rPr>
          <w:rtl/>
        </w:rPr>
        <w:t>שתים שהן ארבע</w:t>
      </w:r>
      <w:r>
        <w:rPr>
          <w:rFonts w:hint="cs"/>
          <w:rtl/>
        </w:rPr>
        <w:t xml:space="preserve">, </w:t>
      </w:r>
    </w:p>
    <w:p w14:paraId="674C3C8D" w14:textId="77777777" w:rsidR="00940290" w:rsidRDefault="00940290" w:rsidP="00940290">
      <w:pPr>
        <w:ind w:left="720" w:firstLine="284"/>
        <w:rPr>
          <w:rFonts w:hint="cs"/>
          <w:rtl/>
        </w:rPr>
      </w:pPr>
      <w:r>
        <w:rPr>
          <w:rtl/>
        </w:rPr>
        <w:t xml:space="preserve">יציאות השבת </w:t>
      </w:r>
      <w:r>
        <w:rPr>
          <w:rFonts w:hint="cs"/>
          <w:rtl/>
        </w:rPr>
        <w:tab/>
      </w:r>
      <w:r>
        <w:rPr>
          <w:rFonts w:hint="cs"/>
          <w:rtl/>
        </w:rPr>
        <w:tab/>
      </w:r>
      <w:r>
        <w:rPr>
          <w:rtl/>
        </w:rPr>
        <w:t>שתים שהן ארבע</w:t>
      </w:r>
      <w:r>
        <w:rPr>
          <w:rFonts w:hint="cs"/>
          <w:rtl/>
        </w:rPr>
        <w:t xml:space="preserve">, </w:t>
      </w:r>
    </w:p>
    <w:p w14:paraId="72BBD718" w14:textId="77777777" w:rsidR="00940290" w:rsidRDefault="00940290" w:rsidP="00940290">
      <w:pPr>
        <w:ind w:left="720" w:firstLine="284"/>
        <w:rPr>
          <w:rFonts w:hint="cs"/>
          <w:rtl/>
        </w:rPr>
      </w:pPr>
      <w:r>
        <w:rPr>
          <w:rtl/>
        </w:rPr>
        <w:t xml:space="preserve">מראות נגעים </w:t>
      </w:r>
      <w:r>
        <w:rPr>
          <w:rFonts w:hint="cs"/>
          <w:rtl/>
        </w:rPr>
        <w:tab/>
      </w:r>
      <w:r>
        <w:rPr>
          <w:rFonts w:hint="cs"/>
          <w:sz w:val="24"/>
          <w:szCs w:val="28"/>
          <w:rtl/>
        </w:rPr>
        <w:tab/>
      </w:r>
      <w:r>
        <w:rPr>
          <w:b/>
          <w:bCs/>
          <w:rtl/>
        </w:rPr>
        <w:t xml:space="preserve">שנים </w:t>
      </w:r>
      <w:r>
        <w:rPr>
          <w:rtl/>
        </w:rPr>
        <w:t>שה</w:t>
      </w:r>
      <w:r>
        <w:rPr>
          <w:rFonts w:hint="cs"/>
          <w:rtl/>
        </w:rPr>
        <w:t>ן</w:t>
      </w:r>
      <w:r>
        <w:rPr>
          <w:rStyle w:val="a4"/>
          <w:rtl/>
        </w:rPr>
        <w:footnoteReference w:id="30"/>
      </w:r>
      <w:r>
        <w:rPr>
          <w:rStyle w:val="a4"/>
          <w:sz w:val="16"/>
          <w:szCs w:val="18"/>
          <w:rtl/>
        </w:rPr>
        <w:t xml:space="preserve"> </w:t>
      </w:r>
      <w:r>
        <w:rPr>
          <w:b/>
          <w:bCs/>
          <w:rtl/>
        </w:rPr>
        <w:t>ארבעה</w:t>
      </w:r>
      <w:r>
        <w:rPr>
          <w:rFonts w:hint="cs"/>
          <w:rtl/>
        </w:rPr>
        <w:t>".</w:t>
      </w:r>
    </w:p>
    <w:p w14:paraId="2B37A6CF" w14:textId="77777777" w:rsidR="00940290" w:rsidRDefault="00940290" w:rsidP="00940290">
      <w:pPr>
        <w:ind w:firstLine="284"/>
        <w:rPr>
          <w:rFonts w:hint="cs"/>
          <w:rtl/>
        </w:rPr>
      </w:pPr>
      <w:r>
        <w:rPr>
          <w:rFonts w:hint="cs"/>
          <w:rtl/>
        </w:rPr>
        <w:t xml:space="preserve">בפירוש </w:t>
      </w:r>
      <w:r>
        <w:rPr>
          <w:rtl/>
        </w:rPr>
        <w:t>מגן אבות</w:t>
      </w:r>
      <w:r>
        <w:rPr>
          <w:rFonts w:hint="cs"/>
          <w:rtl/>
        </w:rPr>
        <w:t xml:space="preserve"> למשנת "</w:t>
      </w:r>
      <w:r>
        <w:rPr>
          <w:sz w:val="24"/>
          <w:rtl/>
        </w:rPr>
        <w:t>בעשרה מאמרות</w:t>
      </w:r>
      <w:r>
        <w:rPr>
          <w:rFonts w:hint="cs"/>
          <w:sz w:val="24"/>
          <w:rtl/>
        </w:rPr>
        <w:t xml:space="preserve"> נברא העולם" (</w:t>
      </w:r>
      <w:r>
        <w:rPr>
          <w:rFonts w:hint="cs"/>
          <w:sz w:val="18"/>
          <w:szCs w:val="20"/>
          <w:rtl/>
        </w:rPr>
        <w:t>פרק ה' במסכת אבות</w:t>
      </w:r>
      <w:r>
        <w:rPr>
          <w:rFonts w:hint="cs"/>
          <w:sz w:val="24"/>
          <w:rtl/>
        </w:rPr>
        <w:t>) מעיר ה</w:t>
      </w:r>
      <w:r>
        <w:rPr>
          <w:sz w:val="24"/>
          <w:rtl/>
        </w:rPr>
        <w:t xml:space="preserve">רשב"ץ </w:t>
      </w:r>
      <w:r>
        <w:rPr>
          <w:rFonts w:hint="cs"/>
          <w:sz w:val="24"/>
          <w:rtl/>
        </w:rPr>
        <w:t>אגב אורחא על משנה זו</w:t>
      </w:r>
      <w:r>
        <w:rPr>
          <w:rFonts w:hint="cs"/>
          <w:rtl/>
        </w:rPr>
        <w:t xml:space="preserve">: </w:t>
      </w:r>
    </w:p>
    <w:p w14:paraId="11072D0B" w14:textId="77777777" w:rsidR="00940290" w:rsidRDefault="00940290" w:rsidP="00940290">
      <w:pPr>
        <w:pStyle w:val="a7"/>
        <w:rPr>
          <w:rFonts w:hint="cs"/>
          <w:rtl/>
        </w:rPr>
      </w:pPr>
      <w:r>
        <w:rPr>
          <w:rFonts w:hint="cs"/>
          <w:rtl/>
        </w:rPr>
        <w:t>"</w:t>
      </w:r>
      <w:r>
        <w:rPr>
          <w:rtl/>
        </w:rPr>
        <w:t>דרך התנא הוא לשנות דרך גררא כל מה שדומה לאותה משנה שהיא מעין המסכתא, כמו בראשון משבועות</w:t>
      </w:r>
      <w:r>
        <w:rPr>
          <w:rFonts w:hint="cs"/>
          <w:rtl/>
        </w:rPr>
        <w:t xml:space="preserve"> </w:t>
      </w:r>
      <w:r>
        <w:rPr>
          <w:rtl/>
        </w:rPr>
        <w:t xml:space="preserve">כל </w:t>
      </w:r>
      <w:r>
        <w:rPr>
          <w:rFonts w:hint="cs"/>
          <w:rtl/>
        </w:rPr>
        <w:t>'</w:t>
      </w:r>
      <w:r>
        <w:rPr>
          <w:rtl/>
        </w:rPr>
        <w:t>שתים שהן ארבע</w:t>
      </w:r>
      <w:r>
        <w:rPr>
          <w:rFonts w:hint="cs"/>
          <w:rtl/>
        </w:rPr>
        <w:t>'..</w:t>
      </w:r>
      <w:r>
        <w:rPr>
          <w:rtl/>
        </w:rPr>
        <w:t>. וכן בפרק הזה,</w:t>
      </w:r>
      <w:r>
        <w:rPr>
          <w:rFonts w:hint="cs"/>
          <w:rtl/>
        </w:rPr>
        <w:t xml:space="preserve"> </w:t>
      </w:r>
      <w:r>
        <w:rPr>
          <w:rtl/>
        </w:rPr>
        <w:t>לפי שרצו להזכיר מדות החסיד שהוא מענין מסכתא זו שהיא משנת חסידים, שנו כל הדברים התלויים במספר, שיש בהם תלמוד לבני אדם להחזיק במוסר</w:t>
      </w:r>
      <w:r>
        <w:rPr>
          <w:rFonts w:hint="cs"/>
          <w:rtl/>
        </w:rPr>
        <w:t xml:space="preserve">... </w:t>
      </w:r>
      <w:r>
        <w:rPr>
          <w:rtl/>
        </w:rPr>
        <w:t>והתחיל מהמספר היותר גבוה עד שהגיע למספר היותר קטן</w:t>
      </w:r>
      <w:r>
        <w:rPr>
          <w:rFonts w:hint="cs"/>
          <w:rtl/>
        </w:rPr>
        <w:t xml:space="preserve">. </w:t>
      </w:r>
      <w:r>
        <w:rPr>
          <w:b/>
          <w:bCs/>
          <w:rtl/>
        </w:rPr>
        <w:lastRenderedPageBreak/>
        <w:t>ודקדק בכל זאת המשנה בין לשון זכר ללשון נקבה</w:t>
      </w:r>
      <w:r>
        <w:rPr>
          <w:rtl/>
        </w:rPr>
        <w:t>, לש</w:t>
      </w:r>
      <w:r>
        <w:rPr>
          <w:rFonts w:hint="cs"/>
          <w:rtl/>
        </w:rPr>
        <w:t>ְ</w:t>
      </w:r>
      <w:r>
        <w:rPr>
          <w:rtl/>
        </w:rPr>
        <w:t>נות עשרה וארבעה לזכר, ועשר וארבע לנקבות</w:t>
      </w:r>
      <w:r>
        <w:rPr>
          <w:rFonts w:hint="cs"/>
          <w:rtl/>
        </w:rPr>
        <w:t>"</w:t>
      </w:r>
      <w:r>
        <w:rPr>
          <w:rStyle w:val="a4"/>
          <w:rtl/>
        </w:rPr>
        <w:footnoteReference w:id="31"/>
      </w:r>
      <w:r>
        <w:rPr>
          <w:rtl/>
        </w:rPr>
        <w:t xml:space="preserve">. </w:t>
      </w:r>
    </w:p>
    <w:p w14:paraId="5B57AA4E" w14:textId="77777777" w:rsidR="00940290" w:rsidRDefault="00940290" w:rsidP="00940290">
      <w:pPr>
        <w:ind w:firstLine="284"/>
        <w:rPr>
          <w:rFonts w:hint="cs"/>
          <w:rtl/>
        </w:rPr>
      </w:pPr>
      <w:r>
        <w:rPr>
          <w:rFonts w:hint="cs"/>
          <w:rtl/>
        </w:rPr>
        <w:t xml:space="preserve">גם במשנת </w:t>
      </w:r>
      <w:r>
        <w:rPr>
          <w:rtl/>
        </w:rPr>
        <w:t>שבועות</w:t>
      </w:r>
      <w:r>
        <w:rPr>
          <w:rFonts w:hint="cs"/>
          <w:rtl/>
        </w:rPr>
        <w:t xml:space="preserve"> דקדק התנא למנות שֵמות ממין נקבה (</w:t>
      </w:r>
      <w:r>
        <w:rPr>
          <w:rtl/>
        </w:rPr>
        <w:t>שבוע</w:t>
      </w:r>
      <w:r>
        <w:rPr>
          <w:rFonts w:hint="cs"/>
          <w:rtl/>
        </w:rPr>
        <w:t>ה,</w:t>
      </w:r>
      <w:r>
        <w:rPr>
          <w:rtl/>
        </w:rPr>
        <w:t xml:space="preserve"> ידיע</w:t>
      </w:r>
      <w:r>
        <w:rPr>
          <w:rFonts w:hint="cs"/>
          <w:rtl/>
        </w:rPr>
        <w:t>ה ו</w:t>
      </w:r>
      <w:r>
        <w:rPr>
          <w:rtl/>
        </w:rPr>
        <w:t>יציא</w:t>
      </w:r>
      <w:r>
        <w:rPr>
          <w:rFonts w:hint="cs"/>
          <w:rtl/>
        </w:rPr>
        <w:t>ה) במספר נקבה, ושֵם ממין זכר (</w:t>
      </w:r>
      <w:r>
        <w:rPr>
          <w:rtl/>
        </w:rPr>
        <w:t>מַרְאֶה</w:t>
      </w:r>
      <w:r>
        <w:rPr>
          <w:rFonts w:hint="cs"/>
          <w:rtl/>
        </w:rPr>
        <w:t>) במספר זכר</w:t>
      </w:r>
      <w:r>
        <w:rPr>
          <w:rStyle w:val="a4"/>
          <w:rtl/>
        </w:rPr>
        <w:footnoteReference w:id="32"/>
      </w:r>
      <w:r>
        <w:rPr>
          <w:rFonts w:hint="cs"/>
          <w:rtl/>
        </w:rPr>
        <w:t>. כך עולה מדברי רש"י</w:t>
      </w:r>
      <w:r>
        <w:rPr>
          <w:rStyle w:val="a4"/>
          <w:rtl/>
        </w:rPr>
        <w:footnoteReference w:id="33"/>
      </w:r>
      <w:r>
        <w:rPr>
          <w:rFonts w:hint="cs"/>
          <w:rtl/>
        </w:rPr>
        <w:t>: "</w:t>
      </w:r>
      <w:r>
        <w:rPr>
          <w:rtl/>
        </w:rPr>
        <w:t>מַרְאֶה</w:t>
      </w:r>
      <w:r>
        <w:rPr>
          <w:rFonts w:hint="cs"/>
          <w:rtl/>
        </w:rPr>
        <w:t xml:space="preserve"> </w:t>
      </w:r>
      <w:r>
        <w:rPr>
          <w:rtl/>
        </w:rPr>
        <w:t>לשון</w:t>
      </w:r>
      <w:r>
        <w:rPr>
          <w:rFonts w:hint="cs"/>
          <w:rtl/>
        </w:rPr>
        <w:t xml:space="preserve"> </w:t>
      </w:r>
      <w:r>
        <w:rPr>
          <w:rtl/>
        </w:rPr>
        <w:t>זכר</w:t>
      </w:r>
      <w:r>
        <w:rPr>
          <w:rFonts w:hint="cs"/>
          <w:rtl/>
        </w:rPr>
        <w:t xml:space="preserve"> </w:t>
      </w:r>
      <w:r>
        <w:rPr>
          <w:rtl/>
        </w:rPr>
        <w:t>הוא, משום הכי תני</w:t>
      </w:r>
      <w:r>
        <w:rPr>
          <w:rFonts w:hint="cs"/>
          <w:rtl/>
        </w:rPr>
        <w:t>:</w:t>
      </w:r>
      <w:r>
        <w:rPr>
          <w:rtl/>
        </w:rPr>
        <w:t xml:space="preserve"> </w:t>
      </w:r>
      <w:r>
        <w:rPr>
          <w:b/>
          <w:bCs/>
          <w:rtl/>
        </w:rPr>
        <w:t xml:space="preserve">שנים </w:t>
      </w:r>
      <w:r>
        <w:rPr>
          <w:rtl/>
        </w:rPr>
        <w:t xml:space="preserve">שהן </w:t>
      </w:r>
      <w:r>
        <w:rPr>
          <w:b/>
          <w:bCs/>
          <w:rtl/>
        </w:rPr>
        <w:t>ארבעה</w:t>
      </w:r>
      <w:r>
        <w:rPr>
          <w:rStyle w:val="a4"/>
          <w:rtl/>
        </w:rPr>
        <w:footnoteReference w:id="34"/>
      </w:r>
      <w:r>
        <w:rPr>
          <w:rFonts w:hint="cs"/>
          <w:rtl/>
        </w:rPr>
        <w:t>", וכך מצדדים התוספות (</w:t>
      </w:r>
      <w:r>
        <w:rPr>
          <w:rFonts w:hint="cs"/>
          <w:sz w:val="18"/>
          <w:szCs w:val="20"/>
          <w:rtl/>
        </w:rPr>
        <w:t xml:space="preserve">ד"ה </w:t>
      </w:r>
      <w:r>
        <w:rPr>
          <w:sz w:val="18"/>
          <w:szCs w:val="20"/>
          <w:rtl/>
        </w:rPr>
        <w:t>מראות נגעים</w:t>
      </w:r>
      <w:r>
        <w:rPr>
          <w:rFonts w:hint="cs"/>
          <w:rtl/>
        </w:rPr>
        <w:t>) המסתמכים על גרסת רוב הספרים בלשון זכר, "</w:t>
      </w:r>
      <w:r>
        <w:rPr>
          <w:rtl/>
        </w:rPr>
        <w:t>שנים שהן ארבעה</w:t>
      </w:r>
      <w:r>
        <w:rPr>
          <w:rFonts w:hint="cs"/>
          <w:rtl/>
        </w:rPr>
        <w:t xml:space="preserve">". </w:t>
      </w:r>
    </w:p>
    <w:p w14:paraId="4D2D4BBA" w14:textId="77777777" w:rsidR="00940290" w:rsidRDefault="00940290" w:rsidP="00940290">
      <w:pPr>
        <w:ind w:firstLine="284"/>
        <w:rPr>
          <w:rFonts w:hint="cs"/>
          <w:rtl/>
        </w:rPr>
      </w:pPr>
      <w:r>
        <w:rPr>
          <w:rFonts w:hint="cs"/>
          <w:rtl/>
        </w:rPr>
        <w:lastRenderedPageBreak/>
        <w:t>על מה מתבססים הראשונים המניחים כאן בפשטות ש"</w:t>
      </w:r>
      <w:r>
        <w:rPr>
          <w:rtl/>
        </w:rPr>
        <w:t>מַרְאֶה</w:t>
      </w:r>
      <w:r>
        <w:rPr>
          <w:rFonts w:hint="cs"/>
          <w:rtl/>
        </w:rPr>
        <w:t>" לשון זכר הוא? מובן מאליו שאין במציאות שום דבר זִכרי או נִקבי ב"</w:t>
      </w:r>
      <w:r>
        <w:rPr>
          <w:rtl/>
        </w:rPr>
        <w:t>מַרְאֶה</w:t>
      </w:r>
      <w:r>
        <w:rPr>
          <w:rFonts w:hint="cs"/>
          <w:rtl/>
        </w:rPr>
        <w:t>" עצמו,</w:t>
      </w:r>
      <w:r>
        <w:rPr>
          <w:rtl/>
        </w:rPr>
        <w:t xml:space="preserve"> </w:t>
      </w:r>
      <w:r>
        <w:rPr>
          <w:rFonts w:hint="cs"/>
          <w:rtl/>
        </w:rPr>
        <w:t xml:space="preserve">ואין כוונת רש"י בקביעה זו אלא לומר שההתייחסות </w:t>
      </w:r>
      <w:r>
        <w:rPr>
          <w:rFonts w:hint="cs"/>
          <w:b/>
          <w:bCs/>
          <w:rtl/>
        </w:rPr>
        <w:t xml:space="preserve">הלשונית </w:t>
      </w:r>
      <w:r>
        <w:rPr>
          <w:rFonts w:hint="cs"/>
          <w:rtl/>
        </w:rPr>
        <w:t>אל המִלה "</w:t>
      </w:r>
      <w:r>
        <w:rPr>
          <w:rtl/>
        </w:rPr>
        <w:t>מַרְאֶה</w:t>
      </w:r>
      <w:r>
        <w:rPr>
          <w:rFonts w:hint="cs"/>
          <w:rtl/>
        </w:rPr>
        <w:t>" היא ב"</w:t>
      </w:r>
      <w:r>
        <w:rPr>
          <w:rtl/>
        </w:rPr>
        <w:t>לשון</w:t>
      </w:r>
      <w:r>
        <w:rPr>
          <w:rFonts w:hint="cs"/>
          <w:rtl/>
        </w:rPr>
        <w:t xml:space="preserve"> </w:t>
      </w:r>
      <w:r>
        <w:rPr>
          <w:rtl/>
        </w:rPr>
        <w:t>זכר</w:t>
      </w:r>
      <w:r>
        <w:rPr>
          <w:rFonts w:hint="cs"/>
          <w:rtl/>
        </w:rPr>
        <w:t>"</w:t>
      </w:r>
      <w:r>
        <w:rPr>
          <w:rStyle w:val="a4"/>
          <w:rtl/>
        </w:rPr>
        <w:footnoteReference w:id="35"/>
      </w:r>
      <w:r>
        <w:rPr>
          <w:rFonts w:hint="cs"/>
          <w:rtl/>
        </w:rPr>
        <w:t>. בסוגייתנו סתמו הראשונים ולא פרשו ולא בססו את קביעתם על הוכחה לשונית כלשהי מלשון התורה או מלשון המשנה. לכאורה, מלשון משנה זו, "</w:t>
      </w:r>
      <w:r>
        <w:rPr>
          <w:rtl/>
        </w:rPr>
        <w:t>מרא</w:t>
      </w:r>
      <w:r>
        <w:rPr>
          <w:b/>
          <w:bCs/>
          <w:rtl/>
        </w:rPr>
        <w:t xml:space="preserve">ות </w:t>
      </w:r>
      <w:r>
        <w:rPr>
          <w:rtl/>
        </w:rPr>
        <w:t>נגעים</w:t>
      </w:r>
      <w:r>
        <w:rPr>
          <w:rFonts w:hint="cs"/>
          <w:rtl/>
        </w:rPr>
        <w:t>", היה נראה להוכיח את ההפך, שה</w:t>
      </w:r>
      <w:r>
        <w:rPr>
          <w:rtl/>
        </w:rPr>
        <w:t>מרא</w:t>
      </w:r>
      <w:r>
        <w:rPr>
          <w:b/>
          <w:bCs/>
          <w:rtl/>
        </w:rPr>
        <w:t xml:space="preserve">ות </w:t>
      </w:r>
      <w:r>
        <w:rPr>
          <w:rFonts w:hint="cs"/>
          <w:rtl/>
        </w:rPr>
        <w:t>הן נקב</w:t>
      </w:r>
      <w:r>
        <w:rPr>
          <w:rFonts w:hint="cs"/>
          <w:b/>
          <w:bCs/>
          <w:rtl/>
        </w:rPr>
        <w:t>ות</w:t>
      </w:r>
      <w:r>
        <w:rPr>
          <w:rFonts w:hint="cs"/>
          <w:rtl/>
        </w:rPr>
        <w:t xml:space="preserve">! </w:t>
      </w:r>
    </w:p>
    <w:p w14:paraId="5DBEECCB" w14:textId="77777777" w:rsidR="00940290" w:rsidRDefault="00940290" w:rsidP="00940290">
      <w:pPr>
        <w:ind w:firstLine="284"/>
        <w:rPr>
          <w:rFonts w:hint="cs"/>
          <w:rtl/>
        </w:rPr>
      </w:pPr>
      <w:r>
        <w:rPr>
          <w:rFonts w:hint="cs"/>
          <w:rtl/>
        </w:rPr>
        <w:t>להלן נדון בסימנים הלשוניים היכולים להעיד על המין הדקדוקי של שֵם, כאשר הוא מציין דבר שאין בו זכר ונקבה במציאות (</w:t>
      </w:r>
      <w:r>
        <w:rPr>
          <w:rFonts w:hint="cs"/>
          <w:sz w:val="18"/>
          <w:szCs w:val="20"/>
          <w:rtl/>
        </w:rPr>
        <w:t>"</w:t>
      </w:r>
      <w:r>
        <w:rPr>
          <w:sz w:val="18"/>
          <w:szCs w:val="20"/>
          <w:rtl/>
        </w:rPr>
        <w:t>דבר שאין בו רוח חיים</w:t>
      </w:r>
      <w:r>
        <w:rPr>
          <w:rFonts w:hint="cs"/>
          <w:sz w:val="18"/>
          <w:szCs w:val="20"/>
          <w:rtl/>
        </w:rPr>
        <w:t xml:space="preserve">" בלשון </w:t>
      </w:r>
      <w:r>
        <w:rPr>
          <w:sz w:val="18"/>
          <w:szCs w:val="20"/>
          <w:rtl/>
        </w:rPr>
        <w:t>הראשונים</w:t>
      </w:r>
      <w:r>
        <w:rPr>
          <w:rStyle w:val="a4"/>
          <w:szCs w:val="20"/>
          <w:rtl/>
        </w:rPr>
        <w:footnoteReference w:id="36"/>
      </w:r>
      <w:r>
        <w:rPr>
          <w:rFonts w:hint="cs"/>
          <w:rtl/>
        </w:rPr>
        <w:t xml:space="preserve">). </w:t>
      </w:r>
    </w:p>
    <w:p w14:paraId="008F19DE" w14:textId="77777777" w:rsidR="00940290" w:rsidRDefault="00940290" w:rsidP="00940290">
      <w:pPr>
        <w:ind w:firstLine="284"/>
        <w:rPr>
          <w:rFonts w:hint="cs"/>
          <w:rtl/>
        </w:rPr>
      </w:pPr>
      <w:r>
        <w:rPr>
          <w:rFonts w:hint="cs"/>
          <w:rtl/>
        </w:rPr>
        <w:t>בלשון העברית ישנו מין דקדוקי קבוע, זכר או נקבה, ל</w:t>
      </w:r>
      <w:r>
        <w:rPr>
          <w:rFonts w:hint="cs"/>
          <w:b/>
          <w:bCs/>
          <w:rtl/>
        </w:rPr>
        <w:t>רוב</w:t>
      </w:r>
      <w:r>
        <w:rPr>
          <w:rFonts w:hint="cs"/>
          <w:rtl/>
        </w:rPr>
        <w:t xml:space="preserve"> שמות העצם. רק למיעוט השמות אין מין קבוע ופעמים שנחשבים זכר ופעמים נקבה (</w:t>
      </w:r>
      <w:r>
        <w:rPr>
          <w:rFonts w:hint="cs"/>
          <w:sz w:val="18"/>
          <w:szCs w:val="20"/>
          <w:rtl/>
        </w:rPr>
        <w:t>ובמילון יצויינו: זו"נ</w:t>
      </w:r>
      <w:r>
        <w:rPr>
          <w:rFonts w:hint="cs"/>
          <w:rtl/>
        </w:rPr>
        <w:t>), ואף באותו פסוק עצמו, כגון: "</w:t>
      </w:r>
      <w:r>
        <w:rPr>
          <w:rtl/>
        </w:rPr>
        <w:t>וְ</w:t>
      </w:r>
      <w:r>
        <w:rPr>
          <w:b/>
          <w:bCs/>
          <w:rtl/>
        </w:rPr>
        <w:t xml:space="preserve">רוּחַ </w:t>
      </w:r>
      <w:r>
        <w:rPr>
          <w:rtl/>
        </w:rPr>
        <w:t>גְּדוֹלָה</w:t>
      </w:r>
      <w:r>
        <w:rPr>
          <w:rFonts w:hint="cs"/>
          <w:sz w:val="18"/>
          <w:szCs w:val="20"/>
          <w:rtl/>
        </w:rPr>
        <w:t>(נ')</w:t>
      </w:r>
      <w:r>
        <w:rPr>
          <w:rtl/>
        </w:rPr>
        <w:t xml:space="preserve"> וְחָזָק</w:t>
      </w:r>
      <w:r>
        <w:rPr>
          <w:rFonts w:hint="cs"/>
          <w:sz w:val="18"/>
          <w:szCs w:val="20"/>
          <w:rtl/>
        </w:rPr>
        <w:t>(ז')</w:t>
      </w:r>
      <w:r>
        <w:rPr>
          <w:rtl/>
        </w:rPr>
        <w:t xml:space="preserve"> מְפָרֵק</w:t>
      </w:r>
      <w:r>
        <w:rPr>
          <w:rFonts w:hint="cs"/>
          <w:sz w:val="18"/>
          <w:szCs w:val="20"/>
          <w:rtl/>
        </w:rPr>
        <w:t>(ז')</w:t>
      </w:r>
      <w:r>
        <w:rPr>
          <w:rtl/>
        </w:rPr>
        <w:t xml:space="preserve"> הָרִים וּמְשַׁבֵּר</w:t>
      </w:r>
      <w:r>
        <w:rPr>
          <w:rFonts w:hint="cs"/>
          <w:sz w:val="18"/>
          <w:szCs w:val="20"/>
          <w:rtl/>
        </w:rPr>
        <w:t>(ז')</w:t>
      </w:r>
      <w:r>
        <w:rPr>
          <w:rtl/>
        </w:rPr>
        <w:t xml:space="preserve"> סְלָעִים</w:t>
      </w:r>
      <w:r>
        <w:rPr>
          <w:rFonts w:hint="cs"/>
          <w:rtl/>
        </w:rPr>
        <w:t>" (</w:t>
      </w:r>
      <w:r>
        <w:rPr>
          <w:sz w:val="18"/>
          <w:szCs w:val="20"/>
          <w:rtl/>
        </w:rPr>
        <w:t>מלכים א</w:t>
      </w:r>
      <w:r>
        <w:rPr>
          <w:rFonts w:hint="cs"/>
          <w:sz w:val="18"/>
          <w:szCs w:val="20"/>
          <w:rtl/>
        </w:rPr>
        <w:t>'</w:t>
      </w:r>
      <w:r>
        <w:rPr>
          <w:sz w:val="18"/>
          <w:szCs w:val="20"/>
          <w:rtl/>
        </w:rPr>
        <w:t xml:space="preserve"> יט</w:t>
      </w:r>
      <w:r>
        <w:rPr>
          <w:rFonts w:hint="cs"/>
          <w:sz w:val="18"/>
          <w:szCs w:val="20"/>
          <w:rtl/>
        </w:rPr>
        <w:t xml:space="preserve">, </w:t>
      </w:r>
      <w:r>
        <w:rPr>
          <w:sz w:val="18"/>
          <w:szCs w:val="20"/>
          <w:rtl/>
        </w:rPr>
        <w:t>יא</w:t>
      </w:r>
      <w:r>
        <w:rPr>
          <w:rFonts w:hint="cs"/>
          <w:rtl/>
        </w:rPr>
        <w:t xml:space="preserve">). מניִן יודעים המילונאים את מינה הדקדוקי של כל מִלה? </w:t>
      </w:r>
    </w:p>
    <w:p w14:paraId="0CDFFF44" w14:textId="77777777" w:rsidR="00940290" w:rsidRDefault="00940290" w:rsidP="00940290">
      <w:pPr>
        <w:ind w:firstLine="284"/>
        <w:rPr>
          <w:rFonts w:hint="cs"/>
          <w:rtl/>
        </w:rPr>
      </w:pPr>
      <w:r>
        <w:rPr>
          <w:rFonts w:hint="cs"/>
          <w:rtl/>
        </w:rPr>
        <w:lastRenderedPageBreak/>
        <w:t>ההבדל בין זכר לנקבה ניכר בד"כ בשאר המִלים מלבד שמות העצם</w:t>
      </w:r>
      <w:r>
        <w:rPr>
          <w:rStyle w:val="a4"/>
          <w:rtl/>
        </w:rPr>
        <w:footnoteReference w:id="37"/>
      </w:r>
      <w:r>
        <w:rPr>
          <w:rFonts w:hint="cs"/>
          <w:rtl/>
        </w:rPr>
        <w:t>: בשם התֹאר ובשם המספר, בַפֹעל, במִלות היחס ובכינויים השונים (כינוי גוף, כינוי רמז וכינוי שייכות)</w:t>
      </w:r>
      <w:r>
        <w:rPr>
          <w:rStyle w:val="a4"/>
          <w:rtl/>
        </w:rPr>
        <w:footnoteReference w:id="38"/>
      </w:r>
      <w:r>
        <w:rPr>
          <w:rFonts w:hint="cs"/>
          <w:rtl/>
        </w:rPr>
        <w:t>. מכיון שמלים אלה מִתְקשרות ומותאמות אל שמות העצם, ניתן בד"כ להסיק מהן את המין הדקדוקי של השם.</w:t>
      </w:r>
    </w:p>
    <w:p w14:paraId="08508E3A" w14:textId="77777777" w:rsidR="00940290" w:rsidRDefault="00940290" w:rsidP="00940290">
      <w:pPr>
        <w:ind w:firstLine="284"/>
        <w:rPr>
          <w:rFonts w:hint="cs"/>
          <w:rtl/>
        </w:rPr>
      </w:pPr>
      <w:r>
        <w:rPr>
          <w:rFonts w:hint="cs"/>
          <w:rtl/>
        </w:rPr>
        <w:t>עתה נתבונן בשם "</w:t>
      </w:r>
      <w:r>
        <w:rPr>
          <w:rtl/>
        </w:rPr>
        <w:t>מַרְ</w:t>
      </w:r>
      <w:r>
        <w:rPr>
          <w:b/>
          <w:bCs/>
          <w:rtl/>
        </w:rPr>
        <w:t>אֶ</w:t>
      </w:r>
      <w:r>
        <w:rPr>
          <w:rtl/>
        </w:rPr>
        <w:t>ה</w:t>
      </w:r>
      <w:r>
        <w:rPr>
          <w:rFonts w:hint="cs"/>
          <w:rtl/>
        </w:rPr>
        <w:t>". צורה זו, ככל צורת פֹעַל בזמן הוֹוֶה, נקראת "בינוני", על שום היותה במצב ביניים: בין פֹעַל לבין שם (שם עצם או שם תֹאר). בצירוף המלים שבמשנה, "</w:t>
      </w:r>
      <w:r>
        <w:rPr>
          <w:rtl/>
        </w:rPr>
        <w:t>מראות נגעים</w:t>
      </w:r>
      <w:r>
        <w:rPr>
          <w:rFonts w:hint="cs"/>
          <w:rtl/>
        </w:rPr>
        <w:t>", מדובר ב</w:t>
      </w:r>
      <w:r>
        <w:rPr>
          <w:rFonts w:hint="cs"/>
          <w:b/>
          <w:bCs/>
          <w:rtl/>
        </w:rPr>
        <w:t xml:space="preserve">שם העצם </w:t>
      </w:r>
      <w:r>
        <w:rPr>
          <w:rFonts w:hint="cs"/>
          <w:rtl/>
        </w:rPr>
        <w:t>"</w:t>
      </w:r>
      <w:r>
        <w:rPr>
          <w:rtl/>
        </w:rPr>
        <w:t>מַרְאֶה</w:t>
      </w:r>
      <w:r>
        <w:rPr>
          <w:rFonts w:hint="cs"/>
          <w:rtl/>
        </w:rPr>
        <w:t>". בהקשרים אחרים משמשת צורה זו כ</w:t>
      </w:r>
      <w:r>
        <w:rPr>
          <w:rFonts w:hint="cs"/>
          <w:b/>
          <w:bCs/>
          <w:rtl/>
        </w:rPr>
        <w:t xml:space="preserve">פֹעל </w:t>
      </w:r>
      <w:r>
        <w:rPr>
          <w:rFonts w:hint="cs"/>
          <w:rtl/>
        </w:rPr>
        <w:t>המתאים לזכר, כגון "</w:t>
      </w:r>
      <w:r>
        <w:rPr>
          <w:rtl/>
        </w:rPr>
        <w:t>אֲנִי מַרְאֶה אוֹתְךָ אֵת תַּבְנִית הַמִּשְׁכָּן</w:t>
      </w:r>
      <w:r>
        <w:rPr>
          <w:rFonts w:hint="cs"/>
          <w:rtl/>
        </w:rPr>
        <w:t>" (</w:t>
      </w:r>
      <w:r>
        <w:rPr>
          <w:sz w:val="18"/>
          <w:szCs w:val="20"/>
          <w:rtl/>
        </w:rPr>
        <w:t>שמות כה</w:t>
      </w:r>
      <w:r>
        <w:rPr>
          <w:rFonts w:hint="cs"/>
          <w:sz w:val="18"/>
          <w:szCs w:val="20"/>
          <w:rtl/>
        </w:rPr>
        <w:t xml:space="preserve">, </w:t>
      </w:r>
      <w:r>
        <w:rPr>
          <w:sz w:val="18"/>
          <w:szCs w:val="20"/>
          <w:rtl/>
        </w:rPr>
        <w:t>ט</w:t>
      </w:r>
      <w:r>
        <w:rPr>
          <w:rFonts w:hint="cs"/>
          <w:rtl/>
        </w:rPr>
        <w:t>). בצורות הבינוני של שורשים מגִזְרַת ל"ה (</w:t>
      </w:r>
      <w:r>
        <w:rPr>
          <w:rFonts w:hint="cs"/>
          <w:sz w:val="18"/>
          <w:szCs w:val="20"/>
          <w:rtl/>
        </w:rPr>
        <w:t>כלומר, האות השלישית של השורש, "ל' הפֹעַל", היא ה'</w:t>
      </w:r>
      <w:r>
        <w:rPr>
          <w:rStyle w:val="a4"/>
          <w:szCs w:val="20"/>
          <w:rtl/>
        </w:rPr>
        <w:footnoteReference w:id="39"/>
      </w:r>
      <w:r>
        <w:rPr>
          <w:rFonts w:hint="cs"/>
          <w:rtl/>
        </w:rPr>
        <w:t>) מבחינים בין זכר לנקבה באמצעות הניקוד, כדלהלן.</w:t>
      </w:r>
    </w:p>
    <w:p w14:paraId="156D00BB" w14:textId="77777777" w:rsidR="00940290" w:rsidRDefault="00940290" w:rsidP="00940290">
      <w:pPr>
        <w:ind w:firstLine="284"/>
        <w:rPr>
          <w:rFonts w:hint="cs"/>
          <w:rtl/>
        </w:rPr>
      </w:pPr>
      <w:r>
        <w:rPr>
          <w:rFonts w:hint="cs"/>
          <w:rtl/>
        </w:rPr>
        <w:lastRenderedPageBreak/>
        <w:t>על המשנה בטהרות (</w:t>
      </w:r>
      <w:r>
        <w:rPr>
          <w:rFonts w:hint="cs"/>
          <w:sz w:val="18"/>
          <w:szCs w:val="20"/>
          <w:rtl/>
        </w:rPr>
        <w:t>פ"ה מ"ח; ועיין ב</w:t>
      </w:r>
      <w:r>
        <w:rPr>
          <w:sz w:val="18"/>
          <w:szCs w:val="20"/>
          <w:rtl/>
        </w:rPr>
        <w:t>תוספתא טהרות פ</w:t>
      </w:r>
      <w:r>
        <w:rPr>
          <w:rFonts w:hint="cs"/>
          <w:sz w:val="18"/>
          <w:szCs w:val="20"/>
          <w:rtl/>
        </w:rPr>
        <w:t>"</w:t>
      </w:r>
      <w:r>
        <w:rPr>
          <w:sz w:val="18"/>
          <w:szCs w:val="20"/>
          <w:rtl/>
        </w:rPr>
        <w:t>ו ה</w:t>
      </w:r>
      <w:r>
        <w:rPr>
          <w:rFonts w:hint="cs"/>
          <w:sz w:val="18"/>
          <w:szCs w:val="20"/>
          <w:rtl/>
        </w:rPr>
        <w:t>"</w:t>
      </w:r>
      <w:r>
        <w:rPr>
          <w:sz w:val="18"/>
          <w:szCs w:val="20"/>
          <w:rtl/>
        </w:rPr>
        <w:t>י</w:t>
      </w:r>
      <w:r>
        <w:rPr>
          <w:rFonts w:hint="cs"/>
          <w:rtl/>
        </w:rPr>
        <w:t>) "</w:t>
      </w:r>
      <w:r>
        <w:rPr>
          <w:rtl/>
        </w:rPr>
        <w:t>שו</w:t>
      </w:r>
      <w:r>
        <w:rPr>
          <w:b/>
          <w:bCs/>
          <w:rtl/>
        </w:rPr>
        <w:t>ט</w:t>
      </w:r>
      <w:r>
        <w:rPr>
          <w:rtl/>
        </w:rPr>
        <w:t>ה</w:t>
      </w:r>
      <w:r>
        <w:rPr>
          <w:rFonts w:hint="cs"/>
          <w:rtl/>
        </w:rPr>
        <w:t xml:space="preserve"> </w:t>
      </w:r>
      <w:r>
        <w:rPr>
          <w:rtl/>
        </w:rPr>
        <w:t>אחת בעיר</w:t>
      </w:r>
      <w:r>
        <w:rPr>
          <w:rFonts w:hint="cs"/>
          <w:rtl/>
        </w:rPr>
        <w:t xml:space="preserve">" מֵעיר בעל </w:t>
      </w:r>
      <w:r>
        <w:rPr>
          <w:rtl/>
        </w:rPr>
        <w:t>תוספות</w:t>
      </w:r>
      <w:r>
        <w:rPr>
          <w:rFonts w:hint="cs"/>
          <w:rtl/>
        </w:rPr>
        <w:t xml:space="preserve"> יום טוב על ניקוד השם "שוטה", וזו לשונו: "בקמץ הטי"ת, כמו '</w:t>
      </w:r>
      <w:r>
        <w:rPr>
          <w:rtl/>
        </w:rPr>
        <w:t>כִּי רֹ</w:t>
      </w:r>
      <w:r>
        <w:rPr>
          <w:b/>
          <w:bCs/>
          <w:rtl/>
        </w:rPr>
        <w:t>עָ</w:t>
      </w:r>
      <w:r>
        <w:rPr>
          <w:rtl/>
        </w:rPr>
        <w:t>ה הִוא</w:t>
      </w:r>
      <w:r>
        <w:rPr>
          <w:rFonts w:hint="cs"/>
          <w:rtl/>
        </w:rPr>
        <w:t>' (</w:t>
      </w:r>
      <w:r>
        <w:rPr>
          <w:sz w:val="18"/>
          <w:szCs w:val="20"/>
          <w:rtl/>
        </w:rPr>
        <w:t>בראשית כט</w:t>
      </w:r>
      <w:r>
        <w:rPr>
          <w:rFonts w:hint="cs"/>
          <w:sz w:val="18"/>
          <w:szCs w:val="20"/>
          <w:rtl/>
        </w:rPr>
        <w:t xml:space="preserve">, </w:t>
      </w:r>
      <w:r>
        <w:rPr>
          <w:sz w:val="18"/>
          <w:szCs w:val="20"/>
          <w:rtl/>
        </w:rPr>
        <w:t>ט</w:t>
      </w:r>
      <w:r>
        <w:rPr>
          <w:rFonts w:hint="cs"/>
          <w:rtl/>
        </w:rPr>
        <w:t>)".</w:t>
      </w:r>
      <w:r>
        <w:rPr>
          <w:rtl/>
        </w:rPr>
        <w:t xml:space="preserve"> </w:t>
      </w:r>
      <w:r>
        <w:rPr>
          <w:rFonts w:hint="cs"/>
          <w:rtl/>
        </w:rPr>
        <w:t>הוא משווה בין שורש שט"ה לשורש רע"ה שמצינו דוגמתו במקרא לזכר ולנקבה, ולפיכך מוֹרֶה לקרוא במשנה "</w:t>
      </w:r>
      <w:r>
        <w:rPr>
          <w:rtl/>
        </w:rPr>
        <w:t>שו</w:t>
      </w:r>
      <w:r>
        <w:rPr>
          <w:b/>
          <w:bCs/>
          <w:rtl/>
        </w:rPr>
        <w:t>ט</w:t>
      </w:r>
      <w:r>
        <w:rPr>
          <w:rFonts w:hint="cs"/>
          <w:b/>
          <w:bCs/>
          <w:rtl/>
        </w:rPr>
        <w:t>ָ</w:t>
      </w:r>
      <w:r>
        <w:rPr>
          <w:rtl/>
        </w:rPr>
        <w:t>ה</w:t>
      </w:r>
      <w:r>
        <w:rPr>
          <w:rFonts w:hint="cs"/>
          <w:rtl/>
        </w:rPr>
        <w:t>"</w:t>
      </w:r>
      <w:r>
        <w:rPr>
          <w:rtl/>
        </w:rPr>
        <w:t xml:space="preserve"> </w:t>
      </w:r>
      <w:r>
        <w:rPr>
          <w:rFonts w:hint="cs"/>
          <w:rtl/>
        </w:rPr>
        <w:t>(על משקל "</w:t>
      </w:r>
      <w:r>
        <w:rPr>
          <w:rtl/>
        </w:rPr>
        <w:t>רֹ</w:t>
      </w:r>
      <w:r>
        <w:rPr>
          <w:b/>
          <w:bCs/>
          <w:rtl/>
        </w:rPr>
        <w:t>עָ</w:t>
      </w:r>
      <w:r>
        <w:rPr>
          <w:rtl/>
        </w:rPr>
        <w:t>ה</w:t>
      </w:r>
      <w:r>
        <w:rPr>
          <w:rFonts w:hint="cs"/>
          <w:rtl/>
        </w:rPr>
        <w:t>"), ולא "</w:t>
      </w:r>
      <w:r>
        <w:rPr>
          <w:rtl/>
        </w:rPr>
        <w:t>שו</w:t>
      </w:r>
      <w:r>
        <w:rPr>
          <w:b/>
          <w:bCs/>
          <w:rtl/>
        </w:rPr>
        <w:t>ט</w:t>
      </w:r>
      <w:r>
        <w:rPr>
          <w:rFonts w:hint="cs"/>
          <w:b/>
          <w:bCs/>
          <w:rtl/>
        </w:rPr>
        <w:t>ֶ</w:t>
      </w:r>
      <w:r>
        <w:rPr>
          <w:rtl/>
        </w:rPr>
        <w:t>ה</w:t>
      </w:r>
      <w:r>
        <w:rPr>
          <w:rFonts w:hint="cs"/>
          <w:rtl/>
        </w:rPr>
        <w:t>" בסגול (המתאים לזכר, כמו: "</w:t>
      </w:r>
      <w:r>
        <w:rPr>
          <w:rtl/>
        </w:rPr>
        <w:t>וְיַעֲקֹב רֹ</w:t>
      </w:r>
      <w:r>
        <w:rPr>
          <w:b/>
          <w:bCs/>
          <w:rtl/>
        </w:rPr>
        <w:t>עֶ</w:t>
      </w:r>
      <w:r>
        <w:rPr>
          <w:rtl/>
        </w:rPr>
        <w:t>ה</w:t>
      </w:r>
      <w:r>
        <w:rPr>
          <w:rFonts w:hint="cs"/>
          <w:rtl/>
        </w:rPr>
        <w:t xml:space="preserve">", </w:t>
      </w:r>
      <w:r>
        <w:rPr>
          <w:rFonts w:hint="cs"/>
          <w:sz w:val="18"/>
          <w:szCs w:val="20"/>
          <w:rtl/>
        </w:rPr>
        <w:t xml:space="preserve">שם </w:t>
      </w:r>
      <w:r>
        <w:rPr>
          <w:sz w:val="18"/>
          <w:szCs w:val="20"/>
          <w:rtl/>
        </w:rPr>
        <w:t>ל</w:t>
      </w:r>
      <w:r>
        <w:rPr>
          <w:rFonts w:hint="cs"/>
          <w:sz w:val="18"/>
          <w:szCs w:val="20"/>
          <w:rtl/>
        </w:rPr>
        <w:t xml:space="preserve">, </w:t>
      </w:r>
      <w:r>
        <w:rPr>
          <w:sz w:val="18"/>
          <w:szCs w:val="20"/>
          <w:rtl/>
        </w:rPr>
        <w:t>לו</w:t>
      </w:r>
      <w:r>
        <w:rPr>
          <w:rFonts w:hint="cs"/>
          <w:rtl/>
        </w:rPr>
        <w:t>). וכתב שם ר' ישעיה פיק ברלין (</w:t>
      </w:r>
      <w:r>
        <w:rPr>
          <w:rFonts w:hint="cs"/>
          <w:sz w:val="18"/>
          <w:szCs w:val="20"/>
          <w:rtl/>
        </w:rPr>
        <w:t>הוספות לתוספות ראשון לציון</w:t>
      </w:r>
      <w:r>
        <w:rPr>
          <w:rFonts w:hint="cs"/>
          <w:rtl/>
        </w:rPr>
        <w:t>): "עיין בנחלת שבעה סי' ז' שהשיג על זה, גם בלבוש, והביא ראיה מן פרשת תרומה, דְקֶרֶש לשון זכר ונאמר (</w:t>
      </w:r>
      <w:r>
        <w:rPr>
          <w:sz w:val="18"/>
          <w:szCs w:val="20"/>
          <w:rtl/>
        </w:rPr>
        <w:t>שמות כו</w:t>
      </w:r>
      <w:r>
        <w:rPr>
          <w:rFonts w:hint="cs"/>
          <w:sz w:val="18"/>
          <w:szCs w:val="20"/>
          <w:rtl/>
        </w:rPr>
        <w:t xml:space="preserve">, </w:t>
      </w:r>
      <w:r>
        <w:rPr>
          <w:sz w:val="18"/>
          <w:szCs w:val="20"/>
          <w:rtl/>
        </w:rPr>
        <w:t>כה</w:t>
      </w:r>
      <w:r>
        <w:rPr>
          <w:rtl/>
        </w:rPr>
        <w:t>)</w:t>
      </w:r>
      <w:r>
        <w:rPr>
          <w:rFonts w:hint="cs"/>
          <w:rtl/>
        </w:rPr>
        <w:t>:</w:t>
      </w:r>
      <w:r>
        <w:rPr>
          <w:rtl/>
        </w:rPr>
        <w:t xml:space="preserve"> </w:t>
      </w:r>
      <w:r>
        <w:rPr>
          <w:rFonts w:hint="cs"/>
          <w:rtl/>
        </w:rPr>
        <w:t>'</w:t>
      </w:r>
      <w:r>
        <w:rPr>
          <w:rtl/>
        </w:rPr>
        <w:t>שְׁמֹ</w:t>
      </w:r>
      <w:r>
        <w:rPr>
          <w:b/>
          <w:bCs/>
          <w:rtl/>
        </w:rPr>
        <w:t>נָה</w:t>
      </w:r>
      <w:r>
        <w:rPr>
          <w:rtl/>
        </w:rPr>
        <w:t xml:space="preserve"> קְרָשִׁים</w:t>
      </w:r>
      <w:r>
        <w:rPr>
          <w:rFonts w:hint="cs"/>
          <w:rtl/>
        </w:rPr>
        <w:t>' בקמץ, ויריעה</w:t>
      </w:r>
      <w:r>
        <w:rPr>
          <w:rStyle w:val="a4"/>
          <w:rtl/>
        </w:rPr>
        <w:footnoteReference w:id="40"/>
      </w:r>
      <w:r>
        <w:rPr>
          <w:rFonts w:hint="cs"/>
          <w:rtl/>
        </w:rPr>
        <w:t xml:space="preserve"> לשון נקבה ונאמר (</w:t>
      </w:r>
      <w:r>
        <w:rPr>
          <w:sz w:val="18"/>
          <w:szCs w:val="20"/>
          <w:rtl/>
        </w:rPr>
        <w:t>שמות כו</w:t>
      </w:r>
      <w:r>
        <w:rPr>
          <w:rFonts w:hint="cs"/>
          <w:sz w:val="18"/>
          <w:szCs w:val="20"/>
          <w:rtl/>
        </w:rPr>
        <w:t>, ב</w:t>
      </w:r>
      <w:r>
        <w:rPr>
          <w:rtl/>
        </w:rPr>
        <w:t>)</w:t>
      </w:r>
      <w:r>
        <w:rPr>
          <w:rFonts w:hint="cs"/>
          <w:rtl/>
        </w:rPr>
        <w:t>:</w:t>
      </w:r>
      <w:r>
        <w:rPr>
          <w:rtl/>
        </w:rPr>
        <w:t xml:space="preserve"> </w:t>
      </w:r>
      <w:r>
        <w:rPr>
          <w:rFonts w:hint="cs"/>
          <w:rtl/>
        </w:rPr>
        <w:t>'</w:t>
      </w:r>
      <w:r>
        <w:rPr>
          <w:rtl/>
        </w:rPr>
        <w:t>שְׁמֹנֶה</w:t>
      </w:r>
      <w:r>
        <w:rPr>
          <w:rFonts w:hint="cs"/>
          <w:rtl/>
        </w:rPr>
        <w:t xml:space="preserve">' בסגול, עיין שם. ובאמת הדין עם התוס' יו"ט, דזה ידוע ומפורסם דדרך מיוחד לשמות המספר ואין למדין מהן". כלומר, ידוע שבתחום שמות המספר ישנה תופעה ייחודית (שעליה נייחד את הדיבור </w:t>
      </w:r>
      <w:r>
        <w:rPr>
          <w:rFonts w:hint="cs"/>
          <w:sz w:val="18"/>
          <w:szCs w:val="20"/>
          <w:rtl/>
        </w:rPr>
        <w:t xml:space="preserve">להלן </w:t>
      </w:r>
      <w:r>
        <w:rPr>
          <w:sz w:val="18"/>
          <w:szCs w:val="20"/>
          <w:rtl/>
        </w:rPr>
        <w:t>ז, ב</w:t>
      </w:r>
      <w:r>
        <w:rPr>
          <w:rFonts w:hint="cs"/>
          <w:rtl/>
        </w:rPr>
        <w:t>), ואין להקיש ממנה לתחומים אחרים בלשון, ואין להוכיח את אופן הניקוד של "שוטה" מִזוג המספרים "</w:t>
      </w:r>
      <w:r>
        <w:rPr>
          <w:rtl/>
        </w:rPr>
        <w:t xml:space="preserve">שְׁמֹנָה </w:t>
      </w:r>
      <w:r>
        <w:rPr>
          <w:rFonts w:hint="cs"/>
          <w:rtl/>
        </w:rPr>
        <w:t xml:space="preserve">/ </w:t>
      </w:r>
      <w:r>
        <w:rPr>
          <w:rtl/>
        </w:rPr>
        <w:t>שְׁמֹנֶה</w:t>
      </w:r>
      <w:r>
        <w:rPr>
          <w:rFonts w:hint="cs"/>
          <w:rtl/>
        </w:rPr>
        <w:t xml:space="preserve">". </w:t>
      </w:r>
    </w:p>
    <w:p w14:paraId="11C1C3DD" w14:textId="77777777" w:rsidR="00940290" w:rsidRDefault="00940290" w:rsidP="00940290">
      <w:pPr>
        <w:ind w:firstLine="284"/>
        <w:rPr>
          <w:rFonts w:hint="cs"/>
          <w:rtl/>
        </w:rPr>
      </w:pPr>
      <w:r>
        <w:rPr>
          <w:rFonts w:hint="cs"/>
          <w:rtl/>
        </w:rPr>
        <w:t>אם כן, מהיכן ניתן להסיק את אופן הניקוד של הזכר והנקבה? ממשיך הגרי"פ ומביא ראייה מצורות בינוני שנאמרו ביחס לזכר ולנקבה שמינם אינו רק דקדוקי אלא אחוז הוא במציאות: "והרי מצינו בפנחס: '</w:t>
      </w:r>
      <w:r>
        <w:rPr>
          <w:rtl/>
        </w:rPr>
        <w:t xml:space="preserve">וְשֵׁם </w:t>
      </w:r>
      <w:r>
        <w:rPr>
          <w:rFonts w:hint="cs"/>
          <w:rtl/>
        </w:rPr>
        <w:t>[</w:t>
      </w:r>
      <w:r>
        <w:rPr>
          <w:rtl/>
        </w:rPr>
        <w:t>אִישׁ יִשְׂרָאֵל</w:t>
      </w:r>
      <w:r>
        <w:rPr>
          <w:rFonts w:hint="cs"/>
          <w:rtl/>
        </w:rPr>
        <w:t>]</w:t>
      </w:r>
      <w:r>
        <w:rPr>
          <w:rtl/>
        </w:rPr>
        <w:t xml:space="preserve"> הַמֻּ</w:t>
      </w:r>
      <w:r>
        <w:rPr>
          <w:b/>
          <w:bCs/>
          <w:rtl/>
        </w:rPr>
        <w:t>כֶּ</w:t>
      </w:r>
      <w:r>
        <w:rPr>
          <w:rtl/>
        </w:rPr>
        <w:t>ה</w:t>
      </w:r>
      <w:r>
        <w:rPr>
          <w:rFonts w:hint="cs"/>
          <w:rtl/>
        </w:rPr>
        <w:t>' (</w:t>
      </w:r>
      <w:r>
        <w:rPr>
          <w:sz w:val="18"/>
          <w:szCs w:val="20"/>
          <w:rtl/>
        </w:rPr>
        <w:t>במדבר כה</w:t>
      </w:r>
      <w:r>
        <w:rPr>
          <w:rFonts w:hint="cs"/>
          <w:sz w:val="18"/>
          <w:szCs w:val="20"/>
          <w:rtl/>
        </w:rPr>
        <w:t xml:space="preserve">, </w:t>
      </w:r>
      <w:r>
        <w:rPr>
          <w:sz w:val="18"/>
          <w:szCs w:val="20"/>
          <w:rtl/>
        </w:rPr>
        <w:t>יד</w:t>
      </w:r>
      <w:r>
        <w:rPr>
          <w:rFonts w:hint="cs"/>
          <w:rtl/>
        </w:rPr>
        <w:t>) בסֶגול, '</w:t>
      </w:r>
      <w:r>
        <w:rPr>
          <w:rtl/>
        </w:rPr>
        <w:t xml:space="preserve">וְשֵׁם הָאִשָּׁה </w:t>
      </w:r>
      <w:r>
        <w:rPr>
          <w:rtl/>
        </w:rPr>
        <w:lastRenderedPageBreak/>
        <w:t>הַמֻּ</w:t>
      </w:r>
      <w:r>
        <w:rPr>
          <w:b/>
          <w:bCs/>
          <w:rtl/>
        </w:rPr>
        <w:t>כָּ</w:t>
      </w:r>
      <w:r>
        <w:rPr>
          <w:rtl/>
        </w:rPr>
        <w:t>ה</w:t>
      </w:r>
      <w:r>
        <w:rPr>
          <w:rFonts w:hint="cs"/>
          <w:rtl/>
        </w:rPr>
        <w:t>' (</w:t>
      </w:r>
      <w:r>
        <w:rPr>
          <w:rFonts w:hint="cs"/>
          <w:sz w:val="18"/>
          <w:szCs w:val="20"/>
          <w:rtl/>
        </w:rPr>
        <w:t xml:space="preserve">שם </w:t>
      </w:r>
      <w:r>
        <w:rPr>
          <w:sz w:val="18"/>
          <w:szCs w:val="20"/>
          <w:rtl/>
        </w:rPr>
        <w:t>טו</w:t>
      </w:r>
      <w:r>
        <w:rPr>
          <w:rFonts w:hint="cs"/>
          <w:rtl/>
        </w:rPr>
        <w:t xml:space="preserve">) בקָמץ" והוא חותם בסימן זה: "נָשׁים מקמצי"ן, עיין בבא מציעא </w:t>
      </w:r>
      <w:r>
        <w:rPr>
          <w:rtl/>
        </w:rPr>
        <w:t>פז</w:t>
      </w:r>
      <w:r>
        <w:rPr>
          <w:rFonts w:hint="cs"/>
          <w:rtl/>
        </w:rPr>
        <w:t xml:space="preserve">, </w:t>
      </w:r>
      <w:r>
        <w:rPr>
          <w:rtl/>
        </w:rPr>
        <w:t>א</w:t>
      </w:r>
      <w:r>
        <w:rPr>
          <w:rStyle w:val="a4"/>
          <w:rtl/>
        </w:rPr>
        <w:footnoteReference w:id="41"/>
      </w:r>
      <w:r>
        <w:rPr>
          <w:rFonts w:hint="cs"/>
          <w:rtl/>
        </w:rPr>
        <w:t>, ועל הזכר נאמר: והסֶגו"ל יושבת אצלו"</w:t>
      </w:r>
      <w:r>
        <w:rPr>
          <w:rStyle w:val="a4"/>
          <w:rtl/>
        </w:rPr>
        <w:footnoteReference w:id="42"/>
      </w:r>
      <w:r>
        <w:rPr>
          <w:rFonts w:hint="cs"/>
          <w:rtl/>
        </w:rPr>
        <w:t xml:space="preserve">. </w:t>
      </w:r>
    </w:p>
    <w:p w14:paraId="5183C0C6" w14:textId="77777777" w:rsidR="00940290" w:rsidRDefault="00940290" w:rsidP="00940290">
      <w:pPr>
        <w:ind w:firstLine="284"/>
        <w:rPr>
          <w:rFonts w:hint="cs"/>
          <w:rtl/>
        </w:rPr>
      </w:pPr>
      <w:r>
        <w:rPr>
          <w:rFonts w:hint="cs"/>
          <w:rtl/>
        </w:rPr>
        <w:t>הבחנה זו בין סיומת "קמוצה" למין זכר וסיומת "סגולה" לנקבה (כמו "</w:t>
      </w:r>
      <w:r>
        <w:rPr>
          <w:rtl/>
        </w:rPr>
        <w:t>הַמֻּ</w:t>
      </w:r>
      <w:r>
        <w:rPr>
          <w:b/>
          <w:bCs/>
          <w:rtl/>
        </w:rPr>
        <w:t>כֶּ</w:t>
      </w:r>
      <w:r>
        <w:rPr>
          <w:rtl/>
        </w:rPr>
        <w:t>ה</w:t>
      </w:r>
      <w:r>
        <w:rPr>
          <w:rFonts w:hint="cs"/>
          <w:rtl/>
        </w:rPr>
        <w:t>" לעומת "</w:t>
      </w:r>
      <w:r>
        <w:rPr>
          <w:rtl/>
        </w:rPr>
        <w:t>הַמֻּ</w:t>
      </w:r>
      <w:r>
        <w:rPr>
          <w:b/>
          <w:bCs/>
          <w:rtl/>
        </w:rPr>
        <w:t>כָּ</w:t>
      </w:r>
      <w:r>
        <w:rPr>
          <w:rtl/>
        </w:rPr>
        <w:t>ה</w:t>
      </w:r>
      <w:r>
        <w:rPr>
          <w:rFonts w:hint="cs"/>
          <w:rtl/>
        </w:rPr>
        <w:t>") נכונה לא רק בשורש זה (נכ"ה) ולא רק בבנין זה (הופעל), אלא היא קיימת בכל הבניינים ובכל השורשים מגִזְרַת ל"ה, כגון: על"ה</w:t>
      </w:r>
      <w:r>
        <w:rPr>
          <w:rStyle w:val="a4"/>
          <w:rtl/>
        </w:rPr>
        <w:footnoteReference w:id="43"/>
      </w:r>
      <w:r>
        <w:rPr>
          <w:rFonts w:hint="cs"/>
          <w:rtl/>
        </w:rPr>
        <w:t>, צו"ה</w:t>
      </w:r>
      <w:r>
        <w:rPr>
          <w:rStyle w:val="a4"/>
          <w:rtl/>
        </w:rPr>
        <w:footnoteReference w:id="44"/>
      </w:r>
      <w:r>
        <w:rPr>
          <w:rFonts w:hint="cs"/>
          <w:rtl/>
        </w:rPr>
        <w:t xml:space="preserve"> וכך גם שורש דידן, רא"ה: בבנין קל מופיע במקרא "</w:t>
      </w:r>
      <w:r>
        <w:rPr>
          <w:rtl/>
        </w:rPr>
        <w:t>מָה אַתָּה רֹ</w:t>
      </w:r>
      <w:r>
        <w:rPr>
          <w:b/>
          <w:bCs/>
          <w:rtl/>
        </w:rPr>
        <w:t>אֶה</w:t>
      </w:r>
      <w:r>
        <w:rPr>
          <w:rtl/>
        </w:rPr>
        <w:t xml:space="preserve"> יִרְמְיָהוּ</w:t>
      </w:r>
      <w:r>
        <w:rPr>
          <w:rFonts w:hint="cs"/>
          <w:rtl/>
        </w:rPr>
        <w:t>" (</w:t>
      </w:r>
      <w:r>
        <w:rPr>
          <w:sz w:val="18"/>
          <w:szCs w:val="20"/>
          <w:rtl/>
        </w:rPr>
        <w:t>ירמיהו א</w:t>
      </w:r>
      <w:r>
        <w:rPr>
          <w:rFonts w:hint="cs"/>
          <w:sz w:val="18"/>
          <w:szCs w:val="20"/>
          <w:rtl/>
        </w:rPr>
        <w:t xml:space="preserve">, </w:t>
      </w:r>
      <w:r>
        <w:rPr>
          <w:sz w:val="18"/>
          <w:szCs w:val="20"/>
          <w:rtl/>
        </w:rPr>
        <w:t>יא</w:t>
      </w:r>
      <w:r>
        <w:rPr>
          <w:rFonts w:hint="cs"/>
          <w:rtl/>
        </w:rPr>
        <w:t>) - לזכר, ולנקבה: "</w:t>
      </w:r>
      <w:r>
        <w:rPr>
          <w:rtl/>
        </w:rPr>
        <w:t>אֹזֶן שֹׁמַעַת וְעַיִן רֹ</w:t>
      </w:r>
      <w:r>
        <w:rPr>
          <w:b/>
          <w:bCs/>
          <w:rtl/>
        </w:rPr>
        <w:t>אָה</w:t>
      </w:r>
      <w:r>
        <w:rPr>
          <w:rFonts w:hint="cs"/>
          <w:rtl/>
        </w:rPr>
        <w:t>"</w:t>
      </w:r>
      <w:r>
        <w:rPr>
          <w:rtl/>
        </w:rPr>
        <w:t xml:space="preserve"> </w:t>
      </w:r>
      <w:r>
        <w:rPr>
          <w:rFonts w:hint="cs"/>
          <w:rtl/>
        </w:rPr>
        <w:t>(</w:t>
      </w:r>
      <w:r>
        <w:rPr>
          <w:sz w:val="18"/>
          <w:szCs w:val="20"/>
          <w:rtl/>
        </w:rPr>
        <w:t>משלי כ</w:t>
      </w:r>
      <w:r>
        <w:rPr>
          <w:rFonts w:hint="cs"/>
          <w:sz w:val="18"/>
          <w:szCs w:val="20"/>
          <w:rtl/>
        </w:rPr>
        <w:t xml:space="preserve">, </w:t>
      </w:r>
      <w:r>
        <w:rPr>
          <w:sz w:val="18"/>
          <w:szCs w:val="20"/>
          <w:rtl/>
        </w:rPr>
        <w:t>יב</w:t>
      </w:r>
      <w:r>
        <w:rPr>
          <w:rStyle w:val="a4"/>
          <w:szCs w:val="20"/>
          <w:rtl/>
        </w:rPr>
        <w:footnoteReference w:id="45"/>
      </w:r>
      <w:r>
        <w:rPr>
          <w:rFonts w:hint="cs"/>
          <w:rtl/>
        </w:rPr>
        <w:t xml:space="preserve">). בבנין הפעיל מצאנו </w:t>
      </w:r>
      <w:r>
        <w:rPr>
          <w:rFonts w:hint="cs"/>
          <w:rtl/>
        </w:rPr>
        <w:lastRenderedPageBreak/>
        <w:t>במקרא צורת בינוני בתפקיד של פֹעל לזכר בלבד כנ"ל "</w:t>
      </w:r>
      <w:r>
        <w:rPr>
          <w:rtl/>
        </w:rPr>
        <w:t>אֲנִי מַרְ</w:t>
      </w:r>
      <w:r>
        <w:rPr>
          <w:b/>
          <w:bCs/>
          <w:rtl/>
        </w:rPr>
        <w:t>אֶה</w:t>
      </w:r>
      <w:r>
        <w:rPr>
          <w:rtl/>
        </w:rPr>
        <w:t xml:space="preserve"> אוֹתְךָ</w:t>
      </w:r>
      <w:r>
        <w:rPr>
          <w:rFonts w:hint="cs"/>
          <w:rtl/>
        </w:rPr>
        <w:t>" (</w:t>
      </w:r>
      <w:r>
        <w:rPr>
          <w:sz w:val="18"/>
          <w:szCs w:val="20"/>
          <w:rtl/>
        </w:rPr>
        <w:t>שמות כה</w:t>
      </w:r>
      <w:r>
        <w:rPr>
          <w:rFonts w:hint="cs"/>
          <w:sz w:val="18"/>
          <w:szCs w:val="20"/>
          <w:rtl/>
        </w:rPr>
        <w:t xml:space="preserve">, </w:t>
      </w:r>
      <w:r>
        <w:rPr>
          <w:sz w:val="18"/>
          <w:szCs w:val="20"/>
          <w:rtl/>
        </w:rPr>
        <w:t>ט</w:t>
      </w:r>
      <w:r>
        <w:rPr>
          <w:rFonts w:hint="cs"/>
          <w:rtl/>
        </w:rPr>
        <w:t>), ומתוך ראיית מכלול גִזְרַת ל"ה ניתן להסיק שאם משפט זה היה נכתב בתורה מפי "השְכינה" (</w:t>
      </w:r>
      <w:r>
        <w:rPr>
          <w:rFonts w:hint="cs"/>
          <w:sz w:val="18"/>
          <w:szCs w:val="20"/>
          <w:rtl/>
        </w:rPr>
        <w:t>הנתפסת מבחינה לשונית כנקבה</w:t>
      </w:r>
      <w:r>
        <w:rPr>
          <w:rStyle w:val="a4"/>
          <w:szCs w:val="20"/>
          <w:rtl/>
        </w:rPr>
        <w:footnoteReference w:id="46"/>
      </w:r>
      <w:r>
        <w:rPr>
          <w:rFonts w:hint="cs"/>
          <w:sz w:val="18"/>
          <w:szCs w:val="20"/>
          <w:rtl/>
        </w:rPr>
        <w:t>, לעומת שאר שמות ה' וכינויו הנתפסים מבחינה לשונית כזכר</w:t>
      </w:r>
      <w:r>
        <w:rPr>
          <w:rFonts w:hint="cs"/>
          <w:rtl/>
        </w:rPr>
        <w:t>) היה מנוקד "</w:t>
      </w:r>
      <w:r>
        <w:rPr>
          <w:rtl/>
        </w:rPr>
        <w:t>אֲנִי מַרְ</w:t>
      </w:r>
      <w:r>
        <w:rPr>
          <w:b/>
          <w:bCs/>
          <w:rtl/>
        </w:rPr>
        <w:t>א</w:t>
      </w:r>
      <w:r>
        <w:rPr>
          <w:rFonts w:hint="cs"/>
          <w:b/>
          <w:bCs/>
          <w:rtl/>
        </w:rPr>
        <w:t>ָ</w:t>
      </w:r>
      <w:r>
        <w:rPr>
          <w:rtl/>
        </w:rPr>
        <w:t>ה</w:t>
      </w:r>
      <w:r>
        <w:rPr>
          <w:rFonts w:hint="cs"/>
          <w:rtl/>
        </w:rPr>
        <w:t xml:space="preserve">", צורת הבינוני הראויה לנקבה. </w:t>
      </w:r>
    </w:p>
    <w:p w14:paraId="46875910" w14:textId="77777777" w:rsidR="00940290" w:rsidRDefault="00940290" w:rsidP="00940290">
      <w:pPr>
        <w:ind w:firstLine="284"/>
        <w:rPr>
          <w:rFonts w:hint="cs"/>
          <w:rtl/>
        </w:rPr>
      </w:pPr>
      <w:r>
        <w:rPr>
          <w:rFonts w:hint="cs"/>
          <w:rtl/>
        </w:rPr>
        <w:t>מכיוון שהראשונים הניחו שהיחיד של "</w:t>
      </w:r>
      <w:r>
        <w:rPr>
          <w:rtl/>
        </w:rPr>
        <w:t>מראות נגעים</w:t>
      </w:r>
      <w:r>
        <w:rPr>
          <w:rFonts w:hint="cs"/>
          <w:rtl/>
        </w:rPr>
        <w:t>" הוא "</w:t>
      </w:r>
      <w:r>
        <w:rPr>
          <w:rtl/>
        </w:rPr>
        <w:t>מַרְ</w:t>
      </w:r>
      <w:r>
        <w:rPr>
          <w:b/>
          <w:bCs/>
          <w:rtl/>
        </w:rPr>
        <w:t>אֶ</w:t>
      </w:r>
      <w:r>
        <w:rPr>
          <w:rtl/>
        </w:rPr>
        <w:t>ה</w:t>
      </w:r>
      <w:r>
        <w:rPr>
          <w:rFonts w:hint="cs"/>
          <w:rtl/>
        </w:rPr>
        <w:t>", מסתבר שהשוו שם עצם זה לצורה הזהה בתפקיד פֹעל, ולכן קביעתם שהוא ממין זכר נסמכת על הניקוד בסגול (לעומת "</w:t>
      </w:r>
      <w:r>
        <w:rPr>
          <w:rtl/>
        </w:rPr>
        <w:t>מַרְ</w:t>
      </w:r>
      <w:r>
        <w:rPr>
          <w:b/>
          <w:bCs/>
          <w:rtl/>
        </w:rPr>
        <w:t>א</w:t>
      </w:r>
      <w:r>
        <w:rPr>
          <w:rFonts w:hint="cs"/>
          <w:b/>
          <w:bCs/>
          <w:rtl/>
        </w:rPr>
        <w:t>ָ</w:t>
      </w:r>
      <w:r>
        <w:rPr>
          <w:rtl/>
        </w:rPr>
        <w:t>ה</w:t>
      </w:r>
      <w:r>
        <w:rPr>
          <w:rFonts w:hint="cs"/>
          <w:rtl/>
        </w:rPr>
        <w:t>" בקמץ).</w:t>
      </w:r>
    </w:p>
    <w:p w14:paraId="517096F9" w14:textId="77777777" w:rsidR="00940290" w:rsidRDefault="00940290" w:rsidP="00940290">
      <w:pPr>
        <w:ind w:firstLine="284"/>
        <w:rPr>
          <w:rFonts w:hint="cs"/>
          <w:rtl/>
        </w:rPr>
      </w:pPr>
      <w:r>
        <w:rPr>
          <w:rFonts w:hint="cs"/>
          <w:rtl/>
        </w:rPr>
        <w:t xml:space="preserve">ואולם, במסכת </w:t>
      </w:r>
      <w:r>
        <w:rPr>
          <w:rtl/>
        </w:rPr>
        <w:t xml:space="preserve">שבועות </w:t>
      </w:r>
      <w:r>
        <w:rPr>
          <w:rFonts w:hint="cs"/>
          <w:rtl/>
        </w:rPr>
        <w:t xml:space="preserve">מוכיחים הראשונים את מינו הדקדוקי של </w:t>
      </w:r>
      <w:r>
        <w:rPr>
          <w:rtl/>
        </w:rPr>
        <w:t>מַרְאֶה</w:t>
      </w:r>
      <w:r>
        <w:rPr>
          <w:rFonts w:hint="cs"/>
          <w:rtl/>
        </w:rPr>
        <w:t xml:space="preserve"> מן הכתובים: רש"י</w:t>
      </w:r>
      <w:r>
        <w:rPr>
          <w:rStyle w:val="a4"/>
          <w:rtl/>
        </w:rPr>
        <w:footnoteReference w:id="47"/>
      </w:r>
      <w:r>
        <w:rPr>
          <w:rFonts w:hint="cs"/>
          <w:rtl/>
        </w:rPr>
        <w:t xml:space="preserve"> מביא ראיה מלשון הנביא </w:t>
      </w:r>
      <w:r>
        <w:rPr>
          <w:rtl/>
        </w:rPr>
        <w:t xml:space="preserve">יחזקאל </w:t>
      </w:r>
      <w:r>
        <w:rPr>
          <w:rFonts w:hint="cs"/>
          <w:rtl/>
        </w:rPr>
        <w:t>(</w:t>
      </w:r>
      <w:r>
        <w:rPr>
          <w:sz w:val="18"/>
          <w:szCs w:val="20"/>
          <w:rtl/>
        </w:rPr>
        <w:t>א</w:t>
      </w:r>
      <w:r>
        <w:rPr>
          <w:rFonts w:hint="cs"/>
          <w:sz w:val="18"/>
          <w:szCs w:val="20"/>
          <w:rtl/>
        </w:rPr>
        <w:t>, כח</w:t>
      </w:r>
      <w:r>
        <w:rPr>
          <w:rtl/>
        </w:rPr>
        <w:t xml:space="preserve">) </w:t>
      </w:r>
      <w:r>
        <w:rPr>
          <w:rFonts w:hint="cs"/>
          <w:rtl/>
        </w:rPr>
        <w:t>"</w:t>
      </w:r>
      <w:r>
        <w:rPr>
          <w:rtl/>
        </w:rPr>
        <w:t>מַרְאֵה הַנֹּגַהּ סָבִיב</w:t>
      </w:r>
      <w:r>
        <w:rPr>
          <w:rFonts w:hint="cs"/>
          <w:rtl/>
        </w:rPr>
        <w:t xml:space="preserve"> - </w:t>
      </w:r>
      <w:r>
        <w:rPr>
          <w:b/>
          <w:bCs/>
          <w:rtl/>
        </w:rPr>
        <w:t xml:space="preserve">הוּא </w:t>
      </w:r>
      <w:r>
        <w:rPr>
          <w:rtl/>
        </w:rPr>
        <w:t>מַרְאֵה דְּמוּת כְּבוֹד ה'</w:t>
      </w:r>
      <w:r>
        <w:rPr>
          <w:rFonts w:hint="cs"/>
          <w:rtl/>
        </w:rPr>
        <w:t>" - כינוי הגוף "הוּא" (ולא "הִיא") מוכיח שהוא זכר. התוספות (</w:t>
      </w:r>
      <w:r>
        <w:rPr>
          <w:sz w:val="18"/>
          <w:szCs w:val="20"/>
          <w:rtl/>
        </w:rPr>
        <w:t>שבועות ב</w:t>
      </w:r>
      <w:r>
        <w:rPr>
          <w:rFonts w:hint="cs"/>
          <w:sz w:val="18"/>
          <w:szCs w:val="20"/>
          <w:rtl/>
        </w:rPr>
        <w:t xml:space="preserve">, </w:t>
      </w:r>
      <w:r>
        <w:rPr>
          <w:sz w:val="18"/>
          <w:szCs w:val="20"/>
          <w:rtl/>
        </w:rPr>
        <w:t xml:space="preserve">א </w:t>
      </w:r>
      <w:r>
        <w:rPr>
          <w:rFonts w:hint="cs"/>
          <w:sz w:val="18"/>
          <w:szCs w:val="20"/>
          <w:rtl/>
        </w:rPr>
        <w:t xml:space="preserve">ד"ה </w:t>
      </w:r>
      <w:r>
        <w:rPr>
          <w:sz w:val="18"/>
          <w:szCs w:val="20"/>
          <w:rtl/>
        </w:rPr>
        <w:t>מראות נגעים שנים</w:t>
      </w:r>
      <w:r>
        <w:rPr>
          <w:rFonts w:hint="cs"/>
          <w:rtl/>
        </w:rPr>
        <w:t>) מוסיפים לכך ראייה מהכתוב בחומש</w:t>
      </w:r>
      <w:r>
        <w:rPr>
          <w:rStyle w:val="a4"/>
          <w:rtl/>
        </w:rPr>
        <w:footnoteReference w:id="48"/>
      </w:r>
      <w:r>
        <w:rPr>
          <w:rFonts w:hint="cs"/>
          <w:rtl/>
        </w:rPr>
        <w:t xml:space="preserve"> </w:t>
      </w:r>
      <w:r>
        <w:rPr>
          <w:rtl/>
        </w:rPr>
        <w:t xml:space="preserve">שמות </w:t>
      </w:r>
      <w:r>
        <w:rPr>
          <w:rFonts w:hint="cs"/>
          <w:rtl/>
        </w:rPr>
        <w:t>(</w:t>
      </w:r>
      <w:r>
        <w:rPr>
          <w:sz w:val="18"/>
          <w:szCs w:val="20"/>
          <w:rtl/>
        </w:rPr>
        <w:t>ג</w:t>
      </w:r>
      <w:r>
        <w:rPr>
          <w:rFonts w:hint="cs"/>
          <w:sz w:val="18"/>
          <w:szCs w:val="20"/>
          <w:rtl/>
        </w:rPr>
        <w:t>, ג</w:t>
      </w:r>
      <w:r>
        <w:rPr>
          <w:rtl/>
        </w:rPr>
        <w:t>)</w:t>
      </w:r>
      <w:r>
        <w:rPr>
          <w:rFonts w:hint="cs"/>
          <w:rtl/>
        </w:rPr>
        <w:t>: "</w:t>
      </w:r>
      <w:r>
        <w:rPr>
          <w:rtl/>
        </w:rPr>
        <w:t>אֶת הַמַּרְאֶה הַגָּדֹל הַזֶּה</w:t>
      </w:r>
      <w:r>
        <w:rPr>
          <w:rFonts w:hint="cs"/>
          <w:rtl/>
        </w:rPr>
        <w:t>". התואר "גדול" (ולא "גדולָ</w:t>
      </w:r>
      <w:r>
        <w:rPr>
          <w:rFonts w:hint="cs"/>
          <w:b/>
          <w:bCs/>
          <w:rtl/>
        </w:rPr>
        <w:t>ה</w:t>
      </w:r>
      <w:r>
        <w:rPr>
          <w:rFonts w:hint="cs"/>
          <w:rtl/>
        </w:rPr>
        <w:t>") וכינוי הרמז "הזה" (ולא "</w:t>
      </w:r>
      <w:r>
        <w:rPr>
          <w:rtl/>
        </w:rPr>
        <w:t>הַזֹּ</w:t>
      </w:r>
      <w:r>
        <w:rPr>
          <w:b/>
          <w:bCs/>
          <w:rtl/>
        </w:rPr>
        <w:t>את</w:t>
      </w:r>
      <w:r>
        <w:rPr>
          <w:rFonts w:hint="cs"/>
          <w:rtl/>
        </w:rPr>
        <w:t>") - מתאימים לזכר.</w:t>
      </w:r>
    </w:p>
    <w:p w14:paraId="675CB854" w14:textId="77777777" w:rsidR="00940290" w:rsidRDefault="00940290" w:rsidP="00940290">
      <w:pPr>
        <w:ind w:firstLine="284"/>
        <w:rPr>
          <w:rFonts w:hint="cs"/>
          <w:rtl/>
        </w:rPr>
      </w:pPr>
      <w:r>
        <w:rPr>
          <w:rFonts w:hint="cs"/>
          <w:rtl/>
        </w:rPr>
        <w:lastRenderedPageBreak/>
        <w:t>לגבי הקושיה מסיומת הרבים "-וֹת" מסבירים התוספות שסיומת זו איננה מיוחדת למין מסוים</w:t>
      </w:r>
      <w:r>
        <w:rPr>
          <w:rStyle w:val="a4"/>
          <w:rtl/>
        </w:rPr>
        <w:footnoteReference w:id="49"/>
      </w:r>
      <w:r>
        <w:rPr>
          <w:rFonts w:hint="cs"/>
          <w:rtl/>
        </w:rPr>
        <w:t>, וזו לשונם: "</w:t>
      </w:r>
      <w:r>
        <w:rPr>
          <w:rtl/>
        </w:rPr>
        <w:t>דמ</w:t>
      </w:r>
      <w:r>
        <w:rPr>
          <w:rFonts w:hint="cs"/>
          <w:rtl/>
        </w:rPr>
        <w:t>'</w:t>
      </w:r>
      <w:r>
        <w:rPr>
          <w:rtl/>
        </w:rPr>
        <w:t>מַרְאֶה</w:t>
      </w:r>
      <w:r>
        <w:rPr>
          <w:rFonts w:hint="cs"/>
          <w:rtl/>
        </w:rPr>
        <w:t>'</w:t>
      </w:r>
      <w:r>
        <w:rPr>
          <w:rtl/>
        </w:rPr>
        <w:t xml:space="preserve"> יאמר </w:t>
      </w:r>
      <w:r>
        <w:rPr>
          <w:rFonts w:hint="cs"/>
          <w:rtl/>
        </w:rPr>
        <w:t>'</w:t>
      </w:r>
      <w:r>
        <w:rPr>
          <w:rtl/>
        </w:rPr>
        <w:t>מ</w:t>
      </w:r>
      <w:r>
        <w:rPr>
          <w:rFonts w:hint="cs"/>
          <w:rtl/>
        </w:rPr>
        <w:t>ַ</w:t>
      </w:r>
      <w:r>
        <w:rPr>
          <w:rtl/>
        </w:rPr>
        <w:t>ר</w:t>
      </w:r>
      <w:r>
        <w:rPr>
          <w:rFonts w:hint="cs"/>
          <w:rtl/>
        </w:rPr>
        <w:t>ְ</w:t>
      </w:r>
      <w:r>
        <w:rPr>
          <w:rtl/>
        </w:rPr>
        <w:t>או</w:t>
      </w:r>
      <w:r>
        <w:rPr>
          <w:rFonts w:hint="cs"/>
          <w:rtl/>
        </w:rPr>
        <w:t>ֹ</w:t>
      </w:r>
      <w:r>
        <w:rPr>
          <w:rtl/>
        </w:rPr>
        <w:t>ת</w:t>
      </w:r>
      <w:r>
        <w:rPr>
          <w:rFonts w:hint="cs"/>
          <w:rtl/>
        </w:rPr>
        <w:t>'</w:t>
      </w:r>
      <w:r>
        <w:rPr>
          <w:rtl/>
        </w:rPr>
        <w:t xml:space="preserve"> כמו מ</w:t>
      </w:r>
      <w:r>
        <w:rPr>
          <w:rFonts w:hint="cs"/>
          <w:rtl/>
        </w:rPr>
        <w:t>'</w:t>
      </w:r>
      <w:r>
        <w:rPr>
          <w:rtl/>
        </w:rPr>
        <w:t>מַחֲנֶה</w:t>
      </w:r>
      <w:r>
        <w:rPr>
          <w:rFonts w:hint="cs"/>
          <w:rtl/>
        </w:rPr>
        <w:t>'</w:t>
      </w:r>
      <w:r>
        <w:rPr>
          <w:rtl/>
        </w:rPr>
        <w:t xml:space="preserve"> </w:t>
      </w:r>
      <w:r>
        <w:rPr>
          <w:rFonts w:hint="cs"/>
          <w:rtl/>
        </w:rPr>
        <w:t>- '</w:t>
      </w:r>
      <w:r>
        <w:rPr>
          <w:rtl/>
        </w:rPr>
        <w:t>מַחֲנוֹת</w:t>
      </w:r>
      <w:r>
        <w:rPr>
          <w:rFonts w:hint="cs"/>
          <w:rtl/>
        </w:rPr>
        <w:t>'</w:t>
      </w:r>
      <w:r>
        <w:rPr>
          <w:rStyle w:val="a4"/>
          <w:rtl/>
        </w:rPr>
        <w:footnoteReference w:id="50"/>
      </w:r>
      <w:r>
        <w:rPr>
          <w:rFonts w:hint="cs"/>
          <w:rtl/>
        </w:rPr>
        <w:t>,</w:t>
      </w:r>
      <w:r>
        <w:rPr>
          <w:rtl/>
        </w:rPr>
        <w:t xml:space="preserve"> וכי היכי דכתיב </w:t>
      </w:r>
      <w:r>
        <w:rPr>
          <w:rFonts w:hint="cs"/>
          <w:rtl/>
        </w:rPr>
        <w:t>'</w:t>
      </w:r>
      <w:r>
        <w:rPr>
          <w:rtl/>
        </w:rPr>
        <w:t>וְעַתָּה הָיִיתִי לִשְׁ</w:t>
      </w:r>
      <w:r>
        <w:rPr>
          <w:b/>
          <w:bCs/>
          <w:rtl/>
        </w:rPr>
        <w:t>נֵ</w:t>
      </w:r>
      <w:r>
        <w:rPr>
          <w:rtl/>
        </w:rPr>
        <w:t>י מַחֲנ</w:t>
      </w:r>
      <w:r>
        <w:rPr>
          <w:b/>
          <w:bCs/>
          <w:rtl/>
        </w:rPr>
        <w:t>וֹת</w:t>
      </w:r>
      <w:r>
        <w:rPr>
          <w:rFonts w:hint="cs"/>
          <w:rtl/>
        </w:rPr>
        <w:t>' (</w:t>
      </w:r>
      <w:r>
        <w:rPr>
          <w:sz w:val="18"/>
          <w:szCs w:val="20"/>
          <w:rtl/>
        </w:rPr>
        <w:t>בראשית לב</w:t>
      </w:r>
      <w:r>
        <w:rPr>
          <w:rFonts w:hint="cs"/>
          <w:sz w:val="18"/>
          <w:szCs w:val="20"/>
          <w:rtl/>
        </w:rPr>
        <w:t xml:space="preserve">, </w:t>
      </w:r>
      <w:r>
        <w:rPr>
          <w:sz w:val="18"/>
          <w:szCs w:val="20"/>
          <w:rtl/>
        </w:rPr>
        <w:t>יא</w:t>
      </w:r>
      <w:r>
        <w:rPr>
          <w:rFonts w:hint="cs"/>
          <w:rtl/>
        </w:rPr>
        <w:t>)</w:t>
      </w:r>
      <w:r>
        <w:rPr>
          <w:rtl/>
        </w:rPr>
        <w:t xml:space="preserve"> ה"נ קתני שפיר</w:t>
      </w:r>
      <w:r>
        <w:rPr>
          <w:rFonts w:hint="cs"/>
          <w:rtl/>
        </w:rPr>
        <w:t>:</w:t>
      </w:r>
      <w:r>
        <w:rPr>
          <w:rtl/>
        </w:rPr>
        <w:t xml:space="preserve"> מרא</w:t>
      </w:r>
      <w:r>
        <w:rPr>
          <w:b/>
          <w:bCs/>
          <w:rtl/>
        </w:rPr>
        <w:t xml:space="preserve">ות </w:t>
      </w:r>
      <w:r>
        <w:rPr>
          <w:rtl/>
        </w:rPr>
        <w:t>ש</w:t>
      </w:r>
      <w:r>
        <w:rPr>
          <w:b/>
          <w:bCs/>
          <w:rtl/>
        </w:rPr>
        <w:t>נ</w:t>
      </w:r>
      <w:r>
        <w:rPr>
          <w:rtl/>
        </w:rPr>
        <w:t>ים</w:t>
      </w:r>
      <w:r>
        <w:rPr>
          <w:rFonts w:hint="cs"/>
          <w:rtl/>
        </w:rPr>
        <w:t>". וכיו"ב מבואר ב</w:t>
      </w:r>
      <w:r>
        <w:rPr>
          <w:rtl/>
        </w:rPr>
        <w:t>תוספות</w:t>
      </w:r>
      <w:r>
        <w:rPr>
          <w:rFonts w:hint="cs"/>
          <w:rtl/>
        </w:rPr>
        <w:t xml:space="preserve"> יום טוב (</w:t>
      </w:r>
      <w:r>
        <w:rPr>
          <w:rFonts w:hint="cs"/>
          <w:sz w:val="18"/>
          <w:szCs w:val="20"/>
          <w:rtl/>
        </w:rPr>
        <w:t>בריש שבועות ד"ה מראות</w:t>
      </w:r>
      <w:r>
        <w:rPr>
          <w:rFonts w:hint="cs"/>
          <w:rtl/>
        </w:rPr>
        <w:t>): "אבל '</w:t>
      </w:r>
      <w:r>
        <w:rPr>
          <w:rtl/>
        </w:rPr>
        <w:t>מ</w:t>
      </w:r>
      <w:r>
        <w:rPr>
          <w:rFonts w:hint="cs"/>
          <w:rtl/>
        </w:rPr>
        <w:t>ַ</w:t>
      </w:r>
      <w:r>
        <w:rPr>
          <w:rtl/>
        </w:rPr>
        <w:t>ר</w:t>
      </w:r>
      <w:r>
        <w:rPr>
          <w:rFonts w:hint="cs"/>
          <w:rtl/>
        </w:rPr>
        <w:t>ְ</w:t>
      </w:r>
      <w:r>
        <w:rPr>
          <w:rtl/>
        </w:rPr>
        <w:t>או</w:t>
      </w:r>
      <w:r>
        <w:rPr>
          <w:rFonts w:hint="cs"/>
          <w:rtl/>
        </w:rPr>
        <w:t>ֹ</w:t>
      </w:r>
      <w:r>
        <w:rPr>
          <w:rtl/>
        </w:rPr>
        <w:t>ת</w:t>
      </w:r>
      <w:r>
        <w:rPr>
          <w:rFonts w:hint="cs"/>
          <w:rtl/>
        </w:rPr>
        <w:t>' לא קשיא דלגרוס '</w:t>
      </w:r>
      <w:r>
        <w:rPr>
          <w:rtl/>
        </w:rPr>
        <w:t>מ</w:t>
      </w:r>
      <w:r>
        <w:rPr>
          <w:rFonts w:hint="cs"/>
          <w:rtl/>
        </w:rPr>
        <w:t>ַ</w:t>
      </w:r>
      <w:r>
        <w:rPr>
          <w:rtl/>
        </w:rPr>
        <w:t>ר</w:t>
      </w:r>
      <w:r>
        <w:rPr>
          <w:rFonts w:hint="cs"/>
          <w:rtl/>
        </w:rPr>
        <w:t>ְ</w:t>
      </w:r>
      <w:r>
        <w:rPr>
          <w:rtl/>
        </w:rPr>
        <w:t>א</w:t>
      </w:r>
      <w:r>
        <w:rPr>
          <w:rFonts w:hint="cs"/>
          <w:rtl/>
        </w:rPr>
        <w:t>ִים' (ואע"פ שכן נמצא בפירוש הרמב"ם במשנה ג' וד' פרק קמא דגנעים</w:t>
      </w:r>
      <w:r>
        <w:rPr>
          <w:rStyle w:val="a4"/>
          <w:rtl/>
        </w:rPr>
        <w:footnoteReference w:id="51"/>
      </w:r>
      <w:r>
        <w:rPr>
          <w:rFonts w:hint="cs"/>
          <w:rtl/>
        </w:rPr>
        <w:t>) ד'</w:t>
      </w:r>
      <w:r>
        <w:rPr>
          <w:rtl/>
        </w:rPr>
        <w:t>מ</w:t>
      </w:r>
      <w:r>
        <w:rPr>
          <w:rFonts w:hint="cs"/>
          <w:rtl/>
        </w:rPr>
        <w:t>ַ</w:t>
      </w:r>
      <w:r>
        <w:rPr>
          <w:rtl/>
        </w:rPr>
        <w:t>ר</w:t>
      </w:r>
      <w:r>
        <w:rPr>
          <w:rFonts w:hint="cs"/>
          <w:rtl/>
        </w:rPr>
        <w:t>ְ</w:t>
      </w:r>
      <w:r>
        <w:rPr>
          <w:rtl/>
        </w:rPr>
        <w:t>א</w:t>
      </w:r>
      <w:r>
        <w:rPr>
          <w:b/>
          <w:bCs/>
          <w:rtl/>
        </w:rPr>
        <w:t>ו</w:t>
      </w:r>
      <w:r>
        <w:rPr>
          <w:rFonts w:hint="cs"/>
          <w:b/>
          <w:bCs/>
          <w:rtl/>
        </w:rPr>
        <w:t>ֹ</w:t>
      </w:r>
      <w:r>
        <w:rPr>
          <w:b/>
          <w:bCs/>
          <w:rtl/>
        </w:rPr>
        <w:t>ת</w:t>
      </w:r>
      <w:r>
        <w:rPr>
          <w:rFonts w:hint="cs"/>
          <w:rtl/>
        </w:rPr>
        <w:t>'</w:t>
      </w:r>
      <w:r>
        <w:rPr>
          <w:rStyle w:val="a4"/>
          <w:rtl/>
        </w:rPr>
        <w:footnoteReference w:id="52"/>
      </w:r>
      <w:r>
        <w:rPr>
          <w:rFonts w:hint="cs"/>
          <w:rtl/>
        </w:rPr>
        <w:t xml:space="preserve"> שֵם לזכר בסימן הנקבה".</w:t>
      </w:r>
    </w:p>
    <w:p w14:paraId="6B18619A" w14:textId="77777777" w:rsidR="00940290" w:rsidRDefault="00940290" w:rsidP="00940290">
      <w:pPr>
        <w:ind w:firstLine="284"/>
        <w:rPr>
          <w:rFonts w:hint="cs"/>
          <w:rtl/>
        </w:rPr>
      </w:pPr>
      <w:r>
        <w:rPr>
          <w:rFonts w:hint="cs"/>
          <w:rtl/>
        </w:rPr>
        <w:t>ברם, כפי שכבר נרמז, כל האמור עד כאן נשען על הנחה שניתן לדחותה: יתכן ש"</w:t>
      </w:r>
      <w:r>
        <w:rPr>
          <w:rtl/>
        </w:rPr>
        <w:t>מראות נגעים</w:t>
      </w:r>
      <w:r>
        <w:rPr>
          <w:rFonts w:hint="cs"/>
          <w:rtl/>
        </w:rPr>
        <w:t>" אינם רבים של "</w:t>
      </w:r>
      <w:r>
        <w:rPr>
          <w:rtl/>
        </w:rPr>
        <w:t>מַרְאֶה</w:t>
      </w:r>
      <w:r>
        <w:rPr>
          <w:rFonts w:hint="cs"/>
          <w:rtl/>
        </w:rPr>
        <w:t xml:space="preserve">" ממין זכר, </w:t>
      </w:r>
      <w:r>
        <w:rPr>
          <w:rFonts w:hint="cs"/>
          <w:rtl/>
        </w:rPr>
        <w:lastRenderedPageBreak/>
        <w:t>כי אם רבים של "</w:t>
      </w:r>
      <w:r>
        <w:rPr>
          <w:rtl/>
        </w:rPr>
        <w:t>מַרְא</w:t>
      </w:r>
      <w:r>
        <w:rPr>
          <w:rFonts w:hint="cs"/>
          <w:rtl/>
        </w:rPr>
        <w:t>ָ</w:t>
      </w:r>
      <w:r>
        <w:rPr>
          <w:rtl/>
        </w:rPr>
        <w:t>ה</w:t>
      </w:r>
      <w:r>
        <w:rPr>
          <w:rFonts w:hint="cs"/>
          <w:rtl/>
        </w:rPr>
        <w:t>" ממין נקבה</w:t>
      </w:r>
      <w:r>
        <w:rPr>
          <w:rStyle w:val="a4"/>
          <w:rtl/>
        </w:rPr>
        <w:footnoteReference w:id="53"/>
      </w:r>
      <w:r>
        <w:rPr>
          <w:rFonts w:hint="cs"/>
          <w:rtl/>
        </w:rPr>
        <w:t>. ואכן בלשון המקרא מצאנו משורש רא"ה שתי צורות בינוני בתפקיד שם עצם: "</w:t>
      </w:r>
      <w:r>
        <w:rPr>
          <w:rtl/>
        </w:rPr>
        <w:t>מַרְאֶה</w:t>
      </w:r>
      <w:r>
        <w:rPr>
          <w:rFonts w:hint="cs"/>
          <w:rtl/>
        </w:rPr>
        <w:t>" ו"</w:t>
      </w:r>
      <w:r>
        <w:rPr>
          <w:rtl/>
        </w:rPr>
        <w:t>מַרְא</w:t>
      </w:r>
      <w:r>
        <w:rPr>
          <w:rFonts w:hint="cs"/>
          <w:rtl/>
        </w:rPr>
        <w:t>ָ</w:t>
      </w:r>
      <w:r>
        <w:rPr>
          <w:rtl/>
        </w:rPr>
        <w:t>ה</w:t>
      </w:r>
      <w:r>
        <w:rPr>
          <w:rFonts w:hint="cs"/>
          <w:rtl/>
        </w:rPr>
        <w:t>". נראה כי צורות אלו נבדלות אך ורק במין הדקדוקי: "</w:t>
      </w:r>
      <w:r>
        <w:rPr>
          <w:rtl/>
        </w:rPr>
        <w:t>מַרְאֶה</w:t>
      </w:r>
      <w:r>
        <w:rPr>
          <w:rFonts w:hint="cs"/>
          <w:rtl/>
        </w:rPr>
        <w:t>" - לשון זכר (</w:t>
      </w:r>
      <w:r>
        <w:rPr>
          <w:rFonts w:hint="cs"/>
          <w:sz w:val="18"/>
          <w:szCs w:val="20"/>
          <w:rtl/>
        </w:rPr>
        <w:t>כנ"ל מ</w:t>
      </w:r>
      <w:r>
        <w:rPr>
          <w:sz w:val="18"/>
          <w:szCs w:val="20"/>
          <w:rtl/>
        </w:rPr>
        <w:t>שמות ג</w:t>
      </w:r>
      <w:r>
        <w:rPr>
          <w:rFonts w:hint="cs"/>
          <w:sz w:val="18"/>
          <w:szCs w:val="20"/>
          <w:rtl/>
        </w:rPr>
        <w:t>, ג: "</w:t>
      </w:r>
      <w:r>
        <w:rPr>
          <w:sz w:val="18"/>
          <w:szCs w:val="20"/>
          <w:rtl/>
        </w:rPr>
        <w:t>אֶת הַמַּרְ</w:t>
      </w:r>
      <w:r>
        <w:rPr>
          <w:b/>
          <w:bCs/>
          <w:sz w:val="18"/>
          <w:szCs w:val="20"/>
          <w:rtl/>
        </w:rPr>
        <w:t>אֶה</w:t>
      </w:r>
      <w:r>
        <w:rPr>
          <w:sz w:val="18"/>
          <w:szCs w:val="20"/>
          <w:rtl/>
        </w:rPr>
        <w:t xml:space="preserve"> הַגָּדֹ</w:t>
      </w:r>
      <w:r>
        <w:rPr>
          <w:b/>
          <w:bCs/>
          <w:sz w:val="18"/>
          <w:szCs w:val="20"/>
          <w:rtl/>
        </w:rPr>
        <w:t>ל</w:t>
      </w:r>
      <w:r>
        <w:rPr>
          <w:sz w:val="18"/>
          <w:szCs w:val="20"/>
          <w:rtl/>
        </w:rPr>
        <w:t xml:space="preserve"> </w:t>
      </w:r>
      <w:r>
        <w:rPr>
          <w:b/>
          <w:bCs/>
          <w:sz w:val="18"/>
          <w:szCs w:val="20"/>
          <w:rtl/>
        </w:rPr>
        <w:t>הַזֶּה</w:t>
      </w:r>
      <w:r>
        <w:rPr>
          <w:rFonts w:hint="cs"/>
          <w:sz w:val="18"/>
          <w:szCs w:val="20"/>
          <w:rtl/>
        </w:rPr>
        <w:t>"</w:t>
      </w:r>
      <w:r>
        <w:rPr>
          <w:rtl/>
        </w:rPr>
        <w:t>)</w:t>
      </w:r>
      <w:r>
        <w:rPr>
          <w:rFonts w:hint="cs"/>
          <w:rtl/>
        </w:rPr>
        <w:t>, ו"</w:t>
      </w:r>
      <w:r>
        <w:rPr>
          <w:rtl/>
        </w:rPr>
        <w:t>מַרְא</w:t>
      </w:r>
      <w:r>
        <w:rPr>
          <w:rFonts w:hint="cs"/>
          <w:rtl/>
        </w:rPr>
        <w:t>ָ</w:t>
      </w:r>
      <w:r>
        <w:rPr>
          <w:rtl/>
        </w:rPr>
        <w:t>ה</w:t>
      </w:r>
      <w:r>
        <w:rPr>
          <w:rFonts w:hint="cs"/>
          <w:rtl/>
        </w:rPr>
        <w:t>" - לשון נקבה (</w:t>
      </w:r>
      <w:r>
        <w:rPr>
          <w:rFonts w:hint="cs"/>
          <w:sz w:val="18"/>
          <w:szCs w:val="20"/>
          <w:rtl/>
        </w:rPr>
        <w:t>שנאמר: "</w:t>
      </w:r>
      <w:r>
        <w:rPr>
          <w:sz w:val="18"/>
          <w:szCs w:val="20"/>
          <w:rtl/>
        </w:rPr>
        <w:t xml:space="preserve">וָאֶרְאֶה אֶת </w:t>
      </w:r>
      <w:r>
        <w:rPr>
          <w:b/>
          <w:bCs/>
          <w:sz w:val="18"/>
          <w:szCs w:val="20"/>
          <w:rtl/>
        </w:rPr>
        <w:t>הַמַּרְאָה</w:t>
      </w:r>
      <w:r>
        <w:rPr>
          <w:sz w:val="18"/>
          <w:szCs w:val="20"/>
          <w:rtl/>
        </w:rPr>
        <w:t xml:space="preserve"> הַגְּדֹ</w:t>
      </w:r>
      <w:r>
        <w:rPr>
          <w:b/>
          <w:bCs/>
          <w:sz w:val="18"/>
          <w:szCs w:val="20"/>
          <w:rtl/>
        </w:rPr>
        <w:t>לָה</w:t>
      </w:r>
      <w:r>
        <w:rPr>
          <w:sz w:val="18"/>
          <w:szCs w:val="20"/>
          <w:rtl/>
        </w:rPr>
        <w:t xml:space="preserve"> הַ</w:t>
      </w:r>
      <w:r>
        <w:rPr>
          <w:b/>
          <w:bCs/>
          <w:sz w:val="18"/>
          <w:szCs w:val="20"/>
          <w:rtl/>
        </w:rPr>
        <w:t>זֹּאת</w:t>
      </w:r>
      <w:r>
        <w:rPr>
          <w:rFonts w:hint="cs"/>
          <w:sz w:val="18"/>
          <w:szCs w:val="20"/>
          <w:rtl/>
        </w:rPr>
        <w:t xml:space="preserve">", </w:t>
      </w:r>
      <w:r>
        <w:rPr>
          <w:sz w:val="18"/>
          <w:szCs w:val="20"/>
          <w:rtl/>
        </w:rPr>
        <w:t>דניאל י</w:t>
      </w:r>
      <w:r>
        <w:rPr>
          <w:rFonts w:hint="cs"/>
          <w:sz w:val="18"/>
          <w:szCs w:val="20"/>
          <w:rtl/>
        </w:rPr>
        <w:t xml:space="preserve">, </w:t>
      </w:r>
      <w:r>
        <w:rPr>
          <w:sz w:val="18"/>
          <w:szCs w:val="20"/>
          <w:rtl/>
        </w:rPr>
        <w:t>ח</w:t>
      </w:r>
      <w:r>
        <w:rPr>
          <w:rFonts w:hint="cs"/>
          <w:rtl/>
        </w:rPr>
        <w:t>), אך משמעות שתי הצורות זהה</w:t>
      </w:r>
      <w:r>
        <w:rPr>
          <w:rStyle w:val="a4"/>
          <w:rtl/>
        </w:rPr>
        <w:footnoteReference w:id="54"/>
      </w:r>
      <w:r>
        <w:rPr>
          <w:rFonts w:hint="cs"/>
          <w:rtl/>
        </w:rPr>
        <w:t xml:space="preserve"> (ושלא כדעת המבדילים ביניהם</w:t>
      </w:r>
      <w:r>
        <w:rPr>
          <w:rStyle w:val="a4"/>
          <w:rtl/>
        </w:rPr>
        <w:footnoteReference w:id="55"/>
      </w:r>
      <w:r>
        <w:rPr>
          <w:rFonts w:hint="cs"/>
          <w:rtl/>
        </w:rPr>
        <w:t>).</w:t>
      </w:r>
      <w:r>
        <w:rPr>
          <w:rFonts w:ascii="Arial" w:hAnsi="Arial" w:hint="cs"/>
          <w:rtl/>
        </w:rPr>
        <w:t xml:space="preserve"> שאלה זו חשובה להלכה, במקרה של קורא בתורה שאינו מבחין בניקוד </w:t>
      </w:r>
      <w:r>
        <w:rPr>
          <w:rFonts w:hint="cs"/>
          <w:rtl/>
        </w:rPr>
        <w:t>שתי הצורות</w:t>
      </w:r>
      <w:r>
        <w:rPr>
          <w:rStyle w:val="a4"/>
          <w:rtl/>
        </w:rPr>
        <w:footnoteReference w:id="56"/>
      </w:r>
      <w:r>
        <w:rPr>
          <w:rFonts w:ascii="Arial" w:hAnsi="Arial" w:hint="cs"/>
          <w:sz w:val="26"/>
          <w:rtl/>
        </w:rPr>
        <w:t xml:space="preserve">, </w:t>
      </w:r>
      <w:r>
        <w:rPr>
          <w:rFonts w:ascii="Arial" w:hAnsi="Arial" w:hint="cs"/>
          <w:rtl/>
        </w:rPr>
        <w:t>לדעת הפוסקים שיש לה</w:t>
      </w:r>
      <w:r>
        <w:rPr>
          <w:rFonts w:ascii="Arial" w:hAnsi="Arial"/>
          <w:rtl/>
        </w:rPr>
        <w:t>חזיר</w:t>
      </w:r>
      <w:r>
        <w:rPr>
          <w:rFonts w:ascii="Arial" w:hAnsi="Arial" w:hint="cs"/>
          <w:rtl/>
        </w:rPr>
        <w:t xml:space="preserve"> את ה</w:t>
      </w:r>
      <w:r>
        <w:rPr>
          <w:rFonts w:ascii="Arial" w:hAnsi="Arial"/>
          <w:rtl/>
        </w:rPr>
        <w:t>ט</w:t>
      </w:r>
      <w:r>
        <w:rPr>
          <w:rFonts w:ascii="Arial" w:hAnsi="Arial" w:hint="cs"/>
          <w:rtl/>
        </w:rPr>
        <w:t>ו</w:t>
      </w:r>
      <w:r>
        <w:rPr>
          <w:rFonts w:ascii="Arial" w:hAnsi="Arial"/>
          <w:rtl/>
        </w:rPr>
        <w:t>עה בשינוי שמשתנה ע"י זה הענין</w:t>
      </w:r>
      <w:r>
        <w:rPr>
          <w:rFonts w:ascii="Arial" w:hAnsi="Arial" w:hint="cs"/>
          <w:rtl/>
        </w:rPr>
        <w:t xml:space="preserve"> (</w:t>
      </w:r>
      <w:r>
        <w:rPr>
          <w:rFonts w:ascii="Arial" w:hAnsi="Arial" w:hint="cs"/>
          <w:sz w:val="18"/>
          <w:szCs w:val="20"/>
          <w:rtl/>
        </w:rPr>
        <w:t xml:space="preserve">ראה </w:t>
      </w:r>
      <w:r>
        <w:rPr>
          <w:rFonts w:ascii="Arial" w:hAnsi="Arial"/>
          <w:sz w:val="18"/>
          <w:szCs w:val="20"/>
          <w:rtl/>
        </w:rPr>
        <w:t>שו</w:t>
      </w:r>
      <w:r>
        <w:rPr>
          <w:rFonts w:ascii="Arial" w:hAnsi="Arial" w:hint="cs"/>
          <w:sz w:val="18"/>
          <w:szCs w:val="20"/>
          <w:rtl/>
        </w:rPr>
        <w:t>"</w:t>
      </w:r>
      <w:r>
        <w:rPr>
          <w:rFonts w:ascii="Arial" w:hAnsi="Arial"/>
          <w:sz w:val="18"/>
          <w:szCs w:val="20"/>
          <w:rtl/>
        </w:rPr>
        <w:t>ע</w:t>
      </w:r>
      <w:r>
        <w:rPr>
          <w:rFonts w:ascii="Arial" w:hAnsi="Arial" w:hint="cs"/>
          <w:sz w:val="18"/>
          <w:szCs w:val="20"/>
          <w:rtl/>
        </w:rPr>
        <w:t xml:space="preserve"> </w:t>
      </w:r>
      <w:r>
        <w:rPr>
          <w:rFonts w:ascii="Arial" w:hAnsi="Arial"/>
          <w:sz w:val="18"/>
          <w:szCs w:val="20"/>
          <w:rtl/>
        </w:rPr>
        <w:t>או</w:t>
      </w:r>
      <w:r>
        <w:rPr>
          <w:rFonts w:ascii="Arial" w:hAnsi="Arial" w:hint="cs"/>
          <w:sz w:val="18"/>
          <w:szCs w:val="20"/>
          <w:rtl/>
        </w:rPr>
        <w:t>"</w:t>
      </w:r>
      <w:r>
        <w:rPr>
          <w:rFonts w:ascii="Arial" w:hAnsi="Arial"/>
          <w:sz w:val="18"/>
          <w:szCs w:val="20"/>
          <w:rtl/>
        </w:rPr>
        <w:t>ח קמב</w:t>
      </w:r>
      <w:r>
        <w:rPr>
          <w:rFonts w:ascii="Arial" w:hAnsi="Arial" w:hint="cs"/>
          <w:sz w:val="18"/>
          <w:szCs w:val="20"/>
          <w:rtl/>
        </w:rPr>
        <w:t xml:space="preserve">, </w:t>
      </w:r>
      <w:r>
        <w:rPr>
          <w:rFonts w:ascii="Arial" w:hAnsi="Arial"/>
          <w:sz w:val="18"/>
          <w:szCs w:val="20"/>
          <w:rtl/>
        </w:rPr>
        <w:t>א</w:t>
      </w:r>
      <w:r>
        <w:rPr>
          <w:rFonts w:ascii="Arial" w:hAnsi="Arial" w:hint="cs"/>
          <w:rtl/>
        </w:rPr>
        <w:t>)</w:t>
      </w:r>
      <w:r>
        <w:rPr>
          <w:rFonts w:ascii="Arial" w:hAnsi="Arial" w:hint="cs"/>
          <w:sz w:val="26"/>
          <w:rtl/>
        </w:rPr>
        <w:t>.</w:t>
      </w:r>
    </w:p>
    <w:p w14:paraId="21655126" w14:textId="77777777" w:rsidR="00940290" w:rsidRDefault="00940290" w:rsidP="00940290">
      <w:pPr>
        <w:ind w:firstLine="284"/>
        <w:rPr>
          <w:rFonts w:hint="cs"/>
          <w:rtl/>
        </w:rPr>
      </w:pPr>
      <w:r>
        <w:rPr>
          <w:rFonts w:hint="cs"/>
          <w:rtl/>
        </w:rPr>
        <w:t xml:space="preserve">לאור האמור, סובר </w:t>
      </w:r>
      <w:r>
        <w:rPr>
          <w:rFonts w:hint="cs"/>
          <w:sz w:val="26"/>
          <w:rtl/>
        </w:rPr>
        <w:t>רבי יעקב עמדין</w:t>
      </w:r>
      <w:r>
        <w:rPr>
          <w:rFonts w:hint="cs"/>
          <w:rtl/>
        </w:rPr>
        <w:t xml:space="preserve"> (</w:t>
      </w:r>
      <w:r>
        <w:rPr>
          <w:rFonts w:hint="cs"/>
          <w:sz w:val="18"/>
          <w:szCs w:val="20"/>
          <w:rtl/>
        </w:rPr>
        <w:t>לחם שמים, שבועות א, א</w:t>
      </w:r>
      <w:r>
        <w:rPr>
          <w:rFonts w:hint="cs"/>
          <w:rtl/>
        </w:rPr>
        <w:t>), שצורת הרבים "</w:t>
      </w:r>
      <w:r>
        <w:rPr>
          <w:rtl/>
        </w:rPr>
        <w:t>מ</w:t>
      </w:r>
      <w:r>
        <w:rPr>
          <w:rFonts w:hint="cs"/>
          <w:rtl/>
        </w:rPr>
        <w:t>ַ</w:t>
      </w:r>
      <w:r>
        <w:rPr>
          <w:rtl/>
        </w:rPr>
        <w:t>ר</w:t>
      </w:r>
      <w:r>
        <w:rPr>
          <w:rFonts w:hint="cs"/>
          <w:rtl/>
        </w:rPr>
        <w:t>ְ</w:t>
      </w:r>
      <w:r>
        <w:rPr>
          <w:rtl/>
        </w:rPr>
        <w:t>או</w:t>
      </w:r>
      <w:r>
        <w:rPr>
          <w:rFonts w:hint="cs"/>
          <w:rtl/>
        </w:rPr>
        <w:t>ֹ</w:t>
      </w:r>
      <w:r>
        <w:rPr>
          <w:rtl/>
        </w:rPr>
        <w:t>ת</w:t>
      </w:r>
      <w:r>
        <w:rPr>
          <w:rFonts w:hint="cs"/>
          <w:rtl/>
        </w:rPr>
        <w:t>" (</w:t>
      </w:r>
      <w:r>
        <w:rPr>
          <w:rFonts w:hint="cs"/>
          <w:sz w:val="18"/>
          <w:szCs w:val="20"/>
          <w:rtl/>
        </w:rPr>
        <w:t>וכן הוא אומר:</w:t>
      </w:r>
      <w:r>
        <w:rPr>
          <w:sz w:val="18"/>
          <w:szCs w:val="20"/>
          <w:rtl/>
        </w:rPr>
        <w:t xml:space="preserve"> </w:t>
      </w:r>
      <w:r>
        <w:rPr>
          <w:rFonts w:hint="cs"/>
          <w:sz w:val="18"/>
          <w:szCs w:val="20"/>
          <w:rtl/>
        </w:rPr>
        <w:t>"</w:t>
      </w:r>
      <w:r>
        <w:rPr>
          <w:sz w:val="18"/>
          <w:szCs w:val="20"/>
          <w:rtl/>
        </w:rPr>
        <w:t>וָאֶרְאֶה מַרְאוֹת אֱלֹהִים</w:t>
      </w:r>
      <w:r>
        <w:rPr>
          <w:rFonts w:hint="cs"/>
          <w:sz w:val="18"/>
          <w:szCs w:val="20"/>
          <w:rtl/>
        </w:rPr>
        <w:t>",</w:t>
      </w:r>
      <w:r>
        <w:rPr>
          <w:sz w:val="18"/>
          <w:szCs w:val="20"/>
          <w:rtl/>
        </w:rPr>
        <w:t xml:space="preserve"> יחזקאל א</w:t>
      </w:r>
      <w:r>
        <w:rPr>
          <w:rFonts w:hint="cs"/>
          <w:sz w:val="18"/>
          <w:szCs w:val="20"/>
          <w:rtl/>
        </w:rPr>
        <w:t xml:space="preserve">, </w:t>
      </w:r>
      <w:r>
        <w:rPr>
          <w:sz w:val="18"/>
          <w:szCs w:val="20"/>
          <w:rtl/>
        </w:rPr>
        <w:t>א</w:t>
      </w:r>
      <w:r>
        <w:rPr>
          <w:rFonts w:hint="cs"/>
          <w:rtl/>
        </w:rPr>
        <w:t>) היא ריבוי השם הנִקבי "</w:t>
      </w:r>
      <w:r>
        <w:rPr>
          <w:rtl/>
        </w:rPr>
        <w:t>מַרְא</w:t>
      </w:r>
      <w:r>
        <w:rPr>
          <w:rFonts w:hint="cs"/>
          <w:rtl/>
        </w:rPr>
        <w:t>ָ</w:t>
      </w:r>
      <w:r>
        <w:rPr>
          <w:rtl/>
        </w:rPr>
        <w:t>ה</w:t>
      </w:r>
      <w:r>
        <w:rPr>
          <w:rFonts w:hint="cs"/>
          <w:rtl/>
        </w:rPr>
        <w:t>", ואילו צורת הרבים של "</w:t>
      </w:r>
      <w:r>
        <w:rPr>
          <w:rtl/>
        </w:rPr>
        <w:t>מַרְאֶה</w:t>
      </w:r>
      <w:r>
        <w:rPr>
          <w:rFonts w:hint="cs"/>
          <w:rtl/>
        </w:rPr>
        <w:t>" הזִכרי (</w:t>
      </w:r>
      <w:r>
        <w:rPr>
          <w:rFonts w:hint="cs"/>
          <w:sz w:val="18"/>
          <w:szCs w:val="20"/>
          <w:rtl/>
        </w:rPr>
        <w:t>ש</w:t>
      </w:r>
      <w:r>
        <w:rPr>
          <w:rFonts w:hint="cs"/>
          <w:sz w:val="20"/>
          <w:szCs w:val="20"/>
          <w:rtl/>
        </w:rPr>
        <w:t>איננה מתועדת במקרא</w:t>
      </w:r>
      <w:r>
        <w:rPr>
          <w:rFonts w:hint="cs"/>
          <w:rtl/>
        </w:rPr>
        <w:t>) אמורה להיות "</w:t>
      </w:r>
      <w:r>
        <w:rPr>
          <w:rtl/>
        </w:rPr>
        <w:t>מַרְא</w:t>
      </w:r>
      <w:r>
        <w:rPr>
          <w:rFonts w:hint="cs"/>
          <w:rtl/>
        </w:rPr>
        <w:t>ִים"</w:t>
      </w:r>
      <w:r>
        <w:rPr>
          <w:rStyle w:val="a4"/>
          <w:rtl/>
        </w:rPr>
        <w:footnoteReference w:id="57"/>
      </w:r>
      <w:r>
        <w:rPr>
          <w:rFonts w:hint="cs"/>
          <w:rtl/>
        </w:rPr>
        <w:t>. ומסיים ריעב"ץ</w:t>
      </w:r>
      <w:r>
        <w:rPr>
          <w:rFonts w:hint="cs"/>
          <w:sz w:val="26"/>
          <w:rtl/>
        </w:rPr>
        <w:t>: "</w:t>
      </w:r>
      <w:r>
        <w:rPr>
          <w:rFonts w:hint="cs"/>
          <w:rtl/>
        </w:rPr>
        <w:t>הילכך גרסת ['</w:t>
      </w:r>
      <w:r>
        <w:rPr>
          <w:rtl/>
        </w:rPr>
        <w:t>מראות נגעים</w:t>
      </w:r>
      <w:r>
        <w:rPr>
          <w:rFonts w:hint="cs"/>
          <w:rtl/>
        </w:rPr>
        <w:t>]</w:t>
      </w:r>
      <w:r>
        <w:rPr>
          <w:rtl/>
        </w:rPr>
        <w:t xml:space="preserve"> </w:t>
      </w:r>
      <w:r>
        <w:rPr>
          <w:b/>
          <w:bCs/>
          <w:rtl/>
        </w:rPr>
        <w:t>ש</w:t>
      </w:r>
      <w:r>
        <w:rPr>
          <w:rFonts w:hint="cs"/>
          <w:b/>
          <w:bCs/>
          <w:rtl/>
        </w:rPr>
        <w:t>ת</w:t>
      </w:r>
      <w:r>
        <w:rPr>
          <w:b/>
          <w:bCs/>
          <w:rtl/>
        </w:rPr>
        <w:t>ים</w:t>
      </w:r>
      <w:r>
        <w:rPr>
          <w:rtl/>
        </w:rPr>
        <w:t xml:space="preserve"> </w:t>
      </w:r>
      <w:r>
        <w:rPr>
          <w:rFonts w:hint="cs"/>
          <w:rtl/>
        </w:rPr>
        <w:t>[</w:t>
      </w:r>
      <w:r>
        <w:rPr>
          <w:rtl/>
        </w:rPr>
        <w:t>שה</w:t>
      </w:r>
      <w:r>
        <w:rPr>
          <w:rFonts w:hint="cs"/>
          <w:rtl/>
        </w:rPr>
        <w:t xml:space="preserve">ן </w:t>
      </w:r>
      <w:r>
        <w:rPr>
          <w:b/>
          <w:bCs/>
          <w:rtl/>
        </w:rPr>
        <w:t>ארבע</w:t>
      </w:r>
      <w:r>
        <w:rPr>
          <w:rFonts w:hint="cs"/>
          <w:rtl/>
        </w:rPr>
        <w:t xml:space="preserve">'] - עיקר". </w:t>
      </w:r>
    </w:p>
    <w:p w14:paraId="46E6F08D" w14:textId="77777777" w:rsidR="00940290" w:rsidRDefault="00940290" w:rsidP="00940290">
      <w:pPr>
        <w:ind w:firstLine="284"/>
        <w:rPr>
          <w:rFonts w:hint="cs"/>
          <w:rtl/>
        </w:rPr>
      </w:pPr>
      <w:r>
        <w:rPr>
          <w:rFonts w:hint="cs"/>
          <w:rtl/>
        </w:rPr>
        <w:lastRenderedPageBreak/>
        <w:t>לעומתו, סובר הרש"ש</w:t>
      </w:r>
      <w:r>
        <w:rPr>
          <w:rStyle w:val="a4"/>
          <w:szCs w:val="20"/>
          <w:rtl/>
        </w:rPr>
        <w:footnoteReference w:id="58"/>
      </w:r>
      <w:r>
        <w:rPr>
          <w:rFonts w:hint="cs"/>
          <w:rtl/>
        </w:rPr>
        <w:t xml:space="preserve"> כנוסח רוב הספרים וכדברי הראשונים שקבעו שהצירוף "</w:t>
      </w:r>
      <w:r>
        <w:rPr>
          <w:rtl/>
        </w:rPr>
        <w:t>מראות נגעים</w:t>
      </w:r>
      <w:r>
        <w:rPr>
          <w:rFonts w:hint="cs"/>
          <w:rtl/>
        </w:rPr>
        <w:t>" הוא אכן ריבוי של "</w:t>
      </w:r>
      <w:r>
        <w:rPr>
          <w:rtl/>
        </w:rPr>
        <w:t>מַרְא</w:t>
      </w:r>
      <w:r>
        <w:rPr>
          <w:rFonts w:hint="cs"/>
          <w:rtl/>
        </w:rPr>
        <w:t>ֵ</w:t>
      </w:r>
      <w:r>
        <w:rPr>
          <w:rtl/>
        </w:rPr>
        <w:t>ה</w:t>
      </w:r>
      <w:r>
        <w:rPr>
          <w:rFonts w:hint="cs"/>
          <w:rtl/>
        </w:rPr>
        <w:t xml:space="preserve"> </w:t>
      </w:r>
      <w:r>
        <w:rPr>
          <w:rtl/>
        </w:rPr>
        <w:t>נֶגַע</w:t>
      </w:r>
      <w:r>
        <w:rPr>
          <w:rFonts w:hint="cs"/>
          <w:rtl/>
        </w:rPr>
        <w:t>", ומינו הדקדוקי - זכר, וזאת בהסתמך על פרשת נגעים (</w:t>
      </w:r>
      <w:r>
        <w:rPr>
          <w:sz w:val="18"/>
          <w:szCs w:val="20"/>
          <w:rtl/>
        </w:rPr>
        <w:t>ויקרא יג</w:t>
      </w:r>
      <w:r>
        <w:rPr>
          <w:rFonts w:hint="cs"/>
          <w:sz w:val="18"/>
          <w:szCs w:val="20"/>
          <w:rtl/>
        </w:rPr>
        <w:t>,</w:t>
      </w:r>
      <w:r>
        <w:rPr>
          <w:sz w:val="18"/>
          <w:szCs w:val="20"/>
          <w:rtl/>
        </w:rPr>
        <w:t xml:space="preserve"> ג</w:t>
      </w:r>
      <w:r>
        <w:rPr>
          <w:rFonts w:hint="cs"/>
          <w:sz w:val="18"/>
          <w:szCs w:val="20"/>
          <w:rtl/>
        </w:rPr>
        <w:t>; ל</w:t>
      </w:r>
      <w:r>
        <w:rPr>
          <w:rFonts w:hint="cs"/>
          <w:rtl/>
        </w:rPr>
        <w:t>): "</w:t>
      </w:r>
      <w:r>
        <w:rPr>
          <w:b/>
          <w:bCs/>
          <w:rtl/>
        </w:rPr>
        <w:t>וּמַרְאֵה</w:t>
      </w:r>
      <w:r>
        <w:rPr>
          <w:rtl/>
        </w:rPr>
        <w:t xml:space="preserve"> </w:t>
      </w:r>
      <w:r>
        <w:rPr>
          <w:b/>
          <w:bCs/>
          <w:rtl/>
        </w:rPr>
        <w:t>הַנֶּגַע עָמֹק</w:t>
      </w:r>
      <w:r>
        <w:rPr>
          <w:rFonts w:hint="cs"/>
          <w:rtl/>
        </w:rPr>
        <w:t xml:space="preserve">... </w:t>
      </w:r>
      <w:r>
        <w:rPr>
          <w:rtl/>
        </w:rPr>
        <w:t xml:space="preserve">וְרָאָה הַכֹּהֵן אֶת הַנֶּגַע וְהִנֵּה </w:t>
      </w:r>
      <w:r>
        <w:rPr>
          <w:b/>
          <w:bCs/>
          <w:rtl/>
        </w:rPr>
        <w:t>מַרְאֵהוּ</w:t>
      </w:r>
      <w:r>
        <w:rPr>
          <w:rFonts w:hint="cs"/>
          <w:b/>
          <w:bCs/>
          <w:rtl/>
        </w:rPr>
        <w:t xml:space="preserve"> </w:t>
      </w:r>
      <w:r>
        <w:rPr>
          <w:b/>
          <w:bCs/>
          <w:rtl/>
        </w:rPr>
        <w:t>עָמֹק</w:t>
      </w:r>
      <w:r>
        <w:rPr>
          <w:rFonts w:hint="cs"/>
          <w:rtl/>
        </w:rPr>
        <w:t>"</w:t>
      </w:r>
      <w:r>
        <w:rPr>
          <w:rStyle w:val="a4"/>
          <w:rtl/>
        </w:rPr>
        <w:footnoteReference w:id="59"/>
      </w:r>
      <w:r>
        <w:rPr>
          <w:rFonts w:hint="cs"/>
          <w:rtl/>
        </w:rPr>
        <w:t xml:space="preserve">. </w:t>
      </w:r>
    </w:p>
    <w:p w14:paraId="24A73195" w14:textId="77777777" w:rsidR="00940290" w:rsidRDefault="00940290" w:rsidP="00940290">
      <w:pPr>
        <w:ind w:firstLine="284"/>
        <w:rPr>
          <w:rFonts w:hint="cs"/>
          <w:rtl/>
        </w:rPr>
      </w:pPr>
      <w:r>
        <w:rPr>
          <w:rFonts w:hint="cs"/>
          <w:rtl/>
        </w:rPr>
        <w:t>ה</w:t>
      </w:r>
      <w:r>
        <w:rPr>
          <w:rtl/>
        </w:rPr>
        <w:t xml:space="preserve">רדב"ז </w:t>
      </w:r>
      <w:r>
        <w:rPr>
          <w:rFonts w:hint="cs"/>
          <w:rtl/>
        </w:rPr>
        <w:t>(</w:t>
      </w:r>
      <w:r>
        <w:rPr>
          <w:sz w:val="18"/>
          <w:szCs w:val="20"/>
          <w:rtl/>
        </w:rPr>
        <w:t>שו"ת מכ</w:t>
      </w:r>
      <w:r>
        <w:rPr>
          <w:rFonts w:hint="cs"/>
          <w:sz w:val="18"/>
          <w:szCs w:val="20"/>
          <w:rtl/>
        </w:rPr>
        <w:t>ּ</w:t>
      </w:r>
      <w:r>
        <w:rPr>
          <w:sz w:val="18"/>
          <w:szCs w:val="20"/>
          <w:rtl/>
        </w:rPr>
        <w:t>תב יד</w:t>
      </w:r>
      <w:r>
        <w:rPr>
          <w:rFonts w:hint="cs"/>
          <w:sz w:val="18"/>
          <w:szCs w:val="20"/>
          <w:rtl/>
        </w:rPr>
        <w:t xml:space="preserve">, </w:t>
      </w:r>
      <w:r>
        <w:rPr>
          <w:sz w:val="18"/>
          <w:szCs w:val="20"/>
          <w:rtl/>
        </w:rPr>
        <w:t>ח</w:t>
      </w:r>
      <w:r>
        <w:rPr>
          <w:rFonts w:hint="cs"/>
          <w:sz w:val="18"/>
          <w:szCs w:val="20"/>
          <w:rtl/>
        </w:rPr>
        <w:t>"</w:t>
      </w:r>
      <w:r>
        <w:rPr>
          <w:sz w:val="18"/>
          <w:szCs w:val="20"/>
          <w:rtl/>
        </w:rPr>
        <w:t>ח</w:t>
      </w:r>
      <w:r>
        <w:rPr>
          <w:rFonts w:hint="cs"/>
          <w:sz w:val="18"/>
          <w:szCs w:val="20"/>
          <w:rtl/>
        </w:rPr>
        <w:t xml:space="preserve">, </w:t>
      </w:r>
      <w:r>
        <w:rPr>
          <w:sz w:val="18"/>
          <w:szCs w:val="20"/>
          <w:rtl/>
        </w:rPr>
        <w:t>סימן ר</w:t>
      </w:r>
      <w:r>
        <w:rPr>
          <w:rFonts w:hint="cs"/>
          <w:sz w:val="18"/>
          <w:szCs w:val="20"/>
          <w:rtl/>
        </w:rPr>
        <w:t>"</w:t>
      </w:r>
      <w:r>
        <w:rPr>
          <w:sz w:val="18"/>
          <w:szCs w:val="20"/>
          <w:rtl/>
        </w:rPr>
        <w:t>ז</w:t>
      </w:r>
      <w:r>
        <w:rPr>
          <w:rFonts w:hint="cs"/>
          <w:rtl/>
        </w:rPr>
        <w:t>) הבין שרש"י</w:t>
      </w:r>
      <w:r>
        <w:rPr>
          <w:rStyle w:val="a4"/>
          <w:rtl/>
        </w:rPr>
        <w:footnoteReference w:id="60"/>
      </w:r>
      <w:r>
        <w:rPr>
          <w:rFonts w:hint="cs"/>
          <w:rtl/>
        </w:rPr>
        <w:t xml:space="preserve"> גרס "</w:t>
      </w:r>
      <w:r>
        <w:rPr>
          <w:rtl/>
        </w:rPr>
        <w:t xml:space="preserve">מראות נגעים </w:t>
      </w:r>
      <w:r>
        <w:rPr>
          <w:b/>
          <w:bCs/>
          <w:rtl/>
        </w:rPr>
        <w:t>שנים</w:t>
      </w:r>
      <w:r>
        <w:rPr>
          <w:rtl/>
        </w:rPr>
        <w:t xml:space="preserve"> שהן ארבע</w:t>
      </w:r>
      <w:r>
        <w:rPr>
          <w:b/>
          <w:bCs/>
          <w:rtl/>
        </w:rPr>
        <w:t>ה</w:t>
      </w:r>
      <w:r>
        <w:rPr>
          <w:rFonts w:hint="cs"/>
          <w:rtl/>
        </w:rPr>
        <w:t>" בלשון זכר רק בראש מסכת נגעים, אך בתחילת מסכת שבועות גרס בלשון נקבה: "</w:t>
      </w:r>
      <w:r>
        <w:rPr>
          <w:rtl/>
        </w:rPr>
        <w:t>שתים שהן ארבע</w:t>
      </w:r>
      <w:r>
        <w:rPr>
          <w:rFonts w:hint="cs"/>
          <w:rtl/>
        </w:rPr>
        <w:t>"</w:t>
      </w:r>
      <w:r>
        <w:rPr>
          <w:rStyle w:val="a4"/>
          <w:rtl/>
        </w:rPr>
        <w:footnoteReference w:id="61"/>
      </w:r>
      <w:r>
        <w:rPr>
          <w:rFonts w:hint="cs"/>
          <w:rtl/>
        </w:rPr>
        <w:t xml:space="preserve">. </w:t>
      </w:r>
      <w:r>
        <w:rPr>
          <w:rFonts w:hint="cs"/>
          <w:rtl/>
        </w:rPr>
        <w:lastRenderedPageBreak/>
        <w:t xml:space="preserve">וכך גרס גם </w:t>
      </w:r>
      <w:r>
        <w:rPr>
          <w:rtl/>
        </w:rPr>
        <w:t>הרא"ש</w:t>
      </w:r>
      <w:r>
        <w:rPr>
          <w:rFonts w:hint="cs"/>
          <w:rtl/>
        </w:rPr>
        <w:t xml:space="preserve"> (תוספות הרא"ש </w:t>
      </w:r>
      <w:r>
        <w:rPr>
          <w:rFonts w:hint="cs"/>
          <w:sz w:val="18"/>
          <w:szCs w:val="20"/>
          <w:rtl/>
        </w:rPr>
        <w:t>שבועות ה, ב ד"ה מראות נגעים</w:t>
      </w:r>
      <w:r>
        <w:rPr>
          <w:rFonts w:hint="cs"/>
          <w:rtl/>
        </w:rPr>
        <w:t>). הרא"ש מנמק מדוע אין לתמוה על חוסר העִקביות, הואיל ו"וכל דבר שאין בו רוח חיים, פעמים נקרא בלשון זכר ופעמים נקרא בלשון נקבה" (</w:t>
      </w:r>
      <w:r>
        <w:rPr>
          <w:rFonts w:hint="cs"/>
          <w:sz w:val="18"/>
          <w:szCs w:val="20"/>
          <w:rtl/>
        </w:rPr>
        <w:t>כלל זה מובא ע"י ה</w:t>
      </w:r>
      <w:r>
        <w:rPr>
          <w:sz w:val="18"/>
          <w:szCs w:val="20"/>
          <w:rtl/>
        </w:rPr>
        <w:t xml:space="preserve">רדב"ז </w:t>
      </w:r>
      <w:r>
        <w:rPr>
          <w:rFonts w:hint="cs"/>
          <w:sz w:val="18"/>
          <w:szCs w:val="20"/>
          <w:rtl/>
        </w:rPr>
        <w:t>שָם גם בשֵם רבינו תם</w:t>
      </w:r>
      <w:r>
        <w:rPr>
          <w:rStyle w:val="a4"/>
          <w:rtl/>
        </w:rPr>
        <w:footnoteReference w:id="62"/>
      </w:r>
      <w:r>
        <w:rPr>
          <w:rFonts w:hint="cs"/>
          <w:sz w:val="18"/>
          <w:szCs w:val="20"/>
          <w:rtl/>
        </w:rPr>
        <w:t xml:space="preserve">, ויש מייחסים כלל </w:t>
      </w:r>
      <w:r>
        <w:rPr>
          <w:rFonts w:hint="cs"/>
          <w:sz w:val="18"/>
          <w:szCs w:val="20"/>
          <w:rtl/>
        </w:rPr>
        <w:lastRenderedPageBreak/>
        <w:t>זה ל</w:t>
      </w:r>
      <w:r>
        <w:rPr>
          <w:rFonts w:ascii="Arial" w:hAnsi="Arial" w:hint="cs"/>
          <w:sz w:val="18"/>
          <w:szCs w:val="20"/>
          <w:rtl/>
        </w:rPr>
        <w:t xml:space="preserve">רבי אברהם </w:t>
      </w:r>
      <w:r>
        <w:rPr>
          <w:rFonts w:ascii="Arial" w:hAnsi="Arial"/>
          <w:sz w:val="18"/>
          <w:szCs w:val="20"/>
          <w:rtl/>
        </w:rPr>
        <w:t>אבן עזרא</w:t>
      </w:r>
      <w:r>
        <w:rPr>
          <w:rStyle w:val="a4"/>
          <w:rtl/>
        </w:rPr>
        <w:footnoteReference w:id="63"/>
      </w:r>
      <w:r>
        <w:rPr>
          <w:rFonts w:hint="cs"/>
          <w:rtl/>
        </w:rPr>
        <w:t>). הרא"ש מוסיף ונותן טעם מדוע דוְקא במסכת נגעים</w:t>
      </w:r>
      <w:r>
        <w:rPr>
          <w:rtl/>
        </w:rPr>
        <w:t xml:space="preserve"> </w:t>
      </w:r>
      <w:r>
        <w:rPr>
          <w:rFonts w:hint="cs"/>
          <w:rtl/>
        </w:rPr>
        <w:t>שָנה רבי בלשון זכר</w:t>
      </w:r>
      <w:r>
        <w:rPr>
          <w:rStyle w:val="a4"/>
          <w:rtl/>
        </w:rPr>
        <w:footnoteReference w:id="64"/>
      </w:r>
      <w:r>
        <w:rPr>
          <w:rFonts w:hint="cs"/>
          <w:rtl/>
        </w:rPr>
        <w:t xml:space="preserve"> אך במסכת שבועות בלשון נקבה (ולא להפך</w:t>
      </w:r>
      <w:r>
        <w:rPr>
          <w:rStyle w:val="a4"/>
          <w:rtl/>
        </w:rPr>
        <w:footnoteReference w:id="65"/>
      </w:r>
      <w:r>
        <w:rPr>
          <w:rFonts w:hint="cs"/>
          <w:rtl/>
        </w:rPr>
        <w:t>), מתוך השוואה סגנונית לַבבות האחרות: "ובמתניתין דהכא נקט שתים - אגב אחריני"</w:t>
      </w:r>
      <w:r>
        <w:rPr>
          <w:rStyle w:val="a4"/>
          <w:rtl/>
        </w:rPr>
        <w:footnoteReference w:id="66"/>
      </w:r>
      <w:r>
        <w:rPr>
          <w:rFonts w:hint="cs"/>
          <w:rtl/>
        </w:rPr>
        <w:t xml:space="preserve">. </w:t>
      </w:r>
    </w:p>
    <w:p w14:paraId="3D25EB3C" w14:textId="77777777" w:rsidR="00940290" w:rsidRDefault="00940290" w:rsidP="00940290">
      <w:pPr>
        <w:ind w:firstLine="284"/>
        <w:rPr>
          <w:rFonts w:hint="cs"/>
          <w:sz w:val="18"/>
          <w:szCs w:val="20"/>
          <w:rtl/>
        </w:rPr>
      </w:pPr>
      <w:r>
        <w:rPr>
          <w:rFonts w:hint="cs"/>
          <w:rtl/>
        </w:rPr>
        <w:t>לסיכום: הבסיס לכל דיון זה הוא ש"יש דין ויש דיין" גם בלשון המשנה, והכל מודים שיש לדקדק בלשונה; אלא שבפרטים מסוימים נחלקו. הראשונים סברו שצורת היחיד של "</w:t>
      </w:r>
      <w:r>
        <w:rPr>
          <w:rtl/>
        </w:rPr>
        <w:t xml:space="preserve">מראות </w:t>
      </w:r>
      <w:r>
        <w:rPr>
          <w:rFonts w:hint="cs"/>
          <w:rtl/>
        </w:rPr>
        <w:t>[</w:t>
      </w:r>
      <w:r>
        <w:rPr>
          <w:rtl/>
        </w:rPr>
        <w:t>נגעים</w:t>
      </w:r>
      <w:r>
        <w:rPr>
          <w:rFonts w:hint="cs"/>
          <w:rtl/>
        </w:rPr>
        <w:t>]" הוא "</w:t>
      </w:r>
      <w:r>
        <w:rPr>
          <w:rtl/>
        </w:rPr>
        <w:t>מַרְאֶה</w:t>
      </w:r>
      <w:r>
        <w:rPr>
          <w:rFonts w:hint="cs"/>
          <w:rtl/>
        </w:rPr>
        <w:t>" ולכן העדיפו את נוסח המשנה בלשון זכר "</w:t>
      </w:r>
      <w:r>
        <w:rPr>
          <w:b/>
          <w:bCs/>
          <w:rtl/>
        </w:rPr>
        <w:t>שנים</w:t>
      </w:r>
      <w:r>
        <w:rPr>
          <w:rtl/>
        </w:rPr>
        <w:t xml:space="preserve"> שהן ארבע</w:t>
      </w:r>
      <w:r>
        <w:rPr>
          <w:b/>
          <w:bCs/>
          <w:rtl/>
        </w:rPr>
        <w:t>ה</w:t>
      </w:r>
      <w:r>
        <w:rPr>
          <w:rFonts w:hint="cs"/>
          <w:rtl/>
        </w:rPr>
        <w:t xml:space="preserve">". </w:t>
      </w:r>
      <w:r>
        <w:rPr>
          <w:rFonts w:hint="cs"/>
          <w:sz w:val="26"/>
          <w:rtl/>
        </w:rPr>
        <w:t>רבי יעקב עמדין</w:t>
      </w:r>
      <w:r>
        <w:rPr>
          <w:rFonts w:hint="cs"/>
          <w:rtl/>
        </w:rPr>
        <w:t xml:space="preserve"> סבר שישנם שני משקלים מקבילים לזכר </w:t>
      </w:r>
      <w:r>
        <w:rPr>
          <w:rFonts w:hint="cs"/>
          <w:rtl/>
        </w:rPr>
        <w:lastRenderedPageBreak/>
        <w:t>ולנקבה, ויש לגרוס במשנה "</w:t>
      </w:r>
      <w:r>
        <w:rPr>
          <w:b/>
          <w:bCs/>
          <w:rtl/>
        </w:rPr>
        <w:t>שתים</w:t>
      </w:r>
      <w:r>
        <w:rPr>
          <w:rtl/>
        </w:rPr>
        <w:t xml:space="preserve"> שהן ארב</w:t>
      </w:r>
      <w:r>
        <w:rPr>
          <w:b/>
          <w:bCs/>
          <w:rtl/>
        </w:rPr>
        <w:t>ע</w:t>
      </w:r>
      <w:r>
        <w:rPr>
          <w:rFonts w:hint="cs"/>
          <w:rtl/>
        </w:rPr>
        <w:t>" בלשון נקבה גם על "</w:t>
      </w:r>
      <w:r>
        <w:rPr>
          <w:rtl/>
        </w:rPr>
        <w:t>מראות</w:t>
      </w:r>
      <w:r>
        <w:rPr>
          <w:rFonts w:hint="cs"/>
          <w:rtl/>
        </w:rPr>
        <w:t xml:space="preserve"> </w:t>
      </w:r>
      <w:r>
        <w:rPr>
          <w:rtl/>
        </w:rPr>
        <w:t>נגעים</w:t>
      </w:r>
      <w:r>
        <w:rPr>
          <w:rFonts w:hint="cs"/>
          <w:rtl/>
        </w:rPr>
        <w:t>", כי צורת היחיד היא "</w:t>
      </w:r>
      <w:r>
        <w:rPr>
          <w:rtl/>
        </w:rPr>
        <w:t>מַרְא</w:t>
      </w:r>
      <w:r>
        <w:rPr>
          <w:rFonts w:hint="cs"/>
          <w:rtl/>
        </w:rPr>
        <w:t>ָ</w:t>
      </w:r>
      <w:r>
        <w:rPr>
          <w:rtl/>
        </w:rPr>
        <w:t>ה</w:t>
      </w:r>
      <w:r>
        <w:rPr>
          <w:rFonts w:hint="cs"/>
          <w:rtl/>
        </w:rPr>
        <w:t>". ואילו ה</w:t>
      </w:r>
      <w:r>
        <w:rPr>
          <w:rtl/>
        </w:rPr>
        <w:t>ר</w:t>
      </w:r>
      <w:r>
        <w:rPr>
          <w:rFonts w:hint="cs"/>
          <w:rtl/>
        </w:rPr>
        <w:t>א</w:t>
      </w:r>
      <w:r>
        <w:rPr>
          <w:rtl/>
        </w:rPr>
        <w:t>"</w:t>
      </w:r>
      <w:r>
        <w:rPr>
          <w:rFonts w:hint="cs"/>
          <w:rtl/>
        </w:rPr>
        <w:t>ש וה</w:t>
      </w:r>
      <w:r>
        <w:rPr>
          <w:rtl/>
        </w:rPr>
        <w:t>רדב"ז</w:t>
      </w:r>
      <w:r>
        <w:rPr>
          <w:rFonts w:hint="cs"/>
          <w:rtl/>
        </w:rPr>
        <w:t xml:space="preserve"> הצדיקו את האפשרות לגרוס במסכת נגעים</w:t>
      </w:r>
      <w:r>
        <w:rPr>
          <w:rtl/>
        </w:rPr>
        <w:t xml:space="preserve"> </w:t>
      </w:r>
      <w:r>
        <w:rPr>
          <w:rFonts w:hint="cs"/>
          <w:rtl/>
        </w:rPr>
        <w:t>"</w:t>
      </w:r>
      <w:r>
        <w:rPr>
          <w:rtl/>
        </w:rPr>
        <w:t>מראות נגעים שנים שהן ארבעה</w:t>
      </w:r>
      <w:r>
        <w:rPr>
          <w:rFonts w:hint="cs"/>
          <w:rtl/>
        </w:rPr>
        <w:t>" ובמסכת שבועות "</w:t>
      </w:r>
      <w:r>
        <w:rPr>
          <w:rtl/>
        </w:rPr>
        <w:t>שתים שהן ארבע</w:t>
      </w:r>
      <w:r>
        <w:rPr>
          <w:rFonts w:hint="cs"/>
          <w:rtl/>
        </w:rPr>
        <w:t>". לפי דרכנו למדנו מי הם העֵדים הנאמנים לקביעת מינו הדקדוקי של שֵם (</w:t>
      </w:r>
      <w:r>
        <w:rPr>
          <w:rFonts w:hint="cs"/>
          <w:sz w:val="18"/>
          <w:szCs w:val="20"/>
          <w:rtl/>
        </w:rPr>
        <w:t>כגון הכינויים והתואר</w:t>
      </w:r>
      <w:r>
        <w:rPr>
          <w:rFonts w:hint="cs"/>
          <w:rtl/>
        </w:rPr>
        <w:t>), ומי לא (</w:t>
      </w:r>
      <w:r>
        <w:rPr>
          <w:rFonts w:hint="cs"/>
          <w:sz w:val="20"/>
          <w:szCs w:val="20"/>
          <w:rtl/>
        </w:rPr>
        <w:t>סיומות הרבים</w:t>
      </w:r>
      <w:r>
        <w:rPr>
          <w:rFonts w:hint="cs"/>
          <w:rtl/>
        </w:rPr>
        <w:t xml:space="preserve">). </w:t>
      </w:r>
      <w:r>
        <w:rPr>
          <w:rFonts w:hint="cs"/>
          <w:sz w:val="18"/>
          <w:szCs w:val="20"/>
          <w:rtl/>
        </w:rPr>
        <w:t>על נושא זה ע"ע להלן ז, ב "חקק בו ד'".</w:t>
      </w:r>
    </w:p>
    <w:p w14:paraId="72BE28EC" w14:textId="77777777" w:rsidR="00940290" w:rsidRPr="00940290" w:rsidRDefault="00940290" w:rsidP="00940290">
      <w:pPr>
        <w:rPr>
          <w:rFonts w:hint="cs"/>
          <w:rtl/>
        </w:rPr>
      </w:pPr>
    </w:p>
    <w:p w14:paraId="0434D48F" w14:textId="77777777" w:rsidR="00940290" w:rsidRDefault="00940290" w:rsidP="00940290">
      <w:pPr>
        <w:pStyle w:val="1"/>
        <w:rPr>
          <w:rFonts w:hint="cs"/>
          <w:rtl/>
          <w:lang w:eastAsia="he-IL"/>
        </w:rPr>
      </w:pPr>
      <w:r>
        <w:rPr>
          <w:rFonts w:hint="cs"/>
          <w:rtl/>
        </w:rPr>
        <w:lastRenderedPageBreak/>
        <w:t>דף ג, ב: "</w:t>
      </w:r>
      <w:r>
        <w:rPr>
          <w:rtl/>
          <w:lang w:eastAsia="he-IL"/>
        </w:rPr>
        <w:t>אמר ליה רבי חייא לרב: בר פחתי!</w:t>
      </w:r>
      <w:r>
        <w:rPr>
          <w:rFonts w:hint="cs"/>
          <w:rtl/>
          <w:lang w:eastAsia="he-IL"/>
        </w:rPr>
        <w:t>"</w:t>
      </w:r>
    </w:p>
    <w:p w14:paraId="79CB17EF" w14:textId="77777777" w:rsidR="00940290" w:rsidRDefault="00940290" w:rsidP="00940290">
      <w:pPr>
        <w:pStyle w:val="2"/>
        <w:rPr>
          <w:rFonts w:hint="cs"/>
          <w:rtl/>
        </w:rPr>
      </w:pPr>
      <w:r>
        <w:rPr>
          <w:rFonts w:hint="cs"/>
          <w:rtl/>
          <w:lang w:eastAsia="he-IL"/>
        </w:rPr>
        <w:t>"</w:t>
      </w:r>
      <w:r>
        <w:rPr>
          <w:rtl/>
          <w:lang w:eastAsia="he-IL"/>
        </w:rPr>
        <w:t>בר פחתי</w:t>
      </w:r>
      <w:r>
        <w:rPr>
          <w:rFonts w:hint="cs"/>
          <w:rtl/>
          <w:lang w:eastAsia="he-IL"/>
        </w:rPr>
        <w:t>",</w:t>
      </w:r>
      <w:r>
        <w:rPr>
          <w:rtl/>
        </w:rPr>
        <w:t xml:space="preserve"> </w:t>
      </w:r>
      <w:r>
        <w:rPr>
          <w:rFonts w:hint="cs"/>
          <w:rtl/>
        </w:rPr>
        <w:t>"</w:t>
      </w:r>
      <w:r>
        <w:rPr>
          <w:rtl/>
        </w:rPr>
        <w:t>בר פאתי</w:t>
      </w:r>
      <w:r>
        <w:rPr>
          <w:rFonts w:hint="cs"/>
          <w:rtl/>
        </w:rPr>
        <w:t>", ו"בריבי"</w:t>
      </w:r>
    </w:p>
    <w:p w14:paraId="7F622F8B" w14:textId="77777777" w:rsidR="00940290" w:rsidRDefault="00940290" w:rsidP="00940290">
      <w:pPr>
        <w:ind w:firstLine="284"/>
        <w:rPr>
          <w:rFonts w:hint="cs"/>
          <w:rtl/>
        </w:rPr>
      </w:pPr>
      <w:r>
        <w:rPr>
          <w:rFonts w:hint="cs"/>
          <w:rtl/>
        </w:rPr>
        <w:t>כינוי הכבוד</w:t>
      </w:r>
      <w:r>
        <w:rPr>
          <w:rStyle w:val="a4"/>
          <w:rtl/>
        </w:rPr>
        <w:footnoteReference w:id="67"/>
      </w:r>
      <w:r>
        <w:rPr>
          <w:rFonts w:hint="cs"/>
          <w:rtl/>
        </w:rPr>
        <w:t xml:space="preserve"> </w:t>
      </w:r>
      <w:r>
        <w:rPr>
          <w:rFonts w:hint="cs"/>
          <w:rtl/>
          <w:lang w:eastAsia="he-IL"/>
        </w:rPr>
        <w:t>"</w:t>
      </w:r>
      <w:r>
        <w:rPr>
          <w:rtl/>
          <w:lang w:eastAsia="he-IL"/>
        </w:rPr>
        <w:t xml:space="preserve">בר </w:t>
      </w:r>
      <w:r>
        <w:rPr>
          <w:rtl/>
        </w:rPr>
        <w:t>פ</w:t>
      </w:r>
      <w:r>
        <w:rPr>
          <w:rFonts w:hint="cs"/>
          <w:rtl/>
        </w:rPr>
        <w:t>ַּ</w:t>
      </w:r>
      <w:r>
        <w:rPr>
          <w:rtl/>
        </w:rPr>
        <w:t>ח</w:t>
      </w:r>
      <w:r>
        <w:rPr>
          <w:rFonts w:hint="cs"/>
          <w:rtl/>
        </w:rPr>
        <w:t>ֲ</w:t>
      </w:r>
      <w:r>
        <w:rPr>
          <w:rtl/>
        </w:rPr>
        <w:t>ת</w:t>
      </w:r>
      <w:r>
        <w:rPr>
          <w:rFonts w:hint="cs"/>
          <w:rtl/>
        </w:rPr>
        <w:t>ֵ</w:t>
      </w:r>
      <w:r>
        <w:rPr>
          <w:rtl/>
        </w:rPr>
        <w:t>י</w:t>
      </w:r>
      <w:r>
        <w:rPr>
          <w:rFonts w:hint="cs"/>
          <w:rtl/>
          <w:lang w:eastAsia="he-IL"/>
        </w:rPr>
        <w:t>"</w:t>
      </w:r>
      <w:r>
        <w:rPr>
          <w:rStyle w:val="a4"/>
          <w:rtl/>
        </w:rPr>
        <w:footnoteReference w:id="68"/>
      </w:r>
      <w:r>
        <w:rPr>
          <w:rFonts w:hint="cs"/>
          <w:rtl/>
          <w:lang w:eastAsia="he-IL"/>
        </w:rPr>
        <w:t xml:space="preserve"> </w:t>
      </w:r>
      <w:r>
        <w:rPr>
          <w:rFonts w:hint="cs"/>
          <w:rtl/>
        </w:rPr>
        <w:t>מופיע בכל התלמוד בחמש הזדמנויות שונות</w:t>
      </w:r>
      <w:r>
        <w:rPr>
          <w:rStyle w:val="a4"/>
          <w:rtl/>
        </w:rPr>
        <w:footnoteReference w:id="69"/>
      </w:r>
      <w:r>
        <w:rPr>
          <w:rFonts w:hint="cs"/>
          <w:rtl/>
        </w:rPr>
        <w:t xml:space="preserve"> אך ורק בפי </w:t>
      </w:r>
      <w:r>
        <w:rPr>
          <w:rtl/>
        </w:rPr>
        <w:t xml:space="preserve">רבי חייא </w:t>
      </w:r>
      <w:r>
        <w:rPr>
          <w:rFonts w:hint="cs"/>
          <w:rtl/>
        </w:rPr>
        <w:t xml:space="preserve">ורק כלפי </w:t>
      </w:r>
      <w:r>
        <w:rPr>
          <w:rtl/>
        </w:rPr>
        <w:t>רב</w:t>
      </w:r>
      <w:r>
        <w:rPr>
          <w:rFonts w:hint="cs"/>
          <w:rtl/>
        </w:rPr>
        <w:t xml:space="preserve">, שהיה </w:t>
      </w:r>
      <w:r>
        <w:rPr>
          <w:rtl/>
        </w:rPr>
        <w:t xml:space="preserve">בן </w:t>
      </w:r>
      <w:r>
        <w:rPr>
          <w:rFonts w:hint="cs"/>
          <w:rtl/>
        </w:rPr>
        <w:t xml:space="preserve">אחיו מאביו </w:t>
      </w:r>
      <w:r>
        <w:rPr>
          <w:rFonts w:hint="cs"/>
          <w:rtl/>
        </w:rPr>
        <w:lastRenderedPageBreak/>
        <w:t xml:space="preserve">ובן </w:t>
      </w:r>
      <w:r>
        <w:rPr>
          <w:rtl/>
        </w:rPr>
        <w:t>אחות</w:t>
      </w:r>
      <w:r>
        <w:rPr>
          <w:rFonts w:hint="cs"/>
          <w:rtl/>
        </w:rPr>
        <w:t>ו מאִמו</w:t>
      </w:r>
      <w:r>
        <w:rPr>
          <w:rStyle w:val="a4"/>
          <w:rtl/>
        </w:rPr>
        <w:footnoteReference w:id="70"/>
      </w:r>
      <w:r>
        <w:rPr>
          <w:rFonts w:hint="cs"/>
          <w:rtl/>
        </w:rPr>
        <w:t>. לכינוי זה שני נוסחים שונים, אך פירושם זהה, כפי שמוסר לנו רב נטרונאי, גאון סורא</w:t>
      </w:r>
      <w:r>
        <w:rPr>
          <w:rStyle w:val="a4"/>
          <w:rtl/>
        </w:rPr>
        <w:footnoteReference w:id="71"/>
      </w:r>
      <w:r>
        <w:rPr>
          <w:rFonts w:hint="cs"/>
          <w:rtl/>
        </w:rPr>
        <w:t xml:space="preserve">: </w:t>
      </w:r>
    </w:p>
    <w:p w14:paraId="74C6F449" w14:textId="77777777" w:rsidR="00940290" w:rsidRDefault="00940290" w:rsidP="00940290">
      <w:pPr>
        <w:pStyle w:val="a7"/>
        <w:rPr>
          <w:rFonts w:hint="cs"/>
          <w:rtl/>
        </w:rPr>
      </w:pPr>
      <w:r>
        <w:rPr>
          <w:rFonts w:hint="cs"/>
          <w:rtl/>
        </w:rPr>
        <w:t>"</w:t>
      </w:r>
      <w:r>
        <w:rPr>
          <w:rtl/>
        </w:rPr>
        <w:t xml:space="preserve">בר פחתי </w:t>
      </w:r>
      <w:r>
        <w:rPr>
          <w:rFonts w:hint="cs"/>
          <w:rtl/>
        </w:rPr>
        <w:t xml:space="preserve">- </w:t>
      </w:r>
      <w:r>
        <w:rPr>
          <w:rtl/>
        </w:rPr>
        <w:t>בר רברבני</w:t>
      </w:r>
      <w:r>
        <w:rPr>
          <w:rStyle w:val="a4"/>
          <w:rtl/>
        </w:rPr>
        <w:footnoteReference w:id="72"/>
      </w:r>
      <w:r>
        <w:rPr>
          <w:rtl/>
        </w:rPr>
        <w:t>, דכתיב</w:t>
      </w:r>
      <w:r>
        <w:rPr>
          <w:rFonts w:hint="cs"/>
          <w:rtl/>
        </w:rPr>
        <w:t>:</w:t>
      </w:r>
      <w:r>
        <w:rPr>
          <w:rtl/>
        </w:rPr>
        <w:t xml:space="preserve"> </w:t>
      </w:r>
      <w:r>
        <w:rPr>
          <w:rFonts w:hint="cs"/>
          <w:rtl/>
        </w:rPr>
        <w:t>'</w:t>
      </w:r>
      <w:r>
        <w:rPr>
          <w:rtl/>
        </w:rPr>
        <w:t>וְהַפַּחוֹת</w:t>
      </w:r>
      <w:r>
        <w:rPr>
          <w:rFonts w:hint="cs"/>
          <w:rtl/>
        </w:rPr>
        <w:t xml:space="preserve"> </w:t>
      </w:r>
      <w:r>
        <w:rPr>
          <w:rtl/>
        </w:rPr>
        <w:t>הָרִאשֹׁנִים</w:t>
      </w:r>
      <w:r>
        <w:rPr>
          <w:rFonts w:hint="cs"/>
          <w:rtl/>
        </w:rPr>
        <w:t xml:space="preserve">' </w:t>
      </w:r>
      <w:r>
        <w:rPr>
          <w:rtl/>
        </w:rPr>
        <w:t>(</w:t>
      </w:r>
      <w:r>
        <w:rPr>
          <w:sz w:val="18"/>
          <w:szCs w:val="20"/>
          <w:rtl/>
        </w:rPr>
        <w:t>נחמיה ה, טו</w:t>
      </w:r>
      <w:r>
        <w:rPr>
          <w:rtl/>
        </w:rPr>
        <w:t>). ואית רבנן</w:t>
      </w:r>
      <w:r>
        <w:rPr>
          <w:rStyle w:val="a4"/>
          <w:rtl/>
        </w:rPr>
        <w:footnoteReference w:id="73"/>
      </w:r>
      <w:r>
        <w:rPr>
          <w:rtl/>
        </w:rPr>
        <w:t xml:space="preserve"> דגרסין בר פאתי, והם בר רברבני הו</w:t>
      </w:r>
      <w:r>
        <w:rPr>
          <w:rStyle w:val="a4"/>
          <w:rtl/>
        </w:rPr>
        <w:footnoteReference w:id="74"/>
      </w:r>
      <w:r>
        <w:rPr>
          <w:rtl/>
        </w:rPr>
        <w:t>, דכתיב</w:t>
      </w:r>
      <w:r>
        <w:rPr>
          <w:rStyle w:val="a4"/>
          <w:rtl/>
        </w:rPr>
        <w:footnoteReference w:id="75"/>
      </w:r>
      <w:r>
        <w:rPr>
          <w:rFonts w:hint="cs"/>
          <w:rtl/>
        </w:rPr>
        <w:t>:</w:t>
      </w:r>
      <w:r>
        <w:rPr>
          <w:rtl/>
        </w:rPr>
        <w:t xml:space="preserve"> </w:t>
      </w:r>
      <w:r>
        <w:rPr>
          <w:rFonts w:hint="cs"/>
          <w:rtl/>
        </w:rPr>
        <w:t>'</w:t>
      </w:r>
      <w:r>
        <w:rPr>
          <w:rtl/>
        </w:rPr>
        <w:t>מחץ פתי מואב</w:t>
      </w:r>
      <w:r>
        <w:rPr>
          <w:rFonts w:hint="cs"/>
          <w:rtl/>
        </w:rPr>
        <w:t xml:space="preserve">' </w:t>
      </w:r>
      <w:r>
        <w:rPr>
          <w:rtl/>
        </w:rPr>
        <w:t>(</w:t>
      </w:r>
      <w:r>
        <w:rPr>
          <w:sz w:val="18"/>
          <w:szCs w:val="20"/>
          <w:rtl/>
        </w:rPr>
        <w:t>במדבר כד, יז</w:t>
      </w:r>
      <w:r>
        <w:rPr>
          <w:rtl/>
        </w:rPr>
        <w:t>)</w:t>
      </w:r>
      <w:r>
        <w:rPr>
          <w:rFonts w:hint="cs"/>
          <w:rtl/>
        </w:rPr>
        <w:t>"</w:t>
      </w:r>
      <w:r>
        <w:rPr>
          <w:rtl/>
        </w:rPr>
        <w:t>.</w:t>
      </w:r>
      <w:r>
        <w:rPr>
          <w:rFonts w:hint="cs"/>
          <w:rtl/>
        </w:rPr>
        <w:t xml:space="preserve"> </w:t>
      </w:r>
    </w:p>
    <w:p w14:paraId="0F967A0D" w14:textId="77777777" w:rsidR="00940290" w:rsidRDefault="00940290" w:rsidP="00940290">
      <w:pPr>
        <w:ind w:firstLine="284"/>
        <w:rPr>
          <w:rFonts w:ascii="Arial" w:hAnsi="Arial" w:hint="cs"/>
          <w:rtl/>
        </w:rPr>
      </w:pPr>
      <w:r>
        <w:rPr>
          <w:rFonts w:ascii="Arial" w:hAnsi="Arial" w:hint="cs"/>
          <w:rtl/>
        </w:rPr>
        <w:lastRenderedPageBreak/>
        <w:t>יתכן ששתי גרסאות אלו מקורן בלשונו של ר' חייא הבבלי עצמו, אשר התקשה בהיגוי האות הגרונית ח'</w:t>
      </w:r>
      <w:r>
        <w:rPr>
          <w:rStyle w:val="a4"/>
          <w:rtl/>
        </w:rPr>
        <w:footnoteReference w:id="76"/>
      </w:r>
      <w:r>
        <w:rPr>
          <w:rFonts w:ascii="Arial" w:hAnsi="Arial" w:hint="cs"/>
          <w:rtl/>
        </w:rPr>
        <w:t xml:space="preserve">, ואולי שמעוהו אומר לפעמים "פאתי" ולפעמים "פחתי". </w:t>
      </w:r>
    </w:p>
    <w:p w14:paraId="1AD4FCFF" w14:textId="77777777" w:rsidR="00940290" w:rsidRDefault="00940290" w:rsidP="00940290">
      <w:pPr>
        <w:ind w:firstLine="284"/>
        <w:rPr>
          <w:rFonts w:hint="cs"/>
          <w:rtl/>
        </w:rPr>
      </w:pPr>
      <w:r>
        <w:rPr>
          <w:rFonts w:hint="cs"/>
          <w:rtl/>
        </w:rPr>
        <w:t>בשתי הפעמים שמופיע כינוי זה ב</w:t>
      </w:r>
      <w:r>
        <w:rPr>
          <w:rtl/>
        </w:rPr>
        <w:t>מסכת שבת</w:t>
      </w:r>
      <w:r>
        <w:rPr>
          <w:rFonts w:hint="cs"/>
          <w:rtl/>
        </w:rPr>
        <w:t>,</w:t>
      </w:r>
      <w:r>
        <w:rPr>
          <w:rtl/>
        </w:rPr>
        <w:t xml:space="preserve"> </w:t>
      </w:r>
      <w:r>
        <w:rPr>
          <w:rFonts w:hint="cs"/>
          <w:rtl/>
        </w:rPr>
        <w:t xml:space="preserve">מפרש </w:t>
      </w:r>
      <w:r>
        <w:rPr>
          <w:rtl/>
        </w:rPr>
        <w:t>רש"י</w:t>
      </w:r>
      <w:r>
        <w:rPr>
          <w:rFonts w:hint="cs"/>
          <w:rtl/>
        </w:rPr>
        <w:t>:</w:t>
      </w:r>
      <w:r>
        <w:rPr>
          <w:rtl/>
        </w:rPr>
        <w:t xml:space="preserve"> </w:t>
      </w:r>
      <w:r>
        <w:rPr>
          <w:rFonts w:hint="cs"/>
          <w:rtl/>
        </w:rPr>
        <w:t>"</w:t>
      </w:r>
      <w:r>
        <w:rPr>
          <w:rtl/>
        </w:rPr>
        <w:t>בן גדולים</w:t>
      </w:r>
      <w:r>
        <w:rPr>
          <w:rFonts w:hint="cs"/>
          <w:rtl/>
        </w:rPr>
        <w:t>"</w:t>
      </w:r>
      <w:r>
        <w:rPr>
          <w:rStyle w:val="a4"/>
          <w:rtl/>
        </w:rPr>
        <w:footnoteReference w:id="77"/>
      </w:r>
      <w:r>
        <w:rPr>
          <w:rFonts w:hint="cs"/>
          <w:rtl/>
        </w:rPr>
        <w:t>, והעיר כאן רעק"א בגליון הש"ס: "מלשון הכתוב '</w:t>
      </w:r>
      <w:r>
        <w:rPr>
          <w:rtl/>
        </w:rPr>
        <w:t>זְרֻבָּבֶל</w:t>
      </w:r>
      <w:r>
        <w:rPr>
          <w:rFonts w:hint="cs"/>
          <w:rtl/>
        </w:rPr>
        <w:t xml:space="preserve"> </w:t>
      </w:r>
      <w:r>
        <w:rPr>
          <w:rtl/>
        </w:rPr>
        <w:t>פַּחַת</w:t>
      </w:r>
      <w:r>
        <w:rPr>
          <w:rFonts w:hint="cs"/>
          <w:rtl/>
        </w:rPr>
        <w:t xml:space="preserve"> </w:t>
      </w:r>
      <w:r>
        <w:rPr>
          <w:rtl/>
        </w:rPr>
        <w:t>יְהוּדָה</w:t>
      </w:r>
      <w:r>
        <w:rPr>
          <w:rFonts w:hint="cs"/>
          <w:rtl/>
        </w:rPr>
        <w:t>' (</w:t>
      </w:r>
      <w:r>
        <w:rPr>
          <w:sz w:val="18"/>
          <w:szCs w:val="20"/>
          <w:rtl/>
        </w:rPr>
        <w:t>חגי ב</w:t>
      </w:r>
      <w:r>
        <w:rPr>
          <w:rFonts w:hint="cs"/>
          <w:sz w:val="18"/>
          <w:szCs w:val="20"/>
          <w:rtl/>
        </w:rPr>
        <w:t xml:space="preserve">, </w:t>
      </w:r>
      <w:r>
        <w:rPr>
          <w:sz w:val="18"/>
          <w:szCs w:val="20"/>
          <w:rtl/>
        </w:rPr>
        <w:t>כא</w:t>
      </w:r>
      <w:r>
        <w:rPr>
          <w:rFonts w:hint="cs"/>
          <w:rtl/>
        </w:rPr>
        <w:t>), ומלשון המשנה</w:t>
      </w:r>
      <w:r>
        <w:rPr>
          <w:rtl/>
        </w:rPr>
        <w:t xml:space="preserve"> </w:t>
      </w:r>
      <w:r>
        <w:rPr>
          <w:rFonts w:hint="cs"/>
          <w:rtl/>
        </w:rPr>
        <w:t>(</w:t>
      </w:r>
      <w:r>
        <w:rPr>
          <w:sz w:val="18"/>
          <w:szCs w:val="20"/>
          <w:rtl/>
        </w:rPr>
        <w:t>ביכורים פ</w:t>
      </w:r>
      <w:r>
        <w:rPr>
          <w:rFonts w:hint="cs"/>
          <w:sz w:val="18"/>
          <w:szCs w:val="20"/>
          <w:rtl/>
        </w:rPr>
        <w:t>"</w:t>
      </w:r>
      <w:r>
        <w:rPr>
          <w:sz w:val="18"/>
          <w:szCs w:val="20"/>
          <w:rtl/>
        </w:rPr>
        <w:t>ג מ</w:t>
      </w:r>
      <w:r>
        <w:rPr>
          <w:rFonts w:hint="cs"/>
          <w:sz w:val="18"/>
          <w:szCs w:val="20"/>
          <w:rtl/>
        </w:rPr>
        <w:t>"</w:t>
      </w:r>
      <w:r>
        <w:rPr>
          <w:sz w:val="18"/>
          <w:szCs w:val="20"/>
          <w:rtl/>
        </w:rPr>
        <w:t>ג</w:t>
      </w:r>
      <w:r>
        <w:rPr>
          <w:rFonts w:hint="cs"/>
          <w:rtl/>
        </w:rPr>
        <w:t>) 'ה</w:t>
      </w:r>
      <w:r>
        <w:rPr>
          <w:rtl/>
        </w:rPr>
        <w:t>פַּחוֹת ו</w:t>
      </w:r>
      <w:r>
        <w:rPr>
          <w:rFonts w:hint="cs"/>
          <w:rtl/>
        </w:rPr>
        <w:t>ה</w:t>
      </w:r>
      <w:r>
        <w:rPr>
          <w:rtl/>
        </w:rPr>
        <w:t>סְגָנִים</w:t>
      </w:r>
      <w:r>
        <w:rPr>
          <w:rFonts w:hint="cs"/>
          <w:rtl/>
        </w:rPr>
        <w:t>'</w:t>
      </w:r>
      <w:r>
        <w:rPr>
          <w:rStyle w:val="a4"/>
          <w:rtl/>
        </w:rPr>
        <w:footnoteReference w:id="78"/>
      </w:r>
      <w:r>
        <w:rPr>
          <w:rFonts w:hint="cs"/>
          <w:rtl/>
        </w:rPr>
        <w:t>".</w:t>
      </w:r>
    </w:p>
    <w:p w14:paraId="77FA85EB" w14:textId="77777777" w:rsidR="00940290" w:rsidRDefault="00940290" w:rsidP="00940290">
      <w:pPr>
        <w:ind w:firstLine="284"/>
        <w:rPr>
          <w:rFonts w:ascii="Arial" w:hAnsi="Arial" w:hint="cs"/>
          <w:rtl/>
        </w:rPr>
      </w:pPr>
      <w:r>
        <w:rPr>
          <w:rFonts w:ascii="Arial" w:hAnsi="Arial" w:hint="cs"/>
          <w:rtl/>
        </w:rPr>
        <w:lastRenderedPageBreak/>
        <w:t>המִלה "</w:t>
      </w:r>
      <w:r>
        <w:rPr>
          <w:rFonts w:ascii="Arial" w:hAnsi="Arial"/>
          <w:rtl/>
        </w:rPr>
        <w:t>פֶּחָה</w:t>
      </w:r>
      <w:r>
        <w:rPr>
          <w:rFonts w:ascii="Arial" w:hAnsi="Arial" w:hint="cs"/>
          <w:rtl/>
        </w:rPr>
        <w:t>"</w:t>
      </w:r>
      <w:r>
        <w:rPr>
          <w:rStyle w:val="a4"/>
          <w:rtl/>
        </w:rPr>
        <w:footnoteReference w:id="79"/>
      </w:r>
      <w:r>
        <w:rPr>
          <w:rFonts w:ascii="Arial" w:hAnsi="Arial" w:hint="cs"/>
          <w:rtl/>
        </w:rPr>
        <w:t xml:space="preserve"> (וברבים: "</w:t>
      </w:r>
      <w:r>
        <w:rPr>
          <w:rFonts w:ascii="Arial" w:hAnsi="Arial"/>
          <w:rtl/>
        </w:rPr>
        <w:t>פַּחוֹת</w:t>
      </w:r>
      <w:r>
        <w:rPr>
          <w:rFonts w:ascii="Arial" w:hAnsi="Arial" w:hint="cs"/>
          <w:rtl/>
        </w:rPr>
        <w:t>"</w:t>
      </w:r>
      <w:r>
        <w:rPr>
          <w:rStyle w:val="a4"/>
          <w:rtl/>
        </w:rPr>
        <w:footnoteReference w:id="80"/>
      </w:r>
      <w:r>
        <w:rPr>
          <w:rFonts w:ascii="Arial" w:hAnsi="Arial" w:hint="cs"/>
          <w:rtl/>
        </w:rPr>
        <w:t>) מופיעה בנביאים ובכתובים הן בעברית והן בארמית</w:t>
      </w:r>
      <w:r>
        <w:rPr>
          <w:rStyle w:val="a4"/>
          <w:rtl/>
        </w:rPr>
        <w:footnoteReference w:id="81"/>
      </w:r>
      <w:r>
        <w:rPr>
          <w:rFonts w:ascii="Arial" w:hAnsi="Arial" w:hint="cs"/>
          <w:rtl/>
        </w:rPr>
        <w:t xml:space="preserve"> (ומקורה כנראה מהלשון האשורית</w:t>
      </w:r>
      <w:r>
        <w:rPr>
          <w:rStyle w:val="a4"/>
          <w:rtl/>
        </w:rPr>
        <w:footnoteReference w:id="82"/>
      </w:r>
      <w:r>
        <w:rPr>
          <w:rFonts w:ascii="Arial" w:hAnsi="Arial" w:hint="cs"/>
          <w:rtl/>
        </w:rPr>
        <w:t>). מִלה זו שגורה גם בפִתגם, שמקורו בדברי אחרון הנביאים: "</w:t>
      </w:r>
      <w:r>
        <w:rPr>
          <w:rFonts w:ascii="Arial" w:hAnsi="Arial"/>
          <w:rtl/>
        </w:rPr>
        <w:t>הַקְרִיבֵהוּ נָא לְ</w:t>
      </w:r>
      <w:r>
        <w:rPr>
          <w:rFonts w:ascii="Arial" w:hAnsi="Arial"/>
          <w:b/>
          <w:bCs/>
          <w:rtl/>
        </w:rPr>
        <w:t>פֶחָתֶךָ</w:t>
      </w:r>
      <w:r>
        <w:rPr>
          <w:rFonts w:ascii="Arial" w:hAnsi="Arial" w:hint="cs"/>
          <w:rtl/>
        </w:rPr>
        <w:t xml:space="preserve">! </w:t>
      </w:r>
      <w:r>
        <w:rPr>
          <w:rFonts w:ascii="Arial" w:hAnsi="Arial"/>
          <w:rtl/>
        </w:rPr>
        <w:t>הֲיִרְצְךָ</w:t>
      </w:r>
      <w:r>
        <w:rPr>
          <w:rFonts w:ascii="Arial" w:hAnsi="Arial" w:hint="cs"/>
          <w:rtl/>
        </w:rPr>
        <w:t>?!</w:t>
      </w:r>
      <w:r>
        <w:rPr>
          <w:rFonts w:ascii="Arial" w:hAnsi="Arial"/>
          <w:rtl/>
        </w:rPr>
        <w:t xml:space="preserve"> אוֹ הֲיִשָּׂא פָנֶיךָ</w:t>
      </w:r>
      <w:r>
        <w:rPr>
          <w:rFonts w:ascii="Arial" w:hAnsi="Arial" w:hint="cs"/>
          <w:rtl/>
        </w:rPr>
        <w:t>?!" (</w:t>
      </w:r>
      <w:r>
        <w:rPr>
          <w:rFonts w:ascii="Arial" w:hAnsi="Arial"/>
          <w:sz w:val="18"/>
          <w:szCs w:val="20"/>
          <w:rtl/>
        </w:rPr>
        <w:t xml:space="preserve">מלאכי </w:t>
      </w:r>
      <w:r>
        <w:rPr>
          <w:rFonts w:ascii="Arial" w:hAnsi="Arial"/>
          <w:szCs w:val="20"/>
          <w:rtl/>
        </w:rPr>
        <w:t>א</w:t>
      </w:r>
      <w:r>
        <w:rPr>
          <w:rFonts w:ascii="Arial" w:hAnsi="Arial" w:hint="cs"/>
          <w:szCs w:val="20"/>
          <w:rtl/>
        </w:rPr>
        <w:t xml:space="preserve">, </w:t>
      </w:r>
      <w:r>
        <w:rPr>
          <w:rFonts w:ascii="Arial" w:hAnsi="Arial"/>
          <w:sz w:val="18"/>
          <w:szCs w:val="20"/>
          <w:rtl/>
        </w:rPr>
        <w:t>ח</w:t>
      </w:r>
      <w:r>
        <w:rPr>
          <w:rFonts w:ascii="Arial" w:hAnsi="Arial" w:hint="cs"/>
          <w:sz w:val="18"/>
          <w:szCs w:val="20"/>
          <w:rtl/>
        </w:rPr>
        <w:t>; וראה ביאור נחמד על כך ב</w:t>
      </w:r>
      <w:r>
        <w:rPr>
          <w:rFonts w:ascii="Arial" w:hAnsi="Arial"/>
          <w:sz w:val="18"/>
          <w:szCs w:val="20"/>
          <w:rtl/>
        </w:rPr>
        <w:t>שו"ת חתם סופר ח</w:t>
      </w:r>
      <w:r>
        <w:rPr>
          <w:rFonts w:ascii="Arial" w:hAnsi="Arial" w:hint="cs"/>
          <w:sz w:val="18"/>
          <w:szCs w:val="20"/>
          <w:rtl/>
        </w:rPr>
        <w:t>"</w:t>
      </w:r>
      <w:r>
        <w:rPr>
          <w:rFonts w:ascii="Arial" w:hAnsi="Arial"/>
          <w:sz w:val="18"/>
          <w:szCs w:val="20"/>
          <w:rtl/>
        </w:rPr>
        <w:t>ה</w:t>
      </w:r>
      <w:r>
        <w:rPr>
          <w:rFonts w:ascii="Arial" w:hAnsi="Arial" w:hint="cs"/>
          <w:sz w:val="18"/>
          <w:szCs w:val="20"/>
          <w:rtl/>
        </w:rPr>
        <w:t xml:space="preserve">, </w:t>
      </w:r>
      <w:r>
        <w:rPr>
          <w:rFonts w:ascii="Arial" w:hAnsi="Arial"/>
          <w:sz w:val="18"/>
          <w:szCs w:val="20"/>
          <w:rtl/>
        </w:rPr>
        <w:t>חו"מ</w:t>
      </w:r>
      <w:r>
        <w:rPr>
          <w:rFonts w:ascii="Arial" w:hAnsi="Arial" w:hint="cs"/>
          <w:sz w:val="18"/>
          <w:szCs w:val="20"/>
          <w:rtl/>
        </w:rPr>
        <w:t>,</w:t>
      </w:r>
      <w:r>
        <w:rPr>
          <w:rFonts w:ascii="Arial" w:hAnsi="Arial"/>
          <w:sz w:val="18"/>
          <w:szCs w:val="20"/>
          <w:rtl/>
        </w:rPr>
        <w:t xml:space="preserve"> </w:t>
      </w:r>
      <w:r>
        <w:rPr>
          <w:rFonts w:ascii="Arial" w:hAnsi="Arial" w:hint="cs"/>
          <w:sz w:val="18"/>
          <w:szCs w:val="20"/>
          <w:rtl/>
        </w:rPr>
        <w:t>סו"</w:t>
      </w:r>
      <w:r>
        <w:rPr>
          <w:rFonts w:ascii="Arial" w:hAnsi="Arial"/>
          <w:sz w:val="18"/>
          <w:szCs w:val="20"/>
          <w:rtl/>
        </w:rPr>
        <w:t>ס</w:t>
      </w:r>
      <w:r>
        <w:rPr>
          <w:rFonts w:ascii="Arial" w:hAnsi="Arial" w:hint="cs"/>
          <w:sz w:val="18"/>
          <w:szCs w:val="20"/>
          <w:rtl/>
        </w:rPr>
        <w:t xml:space="preserve"> </w:t>
      </w:r>
      <w:r>
        <w:rPr>
          <w:rFonts w:ascii="Arial" w:hAnsi="Arial"/>
          <w:sz w:val="18"/>
          <w:szCs w:val="20"/>
          <w:rtl/>
        </w:rPr>
        <w:t>קפ</w:t>
      </w:r>
      <w:r>
        <w:rPr>
          <w:rFonts w:ascii="Arial" w:hAnsi="Arial" w:hint="cs"/>
          <w:sz w:val="18"/>
          <w:szCs w:val="20"/>
          <w:rtl/>
        </w:rPr>
        <w:t>"</w:t>
      </w:r>
      <w:r>
        <w:rPr>
          <w:rFonts w:ascii="Arial" w:hAnsi="Arial"/>
          <w:sz w:val="18"/>
          <w:szCs w:val="20"/>
          <w:rtl/>
        </w:rPr>
        <w:t>ב</w:t>
      </w:r>
      <w:r>
        <w:rPr>
          <w:rFonts w:ascii="Arial" w:hAnsi="Arial" w:hint="cs"/>
          <w:rtl/>
        </w:rPr>
        <w:t>). רד"ק: "</w:t>
      </w:r>
      <w:r>
        <w:rPr>
          <w:rFonts w:ascii="Arial" w:hAnsi="Arial"/>
          <w:rtl/>
        </w:rPr>
        <w:t>פֶחתך</w:t>
      </w:r>
      <w:r>
        <w:rPr>
          <w:rFonts w:ascii="Arial" w:hAnsi="Arial" w:hint="cs"/>
          <w:rtl/>
        </w:rPr>
        <w:t xml:space="preserve"> -</w:t>
      </w:r>
      <w:r>
        <w:rPr>
          <w:rFonts w:ascii="Arial" w:hAnsi="Arial"/>
          <w:rtl/>
        </w:rPr>
        <w:t xml:space="preserve"> מן </w:t>
      </w:r>
      <w:r>
        <w:rPr>
          <w:rFonts w:ascii="Arial" w:hAnsi="Arial" w:hint="cs"/>
          <w:rtl/>
        </w:rPr>
        <w:t>'</w:t>
      </w:r>
      <w:r>
        <w:rPr>
          <w:rFonts w:ascii="Arial" w:hAnsi="Arial"/>
          <w:rtl/>
        </w:rPr>
        <w:t xml:space="preserve">פַּחַת </w:t>
      </w:r>
      <w:r>
        <w:rPr>
          <w:rFonts w:ascii="Arial" w:hAnsi="Arial"/>
          <w:rtl/>
        </w:rPr>
        <w:lastRenderedPageBreak/>
        <w:t>יְהוּדָה</w:t>
      </w:r>
      <w:r>
        <w:rPr>
          <w:rFonts w:ascii="Arial" w:hAnsi="Arial" w:hint="cs"/>
          <w:rtl/>
        </w:rPr>
        <w:t>' (</w:t>
      </w:r>
      <w:r>
        <w:rPr>
          <w:rFonts w:ascii="Arial" w:hAnsi="Arial"/>
          <w:sz w:val="18"/>
          <w:szCs w:val="20"/>
          <w:rtl/>
        </w:rPr>
        <w:t>חגי א</w:t>
      </w:r>
      <w:r>
        <w:rPr>
          <w:rFonts w:ascii="Arial" w:hAnsi="Arial" w:hint="cs"/>
          <w:sz w:val="18"/>
          <w:szCs w:val="20"/>
          <w:rtl/>
        </w:rPr>
        <w:t xml:space="preserve">, </w:t>
      </w:r>
      <w:r>
        <w:rPr>
          <w:rFonts w:ascii="Arial" w:hAnsi="Arial"/>
          <w:sz w:val="18"/>
          <w:szCs w:val="20"/>
          <w:rtl/>
        </w:rPr>
        <w:t>א</w:t>
      </w:r>
      <w:r>
        <w:rPr>
          <w:rStyle w:val="a4"/>
          <w:szCs w:val="20"/>
          <w:rtl/>
        </w:rPr>
        <w:footnoteReference w:id="83"/>
      </w:r>
      <w:r>
        <w:rPr>
          <w:rFonts w:ascii="Arial" w:hAnsi="Arial" w:hint="cs"/>
          <w:rtl/>
        </w:rPr>
        <w:t xml:space="preserve">), </w:t>
      </w:r>
      <w:r>
        <w:rPr>
          <w:rFonts w:ascii="Arial" w:hAnsi="Arial"/>
          <w:rtl/>
        </w:rPr>
        <w:t>וסגול הפ"א</w:t>
      </w:r>
      <w:r>
        <w:rPr>
          <w:rFonts w:ascii="Arial" w:hAnsi="Arial" w:hint="cs"/>
          <w:rtl/>
        </w:rPr>
        <w:t xml:space="preserve"> -</w:t>
      </w:r>
      <w:r>
        <w:rPr>
          <w:rFonts w:ascii="Arial" w:hAnsi="Arial"/>
          <w:rtl/>
        </w:rPr>
        <w:t xml:space="preserve"> תחת פתח גדול</w:t>
      </w:r>
      <w:r>
        <w:rPr>
          <w:rStyle w:val="a4"/>
          <w:rtl/>
        </w:rPr>
        <w:footnoteReference w:id="84"/>
      </w:r>
      <w:r>
        <w:rPr>
          <w:rFonts w:ascii="Arial" w:hAnsi="Arial" w:hint="cs"/>
          <w:rtl/>
        </w:rPr>
        <w:t>;</w:t>
      </w:r>
      <w:r>
        <w:rPr>
          <w:rFonts w:ascii="Arial" w:hAnsi="Arial"/>
          <w:rtl/>
        </w:rPr>
        <w:t xml:space="preserve"> והוא המושל והשלטון</w:t>
      </w:r>
      <w:r>
        <w:rPr>
          <w:rStyle w:val="a4"/>
          <w:rtl/>
        </w:rPr>
        <w:footnoteReference w:id="85"/>
      </w:r>
      <w:r>
        <w:rPr>
          <w:rFonts w:ascii="Arial" w:hAnsi="Arial" w:hint="cs"/>
          <w:rtl/>
        </w:rPr>
        <w:t>,</w:t>
      </w:r>
      <w:r>
        <w:rPr>
          <w:rFonts w:ascii="Arial" w:hAnsi="Arial"/>
          <w:rtl/>
        </w:rPr>
        <w:t xml:space="preserve"> כתרגום</w:t>
      </w:r>
      <w:r>
        <w:rPr>
          <w:rStyle w:val="a4"/>
          <w:rtl/>
        </w:rPr>
        <w:footnoteReference w:id="86"/>
      </w:r>
      <w:r>
        <w:rPr>
          <w:rFonts w:ascii="Arial" w:hAnsi="Arial" w:hint="cs"/>
          <w:rtl/>
        </w:rPr>
        <w:t xml:space="preserve"> </w:t>
      </w:r>
      <w:r>
        <w:rPr>
          <w:rFonts w:ascii="Arial" w:hAnsi="Arial"/>
          <w:rtl/>
        </w:rPr>
        <w:t>שלטונך</w:t>
      </w:r>
      <w:r>
        <w:rPr>
          <w:rFonts w:ascii="Arial" w:hAnsi="Arial" w:hint="cs"/>
          <w:rtl/>
        </w:rPr>
        <w:t>".</w:t>
      </w:r>
    </w:p>
    <w:p w14:paraId="60F08CEB" w14:textId="77777777" w:rsidR="00940290" w:rsidRDefault="00940290" w:rsidP="00940290">
      <w:pPr>
        <w:ind w:firstLine="284"/>
        <w:rPr>
          <w:rFonts w:hint="cs"/>
          <w:rtl/>
        </w:rPr>
      </w:pPr>
      <w:r>
        <w:rPr>
          <w:rFonts w:hint="cs"/>
          <w:rtl/>
        </w:rPr>
        <w:t>בלשון חז"ל חדלו כמעט</w:t>
      </w:r>
      <w:r>
        <w:rPr>
          <w:rStyle w:val="a4"/>
          <w:rtl/>
        </w:rPr>
        <w:footnoteReference w:id="87"/>
      </w:r>
      <w:r>
        <w:rPr>
          <w:rFonts w:hint="cs"/>
          <w:rtl/>
        </w:rPr>
        <w:t xml:space="preserve"> משימוש במִלה "</w:t>
      </w:r>
      <w:r>
        <w:rPr>
          <w:rtl/>
        </w:rPr>
        <w:t>פֶּחָה</w:t>
      </w:r>
      <w:r>
        <w:rPr>
          <w:rFonts w:hint="cs"/>
          <w:rtl/>
        </w:rPr>
        <w:t>", אך היא חזרה ונעורה בלשון העברית בתקופת הראשונים (</w:t>
      </w:r>
      <w:r>
        <w:rPr>
          <w:rFonts w:hint="cs"/>
          <w:sz w:val="18"/>
          <w:szCs w:val="20"/>
          <w:rtl/>
        </w:rPr>
        <w:t xml:space="preserve">כגון: </w:t>
      </w:r>
      <w:r>
        <w:rPr>
          <w:sz w:val="18"/>
          <w:szCs w:val="20"/>
          <w:rtl/>
        </w:rPr>
        <w:t>אור זרוע</w:t>
      </w:r>
      <w:r>
        <w:rPr>
          <w:rFonts w:hint="cs"/>
          <w:sz w:val="18"/>
          <w:szCs w:val="20"/>
          <w:rtl/>
        </w:rPr>
        <w:t>,</w:t>
      </w:r>
      <w:r>
        <w:rPr>
          <w:sz w:val="18"/>
          <w:szCs w:val="20"/>
          <w:rtl/>
        </w:rPr>
        <w:t xml:space="preserve"> ח"א</w:t>
      </w:r>
      <w:r>
        <w:rPr>
          <w:rFonts w:hint="cs"/>
          <w:sz w:val="18"/>
          <w:szCs w:val="20"/>
          <w:rtl/>
        </w:rPr>
        <w:t xml:space="preserve">, </w:t>
      </w:r>
      <w:r>
        <w:rPr>
          <w:sz w:val="18"/>
          <w:szCs w:val="20"/>
          <w:rtl/>
        </w:rPr>
        <w:t>הלכות עגונה סימן תרצ</w:t>
      </w:r>
      <w:r>
        <w:rPr>
          <w:rFonts w:hint="cs"/>
          <w:sz w:val="18"/>
          <w:szCs w:val="20"/>
          <w:rtl/>
        </w:rPr>
        <w:t>"</w:t>
      </w:r>
      <w:r>
        <w:rPr>
          <w:sz w:val="18"/>
          <w:szCs w:val="20"/>
          <w:rtl/>
        </w:rPr>
        <w:t>ג</w:t>
      </w:r>
      <w:r>
        <w:rPr>
          <w:rFonts w:hint="cs"/>
          <w:sz w:val="18"/>
          <w:szCs w:val="20"/>
          <w:rtl/>
        </w:rPr>
        <w:t xml:space="preserve">; </w:t>
      </w:r>
      <w:r>
        <w:rPr>
          <w:sz w:val="18"/>
          <w:szCs w:val="20"/>
          <w:rtl/>
        </w:rPr>
        <w:t>שו"ת מהר"ם מרוטנברג ח</w:t>
      </w:r>
      <w:r>
        <w:rPr>
          <w:rFonts w:hint="cs"/>
          <w:sz w:val="18"/>
          <w:szCs w:val="20"/>
          <w:rtl/>
        </w:rPr>
        <w:t>"</w:t>
      </w:r>
      <w:r>
        <w:rPr>
          <w:sz w:val="18"/>
          <w:szCs w:val="20"/>
          <w:rtl/>
        </w:rPr>
        <w:t>ד</w:t>
      </w:r>
      <w:r>
        <w:rPr>
          <w:rFonts w:hint="cs"/>
          <w:sz w:val="18"/>
          <w:szCs w:val="20"/>
          <w:rtl/>
        </w:rPr>
        <w:t>,</w:t>
      </w:r>
      <w:r>
        <w:rPr>
          <w:sz w:val="18"/>
          <w:szCs w:val="20"/>
          <w:rtl/>
        </w:rPr>
        <w:t xml:space="preserve"> פראג</w:t>
      </w:r>
      <w:r>
        <w:rPr>
          <w:rFonts w:hint="cs"/>
          <w:sz w:val="18"/>
          <w:szCs w:val="20"/>
          <w:rtl/>
        </w:rPr>
        <w:t xml:space="preserve">, </w:t>
      </w:r>
      <w:r>
        <w:rPr>
          <w:sz w:val="18"/>
          <w:szCs w:val="20"/>
          <w:rtl/>
        </w:rPr>
        <w:t>סימן רמ</w:t>
      </w:r>
      <w:r>
        <w:rPr>
          <w:rFonts w:hint="cs"/>
          <w:sz w:val="18"/>
          <w:szCs w:val="20"/>
          <w:rtl/>
        </w:rPr>
        <w:t>"</w:t>
      </w:r>
      <w:r>
        <w:rPr>
          <w:sz w:val="18"/>
          <w:szCs w:val="20"/>
          <w:rtl/>
        </w:rPr>
        <w:t>א</w:t>
      </w:r>
      <w:r>
        <w:rPr>
          <w:rFonts w:hint="cs"/>
          <w:rtl/>
        </w:rPr>
        <w:t xml:space="preserve">). בעברית החדשה היא משמשת במקביל לתואר האצילות הטורקי והמִצרי </w:t>
      </w:r>
      <w:r>
        <w:rPr>
          <w:rFonts w:hint="cs"/>
          <w:rtl/>
        </w:rPr>
        <w:lastRenderedPageBreak/>
        <w:t>"פאשה" או "</w:t>
      </w:r>
      <w:r>
        <w:rPr>
          <w:rtl/>
        </w:rPr>
        <w:t>באשא</w:t>
      </w:r>
      <w:r>
        <w:rPr>
          <w:rFonts w:hint="cs"/>
          <w:rtl/>
        </w:rPr>
        <w:t>": בשו"ת ה</w:t>
      </w:r>
      <w:r>
        <w:rPr>
          <w:rtl/>
        </w:rPr>
        <w:t>רדב"ז</w:t>
      </w:r>
      <w:r>
        <w:rPr>
          <w:rFonts w:hint="cs"/>
          <w:rtl/>
        </w:rPr>
        <w:t xml:space="preserve"> נדונה השאלה "</w:t>
      </w:r>
      <w:r>
        <w:rPr>
          <w:rtl/>
        </w:rPr>
        <w:t xml:space="preserve">אם מברכין לבאשא אשר שולח המלך למצרים </w:t>
      </w:r>
      <w:r>
        <w:rPr>
          <w:rFonts w:hint="cs"/>
          <w:rtl/>
        </w:rPr>
        <w:t>'</w:t>
      </w:r>
      <w:r>
        <w:rPr>
          <w:rtl/>
        </w:rPr>
        <w:t>ש</w:t>
      </w:r>
      <w:r>
        <w:rPr>
          <w:rFonts w:hint="cs"/>
          <w:rtl/>
        </w:rPr>
        <w:t>ֶ</w:t>
      </w:r>
      <w:r>
        <w:rPr>
          <w:rtl/>
        </w:rPr>
        <w:t>ח</w:t>
      </w:r>
      <w:r>
        <w:rPr>
          <w:rFonts w:hint="cs"/>
          <w:rtl/>
        </w:rPr>
        <w:t>ָ</w:t>
      </w:r>
      <w:r>
        <w:rPr>
          <w:rtl/>
        </w:rPr>
        <w:t>ל</w:t>
      </w:r>
      <w:r>
        <w:rPr>
          <w:rFonts w:hint="cs"/>
          <w:rtl/>
        </w:rPr>
        <w:t>ַ</w:t>
      </w:r>
      <w:r>
        <w:rPr>
          <w:rtl/>
        </w:rPr>
        <w:t>ק מכבודו לבשר ודם</w:t>
      </w:r>
      <w:r>
        <w:rPr>
          <w:rFonts w:hint="cs"/>
          <w:rtl/>
        </w:rPr>
        <w:t>',</w:t>
      </w:r>
      <w:r>
        <w:rPr>
          <w:rtl/>
        </w:rPr>
        <w:t xml:space="preserve"> ואימתי מברכין</w:t>
      </w:r>
      <w:r>
        <w:rPr>
          <w:rFonts w:hint="cs"/>
          <w:rtl/>
        </w:rPr>
        <w:t>" (</w:t>
      </w:r>
      <w:r>
        <w:rPr>
          <w:sz w:val="18"/>
          <w:szCs w:val="20"/>
          <w:rtl/>
        </w:rPr>
        <w:t>ח</w:t>
      </w:r>
      <w:r>
        <w:rPr>
          <w:rFonts w:hint="cs"/>
          <w:sz w:val="18"/>
          <w:szCs w:val="20"/>
          <w:rtl/>
        </w:rPr>
        <w:t>"</w:t>
      </w:r>
      <w:r>
        <w:rPr>
          <w:sz w:val="18"/>
          <w:szCs w:val="20"/>
          <w:rtl/>
        </w:rPr>
        <w:t>א סימן רצ</w:t>
      </w:r>
      <w:r>
        <w:rPr>
          <w:rFonts w:hint="cs"/>
          <w:sz w:val="18"/>
          <w:szCs w:val="20"/>
          <w:rtl/>
        </w:rPr>
        <w:t>"</w:t>
      </w:r>
      <w:r>
        <w:rPr>
          <w:sz w:val="18"/>
          <w:szCs w:val="20"/>
          <w:rtl/>
        </w:rPr>
        <w:t>ו</w:t>
      </w:r>
      <w:r>
        <w:rPr>
          <w:rFonts w:hint="cs"/>
          <w:rtl/>
        </w:rPr>
        <w:t>). כשבא הגר"ע יוסף לשַכתֵב תשובה זו ללשון ימינו נקט במלה "פחה" (</w:t>
      </w:r>
      <w:r>
        <w:rPr>
          <w:rtl/>
        </w:rPr>
        <w:t xml:space="preserve">שו"ת יחווה דעת </w:t>
      </w:r>
      <w:r>
        <w:rPr>
          <w:sz w:val="18"/>
          <w:szCs w:val="20"/>
          <w:rtl/>
        </w:rPr>
        <w:t>ח</w:t>
      </w:r>
      <w:r>
        <w:rPr>
          <w:rFonts w:hint="cs"/>
          <w:sz w:val="18"/>
          <w:szCs w:val="20"/>
          <w:rtl/>
        </w:rPr>
        <w:t>"</w:t>
      </w:r>
      <w:r>
        <w:rPr>
          <w:sz w:val="18"/>
          <w:szCs w:val="20"/>
          <w:rtl/>
        </w:rPr>
        <w:t>ב סימן כ</w:t>
      </w:r>
      <w:r>
        <w:rPr>
          <w:rFonts w:hint="cs"/>
          <w:sz w:val="18"/>
          <w:szCs w:val="20"/>
          <w:rtl/>
        </w:rPr>
        <w:t>"</w:t>
      </w:r>
      <w:r>
        <w:rPr>
          <w:sz w:val="18"/>
          <w:szCs w:val="20"/>
          <w:rtl/>
        </w:rPr>
        <w:t>ח</w:t>
      </w:r>
      <w:r>
        <w:rPr>
          <w:rFonts w:hint="cs"/>
          <w:rtl/>
        </w:rPr>
        <w:t>). תואר זה נוסף לאחַר שמו הפרטי של השליט המקומי (</w:t>
      </w:r>
      <w:r>
        <w:rPr>
          <w:rFonts w:hint="cs"/>
          <w:sz w:val="18"/>
          <w:szCs w:val="20"/>
          <w:rtl/>
        </w:rPr>
        <w:t>כגון: "אחמד ג'מאל פחה", שר"י, המושל הטורקי האחרון בארץ ישראל</w:t>
      </w:r>
      <w:r>
        <w:rPr>
          <w:rFonts w:hint="cs"/>
          <w:rtl/>
        </w:rPr>
        <w:t xml:space="preserve">). </w:t>
      </w:r>
    </w:p>
    <w:p w14:paraId="075AF9A7" w14:textId="77777777" w:rsidR="00940290" w:rsidRDefault="00940290" w:rsidP="00940290">
      <w:pPr>
        <w:ind w:firstLine="284"/>
        <w:rPr>
          <w:rFonts w:hint="cs"/>
          <w:rtl/>
        </w:rPr>
      </w:pPr>
      <w:r>
        <w:rPr>
          <w:rFonts w:hint="cs"/>
          <w:rtl/>
          <w:lang w:eastAsia="he-IL"/>
        </w:rPr>
        <w:t>נשוב עתה לתואר הארמי "</w:t>
      </w:r>
      <w:r>
        <w:rPr>
          <w:rtl/>
          <w:lang w:eastAsia="he-IL"/>
        </w:rPr>
        <w:t>בר פחתי</w:t>
      </w:r>
      <w:r>
        <w:rPr>
          <w:rFonts w:hint="cs"/>
          <w:rtl/>
          <w:lang w:eastAsia="he-IL"/>
        </w:rPr>
        <w:t xml:space="preserve">". לפי פירוש </w:t>
      </w:r>
      <w:r>
        <w:rPr>
          <w:rtl/>
          <w:lang w:eastAsia="he-IL"/>
        </w:rPr>
        <w:t>רב נטרונאי</w:t>
      </w:r>
      <w:r>
        <w:rPr>
          <w:rFonts w:hint="cs"/>
          <w:rtl/>
          <w:lang w:eastAsia="he-IL"/>
        </w:rPr>
        <w:t xml:space="preserve"> ו</w:t>
      </w:r>
      <w:r>
        <w:rPr>
          <w:rtl/>
          <w:lang w:eastAsia="he-IL"/>
        </w:rPr>
        <w:t>רש"י</w:t>
      </w:r>
      <w:r>
        <w:rPr>
          <w:rFonts w:hint="cs"/>
          <w:rtl/>
          <w:lang w:eastAsia="he-IL"/>
        </w:rPr>
        <w:t xml:space="preserve"> (</w:t>
      </w:r>
      <w:r>
        <w:rPr>
          <w:rFonts w:hint="cs"/>
          <w:sz w:val="18"/>
          <w:szCs w:val="20"/>
          <w:rtl/>
          <w:lang w:eastAsia="he-IL"/>
        </w:rPr>
        <w:t>וכן לפי האמו</w:t>
      </w:r>
      <w:r>
        <w:rPr>
          <w:rFonts w:hint="cs"/>
          <w:sz w:val="18"/>
          <w:szCs w:val="20"/>
          <w:rtl/>
        </w:rPr>
        <w:t>ר לעיל בהערה 4</w:t>
      </w:r>
      <w:r>
        <w:rPr>
          <w:rFonts w:hint="cs"/>
          <w:rtl/>
          <w:lang w:eastAsia="he-IL"/>
        </w:rPr>
        <w:t>) תובן המִלה "בר" בצירוף זה במשמע הראשוני שלה (</w:t>
      </w:r>
      <w:r>
        <w:rPr>
          <w:rtl/>
          <w:lang w:eastAsia="he-IL"/>
        </w:rPr>
        <w:t>צֶאֱצָא</w:t>
      </w:r>
      <w:r>
        <w:rPr>
          <w:rFonts w:hint="cs"/>
          <w:rtl/>
          <w:lang w:eastAsia="he-IL"/>
        </w:rPr>
        <w:t>;</w:t>
      </w:r>
      <w:r>
        <w:rPr>
          <w:rFonts w:hint="cs"/>
          <w:sz w:val="18"/>
          <w:szCs w:val="20"/>
          <w:rtl/>
          <w:lang w:eastAsia="he-IL"/>
        </w:rPr>
        <w:t xml:space="preserve"> וכמו בביטוי "בר אבהן"</w:t>
      </w:r>
      <w:r>
        <w:rPr>
          <w:rFonts w:hint="cs"/>
          <w:rtl/>
          <w:lang w:eastAsia="he-IL"/>
        </w:rPr>
        <w:t xml:space="preserve">), וממילא "פחתי" תתייחס לאב(ות)יו של רב. </w:t>
      </w:r>
      <w:r>
        <w:rPr>
          <w:rFonts w:hint="cs"/>
          <w:rtl/>
        </w:rPr>
        <w:t>נראה כי לא בכדִי זכה דוקא רב בתואר זה, מה שלא זכה בו אף חכם אחר: אביו אכן היה פֶחָה ונגיד</w:t>
      </w:r>
      <w:r>
        <w:rPr>
          <w:rStyle w:val="a4"/>
          <w:rtl/>
        </w:rPr>
        <w:footnoteReference w:id="88"/>
      </w:r>
      <w:r>
        <w:rPr>
          <w:rFonts w:hint="cs"/>
          <w:rtl/>
        </w:rPr>
        <w:t>, כמוכח מה</w:t>
      </w:r>
      <w:r>
        <w:rPr>
          <w:rtl/>
        </w:rPr>
        <w:t xml:space="preserve">תלמוד </w:t>
      </w:r>
      <w:r>
        <w:rPr>
          <w:rFonts w:hint="cs"/>
          <w:rtl/>
        </w:rPr>
        <w:t>ה</w:t>
      </w:r>
      <w:r>
        <w:rPr>
          <w:rtl/>
        </w:rPr>
        <w:t xml:space="preserve">ירושלמי </w:t>
      </w:r>
      <w:r>
        <w:rPr>
          <w:rFonts w:hint="cs"/>
          <w:rtl/>
        </w:rPr>
        <w:t>(</w:t>
      </w:r>
      <w:r>
        <w:rPr>
          <w:sz w:val="18"/>
          <w:szCs w:val="20"/>
          <w:rtl/>
        </w:rPr>
        <w:t>ביצה פ</w:t>
      </w:r>
      <w:r>
        <w:rPr>
          <w:rFonts w:hint="cs"/>
          <w:sz w:val="18"/>
          <w:szCs w:val="20"/>
          <w:rtl/>
        </w:rPr>
        <w:t>"</w:t>
      </w:r>
      <w:r>
        <w:rPr>
          <w:sz w:val="18"/>
          <w:szCs w:val="20"/>
          <w:rtl/>
        </w:rPr>
        <w:t>ד</w:t>
      </w:r>
      <w:r>
        <w:rPr>
          <w:rFonts w:hint="cs"/>
          <w:sz w:val="18"/>
          <w:szCs w:val="20"/>
          <w:rtl/>
        </w:rPr>
        <w:t xml:space="preserve"> </w:t>
      </w:r>
      <w:r>
        <w:rPr>
          <w:sz w:val="18"/>
          <w:szCs w:val="20"/>
          <w:rtl/>
        </w:rPr>
        <w:t>ה"ג</w:t>
      </w:r>
      <w:r>
        <w:rPr>
          <w:rFonts w:hint="cs"/>
          <w:sz w:val="18"/>
          <w:szCs w:val="20"/>
          <w:rtl/>
        </w:rPr>
        <w:t xml:space="preserve">; מעשה זה מובא להלן </w:t>
      </w:r>
      <w:r>
        <w:rPr>
          <w:rFonts w:hint="cs"/>
          <w:sz w:val="18"/>
          <w:szCs w:val="20"/>
          <w:rtl/>
        </w:rPr>
        <w:lastRenderedPageBreak/>
        <w:t>כט, א בנוסח שונה במעט</w:t>
      </w:r>
      <w:r>
        <w:rPr>
          <w:rFonts w:hint="cs"/>
          <w:rtl/>
        </w:rPr>
        <w:t xml:space="preserve">) שבו הכינוי שהוענק </w:t>
      </w:r>
      <w:r>
        <w:rPr>
          <w:rtl/>
        </w:rPr>
        <w:t>ל</w:t>
      </w:r>
      <w:r>
        <w:rPr>
          <w:rFonts w:hint="cs"/>
          <w:rtl/>
        </w:rPr>
        <w:t xml:space="preserve">רב ע"י </w:t>
      </w:r>
      <w:r>
        <w:rPr>
          <w:rtl/>
        </w:rPr>
        <w:t>ר' חייה רבה</w:t>
      </w:r>
      <w:r>
        <w:rPr>
          <w:rStyle w:val="a4"/>
          <w:rtl/>
        </w:rPr>
        <w:footnoteReference w:id="89"/>
      </w:r>
      <w:r>
        <w:rPr>
          <w:rFonts w:hint="cs"/>
          <w:rtl/>
        </w:rPr>
        <w:t xml:space="preserve"> הוא "</w:t>
      </w:r>
      <w:r>
        <w:rPr>
          <w:rtl/>
        </w:rPr>
        <w:t>בן</w:t>
      </w:r>
      <w:r>
        <w:rPr>
          <w:rFonts w:hint="cs"/>
          <w:rtl/>
        </w:rPr>
        <w:t xml:space="preserve"> </w:t>
      </w:r>
      <w:r>
        <w:rPr>
          <w:rtl/>
        </w:rPr>
        <w:t>פ</w:t>
      </w:r>
      <w:r>
        <w:rPr>
          <w:rFonts w:hint="cs"/>
          <w:rtl/>
        </w:rPr>
        <w:t>ֶ</w:t>
      </w:r>
      <w:r>
        <w:rPr>
          <w:rtl/>
        </w:rPr>
        <w:t>יחה</w:t>
      </w:r>
      <w:r>
        <w:rPr>
          <w:rFonts w:hint="cs"/>
          <w:rtl/>
        </w:rPr>
        <w:t>"</w:t>
      </w:r>
      <w:r>
        <w:rPr>
          <w:rStyle w:val="a4"/>
          <w:rtl/>
        </w:rPr>
        <w:footnoteReference w:id="90"/>
      </w:r>
      <w:r>
        <w:rPr>
          <w:rFonts w:hint="cs"/>
          <w:rtl/>
        </w:rPr>
        <w:t xml:space="preserve"> (</w:t>
      </w:r>
      <w:r>
        <w:rPr>
          <w:rFonts w:hint="cs"/>
          <w:sz w:val="18"/>
          <w:szCs w:val="20"/>
          <w:rtl/>
        </w:rPr>
        <w:t xml:space="preserve">עי"ש </w:t>
      </w:r>
      <w:r>
        <w:rPr>
          <w:sz w:val="18"/>
          <w:szCs w:val="20"/>
          <w:rtl/>
        </w:rPr>
        <w:t>עלי תמר</w:t>
      </w:r>
      <w:r>
        <w:rPr>
          <w:rFonts w:hint="cs"/>
          <w:sz w:val="18"/>
          <w:szCs w:val="20"/>
          <w:rtl/>
        </w:rPr>
        <w:t>,</w:t>
      </w:r>
      <w:r>
        <w:rPr>
          <w:sz w:val="18"/>
          <w:szCs w:val="20"/>
          <w:rtl/>
        </w:rPr>
        <w:t xml:space="preserve"> ב</w:t>
      </w:r>
      <w:r>
        <w:rPr>
          <w:rFonts w:hint="cs"/>
          <w:sz w:val="18"/>
          <w:szCs w:val="20"/>
          <w:rtl/>
        </w:rPr>
        <w:t xml:space="preserve">יצה, </w:t>
      </w:r>
      <w:r>
        <w:rPr>
          <w:sz w:val="18"/>
          <w:szCs w:val="20"/>
          <w:rtl/>
        </w:rPr>
        <w:t>עמ' רס</w:t>
      </w:r>
      <w:r>
        <w:rPr>
          <w:rFonts w:hint="cs"/>
          <w:sz w:val="18"/>
          <w:szCs w:val="20"/>
          <w:rtl/>
        </w:rPr>
        <w:t>"ה</w:t>
      </w:r>
      <w:r>
        <w:rPr>
          <w:rFonts w:hint="cs"/>
          <w:rtl/>
        </w:rPr>
        <w:t xml:space="preserve">). </w:t>
      </w:r>
    </w:p>
    <w:p w14:paraId="48282CD2" w14:textId="77777777" w:rsidR="00940290" w:rsidRDefault="00940290" w:rsidP="00940290">
      <w:pPr>
        <w:ind w:firstLine="284"/>
        <w:rPr>
          <w:rFonts w:hint="cs"/>
          <w:rtl/>
        </w:rPr>
      </w:pPr>
      <w:r>
        <w:rPr>
          <w:rFonts w:hint="cs"/>
          <w:rtl/>
        </w:rPr>
        <w:t xml:space="preserve">ברם, אפשר להבין </w:t>
      </w:r>
      <w:r>
        <w:rPr>
          <w:rFonts w:hint="cs"/>
          <w:rtl/>
          <w:lang w:eastAsia="he-IL"/>
        </w:rPr>
        <w:t xml:space="preserve">את המִלה "בר" </w:t>
      </w:r>
      <w:r>
        <w:rPr>
          <w:rFonts w:hint="cs"/>
          <w:rtl/>
        </w:rPr>
        <w:t xml:space="preserve">גם </w:t>
      </w:r>
      <w:r>
        <w:rPr>
          <w:rFonts w:hint="cs"/>
          <w:rtl/>
          <w:lang w:eastAsia="he-IL"/>
        </w:rPr>
        <w:t>במשמע המורחב יותר, ללא יחס להוֹרִים (</w:t>
      </w:r>
      <w:r>
        <w:rPr>
          <w:rFonts w:hint="cs"/>
          <w:sz w:val="18"/>
          <w:szCs w:val="20"/>
          <w:rtl/>
          <w:lang w:eastAsia="he-IL"/>
        </w:rPr>
        <w:t>וכמו בביטויים: "בר אוריין", "בר מצוה", "בר הכי", "בר סמכא"</w:t>
      </w:r>
      <w:r>
        <w:rPr>
          <w:rFonts w:hint="cs"/>
          <w:rtl/>
          <w:lang w:eastAsia="he-IL"/>
        </w:rPr>
        <w:t>), ואז "פחתי" לא תתאר את הוריו של רב אלא את רב עצמו. יתכן שלכך התכוו</w:t>
      </w:r>
      <w:r>
        <w:rPr>
          <w:rFonts w:hint="eastAsia"/>
          <w:rtl/>
          <w:lang w:eastAsia="he-IL"/>
        </w:rPr>
        <w:t>ן</w:t>
      </w:r>
      <w:r>
        <w:rPr>
          <w:rFonts w:ascii="Arial" w:hAnsi="Arial" w:hint="cs"/>
          <w:rtl/>
        </w:rPr>
        <w:t xml:space="preserve"> רבי אברהם מן ההר </w:t>
      </w:r>
      <w:r>
        <w:rPr>
          <w:rFonts w:ascii="Arial" w:hAnsi="Arial" w:hint="cs"/>
          <w:sz w:val="18"/>
          <w:szCs w:val="20"/>
          <w:rtl/>
        </w:rPr>
        <w:t>בפירושו ל</w:t>
      </w:r>
      <w:r>
        <w:rPr>
          <w:rFonts w:ascii="Arial" w:hAnsi="Arial"/>
          <w:sz w:val="18"/>
          <w:szCs w:val="20"/>
          <w:rtl/>
        </w:rPr>
        <w:t>נזיר</w:t>
      </w:r>
      <w:r>
        <w:rPr>
          <w:rFonts w:ascii="Arial" w:hAnsi="Arial" w:hint="cs"/>
          <w:rtl/>
        </w:rPr>
        <w:t xml:space="preserve">: </w:t>
      </w:r>
      <w:r>
        <w:rPr>
          <w:rFonts w:hint="cs"/>
          <w:rtl/>
          <w:lang w:eastAsia="he-IL"/>
        </w:rPr>
        <w:t>"</w:t>
      </w:r>
      <w:r>
        <w:rPr>
          <w:rtl/>
          <w:lang w:eastAsia="he-IL"/>
        </w:rPr>
        <w:t>בר פחתי</w:t>
      </w:r>
      <w:r>
        <w:rPr>
          <w:rFonts w:ascii="Arial" w:hAnsi="Arial" w:hint="cs"/>
          <w:rtl/>
        </w:rPr>
        <w:t xml:space="preserve"> - אדם גדול"</w:t>
      </w:r>
      <w:r>
        <w:rPr>
          <w:rStyle w:val="a4"/>
          <w:rtl/>
        </w:rPr>
        <w:footnoteReference w:id="91"/>
      </w:r>
      <w:r>
        <w:rPr>
          <w:rFonts w:ascii="Arial" w:hAnsi="Arial" w:hint="cs"/>
          <w:rtl/>
        </w:rPr>
        <w:t>. נראה כי במובן זה הובן</w:t>
      </w:r>
      <w:r>
        <w:rPr>
          <w:rFonts w:hint="cs"/>
          <w:rtl/>
          <w:lang w:eastAsia="he-IL"/>
        </w:rPr>
        <w:t xml:space="preserve"> </w:t>
      </w:r>
      <w:r>
        <w:rPr>
          <w:rFonts w:hint="cs"/>
          <w:rtl/>
        </w:rPr>
        <w:t xml:space="preserve">כינוי הכבוד </w:t>
      </w:r>
      <w:r>
        <w:rPr>
          <w:rFonts w:hint="cs"/>
          <w:rtl/>
          <w:lang w:eastAsia="he-IL"/>
        </w:rPr>
        <w:t>"</w:t>
      </w:r>
      <w:r>
        <w:rPr>
          <w:rtl/>
          <w:lang w:eastAsia="he-IL"/>
        </w:rPr>
        <w:t>בר פחתי</w:t>
      </w:r>
      <w:r>
        <w:rPr>
          <w:rFonts w:hint="cs"/>
          <w:rtl/>
          <w:lang w:eastAsia="he-IL"/>
        </w:rPr>
        <w:t>"</w:t>
      </w:r>
      <w:r>
        <w:rPr>
          <w:rFonts w:hint="cs"/>
          <w:rtl/>
        </w:rPr>
        <w:t xml:space="preserve"> במהלך הדורות, בדומה לביטוי התלמודי המקביל "בריבי", ושני </w:t>
      </w:r>
      <w:r>
        <w:rPr>
          <w:rFonts w:hint="cs"/>
          <w:rtl/>
        </w:rPr>
        <w:lastRenderedPageBreak/>
        <w:t>כינויים אלה נמצאים לפעמים צמודים זה לזה בספרות השו"ת</w:t>
      </w:r>
      <w:r>
        <w:rPr>
          <w:rStyle w:val="a4"/>
          <w:rtl/>
        </w:rPr>
        <w:footnoteReference w:id="92"/>
      </w:r>
      <w:r>
        <w:rPr>
          <w:rFonts w:hint="cs"/>
          <w:rtl/>
        </w:rPr>
        <w:t xml:space="preserve"> (</w:t>
      </w:r>
      <w:r>
        <w:rPr>
          <w:rFonts w:hint="cs"/>
          <w:sz w:val="18"/>
          <w:szCs w:val="20"/>
          <w:rtl/>
        </w:rPr>
        <w:t xml:space="preserve">וראה להלן </w:t>
      </w:r>
      <w:r>
        <w:rPr>
          <w:sz w:val="18"/>
          <w:szCs w:val="20"/>
          <w:rtl/>
        </w:rPr>
        <w:t>דף קטו</w:t>
      </w:r>
      <w:r>
        <w:rPr>
          <w:rFonts w:hint="cs"/>
          <w:sz w:val="18"/>
          <w:szCs w:val="20"/>
          <w:rtl/>
        </w:rPr>
        <w:t xml:space="preserve">, </w:t>
      </w:r>
      <w:r>
        <w:rPr>
          <w:sz w:val="18"/>
          <w:szCs w:val="20"/>
          <w:rtl/>
        </w:rPr>
        <w:t>א</w:t>
      </w:r>
      <w:r>
        <w:rPr>
          <w:rFonts w:hint="cs"/>
          <w:rtl/>
        </w:rPr>
        <w:t>).</w:t>
      </w:r>
    </w:p>
    <w:p w14:paraId="484C541F" w14:textId="77777777" w:rsidR="00940290" w:rsidRPr="00940290" w:rsidRDefault="00940290" w:rsidP="00940290">
      <w:pPr>
        <w:rPr>
          <w:rFonts w:hint="cs"/>
          <w:rtl/>
        </w:rPr>
      </w:pPr>
    </w:p>
    <w:p w14:paraId="33440F51" w14:textId="77777777" w:rsidR="00940290" w:rsidRDefault="00940290" w:rsidP="00940290">
      <w:pPr>
        <w:pStyle w:val="1"/>
        <w:rPr>
          <w:rFonts w:hint="cs"/>
          <w:rtl/>
        </w:rPr>
      </w:pPr>
      <w:r>
        <w:rPr>
          <w:rFonts w:hint="cs"/>
          <w:rtl/>
        </w:rPr>
        <w:t>דף ד, א: "</w:t>
      </w:r>
      <w:r>
        <w:rPr>
          <w:rtl/>
          <w:lang w:eastAsia="he-IL"/>
        </w:rPr>
        <w:t>לכי תיכול עלה כורא דמילחא</w:t>
      </w:r>
      <w:r>
        <w:rPr>
          <w:rFonts w:hint="cs"/>
          <w:rtl/>
          <w:lang w:eastAsia="he-IL"/>
        </w:rPr>
        <w:t>"</w:t>
      </w:r>
      <w:r>
        <w:rPr>
          <w:rtl/>
          <w:lang w:eastAsia="he-IL"/>
        </w:rPr>
        <w:t xml:space="preserve">  </w:t>
      </w:r>
    </w:p>
    <w:p w14:paraId="550C5909" w14:textId="77777777" w:rsidR="00940290" w:rsidRDefault="00940290" w:rsidP="00940290">
      <w:pPr>
        <w:pStyle w:val="2"/>
        <w:rPr>
          <w:rFonts w:hint="cs"/>
          <w:rtl/>
        </w:rPr>
      </w:pPr>
      <w:r>
        <w:rPr>
          <w:rFonts w:hint="cs"/>
          <w:rtl/>
        </w:rPr>
        <w:t>"תיכול" = תֹאכל או תמדוד?</w:t>
      </w:r>
    </w:p>
    <w:p w14:paraId="55C09A77" w14:textId="77777777" w:rsidR="00940290" w:rsidRDefault="00940290" w:rsidP="00940290">
      <w:pPr>
        <w:pStyle w:val="a7"/>
        <w:rPr>
          <w:rFonts w:hint="cs"/>
          <w:rtl/>
        </w:rPr>
      </w:pPr>
      <w:r>
        <w:rPr>
          <w:rFonts w:hint="cs"/>
          <w:rtl/>
        </w:rPr>
        <w:t xml:space="preserve">"...בעא מיניה רבא מרב נחמן: היתה ידו מלאה פירות והוציאה לחוץ, מהו להחזירה לאותה חצר? אמר ליה: מותר. לחצר אחרת מהו? אמר ליה: אסור. ומאי שנא? </w:t>
      </w:r>
      <w:r>
        <w:rPr>
          <w:rFonts w:hint="cs"/>
          <w:b/>
          <w:bCs/>
          <w:rtl/>
        </w:rPr>
        <w:t>לכי תיכול עלה כורא דמילחא!</w:t>
      </w:r>
      <w:r>
        <w:rPr>
          <w:rFonts w:hint="cs"/>
          <w:rtl/>
        </w:rPr>
        <w:t xml:space="preserve"> התם לא איתעבידא מחשבתו, הכא איתעבידא מחשבתו".</w:t>
      </w:r>
    </w:p>
    <w:p w14:paraId="58F2AC28" w14:textId="77777777" w:rsidR="00940290" w:rsidRDefault="00940290" w:rsidP="00940290">
      <w:pPr>
        <w:ind w:firstLine="284"/>
        <w:rPr>
          <w:rFonts w:hint="cs"/>
          <w:rtl/>
        </w:rPr>
      </w:pPr>
      <w:r>
        <w:rPr>
          <w:rFonts w:hint="cs"/>
          <w:rtl/>
        </w:rPr>
        <w:t>סגנון תשובה זה נמצא בתלמוד ארבע פעמים</w:t>
      </w:r>
      <w:r>
        <w:rPr>
          <w:rStyle w:val="a4"/>
          <w:rtl/>
        </w:rPr>
        <w:footnoteReference w:id="93"/>
      </w:r>
      <w:r>
        <w:rPr>
          <w:rFonts w:hint="cs"/>
          <w:rtl/>
        </w:rPr>
        <w:t>, ותמיד במענה של רב נחמן לשאלה (של רבא או רב דימי)  "מה ההבדל בין המקרים?" (</w:t>
      </w:r>
      <w:r>
        <w:rPr>
          <w:rFonts w:hint="cs"/>
          <w:sz w:val="18"/>
          <w:szCs w:val="20"/>
          <w:rtl/>
        </w:rPr>
        <w:t>"מאי שנא?" או "מה נפשך?"</w:t>
      </w:r>
      <w:r>
        <w:rPr>
          <w:rFonts w:hint="cs"/>
          <w:rtl/>
        </w:rPr>
        <w:t xml:space="preserve">). </w:t>
      </w:r>
    </w:p>
    <w:p w14:paraId="70C36E11" w14:textId="77777777" w:rsidR="00940290" w:rsidRDefault="00940290" w:rsidP="00940290">
      <w:pPr>
        <w:ind w:firstLine="284"/>
        <w:rPr>
          <w:rFonts w:hint="cs"/>
          <w:rtl/>
        </w:rPr>
      </w:pPr>
      <w:r>
        <w:rPr>
          <w:rFonts w:hint="cs"/>
          <w:rtl/>
        </w:rPr>
        <w:t>בביאור ביטוי זה, שיש בו קורטוב בדיחותא, כתב רש"י בסוגייתנו שני פירושים, החלוקים בשורש המִלה "</w:t>
      </w:r>
      <w:r>
        <w:rPr>
          <w:b/>
          <w:bCs/>
          <w:rtl/>
        </w:rPr>
        <w:t>תֵּיכוּל</w:t>
      </w:r>
      <w:r>
        <w:rPr>
          <w:rFonts w:hint="cs"/>
          <w:rtl/>
        </w:rPr>
        <w:t>":</w:t>
      </w:r>
    </w:p>
    <w:p w14:paraId="146285D4" w14:textId="77777777" w:rsidR="00940290" w:rsidRDefault="00940290" w:rsidP="00940290">
      <w:pPr>
        <w:ind w:firstLine="284"/>
        <w:rPr>
          <w:rFonts w:hint="cs"/>
          <w:rtl/>
        </w:rPr>
      </w:pPr>
      <w:r>
        <w:rPr>
          <w:rFonts w:hint="cs"/>
          <w:rtl/>
        </w:rPr>
        <w:t>פירוש א' (</w:t>
      </w:r>
      <w:r>
        <w:rPr>
          <w:rFonts w:hint="cs"/>
          <w:sz w:val="18"/>
          <w:szCs w:val="20"/>
          <w:rtl/>
        </w:rPr>
        <w:t>שמובא גם בשאר המקומות</w:t>
      </w:r>
      <w:r>
        <w:rPr>
          <w:rFonts w:hint="cs"/>
          <w:rtl/>
        </w:rPr>
        <w:t>): "</w:t>
      </w:r>
      <w:r>
        <w:rPr>
          <w:rFonts w:hint="cs"/>
          <w:b/>
          <w:bCs/>
          <w:rtl/>
        </w:rPr>
        <w:t>כשתמדוד</w:t>
      </w:r>
      <w:r>
        <w:rPr>
          <w:rFonts w:hint="cs"/>
          <w:rtl/>
        </w:rPr>
        <w:t xml:space="preserve"> לי כור של מלח, אומר לך טעמו של דבר", כלומר: כשתמדוד ותתן לי כוֹר מלח, אומר </w:t>
      </w:r>
      <w:r>
        <w:rPr>
          <w:rFonts w:hint="cs"/>
          <w:rtl/>
        </w:rPr>
        <w:lastRenderedPageBreak/>
        <w:t>לך בתמורה את ההסבר (</w:t>
      </w:r>
      <w:r>
        <w:rPr>
          <w:rFonts w:hint="cs"/>
          <w:szCs w:val="20"/>
          <w:rtl/>
        </w:rPr>
        <w:t>רש"י חולין יב</w:t>
      </w:r>
      <w:r>
        <w:rPr>
          <w:rFonts w:hint="cs"/>
          <w:sz w:val="18"/>
          <w:szCs w:val="20"/>
          <w:rtl/>
        </w:rPr>
        <w:t>, א</w:t>
      </w:r>
      <w:r>
        <w:rPr>
          <w:rFonts w:hint="cs"/>
          <w:rtl/>
        </w:rPr>
        <w:t>). לפי זה, "</w:t>
      </w:r>
      <w:r>
        <w:rPr>
          <w:rFonts w:hint="cs"/>
          <w:b/>
          <w:bCs/>
          <w:rtl/>
        </w:rPr>
        <w:t>תיכול</w:t>
      </w:r>
      <w:r>
        <w:rPr>
          <w:rFonts w:hint="cs"/>
          <w:rtl/>
        </w:rPr>
        <w:t>" נגזר משורש כו"ל שעניינו מדידה (גם בעברית</w:t>
      </w:r>
      <w:r>
        <w:rPr>
          <w:rStyle w:val="a4"/>
          <w:rtl/>
        </w:rPr>
        <w:footnoteReference w:id="94"/>
      </w:r>
      <w:r>
        <w:rPr>
          <w:rFonts w:hint="cs"/>
          <w:rtl/>
        </w:rPr>
        <w:t xml:space="preserve"> וגם בארמית</w:t>
      </w:r>
      <w:r>
        <w:rPr>
          <w:rStyle w:val="a4"/>
          <w:rtl/>
        </w:rPr>
        <w:footnoteReference w:id="95"/>
      </w:r>
      <w:r>
        <w:rPr>
          <w:rFonts w:hint="cs"/>
          <w:rtl/>
        </w:rPr>
        <w:t>).</w:t>
      </w:r>
    </w:p>
    <w:p w14:paraId="22B4CF0A" w14:textId="77777777" w:rsidR="00940290" w:rsidRDefault="00940290" w:rsidP="00940290">
      <w:pPr>
        <w:ind w:firstLine="284"/>
        <w:rPr>
          <w:rFonts w:hint="cs"/>
          <w:rtl/>
        </w:rPr>
      </w:pPr>
      <w:r>
        <w:rPr>
          <w:rFonts w:hint="cs"/>
          <w:rtl/>
        </w:rPr>
        <w:t>הפירוש השני (</w:t>
      </w:r>
      <w:r>
        <w:rPr>
          <w:rFonts w:hint="cs"/>
          <w:sz w:val="18"/>
          <w:szCs w:val="20"/>
          <w:rtl/>
        </w:rPr>
        <w:t>שמזכיר רש"י רק כאן</w:t>
      </w:r>
      <w:r>
        <w:rPr>
          <w:rFonts w:hint="cs"/>
          <w:rtl/>
        </w:rPr>
        <w:t>) מפרש את "</w:t>
      </w:r>
      <w:r>
        <w:rPr>
          <w:rFonts w:hint="cs"/>
          <w:b/>
          <w:bCs/>
          <w:rtl/>
        </w:rPr>
        <w:t>תיכול</w:t>
      </w:r>
      <w:r>
        <w:rPr>
          <w:rFonts w:hint="cs"/>
          <w:rtl/>
        </w:rPr>
        <w:t>" משורש אכ"ל: "</w:t>
      </w:r>
      <w:r>
        <w:rPr>
          <w:rFonts w:hint="cs"/>
          <w:b/>
          <w:bCs/>
          <w:rtl/>
        </w:rPr>
        <w:t>לכשתאכל</w:t>
      </w:r>
      <w:r>
        <w:rPr>
          <w:rFonts w:hint="cs"/>
          <w:rtl/>
        </w:rPr>
        <w:t xml:space="preserve"> עליה כור של מלח, לא תוכל להשוותם זו לזו". בחידושי רא"מ הורוויץ מסביר שהשואל ידע שיש חילוק בין המקרים, אלא שלא הרגיש היטב את טעם החילוק, "כמאכל תפל בלי מלח" (</w:t>
      </w:r>
      <w:r>
        <w:rPr>
          <w:rFonts w:hint="cs"/>
          <w:sz w:val="18"/>
          <w:szCs w:val="20"/>
          <w:rtl/>
        </w:rPr>
        <w:t xml:space="preserve">ע"פ </w:t>
      </w:r>
      <w:r>
        <w:rPr>
          <w:sz w:val="18"/>
          <w:szCs w:val="20"/>
          <w:rtl/>
        </w:rPr>
        <w:t>איוב ו</w:t>
      </w:r>
      <w:r>
        <w:rPr>
          <w:rFonts w:hint="cs"/>
          <w:sz w:val="18"/>
          <w:szCs w:val="20"/>
          <w:rtl/>
        </w:rPr>
        <w:t xml:space="preserve">, </w:t>
      </w:r>
      <w:r>
        <w:rPr>
          <w:sz w:val="18"/>
          <w:szCs w:val="20"/>
          <w:rtl/>
        </w:rPr>
        <w:t>ו</w:t>
      </w:r>
      <w:r>
        <w:rPr>
          <w:rFonts w:hint="cs"/>
          <w:rtl/>
        </w:rPr>
        <w:t>), לכן אמר לו רב נחמן שכשיאכל כור מלח ירגיש היטב טעם החילוק</w:t>
      </w:r>
      <w:r>
        <w:rPr>
          <w:rStyle w:val="a4"/>
          <w:rtl/>
        </w:rPr>
        <w:footnoteReference w:id="96"/>
      </w:r>
      <w:r>
        <w:rPr>
          <w:rFonts w:hint="cs"/>
          <w:rtl/>
        </w:rPr>
        <w:t>.</w:t>
      </w:r>
    </w:p>
    <w:p w14:paraId="0D776EE1" w14:textId="77777777" w:rsidR="00940290" w:rsidRPr="00940290" w:rsidRDefault="00940290" w:rsidP="00940290">
      <w:pPr>
        <w:rPr>
          <w:rFonts w:hint="cs"/>
          <w:rtl/>
        </w:rPr>
      </w:pPr>
    </w:p>
    <w:p w14:paraId="39E562B7" w14:textId="77777777" w:rsidR="00940290" w:rsidRDefault="00940290" w:rsidP="00940290">
      <w:pPr>
        <w:pStyle w:val="1"/>
        <w:rPr>
          <w:rFonts w:hint="cs"/>
          <w:rtl/>
        </w:rPr>
      </w:pPr>
      <w:r>
        <w:rPr>
          <w:rFonts w:hint="cs"/>
          <w:rtl/>
        </w:rPr>
        <w:lastRenderedPageBreak/>
        <w:t xml:space="preserve">דף ד, א: "וכי אומרים לו לאדם </w:t>
      </w:r>
      <w:r>
        <w:rPr>
          <w:rFonts w:hint="cs"/>
          <w:b/>
          <w:bCs/>
          <w:rtl/>
        </w:rPr>
        <w:t>חטא</w:t>
      </w:r>
      <w:r>
        <w:rPr>
          <w:rFonts w:hint="cs"/>
          <w:rtl/>
        </w:rPr>
        <w:t xml:space="preserve"> כדי שיזכה חבירך?!"</w:t>
      </w:r>
    </w:p>
    <w:p w14:paraId="3008CA11" w14:textId="77777777" w:rsidR="00940290" w:rsidRDefault="00940290" w:rsidP="00940290">
      <w:pPr>
        <w:pStyle w:val="2"/>
        <w:rPr>
          <w:rFonts w:hint="cs"/>
          <w:rtl/>
        </w:rPr>
      </w:pPr>
      <w:r>
        <w:rPr>
          <w:rFonts w:hint="cs"/>
          <w:rtl/>
        </w:rPr>
        <w:t>"חֲטָא!" או "חֲטוֹא!"</w:t>
      </w:r>
    </w:p>
    <w:p w14:paraId="5C3CC1DF" w14:textId="77777777" w:rsidR="00940290" w:rsidRDefault="00940290" w:rsidP="00940290">
      <w:pPr>
        <w:ind w:firstLine="284"/>
        <w:rPr>
          <w:rFonts w:hint="cs"/>
          <w:rtl/>
        </w:rPr>
      </w:pPr>
      <w:r>
        <w:rPr>
          <w:rFonts w:hint="cs"/>
          <w:rtl/>
        </w:rPr>
        <w:t>את המִלה "חטא", ציווי משורש חט"א, ניתן לקרוא (בבנין קל</w:t>
      </w:r>
      <w:r>
        <w:rPr>
          <w:rStyle w:val="a4"/>
          <w:rtl/>
        </w:rPr>
        <w:footnoteReference w:id="97"/>
      </w:r>
      <w:r>
        <w:rPr>
          <w:rFonts w:hint="cs"/>
          <w:rtl/>
        </w:rPr>
        <w:t xml:space="preserve">) בשני אופנים: </w:t>
      </w:r>
    </w:p>
    <w:p w14:paraId="21E65DBB" w14:textId="77777777" w:rsidR="00940290" w:rsidRDefault="00940290" w:rsidP="00940290">
      <w:pPr>
        <w:ind w:firstLine="284"/>
        <w:rPr>
          <w:rFonts w:hint="cs"/>
          <w:rtl/>
        </w:rPr>
      </w:pPr>
      <w:r>
        <w:rPr>
          <w:rFonts w:hint="cs"/>
          <w:rtl/>
        </w:rPr>
        <w:t>יש מנקדים "</w:t>
      </w:r>
      <w:r>
        <w:rPr>
          <w:rFonts w:hint="cs"/>
          <w:b/>
          <w:bCs/>
          <w:rtl/>
        </w:rPr>
        <w:t>חֲטָא</w:t>
      </w:r>
      <w:r>
        <w:rPr>
          <w:rFonts w:hint="cs"/>
          <w:rtl/>
        </w:rPr>
        <w:t>!"</w:t>
      </w:r>
      <w:r>
        <w:rPr>
          <w:rStyle w:val="a4"/>
          <w:rtl/>
        </w:rPr>
        <w:footnoteReference w:id="98"/>
      </w:r>
      <w:r>
        <w:rPr>
          <w:rFonts w:hint="cs"/>
          <w:rtl/>
        </w:rPr>
        <w:t>. ניקוד זה מתאים לכללי הדקדוק של לשון המקרא</w:t>
      </w:r>
      <w:r>
        <w:rPr>
          <w:rStyle w:val="a4"/>
          <w:rtl/>
        </w:rPr>
        <w:footnoteReference w:id="99"/>
      </w:r>
      <w:r>
        <w:rPr>
          <w:rFonts w:hint="cs"/>
          <w:rtl/>
        </w:rPr>
        <w:t>. ברם, בלשון חז"ל הניקוד המתאים הוא "</w:t>
      </w:r>
      <w:r>
        <w:rPr>
          <w:rFonts w:hint="cs"/>
          <w:b/>
          <w:bCs/>
          <w:rtl/>
        </w:rPr>
        <w:t>חֲטֹא</w:t>
      </w:r>
      <w:r>
        <w:rPr>
          <w:rFonts w:hint="cs"/>
          <w:rtl/>
        </w:rPr>
        <w:t>!"</w:t>
      </w:r>
      <w:r>
        <w:rPr>
          <w:rStyle w:val="a4"/>
          <w:rtl/>
        </w:rPr>
        <w:footnoteReference w:id="100"/>
      </w:r>
      <w:r>
        <w:rPr>
          <w:rFonts w:hint="cs"/>
          <w:rtl/>
        </w:rPr>
        <w:t>, וכך קוראים</w:t>
      </w:r>
      <w:r>
        <w:rPr>
          <w:rFonts w:ascii="YerushalmyD" w:hAnsi="YerushalmyD" w:cs="YerushalmyD" w:hint="cs"/>
          <w:rtl/>
        </w:rPr>
        <w:t xml:space="preserve"> </w:t>
      </w:r>
      <w:r>
        <w:rPr>
          <w:rFonts w:hint="cs"/>
          <w:rtl/>
        </w:rPr>
        <w:t>יהודי</w:t>
      </w:r>
      <w:r>
        <w:rPr>
          <w:rFonts w:ascii="YerushalmyD" w:hAnsi="YerushalmyD" w:cs="YerushalmyD" w:hint="cs"/>
          <w:rtl/>
        </w:rPr>
        <w:t xml:space="preserve"> </w:t>
      </w:r>
      <w:r>
        <w:rPr>
          <w:rFonts w:hint="cs"/>
          <w:rtl/>
        </w:rPr>
        <w:t>תימן</w:t>
      </w:r>
      <w:r>
        <w:rPr>
          <w:rStyle w:val="a4"/>
          <w:rtl/>
        </w:rPr>
        <w:footnoteReference w:id="101"/>
      </w:r>
      <w:r>
        <w:rPr>
          <w:rFonts w:hint="cs"/>
          <w:rtl/>
        </w:rPr>
        <w:t>, וכן מוכח מלשון הפוסקים, ראשונים ואחרונים, מעדות שונות, המצטטים משפט תלמודי זה בכתיב מלא ו': "</w:t>
      </w:r>
      <w:r>
        <w:rPr>
          <w:rFonts w:hint="cs"/>
          <w:b/>
          <w:bCs/>
          <w:rtl/>
        </w:rPr>
        <w:t>חֲטוֹא</w:t>
      </w:r>
      <w:r>
        <w:rPr>
          <w:rFonts w:hint="cs"/>
          <w:rtl/>
        </w:rPr>
        <w:t>"</w:t>
      </w:r>
      <w:r>
        <w:rPr>
          <w:rStyle w:val="a4"/>
          <w:rtl/>
        </w:rPr>
        <w:footnoteReference w:id="102"/>
      </w:r>
      <w:r>
        <w:rPr>
          <w:rFonts w:hint="cs"/>
          <w:rtl/>
        </w:rPr>
        <w:t xml:space="preserve">. הכתיב המלא של צורה זו מתועד בסוגייתנו בכתב יד </w:t>
      </w:r>
      <w:r>
        <w:rPr>
          <w:rFonts w:hint="cs"/>
          <w:rtl/>
        </w:rPr>
        <w:lastRenderedPageBreak/>
        <w:t>אוקספורד (</w:t>
      </w:r>
      <w:r>
        <w:rPr>
          <w:rFonts w:hint="cs"/>
          <w:sz w:val="18"/>
          <w:szCs w:val="20"/>
          <w:rtl/>
        </w:rPr>
        <w:t>ראה להלן</w:t>
      </w:r>
      <w:r>
        <w:rPr>
          <w:rFonts w:hint="cs"/>
          <w:rtl/>
        </w:rPr>
        <w:t>), ומופיע גם בדפוסי התלמוד בסוגיה אחרת: "אם יאמר לך יצר הרע '</w:t>
      </w:r>
      <w:r>
        <w:rPr>
          <w:rFonts w:hint="cs"/>
          <w:b/>
          <w:bCs/>
          <w:rtl/>
        </w:rPr>
        <w:t>חֲטוֹא</w:t>
      </w:r>
      <w:r>
        <w:rPr>
          <w:rFonts w:hint="cs"/>
          <w:rtl/>
        </w:rPr>
        <w:t>, והקב"ה מוחל' - אל תאמן!" (</w:t>
      </w:r>
      <w:r>
        <w:rPr>
          <w:rFonts w:hint="cs"/>
          <w:sz w:val="18"/>
          <w:szCs w:val="20"/>
          <w:rtl/>
        </w:rPr>
        <w:t>חגיגה טז, א</w:t>
      </w:r>
      <w:r>
        <w:rPr>
          <w:rStyle w:val="a4"/>
          <w:szCs w:val="20"/>
          <w:rtl/>
        </w:rPr>
        <w:footnoteReference w:id="103"/>
      </w:r>
      <w:r>
        <w:rPr>
          <w:rFonts w:hint="cs"/>
          <w:rtl/>
        </w:rPr>
        <w:t>).</w:t>
      </w:r>
    </w:p>
    <w:p w14:paraId="1DA6A0FC" w14:textId="77777777" w:rsidR="00940290" w:rsidRDefault="00940290" w:rsidP="00940290">
      <w:pPr>
        <w:ind w:firstLine="284"/>
        <w:rPr>
          <w:rFonts w:hint="cs"/>
          <w:rtl/>
        </w:rPr>
      </w:pPr>
      <w:r>
        <w:rPr>
          <w:rFonts w:hint="cs"/>
          <w:rtl/>
        </w:rPr>
        <w:t>ביטוי דומה מופיע בשתי סוגיות נוספות בנוסח זה: "וכי אומרים לו לאדם '</w:t>
      </w:r>
      <w:r>
        <w:rPr>
          <w:b/>
          <w:bCs/>
          <w:rtl/>
        </w:rPr>
        <w:t>עֲמ</w:t>
      </w:r>
      <w:r>
        <w:rPr>
          <w:rFonts w:hint="cs"/>
          <w:b/>
          <w:bCs/>
          <w:rtl/>
        </w:rPr>
        <w:t>ו</w:t>
      </w:r>
      <w:r>
        <w:rPr>
          <w:b/>
          <w:bCs/>
          <w:rtl/>
        </w:rPr>
        <w:t>ֹד</w:t>
      </w:r>
      <w:r>
        <w:rPr>
          <w:rFonts w:hint="cs"/>
          <w:b/>
          <w:bCs/>
          <w:rtl/>
        </w:rPr>
        <w:t xml:space="preserve"> וחטא </w:t>
      </w:r>
      <w:r>
        <w:rPr>
          <w:rFonts w:hint="cs"/>
          <w:rtl/>
        </w:rPr>
        <w:t>בשביל שתזכה'?" (</w:t>
      </w:r>
      <w:r>
        <w:rPr>
          <w:rFonts w:hint="cs"/>
          <w:sz w:val="18"/>
          <w:szCs w:val="20"/>
          <w:rtl/>
        </w:rPr>
        <w:t>קידושין נה, ב; מנחות מח, א</w:t>
      </w:r>
      <w:r>
        <w:rPr>
          <w:rFonts w:hint="cs"/>
          <w:rtl/>
        </w:rPr>
        <w:t>). ונראה שהוספת פֹעַל העֶזֶר "</w:t>
      </w:r>
      <w:r>
        <w:rPr>
          <w:rtl/>
        </w:rPr>
        <w:t>עֲמ</w:t>
      </w:r>
      <w:r>
        <w:rPr>
          <w:rFonts w:hint="cs"/>
          <w:rtl/>
        </w:rPr>
        <w:t>ו</w:t>
      </w:r>
      <w:r>
        <w:rPr>
          <w:rtl/>
        </w:rPr>
        <w:t>ֹד</w:t>
      </w:r>
      <w:r>
        <w:rPr>
          <w:rFonts w:hint="cs"/>
          <w:rtl/>
        </w:rPr>
        <w:t>" נועדה להבהיר שזהו פֹעַל בציווי. כעין עֶזֶר זה מצינו גם בסוגייתינו בכתבי יד:</w:t>
      </w:r>
    </w:p>
    <w:p w14:paraId="1C7A930E" w14:textId="77777777" w:rsidR="00940290" w:rsidRDefault="00940290" w:rsidP="00940290">
      <w:pPr>
        <w:ind w:firstLine="284"/>
        <w:rPr>
          <w:rFonts w:hint="cs"/>
          <w:rtl/>
        </w:rPr>
      </w:pPr>
      <w:r>
        <w:rPr>
          <w:rFonts w:hint="cs"/>
          <w:rtl/>
        </w:rPr>
        <w:t>בכתב יד אוקספורד גרסינן "</w:t>
      </w:r>
      <w:r>
        <w:rPr>
          <w:rtl/>
        </w:rPr>
        <w:t>עֲמ</w:t>
      </w:r>
      <w:r>
        <w:rPr>
          <w:rFonts w:hint="cs"/>
          <w:rtl/>
        </w:rPr>
        <w:t>ו</w:t>
      </w:r>
      <w:r>
        <w:rPr>
          <w:rtl/>
        </w:rPr>
        <w:t>ֹד</w:t>
      </w:r>
      <w:r>
        <w:rPr>
          <w:rFonts w:hint="cs"/>
          <w:rtl/>
        </w:rPr>
        <w:t xml:space="preserve"> </w:t>
      </w:r>
      <w:r>
        <w:rPr>
          <w:rFonts w:eastAsia="MS Mincho"/>
          <w:rtl/>
        </w:rPr>
        <w:t>וחט</w:t>
      </w:r>
      <w:r>
        <w:rPr>
          <w:rFonts w:eastAsia="MS Mincho"/>
          <w:b/>
          <w:bCs/>
          <w:rtl/>
        </w:rPr>
        <w:t>ו</w:t>
      </w:r>
      <w:r>
        <w:rPr>
          <w:rFonts w:eastAsia="MS Mincho"/>
          <w:rtl/>
        </w:rPr>
        <w:t>א בשביל שיזכה חברך</w:t>
      </w:r>
      <w:r>
        <w:rPr>
          <w:rFonts w:hint="cs"/>
          <w:rtl/>
        </w:rPr>
        <w:t>" (</w:t>
      </w:r>
      <w:r>
        <w:rPr>
          <w:rFonts w:hint="cs"/>
          <w:sz w:val="18"/>
          <w:szCs w:val="20"/>
          <w:rtl/>
        </w:rPr>
        <w:t>וכן הגירסה ב</w:t>
      </w:r>
      <w:r>
        <w:rPr>
          <w:sz w:val="18"/>
          <w:szCs w:val="20"/>
          <w:rtl/>
        </w:rPr>
        <w:t>חידושי הריטב"א</w:t>
      </w:r>
      <w:r>
        <w:rPr>
          <w:rFonts w:hint="cs"/>
          <w:sz w:val="18"/>
          <w:szCs w:val="20"/>
          <w:rtl/>
        </w:rPr>
        <w:t xml:space="preserve"> כאן</w:t>
      </w:r>
      <w:r>
        <w:rPr>
          <w:rFonts w:hint="cs"/>
          <w:rtl/>
        </w:rPr>
        <w:t>); ואילו בכתב יד מינכן מצינו פֹעַל עֶזֶר אחר: "</w:t>
      </w:r>
      <w:r>
        <w:rPr>
          <w:rFonts w:hint="cs"/>
          <w:b/>
          <w:bCs/>
          <w:rtl/>
        </w:rPr>
        <w:t>צֵא</w:t>
      </w:r>
      <w:r>
        <w:rPr>
          <w:rFonts w:hint="cs"/>
          <w:rtl/>
        </w:rPr>
        <w:t xml:space="preserve"> וחטא בשביל שתְזַכה חבירך". יתכן שכך גרס גם רש"י הכותב: "וכי אומרים לו לאדם </w:t>
      </w:r>
      <w:r>
        <w:rPr>
          <w:rFonts w:hint="cs"/>
          <w:b/>
          <w:bCs/>
          <w:rtl/>
        </w:rPr>
        <w:t>צֵא</w:t>
      </w:r>
      <w:r>
        <w:rPr>
          <w:rFonts w:hint="cs"/>
          <w:rtl/>
        </w:rPr>
        <w:t xml:space="preserve"> וחטא איסור קל כדי שלא יתחייב חבירך עונש חמור" (</w:t>
      </w:r>
      <w:r>
        <w:rPr>
          <w:rFonts w:hint="cs"/>
          <w:sz w:val="18"/>
          <w:szCs w:val="20"/>
          <w:rtl/>
        </w:rPr>
        <w:t>ראה כאן דק"ס ג'</w:t>
      </w:r>
      <w:r>
        <w:rPr>
          <w:rFonts w:hint="cs"/>
          <w:rtl/>
        </w:rPr>
        <w:t>), אך יתכן שגם רש"י גרס כמונו, ואין זה אלא תוספת ביאור מדיליהּ.</w:t>
      </w:r>
    </w:p>
    <w:p w14:paraId="256839B5" w14:textId="77777777" w:rsidR="00940290" w:rsidRPr="00940290" w:rsidRDefault="00940290" w:rsidP="00940290">
      <w:pPr>
        <w:rPr>
          <w:rFonts w:hint="cs"/>
          <w:rtl/>
        </w:rPr>
      </w:pPr>
    </w:p>
    <w:p w14:paraId="2A7AA262" w14:textId="77777777" w:rsidR="00940290" w:rsidRDefault="00940290" w:rsidP="00940290">
      <w:pPr>
        <w:pStyle w:val="1"/>
        <w:rPr>
          <w:rFonts w:hint="cs"/>
          <w:rtl/>
        </w:rPr>
      </w:pPr>
      <w:r>
        <w:rPr>
          <w:rFonts w:hint="cs"/>
          <w:rtl/>
        </w:rPr>
        <w:t>דף ה, א: "</w:t>
      </w:r>
      <w:r>
        <w:rPr>
          <w:rtl/>
        </w:rPr>
        <w:t>לא תימא קיבל אלא קלט</w:t>
      </w:r>
      <w:r>
        <w:rPr>
          <w:rFonts w:hint="cs"/>
          <w:rtl/>
        </w:rPr>
        <w:t>"</w:t>
      </w:r>
    </w:p>
    <w:p w14:paraId="3DB443F9" w14:textId="77777777" w:rsidR="00940290" w:rsidRDefault="00940290" w:rsidP="00940290">
      <w:pPr>
        <w:pStyle w:val="2"/>
        <w:rPr>
          <w:rFonts w:hint="cs"/>
          <w:rtl/>
        </w:rPr>
      </w:pPr>
      <w:r>
        <w:rPr>
          <w:rFonts w:hint="cs"/>
          <w:rtl/>
        </w:rPr>
        <w:t>קִבֵּל ונ</w:t>
      </w:r>
      <w:r>
        <w:rPr>
          <w:rtl/>
        </w:rPr>
        <w:t>ט</w:t>
      </w:r>
      <w:r>
        <w:rPr>
          <w:rFonts w:hint="cs"/>
          <w:rtl/>
        </w:rPr>
        <w:t>ל, לקח, לקט וקלט</w:t>
      </w:r>
    </w:p>
    <w:p w14:paraId="47A06E0A" w14:textId="77777777" w:rsidR="00940290" w:rsidRDefault="00940290" w:rsidP="00940290">
      <w:pPr>
        <w:ind w:firstLine="284"/>
        <w:rPr>
          <w:rFonts w:hint="cs"/>
          <w:rtl/>
        </w:rPr>
      </w:pPr>
      <w:r>
        <w:rPr>
          <w:rFonts w:hint="cs"/>
          <w:rtl/>
        </w:rPr>
        <w:t xml:space="preserve">את מאמרו של </w:t>
      </w:r>
      <w:r>
        <w:rPr>
          <w:rtl/>
        </w:rPr>
        <w:t>רבי יוחנן</w:t>
      </w:r>
      <w:r>
        <w:rPr>
          <w:rFonts w:hint="cs"/>
          <w:rtl/>
        </w:rPr>
        <w:t xml:space="preserve"> "</w:t>
      </w:r>
      <w:r>
        <w:rPr>
          <w:rtl/>
        </w:rPr>
        <w:t>הכניס ידו לתוך חצר חבירו, ו</w:t>
      </w:r>
      <w:r>
        <w:rPr>
          <w:b/>
          <w:bCs/>
          <w:rtl/>
        </w:rPr>
        <w:t>קיבל</w:t>
      </w:r>
      <w:r>
        <w:rPr>
          <w:rtl/>
        </w:rPr>
        <w:t xml:space="preserve"> מי גשמים והוציא - חייב</w:t>
      </w:r>
      <w:r>
        <w:rPr>
          <w:rFonts w:hint="cs"/>
          <w:rtl/>
        </w:rPr>
        <w:t>" מפרש התלמוד: "</w:t>
      </w:r>
      <w:r>
        <w:rPr>
          <w:rtl/>
        </w:rPr>
        <w:t>לא תימא קיבל אלא קלט</w:t>
      </w:r>
      <w:r>
        <w:rPr>
          <w:rFonts w:hint="cs"/>
          <w:rtl/>
        </w:rPr>
        <w:t xml:space="preserve">". בדרך כלל המשמעות המוחשית של "קִבֵּל" היא: אִפְשֵׁר לדבר שמועבר אליו להגיע אליו. אין המקבל עושה מעשה, אלא לכל היותר הוא משתף פעולה עם הנותן, ומאפשֵר לנותן להצליח לבצע את </w:t>
      </w:r>
      <w:r>
        <w:rPr>
          <w:rFonts w:hint="cs"/>
          <w:rtl/>
        </w:rPr>
        <w:lastRenderedPageBreak/>
        <w:t>פעולת הנתינה, ע"י השארת כף ידו פתוחה, או ע"י אחיזה בכלי קיבול פתוח. כך מתבצעת מצות "קבלת הדם" (ככתוב: "</w:t>
      </w:r>
      <w:r>
        <w:rPr>
          <w:rtl/>
        </w:rPr>
        <w:t>וַיִּשְׁחֲטוּ הַבָּקָר</w:t>
      </w:r>
      <w:r>
        <w:rPr>
          <w:rFonts w:hint="cs"/>
          <w:rtl/>
        </w:rPr>
        <w:t xml:space="preserve">, </w:t>
      </w:r>
      <w:r>
        <w:rPr>
          <w:b/>
          <w:bCs/>
          <w:rtl/>
        </w:rPr>
        <w:t>וַיְקַבְּלוּ</w:t>
      </w:r>
      <w:r>
        <w:rPr>
          <w:rtl/>
        </w:rPr>
        <w:t xml:space="preserve"> הַכֹּהֲנִים</w:t>
      </w:r>
      <w:r>
        <w:rPr>
          <w:rFonts w:hint="cs"/>
          <w:rtl/>
        </w:rPr>
        <w:t xml:space="preserve"> </w:t>
      </w:r>
      <w:r>
        <w:rPr>
          <w:rtl/>
        </w:rPr>
        <w:t>אֶת הַדָּם</w:t>
      </w:r>
      <w:r>
        <w:rPr>
          <w:rFonts w:hint="cs"/>
          <w:rtl/>
        </w:rPr>
        <w:t>,</w:t>
      </w:r>
      <w:r>
        <w:rPr>
          <w:rtl/>
        </w:rPr>
        <w:t xml:space="preserve"> וַיִּזְרְקוּ הַמִּזְבֵּחָה</w:t>
      </w:r>
      <w:r>
        <w:rPr>
          <w:rFonts w:hint="cs"/>
          <w:rtl/>
        </w:rPr>
        <w:t>"</w:t>
      </w:r>
      <w:r>
        <w:rPr>
          <w:rFonts w:hint="cs"/>
          <w:sz w:val="18"/>
          <w:szCs w:val="20"/>
          <w:rtl/>
        </w:rPr>
        <w:t>,</w:t>
      </w:r>
      <w:r>
        <w:rPr>
          <w:rFonts w:hint="cs"/>
          <w:rtl/>
        </w:rPr>
        <w:t xml:space="preserve"> </w:t>
      </w:r>
      <w:r>
        <w:rPr>
          <w:sz w:val="18"/>
          <w:szCs w:val="20"/>
          <w:rtl/>
        </w:rPr>
        <w:t>דברי הימים ב</w:t>
      </w:r>
      <w:r>
        <w:rPr>
          <w:rFonts w:hint="cs"/>
          <w:sz w:val="18"/>
          <w:szCs w:val="20"/>
          <w:rtl/>
        </w:rPr>
        <w:t xml:space="preserve">' </w:t>
      </w:r>
      <w:r>
        <w:rPr>
          <w:sz w:val="18"/>
          <w:szCs w:val="20"/>
          <w:rtl/>
        </w:rPr>
        <w:t>כט</w:t>
      </w:r>
      <w:r>
        <w:rPr>
          <w:rFonts w:hint="cs"/>
          <w:sz w:val="18"/>
          <w:szCs w:val="20"/>
          <w:rtl/>
        </w:rPr>
        <w:t xml:space="preserve">, </w:t>
      </w:r>
      <w:r>
        <w:rPr>
          <w:sz w:val="18"/>
          <w:szCs w:val="20"/>
          <w:rtl/>
        </w:rPr>
        <w:t>כב</w:t>
      </w:r>
      <w:r>
        <w:rPr>
          <w:rStyle w:val="a4"/>
          <w:szCs w:val="20"/>
          <w:rtl/>
        </w:rPr>
        <w:footnoteReference w:id="104"/>
      </w:r>
      <w:r>
        <w:rPr>
          <w:rFonts w:hint="cs"/>
          <w:rtl/>
        </w:rPr>
        <w:t>) וכן קבלת הגֵט.</w:t>
      </w:r>
    </w:p>
    <w:p w14:paraId="70AA5384" w14:textId="77777777" w:rsidR="00940290" w:rsidRDefault="00940290" w:rsidP="00940290">
      <w:pPr>
        <w:ind w:firstLine="284"/>
        <w:rPr>
          <w:rFonts w:hint="cs"/>
          <w:rtl/>
        </w:rPr>
      </w:pPr>
      <w:r>
        <w:rPr>
          <w:rFonts w:hint="cs"/>
          <w:rtl/>
        </w:rPr>
        <w:t xml:space="preserve">ההבנה הראשונית של דברי </w:t>
      </w:r>
      <w:r>
        <w:rPr>
          <w:rtl/>
        </w:rPr>
        <w:t>רבי יוחנן</w:t>
      </w:r>
      <w:r>
        <w:rPr>
          <w:rFonts w:hint="cs"/>
          <w:rtl/>
        </w:rPr>
        <w:t xml:space="preserve"> היתה ש"</w:t>
      </w:r>
      <w:r>
        <w:rPr>
          <w:rtl/>
        </w:rPr>
        <w:t>קיבל מי גשמים</w:t>
      </w:r>
      <w:r>
        <w:rPr>
          <w:rFonts w:hint="cs"/>
          <w:rtl/>
        </w:rPr>
        <w:t xml:space="preserve">" משמע: אִפְשֵׁר לגשם לנחות על כף היד, ללא מעשה נוסף (לשון רש"י </w:t>
      </w:r>
      <w:r>
        <w:rPr>
          <w:rFonts w:hint="cs"/>
          <w:sz w:val="18"/>
          <w:szCs w:val="20"/>
          <w:rtl/>
        </w:rPr>
        <w:t xml:space="preserve">בד"ה </w:t>
      </w:r>
      <w:r>
        <w:rPr>
          <w:sz w:val="18"/>
          <w:szCs w:val="20"/>
          <w:rtl/>
        </w:rPr>
        <w:t>לא תימא קיבל</w:t>
      </w:r>
      <w:r>
        <w:rPr>
          <w:rFonts w:hint="cs"/>
          <w:rtl/>
        </w:rPr>
        <w:t>: "</w:t>
      </w:r>
      <w:r>
        <w:rPr>
          <w:rtl/>
        </w:rPr>
        <w:t>פשט ידו</w:t>
      </w:r>
      <w:r>
        <w:rPr>
          <w:rFonts w:hint="cs"/>
          <w:rtl/>
        </w:rPr>
        <w:t>,</w:t>
      </w:r>
      <w:r>
        <w:rPr>
          <w:rtl/>
        </w:rPr>
        <w:t xml:space="preserve"> וירדו לתוכה, דלא עבד מעשה</w:t>
      </w:r>
      <w:r>
        <w:rPr>
          <w:rFonts w:hint="cs"/>
          <w:rtl/>
        </w:rPr>
        <w:t>"). אולם, הואיל וכדי להתחייב בהוצאה מרשות לרשות צריכה להתבצע גם "</w:t>
      </w:r>
      <w:r>
        <w:rPr>
          <w:rtl/>
        </w:rPr>
        <w:t>עקירה</w:t>
      </w:r>
      <w:r>
        <w:rPr>
          <w:rFonts w:hint="cs"/>
          <w:rtl/>
        </w:rPr>
        <w:t>" של החפץ המוּצָא ע"י המוציא, לכן פרשו</w:t>
      </w:r>
      <w:r>
        <w:rPr>
          <w:rStyle w:val="a4"/>
          <w:rtl/>
        </w:rPr>
        <w:footnoteReference w:id="105"/>
      </w:r>
      <w:r>
        <w:rPr>
          <w:rFonts w:hint="cs"/>
          <w:rtl/>
        </w:rPr>
        <w:t xml:space="preserve"> שכאן יש ל"</w:t>
      </w:r>
      <w:r>
        <w:rPr>
          <w:rtl/>
        </w:rPr>
        <w:t>קיבל</w:t>
      </w:r>
      <w:r>
        <w:rPr>
          <w:rFonts w:hint="cs"/>
          <w:rtl/>
        </w:rPr>
        <w:t>" משמעות ייחודית</w:t>
      </w:r>
      <w:r>
        <w:rPr>
          <w:rStyle w:val="a4"/>
          <w:rtl/>
        </w:rPr>
        <w:footnoteReference w:id="106"/>
      </w:r>
      <w:r>
        <w:rPr>
          <w:rFonts w:hint="cs"/>
          <w:rtl/>
        </w:rPr>
        <w:t xml:space="preserve">: "קלט", כלומר, עשה מעשה על מנת </w:t>
      </w:r>
      <w:r>
        <w:rPr>
          <w:rFonts w:hint="cs"/>
          <w:rtl/>
        </w:rPr>
        <w:lastRenderedPageBreak/>
        <w:t>להביא את הגשם אל היד: "</w:t>
      </w:r>
      <w:r>
        <w:rPr>
          <w:rtl/>
        </w:rPr>
        <w:t>ה</w:t>
      </w:r>
      <w:r>
        <w:rPr>
          <w:rFonts w:hint="cs"/>
          <w:rtl/>
        </w:rPr>
        <w:t>ִ</w:t>
      </w:r>
      <w:r>
        <w:rPr>
          <w:rtl/>
        </w:rPr>
        <w:t>כ</w:t>
      </w:r>
      <w:r>
        <w:rPr>
          <w:rFonts w:hint="cs"/>
          <w:rtl/>
        </w:rPr>
        <w:t>ָּ</w:t>
      </w:r>
      <w:r>
        <w:rPr>
          <w:rtl/>
        </w:rPr>
        <w:t>ה בידו אחת וק</w:t>
      </w:r>
      <w:r>
        <w:rPr>
          <w:rFonts w:hint="cs"/>
          <w:rtl/>
        </w:rPr>
        <w:t>ִ</w:t>
      </w:r>
      <w:r>
        <w:rPr>
          <w:rtl/>
        </w:rPr>
        <w:t>בלו בחברתה, דעבד ליה עקירה</w:t>
      </w:r>
      <w:r>
        <w:rPr>
          <w:rFonts w:hint="cs"/>
          <w:rtl/>
        </w:rPr>
        <w:t>" (</w:t>
      </w:r>
      <w:r>
        <w:rPr>
          <w:sz w:val="18"/>
          <w:szCs w:val="20"/>
          <w:rtl/>
        </w:rPr>
        <w:t>רש"י ד"ה אלא אימא</w:t>
      </w:r>
      <w:r>
        <w:rPr>
          <w:rFonts w:hint="cs"/>
          <w:rtl/>
        </w:rPr>
        <w:t>).</w:t>
      </w:r>
    </w:p>
    <w:p w14:paraId="5152DFA5" w14:textId="77777777" w:rsidR="00940290" w:rsidRDefault="00940290" w:rsidP="00940290">
      <w:pPr>
        <w:ind w:firstLine="284"/>
        <w:rPr>
          <w:rFonts w:hint="cs"/>
          <w:rtl/>
        </w:rPr>
      </w:pPr>
      <w:r>
        <w:rPr>
          <w:rFonts w:hint="cs"/>
          <w:rtl/>
        </w:rPr>
        <w:t>ב</w:t>
      </w:r>
      <w:r>
        <w:rPr>
          <w:rtl/>
        </w:rPr>
        <w:t xml:space="preserve">תלמוד </w:t>
      </w:r>
      <w:r>
        <w:rPr>
          <w:rFonts w:hint="cs"/>
          <w:rtl/>
        </w:rPr>
        <w:t>ה</w:t>
      </w:r>
      <w:r>
        <w:rPr>
          <w:rtl/>
        </w:rPr>
        <w:t xml:space="preserve">ירושלמי </w:t>
      </w:r>
      <w:r>
        <w:rPr>
          <w:rFonts w:hint="cs"/>
          <w:rtl/>
        </w:rPr>
        <w:t>(</w:t>
      </w:r>
      <w:r>
        <w:rPr>
          <w:sz w:val="18"/>
          <w:szCs w:val="20"/>
          <w:rtl/>
        </w:rPr>
        <w:t>פ</w:t>
      </w:r>
      <w:r>
        <w:rPr>
          <w:rFonts w:hint="cs"/>
          <w:sz w:val="18"/>
          <w:szCs w:val="20"/>
          <w:rtl/>
        </w:rPr>
        <w:t>"</w:t>
      </w:r>
      <w:r>
        <w:rPr>
          <w:sz w:val="18"/>
          <w:szCs w:val="20"/>
          <w:rtl/>
        </w:rPr>
        <w:t>א ה"א</w:t>
      </w:r>
      <w:r>
        <w:rPr>
          <w:rFonts w:hint="cs"/>
          <w:rtl/>
        </w:rPr>
        <w:t>)</w:t>
      </w:r>
      <w:r>
        <w:rPr>
          <w:rtl/>
        </w:rPr>
        <w:t xml:space="preserve"> </w:t>
      </w:r>
      <w:r>
        <w:rPr>
          <w:rFonts w:hint="cs"/>
          <w:rtl/>
        </w:rPr>
        <w:t xml:space="preserve">מובא מאמרו של </w:t>
      </w:r>
      <w:r>
        <w:rPr>
          <w:rtl/>
        </w:rPr>
        <w:t xml:space="preserve">רבי יוחנן </w:t>
      </w:r>
      <w:r>
        <w:rPr>
          <w:rFonts w:hint="cs"/>
          <w:rtl/>
        </w:rPr>
        <w:t>בלשון זו: "</w:t>
      </w:r>
      <w:r>
        <w:rPr>
          <w:rtl/>
        </w:rPr>
        <w:t>היה עומד ברשות הרבים</w:t>
      </w:r>
      <w:r>
        <w:rPr>
          <w:rFonts w:hint="cs"/>
          <w:rtl/>
        </w:rPr>
        <w:t>,</w:t>
      </w:r>
      <w:r>
        <w:rPr>
          <w:rtl/>
        </w:rPr>
        <w:t xml:space="preserve"> ו</w:t>
      </w:r>
      <w:r>
        <w:rPr>
          <w:b/>
          <w:bCs/>
          <w:rtl/>
        </w:rPr>
        <w:t>ק</w:t>
      </w:r>
      <w:r>
        <w:rPr>
          <w:rFonts w:hint="cs"/>
          <w:b/>
          <w:bCs/>
          <w:rtl/>
        </w:rPr>
        <w:t>ָ</w:t>
      </w:r>
      <w:r>
        <w:rPr>
          <w:b/>
          <w:bCs/>
          <w:rtl/>
        </w:rPr>
        <w:t>ל</w:t>
      </w:r>
      <w:r>
        <w:rPr>
          <w:rFonts w:hint="cs"/>
          <w:b/>
          <w:bCs/>
          <w:rtl/>
        </w:rPr>
        <w:t>ַ</w:t>
      </w:r>
      <w:r>
        <w:rPr>
          <w:b/>
          <w:bCs/>
          <w:rtl/>
        </w:rPr>
        <w:t xml:space="preserve">ט </w:t>
      </w:r>
      <w:r>
        <w:rPr>
          <w:rtl/>
        </w:rPr>
        <w:t xml:space="preserve">גשמים מאויר מחיצות והוציא </w:t>
      </w:r>
      <w:r>
        <w:rPr>
          <w:rFonts w:hint="cs"/>
          <w:rtl/>
        </w:rPr>
        <w:t xml:space="preserve">- </w:t>
      </w:r>
      <w:r>
        <w:rPr>
          <w:rtl/>
        </w:rPr>
        <w:t>חייב</w:t>
      </w:r>
      <w:r>
        <w:rPr>
          <w:rFonts w:hint="cs"/>
          <w:rtl/>
        </w:rPr>
        <w:t>". לכאורה, נוסח זה תואם את מסקנת הבבלי. ולא היא! הפֹעַל "</w:t>
      </w:r>
      <w:r>
        <w:rPr>
          <w:rtl/>
        </w:rPr>
        <w:t>ק</w:t>
      </w:r>
      <w:r>
        <w:rPr>
          <w:rFonts w:hint="cs"/>
          <w:rtl/>
        </w:rPr>
        <w:t>ָ</w:t>
      </w:r>
      <w:r>
        <w:rPr>
          <w:rtl/>
        </w:rPr>
        <w:t>ל</w:t>
      </w:r>
      <w:r>
        <w:rPr>
          <w:rFonts w:hint="cs"/>
          <w:rtl/>
        </w:rPr>
        <w:t>ַ</w:t>
      </w:r>
      <w:r>
        <w:rPr>
          <w:rtl/>
        </w:rPr>
        <w:t>ט</w:t>
      </w:r>
      <w:r>
        <w:rPr>
          <w:rFonts w:hint="cs"/>
          <w:rtl/>
        </w:rPr>
        <w:t>" הובן בארץ ישראל כמו שהובן בתחילה הפֹעַל "קִבֵּל" בבבל (ולכן גם שם התקשו מדוע חייב ללא ביצוע עקירה). לפיכך פרשוהו ב</w:t>
      </w:r>
      <w:r>
        <w:rPr>
          <w:rtl/>
        </w:rPr>
        <w:t>ירושלמי</w:t>
      </w:r>
      <w:r>
        <w:rPr>
          <w:rFonts w:hint="cs"/>
          <w:rtl/>
        </w:rPr>
        <w:t xml:space="preserve"> </w:t>
      </w:r>
      <w:r>
        <w:rPr>
          <w:rtl/>
        </w:rPr>
        <w:t>בשם רבי זעירא</w:t>
      </w:r>
      <w:r>
        <w:rPr>
          <w:rStyle w:val="a4"/>
          <w:rtl/>
        </w:rPr>
        <w:footnoteReference w:id="107"/>
      </w:r>
      <w:r>
        <w:rPr>
          <w:rFonts w:hint="cs"/>
          <w:rtl/>
        </w:rPr>
        <w:t>:</w:t>
      </w:r>
      <w:r>
        <w:rPr>
          <w:rtl/>
        </w:rPr>
        <w:t xml:space="preserve"> </w:t>
      </w:r>
      <w:r>
        <w:rPr>
          <w:rFonts w:hint="cs"/>
          <w:rtl/>
        </w:rPr>
        <w:t>"</w:t>
      </w:r>
      <w:r>
        <w:rPr>
          <w:rtl/>
        </w:rPr>
        <w:t>בחוטף</w:t>
      </w:r>
      <w:r>
        <w:rPr>
          <w:rFonts w:hint="cs"/>
          <w:rtl/>
        </w:rPr>
        <w:t xml:space="preserve">", כלומר, בעושה מעשה עם ידו על מנת לקרב את המים אליו, וכך מעשהו ל"עקירה" יֵחשב (חידושי הרי"צ דינר, </w:t>
      </w:r>
      <w:r>
        <w:rPr>
          <w:rFonts w:hint="cs"/>
          <w:sz w:val="18"/>
          <w:szCs w:val="20"/>
          <w:rtl/>
        </w:rPr>
        <w:t xml:space="preserve">עמ' י"ז; וע"ע </w:t>
      </w:r>
      <w:r>
        <w:rPr>
          <w:sz w:val="18"/>
          <w:szCs w:val="20"/>
          <w:rtl/>
        </w:rPr>
        <w:t>עירובין צט</w:t>
      </w:r>
      <w:r>
        <w:rPr>
          <w:rFonts w:hint="cs"/>
          <w:sz w:val="18"/>
          <w:szCs w:val="20"/>
          <w:rtl/>
        </w:rPr>
        <w:t xml:space="preserve">, </w:t>
      </w:r>
      <w:r>
        <w:rPr>
          <w:sz w:val="18"/>
          <w:szCs w:val="20"/>
          <w:rtl/>
        </w:rPr>
        <w:t xml:space="preserve">ב </w:t>
      </w:r>
      <w:r>
        <w:rPr>
          <w:rFonts w:hint="cs"/>
          <w:sz w:val="18"/>
          <w:szCs w:val="20"/>
          <w:rtl/>
        </w:rPr>
        <w:t>"</w:t>
      </w:r>
      <w:r>
        <w:rPr>
          <w:sz w:val="18"/>
          <w:szCs w:val="20"/>
          <w:rtl/>
        </w:rPr>
        <w:t>קולט אין, אבל מצרף לא</w:t>
      </w:r>
      <w:r>
        <w:rPr>
          <w:rFonts w:hint="cs"/>
          <w:sz w:val="18"/>
          <w:szCs w:val="20"/>
          <w:rtl/>
        </w:rPr>
        <w:t>"</w:t>
      </w:r>
      <w:r>
        <w:rPr>
          <w:rFonts w:hint="cs"/>
          <w:rtl/>
        </w:rPr>
        <w:t>)</w:t>
      </w:r>
      <w:r>
        <w:rPr>
          <w:rStyle w:val="a4"/>
          <w:rtl/>
        </w:rPr>
        <w:footnoteReference w:id="108"/>
      </w:r>
      <w:r>
        <w:rPr>
          <w:rFonts w:hint="cs"/>
          <w:rtl/>
        </w:rPr>
        <w:t xml:space="preserve">. </w:t>
      </w:r>
    </w:p>
    <w:p w14:paraId="735A9DF9" w14:textId="77777777" w:rsidR="00940290" w:rsidRDefault="00940290" w:rsidP="00940290">
      <w:pPr>
        <w:ind w:firstLine="284"/>
        <w:rPr>
          <w:rFonts w:hint="cs"/>
          <w:rtl/>
        </w:rPr>
      </w:pPr>
      <w:r>
        <w:rPr>
          <w:rFonts w:hint="cs"/>
          <w:rtl/>
        </w:rPr>
        <w:lastRenderedPageBreak/>
        <w:t>בבוא ה</w:t>
      </w:r>
      <w:r>
        <w:rPr>
          <w:rtl/>
        </w:rPr>
        <w:t xml:space="preserve">רמב"ם </w:t>
      </w:r>
      <w:r>
        <w:rPr>
          <w:rFonts w:hint="cs"/>
          <w:rtl/>
        </w:rPr>
        <w:t>לנסח הלכה זו (</w:t>
      </w:r>
      <w:r>
        <w:rPr>
          <w:sz w:val="18"/>
          <w:szCs w:val="20"/>
          <w:rtl/>
        </w:rPr>
        <w:t>הלכות שבת פי</w:t>
      </w:r>
      <w:r>
        <w:rPr>
          <w:rFonts w:hint="cs"/>
          <w:sz w:val="18"/>
          <w:szCs w:val="20"/>
          <w:rtl/>
        </w:rPr>
        <w:t>"</w:t>
      </w:r>
      <w:r>
        <w:rPr>
          <w:sz w:val="18"/>
          <w:szCs w:val="20"/>
          <w:rtl/>
        </w:rPr>
        <w:t>ג</w:t>
      </w:r>
      <w:r>
        <w:rPr>
          <w:rFonts w:hint="cs"/>
          <w:sz w:val="18"/>
          <w:szCs w:val="20"/>
          <w:rtl/>
        </w:rPr>
        <w:t xml:space="preserve"> </w:t>
      </w:r>
      <w:r>
        <w:rPr>
          <w:sz w:val="18"/>
          <w:szCs w:val="20"/>
          <w:rtl/>
        </w:rPr>
        <w:t>ה</w:t>
      </w:r>
      <w:r>
        <w:rPr>
          <w:rFonts w:hint="cs"/>
          <w:sz w:val="18"/>
          <w:szCs w:val="20"/>
          <w:rtl/>
        </w:rPr>
        <w:t>"</w:t>
      </w:r>
      <w:r>
        <w:rPr>
          <w:sz w:val="18"/>
          <w:szCs w:val="20"/>
          <w:rtl/>
        </w:rPr>
        <w:t>ד</w:t>
      </w:r>
      <w:r>
        <w:rPr>
          <w:rFonts w:hint="cs"/>
          <w:sz w:val="18"/>
          <w:szCs w:val="20"/>
          <w:rtl/>
        </w:rPr>
        <w:t>; ע"פ מסקנת הסוגיה</w:t>
      </w:r>
      <w:r>
        <w:rPr>
          <w:rFonts w:hint="cs"/>
          <w:rtl/>
        </w:rPr>
        <w:t>) הוא בחר בלשון חד משמעית ונקט בפֹעַל "נָטַל" (</w:t>
      </w:r>
      <w:r>
        <w:rPr>
          <w:rFonts w:hint="cs"/>
          <w:sz w:val="18"/>
          <w:szCs w:val="20"/>
          <w:rtl/>
        </w:rPr>
        <w:t xml:space="preserve">במשמעו הרגיל בלשון המשנה, </w:t>
      </w:r>
      <w:r>
        <w:rPr>
          <w:rFonts w:hint="cs"/>
          <w:rtl/>
        </w:rPr>
        <w:t xml:space="preserve">המקביל לפֹעַל "לָקַח" </w:t>
      </w:r>
      <w:r>
        <w:rPr>
          <w:rFonts w:hint="cs"/>
          <w:sz w:val="18"/>
          <w:szCs w:val="20"/>
          <w:rtl/>
        </w:rPr>
        <w:t>שבלשון המקרא ובלשוננו</w:t>
      </w:r>
      <w:r>
        <w:rPr>
          <w:rFonts w:hint="cs"/>
          <w:rtl/>
        </w:rPr>
        <w:t xml:space="preserve">): </w:t>
      </w:r>
    </w:p>
    <w:p w14:paraId="766B3BE9" w14:textId="77777777" w:rsidR="00940290" w:rsidRDefault="00940290" w:rsidP="00940290">
      <w:pPr>
        <w:pStyle w:val="a7"/>
        <w:rPr>
          <w:rFonts w:hint="cs"/>
          <w:rtl/>
        </w:rPr>
      </w:pPr>
      <w:r>
        <w:rPr>
          <w:rFonts w:hint="cs"/>
          <w:rtl/>
        </w:rPr>
        <w:t>"</w:t>
      </w:r>
      <w:r>
        <w:rPr>
          <w:rtl/>
        </w:rPr>
        <w:t>היה עומד באחת משתי רשויות ופשט ידו לרשות שניה ו</w:t>
      </w:r>
      <w:r>
        <w:rPr>
          <w:b/>
          <w:bCs/>
          <w:rtl/>
        </w:rPr>
        <w:t>נ</w:t>
      </w:r>
      <w:r>
        <w:rPr>
          <w:rFonts w:hint="cs"/>
          <w:b/>
          <w:bCs/>
          <w:rtl/>
        </w:rPr>
        <w:t>ָ</w:t>
      </w:r>
      <w:r>
        <w:rPr>
          <w:b/>
          <w:bCs/>
          <w:rtl/>
        </w:rPr>
        <w:t>ט</w:t>
      </w:r>
      <w:r>
        <w:rPr>
          <w:rFonts w:hint="cs"/>
          <w:b/>
          <w:bCs/>
          <w:rtl/>
        </w:rPr>
        <w:t>ַ</w:t>
      </w:r>
      <w:r>
        <w:rPr>
          <w:b/>
          <w:bCs/>
          <w:rtl/>
        </w:rPr>
        <w:t xml:space="preserve">ל </w:t>
      </w:r>
      <w:r>
        <w:rPr>
          <w:rtl/>
        </w:rPr>
        <w:t>מש</w:t>
      </w:r>
      <w:r>
        <w:rPr>
          <w:rFonts w:hint="cs"/>
          <w:rtl/>
        </w:rPr>
        <w:t>ּ</w:t>
      </w:r>
      <w:r>
        <w:rPr>
          <w:rtl/>
        </w:rPr>
        <w:t xml:space="preserve">ם מים מעל גבי גומא מלאה מים והוציאן </w:t>
      </w:r>
      <w:r>
        <w:rPr>
          <w:rFonts w:hint="cs"/>
          <w:rtl/>
        </w:rPr>
        <w:t xml:space="preserve">- </w:t>
      </w:r>
      <w:r>
        <w:rPr>
          <w:rtl/>
        </w:rPr>
        <w:t>חייב, שהמים כולן כא</w:t>
      </w:r>
      <w:r>
        <w:rPr>
          <w:rFonts w:hint="cs"/>
          <w:rtl/>
        </w:rPr>
        <w:t>ִ</w:t>
      </w:r>
      <w:r>
        <w:rPr>
          <w:rtl/>
        </w:rPr>
        <w:t>לו הן מונחין על הארץ</w:t>
      </w:r>
      <w:r>
        <w:rPr>
          <w:rFonts w:hint="cs"/>
          <w:rtl/>
        </w:rPr>
        <w:t>".</w:t>
      </w:r>
    </w:p>
    <w:p w14:paraId="0AE64D90" w14:textId="77777777" w:rsidR="00940290" w:rsidRPr="00940290" w:rsidRDefault="00940290" w:rsidP="00940290">
      <w:pPr>
        <w:rPr>
          <w:rFonts w:hint="cs"/>
          <w:rtl/>
        </w:rPr>
      </w:pPr>
    </w:p>
    <w:p w14:paraId="403A40CA" w14:textId="77777777" w:rsidR="00940290" w:rsidRDefault="00940290" w:rsidP="00940290">
      <w:pPr>
        <w:pStyle w:val="1"/>
        <w:rPr>
          <w:rFonts w:hint="cs"/>
          <w:rtl/>
        </w:rPr>
      </w:pPr>
      <w:r>
        <w:rPr>
          <w:rFonts w:hint="cs"/>
          <w:rtl/>
        </w:rPr>
        <w:t xml:space="preserve">דף ז, ב: חקק בו ד' על ד' והשלימו לי' </w:t>
      </w:r>
    </w:p>
    <w:p w14:paraId="15D4570F" w14:textId="77777777" w:rsidR="00940290" w:rsidRDefault="00940290" w:rsidP="00940290">
      <w:pPr>
        <w:pStyle w:val="2"/>
        <w:rPr>
          <w:rFonts w:hint="cs"/>
          <w:rtl/>
        </w:rPr>
      </w:pPr>
      <w:r>
        <w:rPr>
          <w:rFonts w:hint="cs"/>
          <w:rtl/>
        </w:rPr>
        <w:t>דִקדוק במִין המִספרִים</w:t>
      </w:r>
    </w:p>
    <w:p w14:paraId="0E1C8D7B" w14:textId="77777777" w:rsidR="00940290" w:rsidRDefault="00940290" w:rsidP="00940290">
      <w:pPr>
        <w:pStyle w:val="3"/>
        <w:rPr>
          <w:rFonts w:hint="cs"/>
          <w:sz w:val="22"/>
          <w:rtl/>
        </w:rPr>
      </w:pPr>
      <w:r>
        <w:rPr>
          <w:sz w:val="22"/>
          <w:rtl/>
        </w:rPr>
        <w:t>עַל שְׁל</w:t>
      </w:r>
      <w:r>
        <w:rPr>
          <w:rFonts w:hint="cs"/>
          <w:sz w:val="22"/>
          <w:rtl/>
        </w:rPr>
        <w:t>ו</w:t>
      </w:r>
      <w:r>
        <w:rPr>
          <w:sz w:val="22"/>
          <w:rtl/>
        </w:rPr>
        <w:t xml:space="preserve">ֹשָׁה וְעַל אַרְבָּעָה </w:t>
      </w:r>
    </w:p>
    <w:p w14:paraId="786C4F8B" w14:textId="77777777" w:rsidR="00940290" w:rsidRDefault="00940290" w:rsidP="00940290">
      <w:pPr>
        <w:ind w:firstLine="284"/>
        <w:rPr>
          <w:rFonts w:hint="cs"/>
          <w:rtl/>
        </w:rPr>
      </w:pPr>
      <w:r>
        <w:rPr>
          <w:rFonts w:hint="cs"/>
          <w:rtl/>
        </w:rPr>
        <w:t>אחת המשימות המוטלות על מי שלומד מתוך מהדורת תלמוד רגילה היא פִענוח קיצורים וראשי תיבות. משימה זו נחסכת מן הלומד מתוך מהדורות תלמוד חדישות, המפענחות את הקיצורים בדרך כלל כהלכה. אך, "כשם שאי אפשר ל</w:t>
      </w:r>
      <w:r>
        <w:rPr>
          <w:rtl/>
        </w:rPr>
        <w:t>ַבָּר</w:t>
      </w:r>
      <w:r>
        <w:rPr>
          <w:rFonts w:hint="cs"/>
          <w:rtl/>
        </w:rPr>
        <w:t xml:space="preserve"> בלא </w:t>
      </w:r>
      <w:r>
        <w:rPr>
          <w:rtl/>
        </w:rPr>
        <w:t>תֶבֶן</w:t>
      </w:r>
      <w:r>
        <w:rPr>
          <w:rFonts w:hint="cs"/>
          <w:rtl/>
        </w:rPr>
        <w:t>"</w:t>
      </w:r>
      <w:r>
        <w:rPr>
          <w:rStyle w:val="a4"/>
          <w:rtl/>
        </w:rPr>
        <w:footnoteReference w:id="109"/>
      </w:r>
      <w:r>
        <w:rPr>
          <w:rFonts w:hint="cs"/>
          <w:rtl/>
        </w:rPr>
        <w:t xml:space="preserve">, כך אי אפשר למהדורות אלו ללא פענוחים מוטעים מבלי דעת. להלן נדגים סוג אחד של שיבושים בפענוח קיצורים המשפיע לפעמים על משמעות המשפט. </w:t>
      </w:r>
    </w:p>
    <w:p w14:paraId="6E34799C" w14:textId="77777777" w:rsidR="00940290" w:rsidRDefault="00940290" w:rsidP="00940290">
      <w:pPr>
        <w:ind w:firstLine="284"/>
        <w:rPr>
          <w:rFonts w:hint="cs"/>
          <w:rtl/>
        </w:rPr>
      </w:pPr>
      <w:r>
        <w:rPr>
          <w:rFonts w:hint="cs"/>
          <w:rtl/>
        </w:rPr>
        <w:t>משחר ימיה של הלשון העברית נהגו (</w:t>
      </w:r>
      <w:r>
        <w:rPr>
          <w:rFonts w:hint="cs"/>
          <w:sz w:val="18"/>
          <w:szCs w:val="20"/>
          <w:rtl/>
        </w:rPr>
        <w:t>וככל מנהג - גם לזה יש חריגים</w:t>
      </w:r>
      <w:r>
        <w:rPr>
          <w:rStyle w:val="a4"/>
          <w:rtl/>
        </w:rPr>
        <w:footnoteReference w:id="110"/>
      </w:r>
      <w:r>
        <w:rPr>
          <w:rFonts w:hint="cs"/>
          <w:rtl/>
        </w:rPr>
        <w:t xml:space="preserve">) להתאים את מין המספר למין הדבר שאותו סופרים, כגון </w:t>
      </w:r>
      <w:r>
        <w:rPr>
          <w:rFonts w:hint="cs"/>
          <w:rtl/>
        </w:rPr>
        <w:lastRenderedPageBreak/>
        <w:t>בדברי האשה השונמית לבעלה: "</w:t>
      </w:r>
      <w:r>
        <w:rPr>
          <w:rtl/>
        </w:rPr>
        <w:t xml:space="preserve">שִׁלְחָה נָא לִי </w:t>
      </w:r>
      <w:r>
        <w:rPr>
          <w:b/>
          <w:bCs/>
          <w:rtl/>
        </w:rPr>
        <w:t>אֶחָד</w:t>
      </w:r>
      <w:r>
        <w:rPr>
          <w:rtl/>
        </w:rPr>
        <w:t xml:space="preserve"> מִן </w:t>
      </w:r>
      <w:r>
        <w:rPr>
          <w:b/>
          <w:bCs/>
          <w:rtl/>
        </w:rPr>
        <w:t>הַנְּעָרִים</w:t>
      </w:r>
      <w:r>
        <w:rPr>
          <w:rtl/>
        </w:rPr>
        <w:t xml:space="preserve"> וְ</w:t>
      </w:r>
      <w:r>
        <w:rPr>
          <w:b/>
          <w:bCs/>
          <w:rtl/>
        </w:rPr>
        <w:t>אַחַת הָאֲתֹנוֹת</w:t>
      </w:r>
      <w:r>
        <w:rPr>
          <w:rFonts w:hint="cs"/>
          <w:rtl/>
        </w:rPr>
        <w:t>" (</w:t>
      </w:r>
      <w:r>
        <w:rPr>
          <w:sz w:val="18"/>
          <w:szCs w:val="20"/>
          <w:rtl/>
        </w:rPr>
        <w:t>מלכים ב</w:t>
      </w:r>
      <w:r>
        <w:rPr>
          <w:rFonts w:hint="cs"/>
          <w:sz w:val="18"/>
          <w:szCs w:val="20"/>
          <w:rtl/>
        </w:rPr>
        <w:t>'</w:t>
      </w:r>
      <w:r>
        <w:rPr>
          <w:sz w:val="18"/>
          <w:szCs w:val="20"/>
          <w:rtl/>
        </w:rPr>
        <w:t xml:space="preserve"> ד</w:t>
      </w:r>
      <w:r>
        <w:rPr>
          <w:rFonts w:hint="cs"/>
          <w:sz w:val="18"/>
          <w:szCs w:val="20"/>
          <w:rtl/>
        </w:rPr>
        <w:t xml:space="preserve">, </w:t>
      </w:r>
      <w:r>
        <w:rPr>
          <w:sz w:val="18"/>
          <w:szCs w:val="20"/>
          <w:rtl/>
        </w:rPr>
        <w:t>כב</w:t>
      </w:r>
      <w:r>
        <w:rPr>
          <w:rFonts w:hint="cs"/>
          <w:rtl/>
        </w:rPr>
        <w:t>). דוברי עברית בימינו מתקשים להקפיד בכך תמיד</w:t>
      </w:r>
      <w:r>
        <w:rPr>
          <w:rStyle w:val="a4"/>
          <w:rtl/>
        </w:rPr>
        <w:footnoteReference w:id="111"/>
      </w:r>
      <w:r>
        <w:rPr>
          <w:rFonts w:hint="cs"/>
          <w:rtl/>
        </w:rPr>
        <w:t>. אחת הסיבות לאי הקפדה זו היא התופעה הלשונית התמוהה והמבַלבלת שקיימת בלשון העברית (</w:t>
      </w:r>
      <w:r>
        <w:rPr>
          <w:rFonts w:hint="cs"/>
          <w:sz w:val="18"/>
          <w:szCs w:val="20"/>
          <w:rtl/>
        </w:rPr>
        <w:t>ובלשונות נוספים, כגון ארמית</w:t>
      </w:r>
      <w:r>
        <w:rPr>
          <w:rFonts w:hint="cs"/>
          <w:rtl/>
        </w:rPr>
        <w:t>) שכל המספרים "</w:t>
      </w:r>
      <w:r>
        <w:rPr>
          <w:rtl/>
        </w:rPr>
        <w:t>שְׁלוֹשָׁה</w:t>
      </w:r>
      <w:r>
        <w:rPr>
          <w:rFonts w:hint="cs"/>
          <w:rtl/>
        </w:rPr>
        <w:t>", "</w:t>
      </w:r>
      <w:r>
        <w:rPr>
          <w:rtl/>
        </w:rPr>
        <w:t>אַרְבָּעָה</w:t>
      </w:r>
      <w:r>
        <w:rPr>
          <w:rFonts w:hint="cs"/>
          <w:rtl/>
        </w:rPr>
        <w:t>" עד "</w:t>
      </w:r>
      <w:r>
        <w:rPr>
          <w:rtl/>
        </w:rPr>
        <w:t>עֲשָׂרָה</w:t>
      </w:r>
      <w:r>
        <w:rPr>
          <w:rFonts w:hint="cs"/>
          <w:rtl/>
        </w:rPr>
        <w:t>"</w:t>
      </w:r>
      <w:r>
        <w:rPr>
          <w:rFonts w:cs="Times New Roman"/>
          <w:color w:val="000000"/>
          <w:sz w:val="24"/>
          <w:szCs w:val="32"/>
          <w:rtl/>
        </w:rPr>
        <w:t xml:space="preserve"> </w:t>
      </w:r>
      <w:r>
        <w:rPr>
          <w:rFonts w:hint="cs"/>
          <w:rtl/>
        </w:rPr>
        <w:t>- עם סיומת "נקבית" ("ָה") - מונים זכרים, ואילוּ נקבות נספרות במספר הנעדר סממן נקבי: "</w:t>
      </w:r>
      <w:r>
        <w:rPr>
          <w:rtl/>
        </w:rPr>
        <w:t>שָׁלוֹשׁ</w:t>
      </w:r>
      <w:r>
        <w:rPr>
          <w:rFonts w:hint="cs"/>
          <w:rtl/>
        </w:rPr>
        <w:t>",</w:t>
      </w:r>
      <w:r>
        <w:rPr>
          <w:rtl/>
        </w:rPr>
        <w:t xml:space="preserve"> </w:t>
      </w:r>
      <w:r>
        <w:rPr>
          <w:rFonts w:hint="cs"/>
          <w:rtl/>
        </w:rPr>
        <w:t>"</w:t>
      </w:r>
      <w:r>
        <w:rPr>
          <w:rtl/>
        </w:rPr>
        <w:t>אַרְבּ</w:t>
      </w:r>
      <w:r>
        <w:rPr>
          <w:rFonts w:hint="cs"/>
          <w:rtl/>
        </w:rPr>
        <w:t>ַ</w:t>
      </w:r>
      <w:r>
        <w:rPr>
          <w:rtl/>
        </w:rPr>
        <w:t>ע</w:t>
      </w:r>
      <w:r>
        <w:rPr>
          <w:rFonts w:hint="cs"/>
          <w:rtl/>
        </w:rPr>
        <w:t>" עד</w:t>
      </w:r>
      <w:r>
        <w:rPr>
          <w:rtl/>
        </w:rPr>
        <w:t xml:space="preserve"> </w:t>
      </w:r>
      <w:r>
        <w:rPr>
          <w:rFonts w:hint="cs"/>
          <w:rtl/>
        </w:rPr>
        <w:t>"</w:t>
      </w:r>
      <w:r>
        <w:rPr>
          <w:rtl/>
        </w:rPr>
        <w:t>עֶשֶׂר</w:t>
      </w:r>
      <w:r>
        <w:rPr>
          <w:rFonts w:hint="cs"/>
          <w:rtl/>
        </w:rPr>
        <w:t>". לדוגמה: "</w:t>
      </w:r>
      <w:r>
        <w:rPr>
          <w:rtl/>
        </w:rPr>
        <w:t>וַיִּוָּלְדוּ לוֹ שִׁבְ</w:t>
      </w:r>
      <w:r>
        <w:rPr>
          <w:b/>
          <w:bCs/>
          <w:rtl/>
        </w:rPr>
        <w:t>עָה</w:t>
      </w:r>
      <w:r>
        <w:rPr>
          <w:rtl/>
        </w:rPr>
        <w:t xml:space="preserve"> בָנִים וְשָׁלוֹ</w:t>
      </w:r>
      <w:r>
        <w:rPr>
          <w:b/>
          <w:bCs/>
          <w:rtl/>
        </w:rPr>
        <w:t>שׁ</w:t>
      </w:r>
      <w:r>
        <w:rPr>
          <w:rtl/>
        </w:rPr>
        <w:t xml:space="preserve"> בָּנוֹת</w:t>
      </w:r>
      <w:r>
        <w:rPr>
          <w:rFonts w:hint="cs"/>
          <w:rtl/>
        </w:rPr>
        <w:t>" (</w:t>
      </w:r>
      <w:r>
        <w:rPr>
          <w:sz w:val="18"/>
          <w:szCs w:val="20"/>
          <w:rtl/>
        </w:rPr>
        <w:t>איוב א</w:t>
      </w:r>
      <w:r>
        <w:rPr>
          <w:rFonts w:hint="cs"/>
          <w:sz w:val="18"/>
          <w:szCs w:val="20"/>
          <w:rtl/>
        </w:rPr>
        <w:t xml:space="preserve">, </w:t>
      </w:r>
      <w:r>
        <w:rPr>
          <w:sz w:val="18"/>
          <w:szCs w:val="20"/>
          <w:rtl/>
        </w:rPr>
        <w:t>ב</w:t>
      </w:r>
      <w:r>
        <w:rPr>
          <w:rFonts w:hint="cs"/>
          <w:rtl/>
        </w:rPr>
        <w:t>). רק במספרים "אחת" ו"שתים" נוהגים שמות המספר כשמות התואר: "אחד" ו"שנים" מתאימים לשמות ממין זכר, ו"אחת" ו"שתים" הנקביים מתאימים לשמות ממין נקבה</w:t>
      </w:r>
      <w:r>
        <w:rPr>
          <w:rStyle w:val="a4"/>
          <w:rtl/>
        </w:rPr>
        <w:footnoteReference w:id="112"/>
      </w:r>
      <w:r>
        <w:rPr>
          <w:rFonts w:hint="cs"/>
          <w:rtl/>
        </w:rPr>
        <w:t>.</w:t>
      </w:r>
    </w:p>
    <w:p w14:paraId="6E2A4816" w14:textId="77777777" w:rsidR="00940290" w:rsidRDefault="00940290" w:rsidP="00940290">
      <w:pPr>
        <w:pStyle w:val="3"/>
        <w:rPr>
          <w:rFonts w:hint="cs"/>
          <w:rtl/>
        </w:rPr>
      </w:pPr>
      <w:r>
        <w:rPr>
          <w:rFonts w:hint="cs"/>
          <w:rtl/>
        </w:rPr>
        <w:lastRenderedPageBreak/>
        <w:t>גופי הלכות</w:t>
      </w:r>
    </w:p>
    <w:p w14:paraId="671C5BEA" w14:textId="77777777" w:rsidR="00940290" w:rsidRDefault="00940290" w:rsidP="00940290">
      <w:pPr>
        <w:ind w:firstLine="284"/>
        <w:rPr>
          <w:rFonts w:hint="cs"/>
          <w:rtl/>
        </w:rPr>
      </w:pPr>
      <w:r>
        <w:rPr>
          <w:rFonts w:hint="cs"/>
          <w:rtl/>
        </w:rPr>
        <w:t>ההבחנה הלשונית בין מספרי זכר ונקבה אף נפסקה בשולחן ערוך (</w:t>
      </w:r>
      <w:r>
        <w:rPr>
          <w:sz w:val="18"/>
          <w:szCs w:val="20"/>
          <w:rtl/>
        </w:rPr>
        <w:t>אבן העזר סימן קכו</w:t>
      </w:r>
      <w:r>
        <w:rPr>
          <w:rFonts w:hint="cs"/>
          <w:sz w:val="18"/>
          <w:szCs w:val="20"/>
          <w:rtl/>
        </w:rPr>
        <w:t xml:space="preserve"> </w:t>
      </w:r>
      <w:r>
        <w:rPr>
          <w:sz w:val="18"/>
          <w:szCs w:val="20"/>
          <w:rtl/>
        </w:rPr>
        <w:t>ד</w:t>
      </w:r>
      <w:r>
        <w:rPr>
          <w:rFonts w:hint="cs"/>
          <w:sz w:val="18"/>
          <w:szCs w:val="20"/>
          <w:rtl/>
        </w:rPr>
        <w:t>-</w:t>
      </w:r>
      <w:r>
        <w:rPr>
          <w:sz w:val="18"/>
          <w:szCs w:val="20"/>
          <w:rtl/>
        </w:rPr>
        <w:t>ה</w:t>
      </w:r>
      <w:r>
        <w:rPr>
          <w:rFonts w:hint="cs"/>
          <w:rtl/>
        </w:rPr>
        <w:t>) בדיני כתיבת שטרי גיטין וכתובּות שחייבים להִכָּתב באופן מדוקדק. אך לא רק לשם כך חשובה הבחנה זו לפסיקת הלכה. כך מוסר הרב נתן קמנצקי בשם אביו</w:t>
      </w:r>
      <w:r>
        <w:rPr>
          <w:rStyle w:val="a4"/>
          <w:rtl/>
        </w:rPr>
        <w:footnoteReference w:id="113"/>
      </w:r>
      <w:r>
        <w:rPr>
          <w:rFonts w:hint="cs"/>
          <w:rtl/>
        </w:rPr>
        <w:t xml:space="preserve">: </w:t>
      </w:r>
    </w:p>
    <w:p w14:paraId="45FF1DD0" w14:textId="77777777" w:rsidR="00940290" w:rsidRDefault="00940290" w:rsidP="00940290">
      <w:pPr>
        <w:pStyle w:val="a7"/>
        <w:rPr>
          <w:rFonts w:hint="cs"/>
          <w:rtl/>
        </w:rPr>
      </w:pPr>
      <w:r>
        <w:rPr>
          <w:rFonts w:hint="cs"/>
          <w:rtl/>
        </w:rPr>
        <w:t xml:space="preserve">"הגאון הרב יעקב קמנצקי ז"ל סבר שהוא [לימוד הדקדוק] נכלל במצוַת ת"ת, משום שידיעת חכמת הלשון נחוצה להגיע לפסק ההלכה הנכון. והוא הזכיר טעות בדקדוק שגרמה למחבר אחד, בעל כוונות רצויות, להציע לִבנות מקווה בכל בית יהודי. אבל עקב חוסר ידיעתו שהמלה 'אצבע' מינהּ נקבה, היו המקוואות שהמליץ עליהם פחותים מכשיעור ופסולים, והשימוש בהם היה גורם לעבירות של איסור כרת למכביר, רח"ל. לפיכך </w:t>
      </w:r>
      <w:r>
        <w:rPr>
          <w:rFonts w:hint="cs"/>
          <w:b/>
          <w:bCs/>
          <w:rtl/>
        </w:rPr>
        <w:t>ידיעת דקדוק איננה רק אחת מ'פרפראות לחכמה'</w:t>
      </w:r>
      <w:r>
        <w:rPr>
          <w:rStyle w:val="a4"/>
          <w:rtl/>
        </w:rPr>
        <w:footnoteReference w:id="114"/>
      </w:r>
      <w:r>
        <w:rPr>
          <w:rFonts w:hint="cs"/>
          <w:b/>
          <w:bCs/>
          <w:rtl/>
        </w:rPr>
        <w:t>... אלא כגופי הלכות</w:t>
      </w:r>
      <w:r>
        <w:rPr>
          <w:rFonts w:hint="cs"/>
          <w:rtl/>
        </w:rPr>
        <w:t xml:space="preserve">, שנמשך מהם פסק הלכה". </w:t>
      </w:r>
    </w:p>
    <w:p w14:paraId="67278D6D" w14:textId="77777777" w:rsidR="00940290" w:rsidRDefault="00940290" w:rsidP="00940290">
      <w:pPr>
        <w:ind w:firstLine="284"/>
        <w:rPr>
          <w:rFonts w:hint="cs"/>
          <w:rtl/>
        </w:rPr>
      </w:pPr>
      <w:r>
        <w:rPr>
          <w:rFonts w:hint="cs"/>
          <w:rtl/>
        </w:rPr>
        <w:lastRenderedPageBreak/>
        <w:t>בסוגיות רשויות השבת שבמסכתנו מוזכרים שיעורי מידות שונים, בעיקר ביחידות המדידה "טֶפַח"</w:t>
      </w:r>
      <w:r>
        <w:rPr>
          <w:rStyle w:val="a4"/>
          <w:rtl/>
        </w:rPr>
        <w:footnoteReference w:id="115"/>
      </w:r>
      <w:r>
        <w:rPr>
          <w:rFonts w:hint="cs"/>
          <w:rtl/>
        </w:rPr>
        <w:t xml:space="preserve"> (-מין זכר), ו"אַמָּה"</w:t>
      </w:r>
      <w:r>
        <w:rPr>
          <w:rStyle w:val="a4"/>
          <w:rtl/>
        </w:rPr>
        <w:footnoteReference w:id="116"/>
      </w:r>
      <w:r>
        <w:rPr>
          <w:rFonts w:hint="cs"/>
          <w:rtl/>
        </w:rPr>
        <w:t xml:space="preserve"> (-מין נקבה). חשוב מאוד לדייק בהבנה ובקריאה הנכונה של המספרים: דרך משל, "רוחב ארבעה" מכוון ליחידת אורך ממין זכר, דהיינו: ארבעה טפחים; ואילו "רוחב ארבע" מכוון לארבע אמות, בלשון נקבה. לפעמים הועתק בקיצור "רוחב ד'", וצריך לפענח מן ההֶקשר אם מדובר בארבעה (טפחים) או בארבע (אמות). את דברי </w:t>
      </w:r>
      <w:r>
        <w:rPr>
          <w:rtl/>
        </w:rPr>
        <w:t>אביי</w:t>
      </w:r>
      <w:r>
        <w:rPr>
          <w:rFonts w:hint="cs"/>
          <w:rtl/>
        </w:rPr>
        <w:t xml:space="preserve"> המודפסים בקיצור ("חקק בו </w:t>
      </w:r>
      <w:r>
        <w:rPr>
          <w:rFonts w:hint="cs"/>
          <w:b/>
          <w:bCs/>
          <w:rtl/>
        </w:rPr>
        <w:t xml:space="preserve">ד' </w:t>
      </w:r>
      <w:r>
        <w:rPr>
          <w:rFonts w:hint="cs"/>
          <w:rtl/>
        </w:rPr>
        <w:t xml:space="preserve">על </w:t>
      </w:r>
      <w:r>
        <w:rPr>
          <w:rFonts w:hint="cs"/>
          <w:b/>
          <w:bCs/>
          <w:rtl/>
        </w:rPr>
        <w:t xml:space="preserve">ד' </w:t>
      </w:r>
      <w:r>
        <w:rPr>
          <w:rFonts w:hint="cs"/>
          <w:rtl/>
        </w:rPr>
        <w:t>והשלימו ל</w:t>
      </w:r>
      <w:r>
        <w:rPr>
          <w:rFonts w:hint="cs"/>
          <w:b/>
          <w:bCs/>
          <w:rtl/>
        </w:rPr>
        <w:t xml:space="preserve">י') </w:t>
      </w:r>
      <w:r>
        <w:rPr>
          <w:rFonts w:hint="cs"/>
          <w:rtl/>
        </w:rPr>
        <w:t>יש לפענח כך: "</w:t>
      </w:r>
      <w:r>
        <w:rPr>
          <w:rtl/>
        </w:rPr>
        <w:t>חקק בו ארבע</w:t>
      </w:r>
      <w:r>
        <w:rPr>
          <w:b/>
          <w:bCs/>
          <w:rtl/>
        </w:rPr>
        <w:t>ה</w:t>
      </w:r>
      <w:r>
        <w:rPr>
          <w:rtl/>
        </w:rPr>
        <w:t xml:space="preserve"> על ארבע</w:t>
      </w:r>
      <w:r>
        <w:rPr>
          <w:b/>
          <w:bCs/>
          <w:rtl/>
        </w:rPr>
        <w:t>ה</w:t>
      </w:r>
      <w:r>
        <w:rPr>
          <w:rtl/>
        </w:rPr>
        <w:t xml:space="preserve"> והשלימו לעשר</w:t>
      </w:r>
      <w:r>
        <w:rPr>
          <w:b/>
          <w:bCs/>
          <w:rtl/>
        </w:rPr>
        <w:t>ה</w:t>
      </w:r>
      <w:r>
        <w:rPr>
          <w:rFonts w:hint="cs"/>
          <w:rtl/>
        </w:rPr>
        <w:t xml:space="preserve">, </w:t>
      </w:r>
      <w:r>
        <w:rPr>
          <w:rtl/>
        </w:rPr>
        <w:t>מותר לטלטל בכולו</w:t>
      </w:r>
      <w:r>
        <w:rPr>
          <w:rFonts w:hint="cs"/>
          <w:rtl/>
        </w:rPr>
        <w:t>", בהתאם ליחידת האורך "טפח" (לשון זכר).</w:t>
      </w:r>
    </w:p>
    <w:p w14:paraId="736978C5" w14:textId="77777777" w:rsidR="00940290" w:rsidRDefault="00940290" w:rsidP="00940290">
      <w:pPr>
        <w:ind w:firstLine="284"/>
        <w:rPr>
          <w:rFonts w:hint="cs"/>
          <w:rtl/>
        </w:rPr>
      </w:pPr>
      <w:r>
        <w:rPr>
          <w:rFonts w:hint="cs"/>
          <w:rtl/>
        </w:rPr>
        <w:t>לצערנו, נפלו פה ושם שיבושים בדפוסי התלמוד וספרי ההלכה, כתוצאה מפִענוח מוטעה של הגימטריה, וחשוב לדייק (</w:t>
      </w:r>
      <w:r>
        <w:rPr>
          <w:rFonts w:hint="cs"/>
          <w:szCs w:val="20"/>
          <w:rtl/>
        </w:rPr>
        <w:t>ולתקן</w:t>
      </w:r>
      <w:r>
        <w:rPr>
          <w:rFonts w:hint="cs"/>
          <w:rtl/>
        </w:rPr>
        <w:t>) בכל מקום באיזה מִספָּר מדובר</w:t>
      </w:r>
      <w:r>
        <w:rPr>
          <w:rStyle w:val="a4"/>
          <w:rtl/>
        </w:rPr>
        <w:footnoteReference w:id="117"/>
      </w:r>
      <w:r>
        <w:rPr>
          <w:rFonts w:hint="cs"/>
          <w:rtl/>
        </w:rPr>
        <w:t xml:space="preserve">. אף אם קשה להקפיד בלשון הדיבור </w:t>
      </w:r>
      <w:r>
        <w:rPr>
          <w:rFonts w:hint="cs"/>
          <w:rtl/>
        </w:rPr>
        <w:lastRenderedPageBreak/>
        <w:t xml:space="preserve">על התאמת המספרים מהמין הנכון לפי הדקדוק, יש לשאוף לדקדק בכך, עכ"פ בכתיבה ובלימוד תורה, בתפילה ובקריאת התורה. </w:t>
      </w:r>
    </w:p>
    <w:p w14:paraId="304B062B" w14:textId="77777777" w:rsidR="00940290" w:rsidRDefault="00940290" w:rsidP="00940290">
      <w:pPr>
        <w:pStyle w:val="3"/>
        <w:rPr>
          <w:rFonts w:hint="cs"/>
          <w:rtl/>
        </w:rPr>
      </w:pPr>
      <w:r>
        <w:rPr>
          <w:rFonts w:hint="cs"/>
          <w:rtl/>
        </w:rPr>
        <w:t>סייג להבנה - דקדוק</w:t>
      </w:r>
    </w:p>
    <w:p w14:paraId="493868FA" w14:textId="77777777" w:rsidR="00940290" w:rsidRDefault="00940290" w:rsidP="00940290">
      <w:pPr>
        <w:ind w:firstLine="284"/>
        <w:rPr>
          <w:rFonts w:hint="cs"/>
          <w:rtl/>
        </w:rPr>
      </w:pPr>
      <w:r>
        <w:rPr>
          <w:rFonts w:hint="cs"/>
          <w:rtl/>
        </w:rPr>
        <w:t>פעמים ששימת לב להתאמת המין הדקדוקי שופכת אור על ההבנה הנכונה והמדויקת של המשפט. להלן שלוש דוגמות:</w:t>
      </w:r>
    </w:p>
    <w:p w14:paraId="142011FE" w14:textId="77777777" w:rsidR="00940290" w:rsidRDefault="00940290" w:rsidP="00940290">
      <w:pPr>
        <w:ind w:firstLine="284"/>
        <w:rPr>
          <w:rFonts w:hint="cs"/>
          <w:rtl/>
        </w:rPr>
      </w:pPr>
      <w:r>
        <w:rPr>
          <w:rFonts w:hint="cs"/>
          <w:rtl/>
        </w:rPr>
        <w:t>דוגמה ראשונה מן התורה (</w:t>
      </w:r>
      <w:r>
        <w:rPr>
          <w:sz w:val="18"/>
          <w:szCs w:val="20"/>
          <w:rtl/>
        </w:rPr>
        <w:t>שמות כז, טו</w:t>
      </w:r>
      <w:r>
        <w:rPr>
          <w:rFonts w:hint="cs"/>
          <w:rtl/>
        </w:rPr>
        <w:t>): "</w:t>
      </w:r>
      <w:r>
        <w:rPr>
          <w:rtl/>
        </w:rPr>
        <w:t>חֲמֵשׁ עֶשְׂרֵה קְלָעִים</w:t>
      </w:r>
      <w:r>
        <w:rPr>
          <w:rFonts w:hint="cs"/>
          <w:rtl/>
        </w:rPr>
        <w:t>". המספר "</w:t>
      </w:r>
      <w:r>
        <w:rPr>
          <w:rtl/>
        </w:rPr>
        <w:t>חֲמֵשׁ עֶשְׂרֵה</w:t>
      </w:r>
      <w:r>
        <w:rPr>
          <w:rFonts w:hint="cs"/>
          <w:rtl/>
        </w:rPr>
        <w:t>" מתאים לנקבה, אך ה"</w:t>
      </w:r>
      <w:r>
        <w:rPr>
          <w:rtl/>
        </w:rPr>
        <w:t>קְלָעִים</w:t>
      </w:r>
      <w:r>
        <w:rPr>
          <w:rFonts w:hint="cs"/>
          <w:rtl/>
        </w:rPr>
        <w:t>" הם ממין זכר</w:t>
      </w:r>
      <w:r>
        <w:rPr>
          <w:rStyle w:val="a4"/>
          <w:rtl/>
        </w:rPr>
        <w:footnoteReference w:id="118"/>
      </w:r>
      <w:r>
        <w:rPr>
          <w:rFonts w:hint="cs"/>
          <w:rtl/>
        </w:rPr>
        <w:t>, ואם רצה הכתוב לציין את מספרם היה לו לכתוב: "</w:t>
      </w:r>
      <w:r>
        <w:rPr>
          <w:rtl/>
        </w:rPr>
        <w:t>חֲמִשָּׁה עָשָׂר</w:t>
      </w:r>
      <w:r>
        <w:rPr>
          <w:rFonts w:hint="cs"/>
          <w:rtl/>
        </w:rPr>
        <w:t xml:space="preserve"> </w:t>
      </w:r>
      <w:r>
        <w:rPr>
          <w:rtl/>
        </w:rPr>
        <w:t>קְלָעִים</w:t>
      </w:r>
      <w:r>
        <w:rPr>
          <w:rFonts w:hint="cs"/>
          <w:rtl/>
        </w:rPr>
        <w:t xml:space="preserve">"! ברם, </w:t>
      </w:r>
      <w:r>
        <w:rPr>
          <w:rFonts w:ascii="Arial" w:hAnsi="Arial" w:hint="cs"/>
          <w:rtl/>
        </w:rPr>
        <w:t xml:space="preserve">לאמִתו של דבר, אין בתורה מניין לקלעי החצר, ואין התורה מציינת אלא את </w:t>
      </w:r>
      <w:r>
        <w:rPr>
          <w:rFonts w:hint="cs"/>
          <w:rtl/>
        </w:rPr>
        <w:t>מידת אורכם ב</w:t>
      </w:r>
      <w:r>
        <w:rPr>
          <w:rFonts w:ascii="Arial" w:hAnsi="Arial" w:hint="cs"/>
          <w:rtl/>
        </w:rPr>
        <w:t>אַמּ</w:t>
      </w:r>
      <w:r>
        <w:rPr>
          <w:rFonts w:hint="cs"/>
          <w:rtl/>
        </w:rPr>
        <w:t>ות</w:t>
      </w:r>
      <w:r>
        <w:rPr>
          <w:rFonts w:ascii="Arial" w:hAnsi="Arial" w:hint="cs"/>
          <w:rtl/>
        </w:rPr>
        <w:t xml:space="preserve">, וזהו </w:t>
      </w:r>
      <w:r>
        <w:rPr>
          <w:rFonts w:ascii="Arial" w:hAnsi="Arial"/>
          <w:rtl/>
        </w:rPr>
        <w:t>שיעור</w:t>
      </w:r>
      <w:r>
        <w:rPr>
          <w:rFonts w:ascii="Arial" w:hAnsi="Arial" w:hint="cs"/>
          <w:rtl/>
        </w:rPr>
        <w:t xml:space="preserve"> </w:t>
      </w:r>
      <w:r>
        <w:rPr>
          <w:rFonts w:ascii="Arial" w:hAnsi="Arial"/>
          <w:rtl/>
        </w:rPr>
        <w:t>הכתוב</w:t>
      </w:r>
      <w:r>
        <w:rPr>
          <w:rFonts w:ascii="Arial" w:hAnsi="Arial" w:hint="cs"/>
          <w:rtl/>
        </w:rPr>
        <w:t>: "</w:t>
      </w:r>
      <w:r>
        <w:rPr>
          <w:rFonts w:ascii="Arial" w:hAnsi="Arial"/>
          <w:rtl/>
        </w:rPr>
        <w:t xml:space="preserve">חֲמֵשׁ עֶשְׂרֵה </w:t>
      </w:r>
      <w:r>
        <w:rPr>
          <w:rFonts w:ascii="Arial" w:hAnsi="Arial" w:hint="cs"/>
          <w:rtl/>
        </w:rPr>
        <w:t>[אַמָּה]</w:t>
      </w:r>
      <w:r>
        <w:rPr>
          <w:rFonts w:ascii="Arial" w:hAnsi="Arial"/>
          <w:rtl/>
        </w:rPr>
        <w:t xml:space="preserve"> קְלָעִים</w:t>
      </w:r>
      <w:r>
        <w:rPr>
          <w:rFonts w:ascii="Arial" w:hAnsi="Arial" w:hint="cs"/>
          <w:rtl/>
        </w:rPr>
        <w:t xml:space="preserve">", והמספר מתאים ל"אַמָּה" </w:t>
      </w:r>
      <w:r>
        <w:rPr>
          <w:rFonts w:hint="cs"/>
          <w:rtl/>
        </w:rPr>
        <w:t xml:space="preserve">(שם ממין </w:t>
      </w:r>
      <w:r>
        <w:rPr>
          <w:rFonts w:hint="cs"/>
          <w:rtl/>
        </w:rPr>
        <w:lastRenderedPageBreak/>
        <w:t xml:space="preserve">נקבה). כך מוכח </w:t>
      </w:r>
      <w:r>
        <w:rPr>
          <w:rFonts w:ascii="Arial" w:hAnsi="Arial" w:hint="cs"/>
          <w:rtl/>
        </w:rPr>
        <w:t>מן ה</w:t>
      </w:r>
      <w:r>
        <w:rPr>
          <w:rFonts w:ascii="Arial" w:hAnsi="Arial"/>
          <w:rtl/>
        </w:rPr>
        <w:t>פסוק שלפניו וכ</w:t>
      </w:r>
      <w:r>
        <w:rPr>
          <w:rFonts w:ascii="Arial" w:hAnsi="Arial" w:hint="cs"/>
          <w:rtl/>
        </w:rPr>
        <w:t xml:space="preserve">ן מתיאור ביצוע הציווי בפרשת ויקהל </w:t>
      </w:r>
      <w:r>
        <w:rPr>
          <w:rFonts w:hint="cs"/>
          <w:rtl/>
        </w:rPr>
        <w:t>(</w:t>
      </w:r>
      <w:r>
        <w:rPr>
          <w:sz w:val="18"/>
          <w:szCs w:val="20"/>
          <w:rtl/>
        </w:rPr>
        <w:t xml:space="preserve">שם לח, </w:t>
      </w:r>
      <w:r>
        <w:rPr>
          <w:rFonts w:hint="cs"/>
          <w:sz w:val="18"/>
          <w:szCs w:val="20"/>
          <w:rtl/>
        </w:rPr>
        <w:t>יד-</w:t>
      </w:r>
      <w:r>
        <w:rPr>
          <w:sz w:val="18"/>
          <w:szCs w:val="20"/>
          <w:rtl/>
        </w:rPr>
        <w:t>טו</w:t>
      </w:r>
      <w:r>
        <w:rPr>
          <w:rFonts w:hint="cs"/>
          <w:rtl/>
        </w:rPr>
        <w:t>): "</w:t>
      </w:r>
      <w:r>
        <w:rPr>
          <w:rtl/>
        </w:rPr>
        <w:t>קְלָעִים חֲמֵשׁ עֶשְׂרֵה אַמָּה</w:t>
      </w:r>
      <w:r>
        <w:rPr>
          <w:rFonts w:hint="cs"/>
          <w:rtl/>
        </w:rPr>
        <w:t>"</w:t>
      </w:r>
      <w:r>
        <w:rPr>
          <w:rStyle w:val="a4"/>
          <w:rtl/>
        </w:rPr>
        <w:footnoteReference w:id="119"/>
      </w:r>
      <w:r>
        <w:rPr>
          <w:rFonts w:hint="cs"/>
          <w:rtl/>
        </w:rPr>
        <w:t>.</w:t>
      </w:r>
    </w:p>
    <w:p w14:paraId="2D5F0894" w14:textId="77777777" w:rsidR="00940290" w:rsidRDefault="00940290" w:rsidP="00940290">
      <w:pPr>
        <w:pStyle w:val="3"/>
        <w:rPr>
          <w:rFonts w:hint="cs"/>
          <w:b/>
          <w:rtl/>
        </w:rPr>
      </w:pPr>
      <w:r>
        <w:rPr>
          <w:rFonts w:hint="cs"/>
          <w:b/>
          <w:rtl/>
        </w:rPr>
        <w:t xml:space="preserve">"יד" </w:t>
      </w:r>
      <w:r>
        <w:rPr>
          <w:b/>
          <w:rtl/>
        </w:rPr>
        <w:t xml:space="preserve">אחת </w:t>
      </w:r>
      <w:r>
        <w:rPr>
          <w:rFonts w:hint="cs"/>
          <w:b/>
          <w:rtl/>
        </w:rPr>
        <w:t>או אחד</w:t>
      </w:r>
    </w:p>
    <w:p w14:paraId="31D8DE4C" w14:textId="77777777" w:rsidR="00940290" w:rsidRDefault="00940290" w:rsidP="00940290">
      <w:pPr>
        <w:ind w:firstLine="284"/>
        <w:rPr>
          <w:rFonts w:hint="cs"/>
          <w:rtl/>
        </w:rPr>
      </w:pPr>
      <w:r>
        <w:rPr>
          <w:rFonts w:hint="cs"/>
          <w:rtl/>
        </w:rPr>
        <w:t>דוגמה שניה לכך מצירוף המִלים "</w:t>
      </w:r>
      <w:r>
        <w:rPr>
          <w:rtl/>
        </w:rPr>
        <w:t xml:space="preserve">ביד </w:t>
      </w:r>
      <w:r>
        <w:rPr>
          <w:rFonts w:hint="eastAsia"/>
          <w:rtl/>
        </w:rPr>
        <w:t>אחד</w:t>
      </w:r>
      <w:r>
        <w:rPr>
          <w:rFonts w:hint="cs"/>
          <w:rtl/>
        </w:rPr>
        <w:t xml:space="preserve">" המופיע בתלמוד בארבע סוגיות. תשומת הלב להתאמת המין הדקדוקי מסייעת לניכוש שיבוש של מדפיס רשלן באחת מהן, ומועילה להבנה המדויקת של צירוף זה במסכת יומא (כו, ב) כפי שֶמורֶה לנו רש"י. ראה להלן דף </w:t>
      </w:r>
      <w:r>
        <w:rPr>
          <w:rtl/>
        </w:rPr>
        <w:t>קכח, א</w:t>
      </w:r>
      <w:r>
        <w:rPr>
          <w:rFonts w:hint="cs"/>
          <w:rtl/>
        </w:rPr>
        <w:t>.</w:t>
      </w:r>
    </w:p>
    <w:p w14:paraId="67D4DCDA" w14:textId="77777777" w:rsidR="00940290" w:rsidRDefault="00940290" w:rsidP="00940290">
      <w:pPr>
        <w:pStyle w:val="3"/>
        <w:rPr>
          <w:rFonts w:hint="cs"/>
          <w:b/>
          <w:rtl/>
        </w:rPr>
      </w:pPr>
      <w:r>
        <w:rPr>
          <w:b/>
          <w:rtl/>
        </w:rPr>
        <w:t>אחת מכל סממניה</w:t>
      </w:r>
    </w:p>
    <w:p w14:paraId="6C298FD4" w14:textId="77777777" w:rsidR="00940290" w:rsidRDefault="00940290" w:rsidP="00940290">
      <w:pPr>
        <w:ind w:firstLine="284"/>
        <w:rPr>
          <w:rtl/>
        </w:rPr>
      </w:pPr>
      <w:r>
        <w:rPr>
          <w:rFonts w:hint="cs"/>
          <w:rtl/>
        </w:rPr>
        <w:t>דוגמה אחרונה לכך מלשון הלכה שאמרו חז"ל בנוגע לקטורת הסמים, שאותה אנו מזכירים במהלך התפילה: "</w:t>
      </w:r>
      <w:r>
        <w:rPr>
          <w:rtl/>
        </w:rPr>
        <w:t xml:space="preserve">חיסר </w:t>
      </w:r>
      <w:r>
        <w:rPr>
          <w:b/>
          <w:bCs/>
          <w:rtl/>
        </w:rPr>
        <w:t xml:space="preserve">אחת </w:t>
      </w:r>
      <w:r>
        <w:rPr>
          <w:rtl/>
        </w:rPr>
        <w:t>מכל סממניה</w:t>
      </w:r>
      <w:r>
        <w:rPr>
          <w:rFonts w:hint="cs"/>
          <w:rtl/>
        </w:rPr>
        <w:t xml:space="preserve"> -</w:t>
      </w:r>
      <w:r>
        <w:rPr>
          <w:rtl/>
        </w:rPr>
        <w:t xml:space="preserve"> חייב מיתה</w:t>
      </w:r>
      <w:r>
        <w:rPr>
          <w:rFonts w:hint="cs"/>
          <w:rtl/>
        </w:rPr>
        <w:t>". משפט זה מופיע פעם אחת במדרש התנאים (</w:t>
      </w:r>
      <w:r>
        <w:rPr>
          <w:rtl/>
        </w:rPr>
        <w:t>ספרא</w:t>
      </w:r>
      <w:r>
        <w:rPr>
          <w:rFonts w:hint="cs"/>
          <w:rtl/>
        </w:rPr>
        <w:t xml:space="preserve"> </w:t>
      </w:r>
      <w:r>
        <w:rPr>
          <w:sz w:val="18"/>
          <w:szCs w:val="20"/>
          <w:rtl/>
        </w:rPr>
        <w:t>אחרי מות</w:t>
      </w:r>
      <w:r>
        <w:rPr>
          <w:rFonts w:hint="cs"/>
          <w:sz w:val="18"/>
          <w:szCs w:val="20"/>
          <w:rtl/>
        </w:rPr>
        <w:t>,</w:t>
      </w:r>
      <w:r>
        <w:rPr>
          <w:sz w:val="18"/>
          <w:szCs w:val="20"/>
          <w:rtl/>
        </w:rPr>
        <w:t xml:space="preserve"> פרשה ב</w:t>
      </w:r>
      <w:r>
        <w:rPr>
          <w:rFonts w:hint="cs"/>
          <w:sz w:val="18"/>
          <w:szCs w:val="20"/>
          <w:rtl/>
        </w:rPr>
        <w:t xml:space="preserve">, </w:t>
      </w:r>
      <w:r>
        <w:rPr>
          <w:sz w:val="18"/>
          <w:szCs w:val="20"/>
          <w:rtl/>
        </w:rPr>
        <w:t>פרק ג</w:t>
      </w:r>
      <w:r>
        <w:rPr>
          <w:rFonts w:hint="cs"/>
          <w:rtl/>
        </w:rPr>
        <w:t>), פעמיים בתלמוד ה</w:t>
      </w:r>
      <w:r>
        <w:rPr>
          <w:rtl/>
        </w:rPr>
        <w:t>בבלי</w:t>
      </w:r>
      <w:r>
        <w:rPr>
          <w:rFonts w:hint="cs"/>
          <w:rtl/>
        </w:rPr>
        <w:t xml:space="preserve"> (</w:t>
      </w:r>
      <w:r>
        <w:rPr>
          <w:sz w:val="18"/>
          <w:szCs w:val="20"/>
          <w:rtl/>
        </w:rPr>
        <w:t>כריתות ו</w:t>
      </w:r>
      <w:r>
        <w:rPr>
          <w:rFonts w:hint="cs"/>
          <w:sz w:val="18"/>
          <w:szCs w:val="20"/>
          <w:rtl/>
        </w:rPr>
        <w:t xml:space="preserve">, </w:t>
      </w:r>
      <w:r>
        <w:rPr>
          <w:sz w:val="18"/>
          <w:szCs w:val="20"/>
          <w:rtl/>
        </w:rPr>
        <w:t>א</w:t>
      </w:r>
      <w:r>
        <w:rPr>
          <w:rFonts w:hint="cs"/>
          <w:sz w:val="18"/>
          <w:szCs w:val="20"/>
          <w:rtl/>
        </w:rPr>
        <w:t>;</w:t>
      </w:r>
      <w:r>
        <w:rPr>
          <w:sz w:val="18"/>
          <w:szCs w:val="20"/>
          <w:rtl/>
        </w:rPr>
        <w:t xml:space="preserve"> יומא נג</w:t>
      </w:r>
      <w:r>
        <w:rPr>
          <w:rFonts w:hint="cs"/>
          <w:sz w:val="18"/>
          <w:szCs w:val="20"/>
          <w:rtl/>
        </w:rPr>
        <w:t xml:space="preserve">, </w:t>
      </w:r>
      <w:r>
        <w:rPr>
          <w:sz w:val="18"/>
          <w:szCs w:val="20"/>
          <w:rtl/>
        </w:rPr>
        <w:t>א</w:t>
      </w:r>
      <w:r>
        <w:rPr>
          <w:rFonts w:hint="cs"/>
          <w:rtl/>
        </w:rPr>
        <w:t>), ארבע פעמים בירושלמי</w:t>
      </w:r>
      <w:r>
        <w:rPr>
          <w:rStyle w:val="a4"/>
          <w:rtl/>
        </w:rPr>
        <w:footnoteReference w:id="120"/>
      </w:r>
      <w:r>
        <w:rPr>
          <w:rFonts w:hint="cs"/>
          <w:rtl/>
        </w:rPr>
        <w:t>, ומודפס בסידורי כל עדות ישראל</w:t>
      </w:r>
      <w:r>
        <w:rPr>
          <w:rStyle w:val="a4"/>
          <w:rtl/>
        </w:rPr>
        <w:footnoteReference w:id="121"/>
      </w:r>
      <w:r>
        <w:rPr>
          <w:rFonts w:hint="cs"/>
          <w:rtl/>
        </w:rPr>
        <w:t xml:space="preserve">. לכאורה, משמעות המשפט היא שמי שחִסר סממן אחד </w:t>
      </w:r>
      <w:r>
        <w:rPr>
          <w:rFonts w:hint="cs"/>
          <w:rtl/>
        </w:rPr>
        <w:lastRenderedPageBreak/>
        <w:t xml:space="preserve">מתוך כל אֶחד מאַחד עשר סממני הקטורת, כגון שהקטיר רק עשרה סממנים, חייב מיתה (בידי שמים). הואיל והמין הדקדוקי של "סממן" </w:t>
      </w:r>
      <w:r>
        <w:rPr>
          <w:rFonts w:hint="cs"/>
          <w:rtl/>
        </w:rPr>
        <w:lastRenderedPageBreak/>
        <w:t>הוא זכר</w:t>
      </w:r>
      <w:r>
        <w:rPr>
          <w:rStyle w:val="a4"/>
          <w:rtl/>
        </w:rPr>
        <w:footnoteReference w:id="122"/>
      </w:r>
      <w:r>
        <w:rPr>
          <w:rFonts w:hint="cs"/>
          <w:rtl/>
        </w:rPr>
        <w:t xml:space="preserve">, מתבקש שנוסח הלכה זו יהיה כלשון </w:t>
      </w:r>
      <w:r>
        <w:rPr>
          <w:rtl/>
        </w:rPr>
        <w:t>הרמב"ם</w:t>
      </w:r>
      <w:r>
        <w:rPr>
          <w:rFonts w:hint="cs"/>
          <w:rtl/>
        </w:rPr>
        <w:t xml:space="preserve">: </w:t>
      </w:r>
      <w:r>
        <w:rPr>
          <w:rtl/>
        </w:rPr>
        <w:t xml:space="preserve">"חיסר </w:t>
      </w:r>
      <w:r>
        <w:rPr>
          <w:b/>
          <w:bCs/>
          <w:rtl/>
        </w:rPr>
        <w:t xml:space="preserve">אחד </w:t>
      </w:r>
      <w:r>
        <w:rPr>
          <w:rtl/>
        </w:rPr>
        <w:t>מסממניה - חייב מיתה"</w:t>
      </w:r>
      <w:r>
        <w:rPr>
          <w:rFonts w:hint="cs"/>
          <w:rtl/>
        </w:rPr>
        <w:t xml:space="preserve"> </w:t>
      </w:r>
      <w:r>
        <w:rPr>
          <w:rFonts w:hint="cs"/>
          <w:sz w:val="18"/>
          <w:rtl/>
        </w:rPr>
        <w:t>(</w:t>
      </w:r>
      <w:r>
        <w:rPr>
          <w:sz w:val="18"/>
          <w:szCs w:val="20"/>
          <w:rtl/>
        </w:rPr>
        <w:t>הלכות כלי</w:t>
      </w:r>
      <w:r>
        <w:rPr>
          <w:sz w:val="14"/>
          <w:szCs w:val="20"/>
        </w:rPr>
        <w:t xml:space="preserve"> </w:t>
      </w:r>
      <w:r>
        <w:rPr>
          <w:sz w:val="18"/>
          <w:szCs w:val="20"/>
          <w:rtl/>
        </w:rPr>
        <w:t xml:space="preserve">המקדש </w:t>
      </w:r>
      <w:r>
        <w:rPr>
          <w:rFonts w:hint="cs"/>
          <w:sz w:val="18"/>
          <w:szCs w:val="20"/>
          <w:rtl/>
        </w:rPr>
        <w:t>פ"</w:t>
      </w:r>
      <w:r>
        <w:rPr>
          <w:sz w:val="18"/>
          <w:szCs w:val="20"/>
          <w:rtl/>
        </w:rPr>
        <w:t xml:space="preserve">ב, </w:t>
      </w:r>
      <w:r>
        <w:rPr>
          <w:rFonts w:hint="cs"/>
          <w:sz w:val="18"/>
          <w:szCs w:val="20"/>
          <w:rtl/>
        </w:rPr>
        <w:t>ה"</w:t>
      </w:r>
      <w:r>
        <w:rPr>
          <w:sz w:val="18"/>
          <w:szCs w:val="20"/>
          <w:rtl/>
        </w:rPr>
        <w:t>ח</w:t>
      </w:r>
      <w:r>
        <w:rPr>
          <w:rStyle w:val="a4"/>
          <w:szCs w:val="20"/>
          <w:rtl/>
        </w:rPr>
        <w:footnoteReference w:id="123"/>
      </w:r>
      <w:r>
        <w:rPr>
          <w:rFonts w:hint="cs"/>
          <w:sz w:val="18"/>
          <w:rtl/>
        </w:rPr>
        <w:t>),</w:t>
      </w:r>
      <w:r>
        <w:rPr>
          <w:rFonts w:hint="cs"/>
          <w:rtl/>
        </w:rPr>
        <w:t xml:space="preserve"> אך ברוב הספרים והסידורים</w:t>
      </w:r>
      <w:r>
        <w:rPr>
          <w:rStyle w:val="a4"/>
          <w:rtl/>
        </w:rPr>
        <w:footnoteReference w:id="124"/>
      </w:r>
      <w:r>
        <w:rPr>
          <w:rFonts w:hint="cs"/>
          <w:rtl/>
        </w:rPr>
        <w:t xml:space="preserve"> הנוסח הוא "</w:t>
      </w:r>
      <w:r>
        <w:rPr>
          <w:rtl/>
        </w:rPr>
        <w:t xml:space="preserve">חיסר </w:t>
      </w:r>
      <w:r>
        <w:rPr>
          <w:b/>
          <w:bCs/>
          <w:rtl/>
        </w:rPr>
        <w:t>אחת</w:t>
      </w:r>
      <w:r>
        <w:rPr>
          <w:rFonts w:hint="cs"/>
          <w:rtl/>
        </w:rPr>
        <w:t>", ולא "</w:t>
      </w:r>
      <w:r>
        <w:rPr>
          <w:rtl/>
        </w:rPr>
        <w:t>אח</w:t>
      </w:r>
      <w:r>
        <w:rPr>
          <w:rFonts w:hint="cs"/>
          <w:b/>
          <w:bCs/>
          <w:rtl/>
        </w:rPr>
        <w:t>ד</w:t>
      </w:r>
      <w:r>
        <w:rPr>
          <w:rFonts w:hint="cs"/>
          <w:rtl/>
        </w:rPr>
        <w:t>"!</w:t>
      </w:r>
    </w:p>
    <w:p w14:paraId="117FA2CB" w14:textId="77777777" w:rsidR="00940290" w:rsidRDefault="00940290" w:rsidP="00940290">
      <w:pPr>
        <w:ind w:firstLine="284"/>
        <w:rPr>
          <w:rFonts w:hint="cs"/>
          <w:rtl/>
        </w:rPr>
      </w:pPr>
      <w:r>
        <w:rPr>
          <w:rFonts w:hint="cs"/>
          <w:rtl/>
        </w:rPr>
        <w:t>בדומה לדוגמה הראשונה שהדבר הנִספר ("אמה") לא פורש בפסוק, ניתן להציע גם כאן כי הדבר הנספר איננו "סממן אחד", אלא "</w:t>
      </w:r>
      <w:r>
        <w:rPr>
          <w:rtl/>
        </w:rPr>
        <w:t>מ</w:t>
      </w:r>
      <w:r>
        <w:rPr>
          <w:rFonts w:hint="cs"/>
          <w:rtl/>
        </w:rPr>
        <w:t>ִד</w:t>
      </w:r>
      <w:r>
        <w:rPr>
          <w:rtl/>
        </w:rPr>
        <w:t>ָה</w:t>
      </w:r>
      <w:r>
        <w:rPr>
          <w:rFonts w:hint="cs"/>
          <w:rtl/>
        </w:rPr>
        <w:t xml:space="preserve"> </w:t>
      </w:r>
      <w:r>
        <w:rPr>
          <w:rtl/>
        </w:rPr>
        <w:t>אחת</w:t>
      </w:r>
      <w:r>
        <w:rPr>
          <w:rFonts w:hint="cs"/>
          <w:rtl/>
        </w:rPr>
        <w:t>" או "כַמוּת אחת" או "</w:t>
      </w:r>
      <w:r>
        <w:rPr>
          <w:rtl/>
        </w:rPr>
        <w:t>מָנָה</w:t>
      </w:r>
      <w:r>
        <w:rPr>
          <w:rFonts w:hint="cs"/>
          <w:rtl/>
        </w:rPr>
        <w:t xml:space="preserve"> </w:t>
      </w:r>
      <w:r>
        <w:rPr>
          <w:rtl/>
        </w:rPr>
        <w:t>אחת</w:t>
      </w:r>
      <w:r>
        <w:rPr>
          <w:rFonts w:hint="cs"/>
          <w:rtl/>
        </w:rPr>
        <w:t>" של אחד הסממנים</w:t>
      </w:r>
      <w:r>
        <w:rPr>
          <w:rStyle w:val="a4"/>
          <w:rtl/>
        </w:rPr>
        <w:footnoteReference w:id="125"/>
      </w:r>
      <w:r>
        <w:rPr>
          <w:rFonts w:hint="cs"/>
          <w:rtl/>
        </w:rPr>
        <w:t>. לפי זה, מי שמ</w:t>
      </w:r>
      <w:r>
        <w:rPr>
          <w:rtl/>
        </w:rPr>
        <w:t>חסר</w:t>
      </w:r>
      <w:r>
        <w:rPr>
          <w:rFonts w:hint="cs"/>
          <w:rtl/>
        </w:rPr>
        <w:t xml:space="preserve"> "</w:t>
      </w:r>
      <w:r>
        <w:rPr>
          <w:rtl/>
        </w:rPr>
        <w:t>אח</w:t>
      </w:r>
      <w:r>
        <w:rPr>
          <w:b/>
          <w:bCs/>
          <w:rtl/>
        </w:rPr>
        <w:t>ת</w:t>
      </w:r>
      <w:r>
        <w:rPr>
          <w:rFonts w:hint="cs"/>
          <w:rtl/>
        </w:rPr>
        <w:t xml:space="preserve"> מסממניה</w:t>
      </w:r>
      <w:r>
        <w:rPr>
          <w:rtl/>
        </w:rPr>
        <w:t>"</w:t>
      </w:r>
      <w:r>
        <w:rPr>
          <w:rFonts w:hint="cs"/>
          <w:rtl/>
        </w:rPr>
        <w:t xml:space="preserve"> - איננו המשמיט לחלוטין את אחד הסממנים, אלא המפחית את כמות אחד הסממנים, </w:t>
      </w:r>
      <w:r>
        <w:rPr>
          <w:rFonts w:hint="cs"/>
          <w:rtl/>
        </w:rPr>
        <w:lastRenderedPageBreak/>
        <w:t>יחסית לשאר הסממנים</w:t>
      </w:r>
      <w:r>
        <w:rPr>
          <w:rStyle w:val="a4"/>
          <w:rtl/>
        </w:rPr>
        <w:footnoteReference w:id="126"/>
      </w:r>
      <w:r>
        <w:rPr>
          <w:rFonts w:hint="cs"/>
          <w:rtl/>
        </w:rPr>
        <w:t xml:space="preserve"> (שהרי שורש חס"ר משמש גם להֶעדר והשְמָטָה</w:t>
      </w:r>
      <w:r>
        <w:rPr>
          <w:rStyle w:val="a4"/>
          <w:rtl/>
        </w:rPr>
        <w:footnoteReference w:id="127"/>
      </w:r>
      <w:r>
        <w:rPr>
          <w:rFonts w:hint="cs"/>
          <w:rtl/>
        </w:rPr>
        <w:t>, וגם למיעוט והפחתה</w:t>
      </w:r>
      <w:r>
        <w:rPr>
          <w:rStyle w:val="a4"/>
          <w:rtl/>
        </w:rPr>
        <w:footnoteReference w:id="128"/>
      </w:r>
      <w:r>
        <w:rPr>
          <w:rFonts w:hint="cs"/>
          <w:rtl/>
        </w:rPr>
        <w:t xml:space="preserve">). </w:t>
      </w:r>
    </w:p>
    <w:p w14:paraId="6894F313" w14:textId="77777777" w:rsidR="00940290" w:rsidRDefault="00940290" w:rsidP="00940290">
      <w:pPr>
        <w:pStyle w:val="3"/>
        <w:rPr>
          <w:rFonts w:hint="cs"/>
          <w:b/>
          <w:rtl/>
        </w:rPr>
      </w:pPr>
      <w:r>
        <w:rPr>
          <w:rFonts w:hint="cs"/>
          <w:b/>
          <w:rtl/>
        </w:rPr>
        <w:t>מי עיקר: "נסמך" או "סומך"?</w:t>
      </w:r>
    </w:p>
    <w:p w14:paraId="353E1BFC" w14:textId="77777777" w:rsidR="00940290" w:rsidRDefault="00940290" w:rsidP="00940290">
      <w:pPr>
        <w:ind w:firstLine="284"/>
        <w:rPr>
          <w:rFonts w:hint="cs"/>
          <w:rtl/>
        </w:rPr>
      </w:pPr>
      <w:r>
        <w:rPr>
          <w:rFonts w:hint="cs"/>
          <w:rtl/>
        </w:rPr>
        <w:t>הסבר אחר לחריגה הדקדוקית שבצירוף "</w:t>
      </w:r>
      <w:r>
        <w:rPr>
          <w:rtl/>
        </w:rPr>
        <w:t>אח</w:t>
      </w:r>
      <w:r>
        <w:rPr>
          <w:b/>
          <w:bCs/>
          <w:rtl/>
        </w:rPr>
        <w:t xml:space="preserve">ת </w:t>
      </w:r>
      <w:r>
        <w:rPr>
          <w:rtl/>
        </w:rPr>
        <w:t>מכל סממניה</w:t>
      </w:r>
      <w:r>
        <w:rPr>
          <w:rFonts w:hint="cs"/>
          <w:rtl/>
        </w:rPr>
        <w:t xml:space="preserve">" ניתן להציע על פי הערת </w:t>
      </w:r>
      <w:r>
        <w:rPr>
          <w:rtl/>
        </w:rPr>
        <w:t xml:space="preserve">רש"י </w:t>
      </w:r>
      <w:r>
        <w:rPr>
          <w:rFonts w:hint="cs"/>
          <w:rtl/>
        </w:rPr>
        <w:t>בפרשת נגעי צרעת (</w:t>
      </w:r>
      <w:r>
        <w:rPr>
          <w:sz w:val="18"/>
          <w:szCs w:val="20"/>
          <w:rtl/>
        </w:rPr>
        <w:t>ויקרא יג</w:t>
      </w:r>
      <w:r>
        <w:rPr>
          <w:rFonts w:hint="cs"/>
          <w:sz w:val="18"/>
          <w:szCs w:val="20"/>
          <w:rtl/>
        </w:rPr>
        <w:t xml:space="preserve">, </w:t>
      </w:r>
      <w:r>
        <w:rPr>
          <w:sz w:val="18"/>
          <w:szCs w:val="20"/>
          <w:rtl/>
        </w:rPr>
        <w:t>ח</w:t>
      </w:r>
      <w:r>
        <w:rPr>
          <w:rFonts w:hint="cs"/>
          <w:rtl/>
        </w:rPr>
        <w:t>):</w:t>
      </w:r>
      <w:r>
        <w:rPr>
          <w:rtl/>
        </w:rPr>
        <w:t xml:space="preserve"> </w:t>
      </w:r>
      <w:r>
        <w:rPr>
          <w:rFonts w:hint="cs"/>
          <w:rtl/>
        </w:rPr>
        <w:t>"</w:t>
      </w:r>
      <w:r>
        <w:rPr>
          <w:rtl/>
        </w:rPr>
        <w:t>צָרַעַת - לשון נקבה</w:t>
      </w:r>
      <w:r>
        <w:rPr>
          <w:rFonts w:hint="cs"/>
          <w:rtl/>
        </w:rPr>
        <w:t xml:space="preserve">. </w:t>
      </w:r>
      <w:r>
        <w:rPr>
          <w:rtl/>
        </w:rPr>
        <w:t>נֶגַע - לשון זכר</w:t>
      </w:r>
      <w:r>
        <w:rPr>
          <w:rFonts w:hint="cs"/>
          <w:rtl/>
        </w:rPr>
        <w:t xml:space="preserve">". כמבואר ברא"ם </w:t>
      </w:r>
      <w:r>
        <w:rPr>
          <w:rFonts w:hint="cs"/>
          <w:sz w:val="26"/>
          <w:rtl/>
        </w:rPr>
        <w:t xml:space="preserve">ובשאר מפרשי </w:t>
      </w:r>
      <w:r>
        <w:rPr>
          <w:rFonts w:hint="cs"/>
          <w:sz w:val="26"/>
          <w:rtl/>
        </w:rPr>
        <w:lastRenderedPageBreak/>
        <w:t>רש"י</w:t>
      </w:r>
      <w:r>
        <w:rPr>
          <w:rFonts w:hint="cs"/>
          <w:rtl/>
        </w:rPr>
        <w:t>, בהערה זו רצה רש"י ליישב את דקדוק לשון התורה: מחד גיסא כתוב "</w:t>
      </w:r>
      <w:r>
        <w:rPr>
          <w:rtl/>
        </w:rPr>
        <w:t xml:space="preserve">וְהִנֵּה הַנֶּגַע </w:t>
      </w:r>
      <w:r>
        <w:rPr>
          <w:b/>
          <w:bCs/>
          <w:rtl/>
        </w:rPr>
        <w:t>עָמַד בְּעֵינָיו</w:t>
      </w:r>
      <w:r>
        <w:rPr>
          <w:rFonts w:hint="cs"/>
          <w:rtl/>
        </w:rPr>
        <w:t>" (</w:t>
      </w:r>
      <w:r>
        <w:rPr>
          <w:sz w:val="18"/>
          <w:szCs w:val="20"/>
          <w:rtl/>
        </w:rPr>
        <w:t>ויקרא יג</w:t>
      </w:r>
      <w:r>
        <w:rPr>
          <w:rFonts w:hint="cs"/>
          <w:sz w:val="18"/>
          <w:szCs w:val="20"/>
          <w:rtl/>
        </w:rPr>
        <w:t>,</w:t>
      </w:r>
      <w:r>
        <w:rPr>
          <w:sz w:val="18"/>
          <w:szCs w:val="20"/>
          <w:rtl/>
        </w:rPr>
        <w:t xml:space="preserve"> </w:t>
      </w:r>
      <w:r>
        <w:rPr>
          <w:rFonts w:hint="cs"/>
          <w:sz w:val="18"/>
          <w:szCs w:val="20"/>
          <w:rtl/>
        </w:rPr>
        <w:t>ה</w:t>
      </w:r>
      <w:r>
        <w:rPr>
          <w:rFonts w:hint="cs"/>
          <w:rtl/>
        </w:rPr>
        <w:t>) בלשון זכר, ומאידך גיסא כתוב "</w:t>
      </w:r>
      <w:r>
        <w:rPr>
          <w:rtl/>
        </w:rPr>
        <w:t xml:space="preserve">נֶגַע צָרַעַת כִּי </w:t>
      </w:r>
      <w:r>
        <w:rPr>
          <w:b/>
          <w:bCs/>
          <w:rtl/>
        </w:rPr>
        <w:t>תִ</w:t>
      </w:r>
      <w:r>
        <w:rPr>
          <w:rtl/>
        </w:rPr>
        <w:t>הְיֶה</w:t>
      </w:r>
      <w:r>
        <w:rPr>
          <w:rFonts w:hint="cs"/>
          <w:rtl/>
        </w:rPr>
        <w:t>" (</w:t>
      </w:r>
      <w:r>
        <w:rPr>
          <w:rFonts w:hint="cs"/>
          <w:sz w:val="18"/>
          <w:szCs w:val="20"/>
          <w:rtl/>
        </w:rPr>
        <w:t xml:space="preserve">שם </w:t>
      </w:r>
      <w:r>
        <w:rPr>
          <w:sz w:val="18"/>
          <w:szCs w:val="20"/>
          <w:rtl/>
        </w:rPr>
        <w:t>ט</w:t>
      </w:r>
      <w:r>
        <w:rPr>
          <w:rFonts w:hint="cs"/>
          <w:rtl/>
        </w:rPr>
        <w:t>) בלשון נקבה. הגם שמנהג הלשון הוא שהפֹעל יתאים למין הדקדוקי של</w:t>
      </w:r>
      <w:r>
        <w:rPr>
          <w:rtl/>
        </w:rPr>
        <w:t xml:space="preserve"> </w:t>
      </w:r>
      <w:r>
        <w:rPr>
          <w:rFonts w:hint="cs"/>
          <w:rtl/>
        </w:rPr>
        <w:t>עיקר ("גרעין") הצירוף השֵׁמָנִי</w:t>
      </w:r>
      <w:r>
        <w:rPr>
          <w:rStyle w:val="a4"/>
          <w:rtl/>
        </w:rPr>
        <w:footnoteReference w:id="129"/>
      </w:r>
      <w:r>
        <w:rPr>
          <w:rFonts w:hint="cs"/>
          <w:rtl/>
        </w:rPr>
        <w:t xml:space="preserve"> (דהיינו "</w:t>
      </w:r>
      <w:r>
        <w:rPr>
          <w:rtl/>
        </w:rPr>
        <w:t>נֶגַע</w:t>
      </w:r>
      <w:r>
        <w:rPr>
          <w:rFonts w:hint="cs"/>
          <w:rtl/>
        </w:rPr>
        <w:t>", שהוא ה"נסמך" בצירוף הסמיכות "</w:t>
      </w:r>
      <w:r>
        <w:rPr>
          <w:rtl/>
        </w:rPr>
        <w:t>נֶגַע צָרַעַת</w:t>
      </w:r>
      <w:r>
        <w:rPr>
          <w:rFonts w:hint="cs"/>
          <w:rtl/>
        </w:rPr>
        <w:t>") ולכן היה מתבקש לכתוב "</w:t>
      </w:r>
      <w:r>
        <w:rPr>
          <w:rtl/>
        </w:rPr>
        <w:t xml:space="preserve">נֶגַע צָרַעַת כִּי </w:t>
      </w:r>
      <w:r>
        <w:rPr>
          <w:rFonts w:hint="cs"/>
          <w:b/>
          <w:bCs/>
          <w:rtl/>
        </w:rPr>
        <w:t>י</w:t>
      </w:r>
      <w:r>
        <w:rPr>
          <w:b/>
          <w:bCs/>
          <w:rtl/>
        </w:rPr>
        <w:t>ִ</w:t>
      </w:r>
      <w:r>
        <w:rPr>
          <w:rtl/>
        </w:rPr>
        <w:t>הְיֶה</w:t>
      </w:r>
      <w:r>
        <w:rPr>
          <w:rFonts w:hint="cs"/>
          <w:rtl/>
        </w:rPr>
        <w:t>" -- לפעמים ההתאמה היא למִלה ("לוואי") הנלווית והנספחת אליו (דהיינו "</w:t>
      </w:r>
      <w:r>
        <w:rPr>
          <w:rtl/>
        </w:rPr>
        <w:t>צָרַעַת</w:t>
      </w:r>
      <w:r>
        <w:rPr>
          <w:rFonts w:hint="cs"/>
          <w:rtl/>
        </w:rPr>
        <w:t>", שהיא ה"סומך" בצירוף זה), ובפרט ש"</w:t>
      </w:r>
      <w:r>
        <w:rPr>
          <w:rtl/>
        </w:rPr>
        <w:t>צָרַעַת</w:t>
      </w:r>
      <w:r>
        <w:rPr>
          <w:rFonts w:hint="cs"/>
          <w:rtl/>
        </w:rPr>
        <w:t>" סמוכה יותר אל הפֹעל</w:t>
      </w:r>
      <w:r>
        <w:rPr>
          <w:rStyle w:val="a4"/>
          <w:rtl/>
        </w:rPr>
        <w:footnoteReference w:id="130"/>
      </w:r>
      <w:r>
        <w:rPr>
          <w:rFonts w:hint="cs"/>
          <w:rtl/>
        </w:rPr>
        <w:t>.</w:t>
      </w:r>
    </w:p>
    <w:p w14:paraId="2AC46498" w14:textId="77777777" w:rsidR="00940290" w:rsidRDefault="00940290" w:rsidP="00940290">
      <w:pPr>
        <w:ind w:firstLine="284"/>
        <w:rPr>
          <w:rFonts w:hint="cs"/>
          <w:rtl/>
        </w:rPr>
      </w:pPr>
      <w:r>
        <w:rPr>
          <w:rFonts w:hint="cs"/>
          <w:rtl/>
        </w:rPr>
        <w:t xml:space="preserve">עיקרון זה מבואר בפירוש </w:t>
      </w:r>
      <w:r>
        <w:rPr>
          <w:rtl/>
        </w:rPr>
        <w:t xml:space="preserve">רד"ק </w:t>
      </w:r>
      <w:r>
        <w:rPr>
          <w:rFonts w:hint="cs"/>
          <w:rtl/>
        </w:rPr>
        <w:t>ל</w:t>
      </w:r>
      <w:r>
        <w:rPr>
          <w:rtl/>
        </w:rPr>
        <w:t xml:space="preserve">מלכים </w:t>
      </w:r>
      <w:r>
        <w:rPr>
          <w:rFonts w:hint="cs"/>
          <w:rtl/>
        </w:rPr>
        <w:t>(</w:t>
      </w:r>
      <w:r>
        <w:rPr>
          <w:sz w:val="18"/>
          <w:szCs w:val="20"/>
          <w:rtl/>
        </w:rPr>
        <w:t>א</w:t>
      </w:r>
      <w:r>
        <w:rPr>
          <w:rFonts w:hint="cs"/>
          <w:sz w:val="18"/>
          <w:szCs w:val="20"/>
          <w:rtl/>
        </w:rPr>
        <w:t>'</w:t>
      </w:r>
      <w:r>
        <w:rPr>
          <w:sz w:val="18"/>
          <w:szCs w:val="20"/>
          <w:rtl/>
        </w:rPr>
        <w:t xml:space="preserve"> </w:t>
      </w:r>
      <w:r>
        <w:rPr>
          <w:rFonts w:hint="cs"/>
          <w:sz w:val="18"/>
          <w:szCs w:val="20"/>
          <w:rtl/>
        </w:rPr>
        <w:t xml:space="preserve">פרק </w:t>
      </w:r>
      <w:r>
        <w:rPr>
          <w:sz w:val="18"/>
          <w:szCs w:val="20"/>
          <w:rtl/>
        </w:rPr>
        <w:t>יז</w:t>
      </w:r>
      <w:r>
        <w:rPr>
          <w:rFonts w:hint="cs"/>
          <w:rtl/>
        </w:rPr>
        <w:t>). אליהו מבטיח לאשה מִצָרפת "</w:t>
      </w:r>
      <w:r>
        <w:rPr>
          <w:rtl/>
        </w:rPr>
        <w:t xml:space="preserve">כַּד הַקֶּמַח לֹא תִכְלָה וְצַפַּחַת הַשֶּׁמֶן לֹא </w:t>
      </w:r>
      <w:r>
        <w:rPr>
          <w:b/>
          <w:bCs/>
          <w:rtl/>
        </w:rPr>
        <w:t>תֶחְסָר</w:t>
      </w:r>
      <w:r>
        <w:rPr>
          <w:rFonts w:hint="cs"/>
          <w:rtl/>
        </w:rPr>
        <w:t>" (</w:t>
      </w:r>
      <w:r>
        <w:rPr>
          <w:rFonts w:hint="cs"/>
          <w:sz w:val="18"/>
          <w:szCs w:val="20"/>
          <w:rtl/>
        </w:rPr>
        <w:t>פסוק יד</w:t>
      </w:r>
      <w:r>
        <w:rPr>
          <w:rFonts w:hint="cs"/>
          <w:rtl/>
        </w:rPr>
        <w:t>), אך בתיאור התגשמות נבואתו לא נאמר על "</w:t>
      </w:r>
      <w:r>
        <w:rPr>
          <w:rtl/>
        </w:rPr>
        <w:t>צַפַּחַת הַשֶּׁמֶן</w:t>
      </w:r>
      <w:r>
        <w:rPr>
          <w:rFonts w:hint="cs"/>
          <w:rtl/>
        </w:rPr>
        <w:t>" שהיא "</w:t>
      </w:r>
      <w:r>
        <w:rPr>
          <w:rtl/>
        </w:rPr>
        <w:t>לֹא חסר</w:t>
      </w:r>
      <w:r>
        <w:rPr>
          <w:rFonts w:hint="cs"/>
          <w:rtl/>
        </w:rPr>
        <w:t>ה" בלשון נקבה, אלא בלשון זכר: "</w:t>
      </w:r>
      <w:r>
        <w:rPr>
          <w:rtl/>
        </w:rPr>
        <w:t>צַפַּחַת הַשֶּׁמֶן לֹא חָסֵר</w:t>
      </w:r>
      <w:r>
        <w:rPr>
          <w:rFonts w:hint="cs"/>
          <w:rtl/>
        </w:rPr>
        <w:t>" (</w:t>
      </w:r>
      <w:r>
        <w:rPr>
          <w:rFonts w:hint="cs"/>
          <w:sz w:val="18"/>
          <w:szCs w:val="20"/>
          <w:rtl/>
        </w:rPr>
        <w:t xml:space="preserve">פסוק </w:t>
      </w:r>
      <w:r>
        <w:rPr>
          <w:sz w:val="18"/>
          <w:szCs w:val="20"/>
          <w:rtl/>
        </w:rPr>
        <w:t>טז</w:t>
      </w:r>
      <w:r>
        <w:rPr>
          <w:rFonts w:hint="cs"/>
          <w:rtl/>
        </w:rPr>
        <w:t>), אע"פ שה"</w:t>
      </w:r>
      <w:r>
        <w:rPr>
          <w:rtl/>
        </w:rPr>
        <w:t>צַפַּחַת</w:t>
      </w:r>
      <w:r>
        <w:rPr>
          <w:rFonts w:hint="cs"/>
          <w:rtl/>
        </w:rPr>
        <w:t xml:space="preserve">", שהיא גרעין הצירוף השמני, ממין נקבה! וכך כותב רד"ק: </w:t>
      </w:r>
    </w:p>
    <w:p w14:paraId="4B53F116" w14:textId="77777777" w:rsidR="00940290" w:rsidRDefault="00940290" w:rsidP="00940290">
      <w:pPr>
        <w:pStyle w:val="a7"/>
        <w:rPr>
          <w:rtl/>
        </w:rPr>
      </w:pPr>
      <w:r>
        <w:rPr>
          <w:rFonts w:hint="cs"/>
          <w:rtl/>
        </w:rPr>
        <w:t>"</w:t>
      </w:r>
      <w:r>
        <w:rPr>
          <w:rtl/>
        </w:rPr>
        <w:t>ואמר חָסֵר לשון זכר</w:t>
      </w:r>
      <w:r>
        <w:rPr>
          <w:rFonts w:hint="cs"/>
          <w:rtl/>
        </w:rPr>
        <w:t>,</w:t>
      </w:r>
      <w:r>
        <w:rPr>
          <w:rtl/>
        </w:rPr>
        <w:t xml:space="preserve"> כי טעמו אל הַשֶּׁמֶן</w:t>
      </w:r>
      <w:r>
        <w:rPr>
          <w:rFonts w:hint="cs"/>
          <w:rtl/>
        </w:rPr>
        <w:t xml:space="preserve">; </w:t>
      </w:r>
      <w:r>
        <w:rPr>
          <w:rtl/>
        </w:rPr>
        <w:t>ולמעלה אמר לֹא תֶחְסָר לשון נקבה</w:t>
      </w:r>
      <w:r>
        <w:rPr>
          <w:rFonts w:hint="cs"/>
          <w:rtl/>
        </w:rPr>
        <w:t xml:space="preserve">, </w:t>
      </w:r>
      <w:r>
        <w:rPr>
          <w:rtl/>
        </w:rPr>
        <w:t>טעמו על הצַפַּחַת</w:t>
      </w:r>
      <w:r>
        <w:rPr>
          <w:rFonts w:hint="cs"/>
          <w:rtl/>
        </w:rPr>
        <w:t>; והעניי</w:t>
      </w:r>
      <w:r>
        <w:rPr>
          <w:rFonts w:hint="eastAsia"/>
          <w:rtl/>
        </w:rPr>
        <w:t>ן</w:t>
      </w:r>
      <w:r>
        <w:rPr>
          <w:rFonts w:hint="cs"/>
          <w:rtl/>
        </w:rPr>
        <w:t xml:space="preserve"> </w:t>
      </w:r>
      <w:r>
        <w:rPr>
          <w:rtl/>
        </w:rPr>
        <w:t>אחד</w:t>
      </w:r>
      <w:r>
        <w:rPr>
          <w:rFonts w:hint="cs"/>
          <w:rtl/>
        </w:rPr>
        <w:t>.</w:t>
      </w:r>
      <w:r>
        <w:rPr>
          <w:rtl/>
        </w:rPr>
        <w:t xml:space="preserve"> כמו שאמר למעלה </w:t>
      </w:r>
      <w:r>
        <w:rPr>
          <w:rFonts w:hint="cs"/>
          <w:rtl/>
        </w:rPr>
        <w:t>(</w:t>
      </w:r>
      <w:r>
        <w:rPr>
          <w:rFonts w:hint="cs"/>
          <w:sz w:val="18"/>
          <w:szCs w:val="20"/>
          <w:rtl/>
        </w:rPr>
        <w:t>פסוק יד</w:t>
      </w:r>
      <w:r>
        <w:rPr>
          <w:rFonts w:hint="cs"/>
          <w:rtl/>
        </w:rPr>
        <w:t xml:space="preserve">) </w:t>
      </w:r>
      <w:r>
        <w:rPr>
          <w:rtl/>
        </w:rPr>
        <w:t>הוא מנהג הלשון ברוב</w:t>
      </w:r>
      <w:r>
        <w:rPr>
          <w:rFonts w:hint="cs"/>
          <w:rtl/>
        </w:rPr>
        <w:t>:</w:t>
      </w:r>
      <w:r>
        <w:rPr>
          <w:rtl/>
        </w:rPr>
        <w:t xml:space="preserve"> </w:t>
      </w:r>
      <w:r>
        <w:rPr>
          <w:rtl/>
        </w:rPr>
        <w:lastRenderedPageBreak/>
        <w:t>להיות טעם הפ</w:t>
      </w:r>
      <w:r>
        <w:rPr>
          <w:rFonts w:hint="cs"/>
          <w:rtl/>
        </w:rPr>
        <w:t>ֹ</w:t>
      </w:r>
      <w:r>
        <w:rPr>
          <w:rtl/>
        </w:rPr>
        <w:t>על אל הדבק</w:t>
      </w:r>
      <w:r>
        <w:rPr>
          <w:rStyle w:val="a4"/>
          <w:rtl/>
        </w:rPr>
        <w:footnoteReference w:id="131"/>
      </w:r>
      <w:r>
        <w:rPr>
          <w:rFonts w:hint="cs"/>
          <w:rtl/>
        </w:rPr>
        <w:t xml:space="preserve">, </w:t>
      </w:r>
      <w:r>
        <w:rPr>
          <w:rtl/>
        </w:rPr>
        <w:t>ו</w:t>
      </w:r>
      <w:r>
        <w:rPr>
          <w:rFonts w:hint="cs"/>
          <w:rtl/>
        </w:rPr>
        <w:t>ב</w:t>
      </w:r>
      <w:r>
        <w:rPr>
          <w:rtl/>
        </w:rPr>
        <w:t>מעט</w:t>
      </w:r>
      <w:r>
        <w:rPr>
          <w:rStyle w:val="a4"/>
          <w:rtl/>
        </w:rPr>
        <w:footnoteReference w:id="132"/>
      </w:r>
      <w:r>
        <w:rPr>
          <w:rFonts w:hint="cs"/>
          <w:rtl/>
        </w:rPr>
        <w:t>:</w:t>
      </w:r>
      <w:r>
        <w:rPr>
          <w:rtl/>
        </w:rPr>
        <w:t xml:space="preserve"> יהיה הפ</w:t>
      </w:r>
      <w:r>
        <w:rPr>
          <w:rFonts w:hint="cs"/>
          <w:rtl/>
        </w:rPr>
        <w:t>ֹ</w:t>
      </w:r>
      <w:r>
        <w:rPr>
          <w:rtl/>
        </w:rPr>
        <w:t>על אל הנדבק</w:t>
      </w:r>
      <w:r>
        <w:rPr>
          <w:rFonts w:hint="cs"/>
          <w:rtl/>
        </w:rPr>
        <w:t>,</w:t>
      </w:r>
      <w:r>
        <w:rPr>
          <w:rtl/>
        </w:rPr>
        <w:t xml:space="preserve"> כמו</w:t>
      </w:r>
      <w:r>
        <w:rPr>
          <w:rFonts w:hint="cs"/>
          <w:rtl/>
        </w:rPr>
        <w:t>:</w:t>
      </w:r>
      <w:r>
        <w:rPr>
          <w:rtl/>
        </w:rPr>
        <w:t xml:space="preserve"> כִּי הָיְתָה אֵלָיו פְּנֵי הַמִּלְחָמָה </w:t>
      </w:r>
      <w:r>
        <w:rPr>
          <w:rFonts w:hint="cs"/>
          <w:rtl/>
        </w:rPr>
        <w:t>(</w:t>
      </w:r>
      <w:r>
        <w:rPr>
          <w:sz w:val="18"/>
          <w:szCs w:val="20"/>
          <w:rtl/>
        </w:rPr>
        <w:t>שמואל ב</w:t>
      </w:r>
      <w:r>
        <w:rPr>
          <w:rFonts w:hint="cs"/>
          <w:sz w:val="18"/>
          <w:szCs w:val="20"/>
          <w:rtl/>
        </w:rPr>
        <w:t>'</w:t>
      </w:r>
      <w:r>
        <w:rPr>
          <w:sz w:val="18"/>
          <w:szCs w:val="20"/>
          <w:rtl/>
        </w:rPr>
        <w:t xml:space="preserve"> י</w:t>
      </w:r>
      <w:r>
        <w:rPr>
          <w:rFonts w:hint="cs"/>
          <w:sz w:val="18"/>
          <w:szCs w:val="20"/>
          <w:rtl/>
        </w:rPr>
        <w:t xml:space="preserve">, </w:t>
      </w:r>
      <w:r>
        <w:rPr>
          <w:sz w:val="18"/>
          <w:szCs w:val="20"/>
          <w:rtl/>
        </w:rPr>
        <w:t>ט</w:t>
      </w:r>
      <w:r>
        <w:rPr>
          <w:rFonts w:hint="cs"/>
          <w:sz w:val="18"/>
          <w:szCs w:val="20"/>
          <w:rtl/>
        </w:rPr>
        <w:t>; במקום "כי היו"</w:t>
      </w:r>
      <w:r>
        <w:rPr>
          <w:rFonts w:hint="cs"/>
          <w:rtl/>
        </w:rPr>
        <w:t xml:space="preserve">), </w:t>
      </w:r>
      <w:r>
        <w:rPr>
          <w:rtl/>
        </w:rPr>
        <w:t xml:space="preserve">קוֹל נְגִידִים נֶחְבָּאוּ </w:t>
      </w:r>
      <w:r>
        <w:rPr>
          <w:rFonts w:hint="cs"/>
          <w:rtl/>
        </w:rPr>
        <w:t>(</w:t>
      </w:r>
      <w:r>
        <w:rPr>
          <w:sz w:val="18"/>
          <w:szCs w:val="20"/>
          <w:rtl/>
        </w:rPr>
        <w:t>איוב כט</w:t>
      </w:r>
      <w:r>
        <w:rPr>
          <w:rFonts w:hint="cs"/>
          <w:sz w:val="18"/>
          <w:szCs w:val="20"/>
          <w:rtl/>
        </w:rPr>
        <w:t xml:space="preserve">, </w:t>
      </w:r>
      <w:r>
        <w:rPr>
          <w:sz w:val="18"/>
          <w:szCs w:val="20"/>
          <w:rtl/>
        </w:rPr>
        <w:t>י</w:t>
      </w:r>
      <w:r>
        <w:rPr>
          <w:rFonts w:hint="cs"/>
          <w:sz w:val="18"/>
          <w:szCs w:val="20"/>
          <w:rtl/>
        </w:rPr>
        <w:t>; במקום "נחבא"</w:t>
      </w:r>
      <w:r>
        <w:rPr>
          <w:rFonts w:hint="cs"/>
          <w:rtl/>
        </w:rPr>
        <w:t>), "</w:t>
      </w:r>
      <w:r>
        <w:rPr>
          <w:rtl/>
        </w:rPr>
        <w:t>קֶשֶׁת</w:t>
      </w:r>
      <w:r>
        <w:rPr>
          <w:rFonts w:hint="cs"/>
          <w:rtl/>
        </w:rPr>
        <w:t xml:space="preserve"> </w:t>
      </w:r>
      <w:r>
        <w:rPr>
          <w:rtl/>
        </w:rPr>
        <w:t>גִּבֹּרִים חַתִּים</w:t>
      </w:r>
      <w:r>
        <w:rPr>
          <w:rFonts w:hint="cs"/>
          <w:rtl/>
        </w:rPr>
        <w:t>" (</w:t>
      </w:r>
      <w:r>
        <w:rPr>
          <w:sz w:val="18"/>
          <w:szCs w:val="20"/>
          <w:rtl/>
        </w:rPr>
        <w:t xml:space="preserve">שמואל </w:t>
      </w:r>
      <w:r>
        <w:rPr>
          <w:szCs w:val="20"/>
          <w:rtl/>
        </w:rPr>
        <w:t>א</w:t>
      </w:r>
      <w:r>
        <w:rPr>
          <w:rFonts w:hint="cs"/>
          <w:szCs w:val="20"/>
          <w:rtl/>
        </w:rPr>
        <w:t>'</w:t>
      </w:r>
      <w:r>
        <w:rPr>
          <w:szCs w:val="20"/>
          <w:rtl/>
        </w:rPr>
        <w:t xml:space="preserve"> ב</w:t>
      </w:r>
      <w:r>
        <w:rPr>
          <w:rFonts w:hint="cs"/>
          <w:szCs w:val="20"/>
          <w:rtl/>
        </w:rPr>
        <w:t xml:space="preserve">, </w:t>
      </w:r>
      <w:r>
        <w:rPr>
          <w:szCs w:val="20"/>
          <w:rtl/>
        </w:rPr>
        <w:t>ד</w:t>
      </w:r>
      <w:r>
        <w:rPr>
          <w:rFonts w:hint="cs"/>
          <w:sz w:val="18"/>
          <w:szCs w:val="20"/>
          <w:rtl/>
        </w:rPr>
        <w:t>; במקום "חתה"</w:t>
      </w:r>
      <w:r>
        <w:rPr>
          <w:rStyle w:val="a4"/>
          <w:szCs w:val="20"/>
          <w:rtl/>
        </w:rPr>
        <w:footnoteReference w:id="133"/>
      </w:r>
      <w:r>
        <w:rPr>
          <w:rFonts w:hint="cs"/>
          <w:rtl/>
        </w:rPr>
        <w:t>)".</w:t>
      </w:r>
      <w:r>
        <w:rPr>
          <w:rtl/>
        </w:rPr>
        <w:t xml:space="preserve"> </w:t>
      </w:r>
    </w:p>
    <w:p w14:paraId="6E54B8F9" w14:textId="77777777" w:rsidR="00940290" w:rsidRDefault="00940290" w:rsidP="00940290">
      <w:pPr>
        <w:ind w:firstLine="284"/>
        <w:rPr>
          <w:rFonts w:hint="cs"/>
          <w:rtl/>
        </w:rPr>
      </w:pPr>
      <w:r>
        <w:rPr>
          <w:rFonts w:hint="cs"/>
          <w:rtl/>
        </w:rPr>
        <w:t>מהדוגמה "</w:t>
      </w:r>
      <w:r>
        <w:rPr>
          <w:rtl/>
        </w:rPr>
        <w:t>כִּי הָיְתָה אֵלָיו פְּנֵי הַמִּלְחָמָה</w:t>
      </w:r>
      <w:r>
        <w:rPr>
          <w:rFonts w:hint="cs"/>
          <w:rtl/>
        </w:rPr>
        <w:t xml:space="preserve">" נוכל להסיק שגם כשבא הפֹעל לפני צירוף הסמיכות, ניתן להתאים את מינו למין השם השני ("הסומך") אף שהוא מרוחק יותר! </w:t>
      </w:r>
    </w:p>
    <w:p w14:paraId="43491C72" w14:textId="77777777" w:rsidR="00940290" w:rsidRDefault="00940290" w:rsidP="00940290">
      <w:pPr>
        <w:ind w:firstLine="284"/>
        <w:rPr>
          <w:rFonts w:hint="cs"/>
          <w:rtl/>
        </w:rPr>
      </w:pPr>
      <w:r>
        <w:rPr>
          <w:rFonts w:hint="cs"/>
          <w:rtl/>
        </w:rPr>
        <w:t>מכאן נלמד לעניי</w:t>
      </w:r>
      <w:r>
        <w:rPr>
          <w:rFonts w:hint="eastAsia"/>
          <w:rtl/>
        </w:rPr>
        <w:t>ן</w:t>
      </w:r>
      <w:r>
        <w:rPr>
          <w:rFonts w:hint="cs"/>
          <w:rtl/>
        </w:rPr>
        <w:t xml:space="preserve"> הצירוף השמני "</w:t>
      </w:r>
      <w:r>
        <w:rPr>
          <w:rtl/>
        </w:rPr>
        <w:t>סממ</w:t>
      </w:r>
      <w:r>
        <w:rPr>
          <w:rFonts w:hint="cs"/>
          <w:rtl/>
        </w:rPr>
        <w:t>ניה", המקוצר מהצירוף "סממנים שלה" (של הקטורת), ובו "סממני" הוא העיקר (ה"גרעין"), והסיומת הנקבית "-ה" היא הטפלה והנלווית אל השֵם ("כינוי שייכות חבור"). אכן, "</w:t>
      </w:r>
      <w:r>
        <w:rPr>
          <w:rtl/>
        </w:rPr>
        <w:t>מנהג הלשון ברוב</w:t>
      </w:r>
      <w:r>
        <w:rPr>
          <w:rFonts w:hint="cs"/>
          <w:rtl/>
        </w:rPr>
        <w:t xml:space="preserve">" (כלשון רד"ק) </w:t>
      </w:r>
      <w:r>
        <w:rPr>
          <w:rtl/>
        </w:rPr>
        <w:t>לה</w:t>
      </w:r>
      <w:r>
        <w:rPr>
          <w:rFonts w:hint="cs"/>
          <w:rtl/>
        </w:rPr>
        <w:t xml:space="preserve">תאים את מין המספר </w:t>
      </w:r>
      <w:r>
        <w:rPr>
          <w:rtl/>
        </w:rPr>
        <w:t xml:space="preserve">אל </w:t>
      </w:r>
      <w:r>
        <w:rPr>
          <w:rFonts w:hint="cs"/>
          <w:rtl/>
        </w:rPr>
        <w:t>גרעין צירוף הסמיכות (דהיינו "סממנים") ולומר "</w:t>
      </w:r>
      <w:r>
        <w:rPr>
          <w:rtl/>
        </w:rPr>
        <w:t>אח</w:t>
      </w:r>
      <w:r>
        <w:rPr>
          <w:rFonts w:hint="cs"/>
          <w:b/>
          <w:bCs/>
          <w:rtl/>
        </w:rPr>
        <w:t>ד</w:t>
      </w:r>
      <w:r>
        <w:rPr>
          <w:b/>
          <w:bCs/>
          <w:rtl/>
        </w:rPr>
        <w:t xml:space="preserve"> </w:t>
      </w:r>
      <w:r>
        <w:rPr>
          <w:rtl/>
        </w:rPr>
        <w:t>מסממניה</w:t>
      </w:r>
      <w:r>
        <w:rPr>
          <w:rFonts w:hint="cs"/>
          <w:rtl/>
        </w:rPr>
        <w:t>"; אך ב</w:t>
      </w:r>
      <w:r>
        <w:rPr>
          <w:rtl/>
        </w:rPr>
        <w:t>מ</w:t>
      </w:r>
      <w:r>
        <w:rPr>
          <w:rFonts w:hint="cs"/>
          <w:rtl/>
        </w:rPr>
        <w:t>י</w:t>
      </w:r>
      <w:r>
        <w:rPr>
          <w:rtl/>
        </w:rPr>
        <w:t>ע</w:t>
      </w:r>
      <w:r>
        <w:rPr>
          <w:rFonts w:hint="cs"/>
          <w:rtl/>
        </w:rPr>
        <w:t>ו</w:t>
      </w:r>
      <w:r>
        <w:rPr>
          <w:rtl/>
        </w:rPr>
        <w:t>ט</w:t>
      </w:r>
      <w:r>
        <w:rPr>
          <w:rFonts w:hint="cs"/>
          <w:rtl/>
        </w:rPr>
        <w:t xml:space="preserve"> המקרים ת</w:t>
      </w:r>
      <w:r>
        <w:rPr>
          <w:rtl/>
        </w:rPr>
        <w:t xml:space="preserve">היה </w:t>
      </w:r>
      <w:r>
        <w:rPr>
          <w:rFonts w:hint="cs"/>
          <w:rtl/>
        </w:rPr>
        <w:t xml:space="preserve">התאמה אל </w:t>
      </w:r>
      <w:r>
        <w:rPr>
          <w:rtl/>
        </w:rPr>
        <w:t>ה</w:t>
      </w:r>
      <w:r>
        <w:rPr>
          <w:rFonts w:hint="cs"/>
          <w:rtl/>
        </w:rPr>
        <w:t>"</w:t>
      </w:r>
      <w:r>
        <w:rPr>
          <w:rtl/>
        </w:rPr>
        <w:t>נדבק</w:t>
      </w:r>
      <w:r>
        <w:rPr>
          <w:rFonts w:hint="cs"/>
          <w:rtl/>
        </w:rPr>
        <w:t>", ה"לוואי" (דהיינו הקטורת הרמוזה בסיומת "-</w:t>
      </w:r>
      <w:r w:rsidRPr="00832A6F">
        <w:rPr>
          <w:rFonts w:hint="cs"/>
          <w:highlight w:val="yellow"/>
          <w:rtl/>
        </w:rPr>
        <w:t>ֶ</w:t>
      </w:r>
      <w:r>
        <w:rPr>
          <w:rFonts w:hint="cs"/>
          <w:rtl/>
        </w:rPr>
        <w:t>יהָ"), ולכן אין פסול בנוסח "</w:t>
      </w:r>
      <w:r>
        <w:rPr>
          <w:rtl/>
        </w:rPr>
        <w:t>אח</w:t>
      </w:r>
      <w:r>
        <w:rPr>
          <w:b/>
          <w:bCs/>
          <w:rtl/>
        </w:rPr>
        <w:t xml:space="preserve">ת </w:t>
      </w:r>
      <w:r>
        <w:rPr>
          <w:rtl/>
        </w:rPr>
        <w:t>מסממניה</w:t>
      </w:r>
      <w:r>
        <w:rPr>
          <w:rFonts w:hint="cs"/>
          <w:rtl/>
        </w:rPr>
        <w:t>".</w:t>
      </w:r>
    </w:p>
    <w:p w14:paraId="66D52225" w14:textId="77777777" w:rsidR="00940290" w:rsidRDefault="00940290" w:rsidP="00940290">
      <w:pPr>
        <w:ind w:firstLine="284"/>
        <w:rPr>
          <w:rFonts w:hint="cs"/>
          <w:rtl/>
        </w:rPr>
      </w:pPr>
      <w:r>
        <w:rPr>
          <w:rFonts w:hint="cs"/>
          <w:rtl/>
        </w:rPr>
        <w:t>ואם תאמר שהוכחה מלשון המקרא על לשון חז"ל אינה קבילה, שהרי אמרו "</w:t>
      </w:r>
      <w:r>
        <w:rPr>
          <w:rtl/>
        </w:rPr>
        <w:t xml:space="preserve">לשון תורה </w:t>
      </w:r>
      <w:r>
        <w:rPr>
          <w:rFonts w:hint="cs"/>
          <w:rtl/>
        </w:rPr>
        <w:t xml:space="preserve">לעצמה, </w:t>
      </w:r>
      <w:r>
        <w:rPr>
          <w:rtl/>
        </w:rPr>
        <w:t>לשון חכמים</w:t>
      </w:r>
      <w:r>
        <w:rPr>
          <w:rFonts w:hint="cs"/>
          <w:rtl/>
        </w:rPr>
        <w:t xml:space="preserve"> לעצמן"! ויש להשיב מיניה וביה, מתוך אִמרת חז"ל זו בעצמה יש להוכיח שבעיקרון זה </w:t>
      </w:r>
      <w:r>
        <w:rPr>
          <w:rFonts w:hint="cs"/>
          <w:rtl/>
        </w:rPr>
        <w:lastRenderedPageBreak/>
        <w:t xml:space="preserve">נשתוו </w:t>
      </w:r>
      <w:r>
        <w:rPr>
          <w:rtl/>
        </w:rPr>
        <w:t xml:space="preserve">לשון תורה </w:t>
      </w:r>
      <w:r>
        <w:rPr>
          <w:rFonts w:hint="cs"/>
          <w:rtl/>
        </w:rPr>
        <w:t>ו</w:t>
      </w:r>
      <w:r>
        <w:rPr>
          <w:rtl/>
        </w:rPr>
        <w:t>לשון חכמים</w:t>
      </w:r>
      <w:r>
        <w:rPr>
          <w:rFonts w:hint="cs"/>
          <w:rtl/>
        </w:rPr>
        <w:t>: הרי המִלים "לעצמה" ו"לעצמן" מתאימות למין השמות הסומכים, "</w:t>
      </w:r>
      <w:r>
        <w:rPr>
          <w:rtl/>
        </w:rPr>
        <w:t>תורה</w:t>
      </w:r>
      <w:r>
        <w:rPr>
          <w:rFonts w:hint="cs"/>
          <w:rtl/>
        </w:rPr>
        <w:t>" ו"</w:t>
      </w:r>
      <w:r>
        <w:rPr>
          <w:rtl/>
        </w:rPr>
        <w:t>חכמים</w:t>
      </w:r>
      <w:r>
        <w:rPr>
          <w:rFonts w:hint="cs"/>
          <w:rtl/>
        </w:rPr>
        <w:t>", ולא לנסמך "לשון" (ע"ע על כלל זה להלן נב, ב). ואין זו הדוגמה היחידה, אף שאין זו דרך המלך, לא בתנ"ך ולא בלשון חכמים</w:t>
      </w:r>
      <w:r>
        <w:rPr>
          <w:rStyle w:val="a4"/>
          <w:rtl/>
        </w:rPr>
        <w:footnoteReference w:id="134"/>
      </w:r>
      <w:r>
        <w:rPr>
          <w:rFonts w:hint="cs"/>
          <w:rtl/>
        </w:rPr>
        <w:t xml:space="preserve">. </w:t>
      </w:r>
    </w:p>
    <w:p w14:paraId="198BD264" w14:textId="77777777" w:rsidR="00940290" w:rsidRDefault="00940290" w:rsidP="00940290">
      <w:pPr>
        <w:ind w:firstLine="284"/>
        <w:rPr>
          <w:rFonts w:hint="cs"/>
          <w:rtl/>
        </w:rPr>
      </w:pPr>
      <w:r>
        <w:rPr>
          <w:rFonts w:hint="cs"/>
          <w:rtl/>
        </w:rPr>
        <w:t>כמו כן, ניתן להצדיק את הנוסח "אחת" בטענה שלא תמיד חייבת להיות התאמה במין הדקדוקי, במיוחד כשאין המין מוטבע במציאות אלא רק מנהג הלשון</w:t>
      </w:r>
      <w:r>
        <w:rPr>
          <w:rStyle w:val="a4"/>
          <w:rtl/>
        </w:rPr>
        <w:footnoteReference w:id="135"/>
      </w:r>
      <w:r>
        <w:rPr>
          <w:rFonts w:hint="cs"/>
          <w:rtl/>
        </w:rPr>
        <w:t>.</w:t>
      </w:r>
    </w:p>
    <w:p w14:paraId="2412FDDA" w14:textId="77777777" w:rsidR="00940290" w:rsidRDefault="00940290" w:rsidP="00940290">
      <w:pPr>
        <w:ind w:firstLine="284"/>
        <w:rPr>
          <w:rFonts w:hint="cs"/>
          <w:rtl/>
        </w:rPr>
      </w:pPr>
      <w:r>
        <w:rPr>
          <w:rFonts w:hint="cs"/>
          <w:rtl/>
        </w:rPr>
        <w:t>הרוצה לדבוק בנוסח הנפוץ "</w:t>
      </w:r>
      <w:r>
        <w:rPr>
          <w:rtl/>
        </w:rPr>
        <w:t xml:space="preserve">חיסר </w:t>
      </w:r>
      <w:r>
        <w:rPr>
          <w:rFonts w:hint="cs"/>
          <w:rtl/>
        </w:rPr>
        <w:t>אחת", יוכל להצדיק זאת באחד משלושה תירוצים אלו.</w:t>
      </w:r>
    </w:p>
    <w:p w14:paraId="07A15E87" w14:textId="77777777" w:rsidR="00940290" w:rsidRDefault="00940290" w:rsidP="00940290">
      <w:pPr>
        <w:pStyle w:val="3"/>
        <w:rPr>
          <w:rFonts w:hint="cs"/>
          <w:rtl/>
        </w:rPr>
      </w:pPr>
      <w:r>
        <w:rPr>
          <w:rFonts w:hint="cs"/>
          <w:rtl/>
        </w:rPr>
        <w:t>להחזיר עטרה ליושנה?</w:t>
      </w:r>
    </w:p>
    <w:p w14:paraId="54B41BB6" w14:textId="77777777" w:rsidR="00940290" w:rsidRDefault="00940290" w:rsidP="00940290">
      <w:pPr>
        <w:ind w:firstLine="284"/>
        <w:rPr>
          <w:rtl/>
        </w:rPr>
      </w:pPr>
      <w:r>
        <w:rPr>
          <w:rFonts w:hint="cs"/>
          <w:rtl/>
        </w:rPr>
        <w:t>ברם, ישנה דרך רביעית מרווחת הרבה יותר, ולפיה אין קושיה ואין תמיהה וממילא אין צורך לפתוח שערי תירוצים: יתכן שהנוסח "אחת" לא יצא כלל מפי חז"ל, אלא הוא פרי שיבוש העתקה: הקיצור של א'[ח</w:t>
      </w:r>
      <w:r>
        <w:rPr>
          <w:rFonts w:hint="cs"/>
          <w:b/>
          <w:bCs/>
          <w:rtl/>
        </w:rPr>
        <w:t>ד</w:t>
      </w:r>
      <w:r>
        <w:rPr>
          <w:rFonts w:hint="cs"/>
          <w:rtl/>
        </w:rPr>
        <w:t>] פוענח בטעות המעתיקים לא'[ח</w:t>
      </w:r>
      <w:r>
        <w:rPr>
          <w:rFonts w:hint="cs"/>
          <w:b/>
          <w:bCs/>
          <w:rtl/>
        </w:rPr>
        <w:t>ת</w:t>
      </w:r>
      <w:r>
        <w:rPr>
          <w:rFonts w:hint="cs"/>
          <w:rtl/>
        </w:rPr>
        <w:t>] (</w:t>
      </w:r>
      <w:r>
        <w:rPr>
          <w:rFonts w:hint="cs"/>
          <w:sz w:val="18"/>
          <w:szCs w:val="20"/>
          <w:rtl/>
        </w:rPr>
        <w:t>כמודגם לעיל בהערה 9 וראה המחשה לכך בהערה 29</w:t>
      </w:r>
      <w:r>
        <w:rPr>
          <w:rFonts w:hint="cs"/>
          <w:rtl/>
        </w:rPr>
        <w:t xml:space="preserve">). הנוסח "אחד" מופיע בכתבי יד של </w:t>
      </w:r>
      <w:r>
        <w:rPr>
          <w:rFonts w:hint="cs"/>
          <w:rtl/>
        </w:rPr>
        <w:lastRenderedPageBreak/>
        <w:t>הספרא</w:t>
      </w:r>
      <w:r>
        <w:rPr>
          <w:rStyle w:val="a4"/>
          <w:rtl/>
        </w:rPr>
        <w:footnoteReference w:id="136"/>
      </w:r>
      <w:r>
        <w:rPr>
          <w:rFonts w:hint="cs"/>
          <w:rtl/>
        </w:rPr>
        <w:t xml:space="preserve"> ושל הבבלי</w:t>
      </w:r>
      <w:r>
        <w:rPr>
          <w:rStyle w:val="a4"/>
          <w:rtl/>
        </w:rPr>
        <w:footnoteReference w:id="137"/>
      </w:r>
      <w:r>
        <w:rPr>
          <w:rFonts w:hint="cs"/>
          <w:rtl/>
        </w:rPr>
        <w:t>, ובספר אבודרהם (</w:t>
      </w:r>
      <w:r>
        <w:rPr>
          <w:sz w:val="18"/>
          <w:szCs w:val="20"/>
          <w:rtl/>
        </w:rPr>
        <w:t>פיטום הקטורת ד"ה ואומר</w:t>
      </w:r>
      <w:r>
        <w:rPr>
          <w:rFonts w:hint="cs"/>
          <w:rtl/>
        </w:rPr>
        <w:t>). כך ה</w:t>
      </w:r>
      <w:r>
        <w:rPr>
          <w:rtl/>
        </w:rPr>
        <w:t>גיה ריעב"ץ</w:t>
      </w:r>
      <w:r>
        <w:rPr>
          <w:rFonts w:hint="cs"/>
          <w:rtl/>
        </w:rPr>
        <w:t xml:space="preserve"> את נוסח התלמוד</w:t>
      </w:r>
      <w:r>
        <w:rPr>
          <w:rStyle w:val="a4"/>
          <w:rtl/>
        </w:rPr>
        <w:footnoteReference w:id="138"/>
      </w:r>
      <w:r>
        <w:rPr>
          <w:rFonts w:hint="cs"/>
          <w:rtl/>
        </w:rPr>
        <w:t>, וכך תיקנו כמה מגדולי האחרונים את הנוסח בסידור, הלכה למעשה</w:t>
      </w:r>
      <w:r>
        <w:rPr>
          <w:rStyle w:val="a4"/>
          <w:rtl/>
        </w:rPr>
        <w:footnoteReference w:id="139"/>
      </w:r>
      <w:r>
        <w:rPr>
          <w:rFonts w:hint="cs"/>
          <w:rtl/>
        </w:rPr>
        <w:t>. כאמור, זוהי גם לשון ה</w:t>
      </w:r>
      <w:r>
        <w:rPr>
          <w:rtl/>
        </w:rPr>
        <w:t>רמב"ם</w:t>
      </w:r>
      <w:r>
        <w:rPr>
          <w:rFonts w:hint="cs"/>
          <w:rtl/>
        </w:rPr>
        <w:t>,</w:t>
      </w:r>
      <w:r>
        <w:rPr>
          <w:rFonts w:hint="cs"/>
          <w:sz w:val="26"/>
          <w:rtl/>
        </w:rPr>
        <w:t xml:space="preserve"> ר' יוסף קארו</w:t>
      </w:r>
      <w:r>
        <w:rPr>
          <w:rFonts w:hint="cs"/>
          <w:sz w:val="18"/>
          <w:rtl/>
        </w:rPr>
        <w:t xml:space="preserve"> </w:t>
      </w:r>
      <w:r>
        <w:rPr>
          <w:rFonts w:hint="cs"/>
          <w:sz w:val="26"/>
          <w:rtl/>
        </w:rPr>
        <w:t>ו</w:t>
      </w:r>
      <w:r>
        <w:rPr>
          <w:rFonts w:hint="cs"/>
          <w:sz w:val="18"/>
          <w:rtl/>
        </w:rPr>
        <w:t>רמ"א.</w:t>
      </w:r>
    </w:p>
    <w:p w14:paraId="1C97F793" w14:textId="77777777" w:rsidR="00940290" w:rsidRDefault="00940290" w:rsidP="00940290">
      <w:pPr>
        <w:ind w:firstLine="284"/>
        <w:rPr>
          <w:rFonts w:hint="cs"/>
          <w:rtl/>
        </w:rPr>
      </w:pPr>
      <w:r>
        <w:rPr>
          <w:rFonts w:hint="cs"/>
          <w:rtl/>
        </w:rPr>
        <w:lastRenderedPageBreak/>
        <w:t>עכ"פ, בין אם נמשיך לדבוק בנוסח התמוה וניישבו, ובין אם נחזיר ליושנו את עטרת הנוסח העולה בקנה אחד עם כללי הדקדוק -- בזכות תשומת הלב לדקדוק זה נִתן להתבונן ולעיין ולכוון כראוי</w:t>
      </w:r>
      <w:r>
        <w:rPr>
          <w:rStyle w:val="a4"/>
          <w:rtl/>
        </w:rPr>
        <w:footnoteReference w:id="140"/>
      </w:r>
      <w:r>
        <w:rPr>
          <w:rFonts w:hint="cs"/>
          <w:rtl/>
        </w:rPr>
        <w:t>.</w:t>
      </w:r>
    </w:p>
    <w:p w14:paraId="0D018FCF" w14:textId="77777777" w:rsidR="00940290" w:rsidRPr="00940290" w:rsidRDefault="00940290" w:rsidP="00940290">
      <w:pPr>
        <w:rPr>
          <w:rFonts w:hint="cs"/>
          <w:rtl/>
        </w:rPr>
      </w:pPr>
    </w:p>
    <w:p w14:paraId="0FF69DAB" w14:textId="77777777" w:rsidR="00940290" w:rsidRDefault="00940290" w:rsidP="00940290">
      <w:pPr>
        <w:pStyle w:val="1"/>
        <w:rPr>
          <w:rFonts w:hint="cs"/>
          <w:rtl/>
        </w:rPr>
      </w:pPr>
      <w:r>
        <w:rPr>
          <w:rFonts w:hint="cs"/>
          <w:rtl/>
        </w:rPr>
        <w:t>דף י, א: "</w:t>
      </w:r>
      <w:r>
        <w:rPr>
          <w:rtl/>
        </w:rPr>
        <w:t>משום שנאמר הִכּוֹן</w:t>
      </w:r>
      <w:r>
        <w:rPr>
          <w:rFonts w:hint="cs"/>
          <w:rtl/>
        </w:rPr>
        <w:t>..."</w:t>
      </w:r>
    </w:p>
    <w:p w14:paraId="030B55B5" w14:textId="77777777" w:rsidR="00940290" w:rsidRDefault="00940290" w:rsidP="00940290">
      <w:pPr>
        <w:pStyle w:val="2"/>
        <w:rPr>
          <w:rFonts w:hint="cs"/>
          <w:rtl/>
        </w:rPr>
      </w:pPr>
      <w:r>
        <w:rPr>
          <w:rFonts w:hint="cs"/>
          <w:rtl/>
        </w:rPr>
        <w:t>כַּוָּנָה בתפִלה והֲכָנָה לתפִלה</w:t>
      </w:r>
    </w:p>
    <w:p w14:paraId="64E3B726" w14:textId="77777777" w:rsidR="00940290" w:rsidRDefault="00940290" w:rsidP="00940290">
      <w:pPr>
        <w:ind w:firstLine="284"/>
        <w:rPr>
          <w:rFonts w:hint="cs"/>
          <w:rtl/>
        </w:rPr>
      </w:pPr>
      <w:r>
        <w:rPr>
          <w:rFonts w:hint="cs"/>
          <w:rtl/>
        </w:rPr>
        <w:t>ב</w:t>
      </w:r>
      <w:r>
        <w:rPr>
          <w:rtl/>
        </w:rPr>
        <w:t>פרק ה</w:t>
      </w:r>
      <w:r>
        <w:rPr>
          <w:rFonts w:hint="cs"/>
          <w:rtl/>
        </w:rPr>
        <w:t>'</w:t>
      </w:r>
      <w:r>
        <w:rPr>
          <w:rtl/>
        </w:rPr>
        <w:t xml:space="preserve"> </w:t>
      </w:r>
      <w:r>
        <w:rPr>
          <w:rFonts w:hint="cs"/>
          <w:rtl/>
        </w:rPr>
        <w:t>מ</w:t>
      </w:r>
      <w:r>
        <w:rPr>
          <w:rtl/>
        </w:rPr>
        <w:t xml:space="preserve">הלכות תפִלה </w:t>
      </w:r>
      <w:r>
        <w:rPr>
          <w:rFonts w:hint="cs"/>
          <w:rtl/>
        </w:rPr>
        <w:t>מנה ה</w:t>
      </w:r>
      <w:r>
        <w:rPr>
          <w:rtl/>
        </w:rPr>
        <w:t>רמב"ם ש</w:t>
      </w:r>
      <w:r>
        <w:rPr>
          <w:rFonts w:hint="cs"/>
          <w:rtl/>
        </w:rPr>
        <w:t>ְ</w:t>
      </w:r>
      <w:r>
        <w:rPr>
          <w:rtl/>
        </w:rPr>
        <w:t>מונ</w:t>
      </w:r>
      <w:r>
        <w:rPr>
          <w:rFonts w:hint="cs"/>
          <w:rtl/>
        </w:rPr>
        <w:t>ָ</w:t>
      </w:r>
      <w:r>
        <w:rPr>
          <w:rtl/>
        </w:rPr>
        <w:t xml:space="preserve">ה דברים </w:t>
      </w:r>
      <w:r>
        <w:rPr>
          <w:rFonts w:hint="cs"/>
          <w:rtl/>
        </w:rPr>
        <w:t>אשר "</w:t>
      </w:r>
      <w:r>
        <w:rPr>
          <w:rtl/>
        </w:rPr>
        <w:t>צריך המתפלל לה</w:t>
      </w:r>
      <w:r>
        <w:rPr>
          <w:rFonts w:hint="cs"/>
          <w:rtl/>
        </w:rPr>
        <w:t>ִ</w:t>
      </w:r>
      <w:r>
        <w:rPr>
          <w:rtl/>
        </w:rPr>
        <w:t>זהר בהן ולעשותן, ואם היה דחו</w:t>
      </w:r>
      <w:r>
        <w:rPr>
          <w:rFonts w:hint="cs"/>
          <w:rtl/>
        </w:rPr>
        <w:t>ּ</w:t>
      </w:r>
      <w:r>
        <w:rPr>
          <w:rtl/>
        </w:rPr>
        <w:t>ק או נאנס או שעבר ולא עשה אותן</w:t>
      </w:r>
      <w:r>
        <w:rPr>
          <w:rFonts w:hint="cs"/>
          <w:rtl/>
        </w:rPr>
        <w:t xml:space="preserve"> -</w:t>
      </w:r>
      <w:r>
        <w:rPr>
          <w:rtl/>
        </w:rPr>
        <w:t xml:space="preserve"> אי</w:t>
      </w:r>
      <w:r>
        <w:rPr>
          <w:rFonts w:hint="cs"/>
          <w:rtl/>
        </w:rPr>
        <w:t>נ</w:t>
      </w:r>
      <w:r>
        <w:rPr>
          <w:rtl/>
        </w:rPr>
        <w:t>ן מעכבין</w:t>
      </w:r>
      <w:r>
        <w:rPr>
          <w:rFonts w:hint="cs"/>
          <w:rtl/>
        </w:rPr>
        <w:t>"</w:t>
      </w:r>
      <w:r>
        <w:rPr>
          <w:rStyle w:val="a4"/>
          <w:rtl/>
        </w:rPr>
        <w:footnoteReference w:id="141"/>
      </w:r>
      <w:r>
        <w:rPr>
          <w:rFonts w:hint="cs"/>
          <w:rtl/>
        </w:rPr>
        <w:t>. בשנַים מהם עוסקת סוגייתנו: "</w:t>
      </w:r>
      <w:r>
        <w:rPr>
          <w:rtl/>
        </w:rPr>
        <w:t>ת</w:t>
      </w:r>
      <w:r>
        <w:rPr>
          <w:rFonts w:hint="cs"/>
          <w:rtl/>
        </w:rPr>
        <w:t>ִ</w:t>
      </w:r>
      <w:r>
        <w:rPr>
          <w:rtl/>
        </w:rPr>
        <w:t>קון</w:t>
      </w:r>
      <w:r>
        <w:rPr>
          <w:rFonts w:hint="cs"/>
          <w:rtl/>
        </w:rPr>
        <w:t xml:space="preserve"> </w:t>
      </w:r>
      <w:r>
        <w:rPr>
          <w:rtl/>
        </w:rPr>
        <w:t>הגוף, ות</w:t>
      </w:r>
      <w:r>
        <w:rPr>
          <w:rFonts w:hint="cs"/>
          <w:rtl/>
        </w:rPr>
        <w:t>ִ</w:t>
      </w:r>
      <w:r>
        <w:rPr>
          <w:rtl/>
        </w:rPr>
        <w:t>קון המלבוש</w:t>
      </w:r>
      <w:r>
        <w:rPr>
          <w:rFonts w:hint="cs"/>
          <w:rtl/>
        </w:rPr>
        <w:t xml:space="preserve">". דברים אלו שונים מחמשת הדברים שהזכיר בפרק ד' (כגון </w:t>
      </w:r>
      <w:r>
        <w:rPr>
          <w:rtl/>
        </w:rPr>
        <w:t>כוונת הלב</w:t>
      </w:r>
      <w:r>
        <w:rPr>
          <w:rFonts w:hint="cs"/>
          <w:rtl/>
        </w:rPr>
        <w:t>), שהם מעכבים גם בדיעבד. ב</w:t>
      </w:r>
      <w:r>
        <w:rPr>
          <w:rtl/>
        </w:rPr>
        <w:t>פרק ה</w:t>
      </w:r>
      <w:r>
        <w:rPr>
          <w:rFonts w:hint="cs"/>
          <w:rtl/>
        </w:rPr>
        <w:t>'</w:t>
      </w:r>
      <w:r>
        <w:rPr>
          <w:rtl/>
        </w:rPr>
        <w:t xml:space="preserve"> </w:t>
      </w:r>
      <w:r>
        <w:rPr>
          <w:rFonts w:hint="cs"/>
          <w:rtl/>
        </w:rPr>
        <w:t>מדובר במה שנדרש לכתחילה בלבד.</w:t>
      </w:r>
    </w:p>
    <w:p w14:paraId="0EF62811" w14:textId="77777777" w:rsidR="00940290" w:rsidRDefault="00940290" w:rsidP="00940290">
      <w:pPr>
        <w:pStyle w:val="3"/>
        <w:rPr>
          <w:rFonts w:hint="cs"/>
          <w:rtl/>
        </w:rPr>
      </w:pPr>
      <w:r>
        <w:rPr>
          <w:rFonts w:hint="cs"/>
          <w:rtl/>
        </w:rPr>
        <w:t>פנים וחוץ בעבודת הבורא</w:t>
      </w:r>
    </w:p>
    <w:p w14:paraId="146BD6F1" w14:textId="77777777" w:rsidR="00940290" w:rsidRDefault="00940290" w:rsidP="00940290">
      <w:pPr>
        <w:ind w:firstLine="284"/>
        <w:rPr>
          <w:rFonts w:hint="cs"/>
          <w:rtl/>
        </w:rPr>
      </w:pPr>
      <w:r>
        <w:rPr>
          <w:rFonts w:hint="cs"/>
          <w:rtl/>
        </w:rPr>
        <w:t>שמא תאמר: מדוע יש בהלכות תפִלה הוראות מחייבות ביחס ל</w:t>
      </w:r>
      <w:r>
        <w:rPr>
          <w:rtl/>
        </w:rPr>
        <w:t>ת</w:t>
      </w:r>
      <w:r>
        <w:rPr>
          <w:rFonts w:hint="cs"/>
          <w:rtl/>
        </w:rPr>
        <w:t>י</w:t>
      </w:r>
      <w:r>
        <w:rPr>
          <w:rtl/>
        </w:rPr>
        <w:t>קון</w:t>
      </w:r>
      <w:r>
        <w:rPr>
          <w:rFonts w:hint="cs"/>
          <w:rtl/>
        </w:rPr>
        <w:t xml:space="preserve"> </w:t>
      </w:r>
      <w:r>
        <w:rPr>
          <w:rtl/>
        </w:rPr>
        <w:t>הגוף</w:t>
      </w:r>
      <w:r>
        <w:rPr>
          <w:rFonts w:hint="cs"/>
          <w:rtl/>
        </w:rPr>
        <w:t xml:space="preserve"> ו</w:t>
      </w:r>
      <w:r>
        <w:rPr>
          <w:rtl/>
        </w:rPr>
        <w:t>ה</w:t>
      </w:r>
      <w:r>
        <w:rPr>
          <w:rFonts w:hint="cs"/>
          <w:rtl/>
        </w:rPr>
        <w:t xml:space="preserve">בגדים? למה בכלל צריך להקפיד על המראה החיצוני בשעת התפִלה? וכי אִכפת לקב"ה אֵלו בגדים אנו לובשים? והרי </w:t>
      </w:r>
      <w:r>
        <w:rPr>
          <w:rFonts w:hint="cs"/>
          <w:rtl/>
        </w:rPr>
        <w:lastRenderedPageBreak/>
        <w:t>"</w:t>
      </w:r>
      <w:r>
        <w:rPr>
          <w:rtl/>
        </w:rPr>
        <w:t xml:space="preserve">הקדוש ברוך הוא </w:t>
      </w:r>
      <w:r>
        <w:rPr>
          <w:rFonts w:hint="cs"/>
          <w:rtl/>
        </w:rPr>
        <w:t xml:space="preserve">- </w:t>
      </w:r>
      <w:r>
        <w:rPr>
          <w:rtl/>
        </w:rPr>
        <w:t>ליבא</w:t>
      </w:r>
      <w:r>
        <w:rPr>
          <w:rFonts w:hint="cs"/>
          <w:rtl/>
        </w:rPr>
        <w:t xml:space="preserve"> </w:t>
      </w:r>
      <w:r>
        <w:rPr>
          <w:rtl/>
        </w:rPr>
        <w:t>בעי</w:t>
      </w:r>
      <w:r>
        <w:rPr>
          <w:rFonts w:hint="cs"/>
          <w:rtl/>
        </w:rPr>
        <w:t>" (</w:t>
      </w:r>
      <w:r>
        <w:rPr>
          <w:sz w:val="18"/>
          <w:szCs w:val="20"/>
          <w:rtl/>
        </w:rPr>
        <w:t>סנהדרין קו</w:t>
      </w:r>
      <w:r>
        <w:rPr>
          <w:rFonts w:hint="cs"/>
          <w:sz w:val="18"/>
          <w:szCs w:val="20"/>
          <w:rtl/>
        </w:rPr>
        <w:t xml:space="preserve">, </w:t>
      </w:r>
      <w:r>
        <w:rPr>
          <w:sz w:val="18"/>
          <w:szCs w:val="20"/>
          <w:rtl/>
        </w:rPr>
        <w:t>ב</w:t>
      </w:r>
      <w:r>
        <w:rPr>
          <w:rFonts w:hint="cs"/>
          <w:rtl/>
        </w:rPr>
        <w:t>) וכפי שלמדנו מ</w:t>
      </w:r>
      <w:r>
        <w:rPr>
          <w:rtl/>
        </w:rPr>
        <w:t xml:space="preserve">שמואל </w:t>
      </w:r>
      <w:r>
        <w:rPr>
          <w:rFonts w:hint="cs"/>
          <w:rtl/>
        </w:rPr>
        <w:t>(</w:t>
      </w:r>
      <w:r>
        <w:rPr>
          <w:sz w:val="18"/>
          <w:szCs w:val="20"/>
          <w:rtl/>
        </w:rPr>
        <w:t>א' טז</w:t>
      </w:r>
      <w:r>
        <w:rPr>
          <w:rFonts w:hint="cs"/>
          <w:sz w:val="18"/>
          <w:szCs w:val="20"/>
          <w:rtl/>
        </w:rPr>
        <w:t>, ז</w:t>
      </w:r>
      <w:r>
        <w:rPr>
          <w:rFonts w:hint="cs"/>
          <w:rtl/>
        </w:rPr>
        <w:t>):</w:t>
      </w:r>
      <w:r>
        <w:rPr>
          <w:rtl/>
        </w:rPr>
        <w:t xml:space="preserve"> </w:t>
      </w:r>
      <w:r>
        <w:rPr>
          <w:rFonts w:hint="cs"/>
          <w:rtl/>
        </w:rPr>
        <w:t>"</w:t>
      </w:r>
      <w:r>
        <w:rPr>
          <w:rtl/>
        </w:rPr>
        <w:t>כִּי הָאָדָם יִרְאֶה לַעֵינַיִם</w:t>
      </w:r>
      <w:r>
        <w:rPr>
          <w:rFonts w:hint="cs"/>
          <w:rtl/>
        </w:rPr>
        <w:t>,</w:t>
      </w:r>
      <w:r>
        <w:rPr>
          <w:rtl/>
        </w:rPr>
        <w:t xml:space="preserve"> וַ</w:t>
      </w:r>
      <w:r>
        <w:rPr>
          <w:rFonts w:hint="cs"/>
          <w:rtl/>
        </w:rPr>
        <w:t xml:space="preserve">ה' </w:t>
      </w:r>
      <w:r>
        <w:rPr>
          <w:rtl/>
        </w:rPr>
        <w:t>יִרְאֶה לַלֵּבָב</w:t>
      </w:r>
      <w:r>
        <w:rPr>
          <w:rFonts w:hint="cs"/>
          <w:rtl/>
        </w:rPr>
        <w:t>". ואם כוונת הלב חשובה בכל המצוות, על אחת כמה וכמה בתפִלה, שהרי "</w:t>
      </w:r>
      <w:r>
        <w:rPr>
          <w:rtl/>
        </w:rPr>
        <w:t xml:space="preserve">כל </w:t>
      </w:r>
      <w:r>
        <w:rPr>
          <w:rFonts w:hint="cs"/>
          <w:rtl/>
        </w:rPr>
        <w:t xml:space="preserve">תפִלה </w:t>
      </w:r>
      <w:r>
        <w:rPr>
          <w:rtl/>
        </w:rPr>
        <w:t>שאינה בכוונה</w:t>
      </w:r>
      <w:r>
        <w:rPr>
          <w:rFonts w:hint="cs"/>
          <w:rtl/>
        </w:rPr>
        <w:t xml:space="preserve"> -</w:t>
      </w:r>
      <w:r>
        <w:rPr>
          <w:rtl/>
        </w:rPr>
        <w:t xml:space="preserve"> אינה </w:t>
      </w:r>
      <w:r>
        <w:rPr>
          <w:rFonts w:hint="cs"/>
          <w:rtl/>
        </w:rPr>
        <w:t>תפִלה" (</w:t>
      </w:r>
      <w:r>
        <w:rPr>
          <w:rFonts w:hint="cs"/>
          <w:sz w:val="18"/>
          <w:szCs w:val="20"/>
          <w:rtl/>
        </w:rPr>
        <w:t>לשון ה</w:t>
      </w:r>
      <w:r>
        <w:rPr>
          <w:sz w:val="18"/>
          <w:szCs w:val="20"/>
          <w:rtl/>
        </w:rPr>
        <w:t>רמב"ם</w:t>
      </w:r>
      <w:r>
        <w:rPr>
          <w:rFonts w:hint="cs"/>
          <w:sz w:val="18"/>
          <w:szCs w:val="20"/>
          <w:rtl/>
        </w:rPr>
        <w:t xml:space="preserve"> ב</w:t>
      </w:r>
      <w:r>
        <w:rPr>
          <w:sz w:val="18"/>
          <w:szCs w:val="20"/>
          <w:rtl/>
        </w:rPr>
        <w:t>פ</w:t>
      </w:r>
      <w:r>
        <w:rPr>
          <w:rFonts w:hint="cs"/>
          <w:sz w:val="18"/>
          <w:szCs w:val="20"/>
          <w:rtl/>
        </w:rPr>
        <w:t xml:space="preserve">רק </w:t>
      </w:r>
      <w:r>
        <w:rPr>
          <w:sz w:val="18"/>
          <w:szCs w:val="20"/>
          <w:rtl/>
        </w:rPr>
        <w:t>ד</w:t>
      </w:r>
      <w:r>
        <w:rPr>
          <w:rFonts w:hint="cs"/>
          <w:sz w:val="18"/>
          <w:szCs w:val="20"/>
          <w:rtl/>
        </w:rPr>
        <w:t>' מ</w:t>
      </w:r>
      <w:r>
        <w:rPr>
          <w:sz w:val="18"/>
          <w:szCs w:val="20"/>
          <w:rtl/>
        </w:rPr>
        <w:t>הלכות תפִלה</w:t>
      </w:r>
      <w:r>
        <w:rPr>
          <w:rFonts w:hint="cs"/>
          <w:rtl/>
        </w:rPr>
        <w:t>), הואיל והכוונה בה היא חלק מהותי "מֵעצם מעשה התפִלה"</w:t>
      </w:r>
      <w:r>
        <w:rPr>
          <w:rStyle w:val="a4"/>
          <w:rtl/>
        </w:rPr>
        <w:footnoteReference w:id="142"/>
      </w:r>
      <w:r>
        <w:rPr>
          <w:rFonts w:hint="cs"/>
          <w:rtl/>
        </w:rPr>
        <w:t>, ועל כן נקראת "עב</w:t>
      </w:r>
      <w:r>
        <w:rPr>
          <w:rtl/>
        </w:rPr>
        <w:t>ודה שבלב</w:t>
      </w:r>
      <w:r>
        <w:rPr>
          <w:rFonts w:hint="cs"/>
          <w:rtl/>
        </w:rPr>
        <w:t>" (</w:t>
      </w:r>
      <w:r>
        <w:rPr>
          <w:rFonts w:hint="cs"/>
          <w:sz w:val="18"/>
          <w:szCs w:val="20"/>
          <w:rtl/>
        </w:rPr>
        <w:t>ע"פ</w:t>
      </w:r>
      <w:r>
        <w:rPr>
          <w:sz w:val="18"/>
          <w:szCs w:val="20"/>
          <w:rtl/>
        </w:rPr>
        <w:t xml:space="preserve"> דברים יא</w:t>
      </w:r>
      <w:r>
        <w:rPr>
          <w:rFonts w:hint="cs"/>
          <w:sz w:val="18"/>
          <w:szCs w:val="20"/>
          <w:rtl/>
        </w:rPr>
        <w:t xml:space="preserve">, </w:t>
      </w:r>
      <w:r>
        <w:rPr>
          <w:sz w:val="18"/>
          <w:szCs w:val="20"/>
          <w:rtl/>
        </w:rPr>
        <w:t>יג</w:t>
      </w:r>
      <w:r>
        <w:rPr>
          <w:rFonts w:hint="cs"/>
          <w:sz w:val="18"/>
          <w:szCs w:val="20"/>
          <w:rtl/>
        </w:rPr>
        <w:t>;</w:t>
      </w:r>
      <w:r>
        <w:rPr>
          <w:sz w:val="18"/>
          <w:szCs w:val="20"/>
          <w:rtl/>
        </w:rPr>
        <w:t xml:space="preserve"> תענית ב</w:t>
      </w:r>
      <w:r>
        <w:rPr>
          <w:rFonts w:hint="cs"/>
          <w:sz w:val="18"/>
          <w:szCs w:val="20"/>
          <w:rtl/>
        </w:rPr>
        <w:t xml:space="preserve">, </w:t>
      </w:r>
      <w:r>
        <w:rPr>
          <w:sz w:val="18"/>
          <w:szCs w:val="20"/>
          <w:rtl/>
        </w:rPr>
        <w:t>א</w:t>
      </w:r>
      <w:r>
        <w:rPr>
          <w:rFonts w:hint="cs"/>
          <w:rtl/>
        </w:rPr>
        <w:t xml:space="preserve">)! </w:t>
      </w:r>
    </w:p>
    <w:p w14:paraId="082188F6" w14:textId="77777777" w:rsidR="00940290" w:rsidRDefault="00940290" w:rsidP="00940290">
      <w:pPr>
        <w:ind w:firstLine="284"/>
        <w:rPr>
          <w:rFonts w:hint="cs"/>
          <w:rtl/>
        </w:rPr>
      </w:pPr>
      <w:r>
        <w:rPr>
          <w:rFonts w:hint="cs"/>
          <w:rtl/>
        </w:rPr>
        <w:t>ויש להשיב, כלשון בעל החלומות ב</w:t>
      </w:r>
      <w:r>
        <w:rPr>
          <w:rFonts w:hint="cs"/>
          <w:sz w:val="26"/>
          <w:rtl/>
        </w:rPr>
        <w:t xml:space="preserve">פתח </w:t>
      </w:r>
      <w:r>
        <w:rPr>
          <w:sz w:val="26"/>
          <w:rtl/>
        </w:rPr>
        <w:t>ספר הכוזרי</w:t>
      </w:r>
      <w:r>
        <w:rPr>
          <w:rFonts w:hint="cs"/>
          <w:sz w:val="26"/>
          <w:rtl/>
        </w:rPr>
        <w:t>:</w:t>
      </w:r>
      <w:r>
        <w:rPr>
          <w:rFonts w:hint="cs"/>
          <w:rtl/>
        </w:rPr>
        <w:t xml:space="preserve"> </w:t>
      </w:r>
      <w:r>
        <w:rPr>
          <w:sz w:val="26"/>
          <w:rtl/>
        </w:rPr>
        <w:t>"כו</w:t>
      </w:r>
      <w:r>
        <w:rPr>
          <w:rFonts w:hint="cs"/>
          <w:sz w:val="26"/>
          <w:rtl/>
        </w:rPr>
        <w:t>ו</w:t>
      </w:r>
      <w:r>
        <w:rPr>
          <w:sz w:val="26"/>
          <w:rtl/>
        </w:rPr>
        <w:t>נתך רצויה</w:t>
      </w:r>
      <w:r>
        <w:rPr>
          <w:rFonts w:hint="cs"/>
          <w:sz w:val="26"/>
          <w:rtl/>
        </w:rPr>
        <w:t xml:space="preserve"> </w:t>
      </w:r>
      <w:r>
        <w:rPr>
          <w:sz w:val="26"/>
          <w:rtl/>
        </w:rPr>
        <w:t>אצל הבורא</w:t>
      </w:r>
      <w:r>
        <w:rPr>
          <w:rFonts w:hint="cs"/>
          <w:sz w:val="26"/>
          <w:rtl/>
        </w:rPr>
        <w:t>,</w:t>
      </w:r>
      <w:r>
        <w:rPr>
          <w:sz w:val="26"/>
          <w:rtl/>
        </w:rPr>
        <w:t xml:space="preserve"> אבל מעשך איננו רצוי"</w:t>
      </w:r>
      <w:r>
        <w:rPr>
          <w:rFonts w:hint="cs"/>
          <w:sz w:val="26"/>
          <w:rtl/>
        </w:rPr>
        <w:t xml:space="preserve">. גם למעשים החיצוניים יש </w:t>
      </w:r>
      <w:r>
        <w:rPr>
          <w:rFonts w:hint="cs"/>
          <w:rtl/>
        </w:rPr>
        <w:t>חשיבות בעבודת הבורא, ואפילו בתפִלה שעיקרה בלב, יש להקפיד גם על המראה החיצוני של המתפלל</w:t>
      </w:r>
      <w:r>
        <w:rPr>
          <w:rStyle w:val="a4"/>
          <w:rtl/>
        </w:rPr>
        <w:footnoteReference w:id="143"/>
      </w:r>
      <w:r>
        <w:rPr>
          <w:rFonts w:hint="cs"/>
          <w:rtl/>
        </w:rPr>
        <w:t xml:space="preserve">. כמה מן ההלכות </w:t>
      </w:r>
      <w:r>
        <w:rPr>
          <w:rFonts w:hint="cs"/>
          <w:rtl/>
        </w:rPr>
        <w:lastRenderedPageBreak/>
        <w:t>הנוגעות למעשיו החיצוניים של המתפלל אף מעכבים בדיעבד: "</w:t>
      </w:r>
      <w:r>
        <w:rPr>
          <w:rtl/>
        </w:rPr>
        <w:t>טהרת ידים, וכיסוי הערוה, וטהרת מקום תפלה</w:t>
      </w:r>
      <w:r>
        <w:rPr>
          <w:rFonts w:hint="cs"/>
          <w:rtl/>
        </w:rPr>
        <w:t>" (</w:t>
      </w:r>
      <w:r>
        <w:rPr>
          <w:sz w:val="18"/>
          <w:szCs w:val="20"/>
          <w:rtl/>
        </w:rPr>
        <w:t>רמב"ם</w:t>
      </w:r>
      <w:r>
        <w:rPr>
          <w:rFonts w:hint="cs"/>
          <w:sz w:val="18"/>
          <w:szCs w:val="20"/>
          <w:rtl/>
        </w:rPr>
        <w:t xml:space="preserve"> שם ב</w:t>
      </w:r>
      <w:r>
        <w:rPr>
          <w:sz w:val="18"/>
          <w:szCs w:val="20"/>
          <w:rtl/>
        </w:rPr>
        <w:t>פ</w:t>
      </w:r>
      <w:r>
        <w:rPr>
          <w:rFonts w:hint="cs"/>
          <w:sz w:val="18"/>
          <w:szCs w:val="20"/>
          <w:rtl/>
        </w:rPr>
        <w:t xml:space="preserve">רק </w:t>
      </w:r>
      <w:r>
        <w:rPr>
          <w:sz w:val="18"/>
          <w:szCs w:val="20"/>
          <w:rtl/>
        </w:rPr>
        <w:t>ד</w:t>
      </w:r>
      <w:r>
        <w:rPr>
          <w:rFonts w:hint="cs"/>
          <w:sz w:val="18"/>
          <w:szCs w:val="20"/>
          <w:rtl/>
        </w:rPr>
        <w:t>'</w:t>
      </w:r>
      <w:r>
        <w:rPr>
          <w:rFonts w:hint="cs"/>
          <w:rtl/>
        </w:rPr>
        <w:t>).</w:t>
      </w:r>
    </w:p>
    <w:p w14:paraId="098FFBB2" w14:textId="77777777" w:rsidR="00940290" w:rsidRDefault="00940290" w:rsidP="00940290">
      <w:pPr>
        <w:ind w:firstLine="284"/>
        <w:rPr>
          <w:rFonts w:hint="cs"/>
          <w:rtl/>
        </w:rPr>
      </w:pPr>
      <w:r>
        <w:rPr>
          <w:rFonts w:hint="cs"/>
          <w:rtl/>
        </w:rPr>
        <w:t xml:space="preserve">מעניין שבסימן </w:t>
      </w:r>
      <w:r>
        <w:rPr>
          <w:rtl/>
        </w:rPr>
        <w:t>צ</w:t>
      </w:r>
      <w:r>
        <w:rPr>
          <w:rFonts w:hint="cs"/>
          <w:rtl/>
        </w:rPr>
        <w:t>"</w:t>
      </w:r>
      <w:r>
        <w:rPr>
          <w:rtl/>
        </w:rPr>
        <w:t>ח</w:t>
      </w:r>
      <w:r>
        <w:rPr>
          <w:rFonts w:hint="cs"/>
          <w:rtl/>
        </w:rPr>
        <w:t xml:space="preserve"> שהוקדש בטור </w:t>
      </w:r>
      <w:r>
        <w:rPr>
          <w:rtl/>
        </w:rPr>
        <w:t>אורח חיים</w:t>
      </w:r>
      <w:r>
        <w:rPr>
          <w:rFonts w:hint="cs"/>
          <w:rtl/>
        </w:rPr>
        <w:t xml:space="preserve"> לכוונת הלב, וכותרתו: "</w:t>
      </w:r>
      <w:r>
        <w:rPr>
          <w:rtl/>
        </w:rPr>
        <w:t>צריך שיהיה לו כוונה בתפלתו</w:t>
      </w:r>
      <w:r>
        <w:rPr>
          <w:rFonts w:hint="cs"/>
          <w:rtl/>
        </w:rPr>
        <w:t>"</w:t>
      </w:r>
      <w:r>
        <w:rPr>
          <w:rStyle w:val="a4"/>
          <w:rtl/>
        </w:rPr>
        <w:footnoteReference w:id="144"/>
      </w:r>
      <w:r>
        <w:rPr>
          <w:rFonts w:hint="cs"/>
          <w:rtl/>
        </w:rPr>
        <w:t xml:space="preserve">, הודגשה גם כן חשיבותם של </w:t>
      </w:r>
      <w:r>
        <w:rPr>
          <w:rtl/>
        </w:rPr>
        <w:t>ת</w:t>
      </w:r>
      <w:r>
        <w:rPr>
          <w:rFonts w:hint="cs"/>
          <w:rtl/>
        </w:rPr>
        <w:t>ִ</w:t>
      </w:r>
      <w:r>
        <w:rPr>
          <w:rtl/>
        </w:rPr>
        <w:t>קון</w:t>
      </w:r>
      <w:r>
        <w:rPr>
          <w:rFonts w:hint="cs"/>
          <w:rtl/>
        </w:rPr>
        <w:t xml:space="preserve"> </w:t>
      </w:r>
      <w:r>
        <w:rPr>
          <w:rtl/>
        </w:rPr>
        <w:t>הגוף, ות</w:t>
      </w:r>
      <w:r>
        <w:rPr>
          <w:rFonts w:hint="cs"/>
          <w:rtl/>
        </w:rPr>
        <w:t>ִ</w:t>
      </w:r>
      <w:r>
        <w:rPr>
          <w:rtl/>
        </w:rPr>
        <w:t>קון המלבוש</w:t>
      </w:r>
      <w:r>
        <w:rPr>
          <w:rFonts w:hint="cs"/>
          <w:rtl/>
        </w:rPr>
        <w:t xml:space="preserve"> (אף שדיניהם כבר נידונו </w:t>
      </w:r>
      <w:r>
        <w:rPr>
          <w:rFonts w:hint="cs"/>
          <w:sz w:val="18"/>
          <w:szCs w:val="20"/>
          <w:rtl/>
        </w:rPr>
        <w:t>בסימנים</w:t>
      </w:r>
      <w:r>
        <w:rPr>
          <w:sz w:val="18"/>
          <w:szCs w:val="20"/>
          <w:rtl/>
        </w:rPr>
        <w:t xml:space="preserve"> צ</w:t>
      </w:r>
      <w:r>
        <w:rPr>
          <w:rFonts w:hint="cs"/>
          <w:sz w:val="18"/>
          <w:szCs w:val="20"/>
          <w:rtl/>
        </w:rPr>
        <w:t>"</w:t>
      </w:r>
      <w:r>
        <w:rPr>
          <w:sz w:val="18"/>
          <w:szCs w:val="20"/>
          <w:rtl/>
        </w:rPr>
        <w:t>א</w:t>
      </w:r>
      <w:r>
        <w:rPr>
          <w:rFonts w:hint="cs"/>
          <w:sz w:val="18"/>
          <w:szCs w:val="20"/>
          <w:rtl/>
        </w:rPr>
        <w:t xml:space="preserve"> -</w:t>
      </w:r>
      <w:r>
        <w:rPr>
          <w:sz w:val="18"/>
          <w:szCs w:val="20"/>
          <w:rtl/>
        </w:rPr>
        <w:t xml:space="preserve"> צ</w:t>
      </w:r>
      <w:r>
        <w:rPr>
          <w:rFonts w:hint="cs"/>
          <w:sz w:val="18"/>
          <w:szCs w:val="20"/>
          <w:rtl/>
        </w:rPr>
        <w:t>"</w:t>
      </w:r>
      <w:r>
        <w:rPr>
          <w:sz w:val="18"/>
          <w:szCs w:val="20"/>
          <w:rtl/>
        </w:rPr>
        <w:t>ה</w:t>
      </w:r>
      <w:r>
        <w:rPr>
          <w:rFonts w:hint="cs"/>
          <w:rtl/>
        </w:rPr>
        <w:t>), וזו לשונו (</w:t>
      </w:r>
      <w:r>
        <w:rPr>
          <w:rFonts w:hint="cs"/>
          <w:sz w:val="18"/>
          <w:szCs w:val="20"/>
          <w:rtl/>
        </w:rPr>
        <w:t>שהועתקה גם ל</w:t>
      </w:r>
      <w:r>
        <w:rPr>
          <w:sz w:val="18"/>
          <w:szCs w:val="20"/>
          <w:rtl/>
        </w:rPr>
        <w:t>שולחן ערוך</w:t>
      </w:r>
      <w:r>
        <w:rPr>
          <w:rFonts w:hint="cs"/>
          <w:rtl/>
        </w:rPr>
        <w:t>):</w:t>
      </w:r>
    </w:p>
    <w:p w14:paraId="73B78339" w14:textId="77777777" w:rsidR="00940290" w:rsidRDefault="00940290" w:rsidP="00940290">
      <w:pPr>
        <w:pStyle w:val="a7"/>
        <w:rPr>
          <w:rFonts w:hint="cs"/>
          <w:rtl/>
        </w:rPr>
      </w:pPr>
      <w:r>
        <w:rPr>
          <w:rFonts w:hint="cs"/>
          <w:rtl/>
        </w:rPr>
        <w:t>"</w:t>
      </w:r>
      <w:r>
        <w:rPr>
          <w:rtl/>
        </w:rPr>
        <w:t>צריך ליזהר שתה</w:t>
      </w:r>
      <w:r>
        <w:rPr>
          <w:rFonts w:hint="cs"/>
          <w:rtl/>
        </w:rPr>
        <w:t>א</w:t>
      </w:r>
      <w:r>
        <w:rPr>
          <w:rtl/>
        </w:rPr>
        <w:t xml:space="preserve"> </w:t>
      </w:r>
      <w:r>
        <w:rPr>
          <w:rFonts w:hint="cs"/>
          <w:rtl/>
        </w:rPr>
        <w:t xml:space="preserve">[התפִלה] </w:t>
      </w:r>
      <w:r>
        <w:rPr>
          <w:rtl/>
        </w:rPr>
        <w:t>דוגמת הק</w:t>
      </w:r>
      <w:r>
        <w:rPr>
          <w:rFonts w:hint="cs"/>
          <w:rtl/>
        </w:rPr>
        <w:t>ָ</w:t>
      </w:r>
      <w:r>
        <w:rPr>
          <w:rtl/>
        </w:rPr>
        <w:t>רב</w:t>
      </w:r>
      <w:r>
        <w:rPr>
          <w:rFonts w:hint="cs"/>
          <w:rtl/>
        </w:rPr>
        <w:t>ּ</w:t>
      </w:r>
      <w:r>
        <w:rPr>
          <w:rtl/>
        </w:rPr>
        <w:t>ן בכוונה ולא יער</w:t>
      </w:r>
      <w:r>
        <w:rPr>
          <w:rFonts w:hint="cs"/>
          <w:rtl/>
        </w:rPr>
        <w:t>ֵ</w:t>
      </w:r>
      <w:r>
        <w:rPr>
          <w:rtl/>
        </w:rPr>
        <w:t>ב בה מחשבה אחרת כמו מחשבה</w:t>
      </w:r>
      <w:r>
        <w:rPr>
          <w:rFonts w:hint="cs"/>
          <w:rtl/>
        </w:rPr>
        <w:t xml:space="preserve"> </w:t>
      </w:r>
      <w:r>
        <w:rPr>
          <w:rtl/>
        </w:rPr>
        <w:t>שפוסלת בקדשים</w:t>
      </w:r>
      <w:r>
        <w:rPr>
          <w:rFonts w:hint="cs"/>
          <w:rtl/>
        </w:rPr>
        <w:t>,</w:t>
      </w:r>
      <w:r>
        <w:rPr>
          <w:rtl/>
        </w:rPr>
        <w:t xml:space="preserve"> ומעומד</w:t>
      </w:r>
      <w:r>
        <w:rPr>
          <w:rFonts w:hint="cs"/>
          <w:rtl/>
        </w:rPr>
        <w:t xml:space="preserve">... </w:t>
      </w:r>
      <w:r>
        <w:rPr>
          <w:rtl/>
        </w:rPr>
        <w:t>והשוואת הרגלים</w:t>
      </w:r>
      <w:r>
        <w:rPr>
          <w:rFonts w:hint="cs"/>
          <w:rtl/>
        </w:rPr>
        <w:t xml:space="preserve">... </w:t>
      </w:r>
      <w:r>
        <w:rPr>
          <w:rtl/>
        </w:rPr>
        <w:t>וקביעות מקום</w:t>
      </w:r>
      <w:r>
        <w:rPr>
          <w:rFonts w:hint="cs"/>
          <w:rtl/>
        </w:rPr>
        <w:t xml:space="preserve">... </w:t>
      </w:r>
      <w:r>
        <w:rPr>
          <w:rtl/>
        </w:rPr>
        <w:t>ושלא יחוץ דבר בינו לבין הקיר ובינו לקרקע</w:t>
      </w:r>
      <w:r>
        <w:rPr>
          <w:rFonts w:hint="cs"/>
          <w:rtl/>
        </w:rPr>
        <w:t xml:space="preserve">... </w:t>
      </w:r>
      <w:r>
        <w:rPr>
          <w:rtl/>
        </w:rPr>
        <w:t xml:space="preserve">וראוי הוא שיהיו לו </w:t>
      </w:r>
      <w:r>
        <w:rPr>
          <w:b/>
          <w:bCs/>
          <w:rtl/>
        </w:rPr>
        <w:t>מלבושים נאים</w:t>
      </w:r>
      <w:r>
        <w:rPr>
          <w:rtl/>
        </w:rPr>
        <w:t xml:space="preserve"> </w:t>
      </w:r>
      <w:r>
        <w:rPr>
          <w:b/>
          <w:bCs/>
          <w:rtl/>
        </w:rPr>
        <w:t xml:space="preserve">מיוחדים לתפלה </w:t>
      </w:r>
      <w:r>
        <w:rPr>
          <w:rtl/>
        </w:rPr>
        <w:t>כגון בגדי כהונה</w:t>
      </w:r>
      <w:r>
        <w:rPr>
          <w:rFonts w:hint="cs"/>
          <w:rtl/>
        </w:rPr>
        <w:t xml:space="preserve">, </w:t>
      </w:r>
      <w:r>
        <w:rPr>
          <w:rtl/>
        </w:rPr>
        <w:t>אלא שאין כל אדם יכול לבזבז על זה</w:t>
      </w:r>
      <w:r>
        <w:rPr>
          <w:rStyle w:val="a4"/>
          <w:rtl/>
        </w:rPr>
        <w:footnoteReference w:id="145"/>
      </w:r>
      <w:r>
        <w:rPr>
          <w:rFonts w:hint="cs"/>
          <w:rtl/>
        </w:rPr>
        <w:t>,</w:t>
      </w:r>
      <w:r>
        <w:rPr>
          <w:rtl/>
        </w:rPr>
        <w:t xml:space="preserve"> </w:t>
      </w:r>
      <w:r>
        <w:rPr>
          <w:rtl/>
        </w:rPr>
        <w:lastRenderedPageBreak/>
        <w:t>ומ</w:t>
      </w:r>
      <w:r>
        <w:rPr>
          <w:rFonts w:hint="cs"/>
          <w:rtl/>
        </w:rPr>
        <w:t xml:space="preserve">כל </w:t>
      </w:r>
      <w:r>
        <w:rPr>
          <w:rtl/>
        </w:rPr>
        <w:t>מ</w:t>
      </w:r>
      <w:r>
        <w:rPr>
          <w:rFonts w:hint="cs"/>
          <w:rtl/>
        </w:rPr>
        <w:t>קום</w:t>
      </w:r>
      <w:r>
        <w:rPr>
          <w:rtl/>
        </w:rPr>
        <w:t xml:space="preserve"> טוב </w:t>
      </w:r>
      <w:r>
        <w:rPr>
          <w:rFonts w:hint="cs"/>
          <w:rtl/>
        </w:rPr>
        <w:t xml:space="preserve">הוא </w:t>
      </w:r>
      <w:r>
        <w:rPr>
          <w:rtl/>
        </w:rPr>
        <w:t>שיהיו לו מכנסים מיוחדים לתפלה משום נקיות</w:t>
      </w:r>
      <w:r>
        <w:rPr>
          <w:rStyle w:val="a4"/>
          <w:rtl/>
        </w:rPr>
        <w:footnoteReference w:id="146"/>
      </w:r>
      <w:r>
        <w:rPr>
          <w:rFonts w:hint="cs"/>
          <w:rtl/>
        </w:rPr>
        <w:t>".</w:t>
      </w:r>
    </w:p>
    <w:p w14:paraId="62321E50" w14:textId="77777777" w:rsidR="00940290" w:rsidRDefault="00940290" w:rsidP="00940290">
      <w:pPr>
        <w:ind w:firstLine="284"/>
        <w:rPr>
          <w:rFonts w:hint="cs"/>
          <w:rtl/>
        </w:rPr>
      </w:pPr>
      <w:r>
        <w:rPr>
          <w:rFonts w:hint="cs"/>
          <w:rtl/>
        </w:rPr>
        <w:t>כבר מִ</w:t>
      </w:r>
      <w:r>
        <w:rPr>
          <w:rtl/>
        </w:rPr>
        <w:t>ק</w:t>
      </w:r>
      <w:r>
        <w:rPr>
          <w:rFonts w:hint="cs"/>
          <w:rtl/>
        </w:rPr>
        <w:t>ָ</w:t>
      </w:r>
      <w:r>
        <w:rPr>
          <w:rtl/>
        </w:rPr>
        <w:t>רב</w:t>
      </w:r>
      <w:r>
        <w:rPr>
          <w:rFonts w:hint="cs"/>
          <w:rtl/>
        </w:rPr>
        <w:t>ּ</w:t>
      </w:r>
      <w:r>
        <w:rPr>
          <w:rtl/>
        </w:rPr>
        <w:t xml:space="preserve">ן </w:t>
      </w:r>
      <w:r>
        <w:rPr>
          <w:rFonts w:hint="cs"/>
          <w:rtl/>
        </w:rPr>
        <w:t>הבל "</w:t>
      </w:r>
      <w:r>
        <w:rPr>
          <w:rtl/>
        </w:rPr>
        <w:t>מִבְּכֹרוֹת צֹאנוֹ וּמֵחֶלְבֵהֶן</w:t>
      </w:r>
      <w:r>
        <w:rPr>
          <w:rFonts w:hint="cs"/>
          <w:rtl/>
        </w:rPr>
        <w:t>" (</w:t>
      </w:r>
      <w:r>
        <w:rPr>
          <w:sz w:val="18"/>
          <w:szCs w:val="20"/>
          <w:rtl/>
        </w:rPr>
        <w:t>בראשית ד</w:t>
      </w:r>
      <w:r>
        <w:rPr>
          <w:rFonts w:hint="cs"/>
          <w:sz w:val="18"/>
          <w:szCs w:val="20"/>
          <w:rtl/>
        </w:rPr>
        <w:t xml:space="preserve">, </w:t>
      </w:r>
      <w:r>
        <w:rPr>
          <w:sz w:val="18"/>
          <w:szCs w:val="20"/>
          <w:rtl/>
        </w:rPr>
        <w:t>ד</w:t>
      </w:r>
      <w:r>
        <w:rPr>
          <w:rFonts w:hint="cs"/>
          <w:rtl/>
        </w:rPr>
        <w:t>)</w:t>
      </w:r>
      <w:r>
        <w:rPr>
          <w:rtl/>
        </w:rPr>
        <w:t xml:space="preserve"> </w:t>
      </w:r>
      <w:r>
        <w:rPr>
          <w:rFonts w:hint="cs"/>
          <w:rtl/>
        </w:rPr>
        <w:t>למדים אנו שאין לזלזל בחיצוניות העבודה, ובדינים רבים מלמדת אותנו התורה להדֵר ולהצטיין בקיום מצוות נאות ומובחרות</w:t>
      </w:r>
      <w:r>
        <w:rPr>
          <w:rStyle w:val="a4"/>
          <w:rtl/>
        </w:rPr>
        <w:footnoteReference w:id="147"/>
      </w:r>
      <w:r>
        <w:rPr>
          <w:rFonts w:hint="cs"/>
          <w:rtl/>
        </w:rPr>
        <w:t xml:space="preserve"> - ובפרט בעבודת הקרבנות - לפחות כפי המקובל בשֵרוּת של מלך בשר ודם: </w:t>
      </w:r>
      <w:r>
        <w:rPr>
          <w:rFonts w:ascii="Arial" w:hAnsi="Arial" w:hint="cs"/>
          <w:rtl/>
        </w:rPr>
        <w:t>"</w:t>
      </w:r>
      <w:r>
        <w:rPr>
          <w:rFonts w:ascii="Arial" w:hAnsi="Arial"/>
          <w:rtl/>
        </w:rPr>
        <w:t>הַקְרִיבֵהוּ נָא לְ</w:t>
      </w:r>
      <w:r>
        <w:rPr>
          <w:rFonts w:ascii="Arial" w:hAnsi="Arial"/>
          <w:b/>
          <w:bCs/>
          <w:rtl/>
        </w:rPr>
        <w:t>פֶחָתֶךָ</w:t>
      </w:r>
      <w:r>
        <w:rPr>
          <w:rFonts w:ascii="Arial" w:hAnsi="Arial" w:hint="cs"/>
          <w:rtl/>
        </w:rPr>
        <w:t>!</w:t>
      </w:r>
      <w:r>
        <w:rPr>
          <w:rStyle w:val="a4"/>
          <w:rtl/>
        </w:rPr>
        <w:footnoteReference w:id="148"/>
      </w:r>
      <w:r>
        <w:rPr>
          <w:rFonts w:ascii="Arial" w:hAnsi="Arial" w:hint="cs"/>
          <w:rtl/>
        </w:rPr>
        <w:t xml:space="preserve"> </w:t>
      </w:r>
      <w:r>
        <w:rPr>
          <w:rFonts w:ascii="Arial" w:hAnsi="Arial"/>
          <w:rtl/>
        </w:rPr>
        <w:t>הֲיִרְצְךָ</w:t>
      </w:r>
      <w:r>
        <w:rPr>
          <w:rFonts w:ascii="Arial" w:hAnsi="Arial" w:hint="cs"/>
          <w:rtl/>
        </w:rPr>
        <w:t>?!</w:t>
      </w:r>
      <w:r>
        <w:rPr>
          <w:rFonts w:ascii="Arial" w:hAnsi="Arial"/>
          <w:rtl/>
        </w:rPr>
        <w:t xml:space="preserve"> אוֹ הֲיִשָּׂא פָנֶיךָ</w:t>
      </w:r>
      <w:r>
        <w:rPr>
          <w:rFonts w:ascii="Arial" w:hAnsi="Arial" w:hint="cs"/>
          <w:rtl/>
        </w:rPr>
        <w:t>?!" (</w:t>
      </w:r>
      <w:r>
        <w:rPr>
          <w:rFonts w:ascii="Arial" w:hAnsi="Arial"/>
          <w:sz w:val="18"/>
          <w:szCs w:val="20"/>
          <w:rtl/>
        </w:rPr>
        <w:t xml:space="preserve">מלאכי </w:t>
      </w:r>
      <w:r>
        <w:rPr>
          <w:rFonts w:ascii="Arial" w:hAnsi="Arial"/>
          <w:szCs w:val="20"/>
          <w:rtl/>
        </w:rPr>
        <w:t>א</w:t>
      </w:r>
      <w:r>
        <w:rPr>
          <w:rFonts w:ascii="Arial" w:hAnsi="Arial" w:hint="cs"/>
          <w:szCs w:val="20"/>
          <w:rtl/>
        </w:rPr>
        <w:t xml:space="preserve">, </w:t>
      </w:r>
      <w:r>
        <w:rPr>
          <w:rFonts w:ascii="Arial" w:hAnsi="Arial"/>
          <w:sz w:val="18"/>
          <w:szCs w:val="20"/>
          <w:rtl/>
        </w:rPr>
        <w:t>ח</w:t>
      </w:r>
      <w:r>
        <w:rPr>
          <w:rFonts w:ascii="Arial" w:hAnsi="Arial" w:hint="cs"/>
          <w:sz w:val="26"/>
          <w:rtl/>
        </w:rPr>
        <w:t xml:space="preserve">). גם </w:t>
      </w:r>
      <w:r>
        <w:rPr>
          <w:rFonts w:hint="cs"/>
          <w:rtl/>
        </w:rPr>
        <w:t>בעבודת התפִלה, כמו בעבודת בית המקדש, נדרשים היופי וההדר החיצוני, וחייב אדם לייפות עצמו בשעת עמידתו לפני מלכו של עולם כעומד בפני המלך.</w:t>
      </w:r>
    </w:p>
    <w:p w14:paraId="37C1BF9A" w14:textId="77777777" w:rsidR="00940290" w:rsidRDefault="00940290" w:rsidP="00940290">
      <w:pPr>
        <w:pStyle w:val="3"/>
        <w:rPr>
          <w:rFonts w:hint="cs"/>
          <w:rtl/>
        </w:rPr>
      </w:pPr>
      <w:r>
        <w:rPr>
          <w:rtl/>
        </w:rPr>
        <w:lastRenderedPageBreak/>
        <w:t>יִרְאֶה - יֵרָאֶה</w:t>
      </w:r>
    </w:p>
    <w:p w14:paraId="1EE036F0" w14:textId="77777777" w:rsidR="00940290" w:rsidRDefault="00940290" w:rsidP="00940290">
      <w:pPr>
        <w:ind w:firstLine="284"/>
        <w:rPr>
          <w:rFonts w:hint="cs"/>
          <w:rtl/>
        </w:rPr>
      </w:pPr>
      <w:r>
        <w:rPr>
          <w:rFonts w:hint="cs"/>
          <w:rtl/>
        </w:rPr>
        <w:t>על דברי ה</w:t>
      </w:r>
      <w:r>
        <w:rPr>
          <w:rtl/>
        </w:rPr>
        <w:t xml:space="preserve">תלמוד </w:t>
      </w:r>
      <w:r>
        <w:rPr>
          <w:rFonts w:hint="cs"/>
          <w:rtl/>
        </w:rPr>
        <w:t>(</w:t>
      </w:r>
      <w:r>
        <w:rPr>
          <w:sz w:val="18"/>
          <w:szCs w:val="20"/>
          <w:rtl/>
        </w:rPr>
        <w:t>ברכות כה</w:t>
      </w:r>
      <w:r>
        <w:rPr>
          <w:rFonts w:hint="cs"/>
          <w:sz w:val="18"/>
          <w:szCs w:val="20"/>
          <w:rtl/>
        </w:rPr>
        <w:t xml:space="preserve">, </w:t>
      </w:r>
      <w:r>
        <w:rPr>
          <w:sz w:val="18"/>
          <w:szCs w:val="20"/>
          <w:rtl/>
        </w:rPr>
        <w:t>א</w:t>
      </w:r>
      <w:r>
        <w:rPr>
          <w:rFonts w:hint="cs"/>
          <w:rtl/>
        </w:rPr>
        <w:t>) המחמיר בדין הלבוש בתפלה יותר מבקריאת שמע (</w:t>
      </w:r>
      <w:r>
        <w:rPr>
          <w:rFonts w:hint="cs"/>
          <w:sz w:val="18"/>
          <w:szCs w:val="20"/>
          <w:rtl/>
        </w:rPr>
        <w:t>שבה די בכיסוי הערוה</w:t>
      </w:r>
      <w:r>
        <w:rPr>
          <w:rFonts w:hint="cs"/>
          <w:rtl/>
        </w:rPr>
        <w:t xml:space="preserve">), מסביר </w:t>
      </w:r>
      <w:r>
        <w:rPr>
          <w:rtl/>
        </w:rPr>
        <w:t>רש"י</w:t>
      </w:r>
      <w:r>
        <w:rPr>
          <w:rFonts w:hint="cs"/>
          <w:rtl/>
        </w:rPr>
        <w:t xml:space="preserve"> (</w:t>
      </w:r>
      <w:r>
        <w:rPr>
          <w:rFonts w:hint="cs"/>
          <w:sz w:val="18"/>
          <w:szCs w:val="20"/>
          <w:rtl/>
        </w:rPr>
        <w:t xml:space="preserve">והובאו דבריו </w:t>
      </w:r>
      <w:r>
        <w:rPr>
          <w:sz w:val="18"/>
          <w:szCs w:val="20"/>
          <w:rtl/>
        </w:rPr>
        <w:t>בית</w:t>
      </w:r>
      <w:r>
        <w:rPr>
          <w:rFonts w:hint="cs"/>
          <w:sz w:val="18"/>
          <w:szCs w:val="20"/>
          <w:rtl/>
        </w:rPr>
        <w:t>ה</w:t>
      </w:r>
      <w:r>
        <w:rPr>
          <w:sz w:val="18"/>
          <w:szCs w:val="20"/>
          <w:rtl/>
        </w:rPr>
        <w:t xml:space="preserve"> יוסף </w:t>
      </w:r>
      <w:r>
        <w:rPr>
          <w:rFonts w:hint="cs"/>
          <w:sz w:val="18"/>
          <w:szCs w:val="20"/>
          <w:rtl/>
        </w:rPr>
        <w:t>ב</w:t>
      </w:r>
      <w:r>
        <w:rPr>
          <w:sz w:val="18"/>
          <w:szCs w:val="20"/>
          <w:rtl/>
        </w:rPr>
        <w:t>סימן ע</w:t>
      </w:r>
      <w:r>
        <w:rPr>
          <w:rFonts w:hint="cs"/>
          <w:sz w:val="18"/>
          <w:szCs w:val="20"/>
          <w:rtl/>
        </w:rPr>
        <w:t>"</w:t>
      </w:r>
      <w:r>
        <w:rPr>
          <w:sz w:val="18"/>
          <w:szCs w:val="20"/>
          <w:rtl/>
        </w:rPr>
        <w:t xml:space="preserve">ד </w:t>
      </w:r>
      <w:r>
        <w:rPr>
          <w:rFonts w:hint="cs"/>
          <w:sz w:val="18"/>
          <w:szCs w:val="20"/>
          <w:rtl/>
        </w:rPr>
        <w:t>וב</w:t>
      </w:r>
      <w:r>
        <w:rPr>
          <w:sz w:val="18"/>
          <w:szCs w:val="20"/>
          <w:rtl/>
        </w:rPr>
        <w:t>סימן צ</w:t>
      </w:r>
      <w:r>
        <w:rPr>
          <w:rFonts w:hint="cs"/>
          <w:sz w:val="18"/>
          <w:szCs w:val="20"/>
          <w:rtl/>
        </w:rPr>
        <w:t>"</w:t>
      </w:r>
      <w:r>
        <w:rPr>
          <w:sz w:val="18"/>
          <w:szCs w:val="20"/>
          <w:rtl/>
        </w:rPr>
        <w:t>א</w:t>
      </w:r>
      <w:r>
        <w:rPr>
          <w:rFonts w:hint="cs"/>
          <w:rtl/>
        </w:rPr>
        <w:t>): "</w:t>
      </w:r>
      <w:r>
        <w:rPr>
          <w:rtl/>
        </w:rPr>
        <w:t>לתפלה צריך הוא להראות את עצמו כעומד לפני המלך ולעמוד באימה, אבל קריאת שמע אינו מדב</w:t>
      </w:r>
      <w:r>
        <w:rPr>
          <w:rFonts w:hint="cs"/>
          <w:rtl/>
        </w:rPr>
        <w:t>ֵּ</w:t>
      </w:r>
      <w:r>
        <w:rPr>
          <w:rtl/>
        </w:rPr>
        <w:t>ר לפני המלך</w:t>
      </w:r>
      <w:r>
        <w:rPr>
          <w:rFonts w:hint="cs"/>
          <w:rtl/>
        </w:rPr>
        <w:t>"</w:t>
      </w:r>
      <w:r>
        <w:rPr>
          <w:rStyle w:val="a4"/>
          <w:rtl/>
        </w:rPr>
        <w:footnoteReference w:id="149"/>
      </w:r>
      <w:r>
        <w:rPr>
          <w:rtl/>
        </w:rPr>
        <w:t>.</w:t>
      </w:r>
      <w:r>
        <w:rPr>
          <w:rFonts w:hint="cs"/>
          <w:rtl/>
        </w:rPr>
        <w:t xml:space="preserve"> מקור דבריו במ</w:t>
      </w:r>
      <w:r>
        <w:rPr>
          <w:rtl/>
        </w:rPr>
        <w:t>אמר רבי שמעון חסידא</w:t>
      </w:r>
      <w:r>
        <w:rPr>
          <w:rStyle w:val="a4"/>
          <w:rtl/>
        </w:rPr>
        <w:footnoteReference w:id="150"/>
      </w:r>
      <w:r>
        <w:rPr>
          <w:rFonts w:hint="cs"/>
          <w:rtl/>
        </w:rPr>
        <w:t xml:space="preserve"> (</w:t>
      </w:r>
      <w:r>
        <w:rPr>
          <w:szCs w:val="20"/>
          <w:rtl/>
        </w:rPr>
        <w:t>סנהדרין</w:t>
      </w:r>
      <w:r>
        <w:rPr>
          <w:rtl/>
        </w:rPr>
        <w:t xml:space="preserve"> </w:t>
      </w:r>
      <w:r>
        <w:rPr>
          <w:sz w:val="18"/>
          <w:szCs w:val="20"/>
          <w:rtl/>
        </w:rPr>
        <w:lastRenderedPageBreak/>
        <w:t>כב</w:t>
      </w:r>
      <w:r>
        <w:rPr>
          <w:rFonts w:hint="cs"/>
          <w:sz w:val="18"/>
          <w:szCs w:val="20"/>
          <w:rtl/>
        </w:rPr>
        <w:t xml:space="preserve">, </w:t>
      </w:r>
      <w:r>
        <w:rPr>
          <w:sz w:val="18"/>
          <w:szCs w:val="20"/>
          <w:rtl/>
        </w:rPr>
        <w:t>א</w:t>
      </w:r>
      <w:r>
        <w:rPr>
          <w:rFonts w:hint="cs"/>
          <w:rtl/>
        </w:rPr>
        <w:t>)</w:t>
      </w:r>
      <w:r>
        <w:rPr>
          <w:rtl/>
        </w:rPr>
        <w:t xml:space="preserve">: </w:t>
      </w:r>
      <w:r>
        <w:rPr>
          <w:rFonts w:hint="cs"/>
          <w:rtl/>
        </w:rPr>
        <w:t>"</w:t>
      </w:r>
      <w:r>
        <w:rPr>
          <w:rtl/>
        </w:rPr>
        <w:t>המתפלל צריך שיראה עצמו כאילו שכינה כנגדו</w:t>
      </w:r>
      <w:r>
        <w:rPr>
          <w:rStyle w:val="a4"/>
          <w:rtl/>
        </w:rPr>
        <w:footnoteReference w:id="151"/>
      </w:r>
      <w:r>
        <w:rPr>
          <w:rtl/>
        </w:rPr>
        <w:t>, שנאמר</w:t>
      </w:r>
      <w:r>
        <w:rPr>
          <w:rFonts w:hint="cs"/>
          <w:rtl/>
        </w:rPr>
        <w:t>: '</w:t>
      </w:r>
      <w:r>
        <w:rPr>
          <w:rtl/>
        </w:rPr>
        <w:t>שִׁוִּיתִי ה' לְנֶגְדִּי תָמִיד</w:t>
      </w:r>
      <w:r>
        <w:rPr>
          <w:rFonts w:hint="cs"/>
          <w:rtl/>
        </w:rPr>
        <w:t>' (</w:t>
      </w:r>
      <w:r>
        <w:rPr>
          <w:szCs w:val="20"/>
          <w:rtl/>
        </w:rPr>
        <w:t>תהלים</w:t>
      </w:r>
      <w:r>
        <w:rPr>
          <w:rtl/>
        </w:rPr>
        <w:t xml:space="preserve"> </w:t>
      </w:r>
      <w:r>
        <w:rPr>
          <w:sz w:val="18"/>
          <w:szCs w:val="20"/>
          <w:rtl/>
        </w:rPr>
        <w:t>טז</w:t>
      </w:r>
      <w:r>
        <w:rPr>
          <w:rFonts w:hint="cs"/>
          <w:sz w:val="18"/>
          <w:szCs w:val="20"/>
          <w:rtl/>
        </w:rPr>
        <w:t xml:space="preserve">, </w:t>
      </w:r>
      <w:r>
        <w:rPr>
          <w:sz w:val="18"/>
          <w:szCs w:val="20"/>
          <w:rtl/>
        </w:rPr>
        <w:t>ח</w:t>
      </w:r>
      <w:r>
        <w:rPr>
          <w:rStyle w:val="a4"/>
          <w:szCs w:val="20"/>
          <w:rtl/>
        </w:rPr>
        <w:footnoteReference w:id="152"/>
      </w:r>
      <w:r>
        <w:rPr>
          <w:rFonts w:hint="cs"/>
          <w:rtl/>
        </w:rPr>
        <w:t>)".</w:t>
      </w:r>
    </w:p>
    <w:p w14:paraId="1AA84D50" w14:textId="77777777" w:rsidR="00940290" w:rsidRDefault="00940290" w:rsidP="00940290">
      <w:pPr>
        <w:ind w:firstLine="284"/>
        <w:rPr>
          <w:rFonts w:hint="cs"/>
          <w:rtl/>
        </w:rPr>
      </w:pPr>
      <w:r>
        <w:rPr>
          <w:rFonts w:hint="cs"/>
          <w:rtl/>
        </w:rPr>
        <w:t>ויש לעיין במאמר זה בפֹעַל "יראה" הסובל שני פירושים: האם "</w:t>
      </w:r>
      <w:r>
        <w:rPr>
          <w:rtl/>
        </w:rPr>
        <w:t>המתפלל צריך שי</w:t>
      </w:r>
      <w:r>
        <w:rPr>
          <w:rFonts w:hint="cs"/>
          <w:rtl/>
        </w:rPr>
        <w:t>ַ</w:t>
      </w:r>
      <w:r>
        <w:rPr>
          <w:rtl/>
        </w:rPr>
        <w:t>ר</w:t>
      </w:r>
      <w:r>
        <w:rPr>
          <w:rFonts w:hint="cs"/>
          <w:rtl/>
        </w:rPr>
        <w:t>ְ</w:t>
      </w:r>
      <w:r>
        <w:rPr>
          <w:rtl/>
        </w:rPr>
        <w:t>א</w:t>
      </w:r>
      <w:r>
        <w:rPr>
          <w:rFonts w:hint="cs"/>
          <w:rtl/>
        </w:rPr>
        <w:t>ֶ</w:t>
      </w:r>
      <w:r>
        <w:rPr>
          <w:rtl/>
        </w:rPr>
        <w:t>ה עצמו</w:t>
      </w:r>
      <w:r>
        <w:rPr>
          <w:rFonts w:hint="cs"/>
          <w:rtl/>
        </w:rPr>
        <w:t>" (</w:t>
      </w:r>
      <w:r>
        <w:rPr>
          <w:rFonts w:hint="cs"/>
          <w:sz w:val="18"/>
          <w:szCs w:val="20"/>
          <w:rtl/>
        </w:rPr>
        <w:t>בבנין הפעיל</w:t>
      </w:r>
      <w:r>
        <w:rPr>
          <w:rFonts w:hint="cs"/>
          <w:rtl/>
        </w:rPr>
        <w:t>) וכלשון רש"י ב</w:t>
      </w:r>
      <w:r>
        <w:rPr>
          <w:sz w:val="26"/>
          <w:rtl/>
        </w:rPr>
        <w:t xml:space="preserve">ברכות </w:t>
      </w:r>
      <w:r>
        <w:rPr>
          <w:rFonts w:hint="cs"/>
          <w:sz w:val="26"/>
          <w:rtl/>
        </w:rPr>
        <w:t>ש</w:t>
      </w:r>
      <w:r>
        <w:rPr>
          <w:rFonts w:hint="cs"/>
          <w:rtl/>
        </w:rPr>
        <w:t>כתב "</w:t>
      </w:r>
      <w:r>
        <w:rPr>
          <w:rtl/>
        </w:rPr>
        <w:t>ל</w:t>
      </w:r>
      <w:r>
        <w:rPr>
          <w:rFonts w:hint="cs"/>
          <w:rtl/>
        </w:rPr>
        <w:t>ְ</w:t>
      </w:r>
      <w:r>
        <w:rPr>
          <w:rtl/>
        </w:rPr>
        <w:t>הראות את עצמו</w:t>
      </w:r>
      <w:r>
        <w:rPr>
          <w:rFonts w:hint="cs"/>
          <w:rtl/>
        </w:rPr>
        <w:t>", כלומר על המתפלל לנקוט בפעולות חיצוניות שיֵרָאו כלפי חוץ; או "</w:t>
      </w:r>
      <w:r>
        <w:rPr>
          <w:rtl/>
        </w:rPr>
        <w:t>צריך שי</w:t>
      </w:r>
      <w:r>
        <w:rPr>
          <w:rFonts w:hint="cs"/>
          <w:rtl/>
        </w:rPr>
        <w:t>ִ</w:t>
      </w:r>
      <w:r>
        <w:rPr>
          <w:rtl/>
        </w:rPr>
        <w:t>ר</w:t>
      </w:r>
      <w:r>
        <w:rPr>
          <w:rFonts w:hint="cs"/>
          <w:rtl/>
        </w:rPr>
        <w:t>ְ</w:t>
      </w:r>
      <w:r>
        <w:rPr>
          <w:rtl/>
        </w:rPr>
        <w:t>א</w:t>
      </w:r>
      <w:r>
        <w:rPr>
          <w:rFonts w:hint="cs"/>
          <w:rtl/>
        </w:rPr>
        <w:t>ֶ</w:t>
      </w:r>
      <w:r>
        <w:rPr>
          <w:rtl/>
        </w:rPr>
        <w:t>ה עצמו</w:t>
      </w:r>
      <w:r>
        <w:rPr>
          <w:rFonts w:hint="cs"/>
          <w:rtl/>
        </w:rPr>
        <w:t>" (</w:t>
      </w:r>
      <w:r>
        <w:rPr>
          <w:rFonts w:hint="cs"/>
          <w:sz w:val="18"/>
          <w:szCs w:val="20"/>
          <w:rtl/>
        </w:rPr>
        <w:t>בבנין קל</w:t>
      </w:r>
      <w:r>
        <w:rPr>
          <w:rFonts w:hint="cs"/>
          <w:rtl/>
        </w:rPr>
        <w:t>), וכלשון רש"י ב</w:t>
      </w:r>
      <w:r>
        <w:rPr>
          <w:rtl/>
        </w:rPr>
        <w:t xml:space="preserve">יומא </w:t>
      </w:r>
      <w:r>
        <w:rPr>
          <w:rFonts w:hint="cs"/>
          <w:rtl/>
        </w:rPr>
        <w:t>(</w:t>
      </w:r>
      <w:r>
        <w:rPr>
          <w:rtl/>
        </w:rPr>
        <w:t>נג</w:t>
      </w:r>
      <w:r>
        <w:rPr>
          <w:rFonts w:hint="cs"/>
          <w:rtl/>
        </w:rPr>
        <w:t xml:space="preserve">, </w:t>
      </w:r>
      <w:r>
        <w:rPr>
          <w:rtl/>
        </w:rPr>
        <w:t xml:space="preserve">ב </w:t>
      </w:r>
      <w:r>
        <w:rPr>
          <w:sz w:val="18"/>
          <w:szCs w:val="20"/>
          <w:rtl/>
        </w:rPr>
        <w:t>ד"ה לשמאל דידך</w:t>
      </w:r>
      <w:r>
        <w:rPr>
          <w:rFonts w:hint="cs"/>
          <w:rtl/>
        </w:rPr>
        <w:t>) שכתב:</w:t>
      </w:r>
      <w:r>
        <w:rPr>
          <w:rtl/>
        </w:rPr>
        <w:t xml:space="preserve"> </w:t>
      </w:r>
      <w:r>
        <w:rPr>
          <w:rFonts w:hint="cs"/>
          <w:rtl/>
        </w:rPr>
        <w:t>"</w:t>
      </w:r>
      <w:r>
        <w:rPr>
          <w:rtl/>
        </w:rPr>
        <w:t xml:space="preserve">שהמתפלל </w:t>
      </w:r>
      <w:r>
        <w:rPr>
          <w:b/>
          <w:bCs/>
          <w:rtl/>
        </w:rPr>
        <w:t xml:space="preserve">רואה </w:t>
      </w:r>
      <w:r>
        <w:rPr>
          <w:rtl/>
        </w:rPr>
        <w:t>עצמו כאילו שכינה למול פניו, שנאמר שויתי ה' לנגדי תמיד</w:t>
      </w:r>
      <w:r>
        <w:rPr>
          <w:rFonts w:hint="cs"/>
          <w:rtl/>
        </w:rPr>
        <w:t>", דהיינו ראיית הלב, המחשבה וההרגשה</w:t>
      </w:r>
      <w:r>
        <w:rPr>
          <w:rStyle w:val="a4"/>
          <w:rtl/>
        </w:rPr>
        <w:footnoteReference w:id="153"/>
      </w:r>
      <w:r>
        <w:rPr>
          <w:rFonts w:hint="cs"/>
          <w:rtl/>
        </w:rPr>
        <w:t>.</w:t>
      </w:r>
    </w:p>
    <w:p w14:paraId="45AAAB69" w14:textId="77777777" w:rsidR="00940290" w:rsidRDefault="00940290" w:rsidP="00940290">
      <w:pPr>
        <w:ind w:firstLine="284"/>
        <w:rPr>
          <w:rFonts w:hint="cs"/>
          <w:rtl/>
        </w:rPr>
      </w:pPr>
      <w:r>
        <w:rPr>
          <w:rFonts w:hint="cs"/>
          <w:rtl/>
        </w:rPr>
        <w:lastRenderedPageBreak/>
        <w:t>כיוצא בדבר יש להסתפק בגרסת המשנה בערבי פסחים (</w:t>
      </w:r>
      <w:r>
        <w:rPr>
          <w:sz w:val="18"/>
          <w:szCs w:val="20"/>
          <w:rtl/>
        </w:rPr>
        <w:t>פ</w:t>
      </w:r>
      <w:r>
        <w:rPr>
          <w:rFonts w:hint="cs"/>
          <w:sz w:val="18"/>
          <w:szCs w:val="20"/>
          <w:rtl/>
        </w:rPr>
        <w:t>"</w:t>
      </w:r>
      <w:r>
        <w:rPr>
          <w:sz w:val="18"/>
          <w:szCs w:val="20"/>
          <w:rtl/>
        </w:rPr>
        <w:t>י מ</w:t>
      </w:r>
      <w:r>
        <w:rPr>
          <w:rFonts w:hint="cs"/>
          <w:sz w:val="18"/>
          <w:szCs w:val="20"/>
          <w:rtl/>
        </w:rPr>
        <w:t>"</w:t>
      </w:r>
      <w:r>
        <w:rPr>
          <w:sz w:val="18"/>
          <w:szCs w:val="20"/>
          <w:rtl/>
        </w:rPr>
        <w:t>ה</w:t>
      </w:r>
      <w:r>
        <w:rPr>
          <w:rFonts w:hint="cs"/>
          <w:sz w:val="18"/>
          <w:szCs w:val="20"/>
          <w:rtl/>
        </w:rPr>
        <w:t xml:space="preserve">; דף </w:t>
      </w:r>
      <w:r>
        <w:rPr>
          <w:sz w:val="18"/>
          <w:szCs w:val="20"/>
          <w:rtl/>
        </w:rPr>
        <w:t>קטז</w:t>
      </w:r>
      <w:r>
        <w:rPr>
          <w:rFonts w:hint="cs"/>
          <w:sz w:val="18"/>
          <w:szCs w:val="20"/>
          <w:rtl/>
        </w:rPr>
        <w:t xml:space="preserve">, </w:t>
      </w:r>
      <w:r>
        <w:rPr>
          <w:sz w:val="18"/>
          <w:szCs w:val="20"/>
          <w:rtl/>
        </w:rPr>
        <w:t>ב</w:t>
      </w:r>
      <w:r>
        <w:rPr>
          <w:rFonts w:hint="cs"/>
          <w:rtl/>
        </w:rPr>
        <w:t>) הנאמרת גם ב</w:t>
      </w:r>
      <w:r>
        <w:rPr>
          <w:rtl/>
        </w:rPr>
        <w:t>הגדה של פסח</w:t>
      </w:r>
      <w:r>
        <w:rPr>
          <w:rFonts w:hint="cs"/>
          <w:rtl/>
        </w:rPr>
        <w:t>: "</w:t>
      </w:r>
      <w:r>
        <w:rPr>
          <w:rtl/>
        </w:rPr>
        <w:t xml:space="preserve">בכל דור ודור חייב אדם </w:t>
      </w:r>
      <w:r>
        <w:rPr>
          <w:b/>
          <w:bCs/>
          <w:rtl/>
        </w:rPr>
        <w:t>לראות</w:t>
      </w:r>
      <w:r>
        <w:rPr>
          <w:rtl/>
        </w:rPr>
        <w:t xml:space="preserve"> את עצמו כאילו הוא יצא ממצרים</w:t>
      </w:r>
      <w:r>
        <w:rPr>
          <w:rFonts w:hint="cs"/>
          <w:rtl/>
        </w:rPr>
        <w:t>", היש לקרוא "לִרְאוֹת" (</w:t>
      </w:r>
      <w:r>
        <w:rPr>
          <w:rFonts w:hint="cs"/>
          <w:sz w:val="18"/>
          <w:szCs w:val="20"/>
          <w:rtl/>
        </w:rPr>
        <w:t>בבנין קל: "</w:t>
      </w:r>
      <w:r>
        <w:rPr>
          <w:sz w:val="18"/>
          <w:szCs w:val="20"/>
          <w:rtl/>
        </w:rPr>
        <w:t>כלומר שי</w:t>
      </w:r>
      <w:r>
        <w:rPr>
          <w:rFonts w:hint="cs"/>
          <w:sz w:val="18"/>
          <w:szCs w:val="20"/>
          <w:rtl/>
        </w:rPr>
        <w:t>ִ</w:t>
      </w:r>
      <w:r>
        <w:rPr>
          <w:sz w:val="18"/>
          <w:szCs w:val="20"/>
          <w:rtl/>
        </w:rPr>
        <w:t>ראה ויביט בעצמו כאלו הוא היה עבד ויצא לחירות ממצרים</w:t>
      </w:r>
      <w:r>
        <w:rPr>
          <w:rFonts w:hint="cs"/>
          <w:sz w:val="18"/>
          <w:szCs w:val="20"/>
          <w:rtl/>
        </w:rPr>
        <w:t>"</w:t>
      </w:r>
      <w:r>
        <w:rPr>
          <w:rStyle w:val="a4"/>
          <w:szCs w:val="20"/>
          <w:rtl/>
        </w:rPr>
        <w:footnoteReference w:id="154"/>
      </w:r>
      <w:r>
        <w:rPr>
          <w:rFonts w:hint="cs"/>
          <w:rtl/>
        </w:rPr>
        <w:t>) או "לַרְאוֹת" (</w:t>
      </w:r>
      <w:r>
        <w:rPr>
          <w:rFonts w:hint="cs"/>
          <w:sz w:val="18"/>
          <w:szCs w:val="20"/>
          <w:rtl/>
        </w:rPr>
        <w:t xml:space="preserve">בבנין הפעיל: </w:t>
      </w:r>
      <w:r>
        <w:rPr>
          <w:rFonts w:hint="cs"/>
          <w:sz w:val="26"/>
          <w:rtl/>
        </w:rPr>
        <w:t xml:space="preserve">כלומר לְהַראות </w:t>
      </w:r>
      <w:r>
        <w:rPr>
          <w:rFonts w:hint="cs"/>
          <w:sz w:val="18"/>
          <w:szCs w:val="20"/>
          <w:rtl/>
        </w:rPr>
        <w:t>זאת כלפי חוץ</w:t>
      </w:r>
      <w:r>
        <w:rPr>
          <w:rFonts w:hint="cs"/>
          <w:rtl/>
        </w:rPr>
        <w:t>)?</w:t>
      </w:r>
    </w:p>
    <w:p w14:paraId="3F7EC192" w14:textId="77777777" w:rsidR="00940290" w:rsidRDefault="00940290" w:rsidP="00940290">
      <w:pPr>
        <w:ind w:firstLine="284"/>
        <w:rPr>
          <w:rFonts w:hint="cs"/>
          <w:rtl/>
        </w:rPr>
      </w:pPr>
      <w:r>
        <w:rPr>
          <w:rFonts w:hint="cs"/>
          <w:rtl/>
        </w:rPr>
        <w:t>מעט עדים ישנם לנוסח "ל</w:t>
      </w:r>
      <w:r>
        <w:rPr>
          <w:rFonts w:hint="cs"/>
          <w:b/>
          <w:bCs/>
          <w:rtl/>
        </w:rPr>
        <w:t>ה</w:t>
      </w:r>
      <w:r>
        <w:rPr>
          <w:rFonts w:hint="cs"/>
          <w:rtl/>
        </w:rPr>
        <w:t>ראות"</w:t>
      </w:r>
      <w:r>
        <w:rPr>
          <w:rStyle w:val="a4"/>
          <w:rtl/>
        </w:rPr>
        <w:footnoteReference w:id="155"/>
      </w:r>
      <w:r>
        <w:rPr>
          <w:rFonts w:hint="cs"/>
          <w:rtl/>
        </w:rPr>
        <w:t>, אך אף אם לא כתובה האות ה'</w:t>
      </w:r>
      <w:r>
        <w:rPr>
          <w:rStyle w:val="a4"/>
          <w:rtl/>
        </w:rPr>
        <w:footnoteReference w:id="156"/>
      </w:r>
      <w:r>
        <w:rPr>
          <w:rFonts w:hint="cs"/>
          <w:rtl/>
        </w:rPr>
        <w:t>, ניתן לקרוא זאת כפֹעַל בבנין הִפעיל, כמו "</w:t>
      </w:r>
      <w:r>
        <w:rPr>
          <w:rtl/>
        </w:rPr>
        <w:t>לַרְאֹתְכֶם</w:t>
      </w:r>
      <w:r>
        <w:rPr>
          <w:rFonts w:hint="cs"/>
          <w:rtl/>
        </w:rPr>
        <w:t>" (</w:t>
      </w:r>
      <w:r>
        <w:rPr>
          <w:sz w:val="18"/>
          <w:szCs w:val="20"/>
          <w:rtl/>
        </w:rPr>
        <w:t xml:space="preserve">דברים </w:t>
      </w:r>
      <w:r>
        <w:rPr>
          <w:sz w:val="18"/>
          <w:szCs w:val="20"/>
          <w:rtl/>
        </w:rPr>
        <w:lastRenderedPageBreak/>
        <w:t>א</w:t>
      </w:r>
      <w:r>
        <w:rPr>
          <w:rFonts w:hint="cs"/>
          <w:sz w:val="18"/>
          <w:szCs w:val="20"/>
          <w:rtl/>
        </w:rPr>
        <w:t xml:space="preserve">, </w:t>
      </w:r>
      <w:r>
        <w:rPr>
          <w:sz w:val="18"/>
          <w:szCs w:val="20"/>
          <w:rtl/>
        </w:rPr>
        <w:t>לג</w:t>
      </w:r>
      <w:r>
        <w:rPr>
          <w:rStyle w:val="a4"/>
          <w:sz w:val="18"/>
          <w:rtl/>
        </w:rPr>
        <w:footnoteReference w:id="157"/>
      </w:r>
      <w:r>
        <w:rPr>
          <w:rFonts w:hint="cs"/>
          <w:rtl/>
        </w:rPr>
        <w:t>)</w:t>
      </w:r>
      <w:r>
        <w:rPr>
          <w:rtl/>
        </w:rPr>
        <w:t xml:space="preserve"> </w:t>
      </w:r>
      <w:r>
        <w:rPr>
          <w:rFonts w:hint="cs"/>
          <w:rtl/>
        </w:rPr>
        <w:t>ו"</w:t>
      </w:r>
      <w:r>
        <w:rPr>
          <w:rtl/>
        </w:rPr>
        <w:t>לַצְבּוֹת בֶּטֶן וְלַנְפִּל יָרֵךְ</w:t>
      </w:r>
      <w:r>
        <w:rPr>
          <w:rFonts w:hint="cs"/>
          <w:rtl/>
        </w:rPr>
        <w:t>" (</w:t>
      </w:r>
      <w:r>
        <w:rPr>
          <w:sz w:val="18"/>
          <w:szCs w:val="20"/>
          <w:rtl/>
        </w:rPr>
        <w:t>במדבר ה</w:t>
      </w:r>
      <w:r>
        <w:rPr>
          <w:rFonts w:hint="cs"/>
          <w:sz w:val="18"/>
          <w:szCs w:val="20"/>
          <w:rtl/>
        </w:rPr>
        <w:t xml:space="preserve">, </w:t>
      </w:r>
      <w:r>
        <w:rPr>
          <w:sz w:val="18"/>
          <w:szCs w:val="20"/>
          <w:rtl/>
        </w:rPr>
        <w:t>כב</w:t>
      </w:r>
      <w:r>
        <w:rPr>
          <w:rStyle w:val="a4"/>
          <w:rtl/>
        </w:rPr>
        <w:footnoteReference w:id="158"/>
      </w:r>
      <w:r>
        <w:rPr>
          <w:rFonts w:hint="cs"/>
          <w:rtl/>
        </w:rPr>
        <w:t>). וכך מנוקדת מִלה זו בהגדת סרייבו</w:t>
      </w:r>
      <w:r>
        <w:rPr>
          <w:rStyle w:val="a4"/>
          <w:rtl/>
        </w:rPr>
        <w:footnoteReference w:id="159"/>
      </w:r>
      <w:r>
        <w:rPr>
          <w:rFonts w:hint="cs"/>
          <w:rtl/>
        </w:rPr>
        <w:t>, וכך כנראה קרא הרמב"ם</w:t>
      </w:r>
      <w:r>
        <w:rPr>
          <w:rStyle w:val="a4"/>
          <w:rtl/>
        </w:rPr>
        <w:footnoteReference w:id="160"/>
      </w:r>
      <w:r>
        <w:rPr>
          <w:rFonts w:hint="cs"/>
          <w:rtl/>
        </w:rPr>
        <w:t>.</w:t>
      </w:r>
    </w:p>
    <w:p w14:paraId="7CD4E37D" w14:textId="77777777" w:rsidR="00940290" w:rsidRDefault="00940290" w:rsidP="00940290">
      <w:pPr>
        <w:pStyle w:val="3"/>
        <w:rPr>
          <w:rFonts w:hint="cs"/>
          <w:rtl/>
        </w:rPr>
      </w:pPr>
      <w:r>
        <w:rPr>
          <w:rFonts w:hint="cs"/>
          <w:rtl/>
        </w:rPr>
        <w:t xml:space="preserve">אחרי המעשים נמשכים הלבבות </w:t>
      </w:r>
    </w:p>
    <w:p w14:paraId="0E28305E" w14:textId="77777777" w:rsidR="00940290" w:rsidRDefault="00940290" w:rsidP="00940290">
      <w:pPr>
        <w:ind w:firstLine="284"/>
        <w:rPr>
          <w:rFonts w:hint="cs"/>
          <w:rtl/>
        </w:rPr>
      </w:pPr>
      <w:r>
        <w:rPr>
          <w:rFonts w:hint="cs"/>
          <w:rtl/>
        </w:rPr>
        <w:t>פשוט וברור שפעולות שנעשות "להראות</w:t>
      </w:r>
      <w:r>
        <w:rPr>
          <w:rtl/>
        </w:rPr>
        <w:t xml:space="preserve"> את עצמו</w:t>
      </w:r>
      <w:r>
        <w:rPr>
          <w:rFonts w:hint="cs"/>
          <w:rtl/>
        </w:rPr>
        <w:t>" (</w:t>
      </w:r>
      <w:r>
        <w:rPr>
          <w:sz w:val="18"/>
          <w:szCs w:val="20"/>
          <w:rtl/>
        </w:rPr>
        <w:t>כאילו יצא ממצרים</w:t>
      </w:r>
      <w:r>
        <w:rPr>
          <w:rFonts w:hint="cs"/>
          <w:sz w:val="18"/>
          <w:szCs w:val="20"/>
          <w:rtl/>
        </w:rPr>
        <w:t xml:space="preserve"> או </w:t>
      </w:r>
      <w:r>
        <w:rPr>
          <w:sz w:val="18"/>
          <w:szCs w:val="20"/>
          <w:rtl/>
        </w:rPr>
        <w:t xml:space="preserve">כעומד </w:t>
      </w:r>
      <w:r>
        <w:rPr>
          <w:rFonts w:hint="cs"/>
          <w:sz w:val="18"/>
          <w:szCs w:val="20"/>
          <w:rtl/>
        </w:rPr>
        <w:t>ב</w:t>
      </w:r>
      <w:r>
        <w:rPr>
          <w:sz w:val="18"/>
          <w:szCs w:val="20"/>
          <w:rtl/>
        </w:rPr>
        <w:t>פני המלך</w:t>
      </w:r>
      <w:r>
        <w:rPr>
          <w:rFonts w:hint="cs"/>
          <w:rtl/>
        </w:rPr>
        <w:t xml:space="preserve">) אינם הצגה חיצונית גרידא, אלא מטרתם למשוך אחריהם את הלבבות: להַראות על מנת לִראות. </w:t>
      </w:r>
    </w:p>
    <w:p w14:paraId="36D446AA" w14:textId="77777777" w:rsidR="00940290" w:rsidRDefault="00940290" w:rsidP="00940290">
      <w:pPr>
        <w:ind w:firstLine="284"/>
        <w:rPr>
          <w:rFonts w:hint="cs"/>
          <w:rtl/>
        </w:rPr>
      </w:pPr>
      <w:r>
        <w:rPr>
          <w:rFonts w:hint="cs"/>
          <w:rtl/>
        </w:rPr>
        <w:t xml:space="preserve">כפי שמבאר </w:t>
      </w:r>
      <w:r>
        <w:rPr>
          <w:rtl/>
        </w:rPr>
        <w:t xml:space="preserve">הרמב"ם </w:t>
      </w:r>
      <w:r>
        <w:rPr>
          <w:rFonts w:hint="cs"/>
          <w:rtl/>
        </w:rPr>
        <w:t>(</w:t>
      </w:r>
      <w:r>
        <w:rPr>
          <w:sz w:val="18"/>
          <w:szCs w:val="20"/>
          <w:rtl/>
        </w:rPr>
        <w:t>מורה הנבוכים ג', ל"ג</w:t>
      </w:r>
      <w:r>
        <w:rPr>
          <w:rtl/>
        </w:rPr>
        <w:t xml:space="preserve">) </w:t>
      </w:r>
      <w:r>
        <w:rPr>
          <w:rFonts w:hint="cs"/>
          <w:rtl/>
        </w:rPr>
        <w:t xml:space="preserve">רוצה רבש"ע שהאדם יהיה </w:t>
      </w:r>
      <w:r>
        <w:rPr>
          <w:rtl/>
        </w:rPr>
        <w:t>טה</w:t>
      </w:r>
      <w:r>
        <w:rPr>
          <w:rFonts w:hint="cs"/>
          <w:rtl/>
        </w:rPr>
        <w:t>ו</w:t>
      </w:r>
      <w:r>
        <w:rPr>
          <w:rtl/>
        </w:rPr>
        <w:t>ר</w:t>
      </w:r>
      <w:r>
        <w:rPr>
          <w:rFonts w:hint="cs"/>
          <w:rtl/>
        </w:rPr>
        <w:t xml:space="preserve"> </w:t>
      </w:r>
      <w:r>
        <w:rPr>
          <w:rtl/>
        </w:rPr>
        <w:t>ונקי</w:t>
      </w:r>
      <w:r>
        <w:rPr>
          <w:rFonts w:hint="cs"/>
          <w:rtl/>
        </w:rPr>
        <w:t xml:space="preserve"> וי</w:t>
      </w:r>
      <w:r>
        <w:rPr>
          <w:rtl/>
        </w:rPr>
        <w:t>תרחק</w:t>
      </w:r>
      <w:r>
        <w:rPr>
          <w:rFonts w:hint="cs"/>
          <w:rtl/>
        </w:rPr>
        <w:t xml:space="preserve"> </w:t>
      </w:r>
      <w:r>
        <w:rPr>
          <w:rtl/>
        </w:rPr>
        <w:t>מלכלוך וטינוף</w:t>
      </w:r>
      <w:r>
        <w:rPr>
          <w:rFonts w:hint="cs"/>
          <w:rtl/>
        </w:rPr>
        <w:t xml:space="preserve">, </w:t>
      </w:r>
      <w:r>
        <w:rPr>
          <w:rtl/>
        </w:rPr>
        <w:t>בתנאי ש</w:t>
      </w:r>
      <w:r>
        <w:rPr>
          <w:rFonts w:hint="cs"/>
          <w:rtl/>
        </w:rPr>
        <w:t>"תוכו כברו": שתהליך ה</w:t>
      </w:r>
      <w:r>
        <w:rPr>
          <w:rtl/>
        </w:rPr>
        <w:t>נ</w:t>
      </w:r>
      <w:r>
        <w:rPr>
          <w:rFonts w:hint="cs"/>
          <w:rtl/>
        </w:rPr>
        <w:t>י</w:t>
      </w:r>
      <w:r>
        <w:rPr>
          <w:rtl/>
        </w:rPr>
        <w:t xml:space="preserve">קיון </w:t>
      </w:r>
      <w:r>
        <w:rPr>
          <w:rFonts w:hint="cs"/>
          <w:rtl/>
        </w:rPr>
        <w:t>לא ייעצר ב</w:t>
      </w:r>
      <w:r>
        <w:rPr>
          <w:rtl/>
        </w:rPr>
        <w:t xml:space="preserve">חיצוניות, </w:t>
      </w:r>
      <w:r>
        <w:rPr>
          <w:rFonts w:hint="cs"/>
          <w:rtl/>
        </w:rPr>
        <w:t xml:space="preserve">ויתלוו אליו טיהור המעשים וטיהור הלב מתפיסות וממידות רעות, וכך </w:t>
      </w:r>
      <w:r>
        <w:rPr>
          <w:rtl/>
        </w:rPr>
        <w:t xml:space="preserve">הניקיון החיצוני </w:t>
      </w:r>
      <w:r>
        <w:rPr>
          <w:rFonts w:hint="cs"/>
          <w:rtl/>
        </w:rPr>
        <w:t>י</w:t>
      </w:r>
      <w:r>
        <w:rPr>
          <w:rtl/>
        </w:rPr>
        <w:t xml:space="preserve">בטא את </w:t>
      </w:r>
      <w:r>
        <w:rPr>
          <w:rtl/>
        </w:rPr>
        <w:lastRenderedPageBreak/>
        <w:t>פנימי</w:t>
      </w:r>
      <w:r>
        <w:rPr>
          <w:rFonts w:hint="cs"/>
          <w:rtl/>
        </w:rPr>
        <w:t xml:space="preserve">ות האישיות: "נקיון החיצוניות אחר נקיון הפנימיות". כך גם בעבודת הקרבנות ובעבודת התפִלה: יש לצרף כוונות טובות וטהורות יחד עם מעשים מתוקנים ויפים, </w:t>
      </w:r>
      <w:r>
        <w:rPr>
          <w:rtl/>
        </w:rPr>
        <w:t>וְהָיָה הַמִּשְׁכָּן אֶחָד</w:t>
      </w:r>
      <w:r>
        <w:rPr>
          <w:rFonts w:hint="cs"/>
          <w:rtl/>
        </w:rPr>
        <w:t xml:space="preserve">, תפלה </w:t>
      </w:r>
      <w:r>
        <w:rPr>
          <w:rtl/>
        </w:rPr>
        <w:t>מפוארה בכלי מפואר</w:t>
      </w:r>
      <w:r>
        <w:rPr>
          <w:rStyle w:val="a4"/>
          <w:rtl/>
        </w:rPr>
        <w:footnoteReference w:id="161"/>
      </w:r>
      <w:r>
        <w:rPr>
          <w:rFonts w:hint="cs"/>
          <w:rtl/>
        </w:rPr>
        <w:t>.</w:t>
      </w:r>
    </w:p>
    <w:p w14:paraId="08A7AA4C" w14:textId="77777777" w:rsidR="00940290" w:rsidRDefault="00940290" w:rsidP="00940290">
      <w:pPr>
        <w:ind w:firstLine="284"/>
        <w:rPr>
          <w:rFonts w:hint="cs"/>
          <w:rtl/>
        </w:rPr>
      </w:pPr>
      <w:r>
        <w:rPr>
          <w:rFonts w:hint="cs"/>
          <w:rtl/>
        </w:rPr>
        <w:t xml:space="preserve">לאור האמור, גם אם נקרא בדברי </w:t>
      </w:r>
      <w:r>
        <w:rPr>
          <w:rtl/>
        </w:rPr>
        <w:t>רבי שמעון חסידא</w:t>
      </w:r>
      <w:r>
        <w:rPr>
          <w:rFonts w:hint="cs"/>
          <w:rtl/>
        </w:rPr>
        <w:t xml:space="preserve"> "</w:t>
      </w:r>
      <w:r>
        <w:rPr>
          <w:rtl/>
        </w:rPr>
        <w:t>שי</w:t>
      </w:r>
      <w:r>
        <w:rPr>
          <w:rFonts w:hint="cs"/>
          <w:rtl/>
        </w:rPr>
        <w:t>ַ</w:t>
      </w:r>
      <w:r>
        <w:rPr>
          <w:rtl/>
        </w:rPr>
        <w:t>ר</w:t>
      </w:r>
      <w:r>
        <w:rPr>
          <w:rFonts w:hint="cs"/>
          <w:rtl/>
        </w:rPr>
        <w:t>ְ</w:t>
      </w:r>
      <w:r>
        <w:rPr>
          <w:rtl/>
        </w:rPr>
        <w:t>א</w:t>
      </w:r>
      <w:r>
        <w:rPr>
          <w:rFonts w:hint="cs"/>
          <w:rtl/>
        </w:rPr>
        <w:t>ֶ</w:t>
      </w:r>
      <w:r>
        <w:rPr>
          <w:rtl/>
        </w:rPr>
        <w:t>ה עצמו</w:t>
      </w:r>
      <w:r>
        <w:rPr>
          <w:rFonts w:hint="cs"/>
          <w:rtl/>
        </w:rPr>
        <w:t>"</w:t>
      </w:r>
      <w:r>
        <w:rPr>
          <w:rtl/>
        </w:rPr>
        <w:t xml:space="preserve"> </w:t>
      </w:r>
      <w:r>
        <w:rPr>
          <w:rFonts w:hint="cs"/>
          <w:rtl/>
        </w:rPr>
        <w:t>בבנין הפעיל כלפי חוץ, המטרה היא התחושה הפנימית, "</w:t>
      </w:r>
      <w:r>
        <w:rPr>
          <w:rtl/>
        </w:rPr>
        <w:t>שי</w:t>
      </w:r>
      <w:r>
        <w:rPr>
          <w:rFonts w:hint="cs"/>
          <w:rtl/>
        </w:rPr>
        <w:t>ִ</w:t>
      </w:r>
      <w:r>
        <w:rPr>
          <w:rtl/>
        </w:rPr>
        <w:t>ר</w:t>
      </w:r>
      <w:r>
        <w:rPr>
          <w:rFonts w:hint="cs"/>
          <w:rtl/>
        </w:rPr>
        <w:t>ְ</w:t>
      </w:r>
      <w:r>
        <w:rPr>
          <w:rtl/>
        </w:rPr>
        <w:t>א</w:t>
      </w:r>
      <w:r>
        <w:rPr>
          <w:rFonts w:hint="cs"/>
          <w:rtl/>
        </w:rPr>
        <w:t>ֶ</w:t>
      </w:r>
      <w:r>
        <w:rPr>
          <w:rtl/>
        </w:rPr>
        <w:t>ה</w:t>
      </w:r>
      <w:r>
        <w:rPr>
          <w:rFonts w:hint="cs"/>
          <w:rtl/>
        </w:rPr>
        <w:t>" בבנין קל</w:t>
      </w:r>
      <w:r>
        <w:rPr>
          <w:rtl/>
        </w:rPr>
        <w:t xml:space="preserve">: </w:t>
      </w:r>
      <w:r>
        <w:rPr>
          <w:rFonts w:hint="cs"/>
          <w:rtl/>
        </w:rPr>
        <w:t>"</w:t>
      </w:r>
      <w:r>
        <w:rPr>
          <w:rtl/>
        </w:rPr>
        <w:t>המתפלל צריך שי</w:t>
      </w:r>
      <w:r>
        <w:rPr>
          <w:rFonts w:hint="cs"/>
          <w:rtl/>
        </w:rPr>
        <w:t>ִ</w:t>
      </w:r>
      <w:r>
        <w:rPr>
          <w:rtl/>
        </w:rPr>
        <w:t>ר</w:t>
      </w:r>
      <w:r>
        <w:rPr>
          <w:rFonts w:hint="cs"/>
          <w:rtl/>
        </w:rPr>
        <w:t>ְ</w:t>
      </w:r>
      <w:r>
        <w:rPr>
          <w:rtl/>
        </w:rPr>
        <w:t>א</w:t>
      </w:r>
      <w:r>
        <w:rPr>
          <w:rFonts w:hint="cs"/>
          <w:rtl/>
        </w:rPr>
        <w:t>ֶ</w:t>
      </w:r>
      <w:r>
        <w:rPr>
          <w:rtl/>
        </w:rPr>
        <w:t>ה עצמו כאילו שכינה כנגדו, שנאמר</w:t>
      </w:r>
      <w:r>
        <w:rPr>
          <w:rFonts w:hint="cs"/>
          <w:rtl/>
        </w:rPr>
        <w:t>: '</w:t>
      </w:r>
      <w:r>
        <w:rPr>
          <w:rtl/>
        </w:rPr>
        <w:t>שִׁוִּיתִי ה' לְנֶגְדִּי תָמִיד</w:t>
      </w:r>
      <w:r>
        <w:rPr>
          <w:rFonts w:hint="cs"/>
          <w:rtl/>
        </w:rPr>
        <w:t xml:space="preserve">'". </w:t>
      </w:r>
    </w:p>
    <w:p w14:paraId="233CE47A" w14:textId="77777777" w:rsidR="00940290" w:rsidRDefault="00940290" w:rsidP="00940290">
      <w:pPr>
        <w:pStyle w:val="3"/>
        <w:rPr>
          <w:rFonts w:hint="cs"/>
          <w:rtl/>
        </w:rPr>
      </w:pPr>
      <w:r>
        <w:rPr>
          <w:rFonts w:hint="cs"/>
          <w:rtl/>
        </w:rPr>
        <w:t>שני "תמידים"</w:t>
      </w:r>
    </w:p>
    <w:p w14:paraId="7215DF01" w14:textId="77777777" w:rsidR="00940290" w:rsidRDefault="00940290" w:rsidP="00940290">
      <w:pPr>
        <w:ind w:firstLine="284"/>
        <w:rPr>
          <w:rFonts w:hint="cs"/>
          <w:rtl/>
        </w:rPr>
      </w:pPr>
      <w:r>
        <w:rPr>
          <w:rFonts w:hint="cs"/>
          <w:rtl/>
        </w:rPr>
        <w:t>ואם תקשה: הרי הכתוב אומר "</w:t>
      </w:r>
      <w:r>
        <w:rPr>
          <w:rtl/>
        </w:rPr>
        <w:t>תָמִיד</w:t>
      </w:r>
      <w:r>
        <w:rPr>
          <w:rFonts w:hint="cs"/>
          <w:rtl/>
        </w:rPr>
        <w:t xml:space="preserve">", ופרש </w:t>
      </w:r>
      <w:r>
        <w:rPr>
          <w:rtl/>
        </w:rPr>
        <w:t>רש"י</w:t>
      </w:r>
      <w:r>
        <w:rPr>
          <w:rFonts w:hint="cs"/>
          <w:rtl/>
        </w:rPr>
        <w:t xml:space="preserve"> </w:t>
      </w:r>
      <w:r>
        <w:rPr>
          <w:rFonts w:hint="cs"/>
          <w:sz w:val="18"/>
          <w:szCs w:val="20"/>
          <w:rtl/>
        </w:rPr>
        <w:t>בתהלים</w:t>
      </w:r>
      <w:r>
        <w:rPr>
          <w:rFonts w:hint="cs"/>
          <w:rtl/>
        </w:rPr>
        <w:t>: "</w:t>
      </w:r>
      <w:r>
        <w:rPr>
          <w:rtl/>
        </w:rPr>
        <w:t>בכל מעש</w:t>
      </w:r>
      <w:r>
        <w:rPr>
          <w:rFonts w:hint="cs"/>
          <w:rtl/>
        </w:rPr>
        <w:t>ַׂ</w:t>
      </w:r>
      <w:r>
        <w:rPr>
          <w:rtl/>
        </w:rPr>
        <w:t>י ש</w:t>
      </w:r>
      <w:r>
        <w:rPr>
          <w:rFonts w:hint="cs"/>
          <w:rtl/>
        </w:rPr>
        <w:t>ַׂ</w:t>
      </w:r>
      <w:r>
        <w:rPr>
          <w:rtl/>
        </w:rPr>
        <w:t>מתי מוראו לנגד עיני</w:t>
      </w:r>
      <w:r>
        <w:rPr>
          <w:rFonts w:hint="cs"/>
          <w:rtl/>
        </w:rPr>
        <w:t xml:space="preserve">", וכדברי </w:t>
      </w:r>
      <w:r>
        <w:rPr>
          <w:rFonts w:hint="cs"/>
          <w:sz w:val="26"/>
          <w:rtl/>
        </w:rPr>
        <w:t>הרמ"א בהגהתו הראשונה ל</w:t>
      </w:r>
      <w:r>
        <w:rPr>
          <w:rtl/>
        </w:rPr>
        <w:t>שולחן ערוך</w:t>
      </w:r>
      <w:r>
        <w:rPr>
          <w:rFonts w:hint="cs"/>
          <w:sz w:val="26"/>
          <w:rtl/>
        </w:rPr>
        <w:t xml:space="preserve"> (</w:t>
      </w:r>
      <w:r>
        <w:rPr>
          <w:rFonts w:hint="cs"/>
          <w:sz w:val="18"/>
          <w:szCs w:val="20"/>
          <w:rtl/>
        </w:rPr>
        <w:t xml:space="preserve">ע"פ </w:t>
      </w:r>
      <w:r>
        <w:rPr>
          <w:sz w:val="18"/>
          <w:szCs w:val="20"/>
          <w:rtl/>
        </w:rPr>
        <w:t>מורה הנבוכים</w:t>
      </w:r>
      <w:r>
        <w:rPr>
          <w:rFonts w:hint="cs"/>
          <w:sz w:val="18"/>
          <w:szCs w:val="20"/>
          <w:rtl/>
        </w:rPr>
        <w:t xml:space="preserve">, ג', </w:t>
      </w:r>
      <w:r>
        <w:rPr>
          <w:sz w:val="18"/>
          <w:szCs w:val="20"/>
          <w:rtl/>
        </w:rPr>
        <w:t>נ</w:t>
      </w:r>
      <w:r>
        <w:rPr>
          <w:rFonts w:hint="cs"/>
          <w:sz w:val="18"/>
          <w:szCs w:val="20"/>
          <w:rtl/>
        </w:rPr>
        <w:t>"</w:t>
      </w:r>
      <w:r>
        <w:rPr>
          <w:sz w:val="18"/>
          <w:szCs w:val="20"/>
          <w:rtl/>
        </w:rPr>
        <w:t>א</w:t>
      </w:r>
      <w:r>
        <w:rPr>
          <w:rFonts w:hint="cs"/>
          <w:sz w:val="18"/>
          <w:szCs w:val="20"/>
          <w:rtl/>
        </w:rPr>
        <w:t xml:space="preserve"> - נ"ב</w:t>
      </w:r>
      <w:r>
        <w:rPr>
          <w:rFonts w:hint="cs"/>
          <w:rtl/>
        </w:rPr>
        <w:t>) שבמהלך כל העיסוקים שהאדם עושה בכל מקום ובכל זמן עליו ל</w:t>
      </w:r>
      <w:r>
        <w:rPr>
          <w:rtl/>
        </w:rPr>
        <w:t>דע</w:t>
      </w:r>
      <w:r>
        <w:rPr>
          <w:rFonts w:hint="cs"/>
          <w:rtl/>
        </w:rPr>
        <w:t>ת</w:t>
      </w:r>
      <w:r>
        <w:rPr>
          <w:rtl/>
        </w:rPr>
        <w:t xml:space="preserve"> </w:t>
      </w:r>
      <w:r>
        <w:rPr>
          <w:rFonts w:hint="cs"/>
          <w:rtl/>
        </w:rPr>
        <w:t>"</w:t>
      </w:r>
      <w:r>
        <w:rPr>
          <w:rtl/>
        </w:rPr>
        <w:t>שהמלך הגדול הקב"ה, אשר מלא כל הארץ כבודו, עומד עליו ורואה במעשיו</w:t>
      </w:r>
      <w:r>
        <w:rPr>
          <w:rFonts w:hint="cs"/>
          <w:rtl/>
        </w:rPr>
        <w:t>"! ואם כך, כיצד למד</w:t>
      </w:r>
      <w:r>
        <w:rPr>
          <w:rtl/>
        </w:rPr>
        <w:t xml:space="preserve"> רבי שמעון חסידא</w:t>
      </w:r>
      <w:r>
        <w:rPr>
          <w:rFonts w:hint="cs"/>
          <w:rtl/>
        </w:rPr>
        <w:t xml:space="preserve"> מכתוב זה על העמידה בתפלה?! </w:t>
      </w:r>
    </w:p>
    <w:p w14:paraId="4C191C87" w14:textId="77777777" w:rsidR="00940290" w:rsidRDefault="00940290" w:rsidP="00940290">
      <w:pPr>
        <w:ind w:firstLine="284"/>
        <w:rPr>
          <w:rFonts w:hint="cs"/>
          <w:rtl/>
        </w:rPr>
      </w:pPr>
      <w:r>
        <w:rPr>
          <w:rFonts w:hint="cs"/>
          <w:rtl/>
        </w:rPr>
        <w:t>ויש לתרץ ששני פירושים לתיאור הזמן "תמיד", ו</w:t>
      </w:r>
      <w:r>
        <w:rPr>
          <w:rtl/>
        </w:rPr>
        <w:t>רבי שמעון חסידא</w:t>
      </w:r>
      <w:r>
        <w:rPr>
          <w:rFonts w:hint="cs"/>
          <w:rtl/>
        </w:rPr>
        <w:t xml:space="preserve"> דרש "</w:t>
      </w:r>
      <w:r>
        <w:rPr>
          <w:rtl/>
        </w:rPr>
        <w:t>תָמִיד</w:t>
      </w:r>
      <w:r>
        <w:rPr>
          <w:rFonts w:hint="cs"/>
          <w:rtl/>
        </w:rPr>
        <w:t xml:space="preserve">" זה במובן של התמדה וקביעות, בכל תפִלה </w:t>
      </w:r>
      <w:r>
        <w:rPr>
          <w:rFonts w:hint="cs"/>
          <w:rtl/>
        </w:rPr>
        <w:lastRenderedPageBreak/>
        <w:t>ותפלה מחָדָש</w:t>
      </w:r>
      <w:r>
        <w:rPr>
          <w:rStyle w:val="a4"/>
          <w:rtl/>
        </w:rPr>
        <w:footnoteReference w:id="162"/>
      </w:r>
      <w:r>
        <w:rPr>
          <w:rFonts w:hint="cs"/>
          <w:rtl/>
        </w:rPr>
        <w:t>, ולא במובן של רציפות תמידית והֶמשכיות ללא הפסקה</w:t>
      </w:r>
      <w:r>
        <w:rPr>
          <w:rStyle w:val="a4"/>
          <w:rtl/>
        </w:rPr>
        <w:footnoteReference w:id="163"/>
      </w:r>
      <w:r>
        <w:rPr>
          <w:rFonts w:hint="cs"/>
          <w:rtl/>
        </w:rPr>
        <w:t xml:space="preserve">. </w:t>
      </w:r>
    </w:p>
    <w:p w14:paraId="7A6847EC" w14:textId="77777777" w:rsidR="00940290" w:rsidRDefault="00940290" w:rsidP="00940290">
      <w:pPr>
        <w:pStyle w:val="3"/>
        <w:rPr>
          <w:rFonts w:hint="cs"/>
          <w:rtl/>
        </w:rPr>
      </w:pPr>
      <w:r>
        <w:rPr>
          <w:rFonts w:hint="cs"/>
          <w:rtl/>
        </w:rPr>
        <w:t>סולם העבודה</w:t>
      </w:r>
    </w:p>
    <w:p w14:paraId="0D9C239F" w14:textId="77777777" w:rsidR="00940290" w:rsidRDefault="00940290" w:rsidP="00940290">
      <w:pPr>
        <w:ind w:firstLine="284"/>
        <w:rPr>
          <w:rFonts w:hint="cs"/>
          <w:rtl/>
        </w:rPr>
      </w:pPr>
      <w:r>
        <w:rPr>
          <w:rFonts w:hint="cs"/>
          <w:rtl/>
        </w:rPr>
        <w:t>נראה כי שני פירושים אלו הם שתי רמות ביראת ה', שתי דרגות בקיום "</w:t>
      </w:r>
      <w:r>
        <w:rPr>
          <w:rtl/>
        </w:rPr>
        <w:t>שִׁוִּיתִי</w:t>
      </w:r>
      <w:r>
        <w:rPr>
          <w:rFonts w:hint="cs"/>
          <w:rtl/>
        </w:rPr>
        <w:t>"</w:t>
      </w:r>
      <w:r>
        <w:rPr>
          <w:rStyle w:val="a4"/>
          <w:rtl/>
        </w:rPr>
        <w:footnoteReference w:id="164"/>
      </w:r>
      <w:r>
        <w:rPr>
          <w:rFonts w:hint="cs"/>
          <w:rtl/>
        </w:rPr>
        <w:t xml:space="preserve">, ושתיהן באות לידי ביטוי גם בלבוש החיצוני, כפי שנבאר. </w:t>
      </w:r>
    </w:p>
    <w:p w14:paraId="3A0F3A0B" w14:textId="77777777" w:rsidR="00940290" w:rsidRDefault="00940290" w:rsidP="00940290">
      <w:pPr>
        <w:ind w:firstLine="284"/>
        <w:rPr>
          <w:rFonts w:hint="cs"/>
          <w:rtl/>
        </w:rPr>
      </w:pPr>
      <w:r>
        <w:rPr>
          <w:rFonts w:hint="cs"/>
          <w:rtl/>
        </w:rPr>
        <w:t>"</w:t>
      </w:r>
      <w:r>
        <w:rPr>
          <w:rtl/>
        </w:rPr>
        <w:t>אַתָּה יָדַעְתָּ שִׁבְתִּי וְקוּמִי</w:t>
      </w:r>
      <w:r>
        <w:rPr>
          <w:rFonts w:hint="cs"/>
          <w:rtl/>
        </w:rPr>
        <w:t>...</w:t>
      </w:r>
      <w:r>
        <w:rPr>
          <w:rtl/>
        </w:rPr>
        <w:t xml:space="preserve"> הֵן </w:t>
      </w:r>
      <w:r>
        <w:rPr>
          <w:rFonts w:hint="cs"/>
          <w:rtl/>
        </w:rPr>
        <w:t xml:space="preserve">ה' </w:t>
      </w:r>
      <w:r>
        <w:rPr>
          <w:rtl/>
        </w:rPr>
        <w:t>יָדַעְתָּ כֻלָּהּ</w:t>
      </w:r>
      <w:r>
        <w:rPr>
          <w:rFonts w:hint="cs"/>
          <w:rtl/>
        </w:rPr>
        <w:t xml:space="preserve">... </w:t>
      </w:r>
      <w:r>
        <w:rPr>
          <w:rtl/>
        </w:rPr>
        <w:t>גַּם חֹשֶׁךְ לֹא יַחְשִׁיךְ</w:t>
      </w:r>
      <w:r>
        <w:rPr>
          <w:rFonts w:hint="cs"/>
          <w:rtl/>
        </w:rPr>
        <w:t xml:space="preserve"> </w:t>
      </w:r>
      <w:r>
        <w:rPr>
          <w:rtl/>
        </w:rPr>
        <w:t>מִמֶּךָ</w:t>
      </w:r>
      <w:r>
        <w:rPr>
          <w:rFonts w:hint="cs"/>
          <w:rtl/>
        </w:rPr>
        <w:t>,</w:t>
      </w:r>
      <w:r>
        <w:rPr>
          <w:rtl/>
        </w:rPr>
        <w:t xml:space="preserve"> וְלַיְלָה כַּיּוֹם יָאִיר</w:t>
      </w:r>
      <w:r>
        <w:rPr>
          <w:rFonts w:hint="cs"/>
          <w:rtl/>
        </w:rPr>
        <w:t>,</w:t>
      </w:r>
      <w:r>
        <w:rPr>
          <w:rtl/>
        </w:rPr>
        <w:t xml:space="preserve"> כַּחֲשֵׁיכָה כָּאוֹרָה</w:t>
      </w:r>
      <w:r>
        <w:rPr>
          <w:rFonts w:hint="cs"/>
          <w:rtl/>
        </w:rPr>
        <w:t>" (</w:t>
      </w:r>
      <w:r>
        <w:rPr>
          <w:sz w:val="18"/>
          <w:szCs w:val="20"/>
          <w:rtl/>
        </w:rPr>
        <w:t>תהלים קלט</w:t>
      </w:r>
      <w:r>
        <w:rPr>
          <w:rFonts w:hint="cs"/>
          <w:sz w:val="18"/>
          <w:szCs w:val="20"/>
          <w:rtl/>
        </w:rPr>
        <w:t xml:space="preserve">, </w:t>
      </w:r>
      <w:r>
        <w:rPr>
          <w:sz w:val="18"/>
          <w:szCs w:val="20"/>
          <w:rtl/>
        </w:rPr>
        <w:t>ב</w:t>
      </w:r>
      <w:r>
        <w:rPr>
          <w:rFonts w:hint="cs"/>
          <w:sz w:val="18"/>
          <w:szCs w:val="20"/>
          <w:rtl/>
        </w:rPr>
        <w:t>-יב</w:t>
      </w:r>
      <w:r>
        <w:rPr>
          <w:rtl/>
        </w:rPr>
        <w:t>)</w:t>
      </w:r>
      <w:r>
        <w:rPr>
          <w:rFonts w:hint="cs"/>
          <w:rtl/>
        </w:rPr>
        <w:t xml:space="preserve">. הידיעה שכבודו של ה' מלא עולם, ושכל אדם נמצא בכל רגע נוכח פני ה', </w:t>
      </w:r>
      <w:r>
        <w:rPr>
          <w:rFonts w:hint="cs"/>
          <w:rtl/>
        </w:rPr>
        <w:lastRenderedPageBreak/>
        <w:t>יכולה לגרום להרגשות שונות: רוגע ושלווה, אושר ושמחה, פחד ויראָה, ועוד. האם ישנם השלכות מעשיות לידיעה זו? מעֶבֶר לזהירות לשמור כל מצוות ה' גם בחדרי חדרים, אין ההלכה מחייבת להתנהג או להתלבש כמצופה ממי שנמצא בנוכחות מלך העולם, דהיינו לכל הפחות באופן היאה והראוי למי שנמצא בנוכחות מלך בשר ודם.</w:t>
      </w:r>
    </w:p>
    <w:p w14:paraId="75328312" w14:textId="77777777" w:rsidR="00940290" w:rsidRDefault="00940290" w:rsidP="00940290">
      <w:pPr>
        <w:ind w:firstLine="284"/>
        <w:rPr>
          <w:rFonts w:hint="cs"/>
          <w:rtl/>
        </w:rPr>
      </w:pPr>
      <w:r>
        <w:rPr>
          <w:rFonts w:hint="cs"/>
          <w:rtl/>
        </w:rPr>
        <w:t>רק הצדיקים הטהורים והקדושים שעומדים לפני ה' תמיד</w:t>
      </w:r>
      <w:r>
        <w:rPr>
          <w:rStyle w:val="a4"/>
          <w:rtl/>
        </w:rPr>
        <w:footnoteReference w:id="165"/>
      </w:r>
      <w:r>
        <w:rPr>
          <w:rFonts w:hint="cs"/>
          <w:rtl/>
        </w:rPr>
        <w:t xml:space="preserve"> ומסוגלים לשים מחשבתם בה' בכל מעשיהם, להם ראויה מידת חסידות להיות לבוש תמיד בצורה מכובדת בהתאם</w:t>
      </w:r>
      <w:r>
        <w:rPr>
          <w:rtl/>
        </w:rPr>
        <w:t xml:space="preserve"> </w:t>
      </w:r>
      <w:r>
        <w:rPr>
          <w:rFonts w:hint="cs"/>
          <w:rtl/>
        </w:rPr>
        <w:t>למחשבתם הנעלָה, ובהתאם לשכינה השורה עליהם</w:t>
      </w:r>
      <w:r>
        <w:rPr>
          <w:rStyle w:val="a4"/>
          <w:rtl/>
        </w:rPr>
        <w:footnoteReference w:id="166"/>
      </w:r>
      <w:r>
        <w:rPr>
          <w:rFonts w:hint="cs"/>
          <w:rtl/>
        </w:rPr>
        <w:t xml:space="preserve">, וכך השתבח רבי יוסי בהנהגתו הטובה שלא לגַלות </w:t>
      </w:r>
      <w:r>
        <w:rPr>
          <w:rFonts w:hint="cs"/>
          <w:sz w:val="24"/>
          <w:rtl/>
        </w:rPr>
        <w:t>גופו גם בעת פשיטת הבגדים ולבישתם (</w:t>
      </w:r>
      <w:r>
        <w:rPr>
          <w:rFonts w:hint="cs"/>
          <w:sz w:val="18"/>
          <w:szCs w:val="20"/>
          <w:rtl/>
        </w:rPr>
        <w:t>ראה להלן קיח, ב</w:t>
      </w:r>
      <w:r>
        <w:rPr>
          <w:rFonts w:hint="cs"/>
          <w:rtl/>
        </w:rPr>
        <w:t>).</w:t>
      </w:r>
    </w:p>
    <w:p w14:paraId="2DDB49E5" w14:textId="77777777" w:rsidR="00940290" w:rsidRDefault="00940290" w:rsidP="00940290">
      <w:pPr>
        <w:ind w:firstLine="284"/>
        <w:rPr>
          <w:rFonts w:hint="cs"/>
          <w:rtl/>
        </w:rPr>
      </w:pPr>
      <w:r>
        <w:rPr>
          <w:rFonts w:hint="cs"/>
          <w:rtl/>
        </w:rPr>
        <w:t xml:space="preserve">אך שאר בני אדם, אשר טרם הגיעו לדרגה עליונה זו של תחושת נוכחות ה', אינם צריכים לשוות לעצמם חזות חיצונית של מי שעומדים לפני ה', אלא ילבשו בדרך כלל בגדים </w:t>
      </w:r>
      <w:r>
        <w:rPr>
          <w:rtl/>
        </w:rPr>
        <w:t>נא</w:t>
      </w:r>
      <w:r>
        <w:rPr>
          <w:rFonts w:hint="cs"/>
          <w:rtl/>
        </w:rPr>
        <w:t>ים</w:t>
      </w:r>
      <w:r>
        <w:rPr>
          <w:rtl/>
        </w:rPr>
        <w:t xml:space="preserve"> ונקי</w:t>
      </w:r>
      <w:r>
        <w:rPr>
          <w:rFonts w:hint="cs"/>
          <w:rtl/>
        </w:rPr>
        <w:t xml:space="preserve">ים מכל </w:t>
      </w:r>
      <w:r>
        <w:rPr>
          <w:rtl/>
        </w:rPr>
        <w:t>כ</w:t>
      </w:r>
      <w:r>
        <w:rPr>
          <w:rFonts w:hint="cs"/>
          <w:rtl/>
        </w:rPr>
        <w:t>ֶּ</w:t>
      </w:r>
      <w:r>
        <w:rPr>
          <w:rtl/>
        </w:rPr>
        <w:t>תם</w:t>
      </w:r>
      <w:r>
        <w:rPr>
          <w:rFonts w:hint="cs"/>
          <w:rtl/>
        </w:rPr>
        <w:t xml:space="preserve"> "</w:t>
      </w:r>
      <w:r>
        <w:rPr>
          <w:rtl/>
        </w:rPr>
        <w:t>לא מלבוש מלכים</w:t>
      </w:r>
      <w:r>
        <w:rPr>
          <w:rFonts w:hint="cs"/>
          <w:rtl/>
        </w:rPr>
        <w:t xml:space="preserve">, </w:t>
      </w:r>
      <w:r>
        <w:rPr>
          <w:rtl/>
        </w:rPr>
        <w:t>ולא מלבוש עניים</w:t>
      </w:r>
      <w:r>
        <w:rPr>
          <w:rFonts w:hint="cs"/>
          <w:rtl/>
        </w:rPr>
        <w:t xml:space="preserve">, </w:t>
      </w:r>
      <w:r>
        <w:rPr>
          <w:rtl/>
        </w:rPr>
        <w:t>אלא בגדים בינוניים נאים"</w:t>
      </w:r>
      <w:r>
        <w:rPr>
          <w:rFonts w:hint="cs"/>
          <w:rtl/>
        </w:rPr>
        <w:t>, וכשיש צורך - גם פחות מזה</w:t>
      </w:r>
      <w:r>
        <w:rPr>
          <w:rStyle w:val="a4"/>
          <w:rtl/>
        </w:rPr>
        <w:footnoteReference w:id="167"/>
      </w:r>
      <w:r>
        <w:rPr>
          <w:rFonts w:hint="cs"/>
          <w:rtl/>
        </w:rPr>
        <w:t xml:space="preserve">. אך בשעה שמתעלה כל </w:t>
      </w:r>
      <w:r>
        <w:rPr>
          <w:rFonts w:hint="cs"/>
          <w:rtl/>
        </w:rPr>
        <w:lastRenderedPageBreak/>
        <w:t>אדם מעסקי החולין של העולם הזה ועוסק בקודש, יש לְעַלּות גם את המעטה החיצוני, וכאן יש כמה שלבים</w:t>
      </w:r>
      <w:r>
        <w:rPr>
          <w:rStyle w:val="a4"/>
          <w:rtl/>
        </w:rPr>
        <w:footnoteReference w:id="168"/>
      </w:r>
      <w:r>
        <w:rPr>
          <w:rFonts w:hint="cs"/>
          <w:rtl/>
        </w:rPr>
        <w:t>.</w:t>
      </w:r>
    </w:p>
    <w:p w14:paraId="50AE8F83" w14:textId="77777777" w:rsidR="00940290" w:rsidRDefault="00940290" w:rsidP="00940290">
      <w:pPr>
        <w:ind w:firstLine="284"/>
        <w:rPr>
          <w:rFonts w:hint="cs"/>
          <w:rtl/>
        </w:rPr>
      </w:pPr>
      <w:r>
        <w:rPr>
          <w:rFonts w:hint="cs"/>
          <w:rtl/>
        </w:rPr>
        <w:lastRenderedPageBreak/>
        <w:t xml:space="preserve">שנינו במסכת ברכות </w:t>
      </w:r>
      <w:r>
        <w:rPr>
          <w:rFonts w:hint="cs"/>
          <w:sz w:val="18"/>
          <w:szCs w:val="20"/>
          <w:rtl/>
        </w:rPr>
        <w:t>פ"ג מ"ה</w:t>
      </w:r>
      <w:r>
        <w:rPr>
          <w:rFonts w:hint="cs"/>
          <w:rtl/>
        </w:rPr>
        <w:t xml:space="preserve"> כי מי שמוציא מפיו דברי קדושה (</w:t>
      </w:r>
      <w:r>
        <w:rPr>
          <w:rFonts w:hint="cs"/>
          <w:sz w:val="18"/>
          <w:szCs w:val="20"/>
          <w:rtl/>
        </w:rPr>
        <w:t>כגון הקורא קריאת שמע או המברך</w:t>
      </w:r>
      <w:r>
        <w:rPr>
          <w:rFonts w:hint="cs"/>
          <w:rtl/>
        </w:rPr>
        <w:t xml:space="preserve">) חייב לכסות ערוותו. דין זה נלמד להלן </w:t>
      </w:r>
      <w:r>
        <w:rPr>
          <w:rFonts w:hint="cs"/>
          <w:sz w:val="18"/>
          <w:szCs w:val="20"/>
          <w:rtl/>
        </w:rPr>
        <w:t>כג, א</w:t>
      </w:r>
      <w:r>
        <w:rPr>
          <w:rFonts w:hint="cs"/>
          <w:rtl/>
        </w:rPr>
        <w:t xml:space="preserve"> מן הכתוב "וְהָיָה מַחֲנֶיךָ קָדוֹשׁ" (</w:t>
      </w:r>
      <w:r>
        <w:rPr>
          <w:rFonts w:hint="cs"/>
          <w:sz w:val="18"/>
          <w:szCs w:val="20"/>
          <w:rtl/>
        </w:rPr>
        <w:t>דברים כג, טו</w:t>
      </w:r>
      <w:r>
        <w:rPr>
          <w:rFonts w:hint="cs"/>
          <w:rtl/>
        </w:rPr>
        <w:t xml:space="preserve">). </w:t>
      </w:r>
    </w:p>
    <w:p w14:paraId="53C46CB4" w14:textId="77777777" w:rsidR="00940290" w:rsidRDefault="00940290" w:rsidP="00940290">
      <w:pPr>
        <w:ind w:firstLine="284"/>
        <w:rPr>
          <w:rFonts w:hint="cs"/>
          <w:rtl/>
        </w:rPr>
      </w:pPr>
      <w:r>
        <w:rPr>
          <w:rFonts w:hint="cs"/>
          <w:rtl/>
        </w:rPr>
        <w:t>לקראת תפלת עמידה צריך כל אדם, מלבד כיסוי ערוותו, להתהדר ולהתנאות עוד יותר ולהתלבש כדרך שרגילים במקומו לעמוד בפני אנשים חשובים (</w:t>
      </w:r>
      <w:r>
        <w:rPr>
          <w:sz w:val="18"/>
          <w:szCs w:val="20"/>
          <w:rtl/>
        </w:rPr>
        <w:t>ש</w:t>
      </w:r>
      <w:r>
        <w:rPr>
          <w:rFonts w:hint="cs"/>
          <w:sz w:val="18"/>
          <w:szCs w:val="20"/>
          <w:rtl/>
        </w:rPr>
        <w:t>ו"ע</w:t>
      </w:r>
      <w:r>
        <w:rPr>
          <w:sz w:val="18"/>
          <w:szCs w:val="20"/>
          <w:rtl/>
        </w:rPr>
        <w:t xml:space="preserve"> </w:t>
      </w:r>
      <w:r>
        <w:rPr>
          <w:rFonts w:hint="cs"/>
          <w:sz w:val="18"/>
          <w:szCs w:val="20"/>
          <w:rtl/>
        </w:rPr>
        <w:t>סימן צא, ה</w:t>
      </w:r>
      <w:r>
        <w:rPr>
          <w:rFonts w:hint="cs"/>
          <w:rtl/>
        </w:rPr>
        <w:t>). כלומר, בתפילת עמידה חייב כל אדם במה שמחויבים הצדיקים הקדושים תמיד: לראות את עצמו ולהראות את עצמו כאילו שכינה כנגדו. מעבר לחיוב זה, ראוי לכל אדם לשאוף להתקדם ולעלות מעלה בעבודת הבורא לפי כוחו</w:t>
      </w:r>
      <w:r>
        <w:rPr>
          <w:rStyle w:val="a4"/>
          <w:rtl/>
        </w:rPr>
        <w:footnoteReference w:id="169"/>
      </w:r>
      <w:r>
        <w:rPr>
          <w:rFonts w:hint="cs"/>
          <w:rtl/>
        </w:rPr>
        <w:t>.</w:t>
      </w:r>
    </w:p>
    <w:p w14:paraId="318B269C" w14:textId="77777777" w:rsidR="00940290" w:rsidRDefault="00940290" w:rsidP="00940290">
      <w:pPr>
        <w:ind w:firstLine="284"/>
        <w:rPr>
          <w:rFonts w:hint="cs"/>
          <w:rtl/>
        </w:rPr>
      </w:pPr>
      <w:r>
        <w:rPr>
          <w:rFonts w:hint="cs"/>
          <w:rtl/>
        </w:rPr>
        <w:t>גם בעבודת בית המקדש שב"הר יראה" מצינו שהביגוד מותאם לעבודה שבה עוסקים, כפי שרואים מלבישת בגדי זהב ובגדי לבן חליפוֹת ע"י הכהן הגדול ביום הכיפורים (</w:t>
      </w:r>
      <w:r>
        <w:rPr>
          <w:sz w:val="18"/>
          <w:szCs w:val="20"/>
          <w:rtl/>
        </w:rPr>
        <w:t>ויקרא טז</w:t>
      </w:r>
      <w:r>
        <w:rPr>
          <w:rFonts w:hint="cs"/>
          <w:sz w:val="18"/>
          <w:szCs w:val="20"/>
          <w:rtl/>
        </w:rPr>
        <w:t xml:space="preserve">, </w:t>
      </w:r>
      <w:r>
        <w:rPr>
          <w:sz w:val="18"/>
          <w:szCs w:val="20"/>
          <w:rtl/>
        </w:rPr>
        <w:t>כג</w:t>
      </w:r>
      <w:r>
        <w:rPr>
          <w:rFonts w:hint="cs"/>
          <w:sz w:val="18"/>
          <w:szCs w:val="20"/>
          <w:rtl/>
        </w:rPr>
        <w:t>-כד</w:t>
      </w:r>
      <w:r>
        <w:rPr>
          <w:rFonts w:hint="cs"/>
          <w:rtl/>
        </w:rPr>
        <w:t xml:space="preserve">), וכך מוצאים אצל שאר הכהנים שצריכים לפחות שתי מערכות בגדי כהונה: מעין </w:t>
      </w:r>
      <w:r>
        <w:rPr>
          <w:rFonts w:hint="cs"/>
          <w:rtl/>
        </w:rPr>
        <w:lastRenderedPageBreak/>
        <w:t xml:space="preserve">"מדי א'" ייצוגיים עבור העבודות המכובדות יותר, ו"מדי ב'" לעבודות "שחורות" (כגון ההתעסקות עם אֵפר המזבח </w:t>
      </w:r>
      <w:r>
        <w:rPr>
          <w:rFonts w:hint="cs"/>
          <w:sz w:val="18"/>
          <w:szCs w:val="20"/>
          <w:rtl/>
        </w:rPr>
        <w:t>כמובא להלן</w:t>
      </w:r>
      <w:r>
        <w:rPr>
          <w:rFonts w:hint="cs"/>
          <w:rtl/>
        </w:rPr>
        <w:t>).</w:t>
      </w:r>
    </w:p>
    <w:p w14:paraId="4254F3C2" w14:textId="77777777" w:rsidR="00940290" w:rsidRDefault="00940290" w:rsidP="00940290">
      <w:pPr>
        <w:ind w:firstLine="284"/>
        <w:rPr>
          <w:rFonts w:hint="cs"/>
          <w:rtl/>
        </w:rPr>
      </w:pPr>
      <w:r>
        <w:rPr>
          <w:rFonts w:hint="cs"/>
          <w:rtl/>
        </w:rPr>
        <w:t>@אפשר לתרף בע"א:</w:t>
      </w:r>
    </w:p>
    <w:p w14:paraId="50181F16" w14:textId="77777777" w:rsidR="00940290" w:rsidRDefault="00940290" w:rsidP="00940290">
      <w:pPr>
        <w:ind w:firstLine="284"/>
        <w:rPr>
          <w:rFonts w:hint="cs"/>
          <w:rtl/>
        </w:rPr>
      </w:pPr>
      <w:r>
        <w:rPr>
          <w:rFonts w:hint="cs"/>
          <w:rtl/>
        </w:rPr>
        <w:t>שעת התפילה היא תחנת התדלוק של תובנת שויתי, ומכוחה ממשיך האדם לחיי החולין ו"מקדשם" במחשבה זו.</w:t>
      </w:r>
    </w:p>
    <w:p w14:paraId="486D5F04" w14:textId="77777777" w:rsidR="00940290" w:rsidRDefault="00940290" w:rsidP="00940290">
      <w:pPr>
        <w:ind w:firstLine="284"/>
        <w:rPr>
          <w:rFonts w:hint="cs"/>
          <w:rtl/>
        </w:rPr>
      </w:pPr>
      <w:r>
        <w:rPr>
          <w:rFonts w:hint="cs"/>
          <w:rtl/>
        </w:rPr>
        <w:t>ועוד י"ל: בתפילה מַראה כלפי חוץ, ובשאר היום אינו מחצין השפה זו, אך יש לראות א"ע תמיד כאילו שכינה כנגדו.</w:t>
      </w:r>
    </w:p>
    <w:p w14:paraId="26E2F5FF" w14:textId="77777777" w:rsidR="00940290" w:rsidRDefault="00940290" w:rsidP="00940290">
      <w:pPr>
        <w:pStyle w:val="3"/>
        <w:rPr>
          <w:rFonts w:hint="cs"/>
          <w:rtl/>
        </w:rPr>
      </w:pPr>
      <w:r>
        <w:rPr>
          <w:rtl/>
        </w:rPr>
        <w:t>מנא הני מילי</w:t>
      </w:r>
      <w:r>
        <w:rPr>
          <w:rFonts w:hint="cs"/>
          <w:rtl/>
        </w:rPr>
        <w:t>?</w:t>
      </w:r>
    </w:p>
    <w:p w14:paraId="6C03ED6F" w14:textId="77777777" w:rsidR="00940290" w:rsidRDefault="00940290" w:rsidP="00940290">
      <w:pPr>
        <w:rPr>
          <w:rFonts w:hint="cs"/>
          <w:rtl/>
        </w:rPr>
      </w:pPr>
      <w:r>
        <w:rPr>
          <w:rFonts w:hint="cs"/>
          <w:rtl/>
        </w:rPr>
        <w:t xml:space="preserve">את הדין המחייב כל אדם להתלבש במיוחד לכבוד תפלת העמידה הסמיכו חז"ל כדרכם בקודש על התורה שבכתב. דבר זה רמוז בתורה, שנוי בנביאים ומשולש בכתובים: </w:t>
      </w:r>
    </w:p>
    <w:p w14:paraId="6DB8A532" w14:textId="77777777" w:rsidR="00940290" w:rsidRDefault="00940290" w:rsidP="00940290">
      <w:pPr>
        <w:ind w:firstLine="284"/>
        <w:rPr>
          <w:rFonts w:hint="cs"/>
          <w:rtl/>
        </w:rPr>
      </w:pPr>
      <w:r>
        <w:rPr>
          <w:rFonts w:hint="cs"/>
          <w:b/>
          <w:bCs/>
          <w:rtl/>
        </w:rPr>
        <w:t>א.</w:t>
      </w:r>
      <w:r>
        <w:rPr>
          <w:rFonts w:hint="cs"/>
          <w:rtl/>
        </w:rPr>
        <w:t xml:space="preserve"> בסוגייתנו למדו זאת חז"ל מן הכתוב בנביא: "</w:t>
      </w:r>
      <w:r>
        <w:rPr>
          <w:rtl/>
        </w:rPr>
        <w:t>הִכּוֹן לִקְרַאת אֱלֹהֶיךָ</w:t>
      </w:r>
      <w:r>
        <w:rPr>
          <w:rFonts w:hint="cs"/>
          <w:rtl/>
        </w:rPr>
        <w:t>,</w:t>
      </w:r>
      <w:r>
        <w:rPr>
          <w:rtl/>
        </w:rPr>
        <w:t xml:space="preserve"> יִשְׂרָאֵל</w:t>
      </w:r>
      <w:r>
        <w:rPr>
          <w:rFonts w:hint="cs"/>
          <w:rtl/>
        </w:rPr>
        <w:t>" (</w:t>
      </w:r>
      <w:r>
        <w:rPr>
          <w:rtl/>
        </w:rPr>
        <w:t xml:space="preserve">עמוס </w:t>
      </w:r>
      <w:r>
        <w:rPr>
          <w:sz w:val="18"/>
          <w:szCs w:val="20"/>
          <w:rtl/>
        </w:rPr>
        <w:t>ד</w:t>
      </w:r>
      <w:r>
        <w:rPr>
          <w:rFonts w:hint="cs"/>
          <w:sz w:val="18"/>
          <w:szCs w:val="20"/>
          <w:rtl/>
        </w:rPr>
        <w:t xml:space="preserve">, </w:t>
      </w:r>
      <w:r>
        <w:rPr>
          <w:sz w:val="18"/>
          <w:szCs w:val="20"/>
          <w:rtl/>
        </w:rPr>
        <w:t>יב</w:t>
      </w:r>
      <w:r>
        <w:rPr>
          <w:rFonts w:hint="cs"/>
          <w:sz w:val="26"/>
          <w:rtl/>
        </w:rPr>
        <w:t>)</w:t>
      </w:r>
      <w:r>
        <w:rPr>
          <w:rFonts w:hint="cs"/>
          <w:rtl/>
        </w:rPr>
        <w:t xml:space="preserve">, ופרש </w:t>
      </w:r>
      <w:r>
        <w:rPr>
          <w:rtl/>
        </w:rPr>
        <w:t>רש"י</w:t>
      </w:r>
      <w:r>
        <w:rPr>
          <w:rFonts w:hint="cs"/>
          <w:rtl/>
        </w:rPr>
        <w:t>:</w:t>
      </w:r>
      <w:r>
        <w:rPr>
          <w:rtl/>
        </w:rPr>
        <w:t xml:space="preserve"> </w:t>
      </w:r>
      <w:r>
        <w:rPr>
          <w:rFonts w:hint="cs"/>
          <w:rtl/>
        </w:rPr>
        <w:t>"</w:t>
      </w:r>
      <w:r>
        <w:rPr>
          <w:rtl/>
        </w:rPr>
        <w:t>ה</w:t>
      </w:r>
      <w:r>
        <w:rPr>
          <w:rFonts w:hint="cs"/>
          <w:rtl/>
        </w:rPr>
        <w:t>ִ</w:t>
      </w:r>
      <w:r>
        <w:rPr>
          <w:rtl/>
        </w:rPr>
        <w:t>ת</w:t>
      </w:r>
      <w:r>
        <w:rPr>
          <w:rFonts w:hint="cs"/>
          <w:rtl/>
        </w:rPr>
        <w:t>ְ</w:t>
      </w:r>
      <w:r>
        <w:rPr>
          <w:rtl/>
        </w:rPr>
        <w:t>נ</w:t>
      </w:r>
      <w:r>
        <w:rPr>
          <w:rFonts w:hint="cs"/>
          <w:rtl/>
        </w:rPr>
        <w:t>ָ</w:t>
      </w:r>
      <w:r>
        <w:rPr>
          <w:rtl/>
        </w:rPr>
        <w:t>א</w:t>
      </w:r>
      <w:r>
        <w:rPr>
          <w:rFonts w:hint="cs"/>
          <w:rtl/>
        </w:rPr>
        <w:t>ֶ</w:t>
      </w:r>
      <w:r>
        <w:rPr>
          <w:rtl/>
        </w:rPr>
        <w:t>ה לפניו</w:t>
      </w:r>
      <w:r>
        <w:rPr>
          <w:rFonts w:hint="cs"/>
          <w:rtl/>
        </w:rPr>
        <w:t>!"</w:t>
      </w:r>
      <w:r>
        <w:rPr>
          <w:rStyle w:val="a4"/>
          <w:rtl/>
        </w:rPr>
        <w:footnoteReference w:id="170"/>
      </w:r>
      <w:r>
        <w:rPr>
          <w:rFonts w:hint="cs"/>
          <w:rtl/>
        </w:rPr>
        <w:t xml:space="preserve">. </w:t>
      </w:r>
    </w:p>
    <w:p w14:paraId="5FA66254" w14:textId="77777777" w:rsidR="00940290" w:rsidRDefault="00940290" w:rsidP="00940290">
      <w:pPr>
        <w:ind w:firstLine="284"/>
        <w:rPr>
          <w:rFonts w:hint="cs"/>
          <w:rtl/>
        </w:rPr>
      </w:pPr>
      <w:r>
        <w:rPr>
          <w:rFonts w:hint="cs"/>
          <w:rtl/>
        </w:rPr>
        <w:t xml:space="preserve">שתי דרשות נוספות לדין זה: </w:t>
      </w:r>
    </w:p>
    <w:p w14:paraId="0D171167" w14:textId="77777777" w:rsidR="00940290" w:rsidRDefault="00940290" w:rsidP="00940290">
      <w:pPr>
        <w:ind w:firstLine="284"/>
        <w:rPr>
          <w:rFonts w:hint="cs"/>
          <w:rtl/>
        </w:rPr>
      </w:pPr>
      <w:r>
        <w:rPr>
          <w:rFonts w:hint="cs"/>
          <w:b/>
          <w:bCs/>
          <w:rtl/>
        </w:rPr>
        <w:t>ב.</w:t>
      </w:r>
      <w:r>
        <w:rPr>
          <w:rFonts w:hint="cs"/>
          <w:rtl/>
        </w:rPr>
        <w:t xml:space="preserve"> להלן </w:t>
      </w:r>
      <w:r>
        <w:rPr>
          <w:rFonts w:hint="cs"/>
          <w:sz w:val="18"/>
          <w:szCs w:val="20"/>
          <w:rtl/>
        </w:rPr>
        <w:t>ב</w:t>
      </w:r>
      <w:r>
        <w:rPr>
          <w:sz w:val="18"/>
          <w:szCs w:val="20"/>
          <w:rtl/>
        </w:rPr>
        <w:t>דף קיד</w:t>
      </w:r>
      <w:r>
        <w:rPr>
          <w:rFonts w:hint="cs"/>
          <w:sz w:val="18"/>
          <w:szCs w:val="20"/>
          <w:rtl/>
        </w:rPr>
        <w:t xml:space="preserve">, </w:t>
      </w:r>
      <w:r>
        <w:rPr>
          <w:sz w:val="18"/>
          <w:szCs w:val="20"/>
          <w:rtl/>
        </w:rPr>
        <w:t xml:space="preserve">א </w:t>
      </w:r>
      <w:r>
        <w:rPr>
          <w:rFonts w:hint="cs"/>
          <w:rtl/>
        </w:rPr>
        <w:t>מובא לימוד זה</w:t>
      </w:r>
      <w:r>
        <w:rPr>
          <w:rStyle w:val="a4"/>
          <w:rtl/>
        </w:rPr>
        <w:footnoteReference w:id="171"/>
      </w:r>
      <w:r>
        <w:rPr>
          <w:rFonts w:hint="cs"/>
          <w:rtl/>
        </w:rPr>
        <w:t>:</w:t>
      </w:r>
    </w:p>
    <w:p w14:paraId="49034A93" w14:textId="77777777" w:rsidR="00940290" w:rsidRDefault="00940290" w:rsidP="00940290">
      <w:pPr>
        <w:pStyle w:val="a7"/>
        <w:rPr>
          <w:rFonts w:hint="cs"/>
          <w:rtl/>
        </w:rPr>
      </w:pPr>
      <w:r>
        <w:rPr>
          <w:rFonts w:hint="cs"/>
          <w:rtl/>
        </w:rPr>
        <w:t>"</w:t>
      </w:r>
      <w:r>
        <w:rPr>
          <w:rtl/>
        </w:rPr>
        <w:t>אמר רבי אחא בר אבא אמר רבי יוחנן: מניין לש</w:t>
      </w:r>
      <w:r>
        <w:rPr>
          <w:rFonts w:hint="cs"/>
          <w:rtl/>
        </w:rPr>
        <w:t>ִׁ</w:t>
      </w:r>
      <w:r>
        <w:rPr>
          <w:rtl/>
        </w:rPr>
        <w:t>נוי בגדים מן התורה</w:t>
      </w:r>
      <w:r>
        <w:rPr>
          <w:rFonts w:hint="cs"/>
          <w:rtl/>
        </w:rPr>
        <w:t xml:space="preserve"> [</w:t>
      </w:r>
      <w:r>
        <w:rPr>
          <w:sz w:val="18"/>
          <w:szCs w:val="20"/>
          <w:rtl/>
        </w:rPr>
        <w:t>רש"י</w:t>
      </w:r>
      <w:r>
        <w:rPr>
          <w:rFonts w:hint="cs"/>
          <w:sz w:val="18"/>
          <w:szCs w:val="20"/>
          <w:rtl/>
        </w:rPr>
        <w:t xml:space="preserve">: </w:t>
      </w:r>
      <w:r>
        <w:rPr>
          <w:sz w:val="18"/>
          <w:szCs w:val="20"/>
          <w:rtl/>
        </w:rPr>
        <w:t>שהוא דרך כבוד לפני המקום</w:t>
      </w:r>
      <w:r>
        <w:rPr>
          <w:rFonts w:hint="cs"/>
          <w:rtl/>
        </w:rPr>
        <w:t>]</w:t>
      </w:r>
      <w:r>
        <w:rPr>
          <w:rtl/>
        </w:rPr>
        <w:t xml:space="preserve">, </w:t>
      </w:r>
      <w:r>
        <w:rPr>
          <w:rtl/>
        </w:rPr>
        <w:lastRenderedPageBreak/>
        <w:t>שנאמר</w:t>
      </w:r>
      <w:r>
        <w:rPr>
          <w:rFonts w:hint="cs"/>
          <w:rtl/>
        </w:rPr>
        <w:t xml:space="preserve"> (</w:t>
      </w:r>
      <w:r>
        <w:rPr>
          <w:sz w:val="18"/>
          <w:szCs w:val="20"/>
          <w:rtl/>
        </w:rPr>
        <w:t>ויקרא ו</w:t>
      </w:r>
      <w:r>
        <w:rPr>
          <w:rFonts w:hint="cs"/>
          <w:sz w:val="18"/>
          <w:szCs w:val="20"/>
          <w:rtl/>
        </w:rPr>
        <w:t xml:space="preserve">, </w:t>
      </w:r>
      <w:r>
        <w:rPr>
          <w:sz w:val="18"/>
          <w:szCs w:val="20"/>
          <w:rtl/>
        </w:rPr>
        <w:t>ד</w:t>
      </w:r>
      <w:r>
        <w:rPr>
          <w:rFonts w:hint="cs"/>
          <w:rtl/>
        </w:rPr>
        <w:t xml:space="preserve">): </w:t>
      </w:r>
      <w:r>
        <w:rPr>
          <w:rtl/>
        </w:rPr>
        <w:t>וּפָשַׁט אֶת</w:t>
      </w:r>
      <w:r>
        <w:rPr>
          <w:rFonts w:hint="cs"/>
          <w:rtl/>
        </w:rPr>
        <w:t xml:space="preserve"> </w:t>
      </w:r>
      <w:r>
        <w:rPr>
          <w:rtl/>
        </w:rPr>
        <w:t xml:space="preserve">בְּגָדָיו וְלָבַשׁ בְּגָדִים אֲחֵרִים </w:t>
      </w:r>
      <w:r>
        <w:rPr>
          <w:rFonts w:hint="cs"/>
          <w:rtl/>
        </w:rPr>
        <w:t>[</w:t>
      </w:r>
      <w:r>
        <w:rPr>
          <w:sz w:val="18"/>
          <w:szCs w:val="20"/>
          <w:rtl/>
        </w:rPr>
        <w:t>וְהוֹצִיא אֶת הַדֶּשֶׁן אֶל מִחוּץ לַמַּחֲנֶה</w:t>
      </w:r>
      <w:r>
        <w:rPr>
          <w:rFonts w:hint="cs"/>
          <w:sz w:val="18"/>
          <w:szCs w:val="20"/>
          <w:rtl/>
        </w:rPr>
        <w:t xml:space="preserve"> - "</w:t>
      </w:r>
      <w:r>
        <w:rPr>
          <w:sz w:val="18"/>
          <w:szCs w:val="20"/>
          <w:rtl/>
        </w:rPr>
        <w:t>הזקיקו הכתוב ללבוש בגדים פחותים בשעת הוצאת הדשן שאינה עבודה חשובה, כדי שלא ימאסו בגדיו החשובים שעובד בהן עבודת אכילה ושתיה, כגון קיטור וניסוך</w:t>
      </w:r>
      <w:r>
        <w:rPr>
          <w:rFonts w:hint="cs"/>
          <w:sz w:val="18"/>
          <w:szCs w:val="20"/>
          <w:rtl/>
        </w:rPr>
        <w:t>"</w:t>
      </w:r>
      <w:r>
        <w:rPr>
          <w:rFonts w:hint="cs"/>
          <w:rtl/>
        </w:rPr>
        <w:t>],</w:t>
      </w:r>
      <w:r>
        <w:rPr>
          <w:rtl/>
        </w:rPr>
        <w:t xml:space="preserve"> ותנא דבי רבי ישמעאל: לימדך תורה דרך ארץ</w:t>
      </w:r>
      <w:r>
        <w:rPr>
          <w:rStyle w:val="a4"/>
          <w:rtl/>
        </w:rPr>
        <w:footnoteReference w:id="172"/>
      </w:r>
      <w:r>
        <w:rPr>
          <w:rFonts w:hint="cs"/>
          <w:rtl/>
        </w:rPr>
        <w:t xml:space="preserve">: </w:t>
      </w:r>
      <w:r>
        <w:rPr>
          <w:rtl/>
        </w:rPr>
        <w:t xml:space="preserve">בגדים שבישל בהן קדירה לרבו </w:t>
      </w:r>
      <w:r>
        <w:rPr>
          <w:rFonts w:hint="cs"/>
          <w:rtl/>
        </w:rPr>
        <w:t>[</w:t>
      </w:r>
      <w:r>
        <w:rPr>
          <w:sz w:val="18"/>
          <w:szCs w:val="20"/>
          <w:rtl/>
        </w:rPr>
        <w:t>דומיא דהוצאת הדשן</w:t>
      </w:r>
      <w:r>
        <w:rPr>
          <w:rFonts w:hint="cs"/>
          <w:rtl/>
        </w:rPr>
        <w:t xml:space="preserve">] </w:t>
      </w:r>
      <w:r>
        <w:rPr>
          <w:rtl/>
        </w:rPr>
        <w:t>- אל ימזוג בהן כוס לרבו</w:t>
      </w:r>
      <w:r>
        <w:rPr>
          <w:rFonts w:hint="cs"/>
          <w:rtl/>
        </w:rPr>
        <w:t xml:space="preserve"> [</w:t>
      </w:r>
      <w:r>
        <w:rPr>
          <w:sz w:val="18"/>
          <w:szCs w:val="20"/>
          <w:rtl/>
        </w:rPr>
        <w:t>לפיכך הוזקק ללבוש בגדים פחותים</w:t>
      </w:r>
      <w:r>
        <w:rPr>
          <w:rFonts w:hint="cs"/>
          <w:rtl/>
        </w:rPr>
        <w:t>]"</w:t>
      </w:r>
      <w:r>
        <w:rPr>
          <w:rtl/>
        </w:rPr>
        <w:t>.</w:t>
      </w:r>
    </w:p>
    <w:p w14:paraId="1E50BF0C" w14:textId="77777777" w:rsidR="00940290" w:rsidRDefault="00940290" w:rsidP="00940290">
      <w:pPr>
        <w:ind w:firstLine="284"/>
        <w:rPr>
          <w:rFonts w:hint="cs"/>
          <w:rtl/>
        </w:rPr>
      </w:pPr>
      <w:r>
        <w:rPr>
          <w:rFonts w:hint="cs"/>
          <w:b/>
          <w:bCs/>
          <w:rtl/>
        </w:rPr>
        <w:lastRenderedPageBreak/>
        <w:t>ג.</w:t>
      </w:r>
      <w:r>
        <w:rPr>
          <w:rFonts w:hint="cs"/>
          <w:rtl/>
        </w:rPr>
        <w:t xml:space="preserve"> במסכת ברכות </w:t>
      </w:r>
      <w:r>
        <w:rPr>
          <w:sz w:val="18"/>
          <w:szCs w:val="20"/>
          <w:rtl/>
        </w:rPr>
        <w:t>ל</w:t>
      </w:r>
      <w:r>
        <w:rPr>
          <w:rFonts w:hint="cs"/>
          <w:sz w:val="18"/>
          <w:szCs w:val="20"/>
          <w:rtl/>
        </w:rPr>
        <w:t xml:space="preserve">, </w:t>
      </w:r>
      <w:r>
        <w:rPr>
          <w:sz w:val="18"/>
          <w:szCs w:val="20"/>
          <w:rtl/>
        </w:rPr>
        <w:t>ב</w:t>
      </w:r>
      <w:r>
        <w:rPr>
          <w:rFonts w:hint="cs"/>
          <w:rtl/>
        </w:rPr>
        <w:t xml:space="preserve"> נלמדה החובה ל</w:t>
      </w:r>
      <w:r>
        <w:rPr>
          <w:rtl/>
        </w:rPr>
        <w:t>התנא</w:t>
      </w:r>
      <w:r>
        <w:rPr>
          <w:rFonts w:hint="cs"/>
          <w:rtl/>
        </w:rPr>
        <w:t>ות</w:t>
      </w:r>
      <w:r>
        <w:rPr>
          <w:rtl/>
        </w:rPr>
        <w:t xml:space="preserve"> </w:t>
      </w:r>
      <w:r>
        <w:rPr>
          <w:rFonts w:hint="cs"/>
          <w:rtl/>
        </w:rPr>
        <w:t>ולהתקשט לקראת התפִלה מפסוק מן הכתובים</w:t>
      </w:r>
      <w:r>
        <w:rPr>
          <w:rStyle w:val="a4"/>
          <w:rtl/>
        </w:rPr>
        <w:footnoteReference w:id="173"/>
      </w:r>
      <w:r>
        <w:rPr>
          <w:rFonts w:hint="cs"/>
          <w:rtl/>
        </w:rPr>
        <w:t xml:space="preserve">: </w:t>
      </w:r>
    </w:p>
    <w:p w14:paraId="1ABDFA71" w14:textId="77777777" w:rsidR="00940290" w:rsidRDefault="00940290" w:rsidP="00940290">
      <w:pPr>
        <w:pStyle w:val="a7"/>
        <w:rPr>
          <w:rFonts w:hint="cs"/>
          <w:rtl/>
        </w:rPr>
      </w:pPr>
      <w:r>
        <w:rPr>
          <w:rFonts w:hint="cs"/>
          <w:rtl/>
        </w:rPr>
        <w:t>"</w:t>
      </w:r>
      <w:r>
        <w:rPr>
          <w:rtl/>
        </w:rPr>
        <w:t>הִשְׁתַּחֲווּ לַ</w:t>
      </w:r>
      <w:r>
        <w:rPr>
          <w:rFonts w:hint="cs"/>
          <w:rtl/>
        </w:rPr>
        <w:t xml:space="preserve">ה' </w:t>
      </w:r>
      <w:r>
        <w:rPr>
          <w:rtl/>
        </w:rPr>
        <w:t>בְּהַדְרַת קֹדֶשׁ</w:t>
      </w:r>
      <w:r>
        <w:rPr>
          <w:rFonts w:hint="cs"/>
          <w:rtl/>
        </w:rPr>
        <w:t>" - "</w:t>
      </w:r>
      <w:r>
        <w:rPr>
          <w:rtl/>
        </w:rPr>
        <w:t>הַדְרַת ממש</w:t>
      </w:r>
      <w:r>
        <w:rPr>
          <w:rStyle w:val="a4"/>
          <w:rtl/>
        </w:rPr>
        <w:footnoteReference w:id="174"/>
      </w:r>
      <w:r>
        <w:rPr>
          <w:rtl/>
        </w:rPr>
        <w:t>, כי הא דרב יהודה הוה מציין נפשיה</w:t>
      </w:r>
      <w:r>
        <w:rPr>
          <w:rFonts w:hint="cs"/>
          <w:rtl/>
        </w:rPr>
        <w:t xml:space="preserve"> [</w:t>
      </w:r>
      <w:r>
        <w:rPr>
          <w:rFonts w:hint="cs"/>
          <w:sz w:val="18"/>
          <w:szCs w:val="20"/>
          <w:rtl/>
        </w:rPr>
        <w:t>היה "</w:t>
      </w:r>
      <w:r>
        <w:rPr>
          <w:sz w:val="18"/>
          <w:szCs w:val="20"/>
          <w:rtl/>
        </w:rPr>
        <w:t>מקש</w:t>
      </w:r>
      <w:r>
        <w:rPr>
          <w:rFonts w:hint="cs"/>
          <w:sz w:val="18"/>
          <w:szCs w:val="20"/>
          <w:rtl/>
        </w:rPr>
        <w:t>ֵ</w:t>
      </w:r>
      <w:r>
        <w:rPr>
          <w:sz w:val="18"/>
          <w:szCs w:val="20"/>
          <w:rtl/>
        </w:rPr>
        <w:t>ט עצמו בבגדיו</w:t>
      </w:r>
      <w:r>
        <w:rPr>
          <w:rFonts w:hint="cs"/>
          <w:sz w:val="18"/>
          <w:szCs w:val="20"/>
          <w:rtl/>
        </w:rPr>
        <w:t>";</w:t>
      </w:r>
      <w:r>
        <w:rPr>
          <w:sz w:val="18"/>
          <w:szCs w:val="20"/>
          <w:rtl/>
        </w:rPr>
        <w:t xml:space="preserve"> רש"י</w:t>
      </w:r>
      <w:r>
        <w:rPr>
          <w:rFonts w:hint="cs"/>
          <w:rtl/>
        </w:rPr>
        <w:t>]</w:t>
      </w:r>
      <w:r>
        <w:rPr>
          <w:rtl/>
        </w:rPr>
        <w:t xml:space="preserve"> והדר מ</w:t>
      </w:r>
      <w:r>
        <w:rPr>
          <w:rFonts w:hint="cs"/>
          <w:rtl/>
        </w:rPr>
        <w:t>ְ</w:t>
      </w:r>
      <w:r>
        <w:rPr>
          <w:rtl/>
        </w:rPr>
        <w:t>צ</w:t>
      </w:r>
      <w:r>
        <w:rPr>
          <w:rFonts w:hint="cs"/>
          <w:rtl/>
        </w:rPr>
        <w:t>ַ</w:t>
      </w:r>
      <w:r>
        <w:rPr>
          <w:rtl/>
        </w:rPr>
        <w:t>ל</w:t>
      </w:r>
      <w:r>
        <w:rPr>
          <w:rFonts w:hint="cs"/>
          <w:rtl/>
        </w:rPr>
        <w:t>ֵּ</w:t>
      </w:r>
      <w:r>
        <w:rPr>
          <w:rtl/>
        </w:rPr>
        <w:t>י</w:t>
      </w:r>
      <w:r>
        <w:rPr>
          <w:rFonts w:hint="cs"/>
          <w:rtl/>
        </w:rPr>
        <w:t xml:space="preserve"> [</w:t>
      </w:r>
      <w:r>
        <w:rPr>
          <w:rFonts w:hint="cs"/>
          <w:sz w:val="18"/>
          <w:szCs w:val="20"/>
          <w:rtl/>
        </w:rPr>
        <w:t>ואחַר מתפלל</w:t>
      </w:r>
      <w:r>
        <w:rPr>
          <w:rFonts w:hint="cs"/>
          <w:rtl/>
        </w:rPr>
        <w:t>]"</w:t>
      </w:r>
      <w:r>
        <w:rPr>
          <w:rtl/>
        </w:rPr>
        <w:t>.</w:t>
      </w:r>
      <w:r>
        <w:rPr>
          <w:rFonts w:hint="cs"/>
          <w:rtl/>
        </w:rPr>
        <w:t xml:space="preserve"> </w:t>
      </w:r>
    </w:p>
    <w:p w14:paraId="053D74AE" w14:textId="77777777" w:rsidR="00940290" w:rsidRDefault="00940290" w:rsidP="00940290">
      <w:pPr>
        <w:ind w:firstLine="284"/>
        <w:rPr>
          <w:rFonts w:hint="cs"/>
          <w:rtl/>
        </w:rPr>
      </w:pPr>
      <w:r>
        <w:rPr>
          <w:rFonts w:hint="cs"/>
          <w:rtl/>
        </w:rPr>
        <w:t>כל שלושת הדרשות הוזכרו בי"ד החזקה של הרמב"ם</w:t>
      </w:r>
      <w:r>
        <w:rPr>
          <w:rStyle w:val="a4"/>
          <w:rtl/>
        </w:rPr>
        <w:footnoteReference w:id="175"/>
      </w:r>
      <w:r>
        <w:rPr>
          <w:rFonts w:hint="cs"/>
          <w:rtl/>
        </w:rPr>
        <w:t>: בפרק ד' שם ציין את הכתוב "</w:t>
      </w:r>
      <w:r>
        <w:rPr>
          <w:rtl/>
        </w:rPr>
        <w:t>הִכּוֹן</w:t>
      </w:r>
      <w:r>
        <w:rPr>
          <w:rFonts w:hint="cs"/>
          <w:rtl/>
        </w:rPr>
        <w:t>" בעניין הטהרה הנצרכת לתפִלה (</w:t>
      </w:r>
      <w:r>
        <w:rPr>
          <w:rFonts w:hint="cs"/>
          <w:sz w:val="18"/>
          <w:szCs w:val="20"/>
          <w:rtl/>
        </w:rPr>
        <w:t>הלכה ו'</w:t>
      </w:r>
      <w:r>
        <w:rPr>
          <w:rFonts w:hint="cs"/>
          <w:rtl/>
        </w:rPr>
        <w:t>), ובפרק ה' (</w:t>
      </w:r>
      <w:r>
        <w:rPr>
          <w:rFonts w:hint="cs"/>
          <w:sz w:val="18"/>
          <w:szCs w:val="20"/>
          <w:rtl/>
        </w:rPr>
        <w:t>הלכה ה'</w:t>
      </w:r>
      <w:r>
        <w:rPr>
          <w:rFonts w:hint="cs"/>
          <w:rtl/>
        </w:rPr>
        <w:t>) כתב: "</w:t>
      </w:r>
      <w:r>
        <w:rPr>
          <w:rtl/>
        </w:rPr>
        <w:t>ת</w:t>
      </w:r>
      <w:r>
        <w:rPr>
          <w:rFonts w:hint="cs"/>
          <w:rtl/>
        </w:rPr>
        <w:t>ִ</w:t>
      </w:r>
      <w:r>
        <w:rPr>
          <w:rtl/>
        </w:rPr>
        <w:t>קון המלבוש כיצד</w:t>
      </w:r>
      <w:r>
        <w:rPr>
          <w:rFonts w:hint="cs"/>
          <w:rtl/>
        </w:rPr>
        <w:t>:</w:t>
      </w:r>
      <w:r>
        <w:rPr>
          <w:rtl/>
        </w:rPr>
        <w:t xml:space="preserve"> מתקן מלבושיו תח</w:t>
      </w:r>
      <w:r>
        <w:rPr>
          <w:rFonts w:hint="cs"/>
          <w:rtl/>
        </w:rPr>
        <w:t>ִ</w:t>
      </w:r>
      <w:r>
        <w:rPr>
          <w:rtl/>
        </w:rPr>
        <w:t>לה ומציין עצמו ומהד</w:t>
      </w:r>
      <w:r>
        <w:rPr>
          <w:rFonts w:hint="cs"/>
          <w:rtl/>
        </w:rPr>
        <w:t>ֵ</w:t>
      </w:r>
      <w:r>
        <w:rPr>
          <w:rtl/>
        </w:rPr>
        <w:t>ר</w:t>
      </w:r>
      <w:r>
        <w:rPr>
          <w:rStyle w:val="a4"/>
          <w:rtl/>
        </w:rPr>
        <w:footnoteReference w:id="176"/>
      </w:r>
      <w:r>
        <w:rPr>
          <w:rFonts w:hint="cs"/>
          <w:rtl/>
        </w:rPr>
        <w:t>,</w:t>
      </w:r>
      <w:r>
        <w:rPr>
          <w:rtl/>
        </w:rPr>
        <w:t xml:space="preserve"> שנאמר הִשְׁתַּחֲווּ לַ</w:t>
      </w:r>
      <w:r>
        <w:rPr>
          <w:rFonts w:hint="cs"/>
          <w:rtl/>
        </w:rPr>
        <w:t xml:space="preserve">ה' </w:t>
      </w:r>
      <w:r>
        <w:rPr>
          <w:rtl/>
        </w:rPr>
        <w:t>בְּהַדְרַת קֹדֶשׁ</w:t>
      </w:r>
      <w:r>
        <w:rPr>
          <w:rFonts w:hint="cs"/>
          <w:rtl/>
        </w:rPr>
        <w:t xml:space="preserve">... </w:t>
      </w:r>
      <w:r>
        <w:rPr>
          <w:rtl/>
        </w:rPr>
        <w:lastRenderedPageBreak/>
        <w:t>דרך כל החכמים ותלמידיהם שלא יתפללו אלא כשהן עטופים</w:t>
      </w:r>
      <w:r>
        <w:rPr>
          <w:rFonts w:hint="cs"/>
          <w:rtl/>
        </w:rPr>
        <w:t>"</w:t>
      </w:r>
      <w:r>
        <w:rPr>
          <w:rtl/>
        </w:rPr>
        <w:t xml:space="preserve">. </w:t>
      </w:r>
      <w:r>
        <w:rPr>
          <w:rFonts w:hint="cs"/>
          <w:rtl/>
        </w:rPr>
        <w:t>וב</w:t>
      </w:r>
      <w:r>
        <w:rPr>
          <w:rtl/>
        </w:rPr>
        <w:t xml:space="preserve">הלכות תמידין ומוספין </w:t>
      </w:r>
      <w:r>
        <w:rPr>
          <w:sz w:val="18"/>
          <w:szCs w:val="20"/>
          <w:rtl/>
        </w:rPr>
        <w:t>פ</w:t>
      </w:r>
      <w:r>
        <w:rPr>
          <w:rFonts w:hint="cs"/>
          <w:sz w:val="18"/>
          <w:szCs w:val="20"/>
          <w:rtl/>
        </w:rPr>
        <w:t>"</w:t>
      </w:r>
      <w:r>
        <w:rPr>
          <w:sz w:val="18"/>
          <w:szCs w:val="20"/>
          <w:rtl/>
        </w:rPr>
        <w:t>ב ה</w:t>
      </w:r>
      <w:r>
        <w:rPr>
          <w:rFonts w:hint="cs"/>
          <w:sz w:val="18"/>
          <w:szCs w:val="20"/>
          <w:rtl/>
        </w:rPr>
        <w:t>"</w:t>
      </w:r>
      <w:r>
        <w:rPr>
          <w:sz w:val="18"/>
          <w:szCs w:val="20"/>
          <w:rtl/>
        </w:rPr>
        <w:t>י</w:t>
      </w:r>
      <w:r>
        <w:rPr>
          <w:rtl/>
        </w:rPr>
        <w:t xml:space="preserve"> </w:t>
      </w:r>
      <w:r>
        <w:rPr>
          <w:rFonts w:hint="cs"/>
          <w:rtl/>
        </w:rPr>
        <w:t>מובאת דרשתו של ר' יוחנן, אך רק בעניין עבודת המקדש ולא לגבי עבודת התפִלה:</w:t>
      </w:r>
    </w:p>
    <w:p w14:paraId="21B1F075" w14:textId="77777777" w:rsidR="00940290" w:rsidRDefault="00940290" w:rsidP="00940290">
      <w:pPr>
        <w:pStyle w:val="a7"/>
        <w:rPr>
          <w:rtl/>
        </w:rPr>
      </w:pPr>
      <w:r>
        <w:rPr>
          <w:rFonts w:hint="cs"/>
          <w:rtl/>
        </w:rPr>
        <w:t>"</w:t>
      </w:r>
      <w:r>
        <w:rPr>
          <w:rtl/>
        </w:rPr>
        <w:t>הרמת הדשן מעל המזבח בכל יום מצות עשה</w:t>
      </w:r>
      <w:r>
        <w:rPr>
          <w:rFonts w:hint="cs"/>
          <w:rtl/>
        </w:rPr>
        <w:t>,</w:t>
      </w:r>
      <w:r>
        <w:rPr>
          <w:rtl/>
        </w:rPr>
        <w:t xml:space="preserve"> שנאמר</w:t>
      </w:r>
      <w:r>
        <w:rPr>
          <w:rFonts w:hint="cs"/>
          <w:rtl/>
        </w:rPr>
        <w:t xml:space="preserve"> (</w:t>
      </w:r>
      <w:r>
        <w:rPr>
          <w:sz w:val="18"/>
          <w:szCs w:val="20"/>
          <w:rtl/>
        </w:rPr>
        <w:t>ויקרא ו</w:t>
      </w:r>
      <w:r>
        <w:rPr>
          <w:rFonts w:hint="cs"/>
          <w:sz w:val="18"/>
          <w:szCs w:val="20"/>
          <w:rtl/>
        </w:rPr>
        <w:t>, ג</w:t>
      </w:r>
      <w:r>
        <w:rPr>
          <w:rFonts w:hint="cs"/>
          <w:rtl/>
        </w:rPr>
        <w:t xml:space="preserve">): </w:t>
      </w:r>
      <w:r>
        <w:rPr>
          <w:sz w:val="26"/>
          <w:rtl/>
        </w:rPr>
        <w:t>וְהֵרִים אֶת הַדֶּשֶׁן</w:t>
      </w:r>
      <w:r>
        <w:rPr>
          <w:rFonts w:hint="cs"/>
          <w:sz w:val="26"/>
          <w:rtl/>
        </w:rPr>
        <w:t xml:space="preserve"> [</w:t>
      </w:r>
      <w:r>
        <w:rPr>
          <w:sz w:val="18"/>
          <w:szCs w:val="20"/>
          <w:rtl/>
        </w:rPr>
        <w:t>אֲשֶׁר תֹּאכַל הָאֵשׁ אֶת הָעֹלָה עַל הַמִּזְבֵּחַ</w:t>
      </w:r>
      <w:r>
        <w:rPr>
          <w:rFonts w:hint="cs"/>
          <w:sz w:val="18"/>
          <w:szCs w:val="20"/>
          <w:rtl/>
        </w:rPr>
        <w:t>,</w:t>
      </w:r>
      <w:r>
        <w:rPr>
          <w:sz w:val="18"/>
          <w:szCs w:val="20"/>
          <w:rtl/>
        </w:rPr>
        <w:t xml:space="preserve"> וְשָׂמוֹ אֵצֶל הַמִּזְבֵּחַ</w:t>
      </w:r>
      <w:r>
        <w:rPr>
          <w:rFonts w:hint="cs"/>
          <w:rtl/>
        </w:rPr>
        <w:t xml:space="preserve">]... </w:t>
      </w:r>
      <w:r>
        <w:rPr>
          <w:rtl/>
        </w:rPr>
        <w:t>ובגדי כהונה שתורם בהן הדשן יהיו פחותין מן הבגדים שמשמש בהם בשאר עבודות</w:t>
      </w:r>
      <w:r>
        <w:rPr>
          <w:rFonts w:hint="cs"/>
          <w:rtl/>
        </w:rPr>
        <w:t>,</w:t>
      </w:r>
      <w:r>
        <w:rPr>
          <w:rtl/>
        </w:rPr>
        <w:t xml:space="preserve"> שנאמר</w:t>
      </w:r>
      <w:r>
        <w:rPr>
          <w:rFonts w:hint="cs"/>
          <w:rtl/>
        </w:rPr>
        <w:t xml:space="preserve"> (</w:t>
      </w:r>
      <w:r>
        <w:rPr>
          <w:sz w:val="18"/>
          <w:szCs w:val="20"/>
          <w:rtl/>
        </w:rPr>
        <w:t>ויקרא ו</w:t>
      </w:r>
      <w:r>
        <w:rPr>
          <w:rFonts w:hint="cs"/>
          <w:sz w:val="18"/>
          <w:szCs w:val="20"/>
          <w:rtl/>
        </w:rPr>
        <w:t xml:space="preserve">, </w:t>
      </w:r>
      <w:r>
        <w:rPr>
          <w:sz w:val="18"/>
          <w:szCs w:val="20"/>
          <w:rtl/>
        </w:rPr>
        <w:t>ד</w:t>
      </w:r>
      <w:r>
        <w:rPr>
          <w:rFonts w:hint="cs"/>
          <w:rtl/>
        </w:rPr>
        <w:t xml:space="preserve">): </w:t>
      </w:r>
      <w:r>
        <w:rPr>
          <w:rtl/>
        </w:rPr>
        <w:t>וּפָשַׁט אֶת</w:t>
      </w:r>
      <w:r>
        <w:rPr>
          <w:rFonts w:hint="cs"/>
          <w:rtl/>
        </w:rPr>
        <w:t xml:space="preserve"> </w:t>
      </w:r>
      <w:r>
        <w:rPr>
          <w:rtl/>
        </w:rPr>
        <w:t xml:space="preserve">בְּגָדָיו וְלָבַשׁ בְּגָדִים אֲחֵרִים </w:t>
      </w:r>
      <w:r>
        <w:rPr>
          <w:sz w:val="26"/>
          <w:rtl/>
        </w:rPr>
        <w:t>והֵרים</w:t>
      </w:r>
      <w:r>
        <w:rPr>
          <w:rStyle w:val="a4"/>
          <w:rtl/>
        </w:rPr>
        <w:footnoteReference w:id="177"/>
      </w:r>
      <w:r>
        <w:rPr>
          <w:sz w:val="26"/>
          <w:rtl/>
        </w:rPr>
        <w:t xml:space="preserve"> אֶת הַדֶּשֶׁן</w:t>
      </w:r>
      <w:r>
        <w:rPr>
          <w:rtl/>
        </w:rPr>
        <w:t xml:space="preserve">, </w:t>
      </w:r>
      <w:r>
        <w:rPr>
          <w:b/>
          <w:bCs/>
          <w:rtl/>
        </w:rPr>
        <w:t>אינו אומר אֲחֵרִים שיהיו בגדי חול אלא שיהיו פחותין מן הראשונים</w:t>
      </w:r>
      <w:r>
        <w:rPr>
          <w:rFonts w:hint="cs"/>
          <w:rtl/>
        </w:rPr>
        <w:t xml:space="preserve">; </w:t>
      </w:r>
      <w:r>
        <w:rPr>
          <w:rtl/>
        </w:rPr>
        <w:t>לפי שאינו דרך ארץ שימזוג כוס לרבו בבגדים שבישל בהם קדרה לרבו</w:t>
      </w:r>
      <w:r>
        <w:rPr>
          <w:rFonts w:hint="cs"/>
          <w:rtl/>
        </w:rPr>
        <w:t>"</w:t>
      </w:r>
      <w:r>
        <w:rPr>
          <w:rtl/>
        </w:rPr>
        <w:t xml:space="preserve">. </w:t>
      </w:r>
    </w:p>
    <w:p w14:paraId="426289A7" w14:textId="77777777" w:rsidR="00940290" w:rsidRDefault="00940290" w:rsidP="00940290">
      <w:pPr>
        <w:ind w:firstLine="284"/>
        <w:rPr>
          <w:rFonts w:hint="cs"/>
          <w:rtl/>
        </w:rPr>
      </w:pPr>
      <w:r>
        <w:rPr>
          <w:rFonts w:hint="cs"/>
          <w:rtl/>
        </w:rPr>
        <w:t>אמנם, כמה מרבותינו האחרונים הביאו דרשה זו גם בענין תפלה.</w:t>
      </w:r>
    </w:p>
    <w:p w14:paraId="59479AA4" w14:textId="77777777" w:rsidR="00940290" w:rsidRDefault="00940290" w:rsidP="00940290">
      <w:pPr>
        <w:ind w:firstLine="284"/>
        <w:rPr>
          <w:rFonts w:hint="cs"/>
          <w:rtl/>
        </w:rPr>
      </w:pPr>
      <w:r>
        <w:rPr>
          <w:rFonts w:hint="cs"/>
          <w:rtl/>
        </w:rPr>
        <w:t>לסיכום, תכלית ההֲכָנָה לתפִלה במעשים חיצוניים היא לשפֵּר את הכַּוָּנָה בתפִלה. "</w:t>
      </w:r>
      <w:r>
        <w:rPr>
          <w:rtl/>
        </w:rPr>
        <w:t>הִכּוֹן לִקְרַאת אֱלֹהֶיךָ</w:t>
      </w:r>
      <w:r>
        <w:rPr>
          <w:rFonts w:hint="cs"/>
          <w:rtl/>
        </w:rPr>
        <w:t>,</w:t>
      </w:r>
      <w:r>
        <w:rPr>
          <w:rtl/>
        </w:rPr>
        <w:t xml:space="preserve"> יִשְׂרָאֵל</w:t>
      </w:r>
      <w:r>
        <w:rPr>
          <w:rFonts w:hint="cs"/>
          <w:rtl/>
        </w:rPr>
        <w:t>" ועל ידי זה תוכל להעפיל לרמה גבוהה של "</w:t>
      </w:r>
      <w:r>
        <w:rPr>
          <w:rtl/>
        </w:rPr>
        <w:t>שִׁוִּיתִי ה' לְנֶגְדִּי תָמִיד</w:t>
      </w:r>
      <w:r>
        <w:rPr>
          <w:rFonts w:hint="cs"/>
          <w:rtl/>
        </w:rPr>
        <w:t>"</w:t>
      </w:r>
      <w:r>
        <w:rPr>
          <w:rStyle w:val="a4"/>
          <w:rtl/>
        </w:rPr>
        <w:footnoteReference w:id="178"/>
      </w:r>
      <w:r>
        <w:rPr>
          <w:rFonts w:hint="cs"/>
          <w:rtl/>
        </w:rPr>
        <w:t>.</w:t>
      </w:r>
    </w:p>
    <w:p w14:paraId="2B0470A7" w14:textId="77777777" w:rsidR="00940290" w:rsidRDefault="00940290" w:rsidP="00940290">
      <w:pPr>
        <w:ind w:firstLine="284"/>
        <w:rPr>
          <w:rFonts w:hint="cs"/>
          <w:rtl/>
        </w:rPr>
      </w:pPr>
      <w:r>
        <w:rPr>
          <w:rFonts w:hint="cs"/>
          <w:rtl/>
        </w:rPr>
        <w:t>נחתום בדברי בעל הרוקח ב</w:t>
      </w:r>
      <w:r>
        <w:rPr>
          <w:rtl/>
        </w:rPr>
        <w:t>פירוש</w:t>
      </w:r>
      <w:r>
        <w:rPr>
          <w:rFonts w:hint="cs"/>
          <w:rtl/>
        </w:rPr>
        <w:t>ו</w:t>
      </w:r>
      <w:r>
        <w:rPr>
          <w:rtl/>
        </w:rPr>
        <w:t xml:space="preserve"> </w:t>
      </w:r>
      <w:r>
        <w:rPr>
          <w:rFonts w:hint="cs"/>
          <w:rtl/>
        </w:rPr>
        <w:t>ל</w:t>
      </w:r>
      <w:r>
        <w:rPr>
          <w:rtl/>
        </w:rPr>
        <w:t xml:space="preserve">סידור התפילה </w:t>
      </w:r>
      <w:r>
        <w:rPr>
          <w:rFonts w:hint="cs"/>
          <w:rtl/>
        </w:rPr>
        <w:t>(</w:t>
      </w:r>
      <w:r>
        <w:rPr>
          <w:sz w:val="18"/>
          <w:szCs w:val="20"/>
          <w:rtl/>
        </w:rPr>
        <w:t>עמ</w:t>
      </w:r>
      <w:r>
        <w:rPr>
          <w:rFonts w:hint="cs"/>
          <w:sz w:val="18"/>
          <w:szCs w:val="20"/>
          <w:rtl/>
        </w:rPr>
        <w:t xml:space="preserve">' </w:t>
      </w:r>
      <w:r>
        <w:rPr>
          <w:sz w:val="18"/>
          <w:szCs w:val="20"/>
          <w:rtl/>
        </w:rPr>
        <w:t>שט</w:t>
      </w:r>
      <w:r>
        <w:rPr>
          <w:rFonts w:hint="cs"/>
          <w:sz w:val="18"/>
          <w:szCs w:val="20"/>
          <w:rtl/>
        </w:rPr>
        <w:t>"</w:t>
      </w:r>
      <w:r>
        <w:rPr>
          <w:sz w:val="18"/>
          <w:szCs w:val="20"/>
          <w:rtl/>
        </w:rPr>
        <w:t>ו</w:t>
      </w:r>
      <w:r>
        <w:rPr>
          <w:rFonts w:hint="cs"/>
          <w:rtl/>
        </w:rPr>
        <w:t xml:space="preserve">): </w:t>
      </w:r>
    </w:p>
    <w:p w14:paraId="64627FCC" w14:textId="77777777" w:rsidR="00940290" w:rsidRDefault="00940290" w:rsidP="00940290">
      <w:pPr>
        <w:ind w:left="1238"/>
        <w:rPr>
          <w:rFonts w:hint="cs"/>
          <w:rtl/>
        </w:rPr>
      </w:pPr>
      <w:r>
        <w:rPr>
          <w:rFonts w:hint="cs"/>
          <w:rtl/>
        </w:rPr>
        <w:t>"</w:t>
      </w:r>
      <w:r>
        <w:rPr>
          <w:rtl/>
        </w:rPr>
        <w:t>יכוין בתפילתו כי המלך הגדול עומד כנגדו, ולכך אומר</w:t>
      </w:r>
      <w:r>
        <w:rPr>
          <w:rFonts w:hint="cs"/>
          <w:rtl/>
        </w:rPr>
        <w:t>:</w:t>
      </w:r>
      <w:r>
        <w:rPr>
          <w:rtl/>
        </w:rPr>
        <w:t xml:space="preserve"> ברוך</w:t>
      </w:r>
      <w:r>
        <w:rPr>
          <w:rFonts w:hint="cs"/>
          <w:rtl/>
        </w:rPr>
        <w:t xml:space="preserve"> </w:t>
      </w:r>
      <w:r>
        <w:rPr>
          <w:rtl/>
        </w:rPr>
        <w:t>אתה ה'</w:t>
      </w:r>
      <w:r>
        <w:rPr>
          <w:rFonts w:hint="cs"/>
          <w:rtl/>
        </w:rPr>
        <w:t>..</w:t>
      </w:r>
      <w:r>
        <w:rPr>
          <w:rtl/>
        </w:rPr>
        <w:t xml:space="preserve">. ועיקר נסיון האדם בכל יום היא </w:t>
      </w:r>
      <w:r>
        <w:rPr>
          <w:rtl/>
        </w:rPr>
        <w:lastRenderedPageBreak/>
        <w:t>כוונת תפילה, שמדבר למקום פה אל פה</w:t>
      </w:r>
      <w:r>
        <w:rPr>
          <w:rFonts w:hint="cs"/>
          <w:rtl/>
        </w:rPr>
        <w:t xml:space="preserve">. </w:t>
      </w:r>
      <w:r>
        <w:rPr>
          <w:rtl/>
        </w:rPr>
        <w:t>על כן יכוין הירא את דבר ה'</w:t>
      </w:r>
      <w:r>
        <w:rPr>
          <w:rFonts w:hint="cs"/>
          <w:rtl/>
        </w:rPr>
        <w:t>"</w:t>
      </w:r>
      <w:r>
        <w:rPr>
          <w:rtl/>
        </w:rPr>
        <w:t>.</w:t>
      </w:r>
    </w:p>
    <w:p w14:paraId="31CD99BD" w14:textId="77777777" w:rsidR="00940290" w:rsidRPr="00940290" w:rsidRDefault="00940290" w:rsidP="00940290">
      <w:pPr>
        <w:rPr>
          <w:rFonts w:hint="cs"/>
          <w:rtl/>
        </w:rPr>
      </w:pPr>
    </w:p>
    <w:p w14:paraId="378FBF54" w14:textId="77777777" w:rsidR="00940290" w:rsidRDefault="00940290" w:rsidP="00940290">
      <w:pPr>
        <w:pStyle w:val="1"/>
        <w:rPr>
          <w:rFonts w:hint="cs"/>
          <w:rtl/>
        </w:rPr>
      </w:pPr>
      <w:r>
        <w:rPr>
          <w:rFonts w:hint="cs"/>
          <w:rtl/>
        </w:rPr>
        <w:t>דף י, א: "</w:t>
      </w:r>
      <w:r>
        <w:rPr>
          <w:rtl/>
        </w:rPr>
        <w:t>רמי פוזמקי</w:t>
      </w:r>
      <w:r>
        <w:rPr>
          <w:rFonts w:hint="cs"/>
          <w:rtl/>
        </w:rPr>
        <w:t>"</w:t>
      </w:r>
    </w:p>
    <w:p w14:paraId="20ABC0ED" w14:textId="77777777" w:rsidR="00940290" w:rsidRDefault="00940290" w:rsidP="00940290">
      <w:pPr>
        <w:pStyle w:val="2"/>
        <w:rPr>
          <w:rFonts w:hint="cs"/>
          <w:rtl/>
        </w:rPr>
      </w:pPr>
      <w:r>
        <w:rPr>
          <w:rFonts w:hint="cs"/>
          <w:rtl/>
        </w:rPr>
        <w:t xml:space="preserve">פוזמק - נַעל או גֶרב? </w:t>
      </w:r>
    </w:p>
    <w:p w14:paraId="7814FB8B" w14:textId="77777777" w:rsidR="00940290" w:rsidRDefault="00940290" w:rsidP="00940290">
      <w:pPr>
        <w:ind w:firstLine="284"/>
        <w:rPr>
          <w:rFonts w:hint="cs"/>
          <w:rtl/>
        </w:rPr>
      </w:pPr>
      <w:r>
        <w:rPr>
          <w:rFonts w:hint="cs"/>
          <w:rtl/>
        </w:rPr>
        <w:t>לאחר שהביא התלמוד את הכתוב "</w:t>
      </w:r>
      <w:r>
        <w:rPr>
          <w:rtl/>
        </w:rPr>
        <w:t>הִכּוֹן לִקְרַאת אֱלֹהֶיךָ</w:t>
      </w:r>
      <w:r>
        <w:rPr>
          <w:rFonts w:hint="cs"/>
          <w:rtl/>
        </w:rPr>
        <w:t>" כמקור לכך שיש ל</w:t>
      </w:r>
      <w:r>
        <w:rPr>
          <w:rtl/>
        </w:rPr>
        <w:t>הת</w:t>
      </w:r>
      <w:r>
        <w:rPr>
          <w:rFonts w:hint="cs"/>
          <w:rtl/>
        </w:rPr>
        <w:t>כונן לקראת התפילה בהכנת הלבוש, מובאים שלושה "מעשי רב"@</w:t>
      </w:r>
      <w:r>
        <w:rPr>
          <w:rStyle w:val="a4"/>
          <w:rtl/>
        </w:rPr>
        <w:footnoteReference w:id="179"/>
      </w:r>
      <w:r>
        <w:rPr>
          <w:rFonts w:hint="cs"/>
          <w:rtl/>
        </w:rPr>
        <w:t xml:space="preserve"> בענין </w:t>
      </w:r>
      <w:r>
        <w:rPr>
          <w:rtl/>
        </w:rPr>
        <w:t>ת</w:t>
      </w:r>
      <w:r>
        <w:rPr>
          <w:rFonts w:hint="cs"/>
          <w:rtl/>
        </w:rPr>
        <w:t>ִ</w:t>
      </w:r>
      <w:r>
        <w:rPr>
          <w:rtl/>
        </w:rPr>
        <w:t>קון</w:t>
      </w:r>
      <w:r>
        <w:rPr>
          <w:rFonts w:hint="cs"/>
          <w:rtl/>
        </w:rPr>
        <w:t xml:space="preserve"> </w:t>
      </w:r>
      <w:r>
        <w:rPr>
          <w:rtl/>
        </w:rPr>
        <w:t>הגוף</w:t>
      </w:r>
      <w:r>
        <w:rPr>
          <w:rFonts w:hint="cs"/>
          <w:rtl/>
        </w:rPr>
        <w:t xml:space="preserve"> ו</w:t>
      </w:r>
      <w:r>
        <w:rPr>
          <w:rtl/>
        </w:rPr>
        <w:t>המלבוש</w:t>
      </w:r>
      <w:r>
        <w:rPr>
          <w:rFonts w:hint="cs"/>
          <w:rtl/>
        </w:rPr>
        <w:t xml:space="preserve"> לכבוד התפִלה (</w:t>
      </w:r>
      <w:r>
        <w:rPr>
          <w:rFonts w:hint="cs"/>
          <w:sz w:val="18"/>
          <w:szCs w:val="20"/>
          <w:rtl/>
        </w:rPr>
        <w:t>בפרק הקודם הזכרנו מעשה רביעי ממסכת ברכות</w:t>
      </w:r>
      <w:r>
        <w:rPr>
          <w:sz w:val="18"/>
          <w:szCs w:val="20"/>
          <w:rtl/>
        </w:rPr>
        <w:t xml:space="preserve"> ל</w:t>
      </w:r>
      <w:r>
        <w:rPr>
          <w:rFonts w:hint="cs"/>
          <w:sz w:val="18"/>
          <w:szCs w:val="20"/>
          <w:rtl/>
        </w:rPr>
        <w:t xml:space="preserve">, </w:t>
      </w:r>
      <w:r>
        <w:rPr>
          <w:sz w:val="18"/>
          <w:szCs w:val="20"/>
          <w:rtl/>
        </w:rPr>
        <w:t>ב</w:t>
      </w:r>
      <w:r>
        <w:rPr>
          <w:rFonts w:hint="cs"/>
          <w:rtl/>
        </w:rPr>
        <w:t>):</w:t>
      </w:r>
    </w:p>
    <w:p w14:paraId="5802ED38" w14:textId="77777777" w:rsidR="00940290" w:rsidRDefault="00940290" w:rsidP="00940290">
      <w:pPr>
        <w:numPr>
          <w:ilvl w:val="0"/>
          <w:numId w:val="4"/>
        </w:numPr>
        <w:ind w:right="0"/>
        <w:rPr>
          <w:rFonts w:hint="cs"/>
          <w:rtl/>
        </w:rPr>
      </w:pPr>
      <w:r>
        <w:rPr>
          <w:rFonts w:hint="cs"/>
          <w:rtl/>
        </w:rPr>
        <w:t>"</w:t>
      </w:r>
      <w:r>
        <w:rPr>
          <w:rtl/>
        </w:rPr>
        <w:t xml:space="preserve">רבא בר רב הונא </w:t>
      </w:r>
      <w:r>
        <w:rPr>
          <w:b/>
          <w:bCs/>
          <w:rtl/>
        </w:rPr>
        <w:t>ר</w:t>
      </w:r>
      <w:r>
        <w:rPr>
          <w:rFonts w:hint="cs"/>
          <w:b/>
          <w:bCs/>
          <w:rtl/>
        </w:rPr>
        <w:t>ָ</w:t>
      </w:r>
      <w:r>
        <w:rPr>
          <w:b/>
          <w:bCs/>
          <w:rtl/>
        </w:rPr>
        <w:t>מ</w:t>
      </w:r>
      <w:r>
        <w:rPr>
          <w:rFonts w:hint="cs"/>
          <w:b/>
          <w:bCs/>
          <w:rtl/>
        </w:rPr>
        <w:t>ֵ</w:t>
      </w:r>
      <w:r>
        <w:rPr>
          <w:b/>
          <w:bCs/>
          <w:rtl/>
        </w:rPr>
        <w:t xml:space="preserve">י פוזמקי </w:t>
      </w:r>
      <w:r>
        <w:rPr>
          <w:rtl/>
        </w:rPr>
        <w:t>ומ</w:t>
      </w:r>
      <w:r>
        <w:rPr>
          <w:rFonts w:hint="cs"/>
          <w:rtl/>
        </w:rPr>
        <w:t>ְ</w:t>
      </w:r>
      <w:r>
        <w:rPr>
          <w:rtl/>
        </w:rPr>
        <w:t>צ</w:t>
      </w:r>
      <w:r>
        <w:rPr>
          <w:rFonts w:hint="cs"/>
          <w:rtl/>
        </w:rPr>
        <w:t>ַ</w:t>
      </w:r>
      <w:r>
        <w:rPr>
          <w:rtl/>
        </w:rPr>
        <w:t>ל</w:t>
      </w:r>
      <w:r>
        <w:rPr>
          <w:rFonts w:hint="cs"/>
          <w:rtl/>
        </w:rPr>
        <w:t>ֵּ</w:t>
      </w:r>
      <w:r>
        <w:rPr>
          <w:rtl/>
        </w:rPr>
        <w:t xml:space="preserve">י, אמר הִכּוֹן לקראת וגו'. </w:t>
      </w:r>
    </w:p>
    <w:p w14:paraId="03536293" w14:textId="77777777" w:rsidR="00940290" w:rsidRDefault="00940290" w:rsidP="00940290">
      <w:pPr>
        <w:numPr>
          <w:ilvl w:val="0"/>
          <w:numId w:val="4"/>
        </w:numPr>
        <w:ind w:right="0"/>
        <w:rPr>
          <w:rFonts w:hint="cs"/>
          <w:szCs w:val="22"/>
          <w:rtl/>
        </w:rPr>
      </w:pPr>
      <w:r>
        <w:rPr>
          <w:rtl/>
        </w:rPr>
        <w:t>רבא ש</w:t>
      </w:r>
      <w:r>
        <w:rPr>
          <w:rFonts w:hint="cs"/>
          <w:rtl/>
        </w:rPr>
        <w:t>ָׁ</w:t>
      </w:r>
      <w:r>
        <w:rPr>
          <w:rtl/>
        </w:rPr>
        <w:t>ד</w:t>
      </w:r>
      <w:r>
        <w:rPr>
          <w:rFonts w:hint="cs"/>
          <w:rtl/>
        </w:rPr>
        <w:t>ֵ</w:t>
      </w:r>
      <w:r>
        <w:rPr>
          <w:rtl/>
        </w:rPr>
        <w:t>י גלימ</w:t>
      </w:r>
      <w:r>
        <w:rPr>
          <w:rFonts w:hint="cs"/>
          <w:rtl/>
        </w:rPr>
        <w:t>ֵ</w:t>
      </w:r>
      <w:r>
        <w:rPr>
          <w:rtl/>
        </w:rPr>
        <w:t>יה</w:t>
      </w:r>
      <w:r>
        <w:rPr>
          <w:rFonts w:hint="cs"/>
          <w:rtl/>
        </w:rPr>
        <w:t>ּ</w:t>
      </w:r>
      <w:r>
        <w:rPr>
          <w:rtl/>
        </w:rPr>
        <w:t xml:space="preserve"> ופ</w:t>
      </w:r>
      <w:r>
        <w:rPr>
          <w:rFonts w:hint="cs"/>
          <w:rtl/>
        </w:rPr>
        <w:t>ָ</w:t>
      </w:r>
      <w:r>
        <w:rPr>
          <w:rtl/>
        </w:rPr>
        <w:t>כ</w:t>
      </w:r>
      <w:r>
        <w:rPr>
          <w:rFonts w:hint="cs"/>
          <w:rtl/>
        </w:rPr>
        <w:t>ַ</w:t>
      </w:r>
      <w:r>
        <w:rPr>
          <w:rtl/>
        </w:rPr>
        <w:t>ר י</w:t>
      </w:r>
      <w:r>
        <w:rPr>
          <w:rFonts w:hint="cs"/>
          <w:rtl/>
        </w:rPr>
        <w:t>ְ</w:t>
      </w:r>
      <w:r>
        <w:rPr>
          <w:rtl/>
        </w:rPr>
        <w:t>ד</w:t>
      </w:r>
      <w:r>
        <w:rPr>
          <w:rFonts w:hint="cs"/>
          <w:rtl/>
        </w:rPr>
        <w:t>ֵ</w:t>
      </w:r>
      <w:r>
        <w:rPr>
          <w:rtl/>
        </w:rPr>
        <w:t>יה</w:t>
      </w:r>
      <w:r>
        <w:rPr>
          <w:rFonts w:hint="cs"/>
          <w:rtl/>
        </w:rPr>
        <w:t>ּ</w:t>
      </w:r>
      <w:r>
        <w:rPr>
          <w:rtl/>
        </w:rPr>
        <w:t>, ומ</w:t>
      </w:r>
      <w:r>
        <w:rPr>
          <w:rFonts w:hint="cs"/>
          <w:rtl/>
        </w:rPr>
        <w:t>ְ</w:t>
      </w:r>
      <w:r>
        <w:rPr>
          <w:rtl/>
        </w:rPr>
        <w:t>צ</w:t>
      </w:r>
      <w:r>
        <w:rPr>
          <w:rFonts w:hint="cs"/>
          <w:rtl/>
        </w:rPr>
        <w:t>ַ</w:t>
      </w:r>
      <w:r>
        <w:rPr>
          <w:rtl/>
        </w:rPr>
        <w:t>ל</w:t>
      </w:r>
      <w:r>
        <w:rPr>
          <w:rFonts w:hint="cs"/>
          <w:rtl/>
        </w:rPr>
        <w:t>ֵּ</w:t>
      </w:r>
      <w:r>
        <w:rPr>
          <w:rtl/>
        </w:rPr>
        <w:t xml:space="preserve">י. אמר: כעבדא קמיה מריה. </w:t>
      </w:r>
    </w:p>
    <w:p w14:paraId="30F96417" w14:textId="77777777" w:rsidR="00940290" w:rsidRDefault="00940290" w:rsidP="00940290">
      <w:pPr>
        <w:numPr>
          <w:ilvl w:val="0"/>
          <w:numId w:val="4"/>
        </w:numPr>
        <w:ind w:right="0"/>
        <w:rPr>
          <w:rFonts w:hint="cs"/>
          <w:szCs w:val="22"/>
          <w:rtl/>
        </w:rPr>
      </w:pPr>
      <w:r>
        <w:rPr>
          <w:rtl/>
        </w:rPr>
        <w:t>אמר רב אשי: חזינא ליה לרב כהנא</w:t>
      </w:r>
      <w:r>
        <w:rPr>
          <w:rFonts w:hint="cs"/>
          <w:rtl/>
        </w:rPr>
        <w:t xml:space="preserve">: </w:t>
      </w:r>
    </w:p>
    <w:p w14:paraId="6A819328" w14:textId="77777777" w:rsidR="00940290" w:rsidRDefault="00940290" w:rsidP="00940290">
      <w:pPr>
        <w:ind w:left="644"/>
        <w:rPr>
          <w:rFonts w:hint="cs"/>
          <w:rtl/>
        </w:rPr>
      </w:pPr>
      <w:r>
        <w:rPr>
          <w:rtl/>
        </w:rPr>
        <w:t xml:space="preserve">כי איכא צערא בעלמא - שדי גלימיה ופכר ידיה ומצלי, אמר: כעבדא קמי מריה. </w:t>
      </w:r>
    </w:p>
    <w:p w14:paraId="07F75D58" w14:textId="77777777" w:rsidR="00940290" w:rsidRDefault="00940290" w:rsidP="00940290">
      <w:pPr>
        <w:ind w:left="644"/>
        <w:rPr>
          <w:rFonts w:hint="cs"/>
          <w:rtl/>
        </w:rPr>
      </w:pPr>
      <w:r>
        <w:rPr>
          <w:rtl/>
        </w:rPr>
        <w:t>כי איכא שלמא - לביש ומתכסי ומתעטף ומצלי, אמר: הכון לקראת אלהיך ישראל</w:t>
      </w:r>
      <w:r>
        <w:rPr>
          <w:rFonts w:hint="cs"/>
          <w:rtl/>
        </w:rPr>
        <w:t>"</w:t>
      </w:r>
      <w:r>
        <w:rPr>
          <w:rtl/>
        </w:rPr>
        <w:t>.</w:t>
      </w:r>
    </w:p>
    <w:p w14:paraId="37C4BD74" w14:textId="77777777" w:rsidR="00940290" w:rsidRDefault="00940290" w:rsidP="00940290">
      <w:pPr>
        <w:ind w:firstLine="284"/>
        <w:rPr>
          <w:rFonts w:hint="cs"/>
          <w:sz w:val="10"/>
          <w:szCs w:val="12"/>
          <w:rtl/>
        </w:rPr>
      </w:pPr>
    </w:p>
    <w:p w14:paraId="11A4E5BB" w14:textId="77777777" w:rsidR="00940290" w:rsidRDefault="00940290" w:rsidP="00940290">
      <w:pPr>
        <w:ind w:firstLine="284"/>
        <w:rPr>
          <w:rFonts w:hint="cs"/>
          <w:rtl/>
        </w:rPr>
      </w:pPr>
      <w:r>
        <w:rPr>
          <w:rFonts w:hint="cs"/>
          <w:rtl/>
        </w:rPr>
        <w:t>ראשית, נעיר כמה הערות כלליות:</w:t>
      </w:r>
    </w:p>
    <w:p w14:paraId="7E0E018F" w14:textId="77777777" w:rsidR="00940290" w:rsidRDefault="00940290" w:rsidP="00940290">
      <w:pPr>
        <w:numPr>
          <w:ilvl w:val="0"/>
          <w:numId w:val="5"/>
        </w:numPr>
        <w:tabs>
          <w:tab w:val="clear" w:pos="1004"/>
        </w:tabs>
        <w:ind w:left="698" w:right="0"/>
        <w:rPr>
          <w:rFonts w:hint="cs"/>
          <w:rtl/>
        </w:rPr>
      </w:pPr>
      <w:r>
        <w:rPr>
          <w:rFonts w:hint="cs"/>
          <w:rtl/>
        </w:rPr>
        <w:t>אפשר לראות בשלושה מעשים אלה יישומים שונים להלכה של "</w:t>
      </w:r>
      <w:r>
        <w:rPr>
          <w:rtl/>
        </w:rPr>
        <w:t>הִכּוֹן</w:t>
      </w:r>
      <w:r>
        <w:rPr>
          <w:rFonts w:hint="cs"/>
          <w:rtl/>
        </w:rPr>
        <w:t>", ואפשר שרק המעשה הראשון והאחרון מדגימים הלכה זו, ואילו רבא חולק לגמרי על עיקרון זה@</w:t>
      </w:r>
      <w:r>
        <w:rPr>
          <w:rStyle w:val="a4"/>
          <w:rtl/>
        </w:rPr>
        <w:footnoteReference w:id="180"/>
      </w:r>
      <w:r>
        <w:rPr>
          <w:rFonts w:hint="cs"/>
          <w:rtl/>
        </w:rPr>
        <w:t xml:space="preserve">. </w:t>
      </w:r>
    </w:p>
    <w:p w14:paraId="7A5EC7DA" w14:textId="77777777" w:rsidR="00940290" w:rsidRDefault="00940290" w:rsidP="00940290">
      <w:pPr>
        <w:numPr>
          <w:ilvl w:val="0"/>
          <w:numId w:val="5"/>
        </w:numPr>
        <w:tabs>
          <w:tab w:val="clear" w:pos="1004"/>
        </w:tabs>
        <w:ind w:left="698" w:right="0"/>
        <w:rPr>
          <w:rFonts w:hint="cs"/>
          <w:rtl/>
        </w:rPr>
      </w:pPr>
      <w:r>
        <w:rPr>
          <w:rFonts w:hint="cs"/>
          <w:rtl/>
        </w:rPr>
        <w:lastRenderedPageBreak/>
        <w:t>מסתבר שהדבר החשוב הוא העיקרון "</w:t>
      </w:r>
      <w:r>
        <w:rPr>
          <w:rtl/>
        </w:rPr>
        <w:t>הִכּוֹן לִקְרַאת אֱלֹהֶיךָ</w:t>
      </w:r>
      <w:r>
        <w:rPr>
          <w:rFonts w:hint="cs"/>
          <w:rtl/>
        </w:rPr>
        <w:t>", אך היישומים השונים נועדו רק להמחשתו. על כן הרוצה לאחוז באדיקות בהנהגה כזו או אחרת, עליו לבדוק קודם לכן אם היא אכן מתאימה למציאות ולתרבות שלו@</w:t>
      </w:r>
      <w:r>
        <w:rPr>
          <w:rStyle w:val="a4"/>
          <w:rtl/>
        </w:rPr>
        <w:footnoteReference w:id="181"/>
      </w:r>
      <w:r>
        <w:rPr>
          <w:rFonts w:hint="cs"/>
          <w:rtl/>
        </w:rPr>
        <w:t xml:space="preserve">. </w:t>
      </w:r>
    </w:p>
    <w:p w14:paraId="2125EE9B" w14:textId="77777777" w:rsidR="00940290" w:rsidRDefault="00940290" w:rsidP="00940290">
      <w:pPr>
        <w:numPr>
          <w:ilvl w:val="0"/>
          <w:numId w:val="5"/>
        </w:numPr>
        <w:tabs>
          <w:tab w:val="clear" w:pos="1004"/>
        </w:tabs>
        <w:ind w:left="698" w:right="0"/>
        <w:rPr>
          <w:rFonts w:hint="cs"/>
        </w:rPr>
      </w:pPr>
      <w:r>
        <w:rPr>
          <w:rFonts w:hint="cs"/>
          <w:rtl/>
        </w:rPr>
        <w:t>יש להִזהר מחיקוי אוטומטי של כל "מעשה רב", ויש לבדוק אם התנהגות הרב מתאימה לכל, או רק לרמֵי מעלה@</w:t>
      </w:r>
      <w:r>
        <w:rPr>
          <w:rStyle w:val="a4"/>
          <w:rtl/>
        </w:rPr>
        <w:footnoteReference w:id="182"/>
      </w:r>
      <w:r>
        <w:rPr>
          <w:rFonts w:hint="cs"/>
          <w:rtl/>
        </w:rPr>
        <w:t>.</w:t>
      </w:r>
    </w:p>
    <w:p w14:paraId="473F8640" w14:textId="77777777" w:rsidR="00940290" w:rsidRDefault="00940290" w:rsidP="00940290">
      <w:pPr>
        <w:numPr>
          <w:ilvl w:val="0"/>
          <w:numId w:val="5"/>
        </w:numPr>
        <w:tabs>
          <w:tab w:val="clear" w:pos="1004"/>
        </w:tabs>
        <w:ind w:left="698" w:right="0"/>
        <w:rPr>
          <w:rFonts w:hint="cs"/>
          <w:rtl/>
        </w:rPr>
      </w:pPr>
      <w:r>
        <w:rPr>
          <w:rFonts w:hint="cs"/>
          <w:rtl/>
        </w:rPr>
        <w:t xml:space="preserve">ממגוון ההנהגות המובאות בתלמוד, שמא יש ללמוד שכל אדם יכול לבחור לו איזושהי </w:t>
      </w:r>
      <w:r>
        <w:rPr>
          <w:rtl/>
        </w:rPr>
        <w:t>מֶחֱוָה</w:t>
      </w:r>
      <w:r>
        <w:rPr>
          <w:rFonts w:hint="cs"/>
          <w:rtl/>
        </w:rPr>
        <w:t xml:space="preserve"> חיצונית (</w:t>
      </w:r>
      <w:r>
        <w:rPr>
          <w:sz w:val="20"/>
          <w:szCs w:val="20"/>
          <w:rtl/>
        </w:rPr>
        <w:t>גֶ'סטה בלעז</w:t>
      </w:r>
      <w:r>
        <w:rPr>
          <w:rFonts w:hint="cs"/>
          <w:sz w:val="20"/>
          <w:szCs w:val="20"/>
          <w:rtl/>
        </w:rPr>
        <w:t xml:space="preserve">, </w:t>
      </w:r>
      <w:r>
        <w:rPr>
          <w:sz w:val="20"/>
          <w:szCs w:val="20"/>
        </w:rPr>
        <w:t>gesture</w:t>
      </w:r>
      <w:r>
        <w:rPr>
          <w:rFonts w:hint="cs"/>
          <w:rtl/>
        </w:rPr>
        <w:t>) לתפילתו, על מנת שהוא ירגיש את השינוי התודעתי שעליו לעבור בעת יפתח שפתיו ופיו יגיד תפִלה, "ודעבד כמר - עבד"</w:t>
      </w:r>
      <w:r>
        <w:rPr>
          <w:rStyle w:val="a4"/>
          <w:rtl/>
        </w:rPr>
        <w:footnoteReference w:id="183"/>
      </w:r>
      <w:r>
        <w:rPr>
          <w:rFonts w:hint="cs"/>
          <w:rtl/>
        </w:rPr>
        <w:t xml:space="preserve">. </w:t>
      </w:r>
    </w:p>
    <w:p w14:paraId="6B0E2C33" w14:textId="77777777" w:rsidR="00940290" w:rsidRDefault="00940290" w:rsidP="00940290">
      <w:pPr>
        <w:ind w:firstLine="284"/>
        <w:rPr>
          <w:rFonts w:hint="cs"/>
          <w:rtl/>
        </w:rPr>
      </w:pPr>
      <w:r>
        <w:rPr>
          <w:rFonts w:hint="cs"/>
          <w:rtl/>
        </w:rPr>
        <w:lastRenderedPageBreak/>
        <w:t>בפרק זה נדון בהנהגה הראשונה, "</w:t>
      </w:r>
      <w:r>
        <w:rPr>
          <w:rtl/>
        </w:rPr>
        <w:t>רמי פוזמקי</w:t>
      </w:r>
      <w:r>
        <w:rPr>
          <w:rFonts w:hint="cs"/>
          <w:rtl/>
        </w:rPr>
        <w:t xml:space="preserve">". כאמור, </w:t>
      </w:r>
      <w:r>
        <w:rPr>
          <w:rtl/>
        </w:rPr>
        <w:t>רבא בר רב הונא</w:t>
      </w:r>
      <w:r>
        <w:rPr>
          <w:rFonts w:hint="cs"/>
          <w:rtl/>
        </w:rPr>
        <w:t xml:space="preserve"> הסביר שהסיבה להנהגתו זו היא "</w:t>
      </w:r>
      <w:r>
        <w:rPr>
          <w:rtl/>
        </w:rPr>
        <w:t>ה</w:t>
      </w:r>
      <w:r>
        <w:rPr>
          <w:rFonts w:hint="cs"/>
          <w:rtl/>
        </w:rPr>
        <w:t>ִ</w:t>
      </w:r>
      <w:r>
        <w:rPr>
          <w:rtl/>
        </w:rPr>
        <w:t>כון</w:t>
      </w:r>
      <w:r>
        <w:rPr>
          <w:rFonts w:hint="cs"/>
          <w:rtl/>
        </w:rPr>
        <w:t>". נפתח בביאור שם העצם "</w:t>
      </w:r>
      <w:r>
        <w:rPr>
          <w:rtl/>
        </w:rPr>
        <w:t>פוזמקי</w:t>
      </w:r>
      <w:r>
        <w:rPr>
          <w:rFonts w:hint="cs"/>
          <w:rtl/>
        </w:rPr>
        <w:t>".</w:t>
      </w:r>
    </w:p>
    <w:p w14:paraId="19C29066" w14:textId="77777777" w:rsidR="00940290" w:rsidRPr="00940290" w:rsidRDefault="00940290" w:rsidP="00940290">
      <w:pPr>
        <w:rPr>
          <w:rFonts w:hint="cs"/>
          <w:rtl/>
        </w:rPr>
      </w:pPr>
    </w:p>
    <w:p w14:paraId="582A53DF" w14:textId="77777777" w:rsidR="00273399" w:rsidRDefault="00273399" w:rsidP="00273399">
      <w:pPr>
        <w:pStyle w:val="1"/>
        <w:rPr>
          <w:rFonts w:hint="cs"/>
          <w:rtl/>
        </w:rPr>
      </w:pPr>
      <w:r>
        <w:rPr>
          <w:rFonts w:hint="cs"/>
          <w:rtl/>
        </w:rPr>
        <w:t>דף י, א: "</w:t>
      </w:r>
      <w:r>
        <w:rPr>
          <w:rtl/>
        </w:rPr>
        <w:t>ש</w:t>
      </w:r>
      <w:r>
        <w:rPr>
          <w:rFonts w:hint="cs"/>
          <w:rtl/>
        </w:rPr>
        <w:t>ָׁ</w:t>
      </w:r>
      <w:r>
        <w:rPr>
          <w:rtl/>
        </w:rPr>
        <w:t>ד</w:t>
      </w:r>
      <w:r>
        <w:rPr>
          <w:rFonts w:hint="cs"/>
          <w:rtl/>
        </w:rPr>
        <w:t>ֵ</w:t>
      </w:r>
      <w:r>
        <w:rPr>
          <w:rtl/>
        </w:rPr>
        <w:t>י גלימ</w:t>
      </w:r>
      <w:r>
        <w:rPr>
          <w:rFonts w:hint="cs"/>
          <w:rtl/>
        </w:rPr>
        <w:t>ֵ</w:t>
      </w:r>
      <w:r>
        <w:rPr>
          <w:rtl/>
        </w:rPr>
        <w:t>יה</w:t>
      </w:r>
      <w:r>
        <w:rPr>
          <w:rFonts w:hint="cs"/>
          <w:rtl/>
        </w:rPr>
        <w:t>ּ"</w:t>
      </w:r>
    </w:p>
    <w:p w14:paraId="6AE08267" w14:textId="77777777" w:rsidR="00273399" w:rsidRDefault="00273399" w:rsidP="00273399">
      <w:pPr>
        <w:pStyle w:val="2"/>
        <w:rPr>
          <w:rFonts w:hint="cs"/>
          <w:rtl/>
        </w:rPr>
      </w:pPr>
      <w:r>
        <w:rPr>
          <w:rFonts w:hint="cs"/>
          <w:rtl/>
        </w:rPr>
        <w:t>גלימה, אדרת, טלית ומעיל</w:t>
      </w:r>
    </w:p>
    <w:p w14:paraId="41F794F1" w14:textId="77777777" w:rsidR="00273399" w:rsidRDefault="00273399" w:rsidP="00273399">
      <w:pPr>
        <w:ind w:firstLine="284"/>
        <w:rPr>
          <w:rFonts w:hint="cs"/>
          <w:sz w:val="24"/>
          <w:rtl/>
          <w:lang w:eastAsia="he-IL"/>
        </w:rPr>
      </w:pPr>
      <w:r>
        <w:rPr>
          <w:rFonts w:hint="cs"/>
          <w:rtl/>
        </w:rPr>
        <w:t>לאחר שהביא התלמוד את הכתוב "</w:t>
      </w:r>
      <w:r>
        <w:rPr>
          <w:rtl/>
        </w:rPr>
        <w:t>הִכּוֹן לִקְרַאת אֱלֹהֶיךָ</w:t>
      </w:r>
      <w:r>
        <w:rPr>
          <w:rFonts w:hint="cs"/>
          <w:rtl/>
        </w:rPr>
        <w:t xml:space="preserve">" ואת מנהגו של </w:t>
      </w:r>
      <w:r>
        <w:rPr>
          <w:rtl/>
        </w:rPr>
        <w:t>רבא בר רב הונא</w:t>
      </w:r>
      <w:r>
        <w:rPr>
          <w:rFonts w:hint="cs"/>
          <w:rtl/>
        </w:rPr>
        <w:t>,</w:t>
      </w:r>
      <w:r>
        <w:rPr>
          <w:rtl/>
        </w:rPr>
        <w:t xml:space="preserve"> </w:t>
      </w:r>
      <w:r>
        <w:rPr>
          <w:rFonts w:hint="cs"/>
          <w:rtl/>
        </w:rPr>
        <w:t xml:space="preserve">שהתלבש באופן מיוחד ונאה לקראת </w:t>
      </w:r>
      <w:r>
        <w:rPr>
          <w:rFonts w:hint="cs"/>
          <w:rtl/>
        </w:rPr>
        <w:lastRenderedPageBreak/>
        <w:t>התפילה, מובאת הנהגתו</w:t>
      </w:r>
      <w:r>
        <w:rPr>
          <w:rtl/>
        </w:rPr>
        <w:t xml:space="preserve"> </w:t>
      </w:r>
      <w:r>
        <w:rPr>
          <w:rFonts w:hint="cs"/>
          <w:rtl/>
        </w:rPr>
        <w:t xml:space="preserve">של </w:t>
      </w:r>
      <w:r>
        <w:rPr>
          <w:rtl/>
        </w:rPr>
        <w:t>רבא</w:t>
      </w:r>
      <w:r>
        <w:rPr>
          <w:rFonts w:hint="cs"/>
          <w:rtl/>
        </w:rPr>
        <w:t>, הנראית כסותרת לחלוטין את הנ"ל, וכך היה נוהג: "</w:t>
      </w:r>
      <w:r>
        <w:rPr>
          <w:rtl/>
        </w:rPr>
        <w:t>שדי גלימיה</w:t>
      </w:r>
      <w:r>
        <w:rPr>
          <w:rFonts w:hint="cs"/>
          <w:rtl/>
        </w:rPr>
        <w:t xml:space="preserve"> </w:t>
      </w:r>
      <w:r>
        <w:rPr>
          <w:rtl/>
        </w:rPr>
        <w:t>ופכר ידיה, ומצלי. אמר: כעבדא קמיה מריה</w:t>
      </w:r>
      <w:r>
        <w:rPr>
          <w:rFonts w:hint="cs"/>
          <w:rtl/>
        </w:rPr>
        <w:t>"</w:t>
      </w:r>
      <w:r>
        <w:rPr>
          <w:rtl/>
        </w:rPr>
        <w:t xml:space="preserve">. </w:t>
      </w:r>
      <w:r>
        <w:rPr>
          <w:rFonts w:hint="cs"/>
          <w:rtl/>
        </w:rPr>
        <w:t xml:space="preserve">מפרש </w:t>
      </w:r>
      <w:r>
        <w:rPr>
          <w:sz w:val="24"/>
          <w:rtl/>
          <w:lang w:eastAsia="he-IL"/>
        </w:rPr>
        <w:t xml:space="preserve">רש"י </w:t>
      </w:r>
      <w:r>
        <w:rPr>
          <w:sz w:val="18"/>
          <w:szCs w:val="20"/>
          <w:rtl/>
          <w:lang w:eastAsia="he-IL"/>
        </w:rPr>
        <w:t>ד"ה שדי גלימא</w:t>
      </w:r>
      <w:r>
        <w:rPr>
          <w:rFonts w:hint="cs"/>
          <w:sz w:val="24"/>
          <w:rtl/>
          <w:lang w:eastAsia="he-IL"/>
        </w:rPr>
        <w:t>:</w:t>
      </w:r>
      <w:r>
        <w:rPr>
          <w:sz w:val="24"/>
          <w:rtl/>
          <w:lang w:eastAsia="he-IL"/>
        </w:rPr>
        <w:t xml:space="preserve"> </w:t>
      </w:r>
      <w:r>
        <w:rPr>
          <w:rFonts w:hint="cs"/>
          <w:sz w:val="24"/>
          <w:rtl/>
          <w:lang w:eastAsia="he-IL"/>
        </w:rPr>
        <w:t>"</w:t>
      </w:r>
      <w:r>
        <w:rPr>
          <w:sz w:val="24"/>
          <w:rtl/>
          <w:lang w:eastAsia="he-IL"/>
        </w:rPr>
        <w:t xml:space="preserve">משליך אדרתו </w:t>
      </w:r>
      <w:r>
        <w:rPr>
          <w:b/>
          <w:bCs/>
          <w:sz w:val="24"/>
          <w:rtl/>
          <w:lang w:eastAsia="he-IL"/>
        </w:rPr>
        <w:t>מ</w:t>
      </w:r>
      <w:r>
        <w:rPr>
          <w:sz w:val="24"/>
          <w:rtl/>
          <w:lang w:eastAsia="he-IL"/>
        </w:rPr>
        <w:t>עליו, שלא יראה כחשוב</w:t>
      </w:r>
      <w:r>
        <w:rPr>
          <w:rFonts w:hint="cs"/>
          <w:sz w:val="24"/>
          <w:rtl/>
          <w:lang w:eastAsia="he-IL"/>
        </w:rPr>
        <w:t>"</w:t>
      </w:r>
      <w:r>
        <w:rPr>
          <w:sz w:val="24"/>
          <w:rtl/>
          <w:lang w:eastAsia="he-IL"/>
        </w:rPr>
        <w:t xml:space="preserve">. </w:t>
      </w:r>
      <w:r>
        <w:rPr>
          <w:rFonts w:hint="cs"/>
          <w:sz w:val="24"/>
          <w:rtl/>
          <w:lang w:eastAsia="he-IL"/>
        </w:rPr>
        <w:t>לפי רש"י, הכוונה היא שלא היה לובש כלל את מלבושו העליון והחשוב.</w:t>
      </w:r>
    </w:p>
    <w:p w14:paraId="5219AE34" w14:textId="77777777" w:rsidR="00273399" w:rsidRDefault="00273399" w:rsidP="00273399">
      <w:pPr>
        <w:ind w:firstLine="284"/>
        <w:rPr>
          <w:rFonts w:hint="cs"/>
          <w:sz w:val="24"/>
          <w:rtl/>
          <w:lang w:eastAsia="he-IL"/>
        </w:rPr>
      </w:pPr>
      <w:r>
        <w:rPr>
          <w:rFonts w:hint="cs"/>
          <w:sz w:val="24"/>
          <w:rtl/>
          <w:lang w:eastAsia="he-IL"/>
        </w:rPr>
        <w:t>כפי שבארנו בפרק הקודם, במקרים רבים חופפים הפעלים "</w:t>
      </w:r>
      <w:r>
        <w:rPr>
          <w:sz w:val="24"/>
          <w:rtl/>
          <w:lang w:eastAsia="he-IL"/>
        </w:rPr>
        <w:t>שדי</w:t>
      </w:r>
      <w:r>
        <w:rPr>
          <w:rFonts w:hint="cs"/>
          <w:sz w:val="24"/>
          <w:rtl/>
          <w:lang w:eastAsia="he-IL"/>
        </w:rPr>
        <w:t>" ו"רמי" מבחינת המשמעות שלהם. לכן, לולא פירוש</w:t>
      </w:r>
      <w:r>
        <w:rPr>
          <w:sz w:val="24"/>
          <w:rtl/>
          <w:lang w:eastAsia="he-IL"/>
        </w:rPr>
        <w:t xml:space="preserve"> רש"י</w:t>
      </w:r>
      <w:r>
        <w:rPr>
          <w:rFonts w:hint="cs"/>
          <w:sz w:val="24"/>
          <w:rtl/>
          <w:lang w:eastAsia="he-IL"/>
        </w:rPr>
        <w:t>, היה ניתן לפרש ש</w:t>
      </w:r>
      <w:r>
        <w:rPr>
          <w:rFonts w:hint="cs"/>
          <w:rtl/>
        </w:rPr>
        <w:t>"</w:t>
      </w:r>
      <w:r>
        <w:rPr>
          <w:rtl/>
        </w:rPr>
        <w:t>שדי גלימיה</w:t>
      </w:r>
      <w:r>
        <w:rPr>
          <w:rFonts w:hint="cs"/>
          <w:rtl/>
        </w:rPr>
        <w:t xml:space="preserve">" היינו: </w:t>
      </w:r>
      <w:r>
        <w:rPr>
          <w:rFonts w:hint="cs"/>
          <w:sz w:val="24"/>
          <w:rtl/>
          <w:lang w:eastAsia="he-IL"/>
        </w:rPr>
        <w:t xml:space="preserve">מטיל </w:t>
      </w:r>
      <w:r>
        <w:rPr>
          <w:sz w:val="24"/>
          <w:rtl/>
          <w:lang w:eastAsia="he-IL"/>
        </w:rPr>
        <w:t xml:space="preserve">אדרתו </w:t>
      </w:r>
      <w:r>
        <w:rPr>
          <w:rFonts w:hint="cs"/>
          <w:b/>
          <w:bCs/>
          <w:sz w:val="24"/>
          <w:rtl/>
          <w:lang w:eastAsia="he-IL"/>
        </w:rPr>
        <w:t>עליו</w:t>
      </w:r>
      <w:r>
        <w:rPr>
          <w:rFonts w:hint="cs"/>
          <w:sz w:val="24"/>
          <w:rtl/>
          <w:lang w:eastAsia="he-IL"/>
        </w:rPr>
        <w:t>, היינו "זורק" על עצמו, ולא לובשו כראוי (</w:t>
      </w:r>
      <w:r>
        <w:rPr>
          <w:rFonts w:hint="cs"/>
          <w:sz w:val="18"/>
          <w:szCs w:val="20"/>
          <w:rtl/>
          <w:lang w:eastAsia="he-IL"/>
        </w:rPr>
        <w:t>וכעין הלובש חליפה על כתפיו בלבד, ללא שרבוב ידיו לתוך השרוולים</w:t>
      </w:r>
      <w:r>
        <w:rPr>
          <w:rFonts w:hint="cs"/>
          <w:sz w:val="24"/>
          <w:rtl/>
          <w:lang w:eastAsia="he-IL"/>
        </w:rPr>
        <w:t>). מדוע לא פרש כך רש"י?</w:t>
      </w:r>
    </w:p>
    <w:p w14:paraId="3E3CD3C3" w14:textId="77777777" w:rsidR="00273399" w:rsidRDefault="00273399" w:rsidP="00273399">
      <w:pPr>
        <w:ind w:firstLine="284"/>
        <w:rPr>
          <w:rFonts w:hint="cs"/>
          <w:sz w:val="24"/>
          <w:rtl/>
          <w:lang w:eastAsia="he-IL"/>
        </w:rPr>
      </w:pPr>
      <w:r>
        <w:rPr>
          <w:rFonts w:hint="cs"/>
          <w:sz w:val="24"/>
          <w:rtl/>
          <w:lang w:eastAsia="he-IL"/>
        </w:rPr>
        <w:t>נראה שרש"י ברר היטב את לשונו, ואם נדקדק בה נמצא את הרמז אשר רמז לנו רש"י על מנת שנבין מנין שאוּב פירושו, וגם מהו המקור המקראי להנהגת חז"ל. מה פשר הלשון המיוחדת "</w:t>
      </w:r>
      <w:r>
        <w:rPr>
          <w:sz w:val="24"/>
          <w:rtl/>
          <w:lang w:eastAsia="he-IL"/>
        </w:rPr>
        <w:t>אדרתו</w:t>
      </w:r>
      <w:r>
        <w:rPr>
          <w:rFonts w:hint="cs"/>
          <w:sz w:val="24"/>
          <w:rtl/>
          <w:lang w:eastAsia="he-IL"/>
        </w:rPr>
        <w:t xml:space="preserve">" שנקט בה רש"י כדי לפרש את "גלימא"? </w:t>
      </w:r>
    </w:p>
    <w:p w14:paraId="3E94B5A2" w14:textId="77777777" w:rsidR="00273399" w:rsidRDefault="00273399" w:rsidP="00273399">
      <w:pPr>
        <w:ind w:firstLine="284"/>
        <w:rPr>
          <w:rFonts w:hint="cs"/>
          <w:rtl/>
          <w:lang w:eastAsia="he-IL"/>
        </w:rPr>
      </w:pPr>
      <w:r>
        <w:rPr>
          <w:rFonts w:hint="cs"/>
          <w:rtl/>
          <w:lang w:eastAsia="he-IL"/>
        </w:rPr>
        <w:t>את שֵם הבגד הארמי "גלימא"</w:t>
      </w:r>
      <w:r>
        <w:rPr>
          <w:rStyle w:val="a4"/>
          <w:rtl/>
        </w:rPr>
        <w:footnoteReference w:id="184"/>
      </w:r>
      <w:r>
        <w:rPr>
          <w:rFonts w:hint="cs"/>
          <w:rtl/>
          <w:lang w:eastAsia="he-IL"/>
        </w:rPr>
        <w:t xml:space="preserve"> רגיל רש"י לפרש: "</w:t>
      </w:r>
      <w:r>
        <w:rPr>
          <w:rtl/>
          <w:lang w:eastAsia="he-IL"/>
        </w:rPr>
        <w:t>טלית</w:t>
      </w:r>
      <w:r>
        <w:rPr>
          <w:rFonts w:hint="cs"/>
          <w:rtl/>
          <w:lang w:eastAsia="he-IL"/>
        </w:rPr>
        <w:t>"</w:t>
      </w:r>
      <w:r>
        <w:rPr>
          <w:rStyle w:val="a4"/>
          <w:rtl/>
        </w:rPr>
        <w:footnoteReference w:id="185"/>
      </w:r>
      <w:r>
        <w:rPr>
          <w:rFonts w:hint="cs"/>
          <w:rtl/>
          <w:lang w:eastAsia="he-IL"/>
        </w:rPr>
        <w:t xml:space="preserve"> (ולפעמים: "</w:t>
      </w:r>
      <w:r>
        <w:rPr>
          <w:rtl/>
          <w:lang w:eastAsia="he-IL"/>
        </w:rPr>
        <w:t>סודר</w:t>
      </w:r>
      <w:r>
        <w:rPr>
          <w:rFonts w:hint="cs"/>
          <w:rtl/>
          <w:lang w:eastAsia="he-IL"/>
        </w:rPr>
        <w:t>"</w:t>
      </w:r>
      <w:r>
        <w:rPr>
          <w:rStyle w:val="a4"/>
          <w:rtl/>
        </w:rPr>
        <w:footnoteReference w:id="186"/>
      </w:r>
      <w:r>
        <w:rPr>
          <w:rFonts w:hint="cs"/>
          <w:rtl/>
          <w:lang w:eastAsia="he-IL"/>
        </w:rPr>
        <w:t xml:space="preserve"> או "</w:t>
      </w:r>
      <w:r>
        <w:rPr>
          <w:rtl/>
          <w:lang w:eastAsia="he-IL"/>
        </w:rPr>
        <w:t>סדין</w:t>
      </w:r>
      <w:r>
        <w:rPr>
          <w:rFonts w:hint="cs"/>
          <w:rtl/>
          <w:lang w:eastAsia="he-IL"/>
        </w:rPr>
        <w:t>"</w:t>
      </w:r>
      <w:r>
        <w:rPr>
          <w:rStyle w:val="a4"/>
          <w:rtl/>
        </w:rPr>
        <w:footnoteReference w:id="187"/>
      </w:r>
      <w:r>
        <w:rPr>
          <w:rFonts w:hint="cs"/>
          <w:rtl/>
          <w:lang w:eastAsia="he-IL"/>
        </w:rPr>
        <w:t xml:space="preserve">). </w:t>
      </w:r>
      <w:r>
        <w:rPr>
          <w:rFonts w:hint="cs"/>
          <w:sz w:val="24"/>
          <w:rtl/>
          <w:lang w:eastAsia="he-IL"/>
        </w:rPr>
        <w:t xml:space="preserve">גם בביאור המִלה העברית </w:t>
      </w:r>
      <w:r>
        <w:rPr>
          <w:rFonts w:hint="cs"/>
          <w:sz w:val="24"/>
          <w:rtl/>
          <w:lang w:eastAsia="he-IL"/>
        </w:rPr>
        <w:lastRenderedPageBreak/>
        <w:t>"</w:t>
      </w:r>
      <w:r>
        <w:rPr>
          <w:sz w:val="24"/>
          <w:rtl/>
          <w:lang w:eastAsia="he-IL"/>
        </w:rPr>
        <w:t>גְלוֹמֵי</w:t>
      </w:r>
      <w:r>
        <w:rPr>
          <w:rFonts w:hint="cs"/>
          <w:sz w:val="24"/>
          <w:rtl/>
          <w:lang w:eastAsia="he-IL"/>
        </w:rPr>
        <w:t>"</w:t>
      </w:r>
      <w:r>
        <w:rPr>
          <w:sz w:val="24"/>
          <w:rtl/>
          <w:lang w:eastAsia="he-IL"/>
        </w:rPr>
        <w:t xml:space="preserve"> </w:t>
      </w:r>
      <w:r>
        <w:rPr>
          <w:rFonts w:hint="cs"/>
          <w:sz w:val="24"/>
          <w:rtl/>
          <w:lang w:eastAsia="he-IL"/>
        </w:rPr>
        <w:t>(</w:t>
      </w:r>
      <w:r>
        <w:rPr>
          <w:sz w:val="24"/>
          <w:rtl/>
          <w:lang w:eastAsia="he-IL"/>
        </w:rPr>
        <w:t xml:space="preserve">יחזקאל </w:t>
      </w:r>
      <w:r>
        <w:rPr>
          <w:sz w:val="18"/>
          <w:szCs w:val="20"/>
          <w:rtl/>
          <w:lang w:eastAsia="he-IL"/>
        </w:rPr>
        <w:t>כז</w:t>
      </w:r>
      <w:r>
        <w:rPr>
          <w:rFonts w:hint="cs"/>
          <w:sz w:val="18"/>
          <w:szCs w:val="20"/>
          <w:rtl/>
          <w:lang w:eastAsia="he-IL"/>
        </w:rPr>
        <w:t xml:space="preserve">, </w:t>
      </w:r>
      <w:r>
        <w:rPr>
          <w:sz w:val="18"/>
          <w:szCs w:val="20"/>
          <w:rtl/>
          <w:lang w:eastAsia="he-IL"/>
        </w:rPr>
        <w:t>כד</w:t>
      </w:r>
      <w:r>
        <w:rPr>
          <w:rFonts w:hint="cs"/>
          <w:sz w:val="24"/>
          <w:rtl/>
          <w:lang w:eastAsia="he-IL"/>
        </w:rPr>
        <w:t>) כותב רש"י: "</w:t>
      </w:r>
      <w:r>
        <w:rPr>
          <w:sz w:val="24"/>
          <w:rtl/>
          <w:lang w:eastAsia="he-IL"/>
        </w:rPr>
        <w:t>גְלוֹמֵי תְּכֵלֶת וְרִקְמָה</w:t>
      </w:r>
      <w:r>
        <w:rPr>
          <w:rFonts w:hint="cs"/>
          <w:sz w:val="24"/>
          <w:rtl/>
          <w:lang w:eastAsia="he-IL"/>
        </w:rPr>
        <w:t xml:space="preserve"> - </w:t>
      </w:r>
      <w:r>
        <w:rPr>
          <w:b/>
          <w:bCs/>
          <w:sz w:val="24"/>
          <w:rtl/>
          <w:lang w:eastAsia="he-IL"/>
        </w:rPr>
        <w:t>טליתות</w:t>
      </w:r>
      <w:r>
        <w:rPr>
          <w:sz w:val="24"/>
          <w:rtl/>
          <w:lang w:eastAsia="he-IL"/>
        </w:rPr>
        <w:t xml:space="preserve"> של תכלת מרוקמות</w:t>
      </w:r>
      <w:r>
        <w:rPr>
          <w:rFonts w:hint="cs"/>
          <w:sz w:val="24"/>
          <w:rtl/>
          <w:lang w:eastAsia="he-IL"/>
        </w:rPr>
        <w:t>" (</w:t>
      </w:r>
      <w:r>
        <w:rPr>
          <w:rFonts w:hint="cs"/>
          <w:sz w:val="18"/>
          <w:szCs w:val="20"/>
          <w:rtl/>
          <w:lang w:eastAsia="he-IL"/>
        </w:rPr>
        <w:t>ועי"ש בפירושי ר"י קרא ו</w:t>
      </w:r>
      <w:r>
        <w:rPr>
          <w:sz w:val="18"/>
          <w:szCs w:val="20"/>
          <w:rtl/>
          <w:lang w:eastAsia="he-IL"/>
        </w:rPr>
        <w:t>רד"ק</w:t>
      </w:r>
      <w:r>
        <w:rPr>
          <w:rFonts w:hint="cs"/>
          <w:sz w:val="18"/>
          <w:szCs w:val="20"/>
          <w:rtl/>
          <w:lang w:eastAsia="he-IL"/>
        </w:rPr>
        <w:t xml:space="preserve"> שקשרו זאת ל"גלימא" התלמודי</w:t>
      </w:r>
      <w:r>
        <w:rPr>
          <w:rFonts w:hint="cs"/>
          <w:sz w:val="26"/>
          <w:rtl/>
          <w:lang w:eastAsia="he-IL"/>
        </w:rPr>
        <w:t>), ור' מנחם בן שמעון כתב שהוא מגזרת "</w:t>
      </w:r>
      <w:r>
        <w:rPr>
          <w:sz w:val="26"/>
          <w:rtl/>
          <w:lang w:eastAsia="he-IL"/>
        </w:rPr>
        <w:t xml:space="preserve">וַיִּקַּח אֵלִיָּהוּ אֶת אַדַּרְתּוֹ </w:t>
      </w:r>
      <w:r>
        <w:rPr>
          <w:b/>
          <w:bCs/>
          <w:sz w:val="26"/>
          <w:rtl/>
          <w:lang w:eastAsia="he-IL"/>
        </w:rPr>
        <w:t>וַיִּגְלֹם</w:t>
      </w:r>
      <w:r>
        <w:rPr>
          <w:sz w:val="26"/>
          <w:rtl/>
          <w:lang w:eastAsia="he-IL"/>
        </w:rPr>
        <w:t xml:space="preserve"> וַיַּכֶּה אֶת הַמַּיִם</w:t>
      </w:r>
      <w:r>
        <w:rPr>
          <w:rFonts w:hint="cs"/>
          <w:sz w:val="26"/>
          <w:rtl/>
          <w:lang w:eastAsia="he-IL"/>
        </w:rPr>
        <w:t>"</w:t>
      </w:r>
      <w:r>
        <w:rPr>
          <w:sz w:val="26"/>
          <w:rtl/>
          <w:lang w:eastAsia="he-IL"/>
        </w:rPr>
        <w:t xml:space="preserve"> </w:t>
      </w:r>
      <w:r>
        <w:rPr>
          <w:rFonts w:hint="cs"/>
          <w:sz w:val="26"/>
          <w:rtl/>
          <w:lang w:eastAsia="he-IL"/>
        </w:rPr>
        <w:t>(</w:t>
      </w:r>
      <w:r>
        <w:rPr>
          <w:sz w:val="18"/>
          <w:rtl/>
          <w:lang w:eastAsia="he-IL"/>
        </w:rPr>
        <w:t>מלכים</w:t>
      </w:r>
      <w:r>
        <w:rPr>
          <w:sz w:val="18"/>
          <w:szCs w:val="20"/>
          <w:rtl/>
          <w:lang w:eastAsia="he-IL"/>
        </w:rPr>
        <w:t xml:space="preserve"> ב</w:t>
      </w:r>
      <w:r>
        <w:rPr>
          <w:rFonts w:hint="cs"/>
          <w:sz w:val="18"/>
          <w:szCs w:val="20"/>
          <w:rtl/>
          <w:lang w:eastAsia="he-IL"/>
        </w:rPr>
        <w:t>'</w:t>
      </w:r>
      <w:r>
        <w:rPr>
          <w:sz w:val="18"/>
          <w:szCs w:val="20"/>
          <w:rtl/>
          <w:lang w:eastAsia="he-IL"/>
        </w:rPr>
        <w:t xml:space="preserve"> ב</w:t>
      </w:r>
      <w:r>
        <w:rPr>
          <w:rFonts w:hint="cs"/>
          <w:sz w:val="18"/>
          <w:szCs w:val="20"/>
          <w:rtl/>
          <w:lang w:eastAsia="he-IL"/>
        </w:rPr>
        <w:t xml:space="preserve">, </w:t>
      </w:r>
      <w:r>
        <w:rPr>
          <w:sz w:val="18"/>
          <w:szCs w:val="20"/>
          <w:rtl/>
          <w:lang w:eastAsia="he-IL"/>
        </w:rPr>
        <w:t>ח</w:t>
      </w:r>
      <w:r>
        <w:rPr>
          <w:rFonts w:hint="cs"/>
          <w:sz w:val="26"/>
          <w:rtl/>
          <w:lang w:eastAsia="he-IL"/>
        </w:rPr>
        <w:t>) ופירושו:</w:t>
      </w:r>
      <w:r>
        <w:rPr>
          <w:rFonts w:hint="cs"/>
          <w:sz w:val="24"/>
          <w:rtl/>
          <w:lang w:eastAsia="he-IL"/>
        </w:rPr>
        <w:t xml:space="preserve"> "טליתות, ונקראו כן בעבור שיהיו כמו </w:t>
      </w:r>
      <w:r>
        <w:rPr>
          <w:sz w:val="24"/>
          <w:rtl/>
          <w:lang w:eastAsia="he-IL"/>
        </w:rPr>
        <w:t>גול</w:t>
      </w:r>
      <w:r>
        <w:rPr>
          <w:rFonts w:hint="cs"/>
          <w:sz w:val="24"/>
          <w:rtl/>
          <w:lang w:eastAsia="he-IL"/>
        </w:rPr>
        <w:t>ֶ</w:t>
      </w:r>
      <w:r>
        <w:rPr>
          <w:sz w:val="24"/>
          <w:rtl/>
          <w:lang w:eastAsia="he-IL"/>
        </w:rPr>
        <w:t>ם</w:t>
      </w:r>
      <w:r>
        <w:rPr>
          <w:rFonts w:hint="cs"/>
          <w:sz w:val="24"/>
          <w:rtl/>
          <w:lang w:eastAsia="he-IL"/>
        </w:rPr>
        <w:t>, כאשר יתעטף האדם בהם"</w:t>
      </w:r>
      <w:r>
        <w:rPr>
          <w:rStyle w:val="a4"/>
          <w:rtl/>
        </w:rPr>
        <w:footnoteReference w:id="188"/>
      </w:r>
      <w:r>
        <w:rPr>
          <w:sz w:val="24"/>
          <w:rtl/>
          <w:lang w:eastAsia="he-IL"/>
        </w:rPr>
        <w:t>.</w:t>
      </w:r>
    </w:p>
    <w:p w14:paraId="6A08E0DD" w14:textId="77777777" w:rsidR="00273399" w:rsidRDefault="00273399" w:rsidP="00273399">
      <w:pPr>
        <w:ind w:firstLine="284"/>
        <w:rPr>
          <w:rFonts w:hint="cs"/>
          <w:rtl/>
          <w:lang w:eastAsia="he-IL"/>
        </w:rPr>
      </w:pPr>
      <w:r>
        <w:rPr>
          <w:rFonts w:hint="cs"/>
          <w:rtl/>
          <w:lang w:eastAsia="he-IL"/>
        </w:rPr>
        <w:t>בכל פירושיו אין רש"י משתמש במִלה "</w:t>
      </w:r>
      <w:r>
        <w:rPr>
          <w:rtl/>
          <w:lang w:eastAsia="he-IL"/>
        </w:rPr>
        <w:t>אַדֶּרֶת</w:t>
      </w:r>
      <w:r>
        <w:rPr>
          <w:rFonts w:hint="cs"/>
          <w:rtl/>
          <w:lang w:eastAsia="he-IL"/>
        </w:rPr>
        <w:t>" (חוץ מציטוטי פסוקים) אלא בסוגייתנו בלבד. וקשה: הואיל ואת ה"</w:t>
      </w:r>
      <w:r>
        <w:rPr>
          <w:rtl/>
          <w:lang w:eastAsia="he-IL"/>
        </w:rPr>
        <w:t>אַדֶּרֶת</w:t>
      </w:r>
      <w:r>
        <w:rPr>
          <w:rFonts w:hint="cs"/>
          <w:rtl/>
          <w:lang w:eastAsia="he-IL"/>
        </w:rPr>
        <w:t>" המקראית מתרגם רש"י למִלה "טלית"</w:t>
      </w:r>
      <w:r>
        <w:rPr>
          <w:rStyle w:val="a4"/>
          <w:rtl/>
        </w:rPr>
        <w:footnoteReference w:id="189"/>
      </w:r>
      <w:r>
        <w:rPr>
          <w:rFonts w:hint="cs"/>
          <w:rtl/>
          <w:lang w:eastAsia="he-IL"/>
        </w:rPr>
        <w:t>, המוכרת יותר, מדוע כאן השתמש ב"</w:t>
      </w:r>
      <w:r>
        <w:rPr>
          <w:rtl/>
          <w:lang w:eastAsia="he-IL"/>
        </w:rPr>
        <w:t>אַדֶּרֶת</w:t>
      </w:r>
      <w:r>
        <w:rPr>
          <w:rFonts w:hint="cs"/>
          <w:rtl/>
          <w:lang w:eastAsia="he-IL"/>
        </w:rPr>
        <w:t>"?!</w:t>
      </w:r>
    </w:p>
    <w:p w14:paraId="71A77664" w14:textId="77777777" w:rsidR="00273399" w:rsidRDefault="00273399" w:rsidP="00273399">
      <w:pPr>
        <w:ind w:firstLine="284"/>
        <w:rPr>
          <w:rFonts w:hint="cs"/>
          <w:rtl/>
        </w:rPr>
      </w:pPr>
      <w:r>
        <w:rPr>
          <w:rFonts w:hint="cs"/>
          <w:rtl/>
          <w:lang w:eastAsia="he-IL"/>
        </w:rPr>
        <w:t>אין זאת אלא שרש"י מבקש להזכירנו את לשון הכתוב ב</w:t>
      </w:r>
      <w:r>
        <w:rPr>
          <w:rtl/>
          <w:lang w:eastAsia="he-IL"/>
        </w:rPr>
        <w:t>יונה</w:t>
      </w:r>
      <w:r>
        <w:rPr>
          <w:rFonts w:hint="cs"/>
          <w:rtl/>
          <w:lang w:eastAsia="he-IL"/>
        </w:rPr>
        <w:t xml:space="preserve"> </w:t>
      </w:r>
      <w:r>
        <w:rPr>
          <w:sz w:val="18"/>
          <w:szCs w:val="20"/>
          <w:rtl/>
          <w:lang w:eastAsia="he-IL"/>
        </w:rPr>
        <w:t>ג</w:t>
      </w:r>
      <w:r>
        <w:rPr>
          <w:rFonts w:hint="cs"/>
          <w:sz w:val="18"/>
          <w:szCs w:val="20"/>
          <w:rtl/>
          <w:lang w:eastAsia="he-IL"/>
        </w:rPr>
        <w:t xml:space="preserve">, </w:t>
      </w:r>
      <w:r>
        <w:rPr>
          <w:sz w:val="18"/>
          <w:szCs w:val="20"/>
          <w:rtl/>
          <w:lang w:eastAsia="he-IL"/>
        </w:rPr>
        <w:t>ו</w:t>
      </w:r>
      <w:r>
        <w:rPr>
          <w:rFonts w:hint="cs"/>
          <w:rtl/>
          <w:lang w:eastAsia="he-IL"/>
        </w:rPr>
        <w:t>: "</w:t>
      </w:r>
      <w:r>
        <w:rPr>
          <w:rtl/>
          <w:lang w:eastAsia="he-IL"/>
        </w:rPr>
        <w:t xml:space="preserve">וַיִּגַּע הַדָּבָר אֶל מֶלֶך נִינְוֵה וַיָּקָם מִכִּסְאוֹ </w:t>
      </w:r>
      <w:r>
        <w:rPr>
          <w:b/>
          <w:bCs/>
          <w:rtl/>
          <w:lang w:eastAsia="he-IL"/>
        </w:rPr>
        <w:t>וַיַּעֲבֵר אַדַּרְתּוֹ</w:t>
      </w:r>
      <w:r>
        <w:rPr>
          <w:rStyle w:val="a4"/>
          <w:rtl/>
        </w:rPr>
        <w:footnoteReference w:id="190"/>
      </w:r>
      <w:r>
        <w:rPr>
          <w:b/>
          <w:bCs/>
          <w:rtl/>
          <w:lang w:eastAsia="he-IL"/>
        </w:rPr>
        <w:t xml:space="preserve"> מֵעָלָיו</w:t>
      </w:r>
      <w:r>
        <w:rPr>
          <w:rtl/>
          <w:lang w:eastAsia="he-IL"/>
        </w:rPr>
        <w:t xml:space="preserve"> וַיְכַס שַׂק וַיֵּשֶׁב עַל הָאֵפֶר</w:t>
      </w:r>
      <w:r>
        <w:rPr>
          <w:rFonts w:hint="cs"/>
          <w:rtl/>
          <w:lang w:eastAsia="he-IL"/>
        </w:rPr>
        <w:t xml:space="preserve">". כשם שמלך נינוה ברצותו להפגין בשעת צער את חוסר חשיבותו, העביר (= </w:t>
      </w:r>
      <w:r>
        <w:rPr>
          <w:rtl/>
          <w:lang w:eastAsia="he-IL"/>
        </w:rPr>
        <w:t>ה</w:t>
      </w:r>
      <w:r>
        <w:rPr>
          <w:rFonts w:hint="cs"/>
          <w:rtl/>
          <w:lang w:eastAsia="he-IL"/>
        </w:rPr>
        <w:t>ֵ</w:t>
      </w:r>
      <w:r>
        <w:rPr>
          <w:rtl/>
          <w:lang w:eastAsia="he-IL"/>
        </w:rPr>
        <w:t>סיר</w:t>
      </w:r>
      <w:r>
        <w:rPr>
          <w:rFonts w:hint="cs"/>
          <w:sz w:val="18"/>
          <w:szCs w:val="20"/>
          <w:rtl/>
          <w:lang w:eastAsia="he-IL"/>
        </w:rPr>
        <w:t xml:space="preserve">; ר"א </w:t>
      </w:r>
      <w:r>
        <w:rPr>
          <w:sz w:val="18"/>
          <w:szCs w:val="20"/>
          <w:rtl/>
          <w:lang w:eastAsia="he-IL"/>
        </w:rPr>
        <w:t>אבן עזרא</w:t>
      </w:r>
      <w:r>
        <w:rPr>
          <w:rFonts w:hint="cs"/>
          <w:rtl/>
          <w:lang w:eastAsia="he-IL"/>
        </w:rPr>
        <w:t>) את בגדו "</w:t>
      </w:r>
      <w:r>
        <w:rPr>
          <w:b/>
          <w:bCs/>
          <w:rtl/>
          <w:lang w:eastAsia="he-IL"/>
        </w:rPr>
        <w:t>מֵ</w:t>
      </w:r>
      <w:r>
        <w:rPr>
          <w:rtl/>
          <w:lang w:eastAsia="he-IL"/>
        </w:rPr>
        <w:t>עָלָיו</w:t>
      </w:r>
      <w:r>
        <w:rPr>
          <w:rFonts w:hint="cs"/>
          <w:rtl/>
          <w:lang w:eastAsia="he-IL"/>
        </w:rPr>
        <w:t xml:space="preserve">", כך גם האמוראים שבִקשו להראות שהם עומדים </w:t>
      </w:r>
      <w:r>
        <w:rPr>
          <w:rFonts w:hint="cs"/>
          <w:rtl/>
        </w:rPr>
        <w:t>"</w:t>
      </w:r>
      <w:r>
        <w:rPr>
          <w:rtl/>
        </w:rPr>
        <w:t>כעבדא ק</w:t>
      </w:r>
      <w:r>
        <w:rPr>
          <w:rFonts w:hint="cs"/>
          <w:rtl/>
        </w:rPr>
        <w:t>ַ</w:t>
      </w:r>
      <w:r>
        <w:rPr>
          <w:rtl/>
        </w:rPr>
        <w:t>מ</w:t>
      </w:r>
      <w:r>
        <w:rPr>
          <w:rFonts w:hint="cs"/>
          <w:rtl/>
        </w:rPr>
        <w:t>ֵּ</w:t>
      </w:r>
      <w:r>
        <w:rPr>
          <w:rtl/>
        </w:rPr>
        <w:t>י מ</w:t>
      </w:r>
      <w:r>
        <w:rPr>
          <w:rFonts w:hint="cs"/>
          <w:rtl/>
        </w:rPr>
        <w:t>ָ</w:t>
      </w:r>
      <w:r>
        <w:rPr>
          <w:rtl/>
        </w:rPr>
        <w:t>ר</w:t>
      </w:r>
      <w:r>
        <w:rPr>
          <w:rFonts w:hint="cs"/>
          <w:rtl/>
        </w:rPr>
        <w:t>ֵ</w:t>
      </w:r>
      <w:r>
        <w:rPr>
          <w:rtl/>
        </w:rPr>
        <w:t>יה</w:t>
      </w:r>
      <w:r>
        <w:rPr>
          <w:rFonts w:hint="cs"/>
          <w:rtl/>
        </w:rPr>
        <w:t>ּ", העבירו מעליהם את הבגד העליון והחשוב, ונותרו עם בגדיהם הפשוטים בלבד.</w:t>
      </w:r>
    </w:p>
    <w:p w14:paraId="4075E10D" w14:textId="77777777" w:rsidR="00273399" w:rsidRPr="00273399" w:rsidRDefault="00273399" w:rsidP="00273399">
      <w:pPr>
        <w:rPr>
          <w:rFonts w:hint="cs"/>
          <w:rtl/>
        </w:rPr>
      </w:pPr>
    </w:p>
    <w:p w14:paraId="054779FB" w14:textId="77777777" w:rsidR="00273399" w:rsidRDefault="00273399" w:rsidP="00273399">
      <w:pPr>
        <w:pStyle w:val="1"/>
        <w:rPr>
          <w:rFonts w:hint="cs"/>
          <w:rtl/>
        </w:rPr>
      </w:pPr>
      <w:r>
        <w:rPr>
          <w:rFonts w:hint="cs"/>
          <w:rtl/>
        </w:rPr>
        <w:lastRenderedPageBreak/>
        <w:t>דף י, א: "</w:t>
      </w:r>
      <w:r>
        <w:rPr>
          <w:rtl/>
        </w:rPr>
        <w:t>ופ</w:t>
      </w:r>
      <w:r>
        <w:rPr>
          <w:rFonts w:hint="cs"/>
          <w:rtl/>
        </w:rPr>
        <w:t>ָ</w:t>
      </w:r>
      <w:r>
        <w:rPr>
          <w:rtl/>
        </w:rPr>
        <w:t>כ</w:t>
      </w:r>
      <w:r>
        <w:rPr>
          <w:rFonts w:hint="cs"/>
          <w:rtl/>
        </w:rPr>
        <w:t>ַ</w:t>
      </w:r>
      <w:r>
        <w:rPr>
          <w:rtl/>
        </w:rPr>
        <w:t>ר י</w:t>
      </w:r>
      <w:r>
        <w:rPr>
          <w:rFonts w:hint="cs"/>
          <w:rtl/>
        </w:rPr>
        <w:t>ְ</w:t>
      </w:r>
      <w:r>
        <w:rPr>
          <w:rtl/>
        </w:rPr>
        <w:t>ד</w:t>
      </w:r>
      <w:r>
        <w:rPr>
          <w:rFonts w:hint="cs"/>
          <w:rtl/>
        </w:rPr>
        <w:t>ֵ</w:t>
      </w:r>
      <w:r>
        <w:rPr>
          <w:rtl/>
        </w:rPr>
        <w:t>יה</w:t>
      </w:r>
      <w:r>
        <w:rPr>
          <w:rFonts w:hint="cs"/>
          <w:rtl/>
        </w:rPr>
        <w:t>ּ"</w:t>
      </w:r>
    </w:p>
    <w:p w14:paraId="221F45E3" w14:textId="77777777" w:rsidR="00273399" w:rsidRDefault="00273399" w:rsidP="00273399">
      <w:pPr>
        <w:pStyle w:val="2"/>
        <w:rPr>
          <w:rFonts w:hint="cs"/>
          <w:rtl/>
        </w:rPr>
      </w:pPr>
      <w:r>
        <w:rPr>
          <w:rFonts w:hint="cs"/>
          <w:rtl/>
        </w:rPr>
        <w:t>פכירה ופריכה ומה שביניהם</w:t>
      </w:r>
    </w:p>
    <w:p w14:paraId="24C8D5AE" w14:textId="77777777" w:rsidR="00273399" w:rsidRDefault="00273399" w:rsidP="00273399">
      <w:pPr>
        <w:ind w:firstLine="284"/>
        <w:rPr>
          <w:rFonts w:hint="cs"/>
          <w:szCs w:val="22"/>
          <w:rtl/>
        </w:rPr>
      </w:pPr>
      <w:r>
        <w:rPr>
          <w:rFonts w:hint="cs"/>
          <w:rtl/>
        </w:rPr>
        <w:t xml:space="preserve">עתה נעסוק בהנהגה השלישית שמביא התלמוד כאן. לעומת שתי ההנהגות הקוטביות של </w:t>
      </w:r>
      <w:r>
        <w:rPr>
          <w:rtl/>
        </w:rPr>
        <w:t>רבא בר רב הונא</w:t>
      </w:r>
      <w:r>
        <w:rPr>
          <w:rFonts w:hint="cs"/>
          <w:rtl/>
        </w:rPr>
        <w:t xml:space="preserve"> מִזֶה, שעמד כמו שׂר בפני המלך, ושל </w:t>
      </w:r>
      <w:r>
        <w:rPr>
          <w:rtl/>
        </w:rPr>
        <w:t>רבא</w:t>
      </w:r>
      <w:r>
        <w:rPr>
          <w:rFonts w:hint="cs"/>
          <w:rtl/>
        </w:rPr>
        <w:t xml:space="preserve"> מזה, שעמד כמו עבד בפני המלך</w:t>
      </w:r>
      <w:r>
        <w:rPr>
          <w:rStyle w:val="a4"/>
          <w:rtl/>
        </w:rPr>
        <w:footnoteReference w:id="191"/>
      </w:r>
      <w:r>
        <w:rPr>
          <w:rFonts w:hint="cs"/>
          <w:rtl/>
        </w:rPr>
        <w:t>, בא רב אשי ומעיד על הפשרה שבהנהגתו של רב כהנא, וכך אמר:</w:t>
      </w:r>
      <w:r>
        <w:rPr>
          <w:rFonts w:hint="cs"/>
          <w:szCs w:val="22"/>
          <w:rtl/>
        </w:rPr>
        <w:t xml:space="preserve"> </w:t>
      </w:r>
    </w:p>
    <w:p w14:paraId="47BA413D" w14:textId="77777777" w:rsidR="00273399" w:rsidRDefault="00273399" w:rsidP="00273399">
      <w:pPr>
        <w:pStyle w:val="a7"/>
        <w:rPr>
          <w:rFonts w:hint="cs"/>
          <w:rtl/>
        </w:rPr>
      </w:pPr>
      <w:r>
        <w:rPr>
          <w:rFonts w:hint="cs"/>
          <w:szCs w:val="22"/>
          <w:rtl/>
        </w:rPr>
        <w:t>"</w:t>
      </w:r>
      <w:r>
        <w:rPr>
          <w:rtl/>
        </w:rPr>
        <w:t>אמר רב אשי: חזינא ליה לרב כהנא</w:t>
      </w:r>
      <w:r>
        <w:rPr>
          <w:rFonts w:hint="cs"/>
          <w:rtl/>
        </w:rPr>
        <w:t xml:space="preserve">: </w:t>
      </w:r>
    </w:p>
    <w:p w14:paraId="4F659082" w14:textId="77777777" w:rsidR="00273399" w:rsidRDefault="00273399" w:rsidP="00273399">
      <w:pPr>
        <w:pStyle w:val="a7"/>
        <w:rPr>
          <w:rFonts w:hint="cs"/>
          <w:rtl/>
        </w:rPr>
      </w:pPr>
      <w:r>
        <w:rPr>
          <w:rtl/>
        </w:rPr>
        <w:t>כי איכא צערא בעלמא</w:t>
      </w:r>
      <w:r>
        <w:rPr>
          <w:rStyle w:val="a4"/>
          <w:rtl/>
        </w:rPr>
        <w:footnoteReference w:id="192"/>
      </w:r>
      <w:r>
        <w:rPr>
          <w:rtl/>
        </w:rPr>
        <w:t xml:space="preserve"> - ש</w:t>
      </w:r>
      <w:r>
        <w:rPr>
          <w:rFonts w:hint="cs"/>
          <w:rtl/>
        </w:rPr>
        <w:t>ָׁ</w:t>
      </w:r>
      <w:r>
        <w:rPr>
          <w:rtl/>
        </w:rPr>
        <w:t>ד</w:t>
      </w:r>
      <w:r>
        <w:rPr>
          <w:rFonts w:hint="cs"/>
          <w:rtl/>
        </w:rPr>
        <w:t>ֵ</w:t>
      </w:r>
      <w:r>
        <w:rPr>
          <w:rtl/>
        </w:rPr>
        <w:t>י גלימ</w:t>
      </w:r>
      <w:r>
        <w:rPr>
          <w:rFonts w:hint="cs"/>
          <w:rtl/>
        </w:rPr>
        <w:t>ֵ</w:t>
      </w:r>
      <w:r>
        <w:rPr>
          <w:rtl/>
        </w:rPr>
        <w:t>יה</w:t>
      </w:r>
      <w:r>
        <w:rPr>
          <w:rFonts w:hint="cs"/>
          <w:rtl/>
        </w:rPr>
        <w:t>ּ</w:t>
      </w:r>
      <w:r>
        <w:rPr>
          <w:rtl/>
        </w:rPr>
        <w:t xml:space="preserve"> </w:t>
      </w:r>
      <w:r>
        <w:rPr>
          <w:b/>
          <w:bCs/>
          <w:rtl/>
        </w:rPr>
        <w:t>ופ</w:t>
      </w:r>
      <w:r>
        <w:rPr>
          <w:rFonts w:hint="cs"/>
          <w:b/>
          <w:bCs/>
          <w:rtl/>
        </w:rPr>
        <w:t>ָ</w:t>
      </w:r>
      <w:r>
        <w:rPr>
          <w:b/>
          <w:bCs/>
          <w:rtl/>
        </w:rPr>
        <w:t>כ</w:t>
      </w:r>
      <w:r>
        <w:rPr>
          <w:rFonts w:hint="cs"/>
          <w:b/>
          <w:bCs/>
          <w:rtl/>
        </w:rPr>
        <w:t>ַ</w:t>
      </w:r>
      <w:r>
        <w:rPr>
          <w:b/>
          <w:bCs/>
          <w:rtl/>
        </w:rPr>
        <w:t>ר</w:t>
      </w:r>
      <w:r>
        <w:rPr>
          <w:rtl/>
        </w:rPr>
        <w:t xml:space="preserve"> י</w:t>
      </w:r>
      <w:r>
        <w:rPr>
          <w:rFonts w:hint="cs"/>
          <w:rtl/>
        </w:rPr>
        <w:t>ְ</w:t>
      </w:r>
      <w:r>
        <w:rPr>
          <w:rtl/>
        </w:rPr>
        <w:t>ד</w:t>
      </w:r>
      <w:r>
        <w:rPr>
          <w:rFonts w:hint="cs"/>
          <w:rtl/>
        </w:rPr>
        <w:t>ֵ</w:t>
      </w:r>
      <w:r>
        <w:rPr>
          <w:rtl/>
        </w:rPr>
        <w:t>יה</w:t>
      </w:r>
      <w:r>
        <w:rPr>
          <w:rFonts w:hint="cs"/>
          <w:rtl/>
        </w:rPr>
        <w:t>ּ</w:t>
      </w:r>
      <w:r>
        <w:rPr>
          <w:rtl/>
        </w:rPr>
        <w:t xml:space="preserve"> ומ</w:t>
      </w:r>
      <w:r>
        <w:rPr>
          <w:rFonts w:hint="cs"/>
          <w:rtl/>
        </w:rPr>
        <w:t>ְ</w:t>
      </w:r>
      <w:r>
        <w:rPr>
          <w:rtl/>
        </w:rPr>
        <w:t>צ</w:t>
      </w:r>
      <w:r>
        <w:rPr>
          <w:rFonts w:hint="cs"/>
          <w:rtl/>
        </w:rPr>
        <w:t>ַ</w:t>
      </w:r>
      <w:r>
        <w:rPr>
          <w:rtl/>
        </w:rPr>
        <w:t>ל</w:t>
      </w:r>
      <w:r>
        <w:rPr>
          <w:rFonts w:hint="cs"/>
          <w:rtl/>
        </w:rPr>
        <w:t>ֵּ</w:t>
      </w:r>
      <w:r>
        <w:rPr>
          <w:rtl/>
        </w:rPr>
        <w:t>י, אמר: כעבדא ק</w:t>
      </w:r>
      <w:r>
        <w:rPr>
          <w:rFonts w:hint="cs"/>
          <w:rtl/>
        </w:rPr>
        <w:t>ַ</w:t>
      </w:r>
      <w:r>
        <w:rPr>
          <w:rtl/>
        </w:rPr>
        <w:t>מ</w:t>
      </w:r>
      <w:r>
        <w:rPr>
          <w:rFonts w:hint="cs"/>
          <w:rtl/>
        </w:rPr>
        <w:t>ֵּ</w:t>
      </w:r>
      <w:r>
        <w:rPr>
          <w:rtl/>
        </w:rPr>
        <w:t>י מ</w:t>
      </w:r>
      <w:r>
        <w:rPr>
          <w:rFonts w:hint="cs"/>
          <w:rtl/>
        </w:rPr>
        <w:t>ָ</w:t>
      </w:r>
      <w:r>
        <w:rPr>
          <w:rtl/>
        </w:rPr>
        <w:t>ר</w:t>
      </w:r>
      <w:r>
        <w:rPr>
          <w:rFonts w:hint="cs"/>
          <w:rtl/>
        </w:rPr>
        <w:t>ֵ</w:t>
      </w:r>
      <w:r>
        <w:rPr>
          <w:rtl/>
        </w:rPr>
        <w:t>יה</w:t>
      </w:r>
      <w:r>
        <w:rPr>
          <w:rFonts w:hint="cs"/>
          <w:rtl/>
        </w:rPr>
        <w:t>ּ</w:t>
      </w:r>
      <w:r>
        <w:rPr>
          <w:rtl/>
        </w:rPr>
        <w:t xml:space="preserve">. </w:t>
      </w:r>
    </w:p>
    <w:p w14:paraId="0665B2C8" w14:textId="77777777" w:rsidR="00273399" w:rsidRDefault="00273399" w:rsidP="00273399">
      <w:pPr>
        <w:pStyle w:val="a7"/>
        <w:rPr>
          <w:rFonts w:hint="cs"/>
          <w:rtl/>
        </w:rPr>
      </w:pPr>
      <w:r>
        <w:rPr>
          <w:rtl/>
        </w:rPr>
        <w:t>כי איכא שלמא - לביש ומתכסי ומתעטף ומ</w:t>
      </w:r>
      <w:r>
        <w:rPr>
          <w:rFonts w:hint="cs"/>
          <w:rtl/>
        </w:rPr>
        <w:t>ְ</w:t>
      </w:r>
      <w:r>
        <w:rPr>
          <w:rtl/>
        </w:rPr>
        <w:t>צ</w:t>
      </w:r>
      <w:r>
        <w:rPr>
          <w:rFonts w:hint="cs"/>
          <w:rtl/>
        </w:rPr>
        <w:t>ַ</w:t>
      </w:r>
      <w:r>
        <w:rPr>
          <w:rtl/>
        </w:rPr>
        <w:t>ל</w:t>
      </w:r>
      <w:r>
        <w:rPr>
          <w:rFonts w:hint="cs"/>
          <w:rtl/>
        </w:rPr>
        <w:t>ֵּ</w:t>
      </w:r>
      <w:r>
        <w:rPr>
          <w:rtl/>
        </w:rPr>
        <w:t>י, אמר: הכון לקראת אלהיך ישראל</w:t>
      </w:r>
      <w:r>
        <w:rPr>
          <w:rFonts w:hint="cs"/>
          <w:rtl/>
        </w:rPr>
        <w:t>"</w:t>
      </w:r>
      <w:r>
        <w:rPr>
          <w:rtl/>
        </w:rPr>
        <w:t>.</w:t>
      </w:r>
    </w:p>
    <w:p w14:paraId="0688572F" w14:textId="77777777" w:rsidR="00273399" w:rsidRDefault="00273399" w:rsidP="00273399">
      <w:pPr>
        <w:ind w:firstLine="284"/>
        <w:rPr>
          <w:rFonts w:hint="cs"/>
          <w:rtl/>
        </w:rPr>
      </w:pPr>
      <w:r>
        <w:rPr>
          <w:rFonts w:hint="cs"/>
          <w:rtl/>
        </w:rPr>
        <w:t xml:space="preserve">כלומר, כאשר יש צער בעולם, </w:t>
      </w:r>
      <w:r>
        <w:rPr>
          <w:rtl/>
        </w:rPr>
        <w:t>רב כהנא</w:t>
      </w:r>
      <w:r>
        <w:rPr>
          <w:rFonts w:hint="cs"/>
          <w:rtl/>
        </w:rPr>
        <w:t xml:space="preserve"> פושט גלימתו ו"פוכר" ידיו ומתפלל, כלומר: כעבד לפני אדונו</w:t>
      </w:r>
      <w:r>
        <w:rPr>
          <w:rtl/>
        </w:rPr>
        <w:t>.</w:t>
      </w:r>
      <w:r>
        <w:rPr>
          <w:rFonts w:hint="cs"/>
          <w:rtl/>
        </w:rPr>
        <w:t xml:space="preserve"> וכשיש שלום, מתלבש ומתכסה ומתעטף כהלכה בבגדים המכובדים לעומד בפני מלך.</w:t>
      </w:r>
    </w:p>
    <w:p w14:paraId="37856637" w14:textId="77777777" w:rsidR="00273399" w:rsidRDefault="00273399" w:rsidP="00273399">
      <w:pPr>
        <w:ind w:firstLine="284"/>
        <w:rPr>
          <w:rFonts w:hint="cs"/>
          <w:rtl/>
        </w:rPr>
      </w:pPr>
      <w:r>
        <w:rPr>
          <w:rFonts w:hint="cs"/>
          <w:rtl/>
        </w:rPr>
        <w:lastRenderedPageBreak/>
        <w:t xml:space="preserve">נחלקו הדעות בהסבר "פכירת ידיִם" בשעת התפילה, הבאה לבטא כלפי חוץ את שעבוד לִבּו של המתפלל למרותו של רִבון העולם. </w:t>
      </w:r>
    </w:p>
    <w:p w14:paraId="13AF120B" w14:textId="77777777" w:rsidR="00273399" w:rsidRDefault="00273399" w:rsidP="00273399">
      <w:pPr>
        <w:ind w:firstLine="284"/>
        <w:rPr>
          <w:rFonts w:hint="cs"/>
          <w:rtl/>
        </w:rPr>
      </w:pPr>
      <w:r>
        <w:rPr>
          <w:rFonts w:hint="cs"/>
          <w:rtl/>
        </w:rPr>
        <w:t xml:space="preserve">שורש פכ"ר מתועד בארמית הבבלית רק כאן, ולכן על מנת להבין את משמעותו המדויקת של </w:t>
      </w:r>
      <w:r>
        <w:rPr>
          <w:rFonts w:hint="cs"/>
          <w:sz w:val="14"/>
          <w:rtl/>
        </w:rPr>
        <w:t>הפֹעַל "</w:t>
      </w:r>
      <w:r>
        <w:rPr>
          <w:rtl/>
        </w:rPr>
        <w:t>פ</w:t>
      </w:r>
      <w:r>
        <w:rPr>
          <w:rFonts w:hint="cs"/>
          <w:rtl/>
        </w:rPr>
        <w:t>ָ</w:t>
      </w:r>
      <w:r>
        <w:rPr>
          <w:rtl/>
        </w:rPr>
        <w:t>כר</w:t>
      </w:r>
      <w:r>
        <w:rPr>
          <w:rFonts w:hint="cs"/>
          <w:rtl/>
        </w:rPr>
        <w:t>", כדאי להיעזר (בזהירות) בניבים ארמיים אחרים. השורש לא נמצא בארמית המקראית, אך מצאנוהו בתרגומי המקרא לארמית, בארמית הארץ ישראלית ובארמית הסורית, כדלהלן.</w:t>
      </w:r>
    </w:p>
    <w:p w14:paraId="3E53DD1A" w14:textId="77777777" w:rsidR="00273399" w:rsidRDefault="00273399" w:rsidP="00273399">
      <w:pPr>
        <w:ind w:firstLine="284"/>
        <w:rPr>
          <w:rFonts w:hint="cs"/>
          <w:rtl/>
        </w:rPr>
      </w:pPr>
      <w:r>
        <w:rPr>
          <w:rFonts w:hint="cs"/>
          <w:rtl/>
        </w:rPr>
        <w:t>נעיין בפירוש רש"י כאן: "</w:t>
      </w:r>
      <w:r>
        <w:rPr>
          <w:rtl/>
        </w:rPr>
        <w:t xml:space="preserve">פכר ידיה - </w:t>
      </w:r>
      <w:r>
        <w:rPr>
          <w:rFonts w:hint="cs"/>
          <w:rtl/>
        </w:rPr>
        <w:t>חובק ידיו באצבעותיו</w:t>
      </w:r>
      <w:r>
        <w:rPr>
          <w:rStyle w:val="a4"/>
          <w:rtl/>
        </w:rPr>
        <w:footnoteReference w:id="193"/>
      </w:r>
      <w:r>
        <w:rPr>
          <w:rFonts w:hint="cs"/>
          <w:rtl/>
        </w:rPr>
        <w:t>, מרצי"ר בלע"ז</w:t>
      </w:r>
      <w:r>
        <w:rPr>
          <w:rStyle w:val="a4"/>
          <w:rtl/>
        </w:rPr>
        <w:footnoteReference w:id="194"/>
      </w:r>
      <w:r>
        <w:rPr>
          <w:rFonts w:hint="cs"/>
          <w:rtl/>
        </w:rPr>
        <w:t>, כאדם המצטער מאימת רבו". יתכן ללמוד מכאן שמשמעות שורש פכ"ר הארמי מקבילה לשורש חב"ק העִברי</w:t>
      </w:r>
      <w:r>
        <w:rPr>
          <w:rStyle w:val="a4"/>
          <w:rtl/>
        </w:rPr>
        <w:footnoteReference w:id="195"/>
      </w:r>
      <w:r>
        <w:rPr>
          <w:rFonts w:hint="cs"/>
          <w:rtl/>
        </w:rPr>
        <w:t>. תימוכין להבנה זו יש בארמית הסורית</w:t>
      </w:r>
      <w:r>
        <w:rPr>
          <w:rStyle w:val="a4"/>
          <w:rtl/>
        </w:rPr>
        <w:footnoteReference w:id="196"/>
      </w:r>
      <w:r>
        <w:rPr>
          <w:rFonts w:hint="cs"/>
          <w:rtl/>
        </w:rPr>
        <w:t>.</w:t>
      </w:r>
    </w:p>
    <w:p w14:paraId="3256159F" w14:textId="77777777" w:rsidR="00273399" w:rsidRDefault="00273399" w:rsidP="00273399">
      <w:pPr>
        <w:ind w:firstLine="284"/>
        <w:rPr>
          <w:rFonts w:hint="cs"/>
          <w:rtl/>
        </w:rPr>
      </w:pPr>
      <w:r>
        <w:rPr>
          <w:rFonts w:hint="cs"/>
          <w:rtl/>
        </w:rPr>
        <w:lastRenderedPageBreak/>
        <w:t xml:space="preserve">ברם, ניתן לפרש </w:t>
      </w:r>
      <w:r>
        <w:rPr>
          <w:rFonts w:hint="cs"/>
          <w:sz w:val="14"/>
          <w:rtl/>
        </w:rPr>
        <w:t>כי לפנינו דוגמה לפירוש רש"י שאיננו מילולי, אלא ענייני בלבד</w:t>
      </w:r>
      <w:r>
        <w:rPr>
          <w:rStyle w:val="a4"/>
          <w:rtl/>
        </w:rPr>
        <w:footnoteReference w:id="197"/>
      </w:r>
      <w:r>
        <w:rPr>
          <w:rFonts w:hint="cs"/>
          <w:sz w:val="14"/>
          <w:rtl/>
        </w:rPr>
        <w:t xml:space="preserve">. אין כוונת </w:t>
      </w:r>
      <w:r>
        <w:rPr>
          <w:rFonts w:hint="cs"/>
          <w:rtl/>
        </w:rPr>
        <w:t xml:space="preserve">רש"י </w:t>
      </w:r>
      <w:r>
        <w:rPr>
          <w:rFonts w:hint="cs"/>
          <w:sz w:val="14"/>
          <w:rtl/>
        </w:rPr>
        <w:t>לטעון כי משמעותו המילולית של הפֹעַל "</w:t>
      </w:r>
      <w:r>
        <w:rPr>
          <w:rtl/>
        </w:rPr>
        <w:t>פ</w:t>
      </w:r>
      <w:r>
        <w:rPr>
          <w:rFonts w:hint="cs"/>
          <w:rtl/>
        </w:rPr>
        <w:t>ָ</w:t>
      </w:r>
      <w:r>
        <w:rPr>
          <w:rtl/>
        </w:rPr>
        <w:t>כר</w:t>
      </w:r>
      <w:r>
        <w:rPr>
          <w:rFonts w:hint="cs"/>
          <w:rtl/>
        </w:rPr>
        <w:t>"</w:t>
      </w:r>
      <w:r>
        <w:rPr>
          <w:rtl/>
        </w:rPr>
        <w:t xml:space="preserve"> </w:t>
      </w:r>
      <w:r>
        <w:rPr>
          <w:rFonts w:hint="cs"/>
          <w:rtl/>
        </w:rPr>
        <w:t>הוא "חובק". מסתבר כי שורש פכ"ר הארמי מקביל באופן מילולי לשורש שׁב"ר העִברי, כמו שורש פר"כ, "אחיו התְאוֹם" (ע"י שיכול אותיות), המצוי גם בארמית</w:t>
      </w:r>
      <w:r>
        <w:rPr>
          <w:rStyle w:val="a4"/>
          <w:rtl/>
        </w:rPr>
        <w:footnoteReference w:id="198"/>
      </w:r>
      <w:r>
        <w:rPr>
          <w:rFonts w:hint="cs"/>
          <w:rtl/>
        </w:rPr>
        <w:t xml:space="preserve"> וגם בעברית</w:t>
      </w:r>
      <w:r>
        <w:rPr>
          <w:rStyle w:val="a4"/>
          <w:rtl/>
        </w:rPr>
        <w:footnoteReference w:id="199"/>
      </w:r>
      <w:r>
        <w:rPr>
          <w:rFonts w:hint="cs"/>
          <w:rtl/>
        </w:rPr>
        <w:t>. כוונת</w:t>
      </w:r>
      <w:r>
        <w:rPr>
          <w:rFonts w:hint="cs"/>
          <w:sz w:val="14"/>
          <w:rtl/>
        </w:rPr>
        <w:t xml:space="preserve"> רש"י לבאר מהי "פכירה" (=שבירה) זו באופן מעשִי: כיפוף אצבעות הידיִם וחיבוקן באופן הנ"ל, וכך נראות הידיִם כאילו שְבָרוּם ופרכום. </w:t>
      </w:r>
      <w:r>
        <w:rPr>
          <w:rtl/>
        </w:rPr>
        <w:t xml:space="preserve">סיוע להבנה זו ברש"י </w:t>
      </w:r>
      <w:r>
        <w:rPr>
          <w:rFonts w:hint="cs"/>
          <w:rtl/>
        </w:rPr>
        <w:t xml:space="preserve">יש להביא </w:t>
      </w:r>
      <w:r>
        <w:rPr>
          <w:rtl/>
        </w:rPr>
        <w:t xml:space="preserve">מפירושו לאיכה </w:t>
      </w:r>
      <w:r>
        <w:rPr>
          <w:sz w:val="18"/>
          <w:szCs w:val="20"/>
          <w:rtl/>
        </w:rPr>
        <w:t>א, יז</w:t>
      </w:r>
      <w:r>
        <w:rPr>
          <w:rtl/>
        </w:rPr>
        <w:t>: "כאדם המצטער ש</w:t>
      </w:r>
      <w:r>
        <w:rPr>
          <w:b/>
          <w:bCs/>
          <w:rtl/>
        </w:rPr>
        <w:t>חובק</w:t>
      </w:r>
      <w:r>
        <w:rPr>
          <w:rtl/>
        </w:rPr>
        <w:t xml:space="preserve"> את ידיו ו</w:t>
      </w:r>
      <w:r>
        <w:rPr>
          <w:b/>
          <w:bCs/>
          <w:rtl/>
        </w:rPr>
        <w:t>משבר</w:t>
      </w:r>
      <w:r>
        <w:rPr>
          <w:rtl/>
        </w:rPr>
        <w:t>ם</w:t>
      </w:r>
      <w:r>
        <w:rPr>
          <w:rFonts w:hint="cs"/>
          <w:rtl/>
        </w:rPr>
        <w:t>".</w:t>
      </w:r>
    </w:p>
    <w:p w14:paraId="2B88532C" w14:textId="77777777" w:rsidR="00273399" w:rsidRDefault="00273399" w:rsidP="00273399">
      <w:pPr>
        <w:ind w:firstLine="284"/>
        <w:rPr>
          <w:rFonts w:hint="cs"/>
          <w:rtl/>
        </w:rPr>
      </w:pPr>
      <w:r>
        <w:rPr>
          <w:rFonts w:hint="cs"/>
          <w:sz w:val="14"/>
          <w:rtl/>
        </w:rPr>
        <w:lastRenderedPageBreak/>
        <w:t xml:space="preserve">ואכן שורש פכ"ר נמצא במשמעות זו כמה פעמים בלשון </w:t>
      </w:r>
      <w:r>
        <w:rPr>
          <w:rFonts w:hint="cs"/>
          <w:rtl/>
        </w:rPr>
        <w:t>התרגומים הארץ</w:t>
      </w:r>
      <w:r>
        <w:rPr>
          <w:rFonts w:hint="cs"/>
          <w:vertAlign w:val="superscript"/>
          <w:rtl/>
        </w:rPr>
        <w:t>-</w:t>
      </w:r>
      <w:r>
        <w:rPr>
          <w:rFonts w:hint="cs"/>
          <w:rtl/>
        </w:rPr>
        <w:t>ישראליים לתורה</w:t>
      </w:r>
      <w:r>
        <w:rPr>
          <w:rStyle w:val="a4"/>
          <w:rtl/>
        </w:rPr>
        <w:footnoteReference w:id="200"/>
      </w:r>
      <w:r>
        <w:rPr>
          <w:rFonts w:hint="cs"/>
          <w:rtl/>
        </w:rPr>
        <w:t xml:space="preserve"> ובלשון</w:t>
      </w:r>
      <w:r>
        <w:rPr>
          <w:rtl/>
        </w:rPr>
        <w:t xml:space="preserve"> בראשית רבה</w:t>
      </w:r>
      <w:r>
        <w:rPr>
          <w:rFonts w:hint="cs"/>
          <w:rtl/>
        </w:rPr>
        <w:t>, כגון</w:t>
      </w:r>
      <w:r>
        <w:rPr>
          <w:rtl/>
        </w:rPr>
        <w:t xml:space="preserve"> (</w:t>
      </w:r>
      <w:r>
        <w:rPr>
          <w:sz w:val="18"/>
          <w:szCs w:val="20"/>
          <w:rtl/>
        </w:rPr>
        <w:t>פרשה כג</w:t>
      </w:r>
      <w:r>
        <w:rPr>
          <w:rFonts w:hint="cs"/>
          <w:sz w:val="18"/>
          <w:szCs w:val="20"/>
          <w:rtl/>
        </w:rPr>
        <w:t xml:space="preserve">, </w:t>
      </w:r>
      <w:r>
        <w:rPr>
          <w:sz w:val="18"/>
          <w:szCs w:val="20"/>
          <w:rtl/>
        </w:rPr>
        <w:t>ה</w:t>
      </w:r>
      <w:r>
        <w:rPr>
          <w:rFonts w:hint="cs"/>
          <w:rtl/>
        </w:rPr>
        <w:t>): "</w:t>
      </w:r>
      <w:r>
        <w:rPr>
          <w:rtl/>
        </w:rPr>
        <w:t>תחת הבל כי הרגו קין</w:t>
      </w:r>
      <w:r>
        <w:rPr>
          <w:rFonts w:hint="cs"/>
          <w:rtl/>
        </w:rPr>
        <w:t xml:space="preserve"> -</w:t>
      </w:r>
      <w:r>
        <w:rPr>
          <w:rtl/>
        </w:rPr>
        <w:t xml:space="preserve"> מחטייה של הבל נהרג קין</w:t>
      </w:r>
      <w:r>
        <w:rPr>
          <w:rFonts w:hint="cs"/>
          <w:rtl/>
        </w:rPr>
        <w:t>;</w:t>
      </w:r>
      <w:r>
        <w:rPr>
          <w:rtl/>
        </w:rPr>
        <w:t xml:space="preserve"> לשני אילנות שהיו סמוכין זה לזה</w:t>
      </w:r>
      <w:r>
        <w:rPr>
          <w:rFonts w:hint="cs"/>
          <w:rtl/>
        </w:rPr>
        <w:t xml:space="preserve"> </w:t>
      </w:r>
      <w:r>
        <w:rPr>
          <w:rtl/>
        </w:rPr>
        <w:t>פ</w:t>
      </w:r>
      <w:r>
        <w:rPr>
          <w:rFonts w:hint="cs"/>
          <w:rtl/>
        </w:rPr>
        <w:t>ָ</w:t>
      </w:r>
      <w:r>
        <w:rPr>
          <w:rtl/>
        </w:rPr>
        <w:t>כ</w:t>
      </w:r>
      <w:r>
        <w:rPr>
          <w:rFonts w:hint="cs"/>
          <w:rtl/>
        </w:rPr>
        <w:t>ְ</w:t>
      </w:r>
      <w:r>
        <w:rPr>
          <w:rtl/>
        </w:rPr>
        <w:t>ר</w:t>
      </w:r>
      <w:r>
        <w:rPr>
          <w:rFonts w:hint="cs"/>
          <w:rtl/>
        </w:rPr>
        <w:t>ָ</w:t>
      </w:r>
      <w:r>
        <w:rPr>
          <w:rtl/>
        </w:rPr>
        <w:t>ה רוח את אחד מהן ונפל על חבירו ופ</w:t>
      </w:r>
      <w:r>
        <w:rPr>
          <w:rFonts w:hint="cs"/>
          <w:rtl/>
        </w:rPr>
        <w:t>ְ</w:t>
      </w:r>
      <w:r>
        <w:rPr>
          <w:rtl/>
        </w:rPr>
        <w:t>כ</w:t>
      </w:r>
      <w:r>
        <w:rPr>
          <w:rFonts w:hint="cs"/>
          <w:rtl/>
        </w:rPr>
        <w:t>ָ</w:t>
      </w:r>
      <w:r>
        <w:rPr>
          <w:rtl/>
        </w:rPr>
        <w:t>רו</w:t>
      </w:r>
      <w:r>
        <w:rPr>
          <w:rFonts w:hint="cs"/>
          <w:rtl/>
        </w:rPr>
        <w:t>ֹ"</w:t>
      </w:r>
      <w:r>
        <w:rPr>
          <w:rStyle w:val="a4"/>
          <w:rtl/>
        </w:rPr>
        <w:footnoteReference w:id="201"/>
      </w:r>
      <w:r>
        <w:rPr>
          <w:rFonts w:hint="cs"/>
          <w:rtl/>
        </w:rPr>
        <w:t>. יתכן שגם בארמית הבבלית משמש פכ"ר חלופה שוות משמעות ("אלטרננטה" בלעז) בהוראת שבירה</w:t>
      </w:r>
      <w:r>
        <w:rPr>
          <w:rStyle w:val="a4"/>
          <w:rtl/>
        </w:rPr>
        <w:footnoteReference w:id="202"/>
      </w:r>
      <w:r>
        <w:rPr>
          <w:rFonts w:hint="cs"/>
          <w:rtl/>
        </w:rPr>
        <w:t>.</w:t>
      </w:r>
    </w:p>
    <w:p w14:paraId="27EB93BB" w14:textId="77777777" w:rsidR="00273399" w:rsidRDefault="00273399" w:rsidP="00273399">
      <w:pPr>
        <w:ind w:firstLine="284"/>
        <w:rPr>
          <w:rFonts w:hint="cs"/>
          <w:rtl/>
        </w:rPr>
      </w:pPr>
      <w:r>
        <w:rPr>
          <w:rFonts w:hint="cs"/>
          <w:rtl/>
        </w:rPr>
        <w:t>אמנם, יש מבחינים בין שורש פר"כ שעניינו שבירה או עבודה קשה, לבין פכ"ר שעניינו חִבּוק ושִלּוב האצבעות מחמת צער</w:t>
      </w:r>
      <w:r>
        <w:rPr>
          <w:rStyle w:val="a4"/>
          <w:rtl/>
        </w:rPr>
        <w:footnoteReference w:id="203"/>
      </w:r>
      <w:r>
        <w:rPr>
          <w:rFonts w:hint="cs"/>
          <w:rtl/>
        </w:rPr>
        <w:t>.</w:t>
      </w:r>
    </w:p>
    <w:p w14:paraId="138F311F" w14:textId="77777777" w:rsidR="00273399" w:rsidRDefault="00273399" w:rsidP="00273399">
      <w:pPr>
        <w:ind w:firstLine="284"/>
        <w:rPr>
          <w:rFonts w:hint="cs"/>
          <w:color w:val="FF0000"/>
          <w:sz w:val="14"/>
          <w:rtl/>
        </w:rPr>
      </w:pPr>
      <w:r>
        <w:rPr>
          <w:rFonts w:hint="cs"/>
          <w:rtl/>
        </w:rPr>
        <w:lastRenderedPageBreak/>
        <w:t>לעיון נוסף בעניי</w:t>
      </w:r>
      <w:r>
        <w:rPr>
          <w:rFonts w:hint="eastAsia"/>
          <w:rtl/>
        </w:rPr>
        <w:t>ן</w:t>
      </w:r>
      <w:r>
        <w:rPr>
          <w:rFonts w:hint="cs"/>
          <w:rtl/>
        </w:rPr>
        <w:t xml:space="preserve"> "פכירת ידיִם" בתפילה ראה: רמב"ם </w:t>
      </w:r>
      <w:r>
        <w:rPr>
          <w:rFonts w:hint="cs"/>
          <w:sz w:val="18"/>
          <w:szCs w:val="20"/>
          <w:rtl/>
        </w:rPr>
        <w:t xml:space="preserve">הל' תפילה פ"ה ה"ד ונו"כ; </w:t>
      </w:r>
      <w:r>
        <w:rPr>
          <w:sz w:val="26"/>
          <w:rtl/>
        </w:rPr>
        <w:t xml:space="preserve">מגן אבות </w:t>
      </w:r>
      <w:r>
        <w:rPr>
          <w:sz w:val="18"/>
          <w:szCs w:val="20"/>
          <w:rtl/>
        </w:rPr>
        <w:t>לרשב"ץ על אבות פ</w:t>
      </w:r>
      <w:r>
        <w:rPr>
          <w:rFonts w:hint="cs"/>
          <w:sz w:val="18"/>
          <w:szCs w:val="20"/>
          <w:rtl/>
        </w:rPr>
        <w:t>"</w:t>
      </w:r>
      <w:r>
        <w:rPr>
          <w:sz w:val="18"/>
          <w:szCs w:val="20"/>
          <w:rtl/>
        </w:rPr>
        <w:t>ב</w:t>
      </w:r>
      <w:r>
        <w:rPr>
          <w:rFonts w:hint="cs"/>
          <w:sz w:val="18"/>
          <w:szCs w:val="20"/>
          <w:rtl/>
        </w:rPr>
        <w:t xml:space="preserve">, </w:t>
      </w:r>
      <w:r>
        <w:rPr>
          <w:sz w:val="18"/>
          <w:szCs w:val="20"/>
          <w:rtl/>
        </w:rPr>
        <w:t>יח</w:t>
      </w:r>
      <w:r>
        <w:rPr>
          <w:rFonts w:hint="cs"/>
          <w:sz w:val="18"/>
          <w:szCs w:val="20"/>
          <w:rtl/>
        </w:rPr>
        <w:t xml:space="preserve">; </w:t>
      </w:r>
      <w:r>
        <w:rPr>
          <w:rFonts w:hint="cs"/>
          <w:rtl/>
        </w:rPr>
        <w:t xml:space="preserve">טור </w:t>
      </w:r>
      <w:r>
        <w:rPr>
          <w:rFonts w:hint="cs"/>
          <w:sz w:val="18"/>
          <w:szCs w:val="20"/>
          <w:rtl/>
        </w:rPr>
        <w:t xml:space="preserve">או"ח סוף סימן צ"א </w:t>
      </w:r>
      <w:r>
        <w:rPr>
          <w:rFonts w:hint="cs"/>
          <w:rtl/>
        </w:rPr>
        <w:t xml:space="preserve">והגהת הרמ"א </w:t>
      </w:r>
      <w:r>
        <w:rPr>
          <w:rFonts w:hint="cs"/>
          <w:sz w:val="18"/>
          <w:szCs w:val="20"/>
          <w:rtl/>
        </w:rPr>
        <w:t xml:space="preserve">לשו"ע שם </w:t>
      </w:r>
      <w:r>
        <w:rPr>
          <w:sz w:val="18"/>
          <w:szCs w:val="20"/>
          <w:rtl/>
        </w:rPr>
        <w:t>סעיף ו</w:t>
      </w:r>
      <w:r>
        <w:rPr>
          <w:rFonts w:hint="cs"/>
          <w:sz w:val="18"/>
          <w:szCs w:val="20"/>
          <w:rtl/>
        </w:rPr>
        <w:t xml:space="preserve">; </w:t>
      </w:r>
      <w:r>
        <w:rPr>
          <w:rtl/>
        </w:rPr>
        <w:t xml:space="preserve">בית יוסף </w:t>
      </w:r>
      <w:r>
        <w:rPr>
          <w:rFonts w:hint="cs"/>
          <w:rtl/>
        </w:rPr>
        <w:t xml:space="preserve">וב"ח </w:t>
      </w:r>
      <w:r>
        <w:rPr>
          <w:rFonts w:hint="cs"/>
          <w:sz w:val="18"/>
          <w:szCs w:val="20"/>
          <w:rtl/>
        </w:rPr>
        <w:t xml:space="preserve">סוף </w:t>
      </w:r>
      <w:r>
        <w:rPr>
          <w:sz w:val="18"/>
          <w:szCs w:val="20"/>
          <w:rtl/>
        </w:rPr>
        <w:t>סימן צ</w:t>
      </w:r>
      <w:r>
        <w:rPr>
          <w:rFonts w:hint="cs"/>
          <w:sz w:val="18"/>
          <w:szCs w:val="20"/>
          <w:rtl/>
        </w:rPr>
        <w:t>"</w:t>
      </w:r>
      <w:r>
        <w:rPr>
          <w:sz w:val="18"/>
          <w:szCs w:val="20"/>
          <w:rtl/>
        </w:rPr>
        <w:t>ה</w:t>
      </w:r>
      <w:r>
        <w:rPr>
          <w:rFonts w:hint="cs"/>
          <w:sz w:val="18"/>
          <w:szCs w:val="20"/>
          <w:rtl/>
        </w:rPr>
        <w:t xml:space="preserve">; </w:t>
      </w:r>
      <w:r>
        <w:rPr>
          <w:rFonts w:hint="cs"/>
          <w:rtl/>
        </w:rPr>
        <w:t xml:space="preserve">ושו"ע </w:t>
      </w:r>
      <w:r>
        <w:rPr>
          <w:rFonts w:hint="cs"/>
          <w:sz w:val="18"/>
          <w:szCs w:val="20"/>
          <w:rtl/>
        </w:rPr>
        <w:t xml:space="preserve">שם </w:t>
      </w:r>
      <w:r>
        <w:rPr>
          <w:sz w:val="18"/>
          <w:szCs w:val="20"/>
          <w:rtl/>
        </w:rPr>
        <w:t xml:space="preserve">סעיף </w:t>
      </w:r>
      <w:r>
        <w:rPr>
          <w:rFonts w:hint="cs"/>
          <w:sz w:val="18"/>
          <w:szCs w:val="20"/>
          <w:rtl/>
        </w:rPr>
        <w:t xml:space="preserve">ג' ונו"כ; </w:t>
      </w:r>
      <w:r>
        <w:rPr>
          <w:sz w:val="14"/>
          <w:rtl/>
        </w:rPr>
        <w:t xml:space="preserve">שו"ת באר שבע </w:t>
      </w:r>
      <w:r>
        <w:rPr>
          <w:rFonts w:hint="cs"/>
          <w:sz w:val="18"/>
          <w:szCs w:val="20"/>
          <w:rtl/>
        </w:rPr>
        <w:t xml:space="preserve">סוף </w:t>
      </w:r>
      <w:r>
        <w:rPr>
          <w:sz w:val="18"/>
          <w:szCs w:val="20"/>
          <w:rtl/>
        </w:rPr>
        <w:t>סימן עא ד"ה מנעורי תמהתי</w:t>
      </w:r>
      <w:r>
        <w:rPr>
          <w:rFonts w:hint="cs"/>
          <w:sz w:val="18"/>
          <w:szCs w:val="20"/>
          <w:rtl/>
        </w:rPr>
        <w:t xml:space="preserve">; </w:t>
      </w:r>
      <w:r>
        <w:rPr>
          <w:rtl/>
        </w:rPr>
        <w:t xml:space="preserve">לקט יושר </w:t>
      </w:r>
      <w:r>
        <w:rPr>
          <w:sz w:val="18"/>
          <w:szCs w:val="20"/>
          <w:rtl/>
        </w:rPr>
        <w:t>ח</w:t>
      </w:r>
      <w:r>
        <w:rPr>
          <w:rFonts w:hint="cs"/>
          <w:sz w:val="18"/>
          <w:szCs w:val="20"/>
          <w:rtl/>
        </w:rPr>
        <w:t>"</w:t>
      </w:r>
      <w:r>
        <w:rPr>
          <w:sz w:val="18"/>
          <w:szCs w:val="20"/>
          <w:rtl/>
        </w:rPr>
        <w:t>א או"ח</w:t>
      </w:r>
      <w:r>
        <w:rPr>
          <w:rFonts w:hint="cs"/>
          <w:sz w:val="18"/>
          <w:szCs w:val="20"/>
          <w:rtl/>
        </w:rPr>
        <w:t xml:space="preserve">, </w:t>
      </w:r>
      <w:r>
        <w:rPr>
          <w:sz w:val="18"/>
          <w:szCs w:val="20"/>
          <w:rtl/>
        </w:rPr>
        <w:t>עמ</w:t>
      </w:r>
      <w:r>
        <w:rPr>
          <w:rFonts w:hint="cs"/>
          <w:sz w:val="18"/>
          <w:szCs w:val="20"/>
          <w:rtl/>
        </w:rPr>
        <w:t>'</w:t>
      </w:r>
      <w:r>
        <w:rPr>
          <w:sz w:val="18"/>
          <w:szCs w:val="20"/>
          <w:rtl/>
        </w:rPr>
        <w:t xml:space="preserve"> יט ענין ד</w:t>
      </w:r>
      <w:r>
        <w:rPr>
          <w:rFonts w:hint="cs"/>
          <w:sz w:val="18"/>
          <w:szCs w:val="20"/>
          <w:rtl/>
        </w:rPr>
        <w:t xml:space="preserve">', </w:t>
      </w:r>
      <w:r>
        <w:rPr>
          <w:sz w:val="18"/>
          <w:szCs w:val="20"/>
          <w:rtl/>
        </w:rPr>
        <w:t>פסקים וכתבים סי' פ"א</w:t>
      </w:r>
      <w:r>
        <w:rPr>
          <w:rFonts w:hint="cs"/>
          <w:sz w:val="18"/>
          <w:szCs w:val="20"/>
          <w:rtl/>
        </w:rPr>
        <w:t xml:space="preserve">; </w:t>
      </w:r>
      <w:r>
        <w:rPr>
          <w:sz w:val="14"/>
          <w:rtl/>
        </w:rPr>
        <w:t>שו"ת ציץ אליעזר</w:t>
      </w:r>
      <w:r>
        <w:rPr>
          <w:sz w:val="18"/>
          <w:szCs w:val="20"/>
          <w:rtl/>
        </w:rPr>
        <w:t xml:space="preserve"> ח</w:t>
      </w:r>
      <w:r>
        <w:rPr>
          <w:rFonts w:hint="cs"/>
          <w:sz w:val="18"/>
          <w:szCs w:val="20"/>
          <w:rtl/>
        </w:rPr>
        <w:t>"</w:t>
      </w:r>
      <w:r>
        <w:rPr>
          <w:sz w:val="18"/>
          <w:szCs w:val="20"/>
          <w:rtl/>
        </w:rPr>
        <w:t>ט סימן ד</w:t>
      </w:r>
      <w:r>
        <w:rPr>
          <w:rFonts w:hint="cs"/>
          <w:sz w:val="18"/>
          <w:szCs w:val="20"/>
          <w:rtl/>
        </w:rPr>
        <w:t>',</w:t>
      </w:r>
      <w:r>
        <w:rPr>
          <w:rFonts w:hint="cs"/>
          <w:sz w:val="26"/>
          <w:rtl/>
        </w:rPr>
        <w:t xml:space="preserve"> המאריך בביאור שיטת רבנו חננאל</w:t>
      </w:r>
      <w:r>
        <w:rPr>
          <w:rFonts w:hint="cs"/>
          <w:sz w:val="14"/>
          <w:rtl/>
        </w:rPr>
        <w:t xml:space="preserve">, </w:t>
      </w:r>
      <w:r>
        <w:rPr>
          <w:rFonts w:hint="cs"/>
          <w:rtl/>
        </w:rPr>
        <w:t>ו</w:t>
      </w:r>
      <w:r>
        <w:rPr>
          <w:rtl/>
        </w:rPr>
        <w:t xml:space="preserve">באסופת מאמריו </w:t>
      </w:r>
      <w:r>
        <w:rPr>
          <w:rFonts w:hint="cs"/>
          <w:rtl/>
        </w:rPr>
        <w:t xml:space="preserve">של נפתלי </w:t>
      </w:r>
      <w:r>
        <w:rPr>
          <w:rtl/>
        </w:rPr>
        <w:t>וידר</w:t>
      </w:r>
      <w:r>
        <w:rPr>
          <w:rFonts w:hint="cs"/>
          <w:rtl/>
        </w:rPr>
        <w:t>.</w:t>
      </w:r>
    </w:p>
    <w:p w14:paraId="775C30F9" w14:textId="77777777" w:rsidR="00273399" w:rsidRPr="00273399" w:rsidRDefault="00273399" w:rsidP="00273399">
      <w:pPr>
        <w:rPr>
          <w:rFonts w:hint="cs"/>
          <w:rtl/>
        </w:rPr>
      </w:pPr>
    </w:p>
    <w:p w14:paraId="26CFC1EF" w14:textId="77777777" w:rsidR="00273399" w:rsidRDefault="00273399" w:rsidP="00273399">
      <w:pPr>
        <w:pStyle w:val="1"/>
        <w:rPr>
          <w:rFonts w:hint="cs"/>
          <w:rtl/>
        </w:rPr>
      </w:pPr>
      <w:r>
        <w:rPr>
          <w:rFonts w:hint="cs"/>
          <w:rtl/>
        </w:rPr>
        <w:t>דף יא, א: כגון ר"ש בן יוחי וחביריו שתורתן אומנותן</w:t>
      </w:r>
    </w:p>
    <w:p w14:paraId="0B4FC2DF" w14:textId="77777777" w:rsidR="00273399" w:rsidRDefault="00273399" w:rsidP="00273399">
      <w:pPr>
        <w:pStyle w:val="2"/>
        <w:ind w:firstLine="284"/>
        <w:rPr>
          <w:rFonts w:hint="cs"/>
          <w:rtl/>
        </w:rPr>
      </w:pPr>
      <w:r>
        <w:rPr>
          <w:rFonts w:hint="cs"/>
          <w:color w:val="000000"/>
          <w:rtl/>
        </w:rPr>
        <w:t>מי כאן "</w:t>
      </w:r>
      <w:r>
        <w:rPr>
          <w:color w:val="000000"/>
          <w:rtl/>
        </w:rPr>
        <w:t>תורת</w:t>
      </w:r>
      <w:r>
        <w:rPr>
          <w:rFonts w:hint="cs"/>
          <w:color w:val="000000"/>
          <w:rtl/>
        </w:rPr>
        <w:t>ו</w:t>
      </w:r>
      <w:r>
        <w:rPr>
          <w:color w:val="000000"/>
          <w:rtl/>
        </w:rPr>
        <w:t xml:space="preserve"> אומנות</w:t>
      </w:r>
      <w:r>
        <w:rPr>
          <w:rFonts w:hint="cs"/>
          <w:color w:val="000000"/>
          <w:rtl/>
        </w:rPr>
        <w:t>ו"?</w:t>
      </w:r>
    </w:p>
    <w:p w14:paraId="0DF39EB6" w14:textId="77777777" w:rsidR="00273399" w:rsidRDefault="00273399" w:rsidP="00273399">
      <w:pPr>
        <w:ind w:firstLine="284"/>
        <w:rPr>
          <w:rFonts w:hint="cs"/>
          <w:sz w:val="14"/>
          <w:rtl/>
        </w:rPr>
      </w:pPr>
      <w:r>
        <w:rPr>
          <w:rFonts w:hint="cs"/>
          <w:sz w:val="14"/>
          <w:rtl/>
        </w:rPr>
        <w:t>שנינו בברייתא: "</w:t>
      </w:r>
      <w:r>
        <w:rPr>
          <w:sz w:val="14"/>
          <w:rtl/>
        </w:rPr>
        <w:t>חברים שהיו עוסקין בתורה</w:t>
      </w:r>
      <w:r>
        <w:rPr>
          <w:rFonts w:hint="cs"/>
          <w:sz w:val="14"/>
          <w:rtl/>
        </w:rPr>
        <w:t xml:space="preserve"> - </w:t>
      </w:r>
      <w:r>
        <w:rPr>
          <w:sz w:val="14"/>
          <w:rtl/>
        </w:rPr>
        <w:t>מפסיקין לקריאת שמע, ואין מפסיקין לתפלה</w:t>
      </w:r>
      <w:r>
        <w:rPr>
          <w:rFonts w:hint="cs"/>
          <w:sz w:val="14"/>
          <w:rtl/>
        </w:rPr>
        <w:t>". הוראה זו הובאה להלכה בכל ספרי ההלכה, ולמרות זאת הסיפא "</w:t>
      </w:r>
      <w:r>
        <w:rPr>
          <w:sz w:val="14"/>
          <w:rtl/>
        </w:rPr>
        <w:t>אין מפסיקין לתפלה</w:t>
      </w:r>
      <w:r>
        <w:rPr>
          <w:rFonts w:hint="cs"/>
          <w:sz w:val="14"/>
          <w:rtl/>
        </w:rPr>
        <w:t>" איננה נהוגה למעשה; אדרבה! מובא בשם ה</w:t>
      </w:r>
      <w:r>
        <w:rPr>
          <w:sz w:val="14"/>
          <w:rtl/>
        </w:rPr>
        <w:t>רוקח</w:t>
      </w:r>
      <w:r>
        <w:rPr>
          <w:rFonts w:hint="cs"/>
          <w:sz w:val="14"/>
          <w:rtl/>
        </w:rPr>
        <w:t xml:space="preserve"> כי "</w:t>
      </w:r>
      <w:r>
        <w:rPr>
          <w:sz w:val="14"/>
          <w:rtl/>
        </w:rPr>
        <w:t xml:space="preserve">המבטל תפלה משום לימוד </w:t>
      </w:r>
      <w:r>
        <w:rPr>
          <w:rFonts w:hint="cs"/>
          <w:sz w:val="14"/>
          <w:rtl/>
        </w:rPr>
        <w:t xml:space="preserve">- </w:t>
      </w:r>
      <w:r>
        <w:rPr>
          <w:sz w:val="14"/>
          <w:rtl/>
        </w:rPr>
        <w:t>כא</w:t>
      </w:r>
      <w:r>
        <w:rPr>
          <w:rFonts w:hint="cs"/>
          <w:sz w:val="14"/>
          <w:rtl/>
        </w:rPr>
        <w:t>ִ</w:t>
      </w:r>
      <w:r>
        <w:rPr>
          <w:sz w:val="14"/>
          <w:rtl/>
        </w:rPr>
        <w:t>לו</w:t>
      </w:r>
      <w:r>
        <w:rPr>
          <w:rFonts w:hint="cs"/>
          <w:sz w:val="14"/>
          <w:rtl/>
        </w:rPr>
        <w:t>ּ</w:t>
      </w:r>
      <w:r>
        <w:rPr>
          <w:sz w:val="14"/>
          <w:rtl/>
        </w:rPr>
        <w:t xml:space="preserve"> לא ל</w:t>
      </w:r>
      <w:r>
        <w:rPr>
          <w:rFonts w:hint="cs"/>
          <w:sz w:val="14"/>
          <w:rtl/>
        </w:rPr>
        <w:t>ָ</w:t>
      </w:r>
      <w:r>
        <w:rPr>
          <w:sz w:val="14"/>
          <w:rtl/>
        </w:rPr>
        <w:t>מד</w:t>
      </w:r>
      <w:r>
        <w:rPr>
          <w:rFonts w:hint="cs"/>
          <w:sz w:val="14"/>
          <w:rtl/>
        </w:rPr>
        <w:t>!" (</w:t>
      </w:r>
      <w:r>
        <w:rPr>
          <w:sz w:val="18"/>
          <w:szCs w:val="20"/>
          <w:rtl/>
        </w:rPr>
        <w:t>משנה ברורה</w:t>
      </w:r>
      <w:r>
        <w:rPr>
          <w:rFonts w:hint="cs"/>
          <w:sz w:val="14"/>
          <w:szCs w:val="16"/>
          <w:rtl/>
        </w:rPr>
        <w:t xml:space="preserve"> </w:t>
      </w:r>
      <w:r>
        <w:rPr>
          <w:sz w:val="20"/>
          <w:szCs w:val="20"/>
          <w:rtl/>
        </w:rPr>
        <w:t>סימן ק</w:t>
      </w:r>
      <w:r>
        <w:rPr>
          <w:rFonts w:hint="cs"/>
          <w:sz w:val="20"/>
          <w:szCs w:val="20"/>
          <w:rtl/>
        </w:rPr>
        <w:t>"</w:t>
      </w:r>
      <w:r>
        <w:rPr>
          <w:sz w:val="20"/>
          <w:szCs w:val="20"/>
          <w:rtl/>
        </w:rPr>
        <w:t>ו</w:t>
      </w:r>
      <w:r>
        <w:rPr>
          <w:sz w:val="18"/>
          <w:szCs w:val="20"/>
          <w:rtl/>
        </w:rPr>
        <w:t xml:space="preserve"> סק</w:t>
      </w:r>
      <w:r>
        <w:rPr>
          <w:rFonts w:hint="cs"/>
          <w:sz w:val="18"/>
          <w:szCs w:val="20"/>
          <w:rtl/>
        </w:rPr>
        <w:t>"</w:t>
      </w:r>
      <w:r>
        <w:rPr>
          <w:sz w:val="18"/>
          <w:szCs w:val="20"/>
          <w:rtl/>
        </w:rPr>
        <w:t>ח</w:t>
      </w:r>
      <w:r>
        <w:rPr>
          <w:rFonts w:hint="cs"/>
          <w:sz w:val="14"/>
          <w:rtl/>
        </w:rPr>
        <w:t xml:space="preserve">). </w:t>
      </w:r>
    </w:p>
    <w:p w14:paraId="561C5A59" w14:textId="77777777" w:rsidR="00273399" w:rsidRDefault="00273399" w:rsidP="00273399">
      <w:pPr>
        <w:ind w:firstLine="284"/>
        <w:rPr>
          <w:rFonts w:hint="cs"/>
          <w:sz w:val="14"/>
          <w:rtl/>
        </w:rPr>
      </w:pPr>
      <w:r>
        <w:rPr>
          <w:rFonts w:hint="cs"/>
          <w:sz w:val="14"/>
          <w:rtl/>
        </w:rPr>
        <w:t>מי הם אותם "</w:t>
      </w:r>
      <w:r>
        <w:rPr>
          <w:sz w:val="14"/>
          <w:rtl/>
        </w:rPr>
        <w:t>חברים שהיו עוסקין בתורה</w:t>
      </w:r>
      <w:r>
        <w:rPr>
          <w:rFonts w:hint="cs"/>
          <w:sz w:val="14"/>
          <w:rtl/>
        </w:rPr>
        <w:t>" שבהם עוסקת הברייתא? ההבנה המקובלת היא שמדובר על כל יהודי, או כל ת"ח, שלומד תורה</w:t>
      </w:r>
      <w:r>
        <w:rPr>
          <w:rStyle w:val="a4"/>
          <w:rtl/>
        </w:rPr>
        <w:footnoteReference w:id="204"/>
      </w:r>
      <w:r>
        <w:rPr>
          <w:rFonts w:hint="cs"/>
          <w:sz w:val="14"/>
          <w:rtl/>
        </w:rPr>
        <w:t xml:space="preserve">. ברם, שלא כפירוש רחב זה, בא </w:t>
      </w:r>
      <w:r>
        <w:rPr>
          <w:sz w:val="14"/>
          <w:rtl/>
        </w:rPr>
        <w:t>רבי יוחנן</w:t>
      </w:r>
      <w:r>
        <w:rPr>
          <w:rFonts w:hint="cs"/>
          <w:sz w:val="14"/>
          <w:rtl/>
        </w:rPr>
        <w:t xml:space="preserve"> וצִמצם </w:t>
      </w:r>
      <w:r>
        <w:rPr>
          <w:rFonts w:hint="cs"/>
          <w:sz w:val="14"/>
          <w:rtl/>
        </w:rPr>
        <w:lastRenderedPageBreak/>
        <w:t>את משמעות הברייתא, עד שגם את עצמו הוא הוציא מן הכלל: "</w:t>
      </w:r>
      <w:r>
        <w:rPr>
          <w:rFonts w:hint="cs"/>
          <w:sz w:val="26"/>
          <w:rtl/>
        </w:rPr>
        <w:t>לא שנו אלא כגון ר"ש בן יוחי וחביריו שתורתן אומנותן, אבל כגון אנו מפסיקין לק"ש ולתפלה</w:t>
      </w:r>
      <w:r>
        <w:rPr>
          <w:rFonts w:hint="cs"/>
          <w:sz w:val="14"/>
          <w:rtl/>
        </w:rPr>
        <w:t>"</w:t>
      </w:r>
      <w:r>
        <w:rPr>
          <w:rFonts w:hint="cs"/>
          <w:sz w:val="26"/>
          <w:rtl/>
        </w:rPr>
        <w:t>. לפי</w:t>
      </w:r>
      <w:r>
        <w:rPr>
          <w:rFonts w:hint="cs"/>
          <w:sz w:val="14"/>
          <w:rtl/>
        </w:rPr>
        <w:t xml:space="preserve"> </w:t>
      </w:r>
      <w:r>
        <w:rPr>
          <w:sz w:val="14"/>
          <w:rtl/>
        </w:rPr>
        <w:t>רבי יוחנן</w:t>
      </w:r>
      <w:r>
        <w:rPr>
          <w:rFonts w:hint="cs"/>
          <w:sz w:val="14"/>
          <w:rtl/>
        </w:rPr>
        <w:t xml:space="preserve">, נחלקים בני האדם לשתי קבוצות: א) מי שתורתם אומנותם, כמו </w:t>
      </w:r>
      <w:r>
        <w:rPr>
          <w:rFonts w:hint="cs"/>
          <w:sz w:val="26"/>
          <w:rtl/>
        </w:rPr>
        <w:t>ר"ש בן יוחי וחביריו (ורק אותם פָטרה הברייתא מתפִלה);  ב) כל מי שדומה לרבי יוחנן</w:t>
      </w:r>
      <w:r>
        <w:rPr>
          <w:rFonts w:hint="cs"/>
          <w:sz w:val="14"/>
          <w:rtl/>
        </w:rPr>
        <w:t xml:space="preserve"> בכך שתורתו איננה אומנותו (ועליו מוטלת החובה להתפלל גם על חשבון לימוד תורה).</w:t>
      </w:r>
    </w:p>
    <w:p w14:paraId="18C2E4F2" w14:textId="77777777" w:rsidR="00273399" w:rsidRDefault="00273399" w:rsidP="00273399">
      <w:pPr>
        <w:ind w:firstLine="284"/>
        <w:rPr>
          <w:rFonts w:hint="cs"/>
          <w:sz w:val="14"/>
          <w:rtl/>
        </w:rPr>
      </w:pPr>
      <w:r>
        <w:rPr>
          <w:rFonts w:hint="cs"/>
          <w:rtl/>
        </w:rPr>
        <w:t>לפי הראשונים המובאים ב</w:t>
      </w:r>
      <w:r>
        <w:rPr>
          <w:sz w:val="14"/>
          <w:rtl/>
        </w:rPr>
        <w:t>בית יוסף</w:t>
      </w:r>
      <w:r>
        <w:rPr>
          <w:rStyle w:val="a4"/>
          <w:rtl/>
        </w:rPr>
        <w:footnoteReference w:id="205"/>
      </w:r>
      <w:r>
        <w:rPr>
          <w:rFonts w:hint="cs"/>
          <w:sz w:val="14"/>
          <w:rtl/>
        </w:rPr>
        <w:t xml:space="preserve"> מדובר כאן כשאין </w:t>
      </w:r>
      <w:r>
        <w:rPr>
          <w:sz w:val="14"/>
          <w:rtl/>
        </w:rPr>
        <w:t xml:space="preserve">שהות </w:t>
      </w:r>
      <w:r>
        <w:rPr>
          <w:rFonts w:hint="cs"/>
          <w:sz w:val="14"/>
          <w:rtl/>
        </w:rPr>
        <w:t>לקרוא ק"ש ולהתפלל לאחר הלימוד, אך אם יש מספיק זמן</w:t>
      </w:r>
      <w:r>
        <w:rPr>
          <w:sz w:val="14"/>
          <w:rtl/>
        </w:rPr>
        <w:t xml:space="preserve"> </w:t>
      </w:r>
      <w:r>
        <w:rPr>
          <w:rFonts w:hint="cs"/>
          <w:sz w:val="14"/>
          <w:rtl/>
        </w:rPr>
        <w:t xml:space="preserve">- בוודאי שרשאי כל אדם ללמוד ואינו צריך להפסיק לק"ש או לתפִלה. </w:t>
      </w:r>
      <w:r>
        <w:rPr>
          <w:rFonts w:hint="cs"/>
          <w:sz w:val="26"/>
          <w:rtl/>
        </w:rPr>
        <w:t>להלן נתבונן מיהו זה אשר "</w:t>
      </w:r>
      <w:r>
        <w:rPr>
          <w:rFonts w:hint="cs"/>
          <w:sz w:val="14"/>
          <w:rtl/>
        </w:rPr>
        <w:t>תורתו אומנותו", ועל כן אַל לו להפסיק תורתו כדי להתפלל.</w:t>
      </w:r>
    </w:p>
    <w:p w14:paraId="07D5DEE0" w14:textId="77777777" w:rsidR="00273399" w:rsidRDefault="00273399" w:rsidP="00273399">
      <w:pPr>
        <w:ind w:firstLine="284"/>
        <w:rPr>
          <w:rFonts w:hint="cs"/>
          <w:sz w:val="14"/>
          <w:rtl/>
        </w:rPr>
      </w:pPr>
      <w:r>
        <w:rPr>
          <w:rFonts w:hint="cs"/>
          <w:sz w:val="14"/>
          <w:rtl/>
        </w:rPr>
        <w:lastRenderedPageBreak/>
        <w:t>הביטוי "תורתו אומנותו" שגור היום בפי כל, בעיקר הודות לחוק במדינת ישראל הפוטר תלמידי ישיבות משירות צבאי כל עוד הם מוגדרים כמי ש"</w:t>
      </w:r>
      <w:r>
        <w:rPr>
          <w:sz w:val="14"/>
          <w:rtl/>
        </w:rPr>
        <w:t>תורתן אומנותן</w:t>
      </w:r>
      <w:r>
        <w:rPr>
          <w:rFonts w:hint="cs"/>
          <w:sz w:val="14"/>
          <w:rtl/>
        </w:rPr>
        <w:t>", דהיינו כל עוד הם חובשים את ספסלי בית המדרש. אך, מרוב רגילותנו במושג זה אין אנו מדייקים בהבנתו. האמנם כל מי ש"תורתו אומנותו" ובגין כך פטור משירות צבאי - יִפָּטֵר גם מתפלה?!</w:t>
      </w:r>
    </w:p>
    <w:p w14:paraId="32D3EB60" w14:textId="77777777" w:rsidR="00273399" w:rsidRDefault="00273399" w:rsidP="00273399">
      <w:pPr>
        <w:ind w:firstLine="284"/>
        <w:rPr>
          <w:rFonts w:hint="cs"/>
          <w:sz w:val="14"/>
          <w:rtl/>
        </w:rPr>
      </w:pPr>
      <w:r>
        <w:rPr>
          <w:rFonts w:hint="cs"/>
          <w:sz w:val="14"/>
          <w:rtl/>
        </w:rPr>
        <w:t>נתחיל מבראשית: מהי "אומנות"?</w:t>
      </w:r>
    </w:p>
    <w:p w14:paraId="06F99DF7" w14:textId="77777777" w:rsidR="00273399" w:rsidRDefault="00273399" w:rsidP="00273399">
      <w:pPr>
        <w:pStyle w:val="3"/>
        <w:rPr>
          <w:rFonts w:hint="cs"/>
          <w:rtl/>
        </w:rPr>
      </w:pPr>
      <w:bookmarkStart w:id="1" w:name="_Toc266380444"/>
      <w:bookmarkStart w:id="2" w:name="_Toc266380641"/>
      <w:r>
        <w:rPr>
          <w:rFonts w:hint="cs"/>
          <w:rtl/>
        </w:rPr>
        <w:t>מאי אומנות?</w:t>
      </w:r>
      <w:bookmarkEnd w:id="1"/>
      <w:bookmarkEnd w:id="2"/>
    </w:p>
    <w:p w14:paraId="312DC946" w14:textId="77777777" w:rsidR="00273399" w:rsidRDefault="00273399" w:rsidP="00273399">
      <w:pPr>
        <w:ind w:firstLine="284"/>
        <w:rPr>
          <w:rFonts w:hint="cs"/>
          <w:rtl/>
        </w:rPr>
      </w:pPr>
      <w:r>
        <w:rPr>
          <w:rFonts w:hint="cs"/>
          <w:rtl/>
        </w:rPr>
        <w:t>המִלה "אומנות" מופיעה בעברית לראשונה בפי חז"ל</w:t>
      </w:r>
      <w:r>
        <w:rPr>
          <w:rStyle w:val="a4"/>
          <w:rtl/>
        </w:rPr>
        <w:footnoteReference w:id="206"/>
      </w:r>
      <w:r>
        <w:rPr>
          <w:rFonts w:hint="cs"/>
          <w:rtl/>
        </w:rPr>
        <w:t xml:space="preserve">, ומשמעותה הרגילה היא: עסק, </w:t>
      </w:r>
      <w:r>
        <w:rPr>
          <w:rtl/>
        </w:rPr>
        <w:t xml:space="preserve">מלאכה, </w:t>
      </w:r>
      <w:r>
        <w:rPr>
          <w:rFonts w:hint="cs"/>
          <w:rtl/>
        </w:rPr>
        <w:t xml:space="preserve">עבודה, </w:t>
      </w:r>
      <w:r>
        <w:rPr>
          <w:rtl/>
        </w:rPr>
        <w:t>מ</w:t>
      </w:r>
      <w:r>
        <w:rPr>
          <w:rFonts w:hint="cs"/>
          <w:rtl/>
        </w:rPr>
        <w:t>ִ</w:t>
      </w:r>
      <w:r>
        <w:rPr>
          <w:rtl/>
        </w:rPr>
        <w:t>ש</w:t>
      </w:r>
      <w:r>
        <w:rPr>
          <w:rFonts w:hint="cs"/>
          <w:rtl/>
        </w:rPr>
        <w:t>ְ</w:t>
      </w:r>
      <w:r>
        <w:rPr>
          <w:rtl/>
        </w:rPr>
        <w:t>לח יד, מקצוע</w:t>
      </w:r>
      <w:r>
        <w:rPr>
          <w:rFonts w:hint="cs"/>
          <w:rtl/>
        </w:rPr>
        <w:t xml:space="preserve"> שבאמצעותו אדם מתפרנס, כגון בברייתא זו (</w:t>
      </w:r>
      <w:r>
        <w:rPr>
          <w:sz w:val="18"/>
          <w:szCs w:val="20"/>
          <w:rtl/>
        </w:rPr>
        <w:t>קידושין פב</w:t>
      </w:r>
      <w:r>
        <w:rPr>
          <w:rFonts w:hint="cs"/>
          <w:sz w:val="18"/>
          <w:szCs w:val="20"/>
          <w:rtl/>
        </w:rPr>
        <w:t xml:space="preserve">, </w:t>
      </w:r>
      <w:r>
        <w:rPr>
          <w:sz w:val="18"/>
          <w:szCs w:val="20"/>
          <w:rtl/>
        </w:rPr>
        <w:t>ב</w:t>
      </w:r>
      <w:r>
        <w:rPr>
          <w:rFonts w:hint="cs"/>
          <w:rtl/>
        </w:rPr>
        <w:t>): "</w:t>
      </w:r>
      <w:r>
        <w:rPr>
          <w:rtl/>
        </w:rPr>
        <w:t xml:space="preserve">רבי אומר: אין לך </w:t>
      </w:r>
      <w:r>
        <w:rPr>
          <w:b/>
          <w:bCs/>
          <w:rtl/>
        </w:rPr>
        <w:t xml:space="preserve">אומנות </w:t>
      </w:r>
      <w:r>
        <w:rPr>
          <w:rtl/>
        </w:rPr>
        <w:t>שעוברת מן העולם, אשרי מי שרואה את הוריו ב</w:t>
      </w:r>
      <w:r>
        <w:rPr>
          <w:b/>
          <w:bCs/>
          <w:rtl/>
        </w:rPr>
        <w:t>אומנות</w:t>
      </w:r>
      <w:r>
        <w:rPr>
          <w:rtl/>
        </w:rPr>
        <w:t xml:space="preserve"> מעולה, אוי לו למי שרואה את הוריו ב</w:t>
      </w:r>
      <w:r>
        <w:rPr>
          <w:b/>
          <w:bCs/>
          <w:rtl/>
        </w:rPr>
        <w:t xml:space="preserve">אומנות </w:t>
      </w:r>
      <w:r>
        <w:rPr>
          <w:rtl/>
        </w:rPr>
        <w:t>פגומה</w:t>
      </w:r>
      <w:r>
        <w:rPr>
          <w:rFonts w:hint="cs"/>
          <w:rtl/>
        </w:rPr>
        <w:t xml:space="preserve">. </w:t>
      </w:r>
      <w:r>
        <w:rPr>
          <w:rtl/>
        </w:rPr>
        <w:t>אי אפשר לעולם בלא בסם</w:t>
      </w:r>
      <w:r>
        <w:rPr>
          <w:rFonts w:hint="cs"/>
          <w:rtl/>
        </w:rPr>
        <w:t xml:space="preserve"> </w:t>
      </w:r>
      <w:r>
        <w:rPr>
          <w:rtl/>
        </w:rPr>
        <w:t>ובלא בורסקי, אשרי מי ש</w:t>
      </w:r>
      <w:r>
        <w:rPr>
          <w:b/>
          <w:bCs/>
          <w:rtl/>
        </w:rPr>
        <w:t xml:space="preserve">אומנותו </w:t>
      </w:r>
      <w:r>
        <w:rPr>
          <w:rtl/>
        </w:rPr>
        <w:t>בסם, ואוי לו מי</w:t>
      </w:r>
      <w:r>
        <w:rPr>
          <w:rFonts w:hint="cs"/>
          <w:rtl/>
        </w:rPr>
        <w:t xml:space="preserve"> </w:t>
      </w:r>
      <w:r>
        <w:rPr>
          <w:rtl/>
        </w:rPr>
        <w:t>ש</w:t>
      </w:r>
      <w:r>
        <w:rPr>
          <w:b/>
          <w:bCs/>
          <w:rtl/>
        </w:rPr>
        <w:t xml:space="preserve">אומנותו </w:t>
      </w:r>
      <w:r>
        <w:rPr>
          <w:rtl/>
        </w:rPr>
        <w:t>בורסקי</w:t>
      </w:r>
      <w:r>
        <w:rPr>
          <w:rStyle w:val="a4"/>
          <w:rtl/>
        </w:rPr>
        <w:footnoteReference w:id="207"/>
      </w:r>
      <w:r>
        <w:rPr>
          <w:rFonts w:hint="cs"/>
          <w:rtl/>
        </w:rPr>
        <w:t>..</w:t>
      </w:r>
      <w:r>
        <w:rPr>
          <w:rtl/>
        </w:rPr>
        <w:t>. רבי מ</w:t>
      </w:r>
      <w:r>
        <w:rPr>
          <w:rFonts w:hint="cs"/>
          <w:rtl/>
        </w:rPr>
        <w:t>איר</w:t>
      </w:r>
      <w:r>
        <w:rPr>
          <w:rtl/>
        </w:rPr>
        <w:t xml:space="preserve"> אומר: לעולם יל</w:t>
      </w:r>
      <w:r>
        <w:rPr>
          <w:rFonts w:hint="cs"/>
          <w:rtl/>
        </w:rPr>
        <w:t>ַ</w:t>
      </w:r>
      <w:r>
        <w:rPr>
          <w:rtl/>
        </w:rPr>
        <w:t xml:space="preserve">מד </w:t>
      </w:r>
      <w:r>
        <w:rPr>
          <w:rtl/>
        </w:rPr>
        <w:lastRenderedPageBreak/>
        <w:t xml:space="preserve">אדם לבנו </w:t>
      </w:r>
      <w:r>
        <w:rPr>
          <w:b/>
          <w:bCs/>
          <w:rtl/>
        </w:rPr>
        <w:t xml:space="preserve">אומנות </w:t>
      </w:r>
      <w:r>
        <w:rPr>
          <w:rtl/>
        </w:rPr>
        <w:t>נקיה וקלה, ויבקש רחמים למי שהעושר והנכסים שלו</w:t>
      </w:r>
      <w:r>
        <w:rPr>
          <w:rFonts w:hint="cs"/>
          <w:rtl/>
        </w:rPr>
        <w:t xml:space="preserve">". </w:t>
      </w:r>
    </w:p>
    <w:p w14:paraId="448F5347" w14:textId="77777777" w:rsidR="00273399" w:rsidRDefault="00273399" w:rsidP="00273399">
      <w:pPr>
        <w:ind w:firstLine="284"/>
        <w:rPr>
          <w:rFonts w:hint="cs"/>
          <w:rtl/>
        </w:rPr>
      </w:pPr>
      <w:r>
        <w:rPr>
          <w:rFonts w:hint="cs"/>
          <w:rtl/>
        </w:rPr>
        <w:t>זוהי גם משמעותה של חובת האב לבנו "</w:t>
      </w:r>
      <w:r>
        <w:rPr>
          <w:rtl/>
        </w:rPr>
        <w:t>לל</w:t>
      </w:r>
      <w:r>
        <w:rPr>
          <w:rFonts w:hint="cs"/>
          <w:rtl/>
        </w:rPr>
        <w:t>ַ</w:t>
      </w:r>
      <w:r>
        <w:rPr>
          <w:rtl/>
        </w:rPr>
        <w:t>מ</w:t>
      </w:r>
      <w:r>
        <w:rPr>
          <w:rFonts w:hint="cs"/>
          <w:rtl/>
        </w:rPr>
        <w:t>ּ</w:t>
      </w:r>
      <w:r>
        <w:rPr>
          <w:rtl/>
        </w:rPr>
        <w:t>דו</w:t>
      </w:r>
      <w:r>
        <w:rPr>
          <w:rFonts w:hint="cs"/>
          <w:rtl/>
        </w:rPr>
        <w:t xml:space="preserve">ֹ </w:t>
      </w:r>
      <w:r>
        <w:rPr>
          <w:b/>
          <w:bCs/>
          <w:rtl/>
        </w:rPr>
        <w:t>אומנות</w:t>
      </w:r>
      <w:r>
        <w:rPr>
          <w:rFonts w:hint="cs"/>
          <w:rtl/>
        </w:rPr>
        <w:t>" (</w:t>
      </w:r>
      <w:r>
        <w:rPr>
          <w:rFonts w:hint="cs"/>
          <w:sz w:val="18"/>
          <w:szCs w:val="20"/>
          <w:rtl/>
        </w:rPr>
        <w:t>הנזכרת להלן יב, א ויסודה ב</w:t>
      </w:r>
      <w:r>
        <w:rPr>
          <w:sz w:val="18"/>
          <w:szCs w:val="20"/>
          <w:rtl/>
        </w:rPr>
        <w:t>קידושין כט</w:t>
      </w:r>
      <w:r>
        <w:rPr>
          <w:rFonts w:hint="cs"/>
          <w:sz w:val="18"/>
          <w:szCs w:val="20"/>
          <w:rtl/>
        </w:rPr>
        <w:t xml:space="preserve">, </w:t>
      </w:r>
      <w:r>
        <w:rPr>
          <w:sz w:val="18"/>
          <w:szCs w:val="20"/>
          <w:rtl/>
        </w:rPr>
        <w:t>א</w:t>
      </w:r>
      <w:r>
        <w:rPr>
          <w:rFonts w:hint="cs"/>
          <w:sz w:val="18"/>
          <w:szCs w:val="20"/>
          <w:rtl/>
        </w:rPr>
        <w:t xml:space="preserve">; </w:t>
      </w:r>
      <w:r>
        <w:rPr>
          <w:sz w:val="18"/>
          <w:szCs w:val="20"/>
          <w:rtl/>
        </w:rPr>
        <w:t>ל</w:t>
      </w:r>
      <w:r>
        <w:rPr>
          <w:rFonts w:hint="cs"/>
          <w:sz w:val="18"/>
          <w:szCs w:val="20"/>
          <w:rtl/>
        </w:rPr>
        <w:t xml:space="preserve">, </w:t>
      </w:r>
      <w:r>
        <w:rPr>
          <w:sz w:val="18"/>
          <w:szCs w:val="20"/>
          <w:rtl/>
        </w:rPr>
        <w:t>ב</w:t>
      </w:r>
      <w:r>
        <w:rPr>
          <w:rFonts w:hint="cs"/>
          <w:rtl/>
        </w:rPr>
        <w:t>), דהיינו להעניק לו הכשרה מקצועית. בהתאם לכך, נקראים בעלי מלאכה</w:t>
      </w:r>
      <w:r>
        <w:rPr>
          <w:rStyle w:val="a4"/>
          <w:rtl/>
        </w:rPr>
        <w:footnoteReference w:id="208"/>
      </w:r>
      <w:r>
        <w:rPr>
          <w:rFonts w:hint="cs"/>
          <w:rtl/>
        </w:rPr>
        <w:t xml:space="preserve"> בפי חז"ל: "בעלי אומניות"</w:t>
      </w:r>
      <w:r>
        <w:rPr>
          <w:rStyle w:val="a4"/>
          <w:rtl/>
        </w:rPr>
        <w:footnoteReference w:id="209"/>
      </w:r>
      <w:r>
        <w:rPr>
          <w:rFonts w:hint="cs"/>
          <w:rtl/>
        </w:rPr>
        <w:t>, או בשם הנפוץ יותר והקצר יותר</w:t>
      </w:r>
      <w:r>
        <w:rPr>
          <w:rStyle w:val="a4"/>
          <w:rtl/>
        </w:rPr>
        <w:footnoteReference w:id="210"/>
      </w:r>
      <w:r>
        <w:rPr>
          <w:rFonts w:hint="cs"/>
          <w:rtl/>
        </w:rPr>
        <w:t>: "</w:t>
      </w:r>
      <w:r>
        <w:rPr>
          <w:rtl/>
        </w:rPr>
        <w:t>אומנין</w:t>
      </w:r>
      <w:r>
        <w:rPr>
          <w:rFonts w:hint="cs"/>
          <w:rtl/>
        </w:rPr>
        <w:t>" / "אומנים"</w:t>
      </w:r>
      <w:r>
        <w:rPr>
          <w:rStyle w:val="a4"/>
          <w:rtl/>
        </w:rPr>
        <w:footnoteReference w:id="211"/>
      </w:r>
      <w:r>
        <w:rPr>
          <w:rFonts w:hint="cs"/>
          <w:rtl/>
        </w:rPr>
        <w:t>.</w:t>
      </w:r>
    </w:p>
    <w:p w14:paraId="497AA442" w14:textId="77777777" w:rsidR="00273399" w:rsidRDefault="00273399" w:rsidP="00273399">
      <w:pPr>
        <w:ind w:firstLine="284"/>
        <w:rPr>
          <w:rFonts w:hint="cs"/>
          <w:rtl/>
        </w:rPr>
      </w:pPr>
      <w:r>
        <w:rPr>
          <w:rFonts w:hint="cs"/>
          <w:rtl/>
        </w:rPr>
        <w:t xml:space="preserve">ממשמע בסיסי זה של "אומנות" נראה כי חלו שני תהליכים הפוכים: צמצום המשמעות והרחבתה. </w:t>
      </w:r>
    </w:p>
    <w:p w14:paraId="00FC4D2D" w14:textId="77777777" w:rsidR="00273399" w:rsidRDefault="00273399" w:rsidP="00273399">
      <w:pPr>
        <w:ind w:firstLine="284"/>
        <w:rPr>
          <w:rFonts w:hint="cs"/>
          <w:rtl/>
        </w:rPr>
      </w:pPr>
      <w:r>
        <w:rPr>
          <w:rFonts w:hint="cs"/>
          <w:rtl/>
        </w:rPr>
        <w:t>צמצום משמעות כיצד? "אומנות" נתייחדה לסוג מסוים של אומנות, כגון למקצוע הקזת הדם (</w:t>
      </w:r>
      <w:r>
        <w:rPr>
          <w:sz w:val="18"/>
          <w:szCs w:val="20"/>
          <w:rtl/>
        </w:rPr>
        <w:t xml:space="preserve">רש"י </w:t>
      </w:r>
      <w:r>
        <w:rPr>
          <w:rFonts w:hint="cs"/>
          <w:sz w:val="18"/>
          <w:szCs w:val="20"/>
          <w:rtl/>
        </w:rPr>
        <w:t>ל</w:t>
      </w:r>
      <w:r>
        <w:rPr>
          <w:sz w:val="18"/>
          <w:szCs w:val="20"/>
          <w:rtl/>
        </w:rPr>
        <w:t>סנהדרין יז</w:t>
      </w:r>
      <w:r>
        <w:rPr>
          <w:rFonts w:hint="cs"/>
          <w:sz w:val="18"/>
          <w:szCs w:val="20"/>
          <w:rtl/>
        </w:rPr>
        <w:t xml:space="preserve">, </w:t>
      </w:r>
      <w:r>
        <w:rPr>
          <w:sz w:val="18"/>
          <w:szCs w:val="20"/>
          <w:rtl/>
        </w:rPr>
        <w:t>ב ד"ה אומן</w:t>
      </w:r>
      <w:r>
        <w:rPr>
          <w:rFonts w:hint="cs"/>
          <w:rtl/>
        </w:rPr>
        <w:t>)</w:t>
      </w:r>
      <w:r>
        <w:rPr>
          <w:rStyle w:val="a4"/>
          <w:rtl/>
        </w:rPr>
        <w:footnoteReference w:id="212"/>
      </w:r>
      <w:r>
        <w:rPr>
          <w:rFonts w:hint="cs"/>
          <w:rtl/>
        </w:rPr>
        <w:t xml:space="preserve">. </w:t>
      </w:r>
    </w:p>
    <w:p w14:paraId="6A29589D" w14:textId="77777777" w:rsidR="00273399" w:rsidRDefault="00273399" w:rsidP="00273399">
      <w:pPr>
        <w:ind w:firstLine="284"/>
        <w:rPr>
          <w:rFonts w:hint="cs"/>
          <w:rtl/>
        </w:rPr>
      </w:pPr>
      <w:r>
        <w:rPr>
          <w:rFonts w:hint="cs"/>
          <w:rtl/>
        </w:rPr>
        <w:t xml:space="preserve">הרחבת משמעות כיצד? על שם אופן פעילותו של האומן המקצועי והקבוע, התרחב השימוש ב"אומנות" והושאל לכל מעשה </w:t>
      </w:r>
      <w:r>
        <w:rPr>
          <w:rFonts w:hint="cs"/>
          <w:rtl/>
        </w:rPr>
        <w:lastRenderedPageBreak/>
        <w:t>קבוע ומנהג רגיל</w:t>
      </w:r>
      <w:r>
        <w:rPr>
          <w:rStyle w:val="a4"/>
          <w:rtl/>
        </w:rPr>
        <w:footnoteReference w:id="213"/>
      </w:r>
      <w:r>
        <w:rPr>
          <w:rFonts w:hint="cs"/>
          <w:rtl/>
        </w:rPr>
        <w:t>, וכן לעשיית דבר באופן מושׂכל, נאה ומשובח, במיומנות, במקצועיות ובמומחיות</w:t>
      </w:r>
      <w:r>
        <w:rPr>
          <w:rStyle w:val="a4"/>
          <w:rtl/>
        </w:rPr>
        <w:footnoteReference w:id="214"/>
      </w:r>
      <w:r>
        <w:rPr>
          <w:rFonts w:hint="cs"/>
          <w:rtl/>
        </w:rPr>
        <w:t xml:space="preserve">. </w:t>
      </w:r>
    </w:p>
    <w:p w14:paraId="4F3971C0" w14:textId="77777777" w:rsidR="00273399" w:rsidRDefault="00273399" w:rsidP="00273399">
      <w:pPr>
        <w:ind w:firstLine="284"/>
        <w:rPr>
          <w:rFonts w:hint="cs"/>
          <w:rtl/>
        </w:rPr>
      </w:pPr>
      <w:r>
        <w:rPr>
          <w:rFonts w:hint="cs"/>
          <w:rtl/>
        </w:rPr>
        <w:t>כך ניתן להבין, למשל, את לשון הברייתא (</w:t>
      </w:r>
      <w:r>
        <w:rPr>
          <w:rFonts w:hint="cs"/>
          <w:sz w:val="18"/>
          <w:szCs w:val="20"/>
          <w:rtl/>
        </w:rPr>
        <w:t>להלן קלג, ב</w:t>
      </w:r>
      <w:r>
        <w:rPr>
          <w:rFonts w:hint="cs"/>
          <w:rtl/>
        </w:rPr>
        <w:t>): "</w:t>
      </w:r>
      <w:r>
        <w:rPr>
          <w:rtl/>
        </w:rPr>
        <w:t xml:space="preserve">זֶה אֵלִי וְאַנְוֵהוּ </w:t>
      </w:r>
      <w:r>
        <w:rPr>
          <w:rFonts w:hint="cs"/>
          <w:rtl/>
        </w:rPr>
        <w:t>(</w:t>
      </w:r>
      <w:r>
        <w:rPr>
          <w:sz w:val="18"/>
          <w:szCs w:val="20"/>
          <w:rtl/>
        </w:rPr>
        <w:t>שמות טו</w:t>
      </w:r>
      <w:r>
        <w:rPr>
          <w:rFonts w:hint="cs"/>
          <w:sz w:val="18"/>
          <w:szCs w:val="20"/>
          <w:rtl/>
        </w:rPr>
        <w:t xml:space="preserve">, </w:t>
      </w:r>
      <w:r>
        <w:rPr>
          <w:sz w:val="18"/>
          <w:szCs w:val="20"/>
          <w:rtl/>
        </w:rPr>
        <w:t>ב</w:t>
      </w:r>
      <w:r>
        <w:rPr>
          <w:rFonts w:hint="cs"/>
          <w:rtl/>
        </w:rPr>
        <w:t xml:space="preserve">) - הִתנָאֶה לפניו במצוֹת: עשה לפניו סוכה נאה... ספר תורה נאה וכתוב בו לשמו בדיו נאה בקולמוס נאה בלבלר </w:t>
      </w:r>
      <w:r>
        <w:rPr>
          <w:rFonts w:hint="cs"/>
          <w:b/>
          <w:bCs/>
          <w:rtl/>
        </w:rPr>
        <w:t>אומן</w:t>
      </w:r>
      <w:r>
        <w:rPr>
          <w:rFonts w:hint="cs"/>
          <w:rtl/>
        </w:rPr>
        <w:t xml:space="preserve">". "לבלר אומן" אינו אלא סוֹפֵר </w:t>
      </w:r>
      <w:r>
        <w:rPr>
          <w:rFonts w:hint="cs"/>
          <w:b/>
          <w:bCs/>
          <w:rtl/>
        </w:rPr>
        <w:t>מומחה ומקצועי</w:t>
      </w:r>
      <w:r>
        <w:rPr>
          <w:rFonts w:hint="cs"/>
          <w:rtl/>
        </w:rPr>
        <w:t xml:space="preserve"> המוכשר לכתוב בכתב ברור ונאה, "</w:t>
      </w:r>
      <w:r>
        <w:rPr>
          <w:rtl/>
        </w:rPr>
        <w:t>מעשה אומן</w:t>
      </w:r>
      <w:r>
        <w:rPr>
          <w:rFonts w:hint="cs"/>
          <w:rtl/>
        </w:rPr>
        <w:t>" (</w:t>
      </w:r>
      <w:r>
        <w:rPr>
          <w:sz w:val="18"/>
          <w:szCs w:val="20"/>
          <w:rtl/>
        </w:rPr>
        <w:t>מועד קטן י</w:t>
      </w:r>
      <w:r>
        <w:rPr>
          <w:rFonts w:hint="cs"/>
          <w:sz w:val="18"/>
          <w:szCs w:val="20"/>
          <w:rtl/>
        </w:rPr>
        <w:t xml:space="preserve">, </w:t>
      </w:r>
      <w:r>
        <w:rPr>
          <w:sz w:val="18"/>
          <w:szCs w:val="20"/>
          <w:rtl/>
        </w:rPr>
        <w:t>ב</w:t>
      </w:r>
      <w:r>
        <w:rPr>
          <w:rFonts w:hint="cs"/>
          <w:rtl/>
        </w:rPr>
        <w:t>), "</w:t>
      </w:r>
      <w:r>
        <w:rPr>
          <w:rtl/>
        </w:rPr>
        <w:t>מַעֲשֵׂה יְדֵי אָמָּן</w:t>
      </w:r>
      <w:r>
        <w:rPr>
          <w:rFonts w:hint="cs"/>
          <w:rtl/>
        </w:rPr>
        <w:t>"</w:t>
      </w:r>
      <w:r>
        <w:rPr>
          <w:rStyle w:val="a4"/>
          <w:rtl/>
        </w:rPr>
        <w:footnoteReference w:id="215"/>
      </w:r>
      <w:r>
        <w:rPr>
          <w:rFonts w:hint="cs"/>
          <w:rtl/>
        </w:rPr>
        <w:t xml:space="preserve"> (</w:t>
      </w:r>
      <w:r>
        <w:rPr>
          <w:sz w:val="18"/>
          <w:szCs w:val="20"/>
          <w:rtl/>
        </w:rPr>
        <w:t>שי</w:t>
      </w:r>
      <w:r>
        <w:rPr>
          <w:rFonts w:hint="cs"/>
          <w:sz w:val="18"/>
          <w:szCs w:val="20"/>
          <w:rtl/>
        </w:rPr>
        <w:t>ר ה</w:t>
      </w:r>
      <w:r>
        <w:rPr>
          <w:sz w:val="18"/>
          <w:szCs w:val="20"/>
          <w:rtl/>
        </w:rPr>
        <w:t>ש</w:t>
      </w:r>
      <w:r>
        <w:rPr>
          <w:rFonts w:hint="cs"/>
          <w:sz w:val="18"/>
          <w:szCs w:val="20"/>
          <w:rtl/>
        </w:rPr>
        <w:t>ירים</w:t>
      </w:r>
      <w:r>
        <w:rPr>
          <w:sz w:val="18"/>
          <w:szCs w:val="20"/>
          <w:rtl/>
        </w:rPr>
        <w:t xml:space="preserve"> ז, ב</w:t>
      </w:r>
      <w:r>
        <w:rPr>
          <w:rFonts w:hint="cs"/>
          <w:rtl/>
        </w:rPr>
        <w:t>).</w:t>
      </w:r>
    </w:p>
    <w:p w14:paraId="69CDBB93" w14:textId="77777777" w:rsidR="00273399" w:rsidRDefault="00273399" w:rsidP="00273399">
      <w:pPr>
        <w:pStyle w:val="3"/>
        <w:rPr>
          <w:rFonts w:hint="cs"/>
          <w:rtl/>
        </w:rPr>
      </w:pPr>
      <w:r>
        <w:rPr>
          <w:rFonts w:hint="cs"/>
          <w:rtl/>
        </w:rPr>
        <w:lastRenderedPageBreak/>
        <w:t>"</w:t>
      </w:r>
      <w:r>
        <w:rPr>
          <w:rtl/>
        </w:rPr>
        <w:t>אֳמָנות</w:t>
      </w:r>
      <w:r>
        <w:rPr>
          <w:rFonts w:hint="cs"/>
          <w:rtl/>
        </w:rPr>
        <w:t>" ו"</w:t>
      </w:r>
      <w:r>
        <w:rPr>
          <w:rtl/>
        </w:rPr>
        <w:t>אֻמָּנות</w:t>
      </w:r>
      <w:r>
        <w:rPr>
          <w:rFonts w:hint="cs"/>
          <w:rtl/>
        </w:rPr>
        <w:t>"</w:t>
      </w:r>
    </w:p>
    <w:p w14:paraId="14A1D4AA" w14:textId="77777777" w:rsidR="00273399" w:rsidRDefault="00273399" w:rsidP="00273399">
      <w:pPr>
        <w:ind w:firstLine="284"/>
        <w:rPr>
          <w:rFonts w:hint="cs"/>
          <w:rtl/>
        </w:rPr>
      </w:pPr>
      <w:r>
        <w:rPr>
          <w:rFonts w:hint="cs"/>
          <w:rtl/>
        </w:rPr>
        <w:t>לאחרונה התקבל בספרי הלימוד ובמילונים (</w:t>
      </w:r>
      <w:r>
        <w:rPr>
          <w:rFonts w:hint="cs"/>
          <w:sz w:val="18"/>
          <w:szCs w:val="20"/>
          <w:rtl/>
        </w:rPr>
        <w:t>כגון ב</w:t>
      </w:r>
      <w:r>
        <w:rPr>
          <w:sz w:val="18"/>
          <w:szCs w:val="20"/>
          <w:rtl/>
        </w:rPr>
        <w:t>מילון אבן שושן</w:t>
      </w:r>
      <w:r>
        <w:rPr>
          <w:rFonts w:hint="cs"/>
          <w:rtl/>
        </w:rPr>
        <w:t>) הבידול הסימנטי (</w:t>
      </w:r>
      <w:r>
        <w:rPr>
          <w:rFonts w:hint="cs"/>
          <w:sz w:val="18"/>
          <w:szCs w:val="20"/>
          <w:rtl/>
        </w:rPr>
        <w:t>כלומר ההבחנה בין המשמעויות</w:t>
      </w:r>
      <w:r>
        <w:rPr>
          <w:rFonts w:hint="cs"/>
          <w:rtl/>
        </w:rPr>
        <w:t>) בין "</w:t>
      </w:r>
      <w:r>
        <w:rPr>
          <w:rtl/>
        </w:rPr>
        <w:t>אֻמָּנות</w:t>
      </w:r>
      <w:r>
        <w:rPr>
          <w:rFonts w:hint="cs"/>
          <w:rtl/>
        </w:rPr>
        <w:t>" (</w:t>
      </w:r>
      <w:r>
        <w:rPr>
          <w:sz w:val="18"/>
          <w:szCs w:val="20"/>
          <w:rtl/>
        </w:rPr>
        <w:t>מלאכה, משלח יד, מקצוע</w:t>
      </w:r>
      <w:r>
        <w:rPr>
          <w:rFonts w:hint="cs"/>
          <w:rtl/>
        </w:rPr>
        <w:t>)</w:t>
      </w:r>
      <w:r>
        <w:rPr>
          <w:rFonts w:hint="cs"/>
          <w:sz w:val="18"/>
          <w:rtl/>
        </w:rPr>
        <w:t xml:space="preserve"> </w:t>
      </w:r>
      <w:r>
        <w:rPr>
          <w:rFonts w:hint="cs"/>
          <w:rtl/>
        </w:rPr>
        <w:t>של "</w:t>
      </w:r>
      <w:r>
        <w:rPr>
          <w:rtl/>
        </w:rPr>
        <w:t>אֻמָּן</w:t>
      </w:r>
      <w:r>
        <w:rPr>
          <w:rFonts w:hint="cs"/>
          <w:rtl/>
        </w:rPr>
        <w:t>" (</w:t>
      </w:r>
      <w:r>
        <w:rPr>
          <w:rFonts w:hint="cs"/>
          <w:sz w:val="18"/>
          <w:szCs w:val="20"/>
          <w:rtl/>
        </w:rPr>
        <w:t>כגון</w:t>
      </w:r>
      <w:r>
        <w:rPr>
          <w:sz w:val="18"/>
          <w:szCs w:val="20"/>
          <w:rtl/>
        </w:rPr>
        <w:t>: נגר</w:t>
      </w:r>
      <w:r>
        <w:rPr>
          <w:rFonts w:hint="cs"/>
          <w:sz w:val="18"/>
          <w:szCs w:val="20"/>
          <w:rtl/>
        </w:rPr>
        <w:t xml:space="preserve"> ו</w:t>
      </w:r>
      <w:r>
        <w:rPr>
          <w:sz w:val="18"/>
          <w:szCs w:val="20"/>
          <w:rtl/>
        </w:rPr>
        <w:t>סנדלר</w:t>
      </w:r>
      <w:r>
        <w:rPr>
          <w:rFonts w:hint="cs"/>
          <w:rtl/>
        </w:rPr>
        <w:t>) לבין "</w:t>
      </w:r>
      <w:r>
        <w:rPr>
          <w:rtl/>
        </w:rPr>
        <w:t>אֳמָנות</w:t>
      </w:r>
      <w:r>
        <w:rPr>
          <w:rFonts w:hint="cs"/>
          <w:rtl/>
        </w:rPr>
        <w:t>" (</w:t>
      </w:r>
      <w:r>
        <w:rPr>
          <w:sz w:val="18"/>
          <w:szCs w:val="20"/>
          <w:rtl/>
        </w:rPr>
        <w:t>יצירה שיש בה מחשבה, כ</w:t>
      </w:r>
      <w:r>
        <w:rPr>
          <w:rFonts w:hint="cs"/>
          <w:sz w:val="18"/>
          <w:szCs w:val="20"/>
          <w:rtl/>
        </w:rPr>
        <w:t>ִ</w:t>
      </w:r>
      <w:r>
        <w:rPr>
          <w:sz w:val="18"/>
          <w:szCs w:val="20"/>
          <w:rtl/>
        </w:rPr>
        <w:t>שרון וטעם מעולה</w:t>
      </w:r>
      <w:r>
        <w:rPr>
          <w:rFonts w:hint="cs"/>
          <w:sz w:val="18"/>
          <w:szCs w:val="20"/>
          <w:rtl/>
        </w:rPr>
        <w:t xml:space="preserve">; </w:t>
      </w:r>
      <w:r>
        <w:rPr>
          <w:sz w:val="18"/>
          <w:szCs w:val="20"/>
          <w:rtl/>
        </w:rPr>
        <w:t>מלאכת מחשבת</w:t>
      </w:r>
      <w:r>
        <w:rPr>
          <w:rFonts w:hint="cs"/>
          <w:rtl/>
        </w:rPr>
        <w:t>)</w:t>
      </w:r>
      <w:r>
        <w:rPr>
          <w:rFonts w:hint="cs"/>
          <w:sz w:val="18"/>
          <w:rtl/>
        </w:rPr>
        <w:t xml:space="preserve"> </w:t>
      </w:r>
      <w:r>
        <w:rPr>
          <w:rFonts w:hint="cs"/>
          <w:rtl/>
        </w:rPr>
        <w:t>של "</w:t>
      </w:r>
      <w:r>
        <w:rPr>
          <w:rtl/>
        </w:rPr>
        <w:t>אֳמָן</w:t>
      </w:r>
      <w:r>
        <w:rPr>
          <w:rFonts w:hint="cs"/>
          <w:rtl/>
        </w:rPr>
        <w:t>" (</w:t>
      </w:r>
      <w:r>
        <w:rPr>
          <w:rFonts w:hint="cs"/>
          <w:sz w:val="18"/>
          <w:szCs w:val="20"/>
          <w:rtl/>
        </w:rPr>
        <w:t>כגון: צַיָּר ומלחין</w:t>
      </w:r>
      <w:r>
        <w:rPr>
          <w:rFonts w:hint="cs"/>
          <w:rtl/>
        </w:rPr>
        <w:t>). מסתבר שאין הבחנה זו מקורית, ושתי הצורות "</w:t>
      </w:r>
      <w:r>
        <w:rPr>
          <w:rtl/>
        </w:rPr>
        <w:t>אֻמָּנות</w:t>
      </w:r>
      <w:r>
        <w:rPr>
          <w:rFonts w:hint="cs"/>
          <w:rtl/>
        </w:rPr>
        <w:t>" ו"</w:t>
      </w:r>
      <w:r>
        <w:rPr>
          <w:rtl/>
        </w:rPr>
        <w:t>אֳמָנות</w:t>
      </w:r>
      <w:r>
        <w:rPr>
          <w:rFonts w:hint="cs"/>
          <w:rtl/>
        </w:rPr>
        <w:t>" אינן אלא חלוּפוֹת (</w:t>
      </w:r>
      <w:r>
        <w:rPr>
          <w:rFonts w:hint="cs"/>
          <w:sz w:val="18"/>
          <w:szCs w:val="20"/>
          <w:rtl/>
        </w:rPr>
        <w:t>"אלטרננטות" בלעז</w:t>
      </w:r>
      <w:r>
        <w:rPr>
          <w:rFonts w:hint="cs"/>
          <w:rtl/>
        </w:rPr>
        <w:t>) לאותה מִלה עצמה</w:t>
      </w:r>
      <w:r>
        <w:rPr>
          <w:rStyle w:val="a4"/>
          <w:rtl/>
        </w:rPr>
        <w:footnoteReference w:id="216"/>
      </w:r>
      <w:r>
        <w:rPr>
          <w:rFonts w:hint="cs"/>
          <w:rtl/>
        </w:rPr>
        <w:t>. אף על פי שאין ראייה לדבר (</w:t>
      </w:r>
      <w:r>
        <w:rPr>
          <w:rFonts w:hint="cs"/>
          <w:sz w:val="18"/>
          <w:szCs w:val="20"/>
          <w:rtl/>
        </w:rPr>
        <w:t>כי יתכן שדרך דרש שונה מפשוטו של כתוב</w:t>
      </w:r>
      <w:r>
        <w:rPr>
          <w:rFonts w:hint="cs"/>
          <w:rtl/>
        </w:rPr>
        <w:t>) זכר לדבר</w:t>
      </w:r>
      <w:r>
        <w:rPr>
          <w:rFonts w:hint="cs"/>
          <w:sz w:val="26"/>
          <w:rtl/>
        </w:rPr>
        <w:t xml:space="preserve"> בדרשת חז"ל (</w:t>
      </w:r>
      <w:r>
        <w:rPr>
          <w:rFonts w:hint="cs"/>
          <w:sz w:val="18"/>
          <w:szCs w:val="20"/>
          <w:rtl/>
        </w:rPr>
        <w:t>סוכה מט, א</w:t>
      </w:r>
      <w:r>
        <w:rPr>
          <w:rFonts w:hint="cs"/>
          <w:sz w:val="26"/>
          <w:rtl/>
        </w:rPr>
        <w:t>): "מעשה ידי אמן - זו מעשה ידי אומנותו של הקב"ה"</w:t>
      </w:r>
      <w:r>
        <w:rPr>
          <w:rStyle w:val="a4"/>
          <w:rtl/>
        </w:rPr>
        <w:footnoteReference w:id="217"/>
      </w:r>
      <w:r>
        <w:rPr>
          <w:rFonts w:hint="cs"/>
          <w:sz w:val="32"/>
          <w:rtl/>
        </w:rPr>
        <w:t xml:space="preserve">. </w:t>
      </w:r>
      <w:r>
        <w:rPr>
          <w:sz w:val="26"/>
          <w:rtl/>
        </w:rPr>
        <w:t xml:space="preserve">רש"י </w:t>
      </w:r>
      <w:r>
        <w:rPr>
          <w:rFonts w:hint="cs"/>
          <w:rtl/>
        </w:rPr>
        <w:t xml:space="preserve">בפירושו </w:t>
      </w:r>
      <w:r>
        <w:rPr>
          <w:rFonts w:hint="cs"/>
          <w:sz w:val="26"/>
          <w:rtl/>
        </w:rPr>
        <w:t>ל</w:t>
      </w:r>
      <w:r>
        <w:rPr>
          <w:sz w:val="26"/>
          <w:rtl/>
        </w:rPr>
        <w:t xml:space="preserve">שיר השירים </w:t>
      </w:r>
      <w:r>
        <w:rPr>
          <w:rFonts w:hint="cs"/>
          <w:sz w:val="32"/>
          <w:rtl/>
        </w:rPr>
        <w:t xml:space="preserve">כותב במפורש: </w:t>
      </w:r>
      <w:r>
        <w:rPr>
          <w:rFonts w:hint="cs"/>
          <w:sz w:val="26"/>
          <w:rtl/>
        </w:rPr>
        <w:t>"</w:t>
      </w:r>
      <w:r>
        <w:rPr>
          <w:sz w:val="26"/>
          <w:rtl/>
        </w:rPr>
        <w:t>אמן כמו אומן</w:t>
      </w:r>
      <w:r>
        <w:rPr>
          <w:rFonts w:hint="cs"/>
          <w:sz w:val="26"/>
          <w:rtl/>
        </w:rPr>
        <w:t xml:space="preserve">". </w:t>
      </w:r>
      <w:r>
        <w:rPr>
          <w:rFonts w:hint="cs"/>
          <w:sz w:val="32"/>
          <w:rtl/>
        </w:rPr>
        <w:t xml:space="preserve">וכ"כ </w:t>
      </w:r>
      <w:r>
        <w:rPr>
          <w:rFonts w:hint="cs"/>
          <w:rtl/>
        </w:rPr>
        <w:t xml:space="preserve">היעב"ץ </w:t>
      </w:r>
      <w:r>
        <w:rPr>
          <w:rFonts w:hint="cs"/>
          <w:sz w:val="26"/>
          <w:rtl/>
        </w:rPr>
        <w:t>ב</w:t>
      </w:r>
      <w:r>
        <w:rPr>
          <w:rFonts w:hint="cs"/>
          <w:rtl/>
        </w:rPr>
        <w:t>פירושו למשנת "האוּמנין"</w:t>
      </w:r>
      <w:r>
        <w:rPr>
          <w:rStyle w:val="a4"/>
          <w:rtl/>
        </w:rPr>
        <w:footnoteReference w:id="218"/>
      </w:r>
      <w:r>
        <w:rPr>
          <w:rFonts w:hint="cs"/>
          <w:rtl/>
        </w:rPr>
        <w:t xml:space="preserve">: </w:t>
      </w:r>
    </w:p>
    <w:p w14:paraId="1F684491" w14:textId="77777777" w:rsidR="00273399" w:rsidRDefault="00273399" w:rsidP="00273399">
      <w:pPr>
        <w:pStyle w:val="a7"/>
        <w:rPr>
          <w:rFonts w:hint="cs"/>
          <w:rtl/>
        </w:rPr>
      </w:pPr>
      <w:r>
        <w:rPr>
          <w:rFonts w:hint="cs"/>
          <w:rtl/>
        </w:rPr>
        <w:t>"נראה שקריאת המלה באל"ף שרוק"ה (</w:t>
      </w:r>
      <w:r>
        <w:rPr>
          <w:rFonts w:hint="cs"/>
          <w:sz w:val="18"/>
          <w:szCs w:val="20"/>
          <w:rtl/>
        </w:rPr>
        <w:t>כלומר, מנוקדת בשורוק</w:t>
      </w:r>
      <w:r>
        <w:rPr>
          <w:rFonts w:hint="cs"/>
          <w:rtl/>
        </w:rPr>
        <w:t>), הנפרד '</w:t>
      </w:r>
      <w:r>
        <w:rPr>
          <w:rtl/>
        </w:rPr>
        <w:t>מַעֲשֵׂה יְדֵי אָמָּן</w:t>
      </w:r>
      <w:r>
        <w:rPr>
          <w:rFonts w:hint="cs"/>
          <w:rtl/>
        </w:rPr>
        <w:t>' בקמץ חטוף, המתחלף בקיבוץ (</w:t>
      </w:r>
      <w:r>
        <w:rPr>
          <w:sz w:val="20"/>
          <w:szCs w:val="20"/>
          <w:rtl/>
        </w:rPr>
        <w:t>א</w:t>
      </w:r>
      <w:r>
        <w:rPr>
          <w:rFonts w:hint="cs"/>
          <w:sz w:val="20"/>
          <w:szCs w:val="20"/>
          <w:rtl/>
        </w:rPr>
        <w:t>ֻ</w:t>
      </w:r>
      <w:r>
        <w:rPr>
          <w:sz w:val="20"/>
          <w:szCs w:val="20"/>
          <w:rtl/>
        </w:rPr>
        <w:t xml:space="preserve">מָּן </w:t>
      </w:r>
      <w:r>
        <w:rPr>
          <w:rFonts w:hint="cs"/>
          <w:sz w:val="20"/>
          <w:szCs w:val="20"/>
          <w:rtl/>
        </w:rPr>
        <w:t xml:space="preserve">או </w:t>
      </w:r>
      <w:r>
        <w:rPr>
          <w:sz w:val="20"/>
          <w:szCs w:val="20"/>
          <w:rtl/>
        </w:rPr>
        <w:t>א</w:t>
      </w:r>
      <w:r>
        <w:rPr>
          <w:rFonts w:hint="cs"/>
          <w:sz w:val="20"/>
          <w:szCs w:val="20"/>
          <w:rtl/>
        </w:rPr>
        <w:t>וּ</w:t>
      </w:r>
      <w:r>
        <w:rPr>
          <w:sz w:val="20"/>
          <w:szCs w:val="20"/>
          <w:rtl/>
        </w:rPr>
        <w:t>מָּן</w:t>
      </w:r>
      <w:r>
        <w:rPr>
          <w:rFonts w:hint="cs"/>
          <w:rtl/>
        </w:rPr>
        <w:t>). ואין לקרותה (</w:t>
      </w:r>
      <w:r>
        <w:rPr>
          <w:rFonts w:hint="cs"/>
          <w:sz w:val="18"/>
          <w:szCs w:val="20"/>
          <w:rtl/>
        </w:rPr>
        <w:t>'האוֹמנין'</w:t>
      </w:r>
      <w:r>
        <w:rPr>
          <w:rFonts w:hint="cs"/>
          <w:rtl/>
        </w:rPr>
        <w:t>) בחול"ם (</w:t>
      </w:r>
      <w:r>
        <w:rPr>
          <w:rFonts w:hint="cs"/>
          <w:sz w:val="18"/>
          <w:szCs w:val="20"/>
          <w:rtl/>
        </w:rPr>
        <w:t>שהיא תנועה הקרובה יותר לצורת היחיד '</w:t>
      </w:r>
      <w:r>
        <w:rPr>
          <w:sz w:val="18"/>
          <w:szCs w:val="20"/>
          <w:rtl/>
        </w:rPr>
        <w:t>אָמָּן</w:t>
      </w:r>
      <w:r>
        <w:rPr>
          <w:rFonts w:hint="cs"/>
          <w:sz w:val="18"/>
          <w:szCs w:val="20"/>
          <w:rtl/>
        </w:rPr>
        <w:t>' המתועדת במקרא, ומדוע לא? כדי</w:t>
      </w:r>
      <w:r>
        <w:rPr>
          <w:rFonts w:hint="cs"/>
          <w:rtl/>
        </w:rPr>
        <w:t>) להבדיל בין ענין מלאכה שהוא הנרצה כאן, ובין ענין גידול ותרבות, כמו '</w:t>
      </w:r>
      <w:r>
        <w:rPr>
          <w:rtl/>
        </w:rPr>
        <w:t xml:space="preserve">הָאֹמְנִים </w:t>
      </w:r>
      <w:r>
        <w:rPr>
          <w:rtl/>
        </w:rPr>
        <w:lastRenderedPageBreak/>
        <w:t>אַחְאָב</w:t>
      </w:r>
      <w:r>
        <w:rPr>
          <w:rFonts w:hint="cs"/>
          <w:rtl/>
        </w:rPr>
        <w:t>' (</w:t>
      </w:r>
      <w:r>
        <w:rPr>
          <w:sz w:val="18"/>
          <w:szCs w:val="20"/>
          <w:rtl/>
        </w:rPr>
        <w:t>מלכים ב</w:t>
      </w:r>
      <w:r>
        <w:rPr>
          <w:rFonts w:hint="cs"/>
          <w:sz w:val="18"/>
          <w:szCs w:val="20"/>
          <w:rtl/>
        </w:rPr>
        <w:t xml:space="preserve">' </w:t>
      </w:r>
      <w:r>
        <w:rPr>
          <w:sz w:val="18"/>
          <w:szCs w:val="20"/>
          <w:rtl/>
        </w:rPr>
        <w:t>י</w:t>
      </w:r>
      <w:r>
        <w:rPr>
          <w:rFonts w:hint="cs"/>
          <w:sz w:val="18"/>
          <w:szCs w:val="20"/>
          <w:rtl/>
        </w:rPr>
        <w:t>, א</w:t>
      </w:r>
      <w:r>
        <w:rPr>
          <w:rFonts w:hint="cs"/>
          <w:rtl/>
        </w:rPr>
        <w:t>), '</w:t>
      </w:r>
      <w:r>
        <w:rPr>
          <w:rtl/>
        </w:rPr>
        <w:t>כַּאֲשֶׁר</w:t>
      </w:r>
      <w:r>
        <w:rPr>
          <w:rFonts w:hint="cs"/>
          <w:rtl/>
        </w:rPr>
        <w:t xml:space="preserve"> </w:t>
      </w:r>
      <w:r>
        <w:rPr>
          <w:rtl/>
        </w:rPr>
        <w:t>יִשָּׂא</w:t>
      </w:r>
      <w:r>
        <w:rPr>
          <w:rFonts w:hint="cs"/>
          <w:rtl/>
        </w:rPr>
        <w:t xml:space="preserve"> </w:t>
      </w:r>
      <w:r>
        <w:rPr>
          <w:rtl/>
        </w:rPr>
        <w:t>הָאֹמֵן</w:t>
      </w:r>
      <w:r>
        <w:rPr>
          <w:rFonts w:hint="cs"/>
          <w:rtl/>
        </w:rPr>
        <w:t>' (</w:t>
      </w:r>
      <w:r>
        <w:rPr>
          <w:sz w:val="18"/>
          <w:szCs w:val="20"/>
          <w:rtl/>
        </w:rPr>
        <w:t>במדבר יא</w:t>
      </w:r>
      <w:r>
        <w:rPr>
          <w:rFonts w:hint="cs"/>
          <w:sz w:val="18"/>
          <w:szCs w:val="20"/>
          <w:rtl/>
        </w:rPr>
        <w:t xml:space="preserve">, </w:t>
      </w:r>
      <w:r>
        <w:rPr>
          <w:sz w:val="18"/>
          <w:szCs w:val="20"/>
          <w:rtl/>
        </w:rPr>
        <w:t>יב</w:t>
      </w:r>
      <w:r>
        <w:rPr>
          <w:rStyle w:val="a4"/>
          <w:szCs w:val="20"/>
          <w:rtl/>
        </w:rPr>
        <w:footnoteReference w:id="219"/>
      </w:r>
      <w:r>
        <w:rPr>
          <w:rFonts w:hint="cs"/>
          <w:rtl/>
        </w:rPr>
        <w:t>)</w:t>
      </w:r>
      <w:r>
        <w:rPr>
          <w:rtl/>
        </w:rPr>
        <w:t xml:space="preserve"> </w:t>
      </w:r>
      <w:r>
        <w:rPr>
          <w:rFonts w:hint="cs"/>
          <w:rtl/>
        </w:rPr>
        <w:t>שהם חולמי"ם (</w:t>
      </w:r>
      <w:r>
        <w:rPr>
          <w:rFonts w:hint="cs"/>
          <w:sz w:val="18"/>
          <w:szCs w:val="20"/>
          <w:rtl/>
        </w:rPr>
        <w:t>כלומר, נקודים בחולם</w:t>
      </w:r>
      <w:r>
        <w:rPr>
          <w:rFonts w:hint="cs"/>
          <w:rtl/>
        </w:rPr>
        <w:t>). אבל לשון אוּמנות שהוא ענין מלאכה עיקרו מלשון ארמי, וכ"ה בתרגום</w:t>
      </w:r>
      <w:r>
        <w:rPr>
          <w:rStyle w:val="a4"/>
          <w:rtl/>
        </w:rPr>
        <w:footnoteReference w:id="220"/>
      </w:r>
      <w:r>
        <w:rPr>
          <w:rFonts w:hint="cs"/>
          <w:rtl/>
        </w:rPr>
        <w:t xml:space="preserve"> כל אומן ואומנות - שרוקי"ם". </w:t>
      </w:r>
    </w:p>
    <w:p w14:paraId="7E1B3B19" w14:textId="77777777" w:rsidR="00273399" w:rsidRDefault="00273399" w:rsidP="00273399">
      <w:pPr>
        <w:ind w:firstLine="284"/>
        <w:rPr>
          <w:rFonts w:hint="cs"/>
          <w:rtl/>
        </w:rPr>
      </w:pPr>
      <w:r>
        <w:rPr>
          <w:rFonts w:hint="cs"/>
          <w:sz w:val="26"/>
          <w:rtl/>
        </w:rPr>
        <w:t>יש לציין כי ל</w:t>
      </w:r>
      <w:r>
        <w:rPr>
          <w:rFonts w:hint="cs"/>
          <w:rtl/>
        </w:rPr>
        <w:t>שאלה זו חשיבות הלכתית, במקרה שהקורא מגילת שיר השירים טועה וקורא "</w:t>
      </w:r>
      <w:r>
        <w:rPr>
          <w:rtl/>
        </w:rPr>
        <w:t xml:space="preserve">מַעֲשֵׂה יְדֵי </w:t>
      </w:r>
      <w:r>
        <w:rPr>
          <w:b/>
          <w:bCs/>
          <w:rtl/>
        </w:rPr>
        <w:t>א</w:t>
      </w:r>
      <w:r>
        <w:rPr>
          <w:rFonts w:hint="cs"/>
          <w:b/>
          <w:bCs/>
          <w:rtl/>
        </w:rPr>
        <w:t>ֻ</w:t>
      </w:r>
      <w:r>
        <w:rPr>
          <w:rtl/>
        </w:rPr>
        <w:t>מָּן</w:t>
      </w:r>
      <w:r>
        <w:rPr>
          <w:rFonts w:hint="cs"/>
          <w:rtl/>
        </w:rPr>
        <w:t>"</w:t>
      </w:r>
      <w:r>
        <w:rPr>
          <w:rFonts w:hint="cs"/>
          <w:sz w:val="26"/>
          <w:rtl/>
        </w:rPr>
        <w:t xml:space="preserve">, </w:t>
      </w:r>
      <w:r>
        <w:rPr>
          <w:rFonts w:hint="cs"/>
          <w:rtl/>
        </w:rPr>
        <w:t>לדעת הפוסקים שאין לה</w:t>
      </w:r>
      <w:r>
        <w:rPr>
          <w:rtl/>
        </w:rPr>
        <w:t>חזיר</w:t>
      </w:r>
      <w:r>
        <w:rPr>
          <w:rFonts w:hint="cs"/>
          <w:rtl/>
        </w:rPr>
        <w:t xml:space="preserve"> את ה</w:t>
      </w:r>
      <w:r>
        <w:rPr>
          <w:rtl/>
        </w:rPr>
        <w:t>ט</w:t>
      </w:r>
      <w:r>
        <w:rPr>
          <w:rFonts w:hint="cs"/>
          <w:rtl/>
        </w:rPr>
        <w:t>ו</w:t>
      </w:r>
      <w:r>
        <w:rPr>
          <w:rtl/>
        </w:rPr>
        <w:t>עה בשינוי ש</w:t>
      </w:r>
      <w:r>
        <w:rPr>
          <w:rFonts w:hint="cs"/>
          <w:rtl/>
        </w:rPr>
        <w:t xml:space="preserve">אין </w:t>
      </w:r>
      <w:r>
        <w:rPr>
          <w:rtl/>
        </w:rPr>
        <w:t>הענין</w:t>
      </w:r>
      <w:r>
        <w:rPr>
          <w:rFonts w:hint="cs"/>
          <w:rtl/>
        </w:rPr>
        <w:t xml:space="preserve"> </w:t>
      </w:r>
      <w:r>
        <w:rPr>
          <w:rtl/>
        </w:rPr>
        <w:t xml:space="preserve">משתנה ע"י זה </w:t>
      </w:r>
      <w:r>
        <w:rPr>
          <w:rFonts w:hint="cs"/>
          <w:rtl/>
        </w:rPr>
        <w:t>(</w:t>
      </w:r>
      <w:r>
        <w:rPr>
          <w:rFonts w:hint="cs"/>
          <w:sz w:val="18"/>
          <w:szCs w:val="20"/>
          <w:rtl/>
        </w:rPr>
        <w:t xml:space="preserve">ראה </w:t>
      </w:r>
      <w:r>
        <w:rPr>
          <w:sz w:val="18"/>
          <w:szCs w:val="20"/>
          <w:rtl/>
        </w:rPr>
        <w:t>שו</w:t>
      </w:r>
      <w:r>
        <w:rPr>
          <w:rFonts w:hint="cs"/>
          <w:sz w:val="18"/>
          <w:szCs w:val="20"/>
          <w:rtl/>
        </w:rPr>
        <w:t>"</w:t>
      </w:r>
      <w:r>
        <w:rPr>
          <w:sz w:val="18"/>
          <w:szCs w:val="20"/>
          <w:rtl/>
        </w:rPr>
        <w:t>ע</w:t>
      </w:r>
      <w:r>
        <w:rPr>
          <w:rFonts w:hint="cs"/>
          <w:sz w:val="18"/>
          <w:szCs w:val="20"/>
          <w:rtl/>
        </w:rPr>
        <w:t xml:space="preserve"> </w:t>
      </w:r>
      <w:r>
        <w:rPr>
          <w:sz w:val="18"/>
          <w:szCs w:val="20"/>
          <w:rtl/>
        </w:rPr>
        <w:t>או</w:t>
      </w:r>
      <w:r>
        <w:rPr>
          <w:rFonts w:hint="cs"/>
          <w:sz w:val="18"/>
          <w:szCs w:val="20"/>
          <w:rtl/>
        </w:rPr>
        <w:t>"</w:t>
      </w:r>
      <w:r>
        <w:rPr>
          <w:sz w:val="18"/>
          <w:szCs w:val="20"/>
          <w:rtl/>
        </w:rPr>
        <w:t>ח קמב</w:t>
      </w:r>
      <w:r>
        <w:rPr>
          <w:rFonts w:hint="cs"/>
          <w:sz w:val="18"/>
          <w:szCs w:val="20"/>
          <w:rtl/>
        </w:rPr>
        <w:t xml:space="preserve">, </w:t>
      </w:r>
      <w:r>
        <w:rPr>
          <w:sz w:val="18"/>
          <w:szCs w:val="20"/>
          <w:rtl/>
        </w:rPr>
        <w:t>א</w:t>
      </w:r>
      <w:r>
        <w:rPr>
          <w:rFonts w:hint="cs"/>
          <w:rtl/>
        </w:rPr>
        <w:t>)</w:t>
      </w:r>
      <w:r>
        <w:rPr>
          <w:rFonts w:hint="cs"/>
          <w:sz w:val="26"/>
          <w:rtl/>
        </w:rPr>
        <w:t>.</w:t>
      </w:r>
    </w:p>
    <w:p w14:paraId="75B738C5" w14:textId="77777777" w:rsidR="00273399" w:rsidRDefault="00273399" w:rsidP="00273399">
      <w:pPr>
        <w:pStyle w:val="3"/>
        <w:rPr>
          <w:rFonts w:hint="cs"/>
          <w:rtl/>
        </w:rPr>
      </w:pPr>
      <w:r>
        <w:rPr>
          <w:rFonts w:hint="cs"/>
          <w:rtl/>
        </w:rPr>
        <w:t>תורתו - אומנותו</w:t>
      </w:r>
    </w:p>
    <w:p w14:paraId="1109E62A" w14:textId="77777777" w:rsidR="00273399" w:rsidRDefault="00273399" w:rsidP="00273399">
      <w:pPr>
        <w:ind w:firstLine="284"/>
        <w:rPr>
          <w:rFonts w:hint="cs"/>
          <w:rtl/>
        </w:rPr>
      </w:pPr>
      <w:r>
        <w:rPr>
          <w:rFonts w:hint="cs"/>
          <w:rtl/>
        </w:rPr>
        <w:t>עתה נבחן את הביטוי "תורתו אומנותו". לאור האמור ישנם שלוש דרכים לפרש כיצד נחשבת התורה כמו אומנות</w:t>
      </w:r>
      <w:r>
        <w:rPr>
          <w:rStyle w:val="a4"/>
          <w:rtl/>
        </w:rPr>
        <w:footnoteReference w:id="221"/>
      </w:r>
      <w:r>
        <w:rPr>
          <w:rFonts w:hint="cs"/>
          <w:rtl/>
        </w:rPr>
        <w:t>:</w:t>
      </w:r>
    </w:p>
    <w:p w14:paraId="43CF91D4" w14:textId="77777777" w:rsidR="00273399" w:rsidRDefault="00273399" w:rsidP="00273399">
      <w:pPr>
        <w:numPr>
          <w:ilvl w:val="0"/>
          <w:numId w:val="2"/>
        </w:numPr>
        <w:ind w:right="0"/>
        <w:rPr>
          <w:rFonts w:hint="cs"/>
          <w:rtl/>
        </w:rPr>
      </w:pPr>
      <w:r>
        <w:rPr>
          <w:rFonts w:hint="cs"/>
          <w:rtl/>
        </w:rPr>
        <w:lastRenderedPageBreak/>
        <w:t xml:space="preserve">התורה שלו היא המקצוע והעבודה שלו </w:t>
      </w:r>
    </w:p>
    <w:p w14:paraId="0D1A512E" w14:textId="77777777" w:rsidR="00273399" w:rsidRDefault="00273399" w:rsidP="00273399">
      <w:pPr>
        <w:numPr>
          <w:ilvl w:val="0"/>
          <w:numId w:val="2"/>
        </w:numPr>
        <w:ind w:right="0"/>
        <w:rPr>
          <w:rFonts w:hint="cs"/>
          <w:szCs w:val="22"/>
          <w:rtl/>
        </w:rPr>
      </w:pPr>
      <w:r>
        <w:rPr>
          <w:rFonts w:hint="cs"/>
          <w:rtl/>
        </w:rPr>
        <w:t>התורה שלו היא הקביעות והרגילות שלו</w:t>
      </w:r>
    </w:p>
    <w:p w14:paraId="45A8F90C" w14:textId="77777777" w:rsidR="00273399" w:rsidRDefault="00273399" w:rsidP="00273399">
      <w:pPr>
        <w:numPr>
          <w:ilvl w:val="0"/>
          <w:numId w:val="2"/>
        </w:numPr>
        <w:ind w:right="0"/>
        <w:rPr>
          <w:rFonts w:hint="cs"/>
          <w:rtl/>
        </w:rPr>
      </w:pPr>
      <w:r>
        <w:rPr>
          <w:rFonts w:hint="cs"/>
          <w:rtl/>
        </w:rPr>
        <w:t>התורה שלו היא המומחיות והמיומנות שלו</w:t>
      </w:r>
    </w:p>
    <w:p w14:paraId="7E67290F" w14:textId="77777777" w:rsidR="00273399" w:rsidRDefault="00273399" w:rsidP="00273399">
      <w:pPr>
        <w:ind w:firstLine="284"/>
        <w:rPr>
          <w:rFonts w:hint="cs"/>
          <w:rtl/>
        </w:rPr>
      </w:pPr>
      <w:r>
        <w:rPr>
          <w:rtl/>
        </w:rPr>
        <w:t>רבי יחיאל מיכל אפשטיין</w:t>
      </w:r>
      <w:r>
        <w:rPr>
          <w:rFonts w:hint="cs"/>
          <w:rtl/>
        </w:rPr>
        <w:t xml:space="preserve">, בעל </w:t>
      </w:r>
      <w:r>
        <w:rPr>
          <w:rtl/>
        </w:rPr>
        <w:t>עָר</w:t>
      </w:r>
      <w:r>
        <w:rPr>
          <w:rFonts w:hint="cs"/>
          <w:rtl/>
        </w:rPr>
        <w:t>ו</w:t>
      </w:r>
      <w:r>
        <w:rPr>
          <w:rtl/>
        </w:rPr>
        <w:t xml:space="preserve">ֹךְ הַשֻּׁלְחָן </w:t>
      </w:r>
      <w:r>
        <w:rPr>
          <w:rFonts w:hint="cs"/>
          <w:rtl/>
        </w:rPr>
        <w:t>(</w:t>
      </w:r>
      <w:r>
        <w:rPr>
          <w:rFonts w:hint="cs"/>
          <w:sz w:val="18"/>
          <w:szCs w:val="20"/>
          <w:rtl/>
        </w:rPr>
        <w:t>או"ח ק"ו, י-יב</w:t>
      </w:r>
      <w:r>
        <w:rPr>
          <w:rFonts w:hint="cs"/>
          <w:rtl/>
        </w:rPr>
        <w:t xml:space="preserve">) סבר מתחילה לפרש את </w:t>
      </w:r>
      <w:r>
        <w:rPr>
          <w:rFonts w:hint="cs"/>
          <w:sz w:val="14"/>
          <w:rtl/>
        </w:rPr>
        <w:t>המִלה "אומנות" במשמע המושאל והמורחב: קביעות והֶרגל (</w:t>
      </w:r>
      <w:r>
        <w:rPr>
          <w:rFonts w:hint="cs"/>
          <w:sz w:val="18"/>
          <w:szCs w:val="20"/>
          <w:rtl/>
        </w:rPr>
        <w:t>דרך ב'</w:t>
      </w:r>
      <w:r>
        <w:rPr>
          <w:rFonts w:hint="cs"/>
          <w:sz w:val="14"/>
          <w:rtl/>
        </w:rPr>
        <w:t xml:space="preserve">), כלומר: עיסוקם של רשב"י וחבריו בתורה היה בהתמדה ובשקידה מוחלטות "ולא הפסיקו אף רגע, מצד גודל מעלתם ושקידתם". את המשך דבריו של </w:t>
      </w:r>
      <w:r>
        <w:rPr>
          <w:sz w:val="14"/>
          <w:rtl/>
        </w:rPr>
        <w:t>רבי יוחנן</w:t>
      </w:r>
      <w:r>
        <w:rPr>
          <w:rFonts w:hint="cs"/>
          <w:sz w:val="14"/>
          <w:rtl/>
        </w:rPr>
        <w:t xml:space="preserve"> "</w:t>
      </w:r>
      <w:r>
        <w:rPr>
          <w:rFonts w:hint="cs"/>
          <w:sz w:val="26"/>
          <w:rtl/>
        </w:rPr>
        <w:t>אבל כגון אנו</w:t>
      </w:r>
      <w:r>
        <w:rPr>
          <w:rFonts w:hint="cs"/>
          <w:sz w:val="14"/>
          <w:rtl/>
        </w:rPr>
        <w:t>", המוציא עצמו מכלל מדרגה זו, יש להשוות לדבריו ב</w:t>
      </w:r>
      <w:r>
        <w:rPr>
          <w:sz w:val="14"/>
          <w:rtl/>
        </w:rPr>
        <w:t xml:space="preserve">מסכת עירובין </w:t>
      </w:r>
      <w:r>
        <w:rPr>
          <w:rFonts w:hint="cs"/>
          <w:sz w:val="14"/>
          <w:rtl/>
        </w:rPr>
        <w:t>(</w:t>
      </w:r>
      <w:r>
        <w:rPr>
          <w:sz w:val="18"/>
          <w:szCs w:val="20"/>
          <w:rtl/>
        </w:rPr>
        <w:t>נג</w:t>
      </w:r>
      <w:r>
        <w:rPr>
          <w:rFonts w:hint="cs"/>
          <w:sz w:val="18"/>
          <w:szCs w:val="20"/>
          <w:rtl/>
        </w:rPr>
        <w:t xml:space="preserve">, </w:t>
      </w:r>
      <w:r>
        <w:rPr>
          <w:sz w:val="18"/>
          <w:szCs w:val="20"/>
          <w:rtl/>
        </w:rPr>
        <w:t>א</w:t>
      </w:r>
      <w:r>
        <w:rPr>
          <w:rFonts w:hint="cs"/>
          <w:sz w:val="14"/>
          <w:rtl/>
        </w:rPr>
        <w:t>): "</w:t>
      </w:r>
      <w:r>
        <w:rPr>
          <w:sz w:val="14"/>
          <w:rtl/>
        </w:rPr>
        <w:t xml:space="preserve">אמר רבי </w:t>
      </w:r>
      <w:r>
        <w:rPr>
          <w:b/>
          <w:bCs/>
          <w:sz w:val="14"/>
          <w:rtl/>
        </w:rPr>
        <w:t>יוחנן</w:t>
      </w:r>
      <w:r>
        <w:rPr>
          <w:sz w:val="14"/>
          <w:rtl/>
        </w:rPr>
        <w:t>: ל</w:t>
      </w:r>
      <w:r>
        <w:rPr>
          <w:rFonts w:hint="cs"/>
          <w:sz w:val="14"/>
          <w:rtl/>
        </w:rPr>
        <w:t>ִ</w:t>
      </w:r>
      <w:r>
        <w:rPr>
          <w:sz w:val="14"/>
          <w:rtl/>
        </w:rPr>
        <w:t xml:space="preserve">בן של ראשונים </w:t>
      </w:r>
      <w:r>
        <w:rPr>
          <w:rFonts w:hint="cs"/>
          <w:sz w:val="14"/>
          <w:rtl/>
        </w:rPr>
        <w:t>[</w:t>
      </w:r>
      <w:r>
        <w:rPr>
          <w:rFonts w:hint="cs"/>
          <w:sz w:val="18"/>
          <w:szCs w:val="20"/>
          <w:rtl/>
        </w:rPr>
        <w:t xml:space="preserve">לפירוש הראשון שם: </w:t>
      </w:r>
      <w:r>
        <w:rPr>
          <w:sz w:val="18"/>
          <w:szCs w:val="20"/>
          <w:rtl/>
        </w:rPr>
        <w:t>רבי עקיבא</w:t>
      </w:r>
      <w:r>
        <w:rPr>
          <w:rFonts w:hint="cs"/>
          <w:sz w:val="14"/>
          <w:rtl/>
        </w:rPr>
        <w:t>]</w:t>
      </w:r>
      <w:r>
        <w:rPr>
          <w:sz w:val="14"/>
          <w:rtl/>
        </w:rPr>
        <w:t xml:space="preserve"> כפתחו של אולם, ושל אחרונים</w:t>
      </w:r>
      <w:r>
        <w:rPr>
          <w:rFonts w:hint="cs"/>
          <w:sz w:val="14"/>
          <w:rtl/>
        </w:rPr>
        <w:t xml:space="preserve"> [</w:t>
      </w:r>
      <w:r>
        <w:rPr>
          <w:rFonts w:hint="cs"/>
          <w:sz w:val="18"/>
          <w:szCs w:val="20"/>
          <w:rtl/>
        </w:rPr>
        <w:t xml:space="preserve">לפירוש הראשון שם: </w:t>
      </w:r>
      <w:r>
        <w:rPr>
          <w:sz w:val="18"/>
          <w:szCs w:val="20"/>
          <w:rtl/>
        </w:rPr>
        <w:t>רבי אלעזר בן שמוע</w:t>
      </w:r>
      <w:r>
        <w:rPr>
          <w:rFonts w:hint="cs"/>
          <w:sz w:val="14"/>
          <w:rtl/>
        </w:rPr>
        <w:t xml:space="preserve">] </w:t>
      </w:r>
      <w:r>
        <w:rPr>
          <w:sz w:val="14"/>
          <w:rtl/>
        </w:rPr>
        <w:t>כפתחו של היכל</w:t>
      </w:r>
      <w:r>
        <w:rPr>
          <w:rFonts w:hint="cs"/>
          <w:sz w:val="14"/>
          <w:rtl/>
        </w:rPr>
        <w:t xml:space="preserve">, </w:t>
      </w:r>
      <w:r>
        <w:rPr>
          <w:b/>
          <w:bCs/>
          <w:sz w:val="14"/>
          <w:rtl/>
        </w:rPr>
        <w:t>ואנו</w:t>
      </w:r>
      <w:r>
        <w:rPr>
          <w:rStyle w:val="a4"/>
          <w:rtl/>
        </w:rPr>
        <w:footnoteReference w:id="222"/>
      </w:r>
      <w:r>
        <w:rPr>
          <w:rFonts w:hint="cs"/>
          <w:sz w:val="14"/>
          <w:rtl/>
        </w:rPr>
        <w:t xml:space="preserve"> </w:t>
      </w:r>
      <w:r>
        <w:rPr>
          <w:sz w:val="14"/>
          <w:rtl/>
        </w:rPr>
        <w:t>כמלא נקב מחט סידקית</w:t>
      </w:r>
      <w:r>
        <w:rPr>
          <w:rFonts w:hint="cs"/>
          <w:sz w:val="14"/>
          <w:rtl/>
        </w:rPr>
        <w:t>"</w:t>
      </w:r>
      <w:r>
        <w:rPr>
          <w:sz w:val="14"/>
          <w:rtl/>
        </w:rPr>
        <w:t xml:space="preserve">. </w:t>
      </w:r>
      <w:r>
        <w:rPr>
          <w:rFonts w:hint="cs"/>
          <w:sz w:val="14"/>
          <w:rtl/>
        </w:rPr>
        <w:t xml:space="preserve">בשני </w:t>
      </w:r>
      <w:r>
        <w:rPr>
          <w:rFonts w:hint="cs"/>
          <w:sz w:val="14"/>
          <w:rtl/>
        </w:rPr>
        <w:lastRenderedPageBreak/>
        <w:t xml:space="preserve">המקורות מתאר ר' יוחנן את תהליך "ירידת הדורות" של תלמידי החכמים. </w:t>
      </w:r>
      <w:r>
        <w:rPr>
          <w:rFonts w:hint="cs"/>
          <w:rtl/>
        </w:rPr>
        <w:t xml:space="preserve">מאמר נוסף שנמסר על ידי רבי יוחנן מדגיש אף הוא את הִדּרדרות הדורות ביחסם ללימוד תורה: </w:t>
      </w:r>
    </w:p>
    <w:p w14:paraId="569F0D46" w14:textId="77777777" w:rsidR="00273399" w:rsidRDefault="00273399" w:rsidP="00273399">
      <w:pPr>
        <w:pStyle w:val="a7"/>
        <w:rPr>
          <w:rFonts w:hint="cs"/>
          <w:sz w:val="14"/>
          <w:rtl/>
        </w:rPr>
      </w:pPr>
      <w:r>
        <w:rPr>
          <w:rFonts w:hint="cs"/>
          <w:rtl/>
        </w:rPr>
        <w:t>"</w:t>
      </w:r>
      <w:r>
        <w:rPr>
          <w:rtl/>
        </w:rPr>
        <w:t xml:space="preserve">אמר רבה בר בר חנה אמר רבי </w:t>
      </w:r>
      <w:r>
        <w:rPr>
          <w:b/>
          <w:bCs/>
          <w:rtl/>
        </w:rPr>
        <w:t>יוחנן</w:t>
      </w:r>
      <w:r>
        <w:rPr>
          <w:rtl/>
        </w:rPr>
        <w:t xml:space="preserve"> משום רבי יהודה ברבי אלעאי: בא וראה שלא כדורות</w:t>
      </w:r>
      <w:r>
        <w:rPr>
          <w:rFonts w:hint="cs"/>
          <w:rtl/>
        </w:rPr>
        <w:t xml:space="preserve"> </w:t>
      </w:r>
      <w:r>
        <w:rPr>
          <w:rtl/>
        </w:rPr>
        <w:t>הראשונים דורות האחרונים</w:t>
      </w:r>
      <w:r>
        <w:rPr>
          <w:rFonts w:hint="cs"/>
          <w:rtl/>
        </w:rPr>
        <w:t xml:space="preserve">: </w:t>
      </w:r>
      <w:r>
        <w:rPr>
          <w:rtl/>
        </w:rPr>
        <w:t>דורות הראשונים עשו תורתן קבע ומלאכתן עראי - זו וזו נתקיימה בידן</w:t>
      </w:r>
      <w:r>
        <w:rPr>
          <w:rFonts w:hint="cs"/>
          <w:rtl/>
        </w:rPr>
        <w:t xml:space="preserve">; </w:t>
      </w:r>
      <w:r>
        <w:rPr>
          <w:rtl/>
        </w:rPr>
        <w:t>דורות האחרונים שעשו מלאכתן קבע ותורתן עראי - זו וזו לא נתקיימה בידן</w:t>
      </w:r>
      <w:r>
        <w:rPr>
          <w:rFonts w:hint="cs"/>
          <w:rtl/>
        </w:rPr>
        <w:t>" (</w:t>
      </w:r>
      <w:r>
        <w:rPr>
          <w:sz w:val="18"/>
          <w:szCs w:val="20"/>
          <w:rtl/>
        </w:rPr>
        <w:t>ברכות לה</w:t>
      </w:r>
      <w:r>
        <w:rPr>
          <w:rFonts w:hint="cs"/>
          <w:sz w:val="18"/>
          <w:szCs w:val="20"/>
          <w:rtl/>
        </w:rPr>
        <w:t xml:space="preserve">, </w:t>
      </w:r>
      <w:r>
        <w:rPr>
          <w:sz w:val="18"/>
          <w:szCs w:val="20"/>
          <w:rtl/>
        </w:rPr>
        <w:t>ב</w:t>
      </w:r>
      <w:r>
        <w:rPr>
          <w:rStyle w:val="a4"/>
          <w:szCs w:val="20"/>
          <w:rtl/>
        </w:rPr>
        <w:footnoteReference w:id="223"/>
      </w:r>
      <w:r>
        <w:rPr>
          <w:rFonts w:hint="cs"/>
          <w:rtl/>
        </w:rPr>
        <w:t>)</w:t>
      </w:r>
      <w:r>
        <w:rPr>
          <w:rFonts w:hint="cs"/>
          <w:sz w:val="14"/>
          <w:rtl/>
        </w:rPr>
        <w:t xml:space="preserve">. </w:t>
      </w:r>
    </w:p>
    <w:p w14:paraId="2ECD14C4" w14:textId="77777777" w:rsidR="00273399" w:rsidRDefault="00273399" w:rsidP="00273399">
      <w:pPr>
        <w:ind w:firstLine="284"/>
        <w:rPr>
          <w:rFonts w:hint="cs"/>
          <w:sz w:val="14"/>
          <w:rtl/>
        </w:rPr>
      </w:pPr>
      <w:r>
        <w:rPr>
          <w:rFonts w:hint="cs"/>
          <w:rtl/>
        </w:rPr>
        <w:t>לפיכך מובן מדוע רבינו בעל ה</w:t>
      </w:r>
      <w:r>
        <w:rPr>
          <w:rtl/>
        </w:rPr>
        <w:t>טור</w:t>
      </w:r>
      <w:r>
        <w:rPr>
          <w:rFonts w:hint="cs"/>
          <w:rtl/>
        </w:rPr>
        <w:t>ים התנסח בלשונו של רבי יוחנן וכתב "</w:t>
      </w:r>
      <w:r>
        <w:rPr>
          <w:rtl/>
        </w:rPr>
        <w:t>מי שתורתו אומנתו</w:t>
      </w:r>
      <w:r>
        <w:rPr>
          <w:rFonts w:hint="cs"/>
          <w:rtl/>
        </w:rPr>
        <w:t>,</w:t>
      </w:r>
      <w:r>
        <w:rPr>
          <w:rtl/>
        </w:rPr>
        <w:t xml:space="preserve"> כגון רשב"י וחביריו</w:t>
      </w:r>
      <w:r>
        <w:rPr>
          <w:rFonts w:hint="cs"/>
          <w:rtl/>
        </w:rPr>
        <w:t>,</w:t>
      </w:r>
      <w:r>
        <w:rPr>
          <w:rtl/>
        </w:rPr>
        <w:t xml:space="preserve"> מפסיקין ממנה לק"ש ולא לתפלה</w:t>
      </w:r>
      <w:r>
        <w:rPr>
          <w:rFonts w:hint="cs"/>
          <w:rtl/>
        </w:rPr>
        <w:t>,</w:t>
      </w:r>
      <w:r>
        <w:rPr>
          <w:rtl/>
        </w:rPr>
        <w:t xml:space="preserve"> </w:t>
      </w:r>
      <w:r>
        <w:rPr>
          <w:b/>
          <w:bCs/>
          <w:rtl/>
        </w:rPr>
        <w:t>אבל אנו</w:t>
      </w:r>
      <w:r>
        <w:rPr>
          <w:rtl/>
        </w:rPr>
        <w:t xml:space="preserve"> מפסיקין בין לק"ש בין לתפלה</w:t>
      </w:r>
      <w:r>
        <w:rPr>
          <w:rFonts w:hint="cs"/>
          <w:rtl/>
        </w:rPr>
        <w:t>" (</w:t>
      </w:r>
      <w:r>
        <w:rPr>
          <w:rFonts w:hint="cs"/>
          <w:sz w:val="18"/>
          <w:szCs w:val="20"/>
          <w:rtl/>
        </w:rPr>
        <w:t>ואת לשונו העתיק ה</w:t>
      </w:r>
      <w:r>
        <w:rPr>
          <w:sz w:val="18"/>
          <w:szCs w:val="20"/>
          <w:rtl/>
        </w:rPr>
        <w:t>שולחן ערוך</w:t>
      </w:r>
      <w:r>
        <w:rPr>
          <w:rFonts w:hint="cs"/>
          <w:rtl/>
        </w:rPr>
        <w:t>). אף אנו כולנו</w:t>
      </w:r>
      <w:r>
        <w:rPr>
          <w:rStyle w:val="a4"/>
          <w:rtl/>
        </w:rPr>
        <w:footnoteReference w:id="224"/>
      </w:r>
      <w:r>
        <w:rPr>
          <w:rFonts w:hint="cs"/>
          <w:rtl/>
        </w:rPr>
        <w:t xml:space="preserve"> כלולים באותו כינוי הגוף </w:t>
      </w:r>
      <w:r>
        <w:rPr>
          <w:rFonts w:hint="cs"/>
          <w:rtl/>
        </w:rPr>
        <w:lastRenderedPageBreak/>
        <w:t>"</w:t>
      </w:r>
      <w:r>
        <w:rPr>
          <w:rtl/>
        </w:rPr>
        <w:t>אנו</w:t>
      </w:r>
      <w:r>
        <w:rPr>
          <w:rFonts w:hint="cs"/>
          <w:rtl/>
        </w:rPr>
        <w:t>"</w:t>
      </w:r>
      <w:r>
        <w:rPr>
          <w:rStyle w:val="a4"/>
          <w:rtl/>
        </w:rPr>
        <w:footnoteReference w:id="225"/>
      </w:r>
      <w:r>
        <w:rPr>
          <w:rFonts w:hint="cs"/>
          <w:rtl/>
        </w:rPr>
        <w:t xml:space="preserve"> שאמר רבי יוחנן, שהפריש בינינו לבין רשב"י וחבריו שתורתן אומנותן. ואכן, </w:t>
      </w:r>
      <w:r>
        <w:rPr>
          <w:sz w:val="14"/>
          <w:rtl/>
        </w:rPr>
        <w:t xml:space="preserve">רב עמרם גאון </w:t>
      </w:r>
      <w:r>
        <w:rPr>
          <w:rFonts w:hint="cs"/>
          <w:sz w:val="14"/>
          <w:rtl/>
        </w:rPr>
        <w:t xml:space="preserve">מביא את דברי </w:t>
      </w:r>
      <w:r>
        <w:rPr>
          <w:sz w:val="14"/>
          <w:rtl/>
        </w:rPr>
        <w:t xml:space="preserve">ר' יוחנן </w:t>
      </w:r>
      <w:r>
        <w:rPr>
          <w:rFonts w:hint="cs"/>
          <w:sz w:val="14"/>
          <w:rtl/>
        </w:rPr>
        <w:t>בלשון זו: "</w:t>
      </w:r>
      <w:r>
        <w:rPr>
          <w:sz w:val="14"/>
          <w:rtl/>
        </w:rPr>
        <w:t xml:space="preserve">לא שנו אלא </w:t>
      </w:r>
      <w:r>
        <w:rPr>
          <w:b/>
          <w:bCs/>
          <w:sz w:val="14"/>
          <w:rtl/>
        </w:rPr>
        <w:t xml:space="preserve">בדורות הראשונים </w:t>
      </w:r>
      <w:r>
        <w:rPr>
          <w:sz w:val="14"/>
          <w:rtl/>
        </w:rPr>
        <w:t xml:space="preserve">כגון רשב"י וחביריו שתורתם </w:t>
      </w:r>
      <w:r>
        <w:rPr>
          <w:rFonts w:hint="cs"/>
          <w:sz w:val="14"/>
          <w:rtl/>
        </w:rPr>
        <w:t xml:space="preserve">[זו היא] </w:t>
      </w:r>
      <w:r>
        <w:rPr>
          <w:sz w:val="14"/>
          <w:rtl/>
        </w:rPr>
        <w:t>אומנתם, אבל אנו מפסיקין בין לק"ש בין לתפלה</w:t>
      </w:r>
      <w:r>
        <w:rPr>
          <w:rFonts w:hint="cs"/>
          <w:sz w:val="14"/>
          <w:rtl/>
        </w:rPr>
        <w:t>" (</w:t>
      </w:r>
      <w:r>
        <w:rPr>
          <w:sz w:val="18"/>
          <w:szCs w:val="20"/>
          <w:rtl/>
        </w:rPr>
        <w:t>סדר רב עמרם גאון</w:t>
      </w:r>
      <w:r>
        <w:rPr>
          <w:rStyle w:val="a4"/>
          <w:szCs w:val="20"/>
          <w:rtl/>
        </w:rPr>
        <w:footnoteReference w:id="226"/>
      </w:r>
      <w:r>
        <w:rPr>
          <w:rFonts w:hint="cs"/>
          <w:sz w:val="14"/>
          <w:rtl/>
        </w:rPr>
        <w:t>)</w:t>
      </w:r>
      <w:r>
        <w:rPr>
          <w:sz w:val="14"/>
          <w:rtl/>
        </w:rPr>
        <w:t>.</w:t>
      </w:r>
    </w:p>
    <w:p w14:paraId="0CA270FB" w14:textId="77777777" w:rsidR="00273399" w:rsidRDefault="00273399" w:rsidP="00273399">
      <w:pPr>
        <w:ind w:firstLine="284"/>
        <w:rPr>
          <w:rFonts w:hint="cs"/>
          <w:rtl/>
        </w:rPr>
      </w:pPr>
      <w:r>
        <w:rPr>
          <w:rFonts w:hint="cs"/>
          <w:rtl/>
        </w:rPr>
        <w:t>ברוח זו כתב הגרש"ז בעל התניא ב</w:t>
      </w:r>
      <w:r>
        <w:rPr>
          <w:rtl/>
        </w:rPr>
        <w:t>שולחן ערוך</w:t>
      </w:r>
      <w:r>
        <w:rPr>
          <w:rFonts w:hint="cs"/>
          <w:rtl/>
        </w:rPr>
        <w:t xml:space="preserve"> שלו (</w:t>
      </w:r>
      <w:r>
        <w:rPr>
          <w:rFonts w:hint="cs"/>
          <w:sz w:val="18"/>
          <w:szCs w:val="20"/>
          <w:rtl/>
        </w:rPr>
        <w:t>סעיף ד'</w:t>
      </w:r>
      <w:r>
        <w:rPr>
          <w:rFonts w:hint="cs"/>
          <w:rtl/>
        </w:rPr>
        <w:t xml:space="preserve">): </w:t>
      </w:r>
    </w:p>
    <w:p w14:paraId="4ED5157D" w14:textId="77777777" w:rsidR="00273399" w:rsidRDefault="00273399" w:rsidP="00273399">
      <w:pPr>
        <w:pStyle w:val="a7"/>
        <w:rPr>
          <w:rFonts w:hint="cs"/>
          <w:sz w:val="14"/>
          <w:rtl/>
        </w:rPr>
      </w:pPr>
      <w:r>
        <w:rPr>
          <w:rFonts w:hint="cs"/>
          <w:rtl/>
        </w:rPr>
        <w:lastRenderedPageBreak/>
        <w:t>"מי שתורתו אומנותו... אינו מתפלל כל עיקר: כיון שמבלעדי כן אינו מבטל מלימודו אפילו רגע - גם בשביל התפלה לא יבטל. ואף שצריך לבטל ולהפסיק לימודו לעשיית כל המצוות, אפילו של דברי סופרים</w:t>
      </w:r>
      <w:r>
        <w:rPr>
          <w:rStyle w:val="a4"/>
          <w:rtl/>
        </w:rPr>
        <w:footnoteReference w:id="227"/>
      </w:r>
      <w:r>
        <w:rPr>
          <w:rFonts w:hint="cs"/>
          <w:rtl/>
        </w:rPr>
        <w:t xml:space="preserve">, מכל מקום תפלה הואיל ואינה אלא בקשת רחמים על עניני עולם הזה, </w:t>
      </w:r>
      <w:r>
        <w:rPr>
          <w:rFonts w:hint="cs"/>
          <w:sz w:val="14"/>
          <w:rtl/>
        </w:rPr>
        <w:t xml:space="preserve">אין לו להניח </w:t>
      </w:r>
      <w:r>
        <w:rPr>
          <w:sz w:val="14"/>
          <w:rtl/>
        </w:rPr>
        <w:t xml:space="preserve">חיי </w:t>
      </w:r>
      <w:r>
        <w:rPr>
          <w:rFonts w:hint="cs"/>
          <w:sz w:val="14"/>
          <w:rtl/>
        </w:rPr>
        <w:t>ה</w:t>
      </w:r>
      <w:r>
        <w:rPr>
          <w:sz w:val="14"/>
          <w:rtl/>
        </w:rPr>
        <w:t>עולם ו</w:t>
      </w:r>
      <w:r>
        <w:rPr>
          <w:rFonts w:hint="cs"/>
          <w:sz w:val="14"/>
          <w:rtl/>
        </w:rPr>
        <w:t>ל</w:t>
      </w:r>
      <w:r>
        <w:rPr>
          <w:sz w:val="14"/>
          <w:rtl/>
        </w:rPr>
        <w:t>עס</w:t>
      </w:r>
      <w:r>
        <w:rPr>
          <w:rFonts w:hint="cs"/>
          <w:sz w:val="14"/>
          <w:rtl/>
        </w:rPr>
        <w:t>ו</w:t>
      </w:r>
      <w:r>
        <w:rPr>
          <w:sz w:val="14"/>
          <w:rtl/>
        </w:rPr>
        <w:t>ק בחיי שעה</w:t>
      </w:r>
      <w:r>
        <w:rPr>
          <w:rStyle w:val="a4"/>
          <w:rtl/>
        </w:rPr>
        <w:footnoteReference w:id="228"/>
      </w:r>
      <w:r>
        <w:rPr>
          <w:rFonts w:hint="cs"/>
          <w:sz w:val="14"/>
          <w:rtl/>
        </w:rPr>
        <w:t xml:space="preserve">, </w:t>
      </w:r>
      <w:r>
        <w:rPr>
          <w:rFonts w:hint="cs"/>
          <w:b/>
          <w:bCs/>
          <w:sz w:val="14"/>
          <w:rtl/>
        </w:rPr>
        <w:t>אבל אנו</w:t>
      </w:r>
      <w:r>
        <w:rPr>
          <w:rFonts w:hint="cs"/>
          <w:sz w:val="14"/>
          <w:rtl/>
        </w:rPr>
        <w:t xml:space="preserve"> מפסיקין בין לק"ש בין לתפלה, </w:t>
      </w:r>
      <w:r>
        <w:rPr>
          <w:rFonts w:hint="cs"/>
          <w:b/>
          <w:bCs/>
          <w:sz w:val="14"/>
          <w:rtl/>
        </w:rPr>
        <w:t>כיון שמבלעדי כן אנו מבטלין הרבה</w:t>
      </w:r>
      <w:r>
        <w:rPr>
          <w:rStyle w:val="a4"/>
          <w:rtl/>
        </w:rPr>
        <w:footnoteReference w:id="229"/>
      </w:r>
      <w:r>
        <w:rPr>
          <w:rFonts w:hint="cs"/>
          <w:sz w:val="14"/>
          <w:rtl/>
        </w:rPr>
        <w:t xml:space="preserve">". </w:t>
      </w:r>
    </w:p>
    <w:p w14:paraId="5FA6411D" w14:textId="77777777" w:rsidR="00273399" w:rsidRDefault="00273399" w:rsidP="00273399">
      <w:pPr>
        <w:ind w:firstLine="284"/>
        <w:rPr>
          <w:rFonts w:hint="cs"/>
          <w:sz w:val="14"/>
          <w:rtl/>
        </w:rPr>
      </w:pPr>
      <w:r>
        <w:rPr>
          <w:rFonts w:hint="cs"/>
          <w:rtl/>
        </w:rPr>
        <w:t>מדברי פוסקים אלה למדנו שכיום אין מי שיוגדר כמי שתורתו אומנותו (</w:t>
      </w:r>
      <w:r>
        <w:rPr>
          <w:rFonts w:hint="cs"/>
          <w:sz w:val="18"/>
          <w:szCs w:val="20"/>
          <w:rtl/>
        </w:rPr>
        <w:t xml:space="preserve">וכ"כ בפירוש הגר"מ </w:t>
      </w:r>
      <w:r>
        <w:rPr>
          <w:rFonts w:hint="cs"/>
          <w:sz w:val="20"/>
          <w:szCs w:val="20"/>
          <w:rtl/>
        </w:rPr>
        <w:t xml:space="preserve">פיינשטיין, </w:t>
      </w:r>
      <w:r>
        <w:rPr>
          <w:sz w:val="20"/>
          <w:szCs w:val="20"/>
          <w:rtl/>
        </w:rPr>
        <w:t>שו"ת אגרות משה חלק או"ח ב</w:t>
      </w:r>
      <w:r>
        <w:rPr>
          <w:rFonts w:hint="cs"/>
          <w:sz w:val="20"/>
          <w:szCs w:val="20"/>
          <w:rtl/>
        </w:rPr>
        <w:t>'</w:t>
      </w:r>
      <w:r>
        <w:rPr>
          <w:sz w:val="20"/>
          <w:szCs w:val="20"/>
          <w:rtl/>
        </w:rPr>
        <w:t xml:space="preserve"> סימן כ</w:t>
      </w:r>
      <w:r>
        <w:rPr>
          <w:rFonts w:hint="cs"/>
          <w:sz w:val="20"/>
          <w:szCs w:val="20"/>
          <w:rtl/>
        </w:rPr>
        <w:t>"</w:t>
      </w:r>
      <w:r>
        <w:rPr>
          <w:sz w:val="20"/>
          <w:szCs w:val="20"/>
          <w:rtl/>
        </w:rPr>
        <w:t>ז</w:t>
      </w:r>
      <w:r>
        <w:rPr>
          <w:rFonts w:hint="cs"/>
          <w:sz w:val="20"/>
          <w:szCs w:val="20"/>
          <w:rtl/>
        </w:rPr>
        <w:t>: "</w:t>
      </w:r>
      <w:r>
        <w:rPr>
          <w:sz w:val="18"/>
          <w:szCs w:val="20"/>
          <w:rtl/>
        </w:rPr>
        <w:t>דין זה ליכא לת"ח שבזמננו</w:t>
      </w:r>
      <w:r>
        <w:rPr>
          <w:rFonts w:hint="cs"/>
          <w:sz w:val="18"/>
          <w:szCs w:val="20"/>
          <w:rtl/>
        </w:rPr>
        <w:t>"</w:t>
      </w:r>
      <w:r>
        <w:rPr>
          <w:rFonts w:hint="cs"/>
          <w:rtl/>
        </w:rPr>
        <w:t xml:space="preserve">). לפירוש זה, בִטֵּל ר' יוחנן למעשה את </w:t>
      </w:r>
      <w:r>
        <w:rPr>
          <w:rFonts w:hint="cs"/>
          <w:rtl/>
        </w:rPr>
        <w:lastRenderedPageBreak/>
        <w:t>דברי הברייתא</w:t>
      </w:r>
      <w:r>
        <w:rPr>
          <w:rStyle w:val="a4"/>
          <w:rtl/>
        </w:rPr>
        <w:footnoteReference w:id="230"/>
      </w:r>
      <w:r>
        <w:rPr>
          <w:rFonts w:hint="cs"/>
          <w:rtl/>
        </w:rPr>
        <w:t xml:space="preserve">, והִשאירהּ כהלכתא למשיחא (לכשיקומו לתחיה רשב"י וחבריו). </w:t>
      </w:r>
    </w:p>
    <w:p w14:paraId="081CD42C" w14:textId="77777777" w:rsidR="00273399" w:rsidRDefault="00273399" w:rsidP="00273399">
      <w:pPr>
        <w:ind w:firstLine="284"/>
        <w:rPr>
          <w:rFonts w:hint="cs"/>
          <w:rtl/>
        </w:rPr>
      </w:pPr>
      <w:r>
        <w:rPr>
          <w:rFonts w:hint="cs"/>
          <w:sz w:val="14"/>
          <w:rtl/>
        </w:rPr>
        <w:t>ברם, לא כן משמע מלשון ה</w:t>
      </w:r>
      <w:r>
        <w:rPr>
          <w:sz w:val="14"/>
          <w:rtl/>
        </w:rPr>
        <w:t xml:space="preserve">רמב"ם </w:t>
      </w:r>
      <w:r>
        <w:rPr>
          <w:rFonts w:hint="cs"/>
          <w:sz w:val="14"/>
          <w:rtl/>
        </w:rPr>
        <w:t>אשר פָסַק הלכה למעשה: "</w:t>
      </w:r>
      <w:r>
        <w:rPr>
          <w:sz w:val="14"/>
          <w:rtl/>
        </w:rPr>
        <w:t>מי שהיה עוסק בתלמוד תורה והגיע זמן התפלה פוסק ומתפלל</w:t>
      </w:r>
      <w:r>
        <w:rPr>
          <w:rFonts w:hint="cs"/>
          <w:sz w:val="14"/>
          <w:rtl/>
        </w:rPr>
        <w:t>;</w:t>
      </w:r>
      <w:r>
        <w:rPr>
          <w:sz w:val="14"/>
          <w:rtl/>
        </w:rPr>
        <w:t xml:space="preserve"> ואם היתה תורתו אומנותו</w:t>
      </w:r>
      <w:r>
        <w:rPr>
          <w:rFonts w:hint="cs"/>
          <w:sz w:val="14"/>
          <w:rtl/>
        </w:rPr>
        <w:t xml:space="preserve"> </w:t>
      </w:r>
      <w:r>
        <w:rPr>
          <w:sz w:val="14"/>
          <w:rtl/>
        </w:rPr>
        <w:t>ואינו עושה מלאכה כלל והיה עוסק בתורה בשעת תפלתו אינו פוסק</w:t>
      </w:r>
      <w:r>
        <w:rPr>
          <w:rFonts w:hint="cs"/>
          <w:sz w:val="14"/>
          <w:rtl/>
        </w:rPr>
        <w:t>,</w:t>
      </w:r>
      <w:r>
        <w:rPr>
          <w:sz w:val="14"/>
          <w:rtl/>
        </w:rPr>
        <w:t xml:space="preserve"> שמצות תלמוד תורה</w:t>
      </w:r>
      <w:r>
        <w:rPr>
          <w:rStyle w:val="a4"/>
          <w:rtl/>
        </w:rPr>
        <w:footnoteReference w:id="231"/>
      </w:r>
      <w:r>
        <w:rPr>
          <w:sz w:val="14"/>
          <w:rtl/>
        </w:rPr>
        <w:t xml:space="preserve"> גדולה ממצות תפלה</w:t>
      </w:r>
      <w:r>
        <w:rPr>
          <w:rFonts w:hint="cs"/>
          <w:sz w:val="14"/>
          <w:rtl/>
        </w:rPr>
        <w:t>" (</w:t>
      </w:r>
      <w:r>
        <w:rPr>
          <w:sz w:val="18"/>
          <w:szCs w:val="20"/>
          <w:rtl/>
        </w:rPr>
        <w:t>הלכות תפילה פ</w:t>
      </w:r>
      <w:r>
        <w:rPr>
          <w:rFonts w:hint="cs"/>
          <w:sz w:val="18"/>
          <w:szCs w:val="20"/>
          <w:rtl/>
        </w:rPr>
        <w:t>"</w:t>
      </w:r>
      <w:r>
        <w:rPr>
          <w:sz w:val="18"/>
          <w:szCs w:val="20"/>
          <w:rtl/>
        </w:rPr>
        <w:t>ו ה</w:t>
      </w:r>
      <w:r>
        <w:rPr>
          <w:rFonts w:hint="cs"/>
          <w:sz w:val="18"/>
          <w:szCs w:val="20"/>
          <w:rtl/>
        </w:rPr>
        <w:t>"</w:t>
      </w:r>
      <w:r>
        <w:rPr>
          <w:sz w:val="18"/>
          <w:szCs w:val="20"/>
          <w:rtl/>
        </w:rPr>
        <w:t>ח</w:t>
      </w:r>
      <w:r>
        <w:rPr>
          <w:rFonts w:hint="cs"/>
          <w:sz w:val="14"/>
          <w:rtl/>
        </w:rPr>
        <w:t>)</w:t>
      </w:r>
      <w:r>
        <w:rPr>
          <w:sz w:val="14"/>
          <w:rtl/>
        </w:rPr>
        <w:t xml:space="preserve">. </w:t>
      </w:r>
      <w:r>
        <w:rPr>
          <w:rFonts w:hint="cs"/>
          <w:sz w:val="14"/>
          <w:rtl/>
        </w:rPr>
        <w:t xml:space="preserve">וכך תמה </w:t>
      </w:r>
      <w:r>
        <w:rPr>
          <w:rtl/>
        </w:rPr>
        <w:t>עָר</w:t>
      </w:r>
      <w:r>
        <w:rPr>
          <w:rFonts w:hint="cs"/>
          <w:rtl/>
        </w:rPr>
        <w:t>ו</w:t>
      </w:r>
      <w:r>
        <w:rPr>
          <w:rtl/>
        </w:rPr>
        <w:t>ֹךְ הַשֻּׁלְחָן</w:t>
      </w:r>
      <w:r>
        <w:rPr>
          <w:rFonts w:hint="cs"/>
          <w:rtl/>
        </w:rPr>
        <w:t xml:space="preserve">: </w:t>
      </w:r>
    </w:p>
    <w:p w14:paraId="55045F45" w14:textId="77777777" w:rsidR="00273399" w:rsidRDefault="00273399" w:rsidP="00273399">
      <w:pPr>
        <w:pStyle w:val="a7"/>
        <w:rPr>
          <w:rFonts w:hint="cs"/>
          <w:rtl/>
        </w:rPr>
      </w:pPr>
      <w:r>
        <w:rPr>
          <w:rFonts w:hint="cs"/>
          <w:rtl/>
        </w:rPr>
        <w:t xml:space="preserve">"דברי הרמב"ם בענין זה תמוהים מאד... כיון דר' יוחנן הפסיק - כל שכן אנחנו! ורבי יוחנן פשיטא שהיתה </w:t>
      </w:r>
      <w:r>
        <w:rPr>
          <w:rFonts w:hint="cs"/>
          <w:rtl/>
        </w:rPr>
        <w:lastRenderedPageBreak/>
        <w:t>תורתו אומנתו</w:t>
      </w:r>
      <w:r>
        <w:rPr>
          <w:rStyle w:val="a4"/>
          <w:rtl/>
        </w:rPr>
        <w:footnoteReference w:id="232"/>
      </w:r>
      <w:r>
        <w:rPr>
          <w:rFonts w:hint="cs"/>
          <w:rtl/>
        </w:rPr>
        <w:t>, ואיך כתב [</w:t>
      </w:r>
      <w:r>
        <w:rPr>
          <w:rFonts w:hint="cs"/>
          <w:sz w:val="18"/>
          <w:szCs w:val="20"/>
          <w:rtl/>
        </w:rPr>
        <w:t>הרמב"ם</w:t>
      </w:r>
      <w:r>
        <w:rPr>
          <w:rFonts w:hint="cs"/>
          <w:rtl/>
        </w:rPr>
        <w:t>] דְ'מִי ש</w:t>
      </w:r>
      <w:r>
        <w:rPr>
          <w:sz w:val="14"/>
          <w:rtl/>
        </w:rPr>
        <w:t>תורתו אומנותו</w:t>
      </w:r>
      <w:r>
        <w:rPr>
          <w:rFonts w:hint="cs"/>
          <w:sz w:val="14"/>
          <w:rtl/>
        </w:rPr>
        <w:t xml:space="preserve"> </w:t>
      </w:r>
      <w:r>
        <w:rPr>
          <w:sz w:val="14"/>
          <w:rtl/>
        </w:rPr>
        <w:t>אינו פוסק</w:t>
      </w:r>
      <w:r>
        <w:rPr>
          <w:rFonts w:hint="cs"/>
          <w:sz w:val="14"/>
          <w:rtl/>
        </w:rPr>
        <w:t>' -</w:t>
      </w:r>
      <w:r>
        <w:rPr>
          <w:rFonts w:hint="cs"/>
          <w:rtl/>
        </w:rPr>
        <w:t xml:space="preserve"> האם אנחנו גדולים מר' יוחנן?! וצע"ג".</w:t>
      </w:r>
    </w:p>
    <w:p w14:paraId="23C7B841" w14:textId="77777777" w:rsidR="00273399" w:rsidRDefault="00273399" w:rsidP="00273399">
      <w:pPr>
        <w:ind w:firstLine="284"/>
        <w:rPr>
          <w:rFonts w:hint="cs"/>
          <w:rtl/>
        </w:rPr>
      </w:pPr>
      <w:r>
        <w:rPr>
          <w:rFonts w:hint="cs"/>
          <w:rtl/>
        </w:rPr>
        <w:t>את תמיהתו נראה היה לתרץ כי כשם שהרמב"ם כָלל בספרו גם הלכות שאינן נוהגות למעשה בזמננו</w:t>
      </w:r>
      <w:r>
        <w:rPr>
          <w:rStyle w:val="a4"/>
          <w:rtl/>
        </w:rPr>
        <w:footnoteReference w:id="233"/>
      </w:r>
      <w:r>
        <w:rPr>
          <w:rFonts w:hint="cs"/>
          <w:rtl/>
        </w:rPr>
        <w:t>, כך העתיק גם הלכה זו אף אם בדורות האחרונים אין נמצא כזה איש אשר תורתו אומנותו יותר מרבי יוחנן. דין רשב"י וחבריו נותר בעינו, ויש לכוללו בספר משנה תורה שמטרתו לכלול "תורה שבעל פה כולה" (</w:t>
      </w:r>
      <w:r>
        <w:rPr>
          <w:rFonts w:hint="cs"/>
          <w:sz w:val="18"/>
          <w:szCs w:val="20"/>
          <w:rtl/>
        </w:rPr>
        <w:t>כלשונו בהקדמת הספר</w:t>
      </w:r>
      <w:r>
        <w:rPr>
          <w:rFonts w:hint="cs"/>
          <w:rtl/>
        </w:rPr>
        <w:t>), אף אם אינו ניתן ליישום מעשִׂי מחמת חיסרון במציאות.</w:t>
      </w:r>
    </w:p>
    <w:p w14:paraId="3FF45574" w14:textId="77777777" w:rsidR="00273399" w:rsidRDefault="00273399" w:rsidP="00273399">
      <w:pPr>
        <w:ind w:firstLine="284"/>
        <w:rPr>
          <w:rFonts w:hint="cs"/>
          <w:sz w:val="14"/>
          <w:rtl/>
        </w:rPr>
      </w:pPr>
      <w:r>
        <w:rPr>
          <w:rFonts w:hint="cs"/>
          <w:rtl/>
        </w:rPr>
        <w:t xml:space="preserve">ברם, המדייק בלשון הרמב"ם יראה שהוא מפרש את </w:t>
      </w:r>
      <w:r>
        <w:rPr>
          <w:rFonts w:hint="cs"/>
          <w:sz w:val="14"/>
          <w:rtl/>
        </w:rPr>
        <w:t xml:space="preserve">הביטוי "תורתו אומנותו" כדרך א' הנ"ל: בתחילה נקט בלשון המקור </w:t>
      </w:r>
      <w:r>
        <w:rPr>
          <w:rFonts w:hint="cs"/>
          <w:rtl/>
        </w:rPr>
        <w:t>התלמודי "</w:t>
      </w:r>
      <w:r>
        <w:rPr>
          <w:rtl/>
        </w:rPr>
        <w:t>אם היתה תורתו אומנותו</w:t>
      </w:r>
      <w:r>
        <w:rPr>
          <w:rFonts w:hint="cs"/>
          <w:rtl/>
        </w:rPr>
        <w:t>", ומייד בא פירושו</w:t>
      </w:r>
      <w:r>
        <w:rPr>
          <w:rStyle w:val="a4"/>
          <w:rtl/>
        </w:rPr>
        <w:footnoteReference w:id="234"/>
      </w:r>
      <w:r>
        <w:rPr>
          <w:rFonts w:hint="cs"/>
          <w:rtl/>
        </w:rPr>
        <w:t>: "</w:t>
      </w:r>
      <w:r>
        <w:rPr>
          <w:rtl/>
        </w:rPr>
        <w:t xml:space="preserve">ואינו </w:t>
      </w:r>
      <w:r>
        <w:rPr>
          <w:rtl/>
        </w:rPr>
        <w:lastRenderedPageBreak/>
        <w:t>עושה מלאכה כלל</w:t>
      </w:r>
      <w:r>
        <w:rPr>
          <w:rFonts w:hint="cs"/>
          <w:rtl/>
        </w:rPr>
        <w:t>", כלומר אין לו אומנות ועבודה</w:t>
      </w:r>
      <w:r>
        <w:rPr>
          <w:rFonts w:hint="cs"/>
          <w:sz w:val="14"/>
          <w:rtl/>
        </w:rPr>
        <w:t xml:space="preserve"> </w:t>
      </w:r>
      <w:r>
        <w:rPr>
          <w:rFonts w:hint="cs"/>
          <w:rtl/>
        </w:rPr>
        <w:t>אחרת</w:t>
      </w:r>
      <w:r>
        <w:rPr>
          <w:rFonts w:hint="cs"/>
          <w:sz w:val="14"/>
          <w:rtl/>
        </w:rPr>
        <w:t xml:space="preserve"> אלא התורה. </w:t>
      </w:r>
    </w:p>
    <w:p w14:paraId="1B7F13B1" w14:textId="77777777" w:rsidR="00273399" w:rsidRDefault="00273399" w:rsidP="00273399">
      <w:pPr>
        <w:ind w:firstLine="284"/>
        <w:rPr>
          <w:rFonts w:hint="cs"/>
          <w:sz w:val="14"/>
          <w:rtl/>
        </w:rPr>
      </w:pPr>
      <w:r>
        <w:rPr>
          <w:rFonts w:hint="cs"/>
          <w:sz w:val="14"/>
          <w:rtl/>
        </w:rPr>
        <w:t>יתכן שלא זו בלבד שרבי יוחנן הגביל את משמעות "חברים" שבברייתא רק לרשב"י וחבריו, אלא אף זו: הוא עקר את לשון הברייתא "</w:t>
      </w:r>
      <w:r>
        <w:rPr>
          <w:sz w:val="14"/>
          <w:rtl/>
        </w:rPr>
        <w:t xml:space="preserve">שהיו </w:t>
      </w:r>
      <w:r>
        <w:rPr>
          <w:b/>
          <w:bCs/>
          <w:sz w:val="14"/>
          <w:rtl/>
        </w:rPr>
        <w:t>עוסקין</w:t>
      </w:r>
      <w:r>
        <w:rPr>
          <w:sz w:val="14"/>
          <w:rtl/>
        </w:rPr>
        <w:t xml:space="preserve"> בתורה</w:t>
      </w:r>
      <w:r>
        <w:rPr>
          <w:rFonts w:hint="cs"/>
          <w:sz w:val="14"/>
          <w:rtl/>
        </w:rPr>
        <w:t>" ממשמעה הרגיל, היו לומדים</w:t>
      </w:r>
      <w:r>
        <w:rPr>
          <w:sz w:val="14"/>
          <w:rtl/>
        </w:rPr>
        <w:t xml:space="preserve"> תורה</w:t>
      </w:r>
      <w:r>
        <w:rPr>
          <w:rStyle w:val="a4"/>
          <w:rtl/>
        </w:rPr>
        <w:footnoteReference w:id="235"/>
      </w:r>
      <w:r>
        <w:rPr>
          <w:rFonts w:hint="cs"/>
          <w:sz w:val="14"/>
          <w:rtl/>
        </w:rPr>
        <w:t>, והסביר כך: שהתורה היתה העסק והעבודה שלהם (</w:t>
      </w:r>
      <w:r>
        <w:rPr>
          <w:rFonts w:hint="cs"/>
          <w:sz w:val="18"/>
          <w:szCs w:val="20"/>
          <w:rtl/>
        </w:rPr>
        <w:t>דהיינו "אומנות" לפי משמעו הבסיסי</w:t>
      </w:r>
      <w:r>
        <w:rPr>
          <w:rFonts w:hint="cs"/>
          <w:sz w:val="14"/>
          <w:rtl/>
        </w:rPr>
        <w:t>)</w:t>
      </w:r>
      <w:r>
        <w:rPr>
          <w:rStyle w:val="a4"/>
          <w:rtl/>
        </w:rPr>
        <w:footnoteReference w:id="236"/>
      </w:r>
      <w:r>
        <w:rPr>
          <w:rFonts w:hint="cs"/>
          <w:sz w:val="14"/>
          <w:rtl/>
        </w:rPr>
        <w:t>.</w:t>
      </w:r>
    </w:p>
    <w:p w14:paraId="75232AE4" w14:textId="77777777" w:rsidR="00273399" w:rsidRDefault="00273399" w:rsidP="00273399">
      <w:pPr>
        <w:ind w:firstLine="284"/>
        <w:rPr>
          <w:rFonts w:hint="cs"/>
          <w:sz w:val="14"/>
          <w:rtl/>
        </w:rPr>
      </w:pPr>
      <w:r>
        <w:rPr>
          <w:rFonts w:hint="cs"/>
          <w:sz w:val="14"/>
          <w:rtl/>
        </w:rPr>
        <w:t xml:space="preserve">וכך מסיק </w:t>
      </w:r>
      <w:r>
        <w:rPr>
          <w:sz w:val="26"/>
          <w:rtl/>
        </w:rPr>
        <w:t>עָר</w:t>
      </w:r>
      <w:r>
        <w:rPr>
          <w:rFonts w:hint="cs"/>
          <w:sz w:val="26"/>
          <w:rtl/>
        </w:rPr>
        <w:t>ו</w:t>
      </w:r>
      <w:r>
        <w:rPr>
          <w:sz w:val="26"/>
          <w:rtl/>
        </w:rPr>
        <w:t>ֹךְ הַשֻּׁלְחָן</w:t>
      </w:r>
      <w:r>
        <w:rPr>
          <w:rFonts w:hint="cs"/>
          <w:sz w:val="26"/>
          <w:rtl/>
        </w:rPr>
        <w:t xml:space="preserve"> בהסבר שיטת הרמב"ם</w:t>
      </w:r>
      <w:r>
        <w:rPr>
          <w:rStyle w:val="a4"/>
          <w:rtl/>
        </w:rPr>
        <w:footnoteReference w:id="237"/>
      </w:r>
      <w:r>
        <w:rPr>
          <w:rFonts w:hint="cs"/>
          <w:sz w:val="26"/>
          <w:rtl/>
        </w:rPr>
        <w:t xml:space="preserve">, שהמושג </w:t>
      </w:r>
      <w:r>
        <w:rPr>
          <w:rFonts w:hint="cs"/>
          <w:rtl/>
        </w:rPr>
        <w:t>"</w:t>
      </w:r>
      <w:r>
        <w:rPr>
          <w:rtl/>
        </w:rPr>
        <w:t>תורתו אומנותו</w:t>
      </w:r>
      <w:r>
        <w:rPr>
          <w:rFonts w:hint="cs"/>
          <w:rtl/>
        </w:rPr>
        <w:t xml:space="preserve">" אינו "מצד </w:t>
      </w:r>
      <w:r>
        <w:rPr>
          <w:rFonts w:hint="cs"/>
          <w:sz w:val="14"/>
          <w:rtl/>
        </w:rPr>
        <w:t>גודל מעלתם ושקידתם (</w:t>
      </w:r>
      <w:r>
        <w:rPr>
          <w:rFonts w:hint="cs"/>
          <w:sz w:val="18"/>
          <w:szCs w:val="20"/>
          <w:rtl/>
        </w:rPr>
        <w:t>דרך ב'</w:t>
      </w:r>
      <w:r>
        <w:rPr>
          <w:rFonts w:hint="cs"/>
          <w:sz w:val="14"/>
          <w:rtl/>
        </w:rPr>
        <w:t xml:space="preserve">), אלא </w:t>
      </w:r>
      <w:r>
        <w:rPr>
          <w:rFonts w:hint="cs"/>
          <w:sz w:val="14"/>
          <w:rtl/>
        </w:rPr>
        <w:lastRenderedPageBreak/>
        <w:t>מפני שלא עשו שום מלאכה להתפרנס (</w:t>
      </w:r>
      <w:r>
        <w:rPr>
          <w:rFonts w:hint="cs"/>
          <w:sz w:val="18"/>
          <w:szCs w:val="20"/>
          <w:rtl/>
        </w:rPr>
        <w:t>דרך א'</w:t>
      </w:r>
      <w:r>
        <w:rPr>
          <w:rFonts w:hint="cs"/>
          <w:sz w:val="14"/>
          <w:rtl/>
        </w:rPr>
        <w:t>), וכיון שאינו מפסיק לפרנסה אינו מפסיק גם לתפלה, אבל שארי תנאים ואמוראים היה להם איזה פרנסה, כמפורסם בש"ס</w:t>
      </w:r>
      <w:r>
        <w:rPr>
          <w:rStyle w:val="a4"/>
          <w:rtl/>
        </w:rPr>
        <w:footnoteReference w:id="238"/>
      </w:r>
      <w:r>
        <w:rPr>
          <w:rFonts w:hint="cs"/>
          <w:sz w:val="14"/>
          <w:rtl/>
        </w:rPr>
        <w:t xml:space="preserve">, ולכן מפסיקין". כן יש ללמוד גם מדברי </w:t>
      </w:r>
      <w:r>
        <w:rPr>
          <w:sz w:val="14"/>
          <w:rtl/>
        </w:rPr>
        <w:t xml:space="preserve">רש"י </w:t>
      </w:r>
      <w:r>
        <w:rPr>
          <w:rFonts w:hint="cs"/>
          <w:sz w:val="14"/>
          <w:rtl/>
        </w:rPr>
        <w:t>בסוגייתנו שכתב על דברי רבי יוחנן: "</w:t>
      </w:r>
      <w:r>
        <w:rPr>
          <w:sz w:val="14"/>
          <w:rtl/>
        </w:rPr>
        <w:t>אבל אנו - הואיל ומפסיקין תורתנו לאומנתנו,</w:t>
      </w:r>
      <w:r>
        <w:rPr>
          <w:rFonts w:hint="cs"/>
          <w:sz w:val="14"/>
          <w:rtl/>
        </w:rPr>
        <w:t xml:space="preserve"> כ</w:t>
      </w:r>
      <w:r>
        <w:rPr>
          <w:sz w:val="14"/>
          <w:rtl/>
        </w:rPr>
        <w:t>ל שכן שנפסיק לתפלה</w:t>
      </w:r>
      <w:r>
        <w:rPr>
          <w:rFonts w:hint="cs"/>
          <w:sz w:val="14"/>
          <w:rtl/>
        </w:rPr>
        <w:t>"</w:t>
      </w:r>
      <w:r>
        <w:rPr>
          <w:sz w:val="14"/>
          <w:rtl/>
        </w:rPr>
        <w:t>.</w:t>
      </w:r>
      <w:r>
        <w:rPr>
          <w:rFonts w:hint="cs"/>
          <w:sz w:val="14"/>
          <w:rtl/>
        </w:rPr>
        <w:t xml:space="preserve"> </w:t>
      </w:r>
    </w:p>
    <w:p w14:paraId="61315281" w14:textId="77777777" w:rsidR="00273399" w:rsidRDefault="00273399" w:rsidP="00273399">
      <w:pPr>
        <w:ind w:firstLine="284"/>
        <w:rPr>
          <w:rFonts w:hint="cs"/>
          <w:sz w:val="14"/>
          <w:rtl/>
        </w:rPr>
      </w:pPr>
      <w:r>
        <w:rPr>
          <w:rFonts w:hint="cs"/>
          <w:sz w:val="14"/>
          <w:rtl/>
        </w:rPr>
        <w:t xml:space="preserve">הגדרת </w:t>
      </w:r>
      <w:r>
        <w:rPr>
          <w:rFonts w:hint="cs"/>
          <w:rtl/>
        </w:rPr>
        <w:t>"</w:t>
      </w:r>
      <w:r>
        <w:rPr>
          <w:rtl/>
        </w:rPr>
        <w:t>תורתו אומנותו</w:t>
      </w:r>
      <w:r>
        <w:rPr>
          <w:rFonts w:hint="cs"/>
          <w:rtl/>
        </w:rPr>
        <w:t xml:space="preserve">" </w:t>
      </w:r>
      <w:r>
        <w:rPr>
          <w:rFonts w:hint="cs"/>
          <w:sz w:val="26"/>
          <w:rtl/>
        </w:rPr>
        <w:t xml:space="preserve">המבוססת על הבנת </w:t>
      </w:r>
      <w:r>
        <w:rPr>
          <w:rFonts w:hint="cs"/>
          <w:sz w:val="14"/>
          <w:rtl/>
        </w:rPr>
        <w:t>המִלה "אומנות" במשמע "</w:t>
      </w:r>
      <w:r>
        <w:rPr>
          <w:rFonts w:hint="cs"/>
          <w:rtl/>
        </w:rPr>
        <w:t>עבודה,</w:t>
      </w:r>
      <w:r>
        <w:rPr>
          <w:rFonts w:hint="cs"/>
          <w:sz w:val="14"/>
          <w:rtl/>
        </w:rPr>
        <w:t xml:space="preserve"> מקצוע, </w:t>
      </w:r>
      <w:r>
        <w:rPr>
          <w:rtl/>
        </w:rPr>
        <w:t>מ</w:t>
      </w:r>
      <w:r>
        <w:rPr>
          <w:rFonts w:hint="cs"/>
          <w:rtl/>
        </w:rPr>
        <w:t>ִ</w:t>
      </w:r>
      <w:r>
        <w:rPr>
          <w:rtl/>
        </w:rPr>
        <w:t>ש</w:t>
      </w:r>
      <w:r>
        <w:rPr>
          <w:rFonts w:hint="cs"/>
          <w:rtl/>
        </w:rPr>
        <w:t>ְ</w:t>
      </w:r>
      <w:r>
        <w:rPr>
          <w:rtl/>
        </w:rPr>
        <w:t>לח יד</w:t>
      </w:r>
      <w:r>
        <w:rPr>
          <w:rFonts w:hint="cs"/>
          <w:rtl/>
        </w:rPr>
        <w:t xml:space="preserve">" </w:t>
      </w:r>
      <w:r>
        <w:rPr>
          <w:rFonts w:hint="cs"/>
          <w:sz w:val="14"/>
          <w:rtl/>
        </w:rPr>
        <w:t>(</w:t>
      </w:r>
      <w:r>
        <w:rPr>
          <w:rFonts w:hint="cs"/>
          <w:sz w:val="18"/>
          <w:szCs w:val="20"/>
          <w:rtl/>
        </w:rPr>
        <w:t>דרך א'</w:t>
      </w:r>
      <w:r>
        <w:rPr>
          <w:rFonts w:hint="cs"/>
          <w:sz w:val="14"/>
          <w:rtl/>
        </w:rPr>
        <w:t>)</w:t>
      </w:r>
      <w:r>
        <w:rPr>
          <w:rFonts w:hint="cs"/>
          <w:rtl/>
        </w:rPr>
        <w:t>, מאפשרת</w:t>
      </w:r>
      <w:r>
        <w:rPr>
          <w:rStyle w:val="a4"/>
          <w:rtl/>
        </w:rPr>
        <w:footnoteReference w:id="239"/>
      </w:r>
      <w:r>
        <w:rPr>
          <w:rFonts w:hint="cs"/>
          <w:rtl/>
        </w:rPr>
        <w:t xml:space="preserve"> יישום של הלכה זו גם בדורות האחרונים למרות ירידת הדורות, שהרי </w:t>
      </w:r>
      <w:r>
        <w:rPr>
          <w:rFonts w:hint="cs"/>
          <w:sz w:val="14"/>
          <w:rtl/>
        </w:rPr>
        <w:t>הגדרה זו אינה מלמדת על "יחסי הכוחות" שבין גדולתו של רשב"י לגדולת ר' יוחנן או כל אחד אחר. הגדרה זו מוחלטת: או שאדם עוסק בתורה בלבד או שבנוסף ללימוד תורה הוא גם עובד, שלא כמו הגדרות ב' וג' היחסיות. מעתה מובן כיצד ייתכנו אמוראים נוספים בדורו של ר' יוחנן שתורתם היתה אומנותם, אע"פ שר' יוחנן היה כנראה גדול מהם בתורה (</w:t>
      </w:r>
      <w:r>
        <w:rPr>
          <w:rFonts w:hint="cs"/>
          <w:sz w:val="18"/>
          <w:szCs w:val="20"/>
          <w:rtl/>
        </w:rPr>
        <w:t>ראה לעיל הערה 21</w:t>
      </w:r>
      <w:r>
        <w:rPr>
          <w:rFonts w:hint="cs"/>
          <w:sz w:val="14"/>
          <w:rtl/>
        </w:rPr>
        <w:t xml:space="preserve">). בדרך זו הלך </w:t>
      </w:r>
      <w:r>
        <w:rPr>
          <w:sz w:val="14"/>
          <w:rtl/>
        </w:rPr>
        <w:t>רבי יאיר חיים בכרך</w:t>
      </w:r>
      <w:r>
        <w:rPr>
          <w:rStyle w:val="a4"/>
          <w:rtl/>
        </w:rPr>
        <w:footnoteReference w:id="240"/>
      </w:r>
      <w:r>
        <w:rPr>
          <w:sz w:val="14"/>
          <w:rtl/>
        </w:rPr>
        <w:t xml:space="preserve"> </w:t>
      </w:r>
      <w:r>
        <w:rPr>
          <w:rFonts w:hint="cs"/>
          <w:sz w:val="14"/>
          <w:rtl/>
        </w:rPr>
        <w:t xml:space="preserve">בפירושו לשו"ע </w:t>
      </w:r>
      <w:r>
        <w:rPr>
          <w:rFonts w:hint="cs"/>
          <w:color w:val="000000"/>
          <w:rtl/>
        </w:rPr>
        <w:t>(</w:t>
      </w:r>
      <w:r>
        <w:rPr>
          <w:rFonts w:hint="cs"/>
          <w:color w:val="000000"/>
          <w:sz w:val="18"/>
          <w:szCs w:val="20"/>
          <w:rtl/>
        </w:rPr>
        <w:t>או"ח ק"ו</w:t>
      </w:r>
      <w:r>
        <w:rPr>
          <w:rFonts w:hint="cs"/>
          <w:color w:val="000000"/>
          <w:rtl/>
        </w:rPr>
        <w:t>)</w:t>
      </w:r>
      <w:r>
        <w:rPr>
          <w:rFonts w:hint="cs"/>
          <w:sz w:val="14"/>
          <w:rtl/>
        </w:rPr>
        <w:t>, "</w:t>
      </w:r>
      <w:r>
        <w:rPr>
          <w:rFonts w:hint="cs"/>
          <w:color w:val="000000"/>
          <w:rtl/>
        </w:rPr>
        <w:t xml:space="preserve">מקור חיים". לפי דרך זו, גם היום יש רבים שתורתם אומנותם. </w:t>
      </w:r>
      <w:r>
        <w:rPr>
          <w:rFonts w:hint="cs"/>
          <w:sz w:val="14"/>
          <w:rtl/>
        </w:rPr>
        <w:t xml:space="preserve">ואכן על פי הבנה זו בדעת הרמב"ם מסיק </w:t>
      </w:r>
      <w:r>
        <w:rPr>
          <w:sz w:val="26"/>
          <w:rtl/>
        </w:rPr>
        <w:t>עָר</w:t>
      </w:r>
      <w:r>
        <w:rPr>
          <w:rFonts w:hint="cs"/>
          <w:sz w:val="26"/>
          <w:rtl/>
        </w:rPr>
        <w:t>ו</w:t>
      </w:r>
      <w:r>
        <w:rPr>
          <w:sz w:val="26"/>
          <w:rtl/>
        </w:rPr>
        <w:t xml:space="preserve">ֹךְ </w:t>
      </w:r>
      <w:r>
        <w:rPr>
          <w:sz w:val="26"/>
          <w:rtl/>
        </w:rPr>
        <w:lastRenderedPageBreak/>
        <w:t>הַשֻּׁלְחָן</w:t>
      </w:r>
      <w:r>
        <w:rPr>
          <w:rFonts w:hint="cs"/>
          <w:sz w:val="26"/>
          <w:rtl/>
        </w:rPr>
        <w:t>: "</w:t>
      </w:r>
      <w:r>
        <w:rPr>
          <w:rFonts w:hint="cs"/>
          <w:sz w:val="14"/>
          <w:rtl/>
        </w:rPr>
        <w:t xml:space="preserve">ולפי זה, גם האידנא מי שאין לו שום </w:t>
      </w:r>
      <w:r>
        <w:rPr>
          <w:sz w:val="14"/>
          <w:rtl/>
        </w:rPr>
        <w:t xml:space="preserve">מלאכה </w:t>
      </w:r>
      <w:r>
        <w:rPr>
          <w:rFonts w:hint="cs"/>
          <w:sz w:val="14"/>
          <w:rtl/>
        </w:rPr>
        <w:t>- גם כן ל</w:t>
      </w:r>
      <w:r>
        <w:rPr>
          <w:sz w:val="14"/>
          <w:rtl/>
        </w:rPr>
        <w:t>א</w:t>
      </w:r>
      <w:r>
        <w:rPr>
          <w:rFonts w:hint="cs"/>
          <w:sz w:val="14"/>
          <w:rtl/>
        </w:rPr>
        <w:t xml:space="preserve"> </w:t>
      </w:r>
      <w:r>
        <w:rPr>
          <w:sz w:val="14"/>
          <w:rtl/>
        </w:rPr>
        <w:t>יפס</w:t>
      </w:r>
      <w:r>
        <w:rPr>
          <w:rFonts w:hint="cs"/>
          <w:sz w:val="14"/>
          <w:rtl/>
        </w:rPr>
        <w:t>י</w:t>
      </w:r>
      <w:r>
        <w:rPr>
          <w:sz w:val="14"/>
          <w:rtl/>
        </w:rPr>
        <w:t>ק</w:t>
      </w:r>
      <w:r>
        <w:rPr>
          <w:rFonts w:hint="cs"/>
          <w:sz w:val="14"/>
          <w:rtl/>
        </w:rPr>
        <w:t>". אך, כאמור, לא כך נפסק בשו"ע</w:t>
      </w:r>
      <w:r>
        <w:rPr>
          <w:rStyle w:val="a4"/>
          <w:rtl/>
        </w:rPr>
        <w:footnoteReference w:id="241"/>
      </w:r>
      <w:r>
        <w:rPr>
          <w:rFonts w:hint="cs"/>
          <w:sz w:val="14"/>
          <w:rtl/>
        </w:rPr>
        <w:t>.</w:t>
      </w:r>
    </w:p>
    <w:p w14:paraId="3C370B6F" w14:textId="77777777" w:rsidR="00273399" w:rsidRDefault="00273399" w:rsidP="00273399">
      <w:pPr>
        <w:ind w:firstLine="284"/>
        <w:rPr>
          <w:rFonts w:hint="cs"/>
          <w:rtl/>
        </w:rPr>
      </w:pPr>
      <w:r>
        <w:rPr>
          <w:rFonts w:hint="cs"/>
          <w:rtl/>
        </w:rPr>
        <w:t>כאמור, ישנה גם דרך שלישית להבין את הביטוי "תורתו אומנותו": תורתו היא המומחיות והמיומנות שלו. נראה כי בדרך זו נקט הראי"ה קוק (</w:t>
      </w:r>
      <w:r>
        <w:rPr>
          <w:rFonts w:hint="cs"/>
          <w:sz w:val="18"/>
          <w:szCs w:val="20"/>
          <w:rtl/>
        </w:rPr>
        <w:t>במבוא לסידורו, "עולת ראיה", ח"א, עמ' כא-כב</w:t>
      </w:r>
      <w:r>
        <w:rPr>
          <w:rFonts w:hint="cs"/>
          <w:rtl/>
        </w:rPr>
        <w:t>)</w:t>
      </w:r>
      <w:r>
        <w:rPr>
          <w:rStyle w:val="a4"/>
          <w:rtl/>
        </w:rPr>
        <w:footnoteReference w:id="242"/>
      </w:r>
      <w:r>
        <w:rPr>
          <w:rFonts w:hint="cs"/>
          <w:rtl/>
        </w:rPr>
        <w:t>.</w:t>
      </w:r>
    </w:p>
    <w:p w14:paraId="26BE82BC" w14:textId="77777777" w:rsidR="00273399" w:rsidRDefault="00273399" w:rsidP="00273399">
      <w:pPr>
        <w:pStyle w:val="3"/>
        <w:rPr>
          <w:rFonts w:hint="cs"/>
          <w:rtl/>
        </w:rPr>
      </w:pPr>
      <w:bookmarkStart w:id="3" w:name="_Toc266380446"/>
      <w:bookmarkStart w:id="4" w:name="_Toc266380643"/>
      <w:r>
        <w:rPr>
          <w:rFonts w:hint="cs"/>
          <w:rtl/>
        </w:rPr>
        <w:t>לשיטתם?</w:t>
      </w:r>
      <w:bookmarkEnd w:id="3"/>
      <w:bookmarkEnd w:id="4"/>
    </w:p>
    <w:p w14:paraId="75AA1EDD" w14:textId="77777777" w:rsidR="00273399" w:rsidRDefault="00273399" w:rsidP="00273399">
      <w:pPr>
        <w:ind w:firstLine="284"/>
        <w:rPr>
          <w:rFonts w:hint="cs"/>
          <w:rtl/>
        </w:rPr>
      </w:pPr>
      <w:r>
        <w:rPr>
          <w:rFonts w:hint="cs"/>
          <w:rtl/>
        </w:rPr>
        <w:t xml:space="preserve">רבות דנו ראשונים ואחרונים בקשרים שבין הסוגייה הנ"ל לסוגיות אחרות בשני התלמודים, בניסיון לברר באופן עקבי מהו היחס הראוי </w:t>
      </w:r>
      <w:r>
        <w:rPr>
          <w:rFonts w:hint="cs"/>
          <w:rtl/>
        </w:rPr>
        <w:lastRenderedPageBreak/>
        <w:t>לתורה ולעבודה לדעת רשב"י</w:t>
      </w:r>
      <w:r>
        <w:rPr>
          <w:rStyle w:val="a4"/>
          <w:rtl/>
        </w:rPr>
        <w:footnoteReference w:id="243"/>
      </w:r>
      <w:r>
        <w:rPr>
          <w:rFonts w:hint="cs"/>
          <w:rtl/>
        </w:rPr>
        <w:t xml:space="preserve"> ולדעת רבי יוחנן</w:t>
      </w:r>
      <w:r>
        <w:rPr>
          <w:rStyle w:val="a4"/>
          <w:rtl/>
        </w:rPr>
        <w:footnoteReference w:id="244"/>
      </w:r>
      <w:r>
        <w:rPr>
          <w:rFonts w:hint="cs"/>
          <w:rtl/>
        </w:rPr>
        <w:t xml:space="preserve">. כרגיל, יש נוטים לפרש את השינויים בין מקור למקור באופן כוללני ושלם, </w:t>
      </w:r>
      <w:r>
        <w:rPr>
          <w:rFonts w:hint="cs"/>
          <w:rtl/>
        </w:rPr>
        <w:lastRenderedPageBreak/>
        <w:t>בעזרת חילוקים; ויש המייחסים את השינויים בין המקורות לשינוי בדעתו של החכם (</w:t>
      </w:r>
      <w:r>
        <w:rPr>
          <w:rFonts w:hint="cs"/>
          <w:sz w:val="26"/>
          <w:rtl/>
        </w:rPr>
        <w:t xml:space="preserve">לפעמים בעקבות מאורעות חייו); </w:t>
      </w:r>
      <w:r>
        <w:rPr>
          <w:rFonts w:hint="cs"/>
          <w:rtl/>
        </w:rPr>
        <w:t>ויש המְבַכּרים את קבלת המ</w:t>
      </w:r>
      <w:r>
        <w:rPr>
          <w:rFonts w:hint="cs"/>
          <w:sz w:val="26"/>
          <w:rtl/>
        </w:rPr>
        <w:t xml:space="preserve">קורות השונים כהווייתם, ללא מיזוג וללא תירוץ (כשיטת אמוראי ארץ ישראל: "תברא, מי ששנה זו לא שנה זו"). </w:t>
      </w:r>
    </w:p>
    <w:p w14:paraId="1A6F09CF" w14:textId="77777777" w:rsidR="00273399" w:rsidRDefault="00273399" w:rsidP="00273399">
      <w:pPr>
        <w:ind w:firstLine="284"/>
        <w:rPr>
          <w:sz w:val="14"/>
          <w:rtl/>
        </w:rPr>
      </w:pPr>
      <w:r>
        <w:rPr>
          <w:rFonts w:hint="cs"/>
          <w:rtl/>
        </w:rPr>
        <w:t xml:space="preserve">לאור חילוקו של ר' יוחנן </w:t>
      </w:r>
      <w:r>
        <w:rPr>
          <w:rFonts w:hint="cs"/>
          <w:sz w:val="14"/>
          <w:rtl/>
        </w:rPr>
        <w:t>בסוגייתנו</w:t>
      </w:r>
      <w:r>
        <w:rPr>
          <w:rFonts w:hint="cs"/>
          <w:rtl/>
        </w:rPr>
        <w:t xml:space="preserve">, יש לברר בכל סוגיה שבה יש "עימות" בין לימוד תורה לתפילה, האם עוסקים בַגּדר המיוחד של </w:t>
      </w:r>
      <w:r>
        <w:rPr>
          <w:rtl/>
        </w:rPr>
        <w:t>תורתו אומנותו</w:t>
      </w:r>
      <w:r>
        <w:rPr>
          <w:rFonts w:hint="cs"/>
          <w:rtl/>
        </w:rPr>
        <w:t xml:space="preserve"> (</w:t>
      </w:r>
      <w:r>
        <w:rPr>
          <w:rFonts w:hint="cs"/>
          <w:sz w:val="18"/>
          <w:szCs w:val="20"/>
          <w:rtl/>
        </w:rPr>
        <w:t>לפי כל אחד מהפירושים שלעיל</w:t>
      </w:r>
      <w:r>
        <w:rPr>
          <w:rFonts w:hint="cs"/>
          <w:rtl/>
        </w:rPr>
        <w:t>), או על "כגון אנו". מלשון הרמב"ם (</w:t>
      </w:r>
      <w:r>
        <w:rPr>
          <w:rFonts w:hint="cs"/>
          <w:sz w:val="18"/>
          <w:szCs w:val="20"/>
          <w:rtl/>
        </w:rPr>
        <w:t>הנ"ל בהערה 34</w:t>
      </w:r>
      <w:r>
        <w:rPr>
          <w:rFonts w:hint="cs"/>
          <w:rtl/>
        </w:rPr>
        <w:t xml:space="preserve">) נראה כי מלבד רשב"י וחבריו, לא היתה תורתן של שאר חכמי התלמוד - אומנותן. ואולם, </w:t>
      </w:r>
      <w:r>
        <w:rPr>
          <w:rFonts w:hint="cs"/>
          <w:sz w:val="14"/>
          <w:rtl/>
        </w:rPr>
        <w:t>על כמה מחכמינו ז"ל כתבו המפרשים שתורתן אומנותן ולכן לא היו צריכים להפסיק מלימודם לצורך תפילה: בנֵי רבן גמליאל (</w:t>
      </w:r>
      <w:r>
        <w:rPr>
          <w:rFonts w:hint="cs"/>
          <w:sz w:val="18"/>
          <w:szCs w:val="20"/>
          <w:rtl/>
        </w:rPr>
        <w:t>הראי"ה קוק, טוב רואי, ברכות ח, ב, עמ' ע"ד</w:t>
      </w:r>
      <w:r>
        <w:rPr>
          <w:rFonts w:hint="cs"/>
          <w:sz w:val="14"/>
          <w:rtl/>
        </w:rPr>
        <w:t xml:space="preserve">), </w:t>
      </w:r>
      <w:r>
        <w:rPr>
          <w:rtl/>
        </w:rPr>
        <w:t>רבי</w:t>
      </w:r>
      <w:r>
        <w:rPr>
          <w:rFonts w:hint="cs"/>
          <w:rtl/>
        </w:rPr>
        <w:t xml:space="preserve"> </w:t>
      </w:r>
      <w:r>
        <w:rPr>
          <w:rtl/>
        </w:rPr>
        <w:t>יהודה</w:t>
      </w:r>
      <w:r>
        <w:rPr>
          <w:rFonts w:hint="cs"/>
          <w:rtl/>
        </w:rPr>
        <w:t xml:space="preserve"> הנשיא (</w:t>
      </w:r>
      <w:r>
        <w:rPr>
          <w:sz w:val="18"/>
          <w:szCs w:val="20"/>
          <w:rtl/>
        </w:rPr>
        <w:t>רא"ש ברכות פ</w:t>
      </w:r>
      <w:r>
        <w:rPr>
          <w:rFonts w:hint="cs"/>
          <w:sz w:val="18"/>
          <w:szCs w:val="20"/>
          <w:rtl/>
        </w:rPr>
        <w:t>"</w:t>
      </w:r>
      <w:r>
        <w:rPr>
          <w:sz w:val="18"/>
          <w:szCs w:val="20"/>
          <w:rtl/>
        </w:rPr>
        <w:t>ב סימן ג</w:t>
      </w:r>
      <w:r>
        <w:rPr>
          <w:rFonts w:hint="cs"/>
          <w:sz w:val="18"/>
          <w:szCs w:val="20"/>
          <w:rtl/>
        </w:rPr>
        <w:t>'</w:t>
      </w:r>
      <w:r>
        <w:rPr>
          <w:rFonts w:hint="cs"/>
          <w:rtl/>
        </w:rPr>
        <w:t>),</w:t>
      </w:r>
      <w:r>
        <w:rPr>
          <w:rtl/>
        </w:rPr>
        <w:t xml:space="preserve"> רב</w:t>
      </w:r>
      <w:r>
        <w:rPr>
          <w:rFonts w:hint="cs"/>
          <w:rtl/>
        </w:rPr>
        <w:t xml:space="preserve"> </w:t>
      </w:r>
      <w:r>
        <w:rPr>
          <w:rtl/>
        </w:rPr>
        <w:t>יהודה</w:t>
      </w:r>
      <w:r>
        <w:rPr>
          <w:rFonts w:hint="cs"/>
          <w:rtl/>
        </w:rPr>
        <w:t xml:space="preserve"> </w:t>
      </w:r>
      <w:r>
        <w:rPr>
          <w:rFonts w:hint="cs"/>
          <w:rtl/>
        </w:rPr>
        <w:lastRenderedPageBreak/>
        <w:t>(</w:t>
      </w:r>
      <w:r>
        <w:rPr>
          <w:rFonts w:hint="cs"/>
          <w:sz w:val="18"/>
          <w:szCs w:val="20"/>
          <w:rtl/>
        </w:rPr>
        <w:t>"</w:t>
      </w:r>
      <w:r>
        <w:rPr>
          <w:sz w:val="18"/>
          <w:szCs w:val="20"/>
          <w:rtl/>
        </w:rPr>
        <w:t>דמתלתין יומין לתלתין יומין הוה מצלי</w:t>
      </w:r>
      <w:r>
        <w:rPr>
          <w:rFonts w:hint="cs"/>
          <w:sz w:val="18"/>
          <w:szCs w:val="20"/>
          <w:rtl/>
        </w:rPr>
        <w:t xml:space="preserve">", </w:t>
      </w:r>
      <w:r>
        <w:rPr>
          <w:sz w:val="18"/>
          <w:szCs w:val="20"/>
          <w:rtl/>
        </w:rPr>
        <w:t>ראש השנה לה</w:t>
      </w:r>
      <w:r>
        <w:rPr>
          <w:rFonts w:hint="cs"/>
          <w:sz w:val="18"/>
          <w:szCs w:val="20"/>
          <w:rtl/>
        </w:rPr>
        <w:t xml:space="preserve">, </w:t>
      </w:r>
      <w:r>
        <w:rPr>
          <w:sz w:val="18"/>
          <w:szCs w:val="20"/>
          <w:rtl/>
        </w:rPr>
        <w:t xml:space="preserve">א </w:t>
      </w:r>
      <w:r>
        <w:rPr>
          <w:rFonts w:hint="cs"/>
          <w:sz w:val="18"/>
          <w:szCs w:val="20"/>
          <w:rtl/>
        </w:rPr>
        <w:t>ו</w:t>
      </w:r>
      <w:r>
        <w:rPr>
          <w:sz w:val="18"/>
          <w:szCs w:val="20"/>
          <w:rtl/>
        </w:rPr>
        <w:t xml:space="preserve">חידושי הריטב"א </w:t>
      </w:r>
      <w:r>
        <w:rPr>
          <w:rFonts w:hint="cs"/>
          <w:sz w:val="18"/>
          <w:szCs w:val="20"/>
          <w:rtl/>
        </w:rPr>
        <w:t xml:space="preserve">שם ע"פ </w:t>
      </w:r>
      <w:r>
        <w:rPr>
          <w:sz w:val="18"/>
          <w:szCs w:val="20"/>
          <w:rtl/>
        </w:rPr>
        <w:t xml:space="preserve">הרמב"ן </w:t>
      </w:r>
      <w:r>
        <w:rPr>
          <w:rFonts w:hint="cs"/>
          <w:sz w:val="18"/>
          <w:szCs w:val="20"/>
          <w:rtl/>
        </w:rPr>
        <w:t>ב</w:t>
      </w:r>
      <w:r>
        <w:rPr>
          <w:sz w:val="18"/>
          <w:szCs w:val="20"/>
          <w:rtl/>
        </w:rPr>
        <w:t>השגות</w:t>
      </w:r>
      <w:r>
        <w:rPr>
          <w:rFonts w:hint="cs"/>
          <w:sz w:val="18"/>
          <w:szCs w:val="20"/>
          <w:rtl/>
        </w:rPr>
        <w:t>יו</w:t>
      </w:r>
      <w:r>
        <w:rPr>
          <w:sz w:val="18"/>
          <w:szCs w:val="20"/>
          <w:rtl/>
        </w:rPr>
        <w:t xml:space="preserve"> לספר המצוות מ</w:t>
      </w:r>
      <w:r>
        <w:rPr>
          <w:rFonts w:hint="cs"/>
          <w:sz w:val="18"/>
          <w:szCs w:val="20"/>
          <w:rtl/>
        </w:rPr>
        <w:t xml:space="preserve">"ע </w:t>
      </w:r>
      <w:r>
        <w:rPr>
          <w:sz w:val="18"/>
          <w:szCs w:val="20"/>
          <w:rtl/>
        </w:rPr>
        <w:t>ה</w:t>
      </w:r>
      <w:r>
        <w:rPr>
          <w:rFonts w:hint="cs"/>
          <w:sz w:val="18"/>
          <w:szCs w:val="20"/>
          <w:rtl/>
        </w:rPr>
        <w:t>'</w:t>
      </w:r>
      <w:r>
        <w:rPr>
          <w:rFonts w:hint="cs"/>
          <w:rtl/>
        </w:rPr>
        <w:t xml:space="preserve">), </w:t>
      </w:r>
      <w:r>
        <w:rPr>
          <w:rtl/>
        </w:rPr>
        <w:t xml:space="preserve">רבי זירא </w:t>
      </w:r>
      <w:r>
        <w:rPr>
          <w:rFonts w:hint="cs"/>
          <w:rtl/>
        </w:rPr>
        <w:t>ו</w:t>
      </w:r>
      <w:r>
        <w:rPr>
          <w:rtl/>
        </w:rPr>
        <w:t>רבי ירמיה</w:t>
      </w:r>
      <w:r>
        <w:rPr>
          <w:rFonts w:hint="cs"/>
          <w:rtl/>
        </w:rPr>
        <w:t xml:space="preserve"> </w:t>
      </w:r>
      <w:r>
        <w:rPr>
          <w:rFonts w:hint="cs"/>
          <w:sz w:val="14"/>
          <w:rtl/>
        </w:rPr>
        <w:t>(</w:t>
      </w:r>
      <w:r>
        <w:rPr>
          <w:rFonts w:hint="cs"/>
          <w:sz w:val="18"/>
          <w:szCs w:val="20"/>
          <w:rtl/>
        </w:rPr>
        <w:t>ראה לעיל הערה 21</w:t>
      </w:r>
      <w:r>
        <w:rPr>
          <w:rFonts w:hint="cs"/>
          <w:sz w:val="14"/>
          <w:rtl/>
        </w:rPr>
        <w:t>)</w:t>
      </w:r>
      <w:r>
        <w:rPr>
          <w:rFonts w:hint="cs"/>
          <w:rtl/>
        </w:rPr>
        <w:t>. יתכן שאין כאן מחלוקת, וחכמים אלה כלולים בקבוצת "חבריו" של רשב"י</w:t>
      </w:r>
      <w:r>
        <w:rPr>
          <w:rStyle w:val="a4"/>
          <w:rtl/>
        </w:rPr>
        <w:footnoteReference w:id="245"/>
      </w:r>
      <w:r>
        <w:rPr>
          <w:rFonts w:hint="cs"/>
          <w:rtl/>
        </w:rPr>
        <w:t>.</w:t>
      </w:r>
    </w:p>
    <w:p w14:paraId="30D8180D" w14:textId="77777777" w:rsidR="00273399" w:rsidRDefault="00273399" w:rsidP="00273399">
      <w:pPr>
        <w:pStyle w:val="3"/>
        <w:rPr>
          <w:rFonts w:hint="cs"/>
          <w:rtl/>
        </w:rPr>
      </w:pPr>
      <w:bookmarkStart w:id="5" w:name="_Toc266380447"/>
      <w:bookmarkStart w:id="6" w:name="_Toc266380644"/>
      <w:r>
        <w:rPr>
          <w:rFonts w:hint="cs"/>
          <w:rtl/>
        </w:rPr>
        <w:t>לשון תפילה</w:t>
      </w:r>
      <w:bookmarkEnd w:id="5"/>
      <w:bookmarkEnd w:id="6"/>
      <w:r>
        <w:rPr>
          <w:rFonts w:hint="cs"/>
          <w:rtl/>
        </w:rPr>
        <w:t xml:space="preserve"> </w:t>
      </w:r>
    </w:p>
    <w:p w14:paraId="6D1F79FF" w14:textId="77777777" w:rsidR="00273399" w:rsidRDefault="00273399" w:rsidP="00273399">
      <w:pPr>
        <w:ind w:firstLine="284"/>
        <w:rPr>
          <w:rFonts w:eastAsia="MS Mincho" w:hint="cs"/>
          <w:rtl/>
        </w:rPr>
      </w:pPr>
      <w:r>
        <w:rPr>
          <w:rFonts w:hint="cs"/>
          <w:sz w:val="14"/>
          <w:rtl/>
        </w:rPr>
        <w:t xml:space="preserve">עד כה עסקנו בביאור המושג התלמודי </w:t>
      </w:r>
      <w:r>
        <w:rPr>
          <w:rFonts w:hint="cs"/>
          <w:rtl/>
        </w:rPr>
        <w:t>"</w:t>
      </w:r>
      <w:r>
        <w:rPr>
          <w:rtl/>
        </w:rPr>
        <w:t>תורתו אומנותו</w:t>
      </w:r>
      <w:r>
        <w:rPr>
          <w:rFonts w:hint="cs"/>
          <w:rtl/>
        </w:rPr>
        <w:t>" המופיע בסוגיית דחיית תפילה מפני לימוד תורה. לשון זו מופיעה עוד פעם אחת בתלמוד: בנוסח תפלה אישי</w:t>
      </w:r>
      <w:r>
        <w:rPr>
          <w:rStyle w:val="a4"/>
          <w:rtl/>
        </w:rPr>
        <w:footnoteReference w:id="246"/>
      </w:r>
      <w:r>
        <w:rPr>
          <w:rFonts w:hint="cs"/>
          <w:rtl/>
        </w:rPr>
        <w:t xml:space="preserve"> שנאמר לאחר תפלת העמידה (</w:t>
      </w:r>
      <w:r>
        <w:rPr>
          <w:rFonts w:hint="cs"/>
          <w:sz w:val="18"/>
          <w:szCs w:val="20"/>
          <w:rtl/>
        </w:rPr>
        <w:t>ברכות טז, ב</w:t>
      </w:r>
      <w:r>
        <w:rPr>
          <w:rFonts w:hint="cs"/>
          <w:rtl/>
        </w:rPr>
        <w:t>): "</w:t>
      </w:r>
      <w:r>
        <w:rPr>
          <w:rFonts w:eastAsia="MS Mincho"/>
          <w:rtl/>
        </w:rPr>
        <w:t>יהי רצון מלפניך ה'</w:t>
      </w:r>
      <w:r>
        <w:rPr>
          <w:rFonts w:eastAsia="MS Mincho" w:hint="cs"/>
          <w:rtl/>
        </w:rPr>
        <w:t xml:space="preserve"> </w:t>
      </w:r>
      <w:r>
        <w:rPr>
          <w:rFonts w:eastAsia="MS Mincho"/>
          <w:rtl/>
        </w:rPr>
        <w:t xml:space="preserve">אלהינו </w:t>
      </w:r>
      <w:r>
        <w:rPr>
          <w:rFonts w:eastAsia="MS Mincho"/>
          <w:b/>
          <w:bCs/>
          <w:rtl/>
        </w:rPr>
        <w:t xml:space="preserve">שתהא תורתך אומנותנו </w:t>
      </w:r>
      <w:r>
        <w:rPr>
          <w:rFonts w:eastAsia="MS Mincho"/>
          <w:rtl/>
        </w:rPr>
        <w:t>ואל ידוה לבנו ואל יחשכו עינינו</w:t>
      </w:r>
      <w:r>
        <w:rPr>
          <w:rFonts w:eastAsia="MS Mincho" w:hint="cs"/>
          <w:rtl/>
        </w:rPr>
        <w:t>".</w:t>
      </w:r>
      <w:r>
        <w:rPr>
          <w:rFonts w:eastAsia="MS Mincho"/>
          <w:rtl/>
        </w:rPr>
        <w:t xml:space="preserve"> </w:t>
      </w:r>
      <w:r>
        <w:rPr>
          <w:rFonts w:eastAsia="MS Mincho" w:hint="cs"/>
          <w:rtl/>
        </w:rPr>
        <w:t>גם כיום מתפללים אנו במטבע לשון זה בסיום מסכת (</w:t>
      </w:r>
      <w:r>
        <w:rPr>
          <w:rFonts w:eastAsia="MS Mincho" w:hint="cs"/>
          <w:sz w:val="18"/>
          <w:szCs w:val="20"/>
          <w:rtl/>
        </w:rPr>
        <w:t>"</w:t>
      </w:r>
      <w:r>
        <w:rPr>
          <w:rFonts w:eastAsia="MS Mincho"/>
          <w:sz w:val="18"/>
          <w:szCs w:val="20"/>
          <w:rtl/>
        </w:rPr>
        <w:t xml:space="preserve">יהי רצון מלפניך </w:t>
      </w:r>
      <w:r>
        <w:rPr>
          <w:rFonts w:eastAsia="MS Mincho" w:hint="cs"/>
          <w:sz w:val="18"/>
          <w:szCs w:val="20"/>
          <w:rtl/>
        </w:rPr>
        <w:t xml:space="preserve">ה' </w:t>
      </w:r>
      <w:r>
        <w:rPr>
          <w:rFonts w:eastAsia="MS Mincho"/>
          <w:sz w:val="18"/>
          <w:szCs w:val="20"/>
          <w:rtl/>
        </w:rPr>
        <w:t>א</w:t>
      </w:r>
      <w:r>
        <w:rPr>
          <w:rFonts w:eastAsia="MS Mincho" w:hint="cs"/>
          <w:sz w:val="18"/>
          <w:szCs w:val="20"/>
          <w:rtl/>
        </w:rPr>
        <w:t xml:space="preserve">ו"א </w:t>
      </w:r>
      <w:r>
        <w:rPr>
          <w:rFonts w:eastAsia="MS Mincho"/>
          <w:sz w:val="18"/>
          <w:szCs w:val="20"/>
          <w:rtl/>
        </w:rPr>
        <w:t xml:space="preserve">שתהא תורתך אומנותנו </w:t>
      </w:r>
      <w:r>
        <w:rPr>
          <w:rFonts w:eastAsia="MS Mincho"/>
          <w:sz w:val="18"/>
          <w:szCs w:val="20"/>
          <w:rtl/>
        </w:rPr>
        <w:lastRenderedPageBreak/>
        <w:t>בעולם הזה ו</w:t>
      </w:r>
      <w:r>
        <w:rPr>
          <w:rFonts w:eastAsia="MS Mincho" w:hint="cs"/>
          <w:sz w:val="18"/>
          <w:szCs w:val="20"/>
          <w:rtl/>
        </w:rPr>
        <w:t xml:space="preserve">תהא עמנו </w:t>
      </w:r>
      <w:r>
        <w:rPr>
          <w:rFonts w:eastAsia="MS Mincho"/>
          <w:sz w:val="18"/>
          <w:szCs w:val="20"/>
          <w:rtl/>
        </w:rPr>
        <w:t>לעולם הבא</w:t>
      </w:r>
      <w:r>
        <w:rPr>
          <w:rFonts w:eastAsia="MS Mincho" w:hint="cs"/>
          <w:sz w:val="18"/>
          <w:szCs w:val="20"/>
          <w:rtl/>
        </w:rPr>
        <w:t>"</w:t>
      </w:r>
      <w:r>
        <w:rPr>
          <w:rStyle w:val="a4"/>
          <w:rFonts w:eastAsia="MS Mincho"/>
          <w:rtl/>
        </w:rPr>
        <w:footnoteReference w:id="247"/>
      </w:r>
      <w:r>
        <w:rPr>
          <w:rFonts w:eastAsia="MS Mincho" w:hint="cs"/>
          <w:rtl/>
        </w:rPr>
        <w:t>) וכך מתפללים תשב"ר בשחרית: "</w:t>
      </w:r>
      <w:r>
        <w:rPr>
          <w:rFonts w:eastAsia="MS Mincho"/>
          <w:rtl/>
        </w:rPr>
        <w:t>תּוֹרָה ת</w:t>
      </w:r>
      <w:r>
        <w:rPr>
          <w:rFonts w:eastAsia="MS Mincho" w:hint="cs"/>
          <w:rtl/>
        </w:rPr>
        <w:t>ּ</w:t>
      </w:r>
      <w:r>
        <w:rPr>
          <w:rFonts w:eastAsia="MS Mincho"/>
          <w:rtl/>
        </w:rPr>
        <w:t xml:space="preserve">ְהֵא </w:t>
      </w:r>
      <w:r>
        <w:rPr>
          <w:rFonts w:hint="cs"/>
          <w:rtl/>
        </w:rPr>
        <w:t>אֻמָּנ</w:t>
      </w:r>
      <w:r>
        <w:rPr>
          <w:rFonts w:eastAsia="MS Mincho"/>
          <w:rtl/>
        </w:rPr>
        <w:t>וּתִי, וְאֵל שַׁדַּי בְּעֶזְרָתִי</w:t>
      </w:r>
      <w:r>
        <w:rPr>
          <w:rFonts w:eastAsia="MS Mincho" w:hint="cs"/>
          <w:rtl/>
        </w:rPr>
        <w:t>"</w:t>
      </w:r>
      <w:r>
        <w:rPr>
          <w:rStyle w:val="a4"/>
          <w:rFonts w:eastAsia="MS Mincho"/>
          <w:rtl/>
        </w:rPr>
        <w:footnoteReference w:id="248"/>
      </w:r>
      <w:r>
        <w:rPr>
          <w:rFonts w:hint="cs"/>
          <w:rtl/>
        </w:rPr>
        <w:t xml:space="preserve">. נראה כי </w:t>
      </w:r>
      <w:r>
        <w:rPr>
          <w:rFonts w:eastAsia="MS Mincho" w:hint="cs"/>
          <w:rtl/>
        </w:rPr>
        <w:t>תפלות אלו ניתן לפרשן ע"פ שלוש הדרכים הנ"ל:</w:t>
      </w:r>
    </w:p>
    <w:p w14:paraId="6B980C38" w14:textId="77777777" w:rsidR="00273399" w:rsidRDefault="00273399" w:rsidP="00273399">
      <w:pPr>
        <w:ind w:firstLine="284"/>
        <w:rPr>
          <w:rFonts w:hint="cs"/>
          <w:rtl/>
        </w:rPr>
      </w:pPr>
      <w:r>
        <w:rPr>
          <w:rFonts w:eastAsia="MS Mincho" w:hint="cs"/>
          <w:rtl/>
        </w:rPr>
        <w:t>יתכן לפרש כדרך א' (</w:t>
      </w:r>
      <w:r>
        <w:rPr>
          <w:rFonts w:eastAsia="MS Mincho" w:hint="cs"/>
          <w:sz w:val="18"/>
          <w:szCs w:val="20"/>
          <w:rtl/>
        </w:rPr>
        <w:t>כמסקנת ערוה"ש</w:t>
      </w:r>
      <w:r>
        <w:rPr>
          <w:rFonts w:eastAsia="MS Mincho" w:hint="cs"/>
          <w:rtl/>
        </w:rPr>
        <w:t xml:space="preserve">), שאנו מתפללים שהעבודה שלנו לא תהיה אלא לימוד התורה, ודומה לכך תפלת </w:t>
      </w:r>
      <w:r>
        <w:rPr>
          <w:rFonts w:eastAsia="MS Mincho"/>
          <w:rtl/>
        </w:rPr>
        <w:t xml:space="preserve">רבי אלעזר </w:t>
      </w:r>
      <w:r>
        <w:rPr>
          <w:rFonts w:eastAsia="MS Mincho" w:hint="cs"/>
          <w:rtl/>
        </w:rPr>
        <w:t>המובאת ב</w:t>
      </w:r>
      <w:r>
        <w:rPr>
          <w:rFonts w:hint="cs"/>
          <w:sz w:val="26"/>
          <w:rtl/>
        </w:rPr>
        <w:t>ירושלמי (</w:t>
      </w:r>
      <w:r>
        <w:rPr>
          <w:sz w:val="18"/>
          <w:szCs w:val="20"/>
          <w:rtl/>
        </w:rPr>
        <w:t>ברכות</w:t>
      </w:r>
      <w:r>
        <w:rPr>
          <w:rFonts w:hint="cs"/>
          <w:sz w:val="18"/>
          <w:szCs w:val="20"/>
          <w:rtl/>
        </w:rPr>
        <w:t xml:space="preserve"> פ"ד ה"ב</w:t>
      </w:r>
      <w:r>
        <w:rPr>
          <w:rFonts w:hint="cs"/>
          <w:rtl/>
        </w:rPr>
        <w:t>):</w:t>
      </w:r>
      <w:r>
        <w:rPr>
          <w:rFonts w:eastAsia="MS Mincho" w:hint="cs"/>
          <w:rtl/>
        </w:rPr>
        <w:t xml:space="preserve"> "</w:t>
      </w:r>
      <w:r>
        <w:rPr>
          <w:rFonts w:eastAsia="MS Mincho"/>
          <w:rtl/>
        </w:rPr>
        <w:t>יהי רצון מלפניך ה' אלהי ואלהי אבותי</w:t>
      </w:r>
      <w:r>
        <w:rPr>
          <w:rFonts w:eastAsia="MS Mincho" w:hint="cs"/>
          <w:rtl/>
        </w:rPr>
        <w:t>...</w:t>
      </w:r>
      <w:r>
        <w:rPr>
          <w:rFonts w:eastAsia="MS Mincho"/>
          <w:rtl/>
        </w:rPr>
        <w:t xml:space="preserve"> ותהא תורתך מלאכתינו</w:t>
      </w:r>
      <w:r>
        <w:rPr>
          <w:rFonts w:eastAsia="MS Mincho" w:hint="cs"/>
          <w:rtl/>
        </w:rPr>
        <w:t xml:space="preserve"> </w:t>
      </w:r>
      <w:r>
        <w:rPr>
          <w:rFonts w:eastAsia="MS Mincho"/>
          <w:rtl/>
        </w:rPr>
        <w:t>כל ימי חיינו</w:t>
      </w:r>
      <w:r>
        <w:rPr>
          <w:rFonts w:hint="cs"/>
          <w:rtl/>
        </w:rPr>
        <w:t>"</w:t>
      </w:r>
      <w:r>
        <w:rPr>
          <w:rStyle w:val="a4"/>
          <w:rtl/>
        </w:rPr>
        <w:footnoteReference w:id="249"/>
      </w:r>
      <w:r>
        <w:rPr>
          <w:rFonts w:hint="cs"/>
          <w:rtl/>
        </w:rPr>
        <w:t xml:space="preserve">. </w:t>
      </w:r>
    </w:p>
    <w:p w14:paraId="43199F6E" w14:textId="77777777" w:rsidR="00273399" w:rsidRDefault="00273399" w:rsidP="00273399">
      <w:pPr>
        <w:ind w:firstLine="284"/>
        <w:rPr>
          <w:rFonts w:eastAsia="MS Mincho" w:hint="cs"/>
          <w:rtl/>
        </w:rPr>
      </w:pPr>
      <w:r>
        <w:rPr>
          <w:rFonts w:eastAsia="MS Mincho" w:hint="cs"/>
          <w:rtl/>
        </w:rPr>
        <w:t>יתכן לפרש כדרך ב' (</w:t>
      </w:r>
      <w:r>
        <w:rPr>
          <w:rFonts w:eastAsia="MS Mincho" w:hint="cs"/>
          <w:sz w:val="18"/>
          <w:szCs w:val="20"/>
          <w:rtl/>
        </w:rPr>
        <w:t>כגרש"ז בעל התניא</w:t>
      </w:r>
      <w:r>
        <w:rPr>
          <w:rFonts w:eastAsia="MS Mincho" w:hint="cs"/>
          <w:rtl/>
        </w:rPr>
        <w:t>), שאנו מתפללים שנלמד תורה בקביעות ובהתמדה, ודומה לכך תפלתנו בסוף ברכות השחר</w:t>
      </w:r>
      <w:r>
        <w:rPr>
          <w:rFonts w:hint="cs"/>
          <w:sz w:val="26"/>
          <w:rtl/>
        </w:rPr>
        <w:t xml:space="preserve"> (</w:t>
      </w:r>
      <w:r>
        <w:rPr>
          <w:sz w:val="18"/>
          <w:szCs w:val="20"/>
          <w:rtl/>
        </w:rPr>
        <w:t>ברכות</w:t>
      </w:r>
      <w:r>
        <w:rPr>
          <w:rFonts w:hint="cs"/>
          <w:sz w:val="18"/>
          <w:szCs w:val="20"/>
          <w:rtl/>
        </w:rPr>
        <w:t xml:space="preserve"> </w:t>
      </w:r>
      <w:r>
        <w:rPr>
          <w:sz w:val="18"/>
          <w:szCs w:val="20"/>
          <w:rtl/>
        </w:rPr>
        <w:t>ס</w:t>
      </w:r>
      <w:r>
        <w:rPr>
          <w:rFonts w:hint="cs"/>
          <w:sz w:val="18"/>
          <w:szCs w:val="20"/>
          <w:rtl/>
        </w:rPr>
        <w:t>, ב</w:t>
      </w:r>
      <w:r>
        <w:rPr>
          <w:rFonts w:hint="cs"/>
          <w:rtl/>
        </w:rPr>
        <w:t>):</w:t>
      </w:r>
      <w:r>
        <w:rPr>
          <w:rFonts w:eastAsia="MS Mincho" w:hint="cs"/>
          <w:rtl/>
        </w:rPr>
        <w:t xml:space="preserve"> "ו</w:t>
      </w:r>
      <w:r>
        <w:rPr>
          <w:rFonts w:eastAsia="MS Mincho"/>
          <w:rtl/>
        </w:rPr>
        <w:t>יהי רצון מלפניך ה' אלהי שתרגילני בתורתך</w:t>
      </w:r>
      <w:r>
        <w:rPr>
          <w:rFonts w:eastAsia="MS Mincho" w:hint="cs"/>
          <w:rtl/>
        </w:rPr>
        <w:t>"</w:t>
      </w:r>
      <w:r>
        <w:rPr>
          <w:rStyle w:val="a4"/>
          <w:rFonts w:eastAsia="MS Mincho"/>
          <w:rtl/>
        </w:rPr>
        <w:footnoteReference w:id="250"/>
      </w:r>
      <w:r>
        <w:rPr>
          <w:rFonts w:eastAsia="MS Mincho" w:hint="cs"/>
          <w:rtl/>
        </w:rPr>
        <w:t>.</w:t>
      </w:r>
    </w:p>
    <w:p w14:paraId="490605C5" w14:textId="77777777" w:rsidR="00273399" w:rsidRDefault="00273399" w:rsidP="00273399">
      <w:pPr>
        <w:ind w:firstLine="284"/>
        <w:rPr>
          <w:rFonts w:eastAsia="MS Mincho" w:hint="cs"/>
          <w:rtl/>
        </w:rPr>
      </w:pPr>
      <w:r>
        <w:rPr>
          <w:rFonts w:eastAsia="MS Mincho" w:hint="cs"/>
          <w:rtl/>
        </w:rPr>
        <w:lastRenderedPageBreak/>
        <w:t>ויתכן לפרש כדרך ג' (</w:t>
      </w:r>
      <w:r>
        <w:rPr>
          <w:rFonts w:eastAsia="MS Mincho" w:hint="cs"/>
          <w:sz w:val="18"/>
          <w:szCs w:val="20"/>
          <w:rtl/>
        </w:rPr>
        <w:t>כראי"ה קוק</w:t>
      </w:r>
      <w:r>
        <w:rPr>
          <w:rFonts w:eastAsia="MS Mincho" w:hint="cs"/>
          <w:rtl/>
        </w:rPr>
        <w:t>), שאנו מתפללים שנצטיין ונתמחה בלימוד התורה.</w:t>
      </w:r>
    </w:p>
    <w:p w14:paraId="071822FF" w14:textId="77777777" w:rsidR="00273399" w:rsidRDefault="00273399" w:rsidP="00273399">
      <w:pPr>
        <w:pStyle w:val="3"/>
        <w:rPr>
          <w:rFonts w:hint="cs"/>
          <w:rtl/>
        </w:rPr>
      </w:pPr>
      <w:bookmarkStart w:id="7" w:name="_Toc266380448"/>
      <w:bookmarkStart w:id="8" w:name="_Toc266380645"/>
      <w:r>
        <w:rPr>
          <w:rFonts w:hint="cs"/>
          <w:rtl/>
        </w:rPr>
        <w:t>לשון הפוסקים</w:t>
      </w:r>
      <w:bookmarkEnd w:id="7"/>
      <w:bookmarkEnd w:id="8"/>
    </w:p>
    <w:p w14:paraId="44034E9A" w14:textId="77777777" w:rsidR="00273399" w:rsidRDefault="00273399" w:rsidP="00273399">
      <w:pPr>
        <w:ind w:firstLine="284"/>
        <w:rPr>
          <w:rFonts w:hint="cs"/>
          <w:rtl/>
        </w:rPr>
      </w:pPr>
      <w:r>
        <w:rPr>
          <w:rFonts w:hint="cs"/>
          <w:rtl/>
        </w:rPr>
        <w:t xml:space="preserve">בכמה הלכות שנאמרו בתלמוד על תלמידי חכמים (או בארמית על "רבנן"), פירשו קדמונים שמדובר רק במי </w:t>
      </w:r>
      <w:r>
        <w:rPr>
          <w:rtl/>
        </w:rPr>
        <w:t>ש</w:t>
      </w:r>
      <w:r>
        <w:rPr>
          <w:rFonts w:hint="cs"/>
          <w:rtl/>
        </w:rPr>
        <w:t>"</w:t>
      </w:r>
      <w:r>
        <w:rPr>
          <w:rtl/>
        </w:rPr>
        <w:t>תורתו אומנתו</w:t>
      </w:r>
      <w:r>
        <w:rPr>
          <w:rFonts w:hint="cs"/>
          <w:rtl/>
        </w:rPr>
        <w:t xml:space="preserve">". אך כשם </w:t>
      </w:r>
      <w:r>
        <w:rPr>
          <w:rFonts w:eastAsia="MS Mincho" w:hint="cs"/>
          <w:rtl/>
        </w:rPr>
        <w:t>ש</w:t>
      </w:r>
      <w:r>
        <w:rPr>
          <w:rFonts w:eastAsia="MS Mincho"/>
          <w:rtl/>
        </w:rPr>
        <w:t>לשון תורה לחוד ולשון חכמים לחוד</w:t>
      </w:r>
      <w:r>
        <w:rPr>
          <w:rFonts w:eastAsia="MS Mincho" w:hint="cs"/>
          <w:rtl/>
        </w:rPr>
        <w:t>, כך לשון מפרשי התלמוד והפוסקים לחוד, וחשוב</w:t>
      </w:r>
      <w:r>
        <w:rPr>
          <w:rFonts w:hint="cs"/>
          <w:rtl/>
        </w:rPr>
        <w:t xml:space="preserve"> ביותר להגדיר את המושג "</w:t>
      </w:r>
      <w:r>
        <w:rPr>
          <w:rtl/>
        </w:rPr>
        <w:t>תורתו אומנותו</w:t>
      </w:r>
      <w:r>
        <w:rPr>
          <w:rFonts w:hint="cs"/>
          <w:rtl/>
        </w:rPr>
        <w:t>" במדויק בהתאם לכל ענין וענין.</w:t>
      </w:r>
    </w:p>
    <w:p w14:paraId="4DEB4C1A" w14:textId="77777777" w:rsidR="00273399" w:rsidRDefault="00273399" w:rsidP="00273399">
      <w:pPr>
        <w:ind w:firstLine="284"/>
        <w:rPr>
          <w:rFonts w:hint="cs"/>
          <w:rtl/>
        </w:rPr>
      </w:pPr>
      <w:r>
        <w:rPr>
          <w:rFonts w:hint="cs"/>
          <w:rtl/>
        </w:rPr>
        <w:t>יש להבדיל בין "</w:t>
      </w:r>
      <w:r>
        <w:rPr>
          <w:rtl/>
        </w:rPr>
        <w:t>תורתו אומנתו</w:t>
      </w:r>
      <w:r>
        <w:rPr>
          <w:rFonts w:hint="cs"/>
          <w:rtl/>
        </w:rPr>
        <w:t>" ממש (כמו רשב"י וחבריו), לבין "</w:t>
      </w:r>
      <w:r>
        <w:rPr>
          <w:rtl/>
        </w:rPr>
        <w:t>תורתו אומנתו</w:t>
      </w:r>
      <w:r>
        <w:rPr>
          <w:rFonts w:hint="cs"/>
          <w:rtl/>
        </w:rPr>
        <w:t>" סתם, שהוא מושג המצוי יותר בשיח ההלכתי. להלן מספר דוגמאות:</w:t>
      </w:r>
    </w:p>
    <w:p w14:paraId="56D35956" w14:textId="77777777" w:rsidR="00273399" w:rsidRDefault="00273399" w:rsidP="00273399">
      <w:pPr>
        <w:pStyle w:val="4"/>
        <w:rPr>
          <w:rFonts w:hint="cs"/>
          <w:rtl/>
        </w:rPr>
      </w:pPr>
      <w:bookmarkStart w:id="9" w:name="_Toc266380646"/>
      <w:r>
        <w:rPr>
          <w:rFonts w:hint="cs"/>
          <w:rtl/>
        </w:rPr>
        <w:t>א. קריאת שמע על המטה</w:t>
      </w:r>
      <w:bookmarkEnd w:id="9"/>
    </w:p>
    <w:p w14:paraId="0517148F" w14:textId="77777777" w:rsidR="00273399" w:rsidRDefault="00273399" w:rsidP="00273399">
      <w:pPr>
        <w:ind w:firstLine="284"/>
        <w:rPr>
          <w:rFonts w:hint="cs"/>
          <w:rtl/>
        </w:rPr>
      </w:pPr>
      <w:r>
        <w:rPr>
          <w:rFonts w:hint="cs"/>
          <w:rtl/>
        </w:rPr>
        <w:t>בדיני קריאת שמע על המטה מובא ב</w:t>
      </w:r>
      <w:r>
        <w:rPr>
          <w:rtl/>
        </w:rPr>
        <w:t>ספר כל</w:t>
      </w:r>
      <w:r>
        <w:rPr>
          <w:rFonts w:hint="cs"/>
          <w:rtl/>
        </w:rPr>
        <w:t>-</w:t>
      </w:r>
      <w:r>
        <w:rPr>
          <w:rtl/>
        </w:rPr>
        <w:t xml:space="preserve">בו </w:t>
      </w:r>
      <w:r>
        <w:rPr>
          <w:rFonts w:hint="cs"/>
          <w:rtl/>
        </w:rPr>
        <w:t>(</w:t>
      </w:r>
      <w:r>
        <w:rPr>
          <w:sz w:val="18"/>
          <w:szCs w:val="20"/>
          <w:rtl/>
        </w:rPr>
        <w:t>סימן כ</w:t>
      </w:r>
      <w:r>
        <w:rPr>
          <w:rFonts w:hint="cs"/>
          <w:sz w:val="18"/>
          <w:szCs w:val="20"/>
          <w:rtl/>
        </w:rPr>
        <w:t>"</w:t>
      </w:r>
      <w:r>
        <w:rPr>
          <w:sz w:val="18"/>
          <w:szCs w:val="20"/>
          <w:rtl/>
        </w:rPr>
        <w:t>ט</w:t>
      </w:r>
      <w:r>
        <w:rPr>
          <w:rFonts w:hint="cs"/>
          <w:rtl/>
        </w:rPr>
        <w:t>):</w:t>
      </w:r>
      <w:r>
        <w:rPr>
          <w:rtl/>
        </w:rPr>
        <w:t xml:space="preserve"> </w:t>
      </w:r>
      <w:r>
        <w:rPr>
          <w:rFonts w:hint="cs"/>
          <w:rtl/>
        </w:rPr>
        <w:t>"</w:t>
      </w:r>
      <w:r>
        <w:rPr>
          <w:rtl/>
        </w:rPr>
        <w:t>הקורא את שמע על מטתו כאלו אוחז חרב של שני פיות</w:t>
      </w:r>
      <w:r>
        <w:rPr>
          <w:rFonts w:hint="cs"/>
          <w:rtl/>
        </w:rPr>
        <w:t xml:space="preserve">... </w:t>
      </w:r>
      <w:r>
        <w:rPr>
          <w:rtl/>
        </w:rPr>
        <w:t>ותלמיד חכם, והוא ש</w:t>
      </w:r>
      <w:r>
        <w:rPr>
          <w:b/>
          <w:bCs/>
          <w:rtl/>
        </w:rPr>
        <w:t>תורתו אומנתו</w:t>
      </w:r>
      <w:r>
        <w:rPr>
          <w:rtl/>
        </w:rPr>
        <w:t>, אינו צריך</w:t>
      </w:r>
      <w:r>
        <w:rPr>
          <w:rFonts w:hint="cs"/>
          <w:rtl/>
        </w:rPr>
        <w:t xml:space="preserve">... </w:t>
      </w:r>
      <w:r>
        <w:rPr>
          <w:rtl/>
        </w:rPr>
        <w:t>כשקראה בעונתה והוא צאת הכוכבים</w:t>
      </w:r>
      <w:r>
        <w:rPr>
          <w:rFonts w:hint="cs"/>
          <w:rtl/>
        </w:rPr>
        <w:t xml:space="preserve">... </w:t>
      </w:r>
      <w:r>
        <w:rPr>
          <w:rtl/>
        </w:rPr>
        <w:t>אבל אומר פסוק אחד מפסוקי דרחמי</w:t>
      </w:r>
      <w:r>
        <w:rPr>
          <w:rFonts w:hint="cs"/>
          <w:rtl/>
        </w:rPr>
        <w:t xml:space="preserve">". מקורו בדברי </w:t>
      </w:r>
      <w:r>
        <w:rPr>
          <w:rtl/>
        </w:rPr>
        <w:t xml:space="preserve">רב נחמן </w:t>
      </w:r>
      <w:r>
        <w:rPr>
          <w:rFonts w:hint="cs"/>
          <w:rtl/>
        </w:rPr>
        <w:t>"</w:t>
      </w:r>
      <w:r>
        <w:rPr>
          <w:rtl/>
        </w:rPr>
        <w:t>אם תלמיד חכם הוא אין צריך</w:t>
      </w:r>
      <w:r>
        <w:rPr>
          <w:rFonts w:hint="cs"/>
          <w:rtl/>
        </w:rPr>
        <w:t>" (</w:t>
      </w:r>
      <w:r>
        <w:rPr>
          <w:sz w:val="18"/>
          <w:szCs w:val="20"/>
          <w:rtl/>
        </w:rPr>
        <w:t>ברכות ה</w:t>
      </w:r>
      <w:r>
        <w:rPr>
          <w:rFonts w:hint="cs"/>
          <w:sz w:val="18"/>
          <w:szCs w:val="20"/>
          <w:rtl/>
        </w:rPr>
        <w:t xml:space="preserve">, </w:t>
      </w:r>
      <w:r>
        <w:rPr>
          <w:sz w:val="18"/>
          <w:szCs w:val="20"/>
          <w:rtl/>
        </w:rPr>
        <w:t>א</w:t>
      </w:r>
      <w:r>
        <w:rPr>
          <w:rFonts w:hint="cs"/>
          <w:rtl/>
        </w:rPr>
        <w:t xml:space="preserve">). לאור דברי </w:t>
      </w:r>
      <w:r>
        <w:rPr>
          <w:rtl/>
        </w:rPr>
        <w:t>רש"י</w:t>
      </w:r>
      <w:r>
        <w:rPr>
          <w:rFonts w:hint="cs"/>
          <w:rtl/>
        </w:rPr>
        <w:t xml:space="preserve"> שם (</w:t>
      </w:r>
      <w:r>
        <w:rPr>
          <w:rFonts w:hint="cs"/>
          <w:sz w:val="18"/>
          <w:szCs w:val="20"/>
          <w:rtl/>
        </w:rPr>
        <w:t>"</w:t>
      </w:r>
      <w:r>
        <w:rPr>
          <w:sz w:val="18"/>
          <w:szCs w:val="20"/>
          <w:rtl/>
        </w:rPr>
        <w:t>ואם תלמיד חכם הוא</w:t>
      </w:r>
      <w:r>
        <w:rPr>
          <w:rFonts w:hint="cs"/>
          <w:sz w:val="18"/>
          <w:szCs w:val="20"/>
          <w:rtl/>
        </w:rPr>
        <w:t xml:space="preserve">, </w:t>
      </w:r>
      <w:r>
        <w:rPr>
          <w:sz w:val="18"/>
          <w:szCs w:val="20"/>
          <w:rtl/>
        </w:rPr>
        <w:t>ש</w:t>
      </w:r>
      <w:r>
        <w:rPr>
          <w:b/>
          <w:bCs/>
          <w:sz w:val="18"/>
          <w:szCs w:val="20"/>
          <w:rtl/>
        </w:rPr>
        <w:t>רגיל במשנתו לחזור על גרסתו תמיד</w:t>
      </w:r>
      <w:r>
        <w:rPr>
          <w:rFonts w:hint="cs"/>
          <w:sz w:val="18"/>
          <w:szCs w:val="20"/>
          <w:rtl/>
        </w:rPr>
        <w:t xml:space="preserve">, </w:t>
      </w:r>
      <w:r>
        <w:rPr>
          <w:sz w:val="18"/>
          <w:szCs w:val="20"/>
          <w:rtl/>
        </w:rPr>
        <w:t>דיו בכך</w:t>
      </w:r>
      <w:r>
        <w:rPr>
          <w:rFonts w:hint="cs"/>
          <w:sz w:val="18"/>
          <w:szCs w:val="20"/>
          <w:rtl/>
        </w:rPr>
        <w:t>"</w:t>
      </w:r>
      <w:r>
        <w:rPr>
          <w:rFonts w:hint="cs"/>
          <w:rtl/>
        </w:rPr>
        <w:t>) נראה כי נקט הכל-בו במושג "</w:t>
      </w:r>
      <w:r>
        <w:rPr>
          <w:rtl/>
        </w:rPr>
        <w:t>תורתו אומנתו</w:t>
      </w:r>
      <w:r>
        <w:rPr>
          <w:rFonts w:hint="cs"/>
          <w:rtl/>
        </w:rPr>
        <w:t>" במובן ב' הנ"ל, ויתכן שלא רק כגון רשב"י וחבריו.</w:t>
      </w:r>
    </w:p>
    <w:p w14:paraId="617C5D08" w14:textId="77777777" w:rsidR="00273399" w:rsidRDefault="00273399" w:rsidP="00273399">
      <w:pPr>
        <w:pStyle w:val="4"/>
        <w:rPr>
          <w:rFonts w:hint="cs"/>
          <w:rtl/>
        </w:rPr>
      </w:pPr>
      <w:bookmarkStart w:id="10" w:name="_Toc266380647"/>
      <w:r>
        <w:rPr>
          <w:rFonts w:hint="cs"/>
          <w:rtl/>
        </w:rPr>
        <w:t>ב. ביטול תורה לקריאת התורה</w:t>
      </w:r>
      <w:bookmarkEnd w:id="10"/>
      <w:r>
        <w:rPr>
          <w:rFonts w:hint="cs"/>
          <w:rtl/>
        </w:rPr>
        <w:t xml:space="preserve"> </w:t>
      </w:r>
    </w:p>
    <w:p w14:paraId="7B09E6C0" w14:textId="77777777" w:rsidR="00273399" w:rsidRDefault="00273399" w:rsidP="00273399">
      <w:pPr>
        <w:ind w:firstLine="284"/>
        <w:rPr>
          <w:rFonts w:hint="cs"/>
          <w:rtl/>
        </w:rPr>
      </w:pPr>
      <w:r>
        <w:rPr>
          <w:rFonts w:hint="cs"/>
          <w:rtl/>
        </w:rPr>
        <w:t>בדיני קריאת התורה ישנה סתירה בין המעשה המסופר על רב ששת שגרס תורתו בזמן הקריאה (</w:t>
      </w:r>
      <w:r>
        <w:rPr>
          <w:rFonts w:hint="cs"/>
          <w:sz w:val="18"/>
          <w:szCs w:val="20"/>
          <w:rtl/>
        </w:rPr>
        <w:t>ברכות ח, א</w:t>
      </w:r>
      <w:r>
        <w:rPr>
          <w:rFonts w:hint="cs"/>
          <w:rtl/>
        </w:rPr>
        <w:t xml:space="preserve">), לבין הלכה שאמר </w:t>
      </w:r>
      <w:r>
        <w:rPr>
          <w:rtl/>
        </w:rPr>
        <w:t xml:space="preserve">רבא בר רב הונא: </w:t>
      </w:r>
      <w:r>
        <w:rPr>
          <w:rFonts w:hint="cs"/>
          <w:rtl/>
        </w:rPr>
        <w:t>"</w:t>
      </w:r>
      <w:r>
        <w:rPr>
          <w:rtl/>
        </w:rPr>
        <w:t>כיון שנפתח ספר תורה</w:t>
      </w:r>
      <w:r>
        <w:rPr>
          <w:rFonts w:hint="cs"/>
          <w:rtl/>
        </w:rPr>
        <w:t>,</w:t>
      </w:r>
      <w:r>
        <w:rPr>
          <w:rtl/>
        </w:rPr>
        <w:t xml:space="preserve"> אסור לספר אפילו בדבר </w:t>
      </w:r>
      <w:r>
        <w:rPr>
          <w:rtl/>
        </w:rPr>
        <w:lastRenderedPageBreak/>
        <w:t>הלכה</w:t>
      </w:r>
      <w:r>
        <w:rPr>
          <w:rFonts w:hint="cs"/>
          <w:rtl/>
        </w:rPr>
        <w:t>" (</w:t>
      </w:r>
      <w:r>
        <w:rPr>
          <w:sz w:val="18"/>
          <w:szCs w:val="20"/>
          <w:rtl/>
        </w:rPr>
        <w:t>סוטה לט</w:t>
      </w:r>
      <w:r>
        <w:rPr>
          <w:rFonts w:hint="cs"/>
          <w:sz w:val="18"/>
          <w:szCs w:val="20"/>
          <w:rtl/>
        </w:rPr>
        <w:t xml:space="preserve">, </w:t>
      </w:r>
      <w:r>
        <w:rPr>
          <w:sz w:val="18"/>
          <w:szCs w:val="20"/>
          <w:rtl/>
        </w:rPr>
        <w:t>א</w:t>
      </w:r>
      <w:r>
        <w:rPr>
          <w:rFonts w:hint="cs"/>
          <w:rtl/>
        </w:rPr>
        <w:t>).</w:t>
      </w:r>
      <w:r>
        <w:rPr>
          <w:rtl/>
        </w:rPr>
        <w:t xml:space="preserve"> </w:t>
      </w:r>
      <w:r>
        <w:rPr>
          <w:rFonts w:hint="cs"/>
          <w:rtl/>
        </w:rPr>
        <w:t>מתוך מספר תירוצים שנאמרו ע"י קדמונים, העדיפו בעלי התוספות את תירוצם של רבינו חננאל והרי"ף (</w:t>
      </w:r>
      <w:r>
        <w:rPr>
          <w:sz w:val="18"/>
          <w:szCs w:val="20"/>
          <w:rtl/>
        </w:rPr>
        <w:t>ברכות ד</w:t>
      </w:r>
      <w:r>
        <w:rPr>
          <w:rFonts w:hint="cs"/>
          <w:sz w:val="18"/>
          <w:szCs w:val="20"/>
          <w:rtl/>
        </w:rPr>
        <w:t xml:space="preserve">, </w:t>
      </w:r>
      <w:r>
        <w:rPr>
          <w:sz w:val="18"/>
          <w:szCs w:val="20"/>
          <w:rtl/>
        </w:rPr>
        <w:t>א</w:t>
      </w:r>
      <w:r>
        <w:rPr>
          <w:rFonts w:hint="cs"/>
          <w:sz w:val="18"/>
          <w:szCs w:val="20"/>
          <w:rtl/>
        </w:rPr>
        <w:t xml:space="preserve"> ו</w:t>
      </w:r>
      <w:r>
        <w:rPr>
          <w:sz w:val="18"/>
          <w:szCs w:val="20"/>
          <w:rtl/>
        </w:rPr>
        <w:t>מגילה יד</w:t>
      </w:r>
      <w:r>
        <w:rPr>
          <w:rFonts w:hint="cs"/>
          <w:sz w:val="18"/>
          <w:szCs w:val="20"/>
          <w:rtl/>
        </w:rPr>
        <w:t>,</w:t>
      </w:r>
      <w:r>
        <w:rPr>
          <w:sz w:val="18"/>
          <w:szCs w:val="20"/>
          <w:rtl/>
        </w:rPr>
        <w:t xml:space="preserve"> ב</w:t>
      </w:r>
      <w:r>
        <w:rPr>
          <w:rFonts w:hint="cs"/>
          <w:sz w:val="18"/>
          <w:szCs w:val="20"/>
          <w:rtl/>
        </w:rPr>
        <w:t xml:space="preserve"> בדפי האלפס</w:t>
      </w:r>
      <w:r>
        <w:rPr>
          <w:rFonts w:hint="cs"/>
          <w:rtl/>
        </w:rPr>
        <w:t>) שֶרק לרב ששת (וכיוצא בו) הותר הלימוד בזמן קריאת התורה הואיל ותורתו אומנותו, "אבל אינש אחרינא - אסור". וכך כתב הרמב"ם</w:t>
      </w:r>
      <w:r>
        <w:rPr>
          <w:rStyle w:val="a4"/>
          <w:rtl/>
        </w:rPr>
        <w:footnoteReference w:id="251"/>
      </w:r>
      <w:r>
        <w:rPr>
          <w:rFonts w:hint="cs"/>
          <w:rtl/>
        </w:rPr>
        <w:t>: "</w:t>
      </w:r>
      <w:r>
        <w:rPr>
          <w:rtl/>
        </w:rPr>
        <w:t>ומי שהוא עוסק בתורה תמיד ותורתו אומנותו</w:t>
      </w:r>
      <w:r>
        <w:rPr>
          <w:rFonts w:hint="cs"/>
          <w:rtl/>
        </w:rPr>
        <w:t>,</w:t>
      </w:r>
      <w:r>
        <w:rPr>
          <w:rtl/>
        </w:rPr>
        <w:t xml:space="preserve"> מותר לו לעסוק בתלמוד תורה בשעה שהקורא קורא בתורה</w:t>
      </w:r>
      <w:r>
        <w:rPr>
          <w:rFonts w:hint="cs"/>
          <w:rtl/>
        </w:rPr>
        <w:t xml:space="preserve">" (וכן פסקו הטור והשו"ע </w:t>
      </w:r>
      <w:r>
        <w:rPr>
          <w:rFonts w:hint="cs"/>
          <w:sz w:val="18"/>
          <w:szCs w:val="20"/>
          <w:rtl/>
        </w:rPr>
        <w:t>או"ח קמ"ו, ב</w:t>
      </w:r>
      <w:r>
        <w:rPr>
          <w:rFonts w:hint="cs"/>
          <w:rtl/>
        </w:rPr>
        <w:t xml:space="preserve">). </w:t>
      </w:r>
    </w:p>
    <w:p w14:paraId="45E654B4" w14:textId="77777777" w:rsidR="00273399" w:rsidRDefault="00273399" w:rsidP="00273399">
      <w:pPr>
        <w:ind w:firstLine="284"/>
        <w:rPr>
          <w:rFonts w:hint="cs"/>
          <w:rtl/>
        </w:rPr>
      </w:pPr>
      <w:r>
        <w:rPr>
          <w:rFonts w:hint="cs"/>
          <w:rtl/>
        </w:rPr>
        <w:t>נראה כי כאן הגדרת "תורתו אומנותו" היא (</w:t>
      </w:r>
      <w:r>
        <w:rPr>
          <w:rFonts w:hint="cs"/>
          <w:sz w:val="18"/>
          <w:szCs w:val="20"/>
          <w:rtl/>
        </w:rPr>
        <w:t>כלשון הרמב"ם שהבאנו</w:t>
      </w:r>
      <w:r>
        <w:rPr>
          <w:rFonts w:hint="cs"/>
          <w:rtl/>
        </w:rPr>
        <w:t>):</w:t>
      </w:r>
      <w:r>
        <w:rPr>
          <w:rtl/>
        </w:rPr>
        <w:t xml:space="preserve"> </w:t>
      </w:r>
      <w:r>
        <w:rPr>
          <w:rFonts w:hint="cs"/>
          <w:rtl/>
        </w:rPr>
        <w:t>"</w:t>
      </w:r>
      <w:r>
        <w:rPr>
          <w:rtl/>
        </w:rPr>
        <w:t xml:space="preserve">מי שהוא עוסק בתורה </w:t>
      </w:r>
      <w:r>
        <w:rPr>
          <w:b/>
          <w:bCs/>
          <w:rtl/>
        </w:rPr>
        <w:t>תמיד</w:t>
      </w:r>
      <w:r>
        <w:rPr>
          <w:rFonts w:hint="cs"/>
          <w:rtl/>
        </w:rPr>
        <w:t>", ולאור זה מובנים דברי התוספות בסוטה שכתבו "</w:t>
      </w:r>
      <w:r>
        <w:rPr>
          <w:rtl/>
        </w:rPr>
        <w:t>אבל האידנא כרבא סבירא לן</w:t>
      </w:r>
      <w:r>
        <w:rPr>
          <w:rFonts w:hint="cs"/>
          <w:rtl/>
        </w:rPr>
        <w:t>", כלומר: הואיל וכיום אין מי שֶיִדְמֶה לרב ששת בשקידתו בתורה, לכן הכל אסורים באיסור שאמר רבא במסכת סוטה. וכך פסק המשנה ברורה (</w:t>
      </w:r>
      <w:r>
        <w:rPr>
          <w:rFonts w:hint="cs"/>
          <w:sz w:val="18"/>
          <w:szCs w:val="20"/>
          <w:rtl/>
        </w:rPr>
        <w:t>שם סק"ט</w:t>
      </w:r>
      <w:r>
        <w:rPr>
          <w:rFonts w:hint="cs"/>
          <w:rtl/>
        </w:rPr>
        <w:t xml:space="preserve">): </w:t>
      </w:r>
    </w:p>
    <w:p w14:paraId="304C4818" w14:textId="77777777" w:rsidR="00273399" w:rsidRDefault="00273399" w:rsidP="00273399">
      <w:pPr>
        <w:pStyle w:val="a7"/>
        <w:rPr>
          <w:rFonts w:hint="cs"/>
          <w:rtl/>
        </w:rPr>
      </w:pPr>
      <w:r>
        <w:rPr>
          <w:rFonts w:hint="cs"/>
          <w:rtl/>
        </w:rPr>
        <w:t xml:space="preserve">"אפילו היכא דאיכא עשרה דצייתי אינו מותר ללמוד בעת הקריאה כי אם בשתורתו אומנתו </w:t>
      </w:r>
      <w:r>
        <w:rPr>
          <w:rFonts w:hint="cs"/>
          <w:b/>
          <w:bCs/>
          <w:rtl/>
        </w:rPr>
        <w:t>שאינו מבטל שום שעה מלִמודו</w:t>
      </w:r>
      <w:r>
        <w:rPr>
          <w:rFonts w:hint="cs"/>
          <w:rtl/>
        </w:rPr>
        <w:t>. ועיין באליה רבה שהביא בשם כמה ראשונים דהשתא אין לנו תורתו אומנתו לענין זה"</w:t>
      </w:r>
      <w:r>
        <w:rPr>
          <w:rStyle w:val="a4"/>
          <w:rtl/>
        </w:rPr>
        <w:footnoteReference w:id="252"/>
      </w:r>
      <w:r>
        <w:rPr>
          <w:rFonts w:hint="cs"/>
          <w:rtl/>
        </w:rPr>
        <w:t xml:space="preserve">. </w:t>
      </w:r>
    </w:p>
    <w:p w14:paraId="79769E3A" w14:textId="77777777" w:rsidR="00273399" w:rsidRDefault="00273399" w:rsidP="00273399">
      <w:pPr>
        <w:pStyle w:val="4"/>
        <w:rPr>
          <w:rFonts w:hint="cs"/>
          <w:rtl/>
        </w:rPr>
      </w:pPr>
      <w:bookmarkStart w:id="11" w:name="_Toc266380648"/>
      <w:r>
        <w:rPr>
          <w:rFonts w:hint="cs"/>
          <w:rtl/>
        </w:rPr>
        <w:lastRenderedPageBreak/>
        <w:t>ג. ביטול תורה לכבוד שבת</w:t>
      </w:r>
      <w:bookmarkEnd w:id="11"/>
      <w:r>
        <w:rPr>
          <w:rFonts w:hint="cs"/>
          <w:rtl/>
        </w:rPr>
        <w:t xml:space="preserve"> </w:t>
      </w:r>
    </w:p>
    <w:p w14:paraId="56A10B48" w14:textId="77777777" w:rsidR="00273399" w:rsidRDefault="00273399" w:rsidP="00273399">
      <w:pPr>
        <w:rPr>
          <w:rFonts w:hint="cs"/>
          <w:rtl/>
        </w:rPr>
      </w:pPr>
      <w:r>
        <w:rPr>
          <w:rFonts w:hint="cs"/>
          <w:rtl/>
        </w:rPr>
        <w:t>על דברי רבותינו בעלי השו"ע "מצוה</w:t>
      </w:r>
      <w:r>
        <w:rPr>
          <w:rStyle w:val="a4"/>
          <w:rtl/>
        </w:rPr>
        <w:footnoteReference w:id="253"/>
      </w:r>
      <w:r>
        <w:rPr>
          <w:rFonts w:hint="cs"/>
          <w:rtl/>
        </w:rPr>
        <w:t xml:space="preserve"> לרחוץ, </w:t>
      </w:r>
      <w:r>
        <w:rPr>
          <w:rFonts w:hint="cs"/>
          <w:sz w:val="18"/>
          <w:szCs w:val="20"/>
          <w:rtl/>
        </w:rPr>
        <w:t>הגה: כל גופו. ואם אי אפשר לו, ירחוץ</w:t>
      </w:r>
      <w:r>
        <w:rPr>
          <w:rFonts w:hint="cs"/>
          <w:sz w:val="26"/>
          <w:rtl/>
        </w:rPr>
        <w:t xml:space="preserve"> </w:t>
      </w:r>
      <w:r>
        <w:rPr>
          <w:rFonts w:hint="cs"/>
          <w:rtl/>
        </w:rPr>
        <w:t>פניו ידיו ורגליו בחמין בערב שבת" (</w:t>
      </w:r>
      <w:r>
        <w:rPr>
          <w:rFonts w:hint="cs"/>
          <w:sz w:val="18"/>
          <w:szCs w:val="20"/>
          <w:rtl/>
        </w:rPr>
        <w:t>או"ח, ר"ס, א'</w:t>
      </w:r>
      <w:r>
        <w:rPr>
          <w:rFonts w:hint="cs"/>
          <w:rtl/>
        </w:rPr>
        <w:t>) מעיר ה"ביאור הלכה": "מצוה וכו'. ומשמע בגמרא דאפילו מי שתורתו אומנותו יש לו לבטל [</w:t>
      </w:r>
      <w:r>
        <w:rPr>
          <w:rFonts w:hint="cs"/>
          <w:sz w:val="18"/>
          <w:szCs w:val="20"/>
          <w:rtl/>
        </w:rPr>
        <w:t>תורה</w:t>
      </w:r>
      <w:r>
        <w:rPr>
          <w:rFonts w:hint="cs"/>
          <w:rtl/>
        </w:rPr>
        <w:t>] כדי לקיים רחיצה בחמין, דמביא שם הגמרא מ</w:t>
      </w:r>
      <w:r>
        <w:rPr>
          <w:rtl/>
        </w:rPr>
        <w:t>רבי</w:t>
      </w:r>
      <w:r>
        <w:rPr>
          <w:rFonts w:hint="cs"/>
          <w:sz w:val="14"/>
          <w:rtl/>
        </w:rPr>
        <w:t xml:space="preserve"> </w:t>
      </w:r>
      <w:r>
        <w:rPr>
          <w:sz w:val="24"/>
          <w:rtl/>
        </w:rPr>
        <w:t>יהודה</w:t>
      </w:r>
      <w:r>
        <w:rPr>
          <w:rFonts w:hint="cs"/>
          <w:rtl/>
        </w:rPr>
        <w:t xml:space="preserve"> בר אלעאי; אך שם בדידיהּ לא נזכר כי אם פניו ידיו ורגליו". כוונתו למאמר של </w:t>
      </w:r>
      <w:r>
        <w:rPr>
          <w:rtl/>
        </w:rPr>
        <w:t xml:space="preserve">רב יהודה </w:t>
      </w:r>
      <w:r>
        <w:rPr>
          <w:rFonts w:hint="cs"/>
          <w:rtl/>
        </w:rPr>
        <w:t xml:space="preserve">בשם </w:t>
      </w:r>
      <w:r>
        <w:rPr>
          <w:rtl/>
        </w:rPr>
        <w:t>רב</w:t>
      </w:r>
      <w:r>
        <w:rPr>
          <w:rFonts w:hint="cs"/>
          <w:rtl/>
        </w:rPr>
        <w:t xml:space="preserve"> (</w:t>
      </w:r>
      <w:r>
        <w:rPr>
          <w:rFonts w:hint="cs"/>
          <w:sz w:val="18"/>
          <w:szCs w:val="20"/>
          <w:rtl/>
        </w:rPr>
        <w:t xml:space="preserve">להלן </w:t>
      </w:r>
      <w:r>
        <w:rPr>
          <w:sz w:val="18"/>
          <w:szCs w:val="20"/>
          <w:rtl/>
        </w:rPr>
        <w:t>כה</w:t>
      </w:r>
      <w:r>
        <w:rPr>
          <w:rFonts w:hint="cs"/>
          <w:sz w:val="18"/>
          <w:szCs w:val="20"/>
          <w:rtl/>
        </w:rPr>
        <w:t xml:space="preserve">, </w:t>
      </w:r>
      <w:r>
        <w:rPr>
          <w:sz w:val="18"/>
          <w:szCs w:val="20"/>
          <w:rtl/>
        </w:rPr>
        <w:t>ב</w:t>
      </w:r>
      <w:r>
        <w:rPr>
          <w:rFonts w:hint="cs"/>
          <w:rtl/>
        </w:rPr>
        <w:t>)</w:t>
      </w:r>
      <w:r>
        <w:rPr>
          <w:rtl/>
        </w:rPr>
        <w:t xml:space="preserve">: </w:t>
      </w:r>
      <w:r>
        <w:rPr>
          <w:rFonts w:hint="cs"/>
          <w:rtl/>
        </w:rPr>
        <w:t>"</w:t>
      </w:r>
      <w:r>
        <w:rPr>
          <w:rtl/>
        </w:rPr>
        <w:t>כך היה מנהגו של רבי יהודה בר אלעאי ערב שבת</w:t>
      </w:r>
      <w:r>
        <w:rPr>
          <w:rFonts w:hint="cs"/>
          <w:rtl/>
        </w:rPr>
        <w:t>:</w:t>
      </w:r>
      <w:r>
        <w:rPr>
          <w:rtl/>
        </w:rPr>
        <w:t xml:space="preserve"> מביאים לו עריבה מלאה חמין ורוחץ פניו ידיו ורגליו</w:t>
      </w:r>
      <w:r>
        <w:rPr>
          <w:rFonts w:hint="cs"/>
          <w:rtl/>
        </w:rPr>
        <w:t xml:space="preserve">". מהעובדה שלא הוזכרה במאמר זה רחיצת </w:t>
      </w:r>
      <w:r>
        <w:rPr>
          <w:rtl/>
        </w:rPr>
        <w:t>כל גופו</w:t>
      </w:r>
      <w:r>
        <w:rPr>
          <w:rFonts w:hint="cs"/>
          <w:rtl/>
        </w:rPr>
        <w:t>, דייקו אחרונים ש</w:t>
      </w:r>
      <w:r>
        <w:rPr>
          <w:rtl/>
        </w:rPr>
        <w:t>רבי</w:t>
      </w:r>
      <w:r>
        <w:rPr>
          <w:rFonts w:hint="cs"/>
          <w:sz w:val="14"/>
          <w:rtl/>
        </w:rPr>
        <w:t xml:space="preserve"> </w:t>
      </w:r>
      <w:r>
        <w:rPr>
          <w:sz w:val="24"/>
          <w:rtl/>
        </w:rPr>
        <w:t>יהודה</w:t>
      </w:r>
      <w:r>
        <w:rPr>
          <w:rFonts w:hint="cs"/>
          <w:sz w:val="24"/>
          <w:rtl/>
        </w:rPr>
        <w:t xml:space="preserve"> אכן לא רחץ לכבוד שבת אלא</w:t>
      </w:r>
      <w:r>
        <w:rPr>
          <w:rtl/>
        </w:rPr>
        <w:t xml:space="preserve"> </w:t>
      </w:r>
      <w:r>
        <w:rPr>
          <w:rFonts w:hint="cs"/>
          <w:rtl/>
        </w:rPr>
        <w:t xml:space="preserve">את </w:t>
      </w:r>
      <w:r>
        <w:rPr>
          <w:rtl/>
        </w:rPr>
        <w:t>פניו ידיו ורגליו</w:t>
      </w:r>
      <w:r>
        <w:rPr>
          <w:rFonts w:hint="cs"/>
          <w:rtl/>
        </w:rPr>
        <w:t xml:space="preserve">; וכמה טעמים נאמרו בכך. יש מסבירים כי </w:t>
      </w:r>
      <w:r>
        <w:rPr>
          <w:rtl/>
        </w:rPr>
        <w:t xml:space="preserve">חפיפת הראש </w:t>
      </w:r>
      <w:r>
        <w:rPr>
          <w:rFonts w:hint="cs"/>
          <w:rtl/>
        </w:rPr>
        <w:t xml:space="preserve">ורחיצת </w:t>
      </w:r>
      <w:r>
        <w:rPr>
          <w:rtl/>
        </w:rPr>
        <w:t>כל גופו</w:t>
      </w:r>
      <w:r>
        <w:rPr>
          <w:rFonts w:hint="cs"/>
          <w:rtl/>
        </w:rPr>
        <w:t xml:space="preserve"> </w:t>
      </w:r>
      <w:r>
        <w:rPr>
          <w:rtl/>
        </w:rPr>
        <w:t>אינ</w:t>
      </w:r>
      <w:r>
        <w:rPr>
          <w:rFonts w:hint="cs"/>
          <w:rtl/>
        </w:rPr>
        <w:t>ם</w:t>
      </w:r>
      <w:r>
        <w:rPr>
          <w:rtl/>
        </w:rPr>
        <w:t xml:space="preserve"> </w:t>
      </w:r>
      <w:r>
        <w:rPr>
          <w:rFonts w:hint="cs"/>
          <w:rtl/>
        </w:rPr>
        <w:t>"</w:t>
      </w:r>
      <w:r>
        <w:rPr>
          <w:rtl/>
        </w:rPr>
        <w:t>מעיקר החיוב</w:t>
      </w:r>
      <w:r>
        <w:rPr>
          <w:rFonts w:hint="cs"/>
          <w:rtl/>
        </w:rPr>
        <w:t>,</w:t>
      </w:r>
      <w:r>
        <w:rPr>
          <w:rtl/>
        </w:rPr>
        <w:t xml:space="preserve"> וכיון שהיתה תורתו אומנתו </w:t>
      </w:r>
      <w:r>
        <w:rPr>
          <w:rFonts w:hint="cs"/>
          <w:rtl/>
        </w:rPr>
        <w:t xml:space="preserve">- </w:t>
      </w:r>
      <w:r>
        <w:rPr>
          <w:rtl/>
        </w:rPr>
        <w:t>לא רצה לבטל מלימודו בשביל זה</w:t>
      </w:r>
      <w:r>
        <w:rPr>
          <w:rFonts w:hint="cs"/>
          <w:rtl/>
        </w:rPr>
        <w:t>" (</w:t>
      </w:r>
      <w:r>
        <w:rPr>
          <w:rtl/>
        </w:rPr>
        <w:t>שו"ת דברי יציב</w:t>
      </w:r>
      <w:r>
        <w:rPr>
          <w:rFonts w:hint="cs"/>
          <w:sz w:val="18"/>
          <w:szCs w:val="20"/>
          <w:rtl/>
        </w:rPr>
        <w:t xml:space="preserve">, </w:t>
      </w:r>
      <w:r>
        <w:rPr>
          <w:sz w:val="18"/>
          <w:szCs w:val="20"/>
          <w:rtl/>
        </w:rPr>
        <w:t>או"ח</w:t>
      </w:r>
      <w:r>
        <w:rPr>
          <w:rFonts w:hint="cs"/>
          <w:sz w:val="18"/>
          <w:szCs w:val="20"/>
          <w:rtl/>
        </w:rPr>
        <w:t>,</w:t>
      </w:r>
      <w:r>
        <w:rPr>
          <w:sz w:val="18"/>
          <w:szCs w:val="20"/>
          <w:rtl/>
        </w:rPr>
        <w:t xml:space="preserve"> סימן רל</w:t>
      </w:r>
      <w:r>
        <w:rPr>
          <w:rFonts w:hint="cs"/>
          <w:sz w:val="18"/>
          <w:szCs w:val="20"/>
          <w:rtl/>
        </w:rPr>
        <w:t>"</w:t>
      </w:r>
      <w:r>
        <w:rPr>
          <w:sz w:val="18"/>
          <w:szCs w:val="20"/>
          <w:rtl/>
        </w:rPr>
        <w:t>ז</w:t>
      </w:r>
      <w:r>
        <w:rPr>
          <w:rFonts w:hint="cs"/>
          <w:sz w:val="18"/>
          <w:szCs w:val="20"/>
          <w:rtl/>
        </w:rPr>
        <w:t>,</w:t>
      </w:r>
      <w:r>
        <w:rPr>
          <w:rtl/>
        </w:rPr>
        <w:t xml:space="preserve"> </w:t>
      </w:r>
      <w:r>
        <w:rPr>
          <w:sz w:val="18"/>
          <w:szCs w:val="20"/>
          <w:rtl/>
        </w:rPr>
        <w:t>ד"ה ושם בא"ר</w:t>
      </w:r>
      <w:r>
        <w:rPr>
          <w:rFonts w:hint="cs"/>
          <w:rtl/>
        </w:rPr>
        <w:t>)</w:t>
      </w:r>
      <w:r>
        <w:rPr>
          <w:rStyle w:val="a4"/>
          <w:rtl/>
        </w:rPr>
        <w:footnoteReference w:id="254"/>
      </w:r>
      <w:r>
        <w:rPr>
          <w:rFonts w:hint="cs"/>
          <w:rtl/>
        </w:rPr>
        <w:t>.</w:t>
      </w:r>
    </w:p>
    <w:p w14:paraId="7B3ABEDE" w14:textId="77777777" w:rsidR="00273399" w:rsidRDefault="00273399" w:rsidP="00273399">
      <w:pPr>
        <w:ind w:firstLine="284"/>
        <w:rPr>
          <w:rFonts w:hint="cs"/>
          <w:rtl/>
        </w:rPr>
      </w:pPr>
      <w:r>
        <w:rPr>
          <w:rFonts w:hint="cs"/>
          <w:rtl/>
        </w:rPr>
        <w:t>מנין לאחרונים ש</w:t>
      </w:r>
      <w:r>
        <w:rPr>
          <w:rtl/>
        </w:rPr>
        <w:t>רבי</w:t>
      </w:r>
      <w:r>
        <w:rPr>
          <w:rFonts w:hint="cs"/>
          <w:rtl/>
        </w:rPr>
        <w:t xml:space="preserve"> </w:t>
      </w:r>
      <w:r>
        <w:rPr>
          <w:rtl/>
        </w:rPr>
        <w:t>יהודה ב</w:t>
      </w:r>
      <w:r>
        <w:rPr>
          <w:rFonts w:hint="cs"/>
          <w:rtl/>
        </w:rPr>
        <w:t>"</w:t>
      </w:r>
      <w:r>
        <w:rPr>
          <w:rtl/>
        </w:rPr>
        <w:t>ר אלעאי</w:t>
      </w:r>
      <w:r>
        <w:rPr>
          <w:rFonts w:hint="cs"/>
          <w:rtl/>
        </w:rPr>
        <w:t xml:space="preserve"> היתה תורתו אומנותו? ולאיזה פירוש התכוונו?</w:t>
      </w:r>
    </w:p>
    <w:p w14:paraId="17B93234" w14:textId="77777777" w:rsidR="00273399" w:rsidRDefault="00273399" w:rsidP="00273399">
      <w:pPr>
        <w:ind w:firstLine="284"/>
        <w:rPr>
          <w:rFonts w:hint="cs"/>
          <w:rtl/>
        </w:rPr>
      </w:pPr>
      <w:r>
        <w:rPr>
          <w:rFonts w:hint="cs"/>
          <w:rtl/>
        </w:rPr>
        <w:t>נראה כי מקור דבריהם בדברי הראשונים על סוגיית ביטול תורה לשם קיום מצוה:</w:t>
      </w:r>
    </w:p>
    <w:p w14:paraId="36C7A991" w14:textId="77777777" w:rsidR="00273399" w:rsidRDefault="00273399" w:rsidP="00273399">
      <w:pPr>
        <w:pStyle w:val="4"/>
        <w:rPr>
          <w:rFonts w:hint="cs"/>
          <w:rtl/>
        </w:rPr>
      </w:pPr>
      <w:bookmarkStart w:id="12" w:name="_Toc266380649"/>
      <w:r>
        <w:rPr>
          <w:rFonts w:hint="cs"/>
          <w:rtl/>
        </w:rPr>
        <w:lastRenderedPageBreak/>
        <w:t>ד. ביטול תורה לקיום מצוות</w:t>
      </w:r>
      <w:bookmarkEnd w:id="12"/>
      <w:r>
        <w:rPr>
          <w:rFonts w:hint="cs"/>
          <w:rtl/>
        </w:rPr>
        <w:t xml:space="preserve"> </w:t>
      </w:r>
    </w:p>
    <w:p w14:paraId="24C0EDC1" w14:textId="77777777" w:rsidR="00273399" w:rsidRDefault="00273399" w:rsidP="00273399">
      <w:pPr>
        <w:ind w:firstLine="284"/>
        <w:rPr>
          <w:rFonts w:hint="cs"/>
          <w:rtl/>
        </w:rPr>
      </w:pPr>
      <w:r>
        <w:rPr>
          <w:rFonts w:hint="cs"/>
          <w:rtl/>
        </w:rPr>
        <w:t>שנינו (</w:t>
      </w:r>
      <w:r>
        <w:rPr>
          <w:sz w:val="18"/>
          <w:szCs w:val="20"/>
          <w:rtl/>
        </w:rPr>
        <w:t>כתובות</w:t>
      </w:r>
      <w:r>
        <w:rPr>
          <w:rFonts w:hint="cs"/>
          <w:sz w:val="18"/>
          <w:szCs w:val="20"/>
          <w:rtl/>
        </w:rPr>
        <w:t xml:space="preserve"> </w:t>
      </w:r>
      <w:r>
        <w:rPr>
          <w:sz w:val="18"/>
          <w:szCs w:val="20"/>
          <w:rtl/>
        </w:rPr>
        <w:t>יז</w:t>
      </w:r>
      <w:r>
        <w:rPr>
          <w:rFonts w:hint="cs"/>
          <w:sz w:val="18"/>
          <w:szCs w:val="20"/>
          <w:rtl/>
        </w:rPr>
        <w:t xml:space="preserve">, </w:t>
      </w:r>
      <w:r>
        <w:rPr>
          <w:sz w:val="20"/>
          <w:szCs w:val="20"/>
          <w:rtl/>
        </w:rPr>
        <w:t>א</w:t>
      </w:r>
      <w:r>
        <w:rPr>
          <w:rFonts w:hint="cs"/>
          <w:sz w:val="20"/>
          <w:szCs w:val="20"/>
          <w:rtl/>
        </w:rPr>
        <w:t xml:space="preserve">; </w:t>
      </w:r>
      <w:r>
        <w:rPr>
          <w:sz w:val="20"/>
          <w:szCs w:val="20"/>
          <w:rtl/>
        </w:rPr>
        <w:t>מגילה כט</w:t>
      </w:r>
      <w:r>
        <w:rPr>
          <w:rFonts w:hint="cs"/>
          <w:sz w:val="20"/>
          <w:szCs w:val="20"/>
          <w:rtl/>
        </w:rPr>
        <w:t xml:space="preserve">, </w:t>
      </w:r>
      <w:r>
        <w:rPr>
          <w:sz w:val="20"/>
          <w:szCs w:val="20"/>
          <w:rtl/>
        </w:rPr>
        <w:t>א</w:t>
      </w:r>
      <w:r>
        <w:rPr>
          <w:rFonts w:hint="cs"/>
          <w:rtl/>
        </w:rPr>
        <w:t>): "</w:t>
      </w:r>
      <w:r>
        <w:rPr>
          <w:rtl/>
        </w:rPr>
        <w:t>תנו רבנן: מבטלין תלמוד תורה להוצאת המת ולהכנסת כלה. אמרו עליו על רבי יהודה ברבי אלעאי, שהיה מבטל תלמוד תורה להוצאת המת ולהכנסת כלה</w:t>
      </w:r>
      <w:r>
        <w:rPr>
          <w:rStyle w:val="a4"/>
          <w:rtl/>
        </w:rPr>
        <w:footnoteReference w:id="255"/>
      </w:r>
      <w:r>
        <w:rPr>
          <w:rFonts w:hint="cs"/>
          <w:rtl/>
        </w:rPr>
        <w:t>" (וכך נפסק ב</w:t>
      </w:r>
      <w:r>
        <w:rPr>
          <w:rtl/>
        </w:rPr>
        <w:t xml:space="preserve">שולחן ערוך </w:t>
      </w:r>
      <w:r>
        <w:rPr>
          <w:sz w:val="18"/>
          <w:szCs w:val="20"/>
          <w:rtl/>
        </w:rPr>
        <w:t>יו</w:t>
      </w:r>
      <w:r>
        <w:rPr>
          <w:rFonts w:hint="cs"/>
          <w:sz w:val="18"/>
          <w:szCs w:val="20"/>
          <w:rtl/>
        </w:rPr>
        <w:t>"</w:t>
      </w:r>
      <w:r>
        <w:rPr>
          <w:sz w:val="18"/>
          <w:szCs w:val="20"/>
          <w:rtl/>
        </w:rPr>
        <w:t>ד</w:t>
      </w:r>
      <w:r>
        <w:rPr>
          <w:rFonts w:hint="cs"/>
          <w:sz w:val="18"/>
          <w:szCs w:val="20"/>
          <w:rtl/>
        </w:rPr>
        <w:t xml:space="preserve"> </w:t>
      </w:r>
      <w:r>
        <w:rPr>
          <w:sz w:val="18"/>
          <w:szCs w:val="20"/>
          <w:rtl/>
        </w:rPr>
        <w:t>שסא</w:t>
      </w:r>
      <w:r>
        <w:rPr>
          <w:rFonts w:hint="cs"/>
          <w:sz w:val="18"/>
          <w:szCs w:val="20"/>
          <w:rtl/>
        </w:rPr>
        <w:t xml:space="preserve">, </w:t>
      </w:r>
      <w:r>
        <w:rPr>
          <w:sz w:val="18"/>
          <w:szCs w:val="20"/>
          <w:rtl/>
        </w:rPr>
        <w:t>א</w:t>
      </w:r>
      <w:r>
        <w:rPr>
          <w:rFonts w:hint="cs"/>
          <w:sz w:val="18"/>
          <w:szCs w:val="20"/>
          <w:rtl/>
        </w:rPr>
        <w:t>; ובהגהת הרמ"א לאבה"ע סה, ב</w:t>
      </w:r>
      <w:r>
        <w:rPr>
          <w:rFonts w:hint="cs"/>
          <w:rtl/>
        </w:rPr>
        <w:t>). נחלקו הראשונים אם לשון הברייתא "</w:t>
      </w:r>
      <w:r>
        <w:rPr>
          <w:rtl/>
        </w:rPr>
        <w:t>מבטלין</w:t>
      </w:r>
      <w:r>
        <w:rPr>
          <w:rFonts w:hint="cs"/>
          <w:rtl/>
        </w:rPr>
        <w:t xml:space="preserve">" - היינו חייבים לבטל, או מותרים לבטל ת"ת. </w:t>
      </w:r>
    </w:p>
    <w:p w14:paraId="186DC2EF" w14:textId="77777777" w:rsidR="00273399" w:rsidRDefault="00273399" w:rsidP="00273399">
      <w:pPr>
        <w:ind w:firstLine="284"/>
        <w:rPr>
          <w:rFonts w:hint="cs"/>
          <w:rtl/>
        </w:rPr>
      </w:pPr>
      <w:r>
        <w:rPr>
          <w:rFonts w:hint="cs"/>
          <w:rtl/>
        </w:rPr>
        <w:t xml:space="preserve">וזו לשון הרמב"ן </w:t>
      </w:r>
      <w:r>
        <w:rPr>
          <w:rFonts w:hint="cs"/>
          <w:sz w:val="26"/>
          <w:rtl/>
        </w:rPr>
        <w:t xml:space="preserve">בספר </w:t>
      </w:r>
      <w:r>
        <w:rPr>
          <w:sz w:val="26"/>
          <w:rtl/>
        </w:rPr>
        <w:t>תורת האדם</w:t>
      </w:r>
      <w:r>
        <w:rPr>
          <w:rFonts w:hint="cs"/>
          <w:rtl/>
        </w:rPr>
        <w:t xml:space="preserve">: </w:t>
      </w:r>
    </w:p>
    <w:p w14:paraId="45DBF8AE" w14:textId="77777777" w:rsidR="00273399" w:rsidRDefault="00273399" w:rsidP="00273399">
      <w:pPr>
        <w:pStyle w:val="a7"/>
        <w:rPr>
          <w:rFonts w:hint="cs"/>
          <w:rtl/>
        </w:rPr>
      </w:pPr>
      <w:r>
        <w:rPr>
          <w:rFonts w:hint="cs"/>
          <w:rtl/>
        </w:rPr>
        <w:t>"</w:t>
      </w:r>
      <w:r>
        <w:rPr>
          <w:rtl/>
        </w:rPr>
        <w:t>ואיכא דמפרשי לה הכי</w:t>
      </w:r>
      <w:r>
        <w:rPr>
          <w:rStyle w:val="a4"/>
          <w:rtl/>
        </w:rPr>
        <w:footnoteReference w:id="256"/>
      </w:r>
      <w:r>
        <w:rPr>
          <w:rFonts w:hint="cs"/>
          <w:rtl/>
        </w:rPr>
        <w:t>:</w:t>
      </w:r>
      <w:r>
        <w:rPr>
          <w:rtl/>
        </w:rPr>
        <w:t xml:space="preserve"> מותר לבטל תלמוד תורה להוצאת המת ולהכנסת כלה לחופה</w:t>
      </w:r>
      <w:r>
        <w:rPr>
          <w:rFonts w:hint="cs"/>
          <w:rtl/>
        </w:rPr>
        <w:t xml:space="preserve">, </w:t>
      </w:r>
      <w:r>
        <w:rPr>
          <w:rtl/>
        </w:rPr>
        <w:t xml:space="preserve">והיינו דקתני </w:t>
      </w:r>
      <w:r>
        <w:rPr>
          <w:rFonts w:hint="cs"/>
          <w:rtl/>
        </w:rPr>
        <w:t>'</w:t>
      </w:r>
      <w:r>
        <w:rPr>
          <w:rtl/>
        </w:rPr>
        <w:t>אמרו עליו על רבי יהודה בר אלעאי שהי</w:t>
      </w:r>
      <w:r>
        <w:rPr>
          <w:rFonts w:hint="cs"/>
          <w:rtl/>
        </w:rPr>
        <w:t>ה</w:t>
      </w:r>
      <w:r>
        <w:rPr>
          <w:rtl/>
        </w:rPr>
        <w:t xml:space="preserve"> מבטל ת"ת להוצאת המת ולהכנסת כלה</w:t>
      </w:r>
      <w:r>
        <w:rPr>
          <w:rFonts w:hint="cs"/>
          <w:rtl/>
        </w:rPr>
        <w:t>' -</w:t>
      </w:r>
      <w:r>
        <w:rPr>
          <w:rtl/>
        </w:rPr>
        <w:t xml:space="preserve"> אלמא</w:t>
      </w:r>
      <w:r>
        <w:rPr>
          <w:rFonts w:hint="cs"/>
          <w:rtl/>
        </w:rPr>
        <w:t>:</w:t>
      </w:r>
      <w:r>
        <w:rPr>
          <w:rtl/>
        </w:rPr>
        <w:t xml:space="preserve"> שאר רבנן לא מבטלי, ד</w:t>
      </w:r>
      <w:r>
        <w:rPr>
          <w:rFonts w:hint="cs"/>
          <w:rtl/>
        </w:rPr>
        <w:t>ְ</w:t>
      </w:r>
      <w:r>
        <w:rPr>
          <w:rtl/>
        </w:rPr>
        <w:t>רשו</w:t>
      </w:r>
      <w:r>
        <w:rPr>
          <w:rFonts w:hint="cs"/>
          <w:rtl/>
        </w:rPr>
        <w:t>ּ</w:t>
      </w:r>
      <w:r>
        <w:rPr>
          <w:rtl/>
        </w:rPr>
        <w:t>ת קתני</w:t>
      </w:r>
      <w:r>
        <w:rPr>
          <w:rFonts w:hint="cs"/>
          <w:rtl/>
        </w:rPr>
        <w:t>!" (</w:t>
      </w:r>
      <w:r>
        <w:rPr>
          <w:rFonts w:hint="cs"/>
          <w:sz w:val="18"/>
          <w:szCs w:val="20"/>
          <w:rtl/>
        </w:rPr>
        <w:t>כתבי הרמב"ן, עמ' קד</w:t>
      </w:r>
      <w:r>
        <w:rPr>
          <w:rFonts w:hint="cs"/>
          <w:rtl/>
        </w:rPr>
        <w:t xml:space="preserve">). </w:t>
      </w:r>
    </w:p>
    <w:p w14:paraId="22E00B59" w14:textId="77777777" w:rsidR="00273399" w:rsidRDefault="00273399" w:rsidP="00273399">
      <w:pPr>
        <w:ind w:firstLine="284"/>
        <w:rPr>
          <w:rFonts w:hint="cs"/>
          <w:rtl/>
        </w:rPr>
      </w:pPr>
      <w:r>
        <w:rPr>
          <w:rFonts w:hint="cs"/>
          <w:rtl/>
        </w:rPr>
        <w:t>וכך מסביר הרא"ש את הוכחתם (</w:t>
      </w:r>
      <w:r>
        <w:rPr>
          <w:sz w:val="18"/>
          <w:szCs w:val="20"/>
          <w:rtl/>
        </w:rPr>
        <w:t>כתובות</w:t>
      </w:r>
      <w:r>
        <w:rPr>
          <w:rFonts w:hint="cs"/>
          <w:sz w:val="18"/>
          <w:szCs w:val="20"/>
          <w:rtl/>
        </w:rPr>
        <w:t xml:space="preserve"> פ"ב </w:t>
      </w:r>
      <w:r>
        <w:rPr>
          <w:sz w:val="18"/>
          <w:szCs w:val="20"/>
          <w:rtl/>
        </w:rPr>
        <w:t>סימן ה</w:t>
      </w:r>
      <w:r>
        <w:rPr>
          <w:rFonts w:hint="cs"/>
          <w:sz w:val="18"/>
          <w:szCs w:val="20"/>
          <w:rtl/>
        </w:rPr>
        <w:t>'</w:t>
      </w:r>
      <w:r>
        <w:rPr>
          <w:rFonts w:hint="cs"/>
          <w:rtl/>
        </w:rPr>
        <w:t xml:space="preserve">): </w:t>
      </w:r>
    </w:p>
    <w:p w14:paraId="08200A89" w14:textId="77777777" w:rsidR="00273399" w:rsidRDefault="00273399" w:rsidP="00273399">
      <w:pPr>
        <w:pStyle w:val="a7"/>
        <w:rPr>
          <w:rFonts w:hint="cs"/>
          <w:rtl/>
        </w:rPr>
      </w:pPr>
      <w:r>
        <w:rPr>
          <w:rFonts w:hint="cs"/>
          <w:rtl/>
        </w:rPr>
        <w:t>"</w:t>
      </w:r>
      <w:r>
        <w:rPr>
          <w:rtl/>
        </w:rPr>
        <w:t>ואי כל אדם חייב לבטל ת"ת</w:t>
      </w:r>
      <w:r>
        <w:rPr>
          <w:rFonts w:hint="cs"/>
          <w:rtl/>
        </w:rPr>
        <w:t>,</w:t>
      </w:r>
      <w:r>
        <w:rPr>
          <w:rtl/>
        </w:rPr>
        <w:t xml:space="preserve"> מאי רבותיה דר' יהודה בן אלעאי</w:t>
      </w:r>
      <w:r>
        <w:rPr>
          <w:rFonts w:hint="cs"/>
          <w:rtl/>
        </w:rPr>
        <w:t>?!</w:t>
      </w:r>
      <w:r>
        <w:rPr>
          <w:rStyle w:val="a4"/>
          <w:rtl/>
        </w:rPr>
        <w:footnoteReference w:id="257"/>
      </w:r>
      <w:r>
        <w:rPr>
          <w:rFonts w:hint="cs"/>
          <w:rtl/>
        </w:rPr>
        <w:t xml:space="preserve"> </w:t>
      </w:r>
      <w:r>
        <w:rPr>
          <w:rtl/>
        </w:rPr>
        <w:t>אלא ודאי כל אדם רשאי</w:t>
      </w:r>
      <w:r>
        <w:rPr>
          <w:rFonts w:hint="cs"/>
          <w:rtl/>
        </w:rPr>
        <w:t>,</w:t>
      </w:r>
      <w:r>
        <w:rPr>
          <w:rtl/>
        </w:rPr>
        <w:t xml:space="preserve"> ואמרו עליו על </w:t>
      </w:r>
      <w:r>
        <w:rPr>
          <w:rtl/>
        </w:rPr>
        <w:lastRenderedPageBreak/>
        <w:t>ר' יהודה בן אלעאי שהיה מנהיג עצמו כחיוב ומבטל תמיד</w:t>
      </w:r>
      <w:r>
        <w:rPr>
          <w:rFonts w:hint="cs"/>
          <w:rtl/>
        </w:rPr>
        <w:t xml:space="preserve">". </w:t>
      </w:r>
    </w:p>
    <w:p w14:paraId="5040DBE5" w14:textId="77777777" w:rsidR="00273399" w:rsidRDefault="00273399" w:rsidP="00273399">
      <w:pPr>
        <w:ind w:firstLine="284"/>
        <w:rPr>
          <w:rFonts w:hint="cs"/>
          <w:rtl/>
        </w:rPr>
      </w:pPr>
      <w:r>
        <w:rPr>
          <w:rFonts w:hint="cs"/>
          <w:rtl/>
        </w:rPr>
        <w:t>אך, פירוש זה נדחה ע"י הפוסקים</w:t>
      </w:r>
      <w:r>
        <w:rPr>
          <w:rStyle w:val="a4"/>
          <w:rtl/>
        </w:rPr>
        <w:footnoteReference w:id="258"/>
      </w:r>
      <w:r>
        <w:rPr>
          <w:rFonts w:hint="cs"/>
          <w:rtl/>
        </w:rPr>
        <w:t>, וזו לשון הרמב"ן שם: "</w:t>
      </w:r>
      <w:r>
        <w:rPr>
          <w:rtl/>
        </w:rPr>
        <w:t>ואין דעתנו מ</w:t>
      </w:r>
      <w:r>
        <w:rPr>
          <w:rFonts w:hint="cs"/>
          <w:rtl/>
        </w:rPr>
        <w:t>ַ</w:t>
      </w:r>
      <w:r>
        <w:rPr>
          <w:rtl/>
        </w:rPr>
        <w:t>סכ</w:t>
      </w:r>
      <w:r>
        <w:rPr>
          <w:rFonts w:hint="cs"/>
          <w:rtl/>
        </w:rPr>
        <w:t>ֶּ</w:t>
      </w:r>
      <w:r>
        <w:rPr>
          <w:rtl/>
        </w:rPr>
        <w:t>מת לפי</w:t>
      </w:r>
      <w:r>
        <w:rPr>
          <w:rFonts w:hint="cs"/>
          <w:rtl/>
        </w:rPr>
        <w:t>רוש</w:t>
      </w:r>
      <w:r>
        <w:rPr>
          <w:rtl/>
        </w:rPr>
        <w:t xml:space="preserve"> הזה ולסברא הזאת, אלא </w:t>
      </w:r>
      <w:r>
        <w:rPr>
          <w:rFonts w:hint="cs"/>
          <w:rtl/>
        </w:rPr>
        <w:t>'</w:t>
      </w:r>
      <w:r>
        <w:rPr>
          <w:rtl/>
        </w:rPr>
        <w:t>מבטלין ת"ת להוצאת המת</w:t>
      </w:r>
      <w:r>
        <w:rPr>
          <w:rFonts w:hint="cs"/>
          <w:rtl/>
        </w:rPr>
        <w:t>'</w:t>
      </w:r>
      <w:r>
        <w:rPr>
          <w:rtl/>
        </w:rPr>
        <w:t xml:space="preserve"> </w:t>
      </w:r>
      <w:r>
        <w:rPr>
          <w:rFonts w:hint="cs"/>
          <w:rtl/>
        </w:rPr>
        <w:t xml:space="preserve">- </w:t>
      </w:r>
      <w:r>
        <w:rPr>
          <w:rtl/>
        </w:rPr>
        <w:t>חובה קתני, לומר דהוצאת המת קודמת</w:t>
      </w:r>
      <w:r>
        <w:rPr>
          <w:rFonts w:hint="cs"/>
          <w:rtl/>
        </w:rPr>
        <w:t>"</w:t>
      </w:r>
      <w:r>
        <w:rPr>
          <w:rtl/>
        </w:rPr>
        <w:t>.</w:t>
      </w:r>
      <w:r>
        <w:rPr>
          <w:rFonts w:hint="cs"/>
          <w:rtl/>
        </w:rPr>
        <w:t xml:space="preserve"> על הדיוק שרק </w:t>
      </w:r>
      <w:r>
        <w:rPr>
          <w:rtl/>
        </w:rPr>
        <w:t xml:space="preserve">רבי יהודה </w:t>
      </w:r>
      <w:r>
        <w:rPr>
          <w:rFonts w:hint="cs"/>
          <w:rtl/>
        </w:rPr>
        <w:t xml:space="preserve">נהג כן, כתב </w:t>
      </w:r>
      <w:r>
        <w:rPr>
          <w:rtl/>
        </w:rPr>
        <w:t xml:space="preserve">הרמב"ן </w:t>
      </w:r>
      <w:r>
        <w:rPr>
          <w:rFonts w:hint="cs"/>
          <w:rtl/>
        </w:rPr>
        <w:t>ב</w:t>
      </w:r>
      <w:r>
        <w:rPr>
          <w:rtl/>
        </w:rPr>
        <w:t>חידושי</w:t>
      </w:r>
      <w:r>
        <w:rPr>
          <w:rFonts w:hint="cs"/>
          <w:rtl/>
        </w:rPr>
        <w:t>ו ל</w:t>
      </w:r>
      <w:r>
        <w:rPr>
          <w:rtl/>
        </w:rPr>
        <w:t>כתובות</w:t>
      </w:r>
      <w:r>
        <w:rPr>
          <w:rFonts w:hint="cs"/>
          <w:rtl/>
        </w:rPr>
        <w:t>: "</w:t>
      </w:r>
      <w:r>
        <w:rPr>
          <w:rtl/>
        </w:rPr>
        <w:t>ואינו נכון</w:t>
      </w:r>
      <w:r>
        <w:rPr>
          <w:rFonts w:hint="cs"/>
          <w:rtl/>
        </w:rPr>
        <w:t>,</w:t>
      </w:r>
      <w:r>
        <w:rPr>
          <w:rtl/>
        </w:rPr>
        <w:t xml:space="preserve"> אלא מעשה שראו לרבי יהודה בר' אלעאי</w:t>
      </w:r>
      <w:r>
        <w:rPr>
          <w:rFonts w:hint="cs"/>
          <w:rtl/>
        </w:rPr>
        <w:t>,</w:t>
      </w:r>
      <w:r>
        <w:rPr>
          <w:rtl/>
        </w:rPr>
        <w:t xml:space="preserve"> הביאו ראיה שמבטלין</w:t>
      </w:r>
      <w:r>
        <w:rPr>
          <w:rFonts w:hint="cs"/>
          <w:rtl/>
        </w:rPr>
        <w:t>"</w:t>
      </w:r>
      <w:r>
        <w:rPr>
          <w:rtl/>
        </w:rPr>
        <w:t xml:space="preserve">. </w:t>
      </w:r>
      <w:r>
        <w:rPr>
          <w:rFonts w:hint="cs"/>
          <w:rtl/>
        </w:rPr>
        <w:t xml:space="preserve">כלומר, אין חידוש מיוחד במעשה זה, והיה ניתן לספר כך על כל אחד, אלא הואיל והיה ידוע מנהגו של </w:t>
      </w:r>
      <w:r>
        <w:rPr>
          <w:rtl/>
        </w:rPr>
        <w:t xml:space="preserve">רבי יהודה </w:t>
      </w:r>
      <w:r>
        <w:rPr>
          <w:rFonts w:hint="cs"/>
          <w:rtl/>
        </w:rPr>
        <w:t xml:space="preserve">בזה, צֵרפו עדות זו לחיזוק הלכה זו. </w:t>
      </w:r>
    </w:p>
    <w:p w14:paraId="6340CDE2" w14:textId="77777777" w:rsidR="00273399" w:rsidRDefault="00273399" w:rsidP="00273399">
      <w:pPr>
        <w:ind w:firstLine="284"/>
        <w:rPr>
          <w:rFonts w:hint="cs"/>
          <w:rtl/>
        </w:rPr>
      </w:pPr>
      <w:r>
        <w:rPr>
          <w:rFonts w:hint="cs"/>
          <w:rtl/>
        </w:rPr>
        <w:t xml:space="preserve">מפרשים אחרים כותבים שיש חידוש במעשה זה, אך אין החידוש בעצם מעשה זה, שכּן כך מצופה מכל אדם, אלא החידוש הוא שהנהגה זו מסופרת על </w:t>
      </w:r>
      <w:r>
        <w:rPr>
          <w:rtl/>
        </w:rPr>
        <w:t>רבי יהודה</w:t>
      </w:r>
      <w:r>
        <w:rPr>
          <w:rFonts w:hint="cs"/>
          <w:rtl/>
        </w:rPr>
        <w:t>, שהיה ידוע בשקידתו בתורה, ולמרות זאת גם הוא ציית להלכה זו המחייבת לבטל תורה למצוות אלו, "ואי לאו דחובה הוא, לא היה מבטל מאחר שתורתו</w:t>
      </w:r>
      <w:r>
        <w:rPr>
          <w:b/>
          <w:bCs/>
          <w:rtl/>
        </w:rPr>
        <w:t xml:space="preserve"> </w:t>
      </w:r>
      <w:r>
        <w:rPr>
          <w:rtl/>
        </w:rPr>
        <w:t>אומנתו</w:t>
      </w:r>
      <w:r>
        <w:rPr>
          <w:rFonts w:hint="cs"/>
          <w:rtl/>
        </w:rPr>
        <w:t>" (</w:t>
      </w:r>
      <w:r>
        <w:rPr>
          <w:rFonts w:hint="cs"/>
          <w:sz w:val="18"/>
          <w:szCs w:val="20"/>
          <w:rtl/>
        </w:rPr>
        <w:t>מהרש"ל, ים של שלמה, כתובות פ"ב סימן ה'</w:t>
      </w:r>
      <w:r>
        <w:rPr>
          <w:rFonts w:hint="cs"/>
          <w:rtl/>
        </w:rPr>
        <w:t>). כך כותב הריטב"א</w:t>
      </w:r>
      <w:r>
        <w:rPr>
          <w:rStyle w:val="a4"/>
          <w:rtl/>
        </w:rPr>
        <w:footnoteReference w:id="259"/>
      </w:r>
      <w:r>
        <w:rPr>
          <w:rFonts w:hint="cs"/>
          <w:rtl/>
        </w:rPr>
        <w:t>: "</w:t>
      </w:r>
      <w:r>
        <w:rPr>
          <w:rtl/>
        </w:rPr>
        <w:t>ומה שאמרו על רבי יהודה בר אלעאי</w:t>
      </w:r>
      <w:r>
        <w:rPr>
          <w:rFonts w:hint="cs"/>
          <w:rtl/>
        </w:rPr>
        <w:t>,</w:t>
      </w:r>
      <w:r>
        <w:rPr>
          <w:rtl/>
        </w:rPr>
        <w:t xml:space="preserve"> לאו למימרא דשאר רבנן לא מבטלו, אלא באו לומר שהדבר חובה לכל חכם ואפי</w:t>
      </w:r>
      <w:r>
        <w:rPr>
          <w:rFonts w:hint="cs"/>
          <w:rtl/>
        </w:rPr>
        <w:t>לו</w:t>
      </w:r>
      <w:r>
        <w:rPr>
          <w:rtl/>
        </w:rPr>
        <w:t xml:space="preserve"> למי </w:t>
      </w:r>
      <w:r>
        <w:rPr>
          <w:b/>
          <w:bCs/>
          <w:rtl/>
        </w:rPr>
        <w:t>שתורתו אומנותו</w:t>
      </w:r>
      <w:r>
        <w:rPr>
          <w:rtl/>
        </w:rPr>
        <w:t xml:space="preserve"> כר' יהודה בר אלעאי</w:t>
      </w:r>
      <w:r>
        <w:rPr>
          <w:rFonts w:hint="cs"/>
          <w:rtl/>
        </w:rPr>
        <w:t>", ובדומה לכך כתב הרא"ש</w:t>
      </w:r>
      <w:r>
        <w:rPr>
          <w:rStyle w:val="a4"/>
          <w:rtl/>
        </w:rPr>
        <w:footnoteReference w:id="260"/>
      </w:r>
      <w:r>
        <w:rPr>
          <w:rFonts w:hint="cs"/>
          <w:rtl/>
        </w:rPr>
        <w:t>: "</w:t>
      </w:r>
      <w:r>
        <w:rPr>
          <w:rtl/>
        </w:rPr>
        <w:t xml:space="preserve">וההיא דר' יהודה </w:t>
      </w:r>
      <w:r>
        <w:rPr>
          <w:rFonts w:hint="cs"/>
          <w:rtl/>
        </w:rPr>
        <w:t>[ד]</w:t>
      </w:r>
      <w:r>
        <w:rPr>
          <w:rtl/>
        </w:rPr>
        <w:t>מייתי סייעתא מיניה</w:t>
      </w:r>
      <w:r>
        <w:rPr>
          <w:rFonts w:hint="cs"/>
          <w:rtl/>
        </w:rPr>
        <w:t>,</w:t>
      </w:r>
      <w:r>
        <w:rPr>
          <w:rtl/>
        </w:rPr>
        <w:t xml:space="preserve"> אע"פ שהיתה </w:t>
      </w:r>
      <w:r>
        <w:rPr>
          <w:b/>
          <w:bCs/>
          <w:rtl/>
        </w:rPr>
        <w:t>תורתו אומנתו ולא היה לו עסק אחר אלא ת</w:t>
      </w:r>
      <w:r>
        <w:rPr>
          <w:rFonts w:hint="cs"/>
          <w:b/>
          <w:bCs/>
          <w:rtl/>
        </w:rPr>
        <w:t xml:space="preserve">למוד </w:t>
      </w:r>
      <w:r>
        <w:rPr>
          <w:b/>
          <w:bCs/>
          <w:rtl/>
        </w:rPr>
        <w:t>ת</w:t>
      </w:r>
      <w:r>
        <w:rPr>
          <w:rFonts w:hint="cs"/>
          <w:b/>
          <w:bCs/>
          <w:rtl/>
        </w:rPr>
        <w:t>ורה</w:t>
      </w:r>
      <w:r>
        <w:rPr>
          <w:b/>
          <w:bCs/>
          <w:rtl/>
        </w:rPr>
        <w:t xml:space="preserve"> </w:t>
      </w:r>
      <w:r>
        <w:rPr>
          <w:rtl/>
        </w:rPr>
        <w:t>היה מבטל</w:t>
      </w:r>
      <w:r>
        <w:rPr>
          <w:rFonts w:hint="cs"/>
          <w:rtl/>
        </w:rPr>
        <w:t>,</w:t>
      </w:r>
      <w:r>
        <w:rPr>
          <w:rtl/>
        </w:rPr>
        <w:t xml:space="preserve"> וכ</w:t>
      </w:r>
      <w:r>
        <w:rPr>
          <w:rFonts w:hint="cs"/>
          <w:rtl/>
        </w:rPr>
        <w:t xml:space="preserve">ל </w:t>
      </w:r>
      <w:r>
        <w:rPr>
          <w:rtl/>
        </w:rPr>
        <w:lastRenderedPageBreak/>
        <w:t>ש</w:t>
      </w:r>
      <w:r>
        <w:rPr>
          <w:rFonts w:hint="cs"/>
          <w:rtl/>
        </w:rPr>
        <w:t>כן</w:t>
      </w:r>
      <w:r>
        <w:rPr>
          <w:rtl/>
        </w:rPr>
        <w:t xml:space="preserve"> שאר העם</w:t>
      </w:r>
      <w:r>
        <w:rPr>
          <w:rFonts w:hint="cs"/>
          <w:rtl/>
        </w:rPr>
        <w:t>" (כלומר, שאר העם שאין עסקם בתורה, בוודאי חייבים לבטל תורה ל</w:t>
      </w:r>
      <w:r>
        <w:rPr>
          <w:rtl/>
        </w:rPr>
        <w:t>הוצאת המת</w:t>
      </w:r>
      <w:r>
        <w:rPr>
          <w:rFonts w:hint="cs"/>
          <w:rtl/>
        </w:rPr>
        <w:t>).</w:t>
      </w:r>
      <w:r>
        <w:rPr>
          <w:rtl/>
        </w:rPr>
        <w:t xml:space="preserve"> </w:t>
      </w:r>
    </w:p>
    <w:p w14:paraId="4827544E" w14:textId="77777777" w:rsidR="00273399" w:rsidRDefault="00273399" w:rsidP="00273399">
      <w:pPr>
        <w:ind w:firstLine="284"/>
        <w:rPr>
          <w:rFonts w:hint="cs"/>
          <w:sz w:val="26"/>
          <w:rtl/>
        </w:rPr>
      </w:pPr>
      <w:r>
        <w:rPr>
          <w:rFonts w:hint="cs"/>
          <w:rtl/>
        </w:rPr>
        <w:t>מלשון זו של הרא"ש משמע שהגדרת "תורתו אומנותו" לענין זה היא "</w:t>
      </w:r>
      <w:r>
        <w:rPr>
          <w:rFonts w:hint="cs"/>
          <w:sz w:val="26"/>
          <w:rtl/>
        </w:rPr>
        <w:t xml:space="preserve">כגון </w:t>
      </w:r>
      <w:r>
        <w:rPr>
          <w:rFonts w:hint="cs"/>
          <w:rtl/>
        </w:rPr>
        <w:t xml:space="preserve">רשב"י </w:t>
      </w:r>
      <w:r>
        <w:rPr>
          <w:rFonts w:hint="cs"/>
          <w:sz w:val="26"/>
          <w:rtl/>
        </w:rPr>
        <w:t xml:space="preserve">וחביריו", </w:t>
      </w:r>
      <w:r>
        <w:rPr>
          <w:rFonts w:hint="cs"/>
          <w:rtl/>
        </w:rPr>
        <w:t xml:space="preserve">כדרך </w:t>
      </w:r>
      <w:r>
        <w:rPr>
          <w:rFonts w:hint="cs"/>
          <w:sz w:val="14"/>
          <w:rtl/>
        </w:rPr>
        <w:t>א' הנ"ל (</w:t>
      </w:r>
      <w:r>
        <w:rPr>
          <w:rFonts w:hint="cs"/>
          <w:sz w:val="18"/>
          <w:szCs w:val="20"/>
          <w:rtl/>
        </w:rPr>
        <w:t>כלשון ה</w:t>
      </w:r>
      <w:r>
        <w:rPr>
          <w:sz w:val="18"/>
          <w:szCs w:val="20"/>
          <w:rtl/>
        </w:rPr>
        <w:t xml:space="preserve">רמב"ם </w:t>
      </w:r>
      <w:r>
        <w:rPr>
          <w:rFonts w:hint="cs"/>
          <w:sz w:val="18"/>
          <w:szCs w:val="20"/>
          <w:rtl/>
        </w:rPr>
        <w:t>ורש"י ו</w:t>
      </w:r>
      <w:r>
        <w:rPr>
          <w:sz w:val="18"/>
          <w:szCs w:val="20"/>
          <w:rtl/>
        </w:rPr>
        <w:t>עָר</w:t>
      </w:r>
      <w:r>
        <w:rPr>
          <w:rFonts w:hint="cs"/>
          <w:sz w:val="18"/>
          <w:szCs w:val="20"/>
          <w:rtl/>
        </w:rPr>
        <w:t>ו</w:t>
      </w:r>
      <w:r>
        <w:rPr>
          <w:sz w:val="18"/>
          <w:szCs w:val="20"/>
          <w:rtl/>
        </w:rPr>
        <w:t>ֹךְ הַשֻּׁלְחָן</w:t>
      </w:r>
      <w:r>
        <w:rPr>
          <w:rFonts w:hint="cs"/>
          <w:rtl/>
        </w:rPr>
        <w:t>), וא"כ, צ"ע מנין לרא"ש ש</w:t>
      </w:r>
      <w:r>
        <w:rPr>
          <w:rFonts w:hint="cs"/>
          <w:sz w:val="26"/>
          <w:rtl/>
        </w:rPr>
        <w:t xml:space="preserve">רבי יהודה </w:t>
      </w:r>
      <w:r>
        <w:rPr>
          <w:rtl/>
        </w:rPr>
        <w:t>תורתו אומנ</w:t>
      </w:r>
      <w:r>
        <w:rPr>
          <w:rFonts w:hint="cs"/>
          <w:rtl/>
        </w:rPr>
        <w:t>ו</w:t>
      </w:r>
      <w:r>
        <w:rPr>
          <w:rtl/>
        </w:rPr>
        <w:t>תו</w:t>
      </w:r>
      <w:r>
        <w:rPr>
          <w:rFonts w:hint="cs"/>
          <w:rtl/>
        </w:rPr>
        <w:t xml:space="preserve">. אמנם, דורו של </w:t>
      </w:r>
      <w:r>
        <w:rPr>
          <w:rFonts w:hint="cs"/>
          <w:sz w:val="26"/>
          <w:rtl/>
        </w:rPr>
        <w:t xml:space="preserve">רבי יהודה </w:t>
      </w:r>
      <w:r>
        <w:rPr>
          <w:rFonts w:hint="cs"/>
          <w:rtl/>
        </w:rPr>
        <w:t>צויין לשבח על עיסוקם בתורה מתוך עניות גדולה מאוד</w:t>
      </w:r>
      <w:r>
        <w:rPr>
          <w:rStyle w:val="a4"/>
          <w:rtl/>
        </w:rPr>
        <w:footnoteReference w:id="261"/>
      </w:r>
      <w:r>
        <w:rPr>
          <w:rFonts w:hint="cs"/>
          <w:rtl/>
        </w:rPr>
        <w:t>, אך צ"ע מנין לרא"ש שר' יהודה "</w:t>
      </w:r>
      <w:r>
        <w:rPr>
          <w:rtl/>
        </w:rPr>
        <w:t>לא היה לו עסק אחר אלא ת</w:t>
      </w:r>
      <w:r>
        <w:rPr>
          <w:rFonts w:hint="cs"/>
          <w:rtl/>
        </w:rPr>
        <w:t xml:space="preserve">למוד </w:t>
      </w:r>
      <w:r>
        <w:rPr>
          <w:rtl/>
        </w:rPr>
        <w:t>ת</w:t>
      </w:r>
      <w:r>
        <w:rPr>
          <w:rFonts w:hint="cs"/>
          <w:rtl/>
        </w:rPr>
        <w:t xml:space="preserve">ורה"? </w:t>
      </w:r>
    </w:p>
    <w:p w14:paraId="27DA222F" w14:textId="77777777" w:rsidR="00273399" w:rsidRDefault="00273399" w:rsidP="00273399">
      <w:pPr>
        <w:ind w:firstLine="284"/>
        <w:rPr>
          <w:rFonts w:hint="cs"/>
          <w:rtl/>
        </w:rPr>
      </w:pPr>
      <w:r>
        <w:rPr>
          <w:rFonts w:hint="cs"/>
          <w:sz w:val="26"/>
          <w:rtl/>
        </w:rPr>
        <w:lastRenderedPageBreak/>
        <w:t>עכ"פ, יתכן כי האחרונים שאמרו על רבי יהודה ש</w:t>
      </w:r>
      <w:r>
        <w:rPr>
          <w:rtl/>
        </w:rPr>
        <w:t xml:space="preserve">תורתו אומנתו </w:t>
      </w:r>
      <w:r>
        <w:rPr>
          <w:rFonts w:hint="cs"/>
          <w:rtl/>
        </w:rPr>
        <w:t xml:space="preserve">בענין רחיצה לכבוד שבת, </w:t>
      </w:r>
      <w:r>
        <w:rPr>
          <w:rFonts w:hint="cs"/>
          <w:sz w:val="26"/>
          <w:rtl/>
        </w:rPr>
        <w:t>לא התכוונו אלא ל</w:t>
      </w:r>
      <w:r>
        <w:rPr>
          <w:rFonts w:hint="cs"/>
          <w:rtl/>
        </w:rPr>
        <w:t>"</w:t>
      </w:r>
      <w:r>
        <w:rPr>
          <w:rtl/>
        </w:rPr>
        <w:t>תורתו אומנתו</w:t>
      </w:r>
      <w:r>
        <w:rPr>
          <w:rFonts w:hint="cs"/>
          <w:rtl/>
        </w:rPr>
        <w:t xml:space="preserve"> סתם", דהיינו מי שעיקר עיסוקו בתורה. המהרש"ל, (</w:t>
      </w:r>
      <w:r>
        <w:rPr>
          <w:rFonts w:hint="cs"/>
          <w:sz w:val="18"/>
          <w:szCs w:val="20"/>
          <w:rtl/>
        </w:rPr>
        <w:t>יש"ש שם סימן ו'</w:t>
      </w:r>
      <w:r>
        <w:rPr>
          <w:rFonts w:hint="cs"/>
          <w:rtl/>
        </w:rPr>
        <w:t>) מסיק כי "כל מידי דאית ביה מצוה, אם אין שם מי שיעשה, (ד)ראוי לבטל תלמוד תורה ממנה... ובפרט האידנא שיש בעוונותינו הרבים כמה עוֹנות בשנה שמבטלים מתלמוד תורה בלאו מצוה, דאין נמצא האידנא שיעסוק בתורה כל ימיו בלי בִטול זמן"</w:t>
      </w:r>
      <w:r>
        <w:rPr>
          <w:rStyle w:val="a4"/>
          <w:rtl/>
        </w:rPr>
        <w:footnoteReference w:id="262"/>
      </w:r>
      <w:r>
        <w:rPr>
          <w:rFonts w:hint="cs"/>
          <w:rtl/>
        </w:rPr>
        <w:t>.</w:t>
      </w:r>
    </w:p>
    <w:p w14:paraId="765E237D" w14:textId="77777777" w:rsidR="00273399" w:rsidRDefault="00273399" w:rsidP="00273399">
      <w:pPr>
        <w:pStyle w:val="4"/>
        <w:rPr>
          <w:rFonts w:hint="cs"/>
          <w:rtl/>
        </w:rPr>
      </w:pPr>
      <w:bookmarkStart w:id="13" w:name="_Toc266380650"/>
      <w:r>
        <w:rPr>
          <w:rFonts w:hint="cs"/>
          <w:rtl/>
        </w:rPr>
        <w:t>ה. ביטול תורה עבור תפילה בציבור</w:t>
      </w:r>
      <w:bookmarkEnd w:id="13"/>
    </w:p>
    <w:p w14:paraId="14845804" w14:textId="77777777" w:rsidR="00273399" w:rsidRDefault="00273399" w:rsidP="00273399">
      <w:pPr>
        <w:ind w:firstLine="284"/>
        <w:rPr>
          <w:rFonts w:hint="cs"/>
          <w:rtl/>
        </w:rPr>
      </w:pPr>
      <w:r>
        <w:rPr>
          <w:rFonts w:hint="cs"/>
          <w:rtl/>
        </w:rPr>
        <w:t>להלן לקט מדברי ראשונים ואחרונים בנושא היחס בין מעלת התפילה במנין מחד, ולימוד תורה מאידך, ובפרט למי ש"תורתו אומנותו":</w:t>
      </w:r>
    </w:p>
    <w:p w14:paraId="3431509E" w14:textId="77777777" w:rsidR="00273399" w:rsidRDefault="00273399" w:rsidP="00273399">
      <w:pPr>
        <w:ind w:firstLine="284"/>
        <w:rPr>
          <w:rFonts w:hint="cs"/>
          <w:rtl/>
        </w:rPr>
      </w:pPr>
      <w:r>
        <w:rPr>
          <w:rFonts w:hint="cs"/>
          <w:rtl/>
        </w:rPr>
        <w:t xml:space="preserve">1) תלמידי רבנו </w:t>
      </w:r>
      <w:r>
        <w:rPr>
          <w:rtl/>
        </w:rPr>
        <w:t>יונה</w:t>
      </w:r>
      <w:r>
        <w:rPr>
          <w:rFonts w:hint="cs"/>
          <w:rtl/>
        </w:rPr>
        <w:t xml:space="preserve"> (</w:t>
      </w:r>
      <w:r>
        <w:rPr>
          <w:rFonts w:hint="cs"/>
          <w:sz w:val="18"/>
          <w:szCs w:val="20"/>
          <w:rtl/>
        </w:rPr>
        <w:t>ברכות ד, א בדפי האלפס ד"ה אלא ביני</w:t>
      </w:r>
      <w:r>
        <w:rPr>
          <w:rFonts w:hint="cs"/>
          <w:rtl/>
        </w:rPr>
        <w:t xml:space="preserve">): </w:t>
      </w:r>
    </w:p>
    <w:p w14:paraId="62EE9BF5" w14:textId="77777777" w:rsidR="00273399" w:rsidRDefault="00273399" w:rsidP="00273399">
      <w:pPr>
        <w:pStyle w:val="a7"/>
        <w:rPr>
          <w:rFonts w:hint="cs"/>
          <w:rtl/>
        </w:rPr>
      </w:pPr>
      <w:r>
        <w:rPr>
          <w:rFonts w:hint="cs"/>
          <w:rtl/>
        </w:rPr>
        <w:t xml:space="preserve">"ואומר מורי הרב נר"ו, </w:t>
      </w:r>
      <w:r>
        <w:rPr>
          <w:rtl/>
        </w:rPr>
        <w:t>שאפילו לדעת הרמב"ם אין צריך עשרה אלא למי שדרכו ללכת מביתו ללמוד למקום אחר</w:t>
      </w:r>
      <w:r>
        <w:rPr>
          <w:rFonts w:hint="cs"/>
          <w:rtl/>
        </w:rPr>
        <w:t>,</w:t>
      </w:r>
      <w:r>
        <w:rPr>
          <w:rtl/>
        </w:rPr>
        <w:t xml:space="preserve"> דכיון שדרכו להתבטל מלימודו בשעה שהולך ללמוד יש לו להתפלל בעשרה או ללכת לבית </w:t>
      </w:r>
      <w:r>
        <w:rPr>
          <w:rtl/>
        </w:rPr>
        <w:lastRenderedPageBreak/>
        <w:t>הכנסת</w:t>
      </w:r>
      <w:r>
        <w:rPr>
          <w:rFonts w:hint="cs"/>
          <w:rtl/>
        </w:rPr>
        <w:t>,</w:t>
      </w:r>
      <w:r>
        <w:rPr>
          <w:rtl/>
        </w:rPr>
        <w:t xml:space="preserve"> אבל מי שלומד בביתו כל היום במקום קבוע ו</w:t>
      </w:r>
      <w:r>
        <w:rPr>
          <w:b/>
          <w:bCs/>
          <w:rtl/>
        </w:rPr>
        <w:t xml:space="preserve">תורתו אומנתו </w:t>
      </w:r>
      <w:r>
        <w:rPr>
          <w:rFonts w:hint="cs"/>
          <w:rtl/>
        </w:rPr>
        <w:t xml:space="preserve">- </w:t>
      </w:r>
      <w:r>
        <w:rPr>
          <w:rtl/>
        </w:rPr>
        <w:t xml:space="preserve">אין לו ללכת לבית הכנסת </w:t>
      </w:r>
      <w:r>
        <w:rPr>
          <w:rFonts w:hint="cs"/>
          <w:rtl/>
        </w:rPr>
        <w:t>[אף</w:t>
      </w:r>
      <w:r>
        <w:rPr>
          <w:rFonts w:hint="cs"/>
          <w:sz w:val="18"/>
          <w:szCs w:val="20"/>
          <w:rtl/>
        </w:rPr>
        <w:t>; הגהת הב"ח</w:t>
      </w:r>
      <w:r>
        <w:rPr>
          <w:rFonts w:hint="cs"/>
          <w:rtl/>
        </w:rPr>
        <w:t xml:space="preserve">] </w:t>
      </w:r>
      <w:r>
        <w:rPr>
          <w:rtl/>
        </w:rPr>
        <w:t>אם לא ימצא עשרה מפני שנמצא מתבטל מלימודו בשעת הל</w:t>
      </w:r>
      <w:r>
        <w:rPr>
          <w:rFonts w:hint="cs"/>
          <w:rtl/>
        </w:rPr>
        <w:t>י</w:t>
      </w:r>
      <w:r>
        <w:rPr>
          <w:rtl/>
        </w:rPr>
        <w:t>כ</w:t>
      </w:r>
      <w:r>
        <w:rPr>
          <w:rFonts w:hint="cs"/>
          <w:rtl/>
        </w:rPr>
        <w:t>ה</w:t>
      </w:r>
      <w:r>
        <w:rPr>
          <w:rtl/>
        </w:rPr>
        <w:t xml:space="preserve"> וטוב לו שיתפלל </w:t>
      </w:r>
      <w:r>
        <w:rPr>
          <w:rFonts w:hint="cs"/>
          <w:rtl/>
        </w:rPr>
        <w:t>ב</w:t>
      </w:r>
      <w:r>
        <w:rPr>
          <w:rtl/>
        </w:rPr>
        <w:t>יחיד משיתבטל כלל</w:t>
      </w:r>
      <w:r>
        <w:rPr>
          <w:rFonts w:hint="cs"/>
          <w:rtl/>
        </w:rPr>
        <w:t>. תדע, שהרי תפלה עצמה היו מבטלין גדולי החכמים מפני הלימוד</w:t>
      </w:r>
      <w:r>
        <w:rPr>
          <w:rtl/>
        </w:rPr>
        <w:t xml:space="preserve"> </w:t>
      </w:r>
      <w:r>
        <w:rPr>
          <w:rFonts w:hint="cs"/>
          <w:rtl/>
        </w:rPr>
        <w:t>כמו שמצינו שרשב"י לא היה מתפלל אלא משנה לשנה</w:t>
      </w:r>
      <w:r>
        <w:rPr>
          <w:rtl/>
        </w:rPr>
        <w:t xml:space="preserve"> </w:t>
      </w:r>
      <w:r>
        <w:rPr>
          <w:rFonts w:hint="cs"/>
          <w:rtl/>
        </w:rPr>
        <w:t xml:space="preserve">ור' יהודה </w:t>
      </w:r>
      <w:r>
        <w:rPr>
          <w:rtl/>
        </w:rPr>
        <w:t xml:space="preserve">הנשיא </w:t>
      </w:r>
      <w:r>
        <w:rPr>
          <w:rFonts w:hint="cs"/>
          <w:rtl/>
        </w:rPr>
        <w:t>מחֹדש לחֹדש</w:t>
      </w:r>
      <w:r>
        <w:rPr>
          <w:rtl/>
        </w:rPr>
        <w:t xml:space="preserve"> </w:t>
      </w:r>
      <w:r>
        <w:rPr>
          <w:rFonts w:hint="cs"/>
          <w:rtl/>
        </w:rPr>
        <w:t>כדי שלא יתבטלו מתורתם...</w:t>
      </w:r>
    </w:p>
    <w:p w14:paraId="76E1E8AE" w14:textId="77777777" w:rsidR="00273399" w:rsidRDefault="00273399" w:rsidP="00273399">
      <w:pPr>
        <w:ind w:firstLine="284"/>
        <w:rPr>
          <w:rFonts w:hint="cs"/>
          <w:rtl/>
        </w:rPr>
      </w:pPr>
      <w:r>
        <w:rPr>
          <w:rFonts w:hint="cs"/>
          <w:rtl/>
        </w:rPr>
        <w:t xml:space="preserve">2) </w:t>
      </w:r>
      <w:r>
        <w:rPr>
          <w:rtl/>
        </w:rPr>
        <w:t xml:space="preserve">מגן אברהם </w:t>
      </w:r>
      <w:r>
        <w:rPr>
          <w:rFonts w:hint="cs"/>
          <w:rtl/>
        </w:rPr>
        <w:t>(</w:t>
      </w:r>
      <w:r>
        <w:rPr>
          <w:sz w:val="18"/>
          <w:szCs w:val="20"/>
          <w:rtl/>
        </w:rPr>
        <w:t>או</w:t>
      </w:r>
      <w:r>
        <w:rPr>
          <w:rFonts w:hint="cs"/>
          <w:sz w:val="18"/>
          <w:szCs w:val="20"/>
          <w:rtl/>
        </w:rPr>
        <w:t>"</w:t>
      </w:r>
      <w:r>
        <w:rPr>
          <w:sz w:val="18"/>
          <w:szCs w:val="20"/>
          <w:rtl/>
        </w:rPr>
        <w:t>ח סימן צ ס"ק לב</w:t>
      </w:r>
      <w:r>
        <w:rPr>
          <w:rFonts w:hint="cs"/>
          <w:rtl/>
        </w:rPr>
        <w:t xml:space="preserve">): </w:t>
      </w:r>
    </w:p>
    <w:p w14:paraId="53A863E1" w14:textId="77777777" w:rsidR="00273399" w:rsidRDefault="00273399" w:rsidP="00273399">
      <w:pPr>
        <w:pStyle w:val="a7"/>
        <w:rPr>
          <w:rFonts w:hint="cs"/>
          <w:rtl/>
        </w:rPr>
      </w:pPr>
      <w:r>
        <w:rPr>
          <w:rFonts w:hint="cs"/>
          <w:rtl/>
        </w:rPr>
        <w:t>"</w:t>
      </w:r>
      <w:r>
        <w:rPr>
          <w:rtl/>
        </w:rPr>
        <w:t>והוא שיתפלל ב</w:t>
      </w:r>
      <w:r>
        <w:rPr>
          <w:rFonts w:hint="cs"/>
          <w:rtl/>
        </w:rPr>
        <w:t xml:space="preserve">עשרה </w:t>
      </w:r>
      <w:r>
        <w:rPr>
          <w:rtl/>
        </w:rPr>
        <w:t>-  ואע"ג דבבית הכנסת איכא רוב עם הדרת מלך</w:t>
      </w:r>
      <w:r>
        <w:rPr>
          <w:rFonts w:hint="cs"/>
          <w:rtl/>
        </w:rPr>
        <w:t>,</w:t>
      </w:r>
      <w:r>
        <w:rPr>
          <w:rtl/>
        </w:rPr>
        <w:t xml:space="preserve"> מ</w:t>
      </w:r>
      <w:r>
        <w:rPr>
          <w:rFonts w:hint="cs"/>
          <w:rtl/>
        </w:rPr>
        <w:t xml:space="preserve">כל </w:t>
      </w:r>
      <w:r>
        <w:rPr>
          <w:rtl/>
        </w:rPr>
        <w:t>מ</w:t>
      </w:r>
      <w:r>
        <w:rPr>
          <w:rFonts w:hint="cs"/>
          <w:rtl/>
        </w:rPr>
        <w:t>קום</w:t>
      </w:r>
      <w:r>
        <w:rPr>
          <w:rtl/>
        </w:rPr>
        <w:t xml:space="preserve"> בב</w:t>
      </w:r>
      <w:r>
        <w:rPr>
          <w:rFonts w:hint="cs"/>
          <w:rtl/>
        </w:rPr>
        <w:t xml:space="preserve">ית </w:t>
      </w:r>
      <w:r>
        <w:rPr>
          <w:rtl/>
        </w:rPr>
        <w:t>המ</w:t>
      </w:r>
      <w:r>
        <w:rPr>
          <w:rFonts w:hint="cs"/>
          <w:rtl/>
        </w:rPr>
        <w:t>דרש</w:t>
      </w:r>
      <w:r>
        <w:rPr>
          <w:rtl/>
        </w:rPr>
        <w:t xml:space="preserve"> עדיף שאין לבטל למודו מפני התפל</w:t>
      </w:r>
      <w:r>
        <w:rPr>
          <w:rFonts w:hint="cs"/>
          <w:rtl/>
        </w:rPr>
        <w:t xml:space="preserve">ה </w:t>
      </w:r>
      <w:r>
        <w:rPr>
          <w:rtl/>
        </w:rPr>
        <w:t xml:space="preserve">דמצינו ר"י הנשיא שלא היה מתפלל אלא משנה לשנה כמ"ש </w:t>
      </w:r>
      <w:r>
        <w:rPr>
          <w:rFonts w:hint="cs"/>
          <w:rtl/>
        </w:rPr>
        <w:t xml:space="preserve">תלמידי רבנו </w:t>
      </w:r>
      <w:r>
        <w:rPr>
          <w:rtl/>
        </w:rPr>
        <w:t>יונה</w:t>
      </w:r>
      <w:r>
        <w:rPr>
          <w:rFonts w:hint="cs"/>
          <w:rtl/>
        </w:rPr>
        <w:t>.</w:t>
      </w:r>
      <w:r>
        <w:rPr>
          <w:rtl/>
        </w:rPr>
        <w:t xml:space="preserve"> וקשה דבסי' רצ"ח סי"ד אמרי' דמבטלים בית המדרש משום ברוב עם הדרת מלך וצ"ל דשאני התם שאינו אלא שעה מועטת לא חשו חכמים וכ"מ בתר"י פ' אלו דברים ע"ש</w:t>
      </w:r>
      <w:r>
        <w:rPr>
          <w:rFonts w:hint="cs"/>
          <w:rtl/>
        </w:rPr>
        <w:t>".</w:t>
      </w:r>
    </w:p>
    <w:p w14:paraId="7E0C9490" w14:textId="77777777" w:rsidR="00273399" w:rsidRDefault="00273399" w:rsidP="00273399">
      <w:pPr>
        <w:ind w:firstLine="284"/>
        <w:rPr>
          <w:rFonts w:hint="cs"/>
          <w:rtl/>
        </w:rPr>
      </w:pPr>
      <w:r>
        <w:rPr>
          <w:rFonts w:hint="cs"/>
          <w:rtl/>
        </w:rPr>
        <w:t>3) לשון הרא"ש המובאת ע"י בנו, רבינו יעקב בעל הטורים (</w:t>
      </w:r>
      <w:r>
        <w:rPr>
          <w:rFonts w:hint="cs"/>
          <w:sz w:val="18"/>
          <w:szCs w:val="20"/>
          <w:rtl/>
        </w:rPr>
        <w:t xml:space="preserve">טור </w:t>
      </w:r>
      <w:r>
        <w:rPr>
          <w:sz w:val="18"/>
          <w:szCs w:val="20"/>
          <w:rtl/>
        </w:rPr>
        <w:t>או</w:t>
      </w:r>
      <w:r>
        <w:rPr>
          <w:rFonts w:hint="cs"/>
          <w:sz w:val="18"/>
          <w:szCs w:val="20"/>
          <w:rtl/>
        </w:rPr>
        <w:t>"</w:t>
      </w:r>
      <w:r>
        <w:rPr>
          <w:sz w:val="18"/>
          <w:szCs w:val="20"/>
          <w:rtl/>
        </w:rPr>
        <w:t>ח סימן צ</w:t>
      </w:r>
      <w:r>
        <w:rPr>
          <w:rFonts w:hint="cs"/>
          <w:sz w:val="18"/>
          <w:szCs w:val="20"/>
          <w:rtl/>
        </w:rPr>
        <w:t>'</w:t>
      </w:r>
      <w:r>
        <w:rPr>
          <w:rFonts w:hint="cs"/>
          <w:rtl/>
        </w:rPr>
        <w:t xml:space="preserve">): </w:t>
      </w:r>
    </w:p>
    <w:p w14:paraId="43AC52BF" w14:textId="77777777" w:rsidR="00273399" w:rsidRDefault="00273399" w:rsidP="00273399">
      <w:pPr>
        <w:pStyle w:val="a7"/>
        <w:rPr>
          <w:rFonts w:hint="cs"/>
          <w:rtl/>
        </w:rPr>
      </w:pPr>
      <w:r>
        <w:rPr>
          <w:rFonts w:hint="cs"/>
          <w:rtl/>
        </w:rPr>
        <w:t>"</w:t>
      </w:r>
      <w:r>
        <w:rPr>
          <w:rtl/>
        </w:rPr>
        <w:t>צריך להשתדל בכל כחו להתפלל עם הצבור</w:t>
      </w:r>
      <w:r>
        <w:rPr>
          <w:rFonts w:hint="cs"/>
          <w:rtl/>
        </w:rPr>
        <w:t>.</w:t>
      </w:r>
      <w:r>
        <w:rPr>
          <w:rtl/>
        </w:rPr>
        <w:t xml:space="preserve"> וה</w:t>
      </w:r>
      <w:r>
        <w:rPr>
          <w:rFonts w:hint="cs"/>
          <w:rtl/>
        </w:rPr>
        <w:t xml:space="preserve">ני </w:t>
      </w:r>
      <w:r>
        <w:rPr>
          <w:rtl/>
        </w:rPr>
        <w:t>מ</w:t>
      </w:r>
      <w:r>
        <w:rPr>
          <w:rFonts w:hint="cs"/>
          <w:rtl/>
        </w:rPr>
        <w:t>ילי</w:t>
      </w:r>
      <w:r>
        <w:rPr>
          <w:rtl/>
        </w:rPr>
        <w:t xml:space="preserve"> להמון</w:t>
      </w:r>
      <w:r>
        <w:rPr>
          <w:rFonts w:hint="cs"/>
          <w:rtl/>
        </w:rPr>
        <w:t xml:space="preserve"> </w:t>
      </w:r>
      <w:r>
        <w:rPr>
          <w:rtl/>
        </w:rPr>
        <w:t>העם</w:t>
      </w:r>
      <w:r>
        <w:rPr>
          <w:rFonts w:hint="cs"/>
          <w:rtl/>
        </w:rPr>
        <w:t>,</w:t>
      </w:r>
      <w:r>
        <w:rPr>
          <w:rtl/>
        </w:rPr>
        <w:t xml:space="preserve"> אבל מי שיש לו מדרש</w:t>
      </w:r>
      <w:r>
        <w:rPr>
          <w:rStyle w:val="a4"/>
          <w:rtl/>
        </w:rPr>
        <w:footnoteReference w:id="263"/>
      </w:r>
      <w:r>
        <w:rPr>
          <w:rtl/>
        </w:rPr>
        <w:t xml:space="preserve"> קבוע בתוך ביתו שלומד בו</w:t>
      </w:r>
      <w:r>
        <w:rPr>
          <w:rFonts w:hint="cs"/>
          <w:rtl/>
        </w:rPr>
        <w:t>,</w:t>
      </w:r>
      <w:r>
        <w:rPr>
          <w:rtl/>
        </w:rPr>
        <w:t xml:space="preserve"> מצוה להתפלל בו אפילו אין לו עשרה</w:t>
      </w:r>
      <w:r>
        <w:rPr>
          <w:rFonts w:hint="cs"/>
          <w:rtl/>
        </w:rPr>
        <w:t>,</w:t>
      </w:r>
      <w:r>
        <w:rPr>
          <w:rtl/>
        </w:rPr>
        <w:t xml:space="preserve"> דרבי אמי ור</w:t>
      </w:r>
      <w:r>
        <w:rPr>
          <w:rFonts w:hint="cs"/>
          <w:rtl/>
        </w:rPr>
        <w:t>בי</w:t>
      </w:r>
      <w:r>
        <w:rPr>
          <w:rtl/>
        </w:rPr>
        <w:t xml:space="preserve"> אסי א</w:t>
      </w:r>
      <w:r>
        <w:rPr>
          <w:rFonts w:hint="cs"/>
          <w:rtl/>
        </w:rPr>
        <w:t xml:space="preserve">ף </w:t>
      </w:r>
      <w:r>
        <w:rPr>
          <w:rtl/>
        </w:rPr>
        <w:t>ע</w:t>
      </w:r>
      <w:r>
        <w:rPr>
          <w:rFonts w:hint="cs"/>
          <w:rtl/>
        </w:rPr>
        <w:t xml:space="preserve">ל </w:t>
      </w:r>
      <w:r>
        <w:rPr>
          <w:rtl/>
        </w:rPr>
        <w:t>ג</w:t>
      </w:r>
      <w:r>
        <w:rPr>
          <w:rFonts w:hint="cs"/>
          <w:rtl/>
        </w:rPr>
        <w:t>ב</w:t>
      </w:r>
      <w:r>
        <w:rPr>
          <w:rtl/>
        </w:rPr>
        <w:t xml:space="preserve"> דהוו </w:t>
      </w:r>
      <w:r>
        <w:rPr>
          <w:rFonts w:hint="cs"/>
          <w:rtl/>
        </w:rPr>
        <w:t xml:space="preserve">(להו) </w:t>
      </w:r>
      <w:r>
        <w:rPr>
          <w:rtl/>
        </w:rPr>
        <w:t>תליסר</w:t>
      </w:r>
      <w:r>
        <w:rPr>
          <w:rFonts w:hint="cs"/>
          <w:rtl/>
        </w:rPr>
        <w:t xml:space="preserve"> </w:t>
      </w:r>
      <w:r>
        <w:rPr>
          <w:rtl/>
        </w:rPr>
        <w:t>כנישתא בטבריא לא הוו מצלי אלא ביני עמודי היכא דהוו גרסי</w:t>
      </w:r>
      <w:r>
        <w:rPr>
          <w:rFonts w:hint="cs"/>
          <w:rtl/>
        </w:rPr>
        <w:t>,</w:t>
      </w:r>
      <w:r>
        <w:rPr>
          <w:rtl/>
        </w:rPr>
        <w:t xml:space="preserve"> </w:t>
      </w:r>
      <w:r>
        <w:rPr>
          <w:rtl/>
        </w:rPr>
        <w:lastRenderedPageBreak/>
        <w:t>פירוש</w:t>
      </w:r>
      <w:r>
        <w:rPr>
          <w:rFonts w:hint="cs"/>
          <w:rtl/>
        </w:rPr>
        <w:t>:</w:t>
      </w:r>
      <w:r>
        <w:rPr>
          <w:rtl/>
        </w:rPr>
        <w:t xml:space="preserve"> בב</w:t>
      </w:r>
      <w:r>
        <w:rPr>
          <w:rFonts w:hint="cs"/>
          <w:rtl/>
        </w:rPr>
        <w:t xml:space="preserve">ית </w:t>
      </w:r>
      <w:r>
        <w:rPr>
          <w:rtl/>
        </w:rPr>
        <w:t>המ</w:t>
      </w:r>
      <w:r>
        <w:rPr>
          <w:rFonts w:hint="cs"/>
          <w:rtl/>
        </w:rPr>
        <w:t>דרש.</w:t>
      </w:r>
      <w:r>
        <w:rPr>
          <w:rtl/>
        </w:rPr>
        <w:t xml:space="preserve"> ואמר אביי מריש הוה גריסנא בגו ביתאי ומצלינא בבי</w:t>
      </w:r>
      <w:r>
        <w:rPr>
          <w:rFonts w:hint="cs"/>
          <w:rtl/>
        </w:rPr>
        <w:t xml:space="preserve"> </w:t>
      </w:r>
      <w:r>
        <w:rPr>
          <w:rtl/>
        </w:rPr>
        <w:t>כנישתא</w:t>
      </w:r>
      <w:r>
        <w:rPr>
          <w:rFonts w:hint="cs"/>
          <w:rtl/>
        </w:rPr>
        <w:t>,</w:t>
      </w:r>
      <w:r>
        <w:rPr>
          <w:rtl/>
        </w:rPr>
        <w:t xml:space="preserve"> כיון דשמענא להא ד</w:t>
      </w:r>
      <w:r>
        <w:rPr>
          <w:rFonts w:hint="cs"/>
          <w:rtl/>
        </w:rPr>
        <w:t xml:space="preserve">... </w:t>
      </w:r>
      <w:r>
        <w:rPr>
          <w:rtl/>
        </w:rPr>
        <w:t xml:space="preserve">אמר הקב"ה אוהב אני שערים המצויינין בהלכה מכל בתי כנסיות </w:t>
      </w:r>
      <w:r>
        <w:rPr>
          <w:rFonts w:hint="cs"/>
          <w:rtl/>
        </w:rPr>
        <w:t xml:space="preserve">- </w:t>
      </w:r>
      <w:r>
        <w:rPr>
          <w:rtl/>
        </w:rPr>
        <w:t>לא</w:t>
      </w:r>
      <w:r>
        <w:rPr>
          <w:rFonts w:hint="cs"/>
          <w:rtl/>
        </w:rPr>
        <w:t xml:space="preserve"> </w:t>
      </w:r>
      <w:r>
        <w:rPr>
          <w:rtl/>
        </w:rPr>
        <w:t>מצלינא אלא ביני עמודי היכא דגריסנא</w:t>
      </w:r>
      <w:r>
        <w:rPr>
          <w:rFonts w:hint="cs"/>
          <w:rtl/>
        </w:rPr>
        <w:t>.</w:t>
      </w:r>
      <w:r>
        <w:rPr>
          <w:rtl/>
        </w:rPr>
        <w:t xml:space="preserve"> ומיהו א</w:t>
      </w:r>
      <w:r>
        <w:rPr>
          <w:rFonts w:hint="cs"/>
          <w:rtl/>
        </w:rPr>
        <w:t xml:space="preserve">דוני </w:t>
      </w:r>
      <w:r>
        <w:rPr>
          <w:rtl/>
        </w:rPr>
        <w:t>א</w:t>
      </w:r>
      <w:r>
        <w:rPr>
          <w:rFonts w:hint="cs"/>
          <w:rtl/>
        </w:rPr>
        <w:t>בי הרא"ש</w:t>
      </w:r>
      <w:r>
        <w:rPr>
          <w:rtl/>
        </w:rPr>
        <w:t xml:space="preserve"> ז"ל כתב בתשובת שאלה</w:t>
      </w:r>
      <w:r>
        <w:rPr>
          <w:rFonts w:hint="cs"/>
          <w:rtl/>
        </w:rPr>
        <w:t xml:space="preserve"> (</w:t>
      </w:r>
      <w:r>
        <w:rPr>
          <w:sz w:val="18"/>
          <w:szCs w:val="20"/>
          <w:rtl/>
        </w:rPr>
        <w:t>כלל ד</w:t>
      </w:r>
      <w:r>
        <w:rPr>
          <w:rFonts w:hint="cs"/>
          <w:sz w:val="18"/>
          <w:szCs w:val="20"/>
          <w:rtl/>
        </w:rPr>
        <w:t>'</w:t>
      </w:r>
      <w:r>
        <w:rPr>
          <w:sz w:val="18"/>
          <w:szCs w:val="20"/>
          <w:rtl/>
        </w:rPr>
        <w:t xml:space="preserve"> סימן י</w:t>
      </w:r>
      <w:r>
        <w:rPr>
          <w:rFonts w:hint="cs"/>
          <w:sz w:val="18"/>
          <w:szCs w:val="20"/>
          <w:rtl/>
        </w:rPr>
        <w:t>"</w:t>
      </w:r>
      <w:r>
        <w:rPr>
          <w:sz w:val="18"/>
          <w:szCs w:val="20"/>
          <w:rtl/>
        </w:rPr>
        <w:t>א</w:t>
      </w:r>
      <w:r>
        <w:rPr>
          <w:rFonts w:hint="cs"/>
          <w:rtl/>
        </w:rPr>
        <w:t>)</w:t>
      </w:r>
      <w:r>
        <w:rPr>
          <w:rtl/>
        </w:rPr>
        <w:t xml:space="preserve"> וז</w:t>
      </w:r>
      <w:r>
        <w:rPr>
          <w:rFonts w:hint="cs"/>
          <w:rtl/>
        </w:rPr>
        <w:t xml:space="preserve">ה </w:t>
      </w:r>
      <w:r>
        <w:rPr>
          <w:rtl/>
        </w:rPr>
        <w:t>ל</w:t>
      </w:r>
      <w:r>
        <w:rPr>
          <w:rFonts w:hint="cs"/>
          <w:rtl/>
        </w:rPr>
        <w:t>שונו:</w:t>
      </w:r>
      <w:r>
        <w:rPr>
          <w:rtl/>
        </w:rPr>
        <w:t xml:space="preserve"> טוב להתפלל</w:t>
      </w:r>
      <w:r>
        <w:rPr>
          <w:rFonts w:hint="cs"/>
          <w:rtl/>
        </w:rPr>
        <w:t xml:space="preserve"> </w:t>
      </w:r>
      <w:r>
        <w:rPr>
          <w:rtl/>
        </w:rPr>
        <w:t>עם</w:t>
      </w:r>
      <w:r>
        <w:rPr>
          <w:rFonts w:hint="cs"/>
          <w:rtl/>
        </w:rPr>
        <w:t xml:space="preserve"> </w:t>
      </w:r>
      <w:r>
        <w:rPr>
          <w:rtl/>
        </w:rPr>
        <w:t>הצבור בעשרה</w:t>
      </w:r>
      <w:r>
        <w:rPr>
          <w:rFonts w:hint="cs"/>
          <w:rtl/>
        </w:rPr>
        <w:t xml:space="preserve"> </w:t>
      </w:r>
      <w:r>
        <w:rPr>
          <w:rtl/>
        </w:rPr>
        <w:t>כי זמן תפלה לחוד</w:t>
      </w:r>
      <w:r>
        <w:rPr>
          <w:rFonts w:hint="cs"/>
          <w:rtl/>
        </w:rPr>
        <w:t xml:space="preserve"> </w:t>
      </w:r>
      <w:r>
        <w:rPr>
          <w:rtl/>
        </w:rPr>
        <w:t>וזמן תורה לחוד</w:t>
      </w:r>
      <w:r>
        <w:rPr>
          <w:rFonts w:hint="cs"/>
          <w:rtl/>
        </w:rPr>
        <w:t>,</w:t>
      </w:r>
      <w:r>
        <w:rPr>
          <w:rtl/>
        </w:rPr>
        <w:t xml:space="preserve"> וגם </w:t>
      </w:r>
      <w:r>
        <w:rPr>
          <w:b/>
          <w:bCs/>
          <w:rtl/>
        </w:rPr>
        <w:t>אין תורתנו כל כך אומנתנו</w:t>
      </w:r>
      <w:r>
        <w:rPr>
          <w:rtl/>
        </w:rPr>
        <w:t xml:space="preserve"> </w:t>
      </w:r>
      <w:r>
        <w:rPr>
          <w:b/>
          <w:bCs/>
          <w:rtl/>
        </w:rPr>
        <w:t>ובהרבה שעות ביום אנו מתבטלין</w:t>
      </w:r>
      <w:r>
        <w:rPr>
          <w:rFonts w:hint="cs"/>
          <w:rtl/>
        </w:rPr>
        <w:t>,</w:t>
      </w:r>
      <w:r>
        <w:rPr>
          <w:rtl/>
        </w:rPr>
        <w:t xml:space="preserve"> נבטל תורתינו בשעת תפלה ונשל</w:t>
      </w:r>
      <w:r>
        <w:rPr>
          <w:rFonts w:hint="cs"/>
          <w:rtl/>
        </w:rPr>
        <w:t>י</w:t>
      </w:r>
      <w:r>
        <w:rPr>
          <w:rtl/>
        </w:rPr>
        <w:t>ם אותה בשעות</w:t>
      </w:r>
      <w:r>
        <w:rPr>
          <w:rFonts w:hint="cs"/>
          <w:rtl/>
        </w:rPr>
        <w:t xml:space="preserve"> </w:t>
      </w:r>
      <w:r>
        <w:rPr>
          <w:rtl/>
        </w:rPr>
        <w:t>אחרות ונצא ידי חובתינו בתורה ובתפלה</w:t>
      </w:r>
      <w:r>
        <w:rPr>
          <w:rFonts w:hint="cs"/>
          <w:rtl/>
        </w:rPr>
        <w:t>.</w:t>
      </w:r>
      <w:r>
        <w:rPr>
          <w:rtl/>
        </w:rPr>
        <w:t xml:space="preserve"> וגם אם אין תלמיד חכם מתפלל עם הצבור ילמדו אחרים קל וחומר ממנו ולא יחושו על התפלה</w:t>
      </w:r>
      <w:r>
        <w:rPr>
          <w:rFonts w:hint="cs"/>
          <w:rtl/>
        </w:rPr>
        <w:t xml:space="preserve"> </w:t>
      </w:r>
      <w:r>
        <w:rPr>
          <w:rtl/>
        </w:rPr>
        <w:t>כלל ונמצאו בתי כנסיות בטלות כי לא ידונו אותו לכף זכות שאינו בא בשביל ל</w:t>
      </w:r>
      <w:r>
        <w:rPr>
          <w:rFonts w:hint="cs"/>
          <w:rtl/>
        </w:rPr>
        <w:t>ִ</w:t>
      </w:r>
      <w:r>
        <w:rPr>
          <w:rtl/>
        </w:rPr>
        <w:t>מודו</w:t>
      </w:r>
      <w:r>
        <w:rPr>
          <w:rFonts w:hint="cs"/>
          <w:rtl/>
        </w:rPr>
        <w:t>,</w:t>
      </w:r>
      <w:r>
        <w:rPr>
          <w:rtl/>
        </w:rPr>
        <w:t xml:space="preserve"> ע</w:t>
      </w:r>
      <w:r>
        <w:rPr>
          <w:rFonts w:hint="cs"/>
          <w:rtl/>
        </w:rPr>
        <w:t xml:space="preserve">ד </w:t>
      </w:r>
      <w:r>
        <w:rPr>
          <w:rtl/>
        </w:rPr>
        <w:t>כ</w:t>
      </w:r>
      <w:r>
        <w:rPr>
          <w:rFonts w:hint="cs"/>
          <w:rtl/>
        </w:rPr>
        <w:t>אן"</w:t>
      </w:r>
      <w:r>
        <w:rPr>
          <w:rtl/>
        </w:rPr>
        <w:t>.</w:t>
      </w:r>
      <w:r>
        <w:rPr>
          <w:rFonts w:hint="cs"/>
          <w:rtl/>
        </w:rPr>
        <w:t xml:space="preserve"> </w:t>
      </w:r>
    </w:p>
    <w:p w14:paraId="44EF3BBC" w14:textId="77777777" w:rsidR="00273399" w:rsidRDefault="00273399" w:rsidP="00273399">
      <w:pPr>
        <w:ind w:firstLine="284"/>
        <w:rPr>
          <w:rFonts w:hint="cs"/>
          <w:rtl/>
        </w:rPr>
      </w:pPr>
      <w:r>
        <w:rPr>
          <w:rFonts w:hint="cs"/>
          <w:rtl/>
        </w:rPr>
        <w:t>4) הרמ"א (</w:t>
      </w:r>
      <w:r>
        <w:rPr>
          <w:rFonts w:hint="cs"/>
          <w:sz w:val="18"/>
          <w:szCs w:val="20"/>
          <w:rtl/>
        </w:rPr>
        <w:t>הגהת שו"ע סימן צ' סעיף י"ח</w:t>
      </w:r>
      <w:r>
        <w:rPr>
          <w:rFonts w:hint="cs"/>
          <w:rtl/>
        </w:rPr>
        <w:t xml:space="preserve">): </w:t>
      </w:r>
    </w:p>
    <w:p w14:paraId="28D366AD" w14:textId="77777777" w:rsidR="00273399" w:rsidRDefault="00273399" w:rsidP="00273399">
      <w:pPr>
        <w:pStyle w:val="a7"/>
        <w:rPr>
          <w:rFonts w:hint="cs"/>
          <w:rtl/>
        </w:rPr>
      </w:pPr>
      <w:r>
        <w:rPr>
          <w:rFonts w:hint="cs"/>
          <w:rtl/>
        </w:rPr>
        <w:t xml:space="preserve">"וי"א </w:t>
      </w:r>
      <w:r>
        <w:rPr>
          <w:rtl/>
        </w:rPr>
        <w:t>דאפילו בלא עשרה עדיף להתפלל בבית המדרש הקבוע לו</w:t>
      </w:r>
      <w:r>
        <w:rPr>
          <w:rFonts w:hint="cs"/>
          <w:rtl/>
        </w:rPr>
        <w:t xml:space="preserve">; ודוקא </w:t>
      </w:r>
      <w:r>
        <w:rPr>
          <w:rFonts w:hint="cs"/>
          <w:b/>
          <w:bCs/>
          <w:rtl/>
        </w:rPr>
        <w:t>מי שתורתו אומנתו ואינו מתבטל בלאו הכי</w:t>
      </w:r>
      <w:r>
        <w:rPr>
          <w:rFonts w:hint="cs"/>
          <w:rtl/>
        </w:rPr>
        <w:t xml:space="preserve">. ואפילו הכי לא ירגיל עצמו לעשות כן, שלא ילמדו עמי הארץ ממנו ויתבטלו מבית הכנסת". </w:t>
      </w:r>
    </w:p>
    <w:p w14:paraId="5116CA59" w14:textId="77777777" w:rsidR="00273399" w:rsidRDefault="00273399" w:rsidP="00273399">
      <w:pPr>
        <w:ind w:firstLine="284"/>
        <w:rPr>
          <w:rFonts w:hint="cs"/>
          <w:rtl/>
        </w:rPr>
      </w:pPr>
      <w:r>
        <w:rPr>
          <w:rFonts w:hint="cs"/>
          <w:rtl/>
        </w:rPr>
        <w:t xml:space="preserve">5) </w:t>
      </w:r>
      <w:r>
        <w:rPr>
          <w:rtl/>
        </w:rPr>
        <w:t>משנה ברורה</w:t>
      </w:r>
      <w:r>
        <w:rPr>
          <w:rFonts w:hint="cs"/>
          <w:rtl/>
        </w:rPr>
        <w:t xml:space="preserve"> (</w:t>
      </w:r>
      <w:r>
        <w:rPr>
          <w:sz w:val="18"/>
          <w:szCs w:val="20"/>
          <w:rtl/>
        </w:rPr>
        <w:t>ס</w:t>
      </w:r>
      <w:r>
        <w:rPr>
          <w:rFonts w:hint="cs"/>
          <w:sz w:val="18"/>
          <w:szCs w:val="20"/>
          <w:rtl/>
        </w:rPr>
        <w:t>"</w:t>
      </w:r>
      <w:r>
        <w:rPr>
          <w:sz w:val="18"/>
          <w:szCs w:val="20"/>
          <w:rtl/>
        </w:rPr>
        <w:t>ק</w:t>
      </w:r>
      <w:r>
        <w:rPr>
          <w:rFonts w:hint="cs"/>
          <w:sz w:val="18"/>
          <w:szCs w:val="20"/>
          <w:rtl/>
        </w:rPr>
        <w:t xml:space="preserve"> </w:t>
      </w:r>
      <w:r>
        <w:rPr>
          <w:sz w:val="18"/>
          <w:szCs w:val="20"/>
          <w:rtl/>
        </w:rPr>
        <w:t>נ</w:t>
      </w:r>
      <w:r>
        <w:rPr>
          <w:rFonts w:hint="cs"/>
          <w:sz w:val="18"/>
          <w:szCs w:val="20"/>
          <w:rtl/>
        </w:rPr>
        <w:t>"</w:t>
      </w:r>
      <w:r>
        <w:rPr>
          <w:sz w:val="18"/>
          <w:szCs w:val="20"/>
          <w:rtl/>
        </w:rPr>
        <w:t>ו</w:t>
      </w:r>
      <w:r>
        <w:rPr>
          <w:rFonts w:hint="cs"/>
          <w:rtl/>
        </w:rPr>
        <w:t>): "</w:t>
      </w:r>
      <w:r>
        <w:rPr>
          <w:rtl/>
        </w:rPr>
        <w:t>ואינו מתבטל וכו' - ר"ל כ</w:t>
      </w:r>
      <w:r>
        <w:rPr>
          <w:rFonts w:hint="cs"/>
          <w:rtl/>
        </w:rPr>
        <w:t xml:space="preserve">י </w:t>
      </w:r>
      <w:r>
        <w:rPr>
          <w:rtl/>
        </w:rPr>
        <w:t>א</w:t>
      </w:r>
      <w:r>
        <w:rPr>
          <w:rFonts w:hint="cs"/>
          <w:rtl/>
        </w:rPr>
        <w:t>ם</w:t>
      </w:r>
      <w:r>
        <w:rPr>
          <w:rtl/>
        </w:rPr>
        <w:t xml:space="preserve"> לדברים הכרחים לצרכי גופו ולימודו</w:t>
      </w:r>
      <w:r>
        <w:rPr>
          <w:rFonts w:hint="cs"/>
          <w:rtl/>
        </w:rPr>
        <w:t xml:space="preserve">". </w:t>
      </w:r>
    </w:p>
    <w:p w14:paraId="725D8774" w14:textId="77777777" w:rsidR="00273399" w:rsidRDefault="00273399" w:rsidP="00273399">
      <w:pPr>
        <w:ind w:firstLine="284"/>
        <w:rPr>
          <w:rFonts w:hint="cs"/>
          <w:sz w:val="26"/>
          <w:rtl/>
        </w:rPr>
      </w:pPr>
      <w:r>
        <w:rPr>
          <w:rFonts w:hint="cs"/>
          <w:rtl/>
        </w:rPr>
        <w:t xml:space="preserve">6) </w:t>
      </w:r>
      <w:r>
        <w:rPr>
          <w:sz w:val="26"/>
          <w:rtl/>
        </w:rPr>
        <w:t>עָר</w:t>
      </w:r>
      <w:r>
        <w:rPr>
          <w:rFonts w:hint="cs"/>
          <w:sz w:val="26"/>
          <w:rtl/>
        </w:rPr>
        <w:t>ו</w:t>
      </w:r>
      <w:r>
        <w:rPr>
          <w:sz w:val="26"/>
          <w:rtl/>
        </w:rPr>
        <w:t>ֹךְ הַשֻּׁלְחָן</w:t>
      </w:r>
      <w:r>
        <w:rPr>
          <w:rFonts w:hint="cs"/>
          <w:sz w:val="26"/>
          <w:rtl/>
        </w:rPr>
        <w:t xml:space="preserve"> (</w:t>
      </w:r>
      <w:r>
        <w:rPr>
          <w:rFonts w:hint="cs"/>
          <w:sz w:val="18"/>
          <w:szCs w:val="20"/>
          <w:rtl/>
        </w:rPr>
        <w:t>סעיף כ"א</w:t>
      </w:r>
      <w:r>
        <w:rPr>
          <w:rFonts w:hint="cs"/>
          <w:sz w:val="26"/>
          <w:rtl/>
        </w:rPr>
        <w:t xml:space="preserve">) הגדיר כאן את </w:t>
      </w:r>
      <w:r>
        <w:rPr>
          <w:rFonts w:hint="cs"/>
          <w:rtl/>
        </w:rPr>
        <w:t xml:space="preserve">מי שתורתו אומנתו </w:t>
      </w:r>
      <w:r>
        <w:rPr>
          <w:rFonts w:hint="cs"/>
          <w:sz w:val="26"/>
          <w:rtl/>
        </w:rPr>
        <w:t>כ"תלמיד חכם הלומד תמיד", בניגוד למי שרק קובע עתים לתורה.</w:t>
      </w:r>
    </w:p>
    <w:p w14:paraId="09226627" w14:textId="77777777" w:rsidR="00273399" w:rsidRDefault="00273399" w:rsidP="00273399">
      <w:pPr>
        <w:ind w:firstLine="284"/>
        <w:rPr>
          <w:rFonts w:hint="cs"/>
          <w:sz w:val="30"/>
          <w:szCs w:val="28"/>
          <w:rtl/>
        </w:rPr>
      </w:pPr>
      <w:r>
        <w:rPr>
          <w:rFonts w:hint="cs"/>
          <w:sz w:val="26"/>
          <w:rtl/>
        </w:rPr>
        <w:t>7) הגר"מ פיינשטיין (</w:t>
      </w:r>
      <w:r>
        <w:rPr>
          <w:sz w:val="18"/>
          <w:szCs w:val="20"/>
          <w:rtl/>
        </w:rPr>
        <w:t xml:space="preserve">שו"ת אגרות משה חלק או"ח </w:t>
      </w:r>
      <w:r>
        <w:rPr>
          <w:rFonts w:hint="cs"/>
          <w:sz w:val="18"/>
          <w:szCs w:val="20"/>
          <w:rtl/>
        </w:rPr>
        <w:t>א'</w:t>
      </w:r>
      <w:r>
        <w:rPr>
          <w:sz w:val="18"/>
          <w:szCs w:val="20"/>
          <w:rtl/>
        </w:rPr>
        <w:t xml:space="preserve"> סימן </w:t>
      </w:r>
      <w:r>
        <w:rPr>
          <w:rFonts w:hint="cs"/>
          <w:sz w:val="18"/>
          <w:szCs w:val="20"/>
          <w:rtl/>
        </w:rPr>
        <w:t xml:space="preserve">ל"א; וע"ע שם </w:t>
      </w:r>
      <w:r>
        <w:rPr>
          <w:sz w:val="18"/>
          <w:szCs w:val="20"/>
          <w:rtl/>
        </w:rPr>
        <w:t>או"ח ב</w:t>
      </w:r>
      <w:r>
        <w:rPr>
          <w:rFonts w:hint="cs"/>
          <w:sz w:val="18"/>
          <w:szCs w:val="20"/>
          <w:rtl/>
        </w:rPr>
        <w:t>'</w:t>
      </w:r>
      <w:r>
        <w:rPr>
          <w:sz w:val="18"/>
          <w:szCs w:val="20"/>
          <w:rtl/>
        </w:rPr>
        <w:t xml:space="preserve"> סימן כ</w:t>
      </w:r>
      <w:r>
        <w:rPr>
          <w:rFonts w:hint="cs"/>
          <w:sz w:val="18"/>
          <w:szCs w:val="20"/>
          <w:rtl/>
        </w:rPr>
        <w:t>"</w:t>
      </w:r>
      <w:r>
        <w:rPr>
          <w:sz w:val="18"/>
          <w:szCs w:val="20"/>
          <w:rtl/>
        </w:rPr>
        <w:t>ז</w:t>
      </w:r>
      <w:r>
        <w:rPr>
          <w:rFonts w:hint="cs"/>
          <w:sz w:val="26"/>
          <w:rtl/>
        </w:rPr>
        <w:t>):</w:t>
      </w:r>
      <w:r>
        <w:rPr>
          <w:rFonts w:hint="cs"/>
          <w:sz w:val="30"/>
          <w:szCs w:val="28"/>
          <w:rtl/>
        </w:rPr>
        <w:t xml:space="preserve"> </w:t>
      </w:r>
    </w:p>
    <w:p w14:paraId="07B5A722" w14:textId="77777777" w:rsidR="00273399" w:rsidRDefault="00273399" w:rsidP="00273399">
      <w:pPr>
        <w:pStyle w:val="a7"/>
        <w:rPr>
          <w:rFonts w:hint="cs"/>
          <w:rtl/>
        </w:rPr>
      </w:pPr>
      <w:r>
        <w:rPr>
          <w:rFonts w:hint="cs"/>
          <w:rtl/>
        </w:rPr>
        <w:lastRenderedPageBreak/>
        <w:t>"</w:t>
      </w:r>
      <w:r>
        <w:rPr>
          <w:rtl/>
        </w:rPr>
        <w:t xml:space="preserve">וצריך לומר בכוונת הרמ"א שמש"כ </w:t>
      </w:r>
      <w:r>
        <w:rPr>
          <w:rFonts w:hint="cs"/>
          <w:rtl/>
        </w:rPr>
        <w:t>'</w:t>
      </w:r>
      <w:r>
        <w:rPr>
          <w:rtl/>
        </w:rPr>
        <w:t>ודוקא מי שתורתו אומנתו</w:t>
      </w:r>
      <w:r>
        <w:rPr>
          <w:rFonts w:hint="cs"/>
          <w:rtl/>
        </w:rPr>
        <w:t>'</w:t>
      </w:r>
      <w:r>
        <w:rPr>
          <w:rtl/>
        </w:rPr>
        <w:t xml:space="preserve"> הוא דברי עצמו ולא שיטת הי"א, דקאי על מה שהמחבר כתב סתם והוא שיתפלל בעשרה ולא ח</w:t>
      </w:r>
      <w:r>
        <w:rPr>
          <w:rFonts w:hint="cs"/>
          <w:rtl/>
        </w:rPr>
        <w:t>ִ</w:t>
      </w:r>
      <w:r>
        <w:rPr>
          <w:rtl/>
        </w:rPr>
        <w:t>ל</w:t>
      </w:r>
      <w:r>
        <w:rPr>
          <w:rFonts w:hint="cs"/>
          <w:rtl/>
        </w:rPr>
        <w:t>ֵּ</w:t>
      </w:r>
      <w:r>
        <w:rPr>
          <w:rtl/>
        </w:rPr>
        <w:t>ק שמי שתורתו אומנתו יתפלל אף ביחיד היכא דגריס</w:t>
      </w:r>
      <w:r>
        <w:rPr>
          <w:rFonts w:hint="cs"/>
          <w:rtl/>
        </w:rPr>
        <w:t>,</w:t>
      </w:r>
      <w:r>
        <w:rPr>
          <w:rtl/>
        </w:rPr>
        <w:t xml:space="preserve"> שמשמע שפליג אף בזה ומצריכו לילך לבית הכנסת להתפלל מטעם שאין לנו דין תורתו אומנתו</w:t>
      </w:r>
      <w:r>
        <w:rPr>
          <w:rFonts w:hint="cs"/>
          <w:rtl/>
        </w:rPr>
        <w:t>,</w:t>
      </w:r>
      <w:r>
        <w:rPr>
          <w:rtl/>
        </w:rPr>
        <w:t xml:space="preserve"> כדא"ר יוחנן בשבת </w:t>
      </w:r>
      <w:r>
        <w:rPr>
          <w:sz w:val="18"/>
          <w:szCs w:val="20"/>
          <w:rtl/>
        </w:rPr>
        <w:t xml:space="preserve">דף י"א </w:t>
      </w:r>
      <w:r>
        <w:rPr>
          <w:rtl/>
        </w:rPr>
        <w:t>ואיפסק כן בש</w:t>
      </w:r>
      <w:r>
        <w:rPr>
          <w:rFonts w:hint="cs"/>
          <w:rtl/>
        </w:rPr>
        <w:t>ו</w:t>
      </w:r>
      <w:r>
        <w:rPr>
          <w:rtl/>
        </w:rPr>
        <w:t>"ע</w:t>
      </w:r>
      <w:r>
        <w:rPr>
          <w:rFonts w:hint="cs"/>
          <w:rtl/>
        </w:rPr>
        <w:t xml:space="preserve"> </w:t>
      </w:r>
      <w:r>
        <w:rPr>
          <w:sz w:val="18"/>
          <w:szCs w:val="20"/>
          <w:rtl/>
        </w:rPr>
        <w:t>סי' ק"ו סעי' ג'</w:t>
      </w:r>
      <w:r>
        <w:rPr>
          <w:rFonts w:hint="cs"/>
          <w:rtl/>
        </w:rPr>
        <w:t>,</w:t>
      </w:r>
      <w:r>
        <w:rPr>
          <w:rtl/>
        </w:rPr>
        <w:t xml:space="preserve"> וע"ז פליג הרמ"א וסובר שלענין זה שי"א שגם לכל אדם עדיף להתפלל אף בלא עשרה יש להורות כן אף בזמננו לכה"פ למי שתורתו אומנתו. </w:t>
      </w:r>
      <w:r>
        <w:rPr>
          <w:b/>
          <w:bCs/>
          <w:rtl/>
        </w:rPr>
        <w:t>וגם</w:t>
      </w:r>
      <w:r>
        <w:rPr>
          <w:rtl/>
        </w:rPr>
        <w:t xml:space="preserve"> אפשר שאין כוונת הרמ"א בויש אומרים לשיטת התוס' אלא לשיטת הר' יונה אליבא דהרמב"ם</w:t>
      </w:r>
      <w:r>
        <w:rPr>
          <w:rFonts w:hint="cs"/>
          <w:rtl/>
        </w:rPr>
        <w:t>,</w:t>
      </w:r>
      <w:r>
        <w:rPr>
          <w:rtl/>
        </w:rPr>
        <w:t xml:space="preserve"> ויפרש שגם ר' יונה איירי בתורתו אומנתו שבזמננו, דבתורתו אומנתו כרשב"י וחבריו פשיטא דהא מבטלין גם התפלה לגמרי</w:t>
      </w:r>
      <w:r>
        <w:rPr>
          <w:rFonts w:hint="cs"/>
          <w:rtl/>
        </w:rPr>
        <w:t>!</w:t>
      </w:r>
      <w:r>
        <w:rPr>
          <w:rtl/>
        </w:rPr>
        <w:t xml:space="preserve"> אלא שמחדש דאף אלו שבזמננו נמי אף שאין לו דין תורתו אומנתו לבטל התפלה</w:t>
      </w:r>
      <w:r>
        <w:rPr>
          <w:rFonts w:hint="cs"/>
          <w:rtl/>
        </w:rPr>
        <w:t>,</w:t>
      </w:r>
      <w:r>
        <w:rPr>
          <w:rtl/>
        </w:rPr>
        <w:t xml:space="preserve"> מ</w:t>
      </w:r>
      <w:r>
        <w:rPr>
          <w:rFonts w:hint="cs"/>
          <w:rtl/>
        </w:rPr>
        <w:t xml:space="preserve">כל </w:t>
      </w:r>
      <w:r>
        <w:rPr>
          <w:rtl/>
        </w:rPr>
        <w:t>מ</w:t>
      </w:r>
      <w:r>
        <w:rPr>
          <w:rFonts w:hint="cs"/>
          <w:rtl/>
        </w:rPr>
        <w:t>קום</w:t>
      </w:r>
      <w:r>
        <w:rPr>
          <w:rtl/>
        </w:rPr>
        <w:t xml:space="preserve"> יש לו דין תורתו אומנתו שלא יצטרך לילך לביהכ"נ להתפלל בעשרה</w:t>
      </w:r>
      <w:r>
        <w:rPr>
          <w:rFonts w:hint="cs"/>
          <w:rtl/>
        </w:rPr>
        <w:t>"</w:t>
      </w:r>
      <w:r>
        <w:rPr>
          <w:rStyle w:val="a4"/>
          <w:rtl/>
        </w:rPr>
        <w:footnoteReference w:id="264"/>
      </w:r>
      <w:r>
        <w:rPr>
          <w:rtl/>
        </w:rPr>
        <w:t>.</w:t>
      </w:r>
    </w:p>
    <w:p w14:paraId="5ED98955" w14:textId="77777777" w:rsidR="00273399" w:rsidRDefault="00273399" w:rsidP="00273399">
      <w:pPr>
        <w:pStyle w:val="4"/>
        <w:rPr>
          <w:rFonts w:hint="cs"/>
          <w:rtl/>
        </w:rPr>
      </w:pPr>
      <w:bookmarkStart w:id="14" w:name="_Toc266380651"/>
      <w:r>
        <w:rPr>
          <w:rFonts w:hint="cs"/>
          <w:rtl/>
        </w:rPr>
        <w:lastRenderedPageBreak/>
        <w:t>ו. "</w:t>
      </w:r>
      <w:r>
        <w:rPr>
          <w:rtl/>
        </w:rPr>
        <w:t>תורתו אומנתו</w:t>
      </w:r>
      <w:r>
        <w:rPr>
          <w:rFonts w:hint="cs"/>
          <w:rtl/>
        </w:rPr>
        <w:t>" לעניין פטור מחובות הציבור</w:t>
      </w:r>
      <w:bookmarkEnd w:id="14"/>
    </w:p>
    <w:p w14:paraId="5A7674BE" w14:textId="77777777" w:rsidR="00273399" w:rsidRDefault="00273399" w:rsidP="00273399">
      <w:pPr>
        <w:ind w:firstLine="284"/>
        <w:rPr>
          <w:rFonts w:hint="cs"/>
          <w:rtl/>
        </w:rPr>
      </w:pPr>
      <w:r>
        <w:rPr>
          <w:rFonts w:hint="cs"/>
          <w:rtl/>
        </w:rPr>
        <w:t>הביטוי "תורתו אומנותו" מוזכר בספרי הפוסקים</w:t>
      </w:r>
      <w:r>
        <w:rPr>
          <w:rStyle w:val="a4"/>
          <w:rtl/>
        </w:rPr>
        <w:footnoteReference w:id="265"/>
      </w:r>
      <w:r>
        <w:rPr>
          <w:rFonts w:hint="cs"/>
          <w:rtl/>
        </w:rPr>
        <w:t xml:space="preserve"> בדיוניהם אודות ההקלות, ההנחות וההטבות המגיעות ל</w:t>
      </w:r>
      <w:r>
        <w:rPr>
          <w:rFonts w:eastAsia="MS Mincho"/>
          <w:rtl/>
        </w:rPr>
        <w:t>תלמידי חכמים</w:t>
      </w:r>
      <w:r>
        <w:rPr>
          <w:rFonts w:eastAsia="MS Mincho" w:hint="cs"/>
          <w:rtl/>
        </w:rPr>
        <w:t>, לפי דברי חז"ל</w:t>
      </w:r>
      <w:r>
        <w:rPr>
          <w:rStyle w:val="a4"/>
          <w:rFonts w:eastAsia="MS Mincho"/>
          <w:rtl/>
        </w:rPr>
        <w:footnoteReference w:id="266"/>
      </w:r>
      <w:r>
        <w:rPr>
          <w:rFonts w:eastAsia="MS Mincho" w:hint="cs"/>
          <w:rtl/>
        </w:rPr>
        <w:t xml:space="preserve">, והאם הן חלות אף על </w:t>
      </w:r>
      <w:r>
        <w:rPr>
          <w:rFonts w:eastAsia="MS Mincho"/>
          <w:rtl/>
        </w:rPr>
        <w:t>תלמידי חכמים</w:t>
      </w:r>
      <w:r>
        <w:rPr>
          <w:rFonts w:eastAsia="MS Mincho" w:hint="cs"/>
          <w:rtl/>
        </w:rPr>
        <w:t xml:space="preserve"> שבזמננו</w:t>
      </w:r>
      <w:r>
        <w:rPr>
          <w:rFonts w:hint="cs"/>
          <w:rtl/>
        </w:rPr>
        <w:t>.</w:t>
      </w:r>
    </w:p>
    <w:p w14:paraId="0D698853" w14:textId="77777777" w:rsidR="00273399" w:rsidRDefault="00273399" w:rsidP="00273399">
      <w:pPr>
        <w:ind w:firstLine="284"/>
        <w:rPr>
          <w:rFonts w:eastAsia="MS Mincho" w:hint="cs"/>
          <w:rtl/>
        </w:rPr>
      </w:pPr>
      <w:r>
        <w:rPr>
          <w:rFonts w:eastAsia="MS Mincho" w:hint="cs"/>
          <w:rtl/>
        </w:rPr>
        <w:lastRenderedPageBreak/>
        <w:t>יש ראשונים שכתבו "</w:t>
      </w:r>
      <w:r>
        <w:rPr>
          <w:rFonts w:eastAsia="MS Mincho"/>
          <w:rtl/>
        </w:rPr>
        <w:t>שלא פטרו תלמידי חכמים ממסים וארנוניות אלא דוקא תלמיד חכם שאינו מתעסק בעניני העולם כלל, ותורתו אומנותו לגמרי, אבל שאר תלמידי חכמים שמצרפים עניני העולם עם לימודם</w:t>
      </w:r>
      <w:r>
        <w:rPr>
          <w:rFonts w:eastAsia="MS Mincho" w:hint="cs"/>
          <w:rtl/>
        </w:rPr>
        <w:t xml:space="preserve"> - </w:t>
      </w:r>
      <w:r>
        <w:rPr>
          <w:rFonts w:eastAsia="MS Mincho"/>
          <w:rtl/>
        </w:rPr>
        <w:t>אינם בכלל זה</w:t>
      </w:r>
      <w:r>
        <w:rPr>
          <w:rFonts w:eastAsia="MS Mincho" w:hint="cs"/>
          <w:rtl/>
        </w:rPr>
        <w:t>" (</w:t>
      </w:r>
      <w:r>
        <w:rPr>
          <w:rFonts w:eastAsia="MS Mincho" w:hint="cs"/>
          <w:sz w:val="18"/>
          <w:szCs w:val="20"/>
          <w:rtl/>
        </w:rPr>
        <w:t xml:space="preserve">ר"מ </w:t>
      </w:r>
      <w:r>
        <w:rPr>
          <w:rFonts w:eastAsia="MS Mincho"/>
          <w:sz w:val="18"/>
          <w:szCs w:val="20"/>
          <w:rtl/>
        </w:rPr>
        <w:t>המאירי</w:t>
      </w:r>
      <w:r>
        <w:rPr>
          <w:rFonts w:eastAsia="MS Mincho" w:hint="cs"/>
          <w:sz w:val="18"/>
          <w:szCs w:val="20"/>
          <w:rtl/>
        </w:rPr>
        <w:t xml:space="preserve">, </w:t>
      </w:r>
      <w:r>
        <w:rPr>
          <w:rFonts w:eastAsia="MS Mincho"/>
          <w:sz w:val="18"/>
          <w:szCs w:val="20"/>
          <w:rtl/>
        </w:rPr>
        <w:t>ב"ב ח</w:t>
      </w:r>
      <w:r>
        <w:rPr>
          <w:rFonts w:eastAsia="MS Mincho" w:hint="cs"/>
          <w:sz w:val="18"/>
          <w:szCs w:val="20"/>
          <w:rtl/>
        </w:rPr>
        <w:t>,</w:t>
      </w:r>
      <w:r>
        <w:rPr>
          <w:rFonts w:eastAsia="MS Mincho"/>
          <w:sz w:val="18"/>
          <w:szCs w:val="20"/>
          <w:rtl/>
        </w:rPr>
        <w:t xml:space="preserve"> א</w:t>
      </w:r>
      <w:r>
        <w:rPr>
          <w:rFonts w:eastAsia="MS Mincho" w:hint="cs"/>
          <w:sz w:val="18"/>
          <w:szCs w:val="20"/>
          <w:rtl/>
        </w:rPr>
        <w:t xml:space="preserve">; </w:t>
      </w:r>
      <w:r>
        <w:rPr>
          <w:rFonts w:eastAsia="MS Mincho"/>
          <w:sz w:val="18"/>
          <w:szCs w:val="20"/>
          <w:rtl/>
        </w:rPr>
        <w:t>ס</w:t>
      </w:r>
      <w:r>
        <w:rPr>
          <w:rFonts w:eastAsia="MS Mincho" w:hint="cs"/>
          <w:sz w:val="18"/>
          <w:szCs w:val="20"/>
          <w:rtl/>
        </w:rPr>
        <w:t>פר</w:t>
      </w:r>
      <w:r>
        <w:rPr>
          <w:rFonts w:eastAsia="MS Mincho"/>
          <w:sz w:val="18"/>
          <w:szCs w:val="20"/>
          <w:rtl/>
        </w:rPr>
        <w:t xml:space="preserve"> חסידים סי' תתר</w:t>
      </w:r>
      <w:r>
        <w:rPr>
          <w:rFonts w:eastAsia="MS Mincho" w:hint="cs"/>
          <w:sz w:val="18"/>
          <w:szCs w:val="20"/>
          <w:rtl/>
        </w:rPr>
        <w:t>"</w:t>
      </w:r>
      <w:r>
        <w:rPr>
          <w:rFonts w:eastAsia="MS Mincho"/>
          <w:sz w:val="18"/>
          <w:szCs w:val="20"/>
          <w:rtl/>
        </w:rPr>
        <w:t>ט</w:t>
      </w:r>
      <w:r>
        <w:rPr>
          <w:rFonts w:eastAsia="MS Mincho"/>
          <w:rtl/>
        </w:rPr>
        <w:t>)</w:t>
      </w:r>
      <w:r>
        <w:rPr>
          <w:rFonts w:eastAsia="MS Mincho" w:hint="cs"/>
          <w:rtl/>
        </w:rPr>
        <w:t>. ברם, ההלכה נפסקה (</w:t>
      </w:r>
      <w:r>
        <w:rPr>
          <w:rFonts w:eastAsia="MS Mincho" w:hint="cs"/>
          <w:sz w:val="18"/>
          <w:szCs w:val="20"/>
          <w:rtl/>
        </w:rPr>
        <w:t>ראה: טור ושו"ע יו"ד סימן רמ"ג; חו"מ סימן קס"ג</w:t>
      </w:r>
      <w:r>
        <w:rPr>
          <w:rFonts w:eastAsia="MS Mincho" w:hint="cs"/>
          <w:rtl/>
        </w:rPr>
        <w:t xml:space="preserve">) כדעת </w:t>
      </w:r>
      <w:r>
        <w:rPr>
          <w:rFonts w:eastAsia="MS Mincho"/>
          <w:rtl/>
        </w:rPr>
        <w:t xml:space="preserve">הרא"ש </w:t>
      </w:r>
      <w:r>
        <w:rPr>
          <w:rFonts w:eastAsia="MS Mincho" w:hint="cs"/>
          <w:rtl/>
        </w:rPr>
        <w:t xml:space="preserve">אשר כתב </w:t>
      </w:r>
      <w:r>
        <w:rPr>
          <w:rFonts w:eastAsia="MS Mincho"/>
          <w:rtl/>
        </w:rPr>
        <w:t xml:space="preserve">בתשובה </w:t>
      </w:r>
      <w:r>
        <w:rPr>
          <w:rFonts w:eastAsia="MS Mincho" w:hint="cs"/>
          <w:rtl/>
        </w:rPr>
        <w:t>(</w:t>
      </w:r>
      <w:r>
        <w:rPr>
          <w:rFonts w:eastAsia="MS Mincho"/>
          <w:sz w:val="18"/>
          <w:szCs w:val="20"/>
          <w:rtl/>
        </w:rPr>
        <w:t>כלל ט</w:t>
      </w:r>
      <w:r>
        <w:rPr>
          <w:rFonts w:eastAsia="MS Mincho" w:hint="cs"/>
          <w:sz w:val="18"/>
          <w:szCs w:val="20"/>
          <w:rtl/>
        </w:rPr>
        <w:t>"</w:t>
      </w:r>
      <w:r>
        <w:rPr>
          <w:rFonts w:eastAsia="MS Mincho"/>
          <w:sz w:val="18"/>
          <w:szCs w:val="20"/>
          <w:rtl/>
        </w:rPr>
        <w:t>ו סימן ח</w:t>
      </w:r>
      <w:r>
        <w:rPr>
          <w:rFonts w:eastAsia="MS Mincho" w:hint="cs"/>
          <w:sz w:val="18"/>
          <w:szCs w:val="20"/>
          <w:rtl/>
        </w:rPr>
        <w:t>'</w:t>
      </w:r>
      <w:r>
        <w:rPr>
          <w:rFonts w:eastAsia="MS Mincho" w:hint="cs"/>
          <w:rtl/>
        </w:rPr>
        <w:t>) שגם אם אין</w:t>
      </w:r>
      <w:r>
        <w:rPr>
          <w:rFonts w:eastAsia="MS Mincho"/>
          <w:rtl/>
        </w:rPr>
        <w:t xml:space="preserve"> </w:t>
      </w:r>
      <w:r>
        <w:rPr>
          <w:rFonts w:eastAsia="MS Mincho" w:hint="cs"/>
          <w:rtl/>
        </w:rPr>
        <w:t>"</w:t>
      </w:r>
      <w:r>
        <w:rPr>
          <w:rFonts w:eastAsia="MS Mincho"/>
          <w:rtl/>
        </w:rPr>
        <w:t>תורתו אומנותו</w:t>
      </w:r>
      <w:r>
        <w:rPr>
          <w:rFonts w:eastAsia="MS Mincho" w:hint="cs"/>
          <w:rtl/>
        </w:rPr>
        <w:t xml:space="preserve">" ממש כרשב"י וחבריו, לא יצא מכלל "רבנן" הפטורים ממסים: </w:t>
      </w:r>
    </w:p>
    <w:p w14:paraId="249F8FD3" w14:textId="77777777" w:rsidR="00273399" w:rsidRDefault="00273399" w:rsidP="00273399">
      <w:pPr>
        <w:pStyle w:val="a7"/>
        <w:rPr>
          <w:rFonts w:eastAsia="MS Mincho" w:hint="cs"/>
          <w:rtl/>
        </w:rPr>
      </w:pPr>
      <w:r>
        <w:rPr>
          <w:rFonts w:eastAsia="MS Mincho" w:hint="cs"/>
          <w:rtl/>
        </w:rPr>
        <w:t>"</w:t>
      </w:r>
      <w:r>
        <w:rPr>
          <w:rFonts w:eastAsia="MS Mincho"/>
          <w:rtl/>
        </w:rPr>
        <w:t>כל ת"ח ש</w:t>
      </w:r>
      <w:r>
        <w:rPr>
          <w:rFonts w:eastAsia="MS Mincho"/>
          <w:b/>
          <w:bCs/>
          <w:rtl/>
        </w:rPr>
        <w:t>תורתו אומנותו</w:t>
      </w:r>
      <w:r>
        <w:rPr>
          <w:rFonts w:eastAsia="MS Mincho"/>
          <w:rtl/>
        </w:rPr>
        <w:t>, ועושה תורתו קבע</w:t>
      </w:r>
      <w:r>
        <w:rPr>
          <w:rFonts w:eastAsia="MS Mincho" w:hint="cs"/>
          <w:rtl/>
        </w:rPr>
        <w:t xml:space="preserve"> </w:t>
      </w:r>
      <w:r>
        <w:rPr>
          <w:rFonts w:eastAsia="MS Mincho"/>
          <w:rtl/>
        </w:rPr>
        <w:t>ומלאכתו עראי, והוגה בתורה תמיד ואינו מבטלה להתעסק בדברים בטלים, אך לחזור אחרי פרנסתו, כי זו היא חובתו</w:t>
      </w:r>
      <w:r>
        <w:rPr>
          <w:rFonts w:eastAsia="MS Mincho" w:hint="cs"/>
          <w:rtl/>
        </w:rPr>
        <w:t>,</w:t>
      </w:r>
      <w:r>
        <w:rPr>
          <w:rFonts w:eastAsia="MS Mincho"/>
          <w:rtl/>
        </w:rPr>
        <w:t xml:space="preserve"> כי יפה ת"ת עם דרך ארץ, וכל תורה שאין עמה מלאכה סופה</w:t>
      </w:r>
      <w:r>
        <w:rPr>
          <w:rFonts w:eastAsia="MS Mincho" w:hint="cs"/>
          <w:rtl/>
        </w:rPr>
        <w:t xml:space="preserve"> </w:t>
      </w:r>
      <w:r>
        <w:rPr>
          <w:rFonts w:eastAsia="MS Mincho"/>
          <w:rtl/>
        </w:rPr>
        <w:t>בטלה</w:t>
      </w:r>
      <w:r>
        <w:rPr>
          <w:rFonts w:eastAsia="MS Mincho" w:hint="cs"/>
          <w:rtl/>
        </w:rPr>
        <w:t xml:space="preserve"> </w:t>
      </w:r>
      <w:r>
        <w:rPr>
          <w:rFonts w:eastAsia="MS Mincho"/>
          <w:rtl/>
        </w:rPr>
        <w:t xml:space="preserve">וגוררת עון. ובכל עת </w:t>
      </w:r>
      <w:r>
        <w:rPr>
          <w:rFonts w:eastAsia="MS Mincho"/>
          <w:rtl/>
        </w:rPr>
        <w:lastRenderedPageBreak/>
        <w:t>ל</w:t>
      </w:r>
      <w:r>
        <w:rPr>
          <w:rFonts w:eastAsia="MS Mincho" w:hint="cs"/>
          <w:rtl/>
        </w:rPr>
        <w:t>ִ</w:t>
      </w:r>
      <w:r>
        <w:rPr>
          <w:rFonts w:eastAsia="MS Mincho"/>
          <w:rtl/>
        </w:rPr>
        <w:t>בו על גרסתו, ובגמר מלאכתו חוזר מיד לבית מדרשו, והוא נאה דורש ונאה מקיים, ולא סאני שומעניה, הוא בכלל רבנן, כי הכניס צוארו בעול, זה תורה, ואין להטיל עליו עול משא מלך ושרים</w:t>
      </w:r>
      <w:r>
        <w:rPr>
          <w:rFonts w:eastAsia="MS Mincho" w:hint="cs"/>
          <w:rtl/>
        </w:rPr>
        <w:t>"</w:t>
      </w:r>
      <w:r>
        <w:rPr>
          <w:rStyle w:val="a4"/>
          <w:rFonts w:eastAsia="MS Mincho"/>
          <w:rtl/>
        </w:rPr>
        <w:footnoteReference w:id="267"/>
      </w:r>
      <w:r>
        <w:rPr>
          <w:rFonts w:eastAsia="MS Mincho" w:hint="cs"/>
          <w:rtl/>
        </w:rPr>
        <w:t>.</w:t>
      </w:r>
    </w:p>
    <w:p w14:paraId="185D69EC" w14:textId="77777777" w:rsidR="00273399" w:rsidRDefault="00273399" w:rsidP="00273399">
      <w:pPr>
        <w:ind w:firstLine="284"/>
        <w:rPr>
          <w:rFonts w:hint="cs"/>
          <w:sz w:val="14"/>
          <w:rtl/>
        </w:rPr>
      </w:pPr>
      <w:r>
        <w:rPr>
          <w:rFonts w:hint="cs"/>
          <w:rtl/>
        </w:rPr>
        <w:lastRenderedPageBreak/>
        <w:t xml:space="preserve">מעתה מובן מדוע הביטוי "תורתו אומנותו" המוזכר בהקשר של </w:t>
      </w:r>
      <w:r>
        <w:rPr>
          <w:rFonts w:hint="cs"/>
          <w:sz w:val="14"/>
          <w:rtl/>
        </w:rPr>
        <w:t>פטור משירות צבאי, כולל כל תלמיד ישיבה, הגם שאינו פטור מתפילה כרשב"י וחבריו</w:t>
      </w:r>
      <w:r>
        <w:rPr>
          <w:rStyle w:val="a4"/>
          <w:rtl/>
        </w:rPr>
        <w:footnoteReference w:id="268"/>
      </w:r>
      <w:r>
        <w:rPr>
          <w:rFonts w:hint="cs"/>
          <w:sz w:val="14"/>
          <w:rtl/>
        </w:rPr>
        <w:t xml:space="preserve">. </w:t>
      </w:r>
    </w:p>
    <w:p w14:paraId="52B53529" w14:textId="77777777" w:rsidR="00273399" w:rsidRDefault="00273399" w:rsidP="000015C4">
      <w:pPr>
        <w:pStyle w:val="1"/>
        <w:rPr>
          <w:rFonts w:hint="cs"/>
          <w:rtl/>
        </w:rPr>
      </w:pPr>
    </w:p>
    <w:p w14:paraId="0CC5491A" w14:textId="77777777" w:rsidR="000015C4" w:rsidRDefault="000015C4" w:rsidP="000015C4">
      <w:pPr>
        <w:pStyle w:val="1"/>
        <w:rPr>
          <w:rFonts w:hint="cs"/>
          <w:rtl/>
        </w:rPr>
      </w:pPr>
      <w:r>
        <w:rPr>
          <w:rFonts w:hint="cs"/>
          <w:rtl/>
        </w:rPr>
        <w:t>דף יא, א (פ"א מ"ג): "</w:t>
      </w:r>
      <w:r>
        <w:rPr>
          <w:rtl/>
        </w:rPr>
        <w:t xml:space="preserve">ולא יפלה את </w:t>
      </w:r>
      <w:r>
        <w:rPr>
          <w:rFonts w:hint="cs"/>
          <w:rtl/>
        </w:rPr>
        <w:t>כליו</w:t>
      </w:r>
      <w:r>
        <w:rPr>
          <w:rtl/>
        </w:rPr>
        <w:t xml:space="preserve"> ולא יקרא לאור הנר</w:t>
      </w:r>
      <w:r>
        <w:rPr>
          <w:rFonts w:hint="cs"/>
          <w:rtl/>
        </w:rPr>
        <w:t>"</w:t>
      </w:r>
    </w:p>
    <w:p w14:paraId="079230CF" w14:textId="77777777" w:rsidR="000015C4" w:rsidRDefault="000015C4" w:rsidP="000015C4">
      <w:pPr>
        <w:pStyle w:val="2"/>
        <w:rPr>
          <w:rFonts w:hint="cs"/>
          <w:rtl/>
        </w:rPr>
      </w:pPr>
      <w:r>
        <w:rPr>
          <w:rtl/>
        </w:rPr>
        <w:t>יפלה</w:t>
      </w:r>
      <w:r>
        <w:rPr>
          <w:rFonts w:hint="cs"/>
          <w:rtl/>
        </w:rPr>
        <w:t xml:space="preserve">, יפאר ויבער </w:t>
      </w:r>
    </w:p>
    <w:p w14:paraId="0E6717D2" w14:textId="77777777" w:rsidR="000015C4" w:rsidRDefault="000015C4" w:rsidP="000015C4">
      <w:pPr>
        <w:pStyle w:val="3"/>
        <w:rPr>
          <w:rFonts w:hint="cs"/>
          <w:rtl/>
        </w:rPr>
      </w:pPr>
      <w:r>
        <w:rPr>
          <w:rtl/>
        </w:rPr>
        <w:t>שמא יטה</w:t>
      </w:r>
      <w:r>
        <w:rPr>
          <w:rFonts w:hint="cs"/>
          <w:rtl/>
        </w:rPr>
        <w:t xml:space="preserve"> </w:t>
      </w:r>
    </w:p>
    <w:p w14:paraId="2409839F" w14:textId="77777777" w:rsidR="000015C4" w:rsidRDefault="000015C4" w:rsidP="000015C4">
      <w:pPr>
        <w:ind w:firstLine="284"/>
        <w:rPr>
          <w:rFonts w:hint="cs"/>
          <w:rtl/>
        </w:rPr>
      </w:pPr>
      <w:r>
        <w:rPr>
          <w:rFonts w:hint="cs"/>
          <w:rtl/>
        </w:rPr>
        <w:t>נפתח בדין האמור בסיפא של המשנה: "</w:t>
      </w:r>
      <w:r>
        <w:rPr>
          <w:rtl/>
        </w:rPr>
        <w:t>ולא יקרא לאור הנר</w:t>
      </w:r>
      <w:r>
        <w:rPr>
          <w:rStyle w:val="a4"/>
          <w:rtl/>
        </w:rPr>
        <w:footnoteReference w:id="269"/>
      </w:r>
      <w:r>
        <w:rPr>
          <w:rFonts w:hint="cs"/>
          <w:rtl/>
        </w:rPr>
        <w:t>"</w:t>
      </w:r>
      <w:r>
        <w:rPr>
          <w:rtl/>
        </w:rPr>
        <w:t>.</w:t>
      </w:r>
      <w:r>
        <w:rPr>
          <w:rFonts w:hint="cs"/>
          <w:rtl/>
        </w:rPr>
        <w:t xml:space="preserve"> משנתנו אוסרת להיעזר באור הנר לצורך קריאה בליל שבת. למרות יעילות </w:t>
      </w:r>
      <w:r>
        <w:rPr>
          <w:rtl/>
        </w:rPr>
        <w:t>אור</w:t>
      </w:r>
      <w:r>
        <w:rPr>
          <w:rFonts w:hint="cs"/>
          <w:rtl/>
        </w:rPr>
        <w:t xml:space="preserve"> </w:t>
      </w:r>
      <w:r>
        <w:rPr>
          <w:rtl/>
        </w:rPr>
        <w:t xml:space="preserve">הנר </w:t>
      </w:r>
      <w:r>
        <w:rPr>
          <w:rFonts w:hint="cs"/>
          <w:rtl/>
        </w:rPr>
        <w:t>(כגון לבדיקת חמץ</w:t>
      </w:r>
      <w:r>
        <w:rPr>
          <w:rStyle w:val="a4"/>
          <w:rtl/>
        </w:rPr>
        <w:footnoteReference w:id="270"/>
      </w:r>
      <w:r>
        <w:rPr>
          <w:rFonts w:hint="cs"/>
          <w:rtl/>
        </w:rPr>
        <w:t xml:space="preserve">) לפעמים דרושה התערבות האדם כדי שהנר ימשיך להאיר כנדרש, וכך כותב </w:t>
      </w:r>
      <w:r>
        <w:rPr>
          <w:rtl/>
        </w:rPr>
        <w:t xml:space="preserve">רש"י </w:t>
      </w:r>
      <w:r>
        <w:rPr>
          <w:rFonts w:hint="cs"/>
          <w:sz w:val="26"/>
          <w:rtl/>
        </w:rPr>
        <w:t>על משנתנו</w:t>
      </w:r>
      <w:r>
        <w:rPr>
          <w:rFonts w:hint="cs"/>
          <w:rtl/>
        </w:rPr>
        <w:t>: "</w:t>
      </w:r>
      <w:r>
        <w:rPr>
          <w:rtl/>
        </w:rPr>
        <w:t>ולא יקרא לאור הנר - בספר</w:t>
      </w:r>
      <w:r>
        <w:rPr>
          <w:rStyle w:val="a4"/>
          <w:rtl/>
        </w:rPr>
        <w:footnoteReference w:id="271"/>
      </w:r>
      <w:r>
        <w:rPr>
          <w:rtl/>
        </w:rPr>
        <w:t>, שמא יַטֶּה</w:t>
      </w:r>
      <w:r>
        <w:rPr>
          <w:rFonts w:hint="cs"/>
          <w:rtl/>
        </w:rPr>
        <w:t xml:space="preserve"> </w:t>
      </w:r>
      <w:r>
        <w:rPr>
          <w:rtl/>
        </w:rPr>
        <w:t>הנר להביא השמן לפי הפתילה שי</w:t>
      </w:r>
      <w:r>
        <w:rPr>
          <w:rFonts w:hint="cs"/>
          <w:rtl/>
        </w:rPr>
        <w:t>ִ</w:t>
      </w:r>
      <w:r>
        <w:rPr>
          <w:rtl/>
        </w:rPr>
        <w:t>דלק יפה, ונמצא מבעיר בשבת</w:t>
      </w:r>
      <w:r>
        <w:rPr>
          <w:rFonts w:hint="cs"/>
          <w:rtl/>
        </w:rPr>
        <w:t>" (</w:t>
      </w:r>
      <w:r>
        <w:rPr>
          <w:rFonts w:hint="cs"/>
          <w:sz w:val="18"/>
          <w:szCs w:val="20"/>
          <w:rtl/>
        </w:rPr>
        <w:t xml:space="preserve">פרטי גזירה זו, שטעמה לא </w:t>
      </w:r>
      <w:r>
        <w:rPr>
          <w:rFonts w:hint="cs"/>
          <w:sz w:val="18"/>
          <w:szCs w:val="20"/>
          <w:rtl/>
        </w:rPr>
        <w:lastRenderedPageBreak/>
        <w:t>נתבאר במשנתנו</w:t>
      </w:r>
      <w:r>
        <w:rPr>
          <w:rStyle w:val="a4"/>
          <w:szCs w:val="20"/>
          <w:rtl/>
        </w:rPr>
        <w:footnoteReference w:id="272"/>
      </w:r>
      <w:r>
        <w:rPr>
          <w:rFonts w:hint="cs"/>
          <w:sz w:val="18"/>
          <w:szCs w:val="20"/>
          <w:rtl/>
        </w:rPr>
        <w:t>, נידונו בתלמוד וסוכמו ב</w:t>
      </w:r>
      <w:r>
        <w:rPr>
          <w:sz w:val="18"/>
          <w:szCs w:val="20"/>
          <w:rtl/>
        </w:rPr>
        <w:t>שולחן ערוך או</w:t>
      </w:r>
      <w:r>
        <w:rPr>
          <w:rFonts w:hint="cs"/>
          <w:sz w:val="18"/>
          <w:szCs w:val="20"/>
          <w:rtl/>
        </w:rPr>
        <w:t>"</w:t>
      </w:r>
      <w:r>
        <w:rPr>
          <w:sz w:val="18"/>
          <w:szCs w:val="20"/>
          <w:rtl/>
        </w:rPr>
        <w:t>ח</w:t>
      </w:r>
      <w:r>
        <w:rPr>
          <w:rFonts w:hint="cs"/>
          <w:sz w:val="18"/>
          <w:szCs w:val="20"/>
          <w:rtl/>
        </w:rPr>
        <w:t xml:space="preserve">, </w:t>
      </w:r>
      <w:r>
        <w:rPr>
          <w:sz w:val="18"/>
          <w:szCs w:val="20"/>
          <w:rtl/>
        </w:rPr>
        <w:t>סימן רע</w:t>
      </w:r>
      <w:r>
        <w:rPr>
          <w:rFonts w:hint="cs"/>
          <w:sz w:val="18"/>
          <w:szCs w:val="20"/>
          <w:rtl/>
        </w:rPr>
        <w:t>"</w:t>
      </w:r>
      <w:r>
        <w:rPr>
          <w:sz w:val="18"/>
          <w:szCs w:val="20"/>
          <w:rtl/>
        </w:rPr>
        <w:t>ה</w:t>
      </w:r>
      <w:r>
        <w:rPr>
          <w:rFonts w:hint="cs"/>
          <w:rtl/>
        </w:rPr>
        <w:t>). אמנם, לא רק קריאה בכלל גזירה זו, אלא כל מעשה ה</w:t>
      </w:r>
      <w:r>
        <w:rPr>
          <w:rFonts w:eastAsia="MS Mincho" w:hint="cs"/>
          <w:sz w:val="26"/>
          <w:rtl/>
        </w:rPr>
        <w:t xml:space="preserve">מצריך התבוננות וראייה מיטבית. כך כתב </w:t>
      </w:r>
      <w:r>
        <w:rPr>
          <w:rFonts w:hint="cs"/>
          <w:rtl/>
        </w:rPr>
        <w:t>ה</w:t>
      </w:r>
      <w:r>
        <w:rPr>
          <w:rtl/>
        </w:rPr>
        <w:t>רמב"ם</w:t>
      </w:r>
      <w:r>
        <w:rPr>
          <w:rFonts w:hint="cs"/>
          <w:rtl/>
        </w:rPr>
        <w:t>:</w:t>
      </w:r>
      <w:r>
        <w:rPr>
          <w:rtl/>
        </w:rPr>
        <w:t xml:space="preserve"> </w:t>
      </w:r>
      <w:r>
        <w:rPr>
          <w:rFonts w:hint="cs"/>
          <w:rtl/>
        </w:rPr>
        <w:t>"</w:t>
      </w:r>
      <w:r>
        <w:rPr>
          <w:rtl/>
        </w:rPr>
        <w:t xml:space="preserve">מותר להשתמש </w:t>
      </w:r>
      <w:r>
        <w:rPr>
          <w:rFonts w:hint="cs"/>
          <w:rtl/>
        </w:rPr>
        <w:t>ל</w:t>
      </w:r>
      <w:r>
        <w:rPr>
          <w:rtl/>
        </w:rPr>
        <w:t xml:space="preserve">נר </w:t>
      </w:r>
      <w:r>
        <w:rPr>
          <w:rFonts w:hint="cs"/>
          <w:rtl/>
        </w:rPr>
        <w:t>ה</w:t>
      </w:r>
      <w:r>
        <w:rPr>
          <w:rtl/>
        </w:rPr>
        <w:t>שבת</w:t>
      </w:r>
      <w:r>
        <w:rPr>
          <w:rStyle w:val="a4"/>
          <w:rtl/>
        </w:rPr>
        <w:footnoteReference w:id="273"/>
      </w:r>
      <w:r>
        <w:rPr>
          <w:rtl/>
        </w:rPr>
        <w:t>, והוא שלא יה</w:t>
      </w:r>
      <w:r>
        <w:rPr>
          <w:rFonts w:hint="cs"/>
          <w:rtl/>
        </w:rPr>
        <w:t>יה</w:t>
      </w:r>
      <w:r>
        <w:rPr>
          <w:rtl/>
        </w:rPr>
        <w:t xml:space="preserve"> הדבר צריך עיון הרבה</w:t>
      </w:r>
      <w:r>
        <w:rPr>
          <w:rFonts w:hint="cs"/>
          <w:rtl/>
        </w:rPr>
        <w:t xml:space="preserve">; </w:t>
      </w:r>
      <w:r>
        <w:rPr>
          <w:rtl/>
        </w:rPr>
        <w:t>אבל דבר שצריך לדקדק בראייתו</w:t>
      </w:r>
      <w:r>
        <w:rPr>
          <w:rFonts w:hint="cs"/>
          <w:rtl/>
        </w:rPr>
        <w:t>,</w:t>
      </w:r>
      <w:r>
        <w:rPr>
          <w:rtl/>
        </w:rPr>
        <w:t xml:space="preserve"> אסור להבחינו לאור הנר</w:t>
      </w:r>
      <w:r>
        <w:rPr>
          <w:rFonts w:hint="cs"/>
          <w:rtl/>
        </w:rPr>
        <w:t>,</w:t>
      </w:r>
      <w:r>
        <w:rPr>
          <w:rtl/>
        </w:rPr>
        <w:t xml:space="preserve"> גזירה שמא יטה</w:t>
      </w:r>
      <w:r>
        <w:rPr>
          <w:rFonts w:hint="cs"/>
          <w:rtl/>
        </w:rPr>
        <w:t>" (</w:t>
      </w:r>
      <w:r>
        <w:rPr>
          <w:sz w:val="18"/>
          <w:szCs w:val="20"/>
          <w:rtl/>
        </w:rPr>
        <w:t>הלכות שבת פ</w:t>
      </w:r>
      <w:r>
        <w:rPr>
          <w:rFonts w:hint="cs"/>
          <w:sz w:val="18"/>
          <w:szCs w:val="20"/>
          <w:rtl/>
        </w:rPr>
        <w:t>"</w:t>
      </w:r>
      <w:r>
        <w:rPr>
          <w:sz w:val="18"/>
          <w:szCs w:val="20"/>
          <w:rtl/>
        </w:rPr>
        <w:t>ה ה</w:t>
      </w:r>
      <w:r>
        <w:rPr>
          <w:rFonts w:hint="cs"/>
          <w:sz w:val="18"/>
          <w:szCs w:val="20"/>
          <w:rtl/>
        </w:rPr>
        <w:t>"</w:t>
      </w:r>
      <w:r>
        <w:rPr>
          <w:sz w:val="18"/>
          <w:szCs w:val="20"/>
          <w:rtl/>
        </w:rPr>
        <w:t>ב</w:t>
      </w:r>
      <w:r>
        <w:rPr>
          <w:rFonts w:hint="cs"/>
          <w:rtl/>
        </w:rPr>
        <w:t>).</w:t>
      </w:r>
    </w:p>
    <w:p w14:paraId="1C0B244F" w14:textId="77777777" w:rsidR="000015C4" w:rsidRDefault="000015C4" w:rsidP="000015C4">
      <w:pPr>
        <w:ind w:firstLine="284"/>
        <w:rPr>
          <w:rFonts w:hint="cs"/>
          <w:rtl/>
        </w:rPr>
      </w:pPr>
      <w:r>
        <w:rPr>
          <w:rFonts w:hint="cs"/>
          <w:rtl/>
        </w:rPr>
        <w:t>ועתה נעבור לרישא, "</w:t>
      </w:r>
      <w:r>
        <w:rPr>
          <w:rtl/>
        </w:rPr>
        <w:t>ולא יפלה את כליו</w:t>
      </w:r>
      <w:r>
        <w:rPr>
          <w:rStyle w:val="a4"/>
          <w:rtl/>
        </w:rPr>
        <w:footnoteReference w:id="274"/>
      </w:r>
      <w:r>
        <w:rPr>
          <w:rFonts w:hint="cs"/>
          <w:rtl/>
        </w:rPr>
        <w:t xml:space="preserve">". מדובר כאן בטיפול נגד כִּנים המצויים בבגדים, שהיה מקובל בזמן חז"ל. תהליך זה מורכב מארבעה שלבים: </w:t>
      </w:r>
    </w:p>
    <w:p w14:paraId="727CB15B" w14:textId="77777777" w:rsidR="000015C4" w:rsidRDefault="000015C4" w:rsidP="000015C4">
      <w:pPr>
        <w:ind w:firstLine="284"/>
        <w:rPr>
          <w:rFonts w:hint="cs"/>
          <w:rtl/>
        </w:rPr>
      </w:pPr>
      <w:r>
        <w:rPr>
          <w:rFonts w:hint="cs"/>
          <w:b/>
          <w:bCs/>
          <w:rtl/>
        </w:rPr>
        <w:t xml:space="preserve">א'. </w:t>
      </w:r>
      <w:r>
        <w:rPr>
          <w:rFonts w:hint="cs"/>
          <w:rtl/>
        </w:rPr>
        <w:t>בדיקה של הבגד וחיפוש אחר כִּנים</w:t>
      </w:r>
    </w:p>
    <w:p w14:paraId="34ACD4EA" w14:textId="77777777" w:rsidR="000015C4" w:rsidRDefault="000015C4" w:rsidP="000015C4">
      <w:pPr>
        <w:ind w:firstLine="284"/>
        <w:rPr>
          <w:rFonts w:hint="cs"/>
          <w:rtl/>
        </w:rPr>
      </w:pPr>
      <w:r>
        <w:rPr>
          <w:rFonts w:hint="cs"/>
          <w:b/>
          <w:bCs/>
          <w:rtl/>
        </w:rPr>
        <w:t xml:space="preserve">ב'. </w:t>
      </w:r>
      <w:r>
        <w:rPr>
          <w:rFonts w:hint="cs"/>
          <w:rtl/>
        </w:rPr>
        <w:t>מציאת הכִּנים</w:t>
      </w:r>
    </w:p>
    <w:p w14:paraId="6570DB5D" w14:textId="77777777" w:rsidR="000015C4" w:rsidRDefault="000015C4" w:rsidP="000015C4">
      <w:pPr>
        <w:ind w:firstLine="284"/>
        <w:rPr>
          <w:rFonts w:hint="cs"/>
          <w:rtl/>
        </w:rPr>
      </w:pPr>
      <w:r>
        <w:rPr>
          <w:rFonts w:hint="cs"/>
          <w:b/>
          <w:bCs/>
          <w:rtl/>
        </w:rPr>
        <w:t xml:space="preserve">ג'. </w:t>
      </w:r>
      <w:r>
        <w:rPr>
          <w:rFonts w:hint="cs"/>
          <w:rtl/>
        </w:rPr>
        <w:t>הוצאה וסילוק של הכִּנים מן הבגד</w:t>
      </w:r>
    </w:p>
    <w:p w14:paraId="359C6E21" w14:textId="77777777" w:rsidR="000015C4" w:rsidRDefault="000015C4" w:rsidP="000015C4">
      <w:pPr>
        <w:ind w:firstLine="284"/>
        <w:rPr>
          <w:rFonts w:eastAsia="MS Mincho" w:hint="cs"/>
          <w:sz w:val="26"/>
          <w:rtl/>
        </w:rPr>
      </w:pPr>
      <w:r>
        <w:rPr>
          <w:rFonts w:hint="cs"/>
          <w:b/>
          <w:bCs/>
          <w:rtl/>
        </w:rPr>
        <w:t xml:space="preserve">ד'. </w:t>
      </w:r>
      <w:r>
        <w:rPr>
          <w:rFonts w:hint="cs"/>
          <w:rtl/>
        </w:rPr>
        <w:t>השמדת הכִּנים והריגתן.</w:t>
      </w:r>
      <w:r>
        <w:rPr>
          <w:rFonts w:eastAsia="MS Mincho" w:hint="cs"/>
          <w:sz w:val="26"/>
          <w:rtl/>
        </w:rPr>
        <w:t xml:space="preserve"> </w:t>
      </w:r>
    </w:p>
    <w:p w14:paraId="4D39BEAE" w14:textId="77777777" w:rsidR="000015C4" w:rsidRDefault="000015C4" w:rsidP="000015C4">
      <w:pPr>
        <w:ind w:firstLine="284"/>
        <w:rPr>
          <w:rFonts w:hint="cs"/>
          <w:rtl/>
        </w:rPr>
      </w:pPr>
      <w:r>
        <w:rPr>
          <w:rFonts w:hint="cs"/>
          <w:rtl/>
        </w:rPr>
        <w:t>בשאלה מהם השלבים הכלולים בגזירה זו, ובשאלת טעם הגזירה, דן התלמוד להלן</w:t>
      </w:r>
      <w:r>
        <w:rPr>
          <w:rtl/>
        </w:rPr>
        <w:t xml:space="preserve"> </w:t>
      </w:r>
      <w:r>
        <w:rPr>
          <w:sz w:val="18"/>
          <w:szCs w:val="20"/>
          <w:rtl/>
        </w:rPr>
        <w:t>דף יב</w:t>
      </w:r>
      <w:r>
        <w:rPr>
          <w:rFonts w:hint="cs"/>
          <w:sz w:val="18"/>
          <w:szCs w:val="20"/>
          <w:rtl/>
        </w:rPr>
        <w:t xml:space="preserve">, </w:t>
      </w:r>
      <w:r>
        <w:rPr>
          <w:sz w:val="18"/>
          <w:szCs w:val="20"/>
          <w:rtl/>
        </w:rPr>
        <w:t>א</w:t>
      </w:r>
      <w:r>
        <w:rPr>
          <w:rFonts w:hint="cs"/>
          <w:rtl/>
        </w:rPr>
        <w:t xml:space="preserve">. שאלות אלו תלויות בתחביר משפט זה ופיסוקו. </w:t>
      </w:r>
      <w:r>
        <w:rPr>
          <w:rtl/>
        </w:rPr>
        <w:t>ניתן לפסֵק (וממילא להבין) משפט זה בשני אופנים</w:t>
      </w:r>
      <w:r>
        <w:rPr>
          <w:rStyle w:val="a4"/>
          <w:rtl/>
        </w:rPr>
        <w:footnoteReference w:id="275"/>
      </w:r>
      <w:r>
        <w:rPr>
          <w:rFonts w:hint="cs"/>
          <w:rtl/>
        </w:rPr>
        <w:t xml:space="preserve">: </w:t>
      </w:r>
    </w:p>
    <w:p w14:paraId="3B54F91F" w14:textId="77777777" w:rsidR="000015C4" w:rsidRDefault="000015C4" w:rsidP="000015C4">
      <w:pPr>
        <w:ind w:firstLine="284"/>
        <w:rPr>
          <w:rFonts w:hint="cs"/>
          <w:rtl/>
        </w:rPr>
      </w:pPr>
      <w:r>
        <w:rPr>
          <w:rFonts w:hint="cs"/>
          <w:b/>
          <w:bCs/>
          <w:rtl/>
        </w:rPr>
        <w:t>1)</w:t>
      </w:r>
      <w:r>
        <w:rPr>
          <w:rFonts w:hint="cs"/>
          <w:rtl/>
        </w:rPr>
        <w:t xml:space="preserve"> "</w:t>
      </w:r>
      <w:r>
        <w:rPr>
          <w:rtl/>
        </w:rPr>
        <w:t>ולא יפלה את כליו</w:t>
      </w:r>
      <w:r>
        <w:rPr>
          <w:rFonts w:hint="cs"/>
          <w:b/>
          <w:bCs/>
          <w:rtl/>
        </w:rPr>
        <w:t>,</w:t>
      </w:r>
      <w:r>
        <w:rPr>
          <w:rtl/>
        </w:rPr>
        <w:t xml:space="preserve"> </w:t>
      </w:r>
      <w:r>
        <w:rPr>
          <w:rFonts w:hint="cs"/>
          <w:rtl/>
        </w:rPr>
        <w:t xml:space="preserve">  </w:t>
      </w:r>
      <w:r>
        <w:rPr>
          <w:rtl/>
        </w:rPr>
        <w:t>ולא יקרא לאור הנר</w:t>
      </w:r>
      <w:r>
        <w:rPr>
          <w:rFonts w:hint="cs"/>
          <w:rtl/>
        </w:rPr>
        <w:t>"</w:t>
      </w:r>
    </w:p>
    <w:p w14:paraId="45E5E0EB" w14:textId="77777777" w:rsidR="000015C4" w:rsidRDefault="000015C4" w:rsidP="000015C4">
      <w:pPr>
        <w:ind w:firstLine="284"/>
        <w:rPr>
          <w:rFonts w:hint="cs"/>
          <w:rtl/>
        </w:rPr>
      </w:pPr>
      <w:r>
        <w:rPr>
          <w:rFonts w:hint="cs"/>
          <w:b/>
          <w:bCs/>
          <w:rtl/>
        </w:rPr>
        <w:lastRenderedPageBreak/>
        <w:t>2)</w:t>
      </w:r>
      <w:r>
        <w:rPr>
          <w:rFonts w:hint="cs"/>
          <w:rtl/>
        </w:rPr>
        <w:t xml:space="preserve"> "</w:t>
      </w:r>
      <w:r>
        <w:rPr>
          <w:rtl/>
        </w:rPr>
        <w:t>ולא יפלה את כליו ולא יקרא</w:t>
      </w:r>
      <w:r>
        <w:rPr>
          <w:rFonts w:hint="cs"/>
          <w:b/>
          <w:bCs/>
          <w:rtl/>
        </w:rPr>
        <w:t>,</w:t>
      </w:r>
      <w:r>
        <w:rPr>
          <w:rtl/>
        </w:rPr>
        <w:t xml:space="preserve"> </w:t>
      </w:r>
      <w:r>
        <w:rPr>
          <w:rFonts w:hint="cs"/>
          <w:rtl/>
        </w:rPr>
        <w:t xml:space="preserve">  </w:t>
      </w:r>
      <w:r>
        <w:rPr>
          <w:rtl/>
        </w:rPr>
        <w:t>לאור הנר</w:t>
      </w:r>
      <w:r>
        <w:rPr>
          <w:rFonts w:hint="cs"/>
          <w:rtl/>
        </w:rPr>
        <w:t>"</w:t>
      </w:r>
    </w:p>
    <w:p w14:paraId="1EF27C3A" w14:textId="77777777" w:rsidR="000015C4" w:rsidRDefault="000015C4" w:rsidP="000015C4">
      <w:pPr>
        <w:ind w:firstLine="284"/>
        <w:rPr>
          <w:rFonts w:hint="cs"/>
          <w:rtl/>
        </w:rPr>
      </w:pPr>
      <w:r>
        <w:rPr>
          <w:rFonts w:hint="cs"/>
          <w:rtl/>
        </w:rPr>
        <w:t>מיקום הַפְּסִיק משפיע על הבנת היקף האיסור וטעמו, כפי שנסתפקו בתלמוד: "</w:t>
      </w:r>
      <w:r>
        <w:rPr>
          <w:rtl/>
        </w:rPr>
        <w:t xml:space="preserve">איבעיא להו: </w:t>
      </w:r>
      <w:r>
        <w:rPr>
          <w:rFonts w:hint="cs"/>
          <w:b/>
          <w:bCs/>
          <w:rtl/>
        </w:rPr>
        <w:t xml:space="preserve">1) </w:t>
      </w:r>
      <w:r>
        <w:rPr>
          <w:rFonts w:hint="cs"/>
          <w:rtl/>
        </w:rPr>
        <w:t>'</w:t>
      </w:r>
      <w:r>
        <w:rPr>
          <w:rtl/>
        </w:rPr>
        <w:t>לא יפלה את כליו</w:t>
      </w:r>
      <w:r>
        <w:rPr>
          <w:rFonts w:hint="cs"/>
          <w:rtl/>
        </w:rPr>
        <w:t xml:space="preserve">' </w:t>
      </w:r>
      <w:r>
        <w:rPr>
          <w:rtl/>
        </w:rPr>
        <w:t>ביום, שמא יהרוג, ורבי אליעזר היא</w:t>
      </w:r>
      <w:r>
        <w:rPr>
          <w:rFonts w:hint="cs"/>
          <w:rtl/>
        </w:rPr>
        <w:t xml:space="preserve">, </w:t>
      </w:r>
      <w:r>
        <w:rPr>
          <w:rtl/>
        </w:rPr>
        <w:t>דתניא</w:t>
      </w:r>
      <w:r>
        <w:rPr>
          <w:rFonts w:hint="cs"/>
          <w:rtl/>
        </w:rPr>
        <w:t xml:space="preserve">: </w:t>
      </w:r>
      <w:r>
        <w:rPr>
          <w:rtl/>
        </w:rPr>
        <w:t>אמר רבי אליעזר: ההורג כינה בשבת כאילו הורג גמל</w:t>
      </w:r>
      <w:r>
        <w:rPr>
          <w:rStyle w:val="a4"/>
          <w:rtl/>
        </w:rPr>
        <w:footnoteReference w:id="276"/>
      </w:r>
      <w:r>
        <w:rPr>
          <w:rFonts w:hint="cs"/>
          <w:rtl/>
        </w:rPr>
        <w:t>,</w:t>
      </w:r>
      <w:r>
        <w:rPr>
          <w:rtl/>
        </w:rPr>
        <w:t xml:space="preserve"> </w:t>
      </w:r>
      <w:r>
        <w:rPr>
          <w:rFonts w:hint="cs"/>
          <w:rtl/>
        </w:rPr>
        <w:t>'</w:t>
      </w:r>
      <w:r>
        <w:rPr>
          <w:rtl/>
        </w:rPr>
        <w:t>ולא יקרא לאור הנר</w:t>
      </w:r>
      <w:r>
        <w:rPr>
          <w:rFonts w:hint="cs"/>
          <w:rtl/>
        </w:rPr>
        <w:t xml:space="preserve">', </w:t>
      </w:r>
      <w:r>
        <w:rPr>
          <w:rtl/>
        </w:rPr>
        <w:t>שמא יטה</w:t>
      </w:r>
      <w:r>
        <w:rPr>
          <w:rFonts w:hint="cs"/>
          <w:rtl/>
        </w:rPr>
        <w:t>;</w:t>
      </w:r>
      <w:r>
        <w:rPr>
          <w:rtl/>
        </w:rPr>
        <w:t xml:space="preserve"> או דילמא: </w:t>
      </w:r>
      <w:r>
        <w:rPr>
          <w:rFonts w:hint="cs"/>
          <w:b/>
          <w:bCs/>
          <w:rtl/>
        </w:rPr>
        <w:t xml:space="preserve">2) </w:t>
      </w:r>
      <w:r>
        <w:rPr>
          <w:rtl/>
        </w:rPr>
        <w:t>תרוייהו שמא יטה?</w:t>
      </w:r>
      <w:r>
        <w:rPr>
          <w:rFonts w:hint="cs"/>
          <w:rtl/>
        </w:rPr>
        <w:t>". מסקנת התלמוד "</w:t>
      </w:r>
      <w:r>
        <w:rPr>
          <w:rtl/>
        </w:rPr>
        <w:t>שמע מינה</w:t>
      </w:r>
      <w:r>
        <w:rPr>
          <w:rFonts w:hint="cs"/>
          <w:rtl/>
        </w:rPr>
        <w:t xml:space="preserve"> </w:t>
      </w:r>
      <w:r>
        <w:rPr>
          <w:rtl/>
        </w:rPr>
        <w:t>דתרוייהו שמא יטה</w:t>
      </w:r>
      <w:r>
        <w:rPr>
          <w:rFonts w:hint="cs"/>
          <w:rtl/>
        </w:rPr>
        <w:t xml:space="preserve">" מורה שהגזירה האוסרת חיפוש אחר כִּנים וסילוקם מהבגד מוגבלת לאור הנר בלבד, ולכן יש </w:t>
      </w:r>
      <w:r>
        <w:rPr>
          <w:rtl/>
        </w:rPr>
        <w:t>לקרוא את משנתנו כאופן הש</w:t>
      </w:r>
      <w:r>
        <w:rPr>
          <w:rFonts w:hint="cs"/>
          <w:rtl/>
        </w:rPr>
        <w:t>ני</w:t>
      </w:r>
      <w:r>
        <w:rPr>
          <w:rtl/>
        </w:rPr>
        <w:t xml:space="preserve"> הנ"ל, כדי להבהיר ש"לאור הנר" שבסיפא עולה לא רק על "לא יקרא", אלא גם על "לא יפלה"</w:t>
      </w:r>
      <w:r>
        <w:rPr>
          <w:rStyle w:val="a4"/>
          <w:rtl/>
        </w:rPr>
        <w:footnoteReference w:id="277"/>
      </w:r>
      <w:r>
        <w:rPr>
          <w:rtl/>
        </w:rPr>
        <w:t>.</w:t>
      </w:r>
    </w:p>
    <w:p w14:paraId="57948347" w14:textId="77777777" w:rsidR="000015C4" w:rsidRDefault="000015C4" w:rsidP="000015C4">
      <w:pPr>
        <w:ind w:firstLine="284"/>
        <w:rPr>
          <w:rFonts w:hint="cs"/>
          <w:rtl/>
        </w:rPr>
      </w:pPr>
      <w:r>
        <w:rPr>
          <w:rFonts w:hint="cs"/>
          <w:rtl/>
        </w:rPr>
        <w:t>נעבור עתה לפירושו של הפֹעַל "יפלה", ולבסוף נדון</w:t>
      </w:r>
      <w:r>
        <w:rPr>
          <w:rFonts w:hint="cs"/>
          <w:color w:val="FF00FF"/>
          <w:rtl/>
        </w:rPr>
        <w:t xml:space="preserve"> </w:t>
      </w:r>
      <w:r>
        <w:rPr>
          <w:rFonts w:hint="cs"/>
          <w:rtl/>
        </w:rPr>
        <w:t>בניקודו.</w:t>
      </w:r>
    </w:p>
    <w:p w14:paraId="777D1C32" w14:textId="77777777" w:rsidR="000015C4" w:rsidRDefault="000015C4" w:rsidP="000015C4">
      <w:pPr>
        <w:pStyle w:val="3"/>
        <w:rPr>
          <w:rFonts w:hint="cs"/>
          <w:rtl/>
        </w:rPr>
      </w:pPr>
      <w:r>
        <w:rPr>
          <w:rFonts w:hint="cs"/>
          <w:rtl/>
        </w:rPr>
        <w:t>פירוש המִלה יפלה?</w:t>
      </w:r>
    </w:p>
    <w:p w14:paraId="15AFAF77" w14:textId="77777777" w:rsidR="000015C4" w:rsidRDefault="000015C4" w:rsidP="000015C4">
      <w:pPr>
        <w:ind w:firstLine="284"/>
        <w:rPr>
          <w:rFonts w:hint="cs"/>
          <w:rtl/>
        </w:rPr>
      </w:pPr>
      <w:r>
        <w:rPr>
          <w:rFonts w:hint="cs"/>
          <w:rtl/>
        </w:rPr>
        <w:t>מצאנו שני פירושים לרישא "</w:t>
      </w:r>
      <w:r>
        <w:rPr>
          <w:rtl/>
        </w:rPr>
        <w:t xml:space="preserve">לא יפלה את </w:t>
      </w:r>
      <w:r>
        <w:rPr>
          <w:rFonts w:hint="cs"/>
          <w:rtl/>
        </w:rPr>
        <w:t xml:space="preserve">כליו". </w:t>
      </w:r>
      <w:r>
        <w:rPr>
          <w:rtl/>
        </w:rPr>
        <w:t>רש"י מפרש: "ולא יפלה את כֵּליו. מְבַעֵר כִּנים מבגדיו</w:t>
      </w:r>
      <w:r>
        <w:rPr>
          <w:rFonts w:hint="cs"/>
          <w:rtl/>
        </w:rPr>
        <w:t>, דמתרגמינן (</w:t>
      </w:r>
      <w:r>
        <w:rPr>
          <w:rFonts w:hint="cs"/>
          <w:sz w:val="18"/>
          <w:szCs w:val="20"/>
          <w:rtl/>
        </w:rPr>
        <w:t>ת"א לדברים כו, יג</w:t>
      </w:r>
      <w:r>
        <w:rPr>
          <w:rFonts w:hint="cs"/>
          <w:rtl/>
        </w:rPr>
        <w:t>): בִּעַרְתִּי - פַּלֵּתִי"</w:t>
      </w:r>
      <w:r>
        <w:rPr>
          <w:rStyle w:val="a4"/>
          <w:rtl/>
        </w:rPr>
        <w:footnoteReference w:id="278"/>
      </w:r>
      <w:r>
        <w:rPr>
          <w:rFonts w:hint="cs"/>
          <w:rtl/>
        </w:rPr>
        <w:t xml:space="preserve">. את "יפלה" של המשנה ניתן להמיר לפי </w:t>
      </w:r>
      <w:r>
        <w:rPr>
          <w:rFonts w:hint="cs"/>
          <w:rtl/>
        </w:rPr>
        <w:lastRenderedPageBreak/>
        <w:t>רש"י ב"יְ</w:t>
      </w:r>
      <w:r>
        <w:rPr>
          <w:rtl/>
        </w:rPr>
        <w:t>בַעֵר</w:t>
      </w:r>
      <w:r>
        <w:rPr>
          <w:rFonts w:hint="cs"/>
          <w:rtl/>
        </w:rPr>
        <w:t>", שפירושו: יוציא, יסַלֵּק (כמו ביעור מעשרות, שמִתרגום אונקלוס שם מביא רש"י ראייה</w:t>
      </w:r>
      <w:r>
        <w:rPr>
          <w:rStyle w:val="a4"/>
          <w:rtl/>
        </w:rPr>
        <w:footnoteReference w:id="279"/>
      </w:r>
      <w:r>
        <w:rPr>
          <w:rFonts w:hint="cs"/>
          <w:rtl/>
        </w:rPr>
        <w:t xml:space="preserve">). </w:t>
      </w:r>
      <w:r>
        <w:rPr>
          <w:rtl/>
        </w:rPr>
        <w:t>פ</w:t>
      </w:r>
      <w:r>
        <w:rPr>
          <w:rFonts w:hint="cs"/>
          <w:rtl/>
        </w:rPr>
        <w:t>י</w:t>
      </w:r>
      <w:r>
        <w:rPr>
          <w:rtl/>
        </w:rPr>
        <w:t>ר</w:t>
      </w:r>
      <w:r>
        <w:rPr>
          <w:rFonts w:hint="cs"/>
          <w:rtl/>
        </w:rPr>
        <w:t>ו</w:t>
      </w:r>
      <w:r>
        <w:rPr>
          <w:rtl/>
        </w:rPr>
        <w:t>ש</w:t>
      </w:r>
      <w:r>
        <w:rPr>
          <w:rFonts w:hint="cs"/>
          <w:rtl/>
        </w:rPr>
        <w:t xml:space="preserve"> אחר מוצאים בפירוש המשניות ל</w:t>
      </w:r>
      <w:r>
        <w:rPr>
          <w:rtl/>
        </w:rPr>
        <w:t>רמב"ם: "יבדוק בגדיו מהכִּנים"</w:t>
      </w:r>
      <w:r>
        <w:rPr>
          <w:rStyle w:val="a4"/>
          <w:rtl/>
        </w:rPr>
        <w:footnoteReference w:id="280"/>
      </w:r>
      <w:r>
        <w:rPr>
          <w:rFonts w:hint="cs"/>
          <w:rtl/>
        </w:rPr>
        <w:t>. האם הניסוח השונה של הראשונים מצביע על מחלוקת ביניהם בפירוש המשנה?</w:t>
      </w:r>
    </w:p>
    <w:p w14:paraId="0FEB211B" w14:textId="77777777" w:rsidR="000015C4" w:rsidRDefault="000015C4" w:rsidP="000015C4">
      <w:pPr>
        <w:ind w:firstLine="284"/>
        <w:rPr>
          <w:rFonts w:eastAsia="MS Mincho" w:hint="cs"/>
          <w:sz w:val="26"/>
          <w:rtl/>
        </w:rPr>
      </w:pPr>
      <w:r>
        <w:rPr>
          <w:rtl/>
        </w:rPr>
        <w:lastRenderedPageBreak/>
        <w:t xml:space="preserve">נראה </w:t>
      </w:r>
      <w:r>
        <w:rPr>
          <w:rFonts w:hint="cs"/>
          <w:rtl/>
        </w:rPr>
        <w:t xml:space="preserve">כי מחלוקת הראשונים היא </w:t>
      </w:r>
      <w:r>
        <w:rPr>
          <w:rFonts w:eastAsia="MS Mincho" w:hint="cs"/>
          <w:sz w:val="26"/>
          <w:rtl/>
        </w:rPr>
        <w:t xml:space="preserve">רק מחלוקת </w:t>
      </w:r>
      <w:r>
        <w:rPr>
          <w:rFonts w:hint="cs"/>
          <w:rtl/>
        </w:rPr>
        <w:t>לשונית</w:t>
      </w:r>
      <w:r>
        <w:rPr>
          <w:rFonts w:eastAsia="MS Mincho" w:hint="cs"/>
          <w:sz w:val="26"/>
          <w:rtl/>
        </w:rPr>
        <w:t xml:space="preserve"> בביאור המִלה</w:t>
      </w:r>
      <w:r>
        <w:rPr>
          <w:rFonts w:hint="cs"/>
          <w:rtl/>
        </w:rPr>
        <w:t xml:space="preserve">, כדלהלן, אך מבחינה פרשנית מסכימים </w:t>
      </w:r>
      <w:r>
        <w:rPr>
          <w:rtl/>
        </w:rPr>
        <w:t xml:space="preserve">הכל </w:t>
      </w:r>
      <w:r>
        <w:rPr>
          <w:rFonts w:hint="cs"/>
          <w:rtl/>
        </w:rPr>
        <w:t>שהביטוי "</w:t>
      </w:r>
      <w:r>
        <w:rPr>
          <w:rtl/>
        </w:rPr>
        <w:t xml:space="preserve">יפלה את </w:t>
      </w:r>
      <w:r>
        <w:rPr>
          <w:rFonts w:hint="cs"/>
          <w:rtl/>
        </w:rPr>
        <w:t>כליו" כוונתו לשלבים א', ב' וג' הנ"ל: בדיקה וחיפוש, ולכשיִמָּצאו כִּנים - הוצאתם וסילוקם מהבגד. מסתבר ש</w:t>
      </w:r>
      <w:r>
        <w:rPr>
          <w:rFonts w:eastAsia="MS Mincho" w:hint="cs"/>
          <w:sz w:val="26"/>
          <w:rtl/>
        </w:rPr>
        <w:t xml:space="preserve">הכל מודים כי </w:t>
      </w:r>
      <w:r>
        <w:rPr>
          <w:rFonts w:hint="cs"/>
          <w:rtl/>
        </w:rPr>
        <w:t xml:space="preserve">פעולות אלה </w:t>
      </w:r>
      <w:r>
        <w:rPr>
          <w:rFonts w:eastAsia="MS Mincho" w:hint="cs"/>
          <w:sz w:val="26"/>
          <w:rtl/>
        </w:rPr>
        <w:t>מצריכות התבוננות וראייה מיטבית, ולכן חששו בהן חכמים שמא יטה: גם במהלך ה</w:t>
      </w:r>
      <w:r>
        <w:rPr>
          <w:rFonts w:hint="cs"/>
          <w:rtl/>
        </w:rPr>
        <w:t>בדיקה והחיפוש</w:t>
      </w:r>
      <w:r>
        <w:rPr>
          <w:rFonts w:eastAsia="MS Mincho"/>
          <w:sz w:val="26"/>
          <w:rtl/>
        </w:rPr>
        <w:t xml:space="preserve"> אחר הכִּנים</w:t>
      </w:r>
      <w:r>
        <w:rPr>
          <w:rStyle w:val="a4"/>
          <w:rFonts w:eastAsia="MS Mincho"/>
          <w:rtl/>
        </w:rPr>
        <w:footnoteReference w:id="281"/>
      </w:r>
      <w:r>
        <w:rPr>
          <w:rFonts w:eastAsia="MS Mincho"/>
          <w:sz w:val="26"/>
          <w:rtl/>
        </w:rPr>
        <w:t xml:space="preserve">, וגם </w:t>
      </w:r>
      <w:r>
        <w:rPr>
          <w:rFonts w:eastAsia="MS Mincho" w:hint="cs"/>
          <w:sz w:val="26"/>
          <w:rtl/>
        </w:rPr>
        <w:t>בהוצאת</w:t>
      </w:r>
      <w:r>
        <w:rPr>
          <w:rFonts w:eastAsia="MS Mincho"/>
          <w:sz w:val="26"/>
          <w:rtl/>
        </w:rPr>
        <w:t>ם מהבגד</w:t>
      </w:r>
      <w:r>
        <w:rPr>
          <w:rStyle w:val="a4"/>
          <w:rtl/>
        </w:rPr>
        <w:footnoteReference w:id="282"/>
      </w:r>
      <w:r>
        <w:rPr>
          <w:rFonts w:eastAsia="MS Mincho"/>
          <w:sz w:val="26"/>
          <w:rtl/>
        </w:rPr>
        <w:t xml:space="preserve">. </w:t>
      </w:r>
    </w:p>
    <w:p w14:paraId="4A61B71D" w14:textId="77777777" w:rsidR="000015C4" w:rsidRDefault="000015C4" w:rsidP="000015C4">
      <w:pPr>
        <w:ind w:firstLine="284"/>
        <w:rPr>
          <w:rFonts w:hint="cs"/>
          <w:rtl/>
        </w:rPr>
      </w:pPr>
      <w:r>
        <w:rPr>
          <w:rFonts w:hint="cs"/>
          <w:rtl/>
        </w:rPr>
        <w:t>במה אפוא נחלקו רש"י ורמב"ם? נראה כי רבותינו הראשונים התקשו בסגנון לשון המשנה, וקושי זה הוביל אותם לפירושים שונים מבחינה לשונית: מלשון המשנה "</w:t>
      </w:r>
      <w:r>
        <w:rPr>
          <w:rtl/>
        </w:rPr>
        <w:t xml:space="preserve">לא יפלה את </w:t>
      </w:r>
      <w:r>
        <w:rPr>
          <w:rFonts w:hint="cs"/>
          <w:rtl/>
        </w:rPr>
        <w:t>כליו" משמע שמדובר בפעולה שנעשית בבגדיו, דהיינו הבדיקה שלהם (</w:t>
      </w:r>
      <w:r>
        <w:rPr>
          <w:rFonts w:hint="cs"/>
          <w:sz w:val="18"/>
          <w:szCs w:val="20"/>
          <w:rtl/>
        </w:rPr>
        <w:t>שלב א'</w:t>
      </w:r>
      <w:r>
        <w:rPr>
          <w:rFonts w:hint="cs"/>
          <w:rtl/>
        </w:rPr>
        <w:t xml:space="preserve">), וכך פרש הרמב"ם. ברם, על פירוש זה קשה: היכן מצאנו ש"יפלה" משמעו "יבדוק"? </w:t>
      </w:r>
    </w:p>
    <w:p w14:paraId="21BAB71E" w14:textId="77777777" w:rsidR="000015C4" w:rsidRDefault="000015C4" w:rsidP="000015C4">
      <w:pPr>
        <w:ind w:firstLine="284"/>
        <w:rPr>
          <w:rFonts w:hint="cs"/>
          <w:rtl/>
        </w:rPr>
      </w:pPr>
      <w:r>
        <w:rPr>
          <w:rFonts w:hint="cs"/>
          <w:rtl/>
        </w:rPr>
        <w:t>לכן פרש רש"י (תוך הסתמכות על הלשון הארמית שבתרגום אונקלוס, הידועה בקִרבתה לעברית של חז"ל), שמדובר על סילוקם של הכִּנים (</w:t>
      </w:r>
      <w:r>
        <w:rPr>
          <w:rFonts w:hint="cs"/>
          <w:sz w:val="18"/>
          <w:szCs w:val="20"/>
          <w:rtl/>
        </w:rPr>
        <w:t>שלב ג'</w:t>
      </w:r>
      <w:r>
        <w:rPr>
          <w:rFonts w:hint="cs"/>
          <w:rtl/>
        </w:rPr>
        <w:t>). וצ"ע, כיצד יפרנס רש"י את לשון המשנה "</w:t>
      </w:r>
      <w:r>
        <w:rPr>
          <w:rtl/>
        </w:rPr>
        <w:t xml:space="preserve">לא </w:t>
      </w:r>
      <w:r>
        <w:rPr>
          <w:rtl/>
        </w:rPr>
        <w:lastRenderedPageBreak/>
        <w:t xml:space="preserve">יפלה </w:t>
      </w:r>
      <w:r>
        <w:rPr>
          <w:b/>
          <w:bCs/>
          <w:rtl/>
        </w:rPr>
        <w:t xml:space="preserve">את </w:t>
      </w:r>
      <w:r>
        <w:rPr>
          <w:rFonts w:hint="cs"/>
          <w:b/>
          <w:bCs/>
          <w:rtl/>
        </w:rPr>
        <w:t>כליו</w:t>
      </w:r>
      <w:r>
        <w:rPr>
          <w:rFonts w:hint="cs"/>
          <w:rtl/>
        </w:rPr>
        <w:t xml:space="preserve">"? הרי </w:t>
      </w:r>
      <w:r>
        <w:rPr>
          <w:rtl/>
        </w:rPr>
        <w:t>לפירושו היה צריך לומר "לא יפלה</w:t>
      </w:r>
      <w:r>
        <w:rPr>
          <w:rFonts w:hint="cs"/>
          <w:rtl/>
        </w:rPr>
        <w:t xml:space="preserve"> [=י</w:t>
      </w:r>
      <w:r>
        <w:rPr>
          <w:rtl/>
        </w:rPr>
        <w:t>ְבַעֵר</w:t>
      </w:r>
      <w:r>
        <w:rPr>
          <w:rStyle w:val="a4"/>
          <w:rtl/>
        </w:rPr>
        <w:footnoteReference w:id="283"/>
      </w:r>
      <w:r>
        <w:rPr>
          <w:rFonts w:hint="cs"/>
          <w:rtl/>
        </w:rPr>
        <w:t>]</w:t>
      </w:r>
      <w:r>
        <w:rPr>
          <w:rtl/>
        </w:rPr>
        <w:t xml:space="preserve"> את </w:t>
      </w:r>
      <w:r>
        <w:rPr>
          <w:rFonts w:hint="cs"/>
          <w:rtl/>
        </w:rPr>
        <w:t>[</w:t>
      </w:r>
      <w:r>
        <w:rPr>
          <w:rtl/>
        </w:rPr>
        <w:t>הכִּנים מתוך</w:t>
      </w:r>
      <w:r>
        <w:rPr>
          <w:rFonts w:hint="cs"/>
          <w:rtl/>
        </w:rPr>
        <w:t>]</w:t>
      </w:r>
      <w:r>
        <w:rPr>
          <w:rtl/>
        </w:rPr>
        <w:t xml:space="preserve"> כליו"!</w:t>
      </w:r>
      <w:r>
        <w:rPr>
          <w:rStyle w:val="a4"/>
          <w:rtl/>
        </w:rPr>
        <w:footnoteReference w:id="284"/>
      </w:r>
    </w:p>
    <w:p w14:paraId="130FBCBD" w14:textId="77777777" w:rsidR="000015C4" w:rsidRDefault="000015C4" w:rsidP="000015C4">
      <w:pPr>
        <w:ind w:firstLine="284"/>
        <w:rPr>
          <w:rFonts w:hint="cs"/>
          <w:rtl/>
        </w:rPr>
      </w:pPr>
      <w:r>
        <w:rPr>
          <w:rFonts w:hint="cs"/>
          <w:rtl/>
        </w:rPr>
        <w:lastRenderedPageBreak/>
        <w:t>את הקושיה על פירוש הרמב"ם (</w:t>
      </w:r>
      <w:r>
        <w:rPr>
          <w:rFonts w:hint="cs"/>
          <w:sz w:val="18"/>
          <w:szCs w:val="20"/>
          <w:rtl/>
        </w:rPr>
        <w:t>נפטר בשנת ד'תתקס"ה; 1205 למניינם</w:t>
      </w:r>
      <w:r>
        <w:rPr>
          <w:rFonts w:hint="cs"/>
          <w:rtl/>
        </w:rPr>
        <w:t xml:space="preserve">), מניין ש"יפלה" היינו יבדוק, תרצו חכמי ישראל כמה דורות לפניו: </w:t>
      </w:r>
      <w:r>
        <w:rPr>
          <w:rFonts w:hint="eastAsia"/>
          <w:rtl/>
        </w:rPr>
        <w:t>ר</w:t>
      </w:r>
      <w:r>
        <w:rPr>
          <w:rFonts w:hint="cs"/>
          <w:rtl/>
        </w:rPr>
        <w:t>בי</w:t>
      </w:r>
      <w:r>
        <w:rPr>
          <w:rtl/>
        </w:rPr>
        <w:t xml:space="preserve"> נתן </w:t>
      </w:r>
      <w:r>
        <w:rPr>
          <w:rFonts w:hint="eastAsia"/>
          <w:rtl/>
        </w:rPr>
        <w:t>בן</w:t>
      </w:r>
      <w:r>
        <w:rPr>
          <w:rtl/>
        </w:rPr>
        <w:t xml:space="preserve"> </w:t>
      </w:r>
      <w:r>
        <w:rPr>
          <w:rFonts w:hint="eastAsia"/>
          <w:rtl/>
        </w:rPr>
        <w:t>יחיאל</w:t>
      </w:r>
      <w:r>
        <w:rPr>
          <w:rtl/>
        </w:rPr>
        <w:t xml:space="preserve"> </w:t>
      </w:r>
      <w:r>
        <w:rPr>
          <w:rFonts w:hint="eastAsia"/>
          <w:rtl/>
        </w:rPr>
        <w:t>מרומא</w:t>
      </w:r>
      <w:r>
        <w:rPr>
          <w:rtl/>
        </w:rPr>
        <w:t xml:space="preserve"> </w:t>
      </w:r>
      <w:r>
        <w:rPr>
          <w:rFonts w:hint="cs"/>
          <w:rtl/>
        </w:rPr>
        <w:t>(</w:t>
      </w:r>
      <w:r>
        <w:rPr>
          <w:rFonts w:hint="cs"/>
          <w:sz w:val="18"/>
          <w:szCs w:val="20"/>
          <w:rtl/>
        </w:rPr>
        <w:t>נפטר בשנת ד'תתס"ו; 1106 למניינם</w:t>
      </w:r>
      <w:r>
        <w:rPr>
          <w:rFonts w:hint="cs"/>
          <w:rtl/>
        </w:rPr>
        <w:t xml:space="preserve">) מקיש אף הוא מן הארמית שבתרגום אונקלוס על לשון המשנה. לאחר שכורך </w:t>
      </w:r>
      <w:r>
        <w:rPr>
          <w:rtl/>
        </w:rPr>
        <w:t>במילונו "</w:t>
      </w:r>
      <w:r>
        <w:rPr>
          <w:rFonts w:hint="eastAsia"/>
          <w:rtl/>
        </w:rPr>
        <w:t>הערוך</w:t>
      </w:r>
      <w:r>
        <w:rPr>
          <w:rtl/>
        </w:rPr>
        <w:t>"</w:t>
      </w:r>
      <w:r>
        <w:rPr>
          <w:rFonts w:hint="cs"/>
          <w:rtl/>
        </w:rPr>
        <w:t xml:space="preserve"> (</w:t>
      </w:r>
      <w:r>
        <w:rPr>
          <w:sz w:val="18"/>
          <w:szCs w:val="20"/>
          <w:rtl/>
        </w:rPr>
        <w:t xml:space="preserve">ערך "פל" </w:t>
      </w:r>
      <w:r>
        <w:rPr>
          <w:rFonts w:hint="cs"/>
          <w:sz w:val="18"/>
          <w:szCs w:val="20"/>
          <w:rtl/>
        </w:rPr>
        <w:t>השני</w:t>
      </w:r>
      <w:r>
        <w:rPr>
          <w:rFonts w:hint="cs"/>
          <w:rtl/>
        </w:rPr>
        <w:t xml:space="preserve">) את משנתנו יחד עם מקורות תלמודיים (ארמיים) נוספים הוא כותב: </w:t>
      </w:r>
      <w:r>
        <w:rPr>
          <w:rtl/>
        </w:rPr>
        <w:t>"ומנין שהוא לשון בדיקה, דכתיב</w:t>
      </w:r>
      <w:r>
        <w:rPr>
          <w:rFonts w:hint="cs"/>
          <w:rtl/>
        </w:rPr>
        <w:t xml:space="preserve"> '</w:t>
      </w:r>
      <w:r>
        <w:rPr>
          <w:rtl/>
        </w:rPr>
        <w:t>לֹא תְפַאֵר אַחֲרֶיךָ</w:t>
      </w:r>
      <w:r>
        <w:rPr>
          <w:rFonts w:hint="cs"/>
          <w:rtl/>
        </w:rPr>
        <w:t xml:space="preserve">' </w:t>
      </w:r>
      <w:r>
        <w:rPr>
          <w:rtl/>
        </w:rPr>
        <w:t>(</w:t>
      </w:r>
      <w:r>
        <w:rPr>
          <w:sz w:val="18"/>
          <w:szCs w:val="20"/>
          <w:rtl/>
        </w:rPr>
        <w:t>דברים כד, כ</w:t>
      </w:r>
      <w:r>
        <w:rPr>
          <w:rtl/>
        </w:rPr>
        <w:t>)</w:t>
      </w:r>
      <w:r>
        <w:rPr>
          <w:rFonts w:hint="cs"/>
          <w:rtl/>
        </w:rPr>
        <w:t xml:space="preserve"> </w:t>
      </w:r>
      <w:r>
        <w:rPr>
          <w:rtl/>
        </w:rPr>
        <w:t xml:space="preserve">ומתרגמינן </w:t>
      </w:r>
      <w:r>
        <w:rPr>
          <w:rFonts w:hint="cs"/>
          <w:rtl/>
        </w:rPr>
        <w:t>'</w:t>
      </w:r>
      <w:r>
        <w:rPr>
          <w:rtl/>
        </w:rPr>
        <w:t xml:space="preserve">לא </w:t>
      </w:r>
      <w:r>
        <w:rPr>
          <w:rFonts w:hint="cs"/>
          <w:rtl/>
        </w:rPr>
        <w:t>תְפַלֵּי</w:t>
      </w:r>
      <w:r>
        <w:rPr>
          <w:rtl/>
        </w:rPr>
        <w:t xml:space="preserve"> בתרך</w:t>
      </w:r>
      <w:r>
        <w:rPr>
          <w:rFonts w:hint="cs"/>
          <w:rtl/>
        </w:rPr>
        <w:t>' (</w:t>
      </w:r>
      <w:r>
        <w:rPr>
          <w:sz w:val="18"/>
          <w:szCs w:val="20"/>
          <w:rtl/>
        </w:rPr>
        <w:t>תרג</w:t>
      </w:r>
      <w:r>
        <w:rPr>
          <w:rFonts w:hint="cs"/>
          <w:sz w:val="18"/>
          <w:szCs w:val="20"/>
          <w:rtl/>
        </w:rPr>
        <w:t>ו</w:t>
      </w:r>
      <w:r>
        <w:rPr>
          <w:sz w:val="18"/>
          <w:szCs w:val="20"/>
          <w:rtl/>
        </w:rPr>
        <w:t>ם אונקלוס</w:t>
      </w:r>
      <w:r>
        <w:rPr>
          <w:rFonts w:hint="cs"/>
          <w:sz w:val="18"/>
          <w:szCs w:val="20"/>
          <w:rtl/>
        </w:rPr>
        <w:t xml:space="preserve"> שם</w:t>
      </w:r>
      <w:r>
        <w:rPr>
          <w:rFonts w:hint="cs"/>
          <w:rtl/>
        </w:rPr>
        <w:t>)</w:t>
      </w:r>
      <w:r>
        <w:rPr>
          <w:rtl/>
        </w:rPr>
        <w:t>"</w:t>
      </w:r>
      <w:r>
        <w:rPr>
          <w:rStyle w:val="a4"/>
          <w:rtl/>
        </w:rPr>
        <w:footnoteReference w:id="285"/>
      </w:r>
      <w:r>
        <w:rPr>
          <w:rFonts w:hint="cs"/>
          <w:rtl/>
        </w:rPr>
        <w:t xml:space="preserve">. דברים מפורשים יותר כתב ר' טוביה </w:t>
      </w:r>
      <w:r>
        <w:rPr>
          <w:rtl/>
        </w:rPr>
        <w:t>ב</w:t>
      </w:r>
      <w:r>
        <w:rPr>
          <w:rFonts w:hint="cs"/>
          <w:rtl/>
        </w:rPr>
        <w:t>רבי</w:t>
      </w:r>
      <w:r>
        <w:rPr>
          <w:rtl/>
        </w:rPr>
        <w:t xml:space="preserve"> </w:t>
      </w:r>
      <w:r>
        <w:rPr>
          <w:rFonts w:hint="cs"/>
          <w:rtl/>
        </w:rPr>
        <w:t>אליעזר</w:t>
      </w:r>
      <w:r>
        <w:rPr>
          <w:rStyle w:val="a4"/>
          <w:rtl/>
        </w:rPr>
        <w:footnoteReference w:id="286"/>
      </w:r>
      <w:r>
        <w:rPr>
          <w:rFonts w:hint="cs"/>
          <w:rtl/>
        </w:rPr>
        <w:t xml:space="preserve"> בספרו "</w:t>
      </w:r>
      <w:r>
        <w:rPr>
          <w:rFonts w:hint="cs"/>
          <w:sz w:val="18"/>
          <w:szCs w:val="20"/>
          <w:rtl/>
        </w:rPr>
        <w:t>[מדרש]</w:t>
      </w:r>
      <w:r>
        <w:rPr>
          <w:rFonts w:hint="cs"/>
          <w:rtl/>
        </w:rPr>
        <w:t xml:space="preserve"> </w:t>
      </w:r>
      <w:r>
        <w:rPr>
          <w:rtl/>
        </w:rPr>
        <w:t>לקח טוב</w:t>
      </w:r>
      <w:r>
        <w:rPr>
          <w:rFonts w:hint="cs"/>
          <w:rtl/>
        </w:rPr>
        <w:t>"</w:t>
      </w:r>
      <w:r>
        <w:rPr>
          <w:rStyle w:val="a4"/>
          <w:rtl/>
        </w:rPr>
        <w:footnoteReference w:id="287"/>
      </w:r>
      <w:r>
        <w:rPr>
          <w:rFonts w:hint="cs"/>
          <w:rtl/>
        </w:rPr>
        <w:t xml:space="preserve"> בפירושו השני לפסוק</w:t>
      </w:r>
      <w:r>
        <w:rPr>
          <w:rtl/>
        </w:rPr>
        <w:t xml:space="preserve"> </w:t>
      </w:r>
      <w:r>
        <w:rPr>
          <w:rFonts w:hint="cs"/>
          <w:rtl/>
        </w:rPr>
        <w:t>"</w:t>
      </w:r>
      <w:r>
        <w:rPr>
          <w:rtl/>
        </w:rPr>
        <w:t xml:space="preserve">וַיֹּאמֶר מֹשֶׁה לְפַרְעֹה </w:t>
      </w:r>
      <w:r>
        <w:rPr>
          <w:b/>
          <w:bCs/>
          <w:rtl/>
        </w:rPr>
        <w:t>הִתְפָּאֵר</w:t>
      </w:r>
      <w:r>
        <w:rPr>
          <w:rtl/>
        </w:rPr>
        <w:t xml:space="preserve"> עָלַי</w:t>
      </w:r>
      <w:r>
        <w:rPr>
          <w:rFonts w:hint="cs"/>
          <w:rtl/>
        </w:rPr>
        <w:t>" (</w:t>
      </w:r>
      <w:r>
        <w:rPr>
          <w:sz w:val="18"/>
          <w:szCs w:val="20"/>
          <w:rtl/>
        </w:rPr>
        <w:t>שמות ח</w:t>
      </w:r>
      <w:r>
        <w:rPr>
          <w:rFonts w:hint="cs"/>
          <w:sz w:val="18"/>
          <w:szCs w:val="20"/>
          <w:rtl/>
        </w:rPr>
        <w:t xml:space="preserve">, </w:t>
      </w:r>
      <w:r>
        <w:rPr>
          <w:sz w:val="18"/>
          <w:szCs w:val="20"/>
          <w:rtl/>
        </w:rPr>
        <w:t>ה</w:t>
      </w:r>
      <w:r>
        <w:rPr>
          <w:rtl/>
        </w:rPr>
        <w:t>)</w:t>
      </w:r>
      <w:r>
        <w:rPr>
          <w:rFonts w:hint="cs"/>
          <w:rtl/>
        </w:rPr>
        <w:t>: "</w:t>
      </w:r>
      <w:r>
        <w:rPr>
          <w:rtl/>
        </w:rPr>
        <w:t>דומה לו</w:t>
      </w:r>
      <w:r>
        <w:rPr>
          <w:rFonts w:hint="cs"/>
          <w:rtl/>
        </w:rPr>
        <w:t>:</w:t>
      </w:r>
      <w:r>
        <w:rPr>
          <w:rFonts w:hint="cs"/>
        </w:rPr>
        <w:t xml:space="preserve"> </w:t>
      </w:r>
      <w:r>
        <w:rPr>
          <w:rFonts w:hint="cs"/>
          <w:rtl/>
        </w:rPr>
        <w:t>'</w:t>
      </w:r>
      <w:r>
        <w:rPr>
          <w:rtl/>
        </w:rPr>
        <w:t xml:space="preserve">כִּי תַחְבֹּט </w:t>
      </w:r>
      <w:r>
        <w:rPr>
          <w:rtl/>
        </w:rPr>
        <w:lastRenderedPageBreak/>
        <w:t>זֵיתְךָ לֹא תְפַאֵר אַחֲרֶיךָ</w:t>
      </w:r>
      <w:r>
        <w:rPr>
          <w:rFonts w:hint="cs"/>
          <w:rtl/>
        </w:rPr>
        <w:t>'</w:t>
      </w:r>
      <w:r>
        <w:rPr>
          <w:rtl/>
        </w:rPr>
        <w:t xml:space="preserve">, כמו ששנינו במשנתינו </w:t>
      </w:r>
      <w:r>
        <w:rPr>
          <w:rFonts w:hint="cs"/>
          <w:rtl/>
        </w:rPr>
        <w:t>'</w:t>
      </w:r>
      <w:r>
        <w:rPr>
          <w:rtl/>
        </w:rPr>
        <w:t>לא יפלה</w:t>
      </w:r>
      <w:r>
        <w:rPr>
          <w:rFonts w:hint="cs"/>
          <w:rtl/>
        </w:rPr>
        <w:t>'</w:t>
      </w:r>
      <w:r>
        <w:rPr>
          <w:rtl/>
        </w:rPr>
        <w:t>, רי"ש ולמ"ד</w:t>
      </w:r>
      <w:r>
        <w:t xml:space="preserve"> </w:t>
      </w:r>
      <w:r>
        <w:rPr>
          <w:rtl/>
        </w:rPr>
        <w:t>משמשין</w:t>
      </w:r>
      <w:r>
        <w:rPr>
          <w:rStyle w:val="a4"/>
          <w:rtl/>
        </w:rPr>
        <w:footnoteReference w:id="288"/>
      </w:r>
      <w:r>
        <w:rPr>
          <w:rtl/>
        </w:rPr>
        <w:t>,</w:t>
      </w:r>
      <w:r>
        <w:rPr>
          <w:rFonts w:hint="cs"/>
          <w:rtl/>
        </w:rPr>
        <w:t xml:space="preserve"> </w:t>
      </w:r>
      <w:r>
        <w:rPr>
          <w:rtl/>
        </w:rPr>
        <w:t xml:space="preserve">והוא ענין </w:t>
      </w:r>
      <w:r>
        <w:rPr>
          <w:b/>
          <w:bCs/>
          <w:rtl/>
        </w:rPr>
        <w:t>חפ</w:t>
      </w:r>
      <w:r>
        <w:rPr>
          <w:rFonts w:hint="cs"/>
          <w:b/>
          <w:bCs/>
          <w:rtl/>
        </w:rPr>
        <w:t>ֵּ</w:t>
      </w:r>
      <w:r>
        <w:rPr>
          <w:b/>
          <w:bCs/>
          <w:rtl/>
        </w:rPr>
        <w:t>ש</w:t>
      </w:r>
      <w:r>
        <w:rPr>
          <w:rFonts w:hint="cs"/>
          <w:b/>
          <w:bCs/>
          <w:rtl/>
        </w:rPr>
        <w:t>ׂ</w:t>
      </w:r>
      <w:r>
        <w:rPr>
          <w:b/>
          <w:bCs/>
          <w:rtl/>
        </w:rPr>
        <w:t xml:space="preserve"> ובדוק</w:t>
      </w:r>
      <w:r>
        <w:rPr>
          <w:rFonts w:hint="cs"/>
          <w:rtl/>
        </w:rPr>
        <w:t xml:space="preserve">. </w:t>
      </w:r>
      <w:r>
        <w:rPr>
          <w:rtl/>
        </w:rPr>
        <w:t>כך אמר לו משה רבינו לפרעה</w:t>
      </w:r>
      <w:r>
        <w:rPr>
          <w:rFonts w:hint="cs"/>
          <w:rtl/>
        </w:rPr>
        <w:t xml:space="preserve">: </w:t>
      </w:r>
      <w:r>
        <w:rPr>
          <w:rtl/>
        </w:rPr>
        <w:t>התפאר</w:t>
      </w:r>
      <w:r>
        <w:rPr>
          <w:rFonts w:hint="cs"/>
          <w:rtl/>
        </w:rPr>
        <w:t>,</w:t>
      </w:r>
      <w:r>
        <w:rPr>
          <w:rtl/>
        </w:rPr>
        <w:t xml:space="preserve"> התפלא</w:t>
      </w:r>
      <w:r>
        <w:rPr>
          <w:rFonts w:hint="cs"/>
          <w:rtl/>
        </w:rPr>
        <w:t>,</w:t>
      </w:r>
      <w:r>
        <w:rPr>
          <w:rtl/>
        </w:rPr>
        <w:t xml:space="preserve"> חפש</w:t>
      </w:r>
      <w:r>
        <w:t xml:space="preserve"> </w:t>
      </w:r>
      <w:r>
        <w:rPr>
          <w:rtl/>
        </w:rPr>
        <w:t>בלבך</w:t>
      </w:r>
      <w:r>
        <w:rPr>
          <w:rFonts w:hint="cs"/>
          <w:rtl/>
        </w:rPr>
        <w:t xml:space="preserve"> </w:t>
      </w:r>
      <w:r>
        <w:rPr>
          <w:rtl/>
        </w:rPr>
        <w:t>וש</w:t>
      </w:r>
      <w:r>
        <w:rPr>
          <w:rFonts w:hint="cs"/>
          <w:rtl/>
        </w:rPr>
        <w:t>ְ</w:t>
      </w:r>
      <w:r>
        <w:rPr>
          <w:rtl/>
        </w:rPr>
        <w:t>אל</w:t>
      </w:r>
      <w:r>
        <w:rPr>
          <w:rFonts w:hint="cs"/>
          <w:rtl/>
        </w:rPr>
        <w:t>,</w:t>
      </w:r>
      <w:r>
        <w:rPr>
          <w:rtl/>
        </w:rPr>
        <w:t xml:space="preserve"> ועלי לעשותו</w:t>
      </w:r>
      <w:r>
        <w:rPr>
          <w:rFonts w:hint="cs"/>
          <w:rtl/>
        </w:rPr>
        <w:t xml:space="preserve">". ובסגנון דומה כתב </w:t>
      </w:r>
      <w:r>
        <w:rPr>
          <w:rtl/>
        </w:rPr>
        <w:t>ר' מנחם ב</w:t>
      </w:r>
      <w:r>
        <w:rPr>
          <w:rFonts w:hint="cs"/>
          <w:rtl/>
        </w:rPr>
        <w:t>רבי</w:t>
      </w:r>
      <w:r>
        <w:rPr>
          <w:rtl/>
        </w:rPr>
        <w:t xml:space="preserve"> שלמה </w:t>
      </w:r>
      <w:r>
        <w:rPr>
          <w:rFonts w:hint="cs"/>
          <w:rtl/>
        </w:rPr>
        <w:t>מחכמי איטליה (</w:t>
      </w:r>
      <w:r>
        <w:rPr>
          <w:sz w:val="18"/>
          <w:szCs w:val="20"/>
          <w:rtl/>
        </w:rPr>
        <w:t>בשנת ד'תתצ"ט</w:t>
      </w:r>
      <w:r>
        <w:rPr>
          <w:rFonts w:hint="cs"/>
          <w:sz w:val="18"/>
          <w:szCs w:val="20"/>
          <w:rtl/>
        </w:rPr>
        <w:t xml:space="preserve">; </w:t>
      </w:r>
      <w:r>
        <w:rPr>
          <w:sz w:val="18"/>
          <w:szCs w:val="20"/>
          <w:rtl/>
        </w:rPr>
        <w:t>1139</w:t>
      </w:r>
      <w:r>
        <w:rPr>
          <w:rFonts w:hint="cs"/>
          <w:sz w:val="18"/>
          <w:szCs w:val="20"/>
          <w:rtl/>
        </w:rPr>
        <w:t xml:space="preserve"> למניינם</w:t>
      </w:r>
      <w:r>
        <w:rPr>
          <w:rtl/>
        </w:rPr>
        <w:t>)</w:t>
      </w:r>
      <w:r>
        <w:rPr>
          <w:rFonts w:hint="cs"/>
          <w:rtl/>
        </w:rPr>
        <w:t xml:space="preserve"> ב</w:t>
      </w:r>
      <w:r>
        <w:rPr>
          <w:rtl/>
        </w:rPr>
        <w:t xml:space="preserve">ספר שכל טוב </w:t>
      </w:r>
      <w:r>
        <w:rPr>
          <w:rFonts w:hint="cs"/>
          <w:rtl/>
        </w:rPr>
        <w:t>על פסוק זה (</w:t>
      </w:r>
      <w:r>
        <w:rPr>
          <w:sz w:val="18"/>
          <w:szCs w:val="20"/>
          <w:rtl/>
        </w:rPr>
        <w:t>שמות ח</w:t>
      </w:r>
      <w:r>
        <w:rPr>
          <w:rFonts w:hint="cs"/>
          <w:sz w:val="18"/>
          <w:szCs w:val="20"/>
          <w:rtl/>
        </w:rPr>
        <w:t>, ה</w:t>
      </w:r>
      <w:r>
        <w:rPr>
          <w:rtl/>
        </w:rPr>
        <w:t>)</w:t>
      </w:r>
      <w:r>
        <w:rPr>
          <w:rFonts w:ascii="Arial" w:hAnsi="Arial" w:cs="Arial"/>
          <w:color w:val="000000"/>
          <w:rtl/>
        </w:rPr>
        <w:t xml:space="preserve">: </w:t>
      </w:r>
      <w:r>
        <w:rPr>
          <w:rFonts w:hint="cs"/>
          <w:rtl/>
        </w:rPr>
        <w:t>"</w:t>
      </w:r>
      <w:r>
        <w:rPr>
          <w:rtl/>
        </w:rPr>
        <w:t>וַיֹּאמֶר מֹשֶׁה (אל פרעה) [לְפַרְעֹה] הִתְפָּאֵר עָלַי</w:t>
      </w:r>
      <w:r>
        <w:rPr>
          <w:rFonts w:hint="cs"/>
          <w:rtl/>
        </w:rPr>
        <w:t xml:space="preserve"> -</w:t>
      </w:r>
      <w:r>
        <w:rPr>
          <w:rtl/>
        </w:rPr>
        <w:t xml:space="preserve"> רָחַשׁ לִבִּי</w:t>
      </w:r>
      <w:r>
        <w:rPr>
          <w:rStyle w:val="a4"/>
          <w:rtl/>
        </w:rPr>
        <w:footnoteReference w:id="289"/>
      </w:r>
      <w:r>
        <w:rPr>
          <w:rtl/>
        </w:rPr>
        <w:t xml:space="preserve"> להדביר</w:t>
      </w:r>
      <w:r>
        <w:rPr>
          <w:rStyle w:val="a4"/>
          <w:rtl/>
        </w:rPr>
        <w:footnoteReference w:id="290"/>
      </w:r>
      <w:r>
        <w:rPr>
          <w:rtl/>
        </w:rPr>
        <w:t xml:space="preserve"> מלת הִתְפָּאֵר על אופן תִּפְאֶרֶת</w:t>
      </w:r>
      <w:r>
        <w:rPr>
          <w:rFonts w:hint="cs"/>
          <w:rtl/>
        </w:rPr>
        <w:t>,</w:t>
      </w:r>
      <w:r>
        <w:rPr>
          <w:rtl/>
        </w:rPr>
        <w:t xml:space="preserve"> כלומר יהיה לך פאר ממני</w:t>
      </w:r>
      <w:r>
        <w:rPr>
          <w:rFonts w:hint="cs"/>
          <w:rtl/>
        </w:rPr>
        <w:t>...</w:t>
      </w:r>
      <w:r>
        <w:rPr>
          <w:rtl/>
        </w:rPr>
        <w:t xml:space="preserve"> כך אמר משה</w:t>
      </w:r>
      <w:r>
        <w:rPr>
          <w:rFonts w:hint="cs"/>
          <w:rtl/>
        </w:rPr>
        <w:t>:</w:t>
      </w:r>
      <w:r>
        <w:rPr>
          <w:rtl/>
        </w:rPr>
        <w:t xml:space="preserve"> לתפארת יהא לך הדבר הזה שכל זמן שאתה שואל עלי להיזקק לך</w:t>
      </w:r>
      <w:r>
        <w:rPr>
          <w:rFonts w:hint="cs"/>
          <w:rtl/>
        </w:rPr>
        <w:t>...</w:t>
      </w:r>
      <w:r>
        <w:rPr>
          <w:rtl/>
        </w:rPr>
        <w:t xml:space="preserve"> ויש דורשין</w:t>
      </w:r>
      <w:r>
        <w:rPr>
          <w:rStyle w:val="a4"/>
          <w:rtl/>
        </w:rPr>
        <w:footnoteReference w:id="291"/>
      </w:r>
      <w:r>
        <w:rPr>
          <w:rtl/>
        </w:rPr>
        <w:t xml:space="preserve"> </w:t>
      </w:r>
      <w:r>
        <w:rPr>
          <w:rFonts w:hint="cs"/>
          <w:rtl/>
        </w:rPr>
        <w:t>'</w:t>
      </w:r>
      <w:r>
        <w:rPr>
          <w:rtl/>
        </w:rPr>
        <w:t>הִתְפָּאֵר עָלַי</w:t>
      </w:r>
      <w:r>
        <w:rPr>
          <w:rFonts w:hint="cs"/>
          <w:rtl/>
        </w:rPr>
        <w:t xml:space="preserve">' </w:t>
      </w:r>
      <w:r>
        <w:rPr>
          <w:rtl/>
        </w:rPr>
        <w:t xml:space="preserve">לשון </w:t>
      </w:r>
      <w:r>
        <w:rPr>
          <w:b/>
          <w:bCs/>
          <w:rtl/>
        </w:rPr>
        <w:t>חיפוש</w:t>
      </w:r>
      <w:r>
        <w:rPr>
          <w:rtl/>
        </w:rPr>
        <w:t xml:space="preserve">, ודומה לו </w:t>
      </w:r>
      <w:r>
        <w:rPr>
          <w:rFonts w:hint="cs"/>
          <w:rtl/>
        </w:rPr>
        <w:t>'</w:t>
      </w:r>
      <w:r>
        <w:rPr>
          <w:rtl/>
        </w:rPr>
        <w:t>לֹא תְפַאֵר אַחֲרֶיךָ</w:t>
      </w:r>
      <w:r>
        <w:rPr>
          <w:rFonts w:hint="cs"/>
          <w:rtl/>
        </w:rPr>
        <w:t xml:space="preserve">' </w:t>
      </w:r>
      <w:r>
        <w:rPr>
          <w:rtl/>
        </w:rPr>
        <w:t xml:space="preserve">ומתרגמינן </w:t>
      </w:r>
      <w:r>
        <w:rPr>
          <w:rFonts w:hint="cs"/>
          <w:rtl/>
        </w:rPr>
        <w:t>'</w:t>
      </w:r>
      <w:r>
        <w:rPr>
          <w:rtl/>
        </w:rPr>
        <w:t xml:space="preserve">לא </w:t>
      </w:r>
      <w:r>
        <w:rPr>
          <w:rFonts w:hint="cs"/>
          <w:rtl/>
        </w:rPr>
        <w:t xml:space="preserve">תְפַלֵּי </w:t>
      </w:r>
      <w:r>
        <w:rPr>
          <w:rtl/>
        </w:rPr>
        <w:t>בתרך</w:t>
      </w:r>
      <w:r>
        <w:rPr>
          <w:rFonts w:hint="cs"/>
          <w:rtl/>
        </w:rPr>
        <w:t>'</w:t>
      </w:r>
      <w:r>
        <w:rPr>
          <w:rtl/>
        </w:rPr>
        <w:t xml:space="preserve">, ודומה לו בדברי רבותינו </w:t>
      </w:r>
      <w:r>
        <w:rPr>
          <w:rFonts w:hint="cs"/>
          <w:rtl/>
        </w:rPr>
        <w:t>'</w:t>
      </w:r>
      <w:r>
        <w:rPr>
          <w:rtl/>
        </w:rPr>
        <w:t xml:space="preserve">לא יפלה את </w:t>
      </w:r>
      <w:r>
        <w:rPr>
          <w:rtl/>
        </w:rPr>
        <w:lastRenderedPageBreak/>
        <w:t>כליו לאור הנר</w:t>
      </w:r>
      <w:r>
        <w:rPr>
          <w:rFonts w:hint="cs"/>
          <w:rtl/>
        </w:rPr>
        <w:t>'</w:t>
      </w:r>
      <w:r>
        <w:rPr>
          <w:rtl/>
        </w:rPr>
        <w:t>. והכי אמר ליה משה לפרעה</w:t>
      </w:r>
      <w:r>
        <w:rPr>
          <w:rFonts w:hint="cs"/>
          <w:rtl/>
        </w:rPr>
        <w:t>:</w:t>
      </w:r>
      <w:r>
        <w:rPr>
          <w:rtl/>
        </w:rPr>
        <w:t xml:space="preserve"> התפאר עלי חפש בלבך ושאל הזמן ועלי לעשות</w:t>
      </w:r>
      <w:r>
        <w:rPr>
          <w:rFonts w:hint="cs"/>
          <w:rtl/>
        </w:rPr>
        <w:t>"</w:t>
      </w:r>
      <w:r>
        <w:rPr>
          <w:rStyle w:val="a4"/>
          <w:rtl/>
        </w:rPr>
        <w:footnoteReference w:id="292"/>
      </w:r>
      <w:r>
        <w:rPr>
          <w:rFonts w:hint="cs"/>
          <w:rtl/>
        </w:rPr>
        <w:t xml:space="preserve">. </w:t>
      </w:r>
    </w:p>
    <w:p w14:paraId="5DC85309" w14:textId="77777777" w:rsidR="000015C4" w:rsidRDefault="000015C4" w:rsidP="000015C4">
      <w:pPr>
        <w:ind w:firstLine="284"/>
        <w:rPr>
          <w:rFonts w:hint="cs"/>
          <w:rtl/>
        </w:rPr>
      </w:pPr>
      <w:r>
        <w:rPr>
          <w:rFonts w:hint="cs"/>
          <w:rtl/>
        </w:rPr>
        <w:t>ברם, על ראייתם מן התרגום ניתן לומר "</w:t>
      </w:r>
      <w:r>
        <w:rPr>
          <w:rtl/>
        </w:rPr>
        <w:t>ערביך ערבא צריך</w:t>
      </w:r>
      <w:r>
        <w:rPr>
          <w:rFonts w:hint="cs"/>
          <w:rtl/>
        </w:rPr>
        <w:t xml:space="preserve">", ולהמשיך לשאול: </w:t>
      </w:r>
      <w:r>
        <w:rPr>
          <w:rtl/>
        </w:rPr>
        <w:t>ומנין ש</w:t>
      </w:r>
      <w:r>
        <w:rPr>
          <w:rFonts w:hint="cs"/>
          <w:rtl/>
        </w:rPr>
        <w:t xml:space="preserve">'תְפַלֵּי' </w:t>
      </w:r>
      <w:r>
        <w:rPr>
          <w:rtl/>
        </w:rPr>
        <w:t>הוא לשון בדיקה</w:t>
      </w:r>
      <w:r>
        <w:rPr>
          <w:rFonts w:hint="cs"/>
          <w:rtl/>
        </w:rPr>
        <w:t xml:space="preserve"> וחיפוש? אולי הצדק עם רש"י (</w:t>
      </w:r>
      <w:r>
        <w:rPr>
          <w:rFonts w:hint="cs"/>
          <w:sz w:val="18"/>
          <w:szCs w:val="20"/>
          <w:rtl/>
        </w:rPr>
        <w:t xml:space="preserve">נפטר </w:t>
      </w:r>
      <w:r>
        <w:rPr>
          <w:sz w:val="18"/>
          <w:szCs w:val="20"/>
          <w:rtl/>
        </w:rPr>
        <w:t>בשנת ד'תת</w:t>
      </w:r>
      <w:r>
        <w:rPr>
          <w:rFonts w:hint="cs"/>
          <w:sz w:val="18"/>
          <w:szCs w:val="20"/>
          <w:rtl/>
        </w:rPr>
        <w:t>ס</w:t>
      </w:r>
      <w:r>
        <w:rPr>
          <w:sz w:val="18"/>
          <w:szCs w:val="20"/>
          <w:rtl/>
        </w:rPr>
        <w:t>"</w:t>
      </w:r>
      <w:r>
        <w:rPr>
          <w:rFonts w:hint="cs"/>
          <w:sz w:val="18"/>
          <w:szCs w:val="20"/>
          <w:rtl/>
        </w:rPr>
        <w:t xml:space="preserve">ה; </w:t>
      </w:r>
      <w:r>
        <w:rPr>
          <w:sz w:val="18"/>
          <w:szCs w:val="20"/>
          <w:rtl/>
        </w:rPr>
        <w:t>11</w:t>
      </w:r>
      <w:r>
        <w:rPr>
          <w:rFonts w:hint="cs"/>
          <w:sz w:val="18"/>
          <w:szCs w:val="20"/>
          <w:rtl/>
        </w:rPr>
        <w:t>05 למניינם</w:t>
      </w:r>
      <w:r>
        <w:rPr>
          <w:rtl/>
        </w:rPr>
        <w:t>)</w:t>
      </w:r>
      <w:r>
        <w:rPr>
          <w:rFonts w:hint="cs"/>
          <w:rtl/>
        </w:rPr>
        <w:t xml:space="preserve"> </w:t>
      </w:r>
      <w:r>
        <w:rPr>
          <w:rtl/>
        </w:rPr>
        <w:t>ש</w:t>
      </w:r>
      <w:r>
        <w:rPr>
          <w:rFonts w:hint="cs"/>
          <w:rtl/>
        </w:rPr>
        <w:t xml:space="preserve">'תְפַלֵּי' </w:t>
      </w:r>
      <w:r>
        <w:rPr>
          <w:rtl/>
        </w:rPr>
        <w:t xml:space="preserve">הוא לשון </w:t>
      </w:r>
      <w:r>
        <w:rPr>
          <w:rFonts w:hint="cs"/>
          <w:rtl/>
        </w:rPr>
        <w:t>ביעור!</w:t>
      </w:r>
    </w:p>
    <w:p w14:paraId="692658D5" w14:textId="77777777" w:rsidR="000015C4" w:rsidRDefault="000015C4" w:rsidP="000015C4">
      <w:pPr>
        <w:ind w:firstLine="284"/>
        <w:rPr>
          <w:rFonts w:hint="cs"/>
          <w:rtl/>
        </w:rPr>
      </w:pPr>
      <w:r>
        <w:rPr>
          <w:rFonts w:hint="cs"/>
          <w:rtl/>
        </w:rPr>
        <w:t>נראה כי המחלוקת בפירוש "יפלה" במשנה ו"תְפַלֵּי" בתרגום תלויה במחלוקת בביאור "</w:t>
      </w:r>
      <w:r>
        <w:rPr>
          <w:rtl/>
        </w:rPr>
        <w:t>תְפַאֵר</w:t>
      </w:r>
      <w:r>
        <w:rPr>
          <w:rFonts w:hint="cs"/>
          <w:rtl/>
        </w:rPr>
        <w:t>" שבלשון התורה. נפנה עתה לפירוש הכתוב, ואחר נשוב אל תרגומו.</w:t>
      </w:r>
    </w:p>
    <w:p w14:paraId="7F2AD80A" w14:textId="77777777" w:rsidR="000015C4" w:rsidRDefault="000015C4" w:rsidP="000015C4">
      <w:pPr>
        <w:pStyle w:val="3"/>
        <w:rPr>
          <w:rFonts w:hint="cs"/>
          <w:rtl/>
        </w:rPr>
      </w:pPr>
      <w:r>
        <w:rPr>
          <w:rtl/>
        </w:rPr>
        <w:lastRenderedPageBreak/>
        <w:t>"לֹא תְפַאֵר</w:t>
      </w:r>
      <w:r>
        <w:rPr>
          <w:rFonts w:hint="cs"/>
          <w:rtl/>
        </w:rPr>
        <w:t>"</w:t>
      </w:r>
    </w:p>
    <w:p w14:paraId="29AEF0B8" w14:textId="77777777" w:rsidR="000015C4" w:rsidRDefault="000015C4" w:rsidP="000015C4">
      <w:pPr>
        <w:ind w:firstLine="284"/>
        <w:rPr>
          <w:rFonts w:hint="cs"/>
          <w:rtl/>
        </w:rPr>
      </w:pPr>
      <w:r>
        <w:rPr>
          <w:rFonts w:hint="cs"/>
          <w:rtl/>
        </w:rPr>
        <w:t xml:space="preserve">להלן שתי פְסָקוֹת (שבספר תורה נכתבות כשתי פרשות "סתומות") מתוך </w:t>
      </w:r>
      <w:r>
        <w:rPr>
          <w:rtl/>
        </w:rPr>
        <w:t>פרשת כי תצא</w:t>
      </w:r>
      <w:r>
        <w:rPr>
          <w:rFonts w:hint="cs"/>
          <w:rtl/>
        </w:rPr>
        <w:t xml:space="preserve"> (</w:t>
      </w:r>
      <w:r>
        <w:rPr>
          <w:sz w:val="18"/>
          <w:szCs w:val="20"/>
          <w:rtl/>
        </w:rPr>
        <w:t>דברים כד</w:t>
      </w:r>
      <w:r>
        <w:rPr>
          <w:rFonts w:hint="cs"/>
          <w:sz w:val="18"/>
          <w:szCs w:val="20"/>
          <w:rtl/>
        </w:rPr>
        <w:t xml:space="preserve">, </w:t>
      </w:r>
      <w:r>
        <w:rPr>
          <w:sz w:val="18"/>
          <w:szCs w:val="20"/>
          <w:rtl/>
        </w:rPr>
        <w:t>יט</w:t>
      </w:r>
      <w:r>
        <w:rPr>
          <w:rFonts w:hint="cs"/>
          <w:sz w:val="18"/>
          <w:szCs w:val="20"/>
          <w:rtl/>
        </w:rPr>
        <w:t>-כב</w:t>
      </w:r>
      <w:r>
        <w:rPr>
          <w:rFonts w:hint="cs"/>
          <w:rtl/>
        </w:rPr>
        <w:t xml:space="preserve">): </w:t>
      </w:r>
    </w:p>
    <w:p w14:paraId="37558AB3" w14:textId="77777777" w:rsidR="000015C4" w:rsidRDefault="000015C4" w:rsidP="000015C4">
      <w:pPr>
        <w:ind w:firstLine="284"/>
        <w:rPr>
          <w:rFonts w:hint="cs"/>
          <w:rtl/>
        </w:rPr>
      </w:pPr>
      <w:r>
        <w:rPr>
          <w:rFonts w:hint="cs"/>
          <w:rtl/>
        </w:rPr>
        <w:t>"</w:t>
      </w:r>
      <w:r>
        <w:rPr>
          <w:rtl/>
        </w:rPr>
        <w:t>כִּי תִקְצֹר קְצִירְךָ בְשָׂדֶךָ וְשָׁכַחְתָּ עֹמֶר בַּשָּׂדֶה</w:t>
      </w:r>
      <w:r>
        <w:rPr>
          <w:rFonts w:hint="cs"/>
          <w:rtl/>
        </w:rPr>
        <w:t>,</w:t>
      </w:r>
      <w:r>
        <w:rPr>
          <w:rtl/>
        </w:rPr>
        <w:t xml:space="preserve"> לֹא תָשׁוּב לְקַחְתּוֹ</w:t>
      </w:r>
      <w:r>
        <w:rPr>
          <w:rFonts w:hint="cs"/>
          <w:rtl/>
        </w:rPr>
        <w:t>,</w:t>
      </w:r>
      <w:r>
        <w:rPr>
          <w:rtl/>
        </w:rPr>
        <w:t xml:space="preserve"> לַגֵּר לַיָּתוֹם וְלָאַלְמָנָה יִהְיֶה</w:t>
      </w:r>
      <w:r>
        <w:rPr>
          <w:rFonts w:hint="cs"/>
          <w:rtl/>
        </w:rPr>
        <w:t>,</w:t>
      </w:r>
      <w:r>
        <w:rPr>
          <w:rtl/>
        </w:rPr>
        <w:t xml:space="preserve"> לְמַעַן יְבָרֶכְךָ </w:t>
      </w:r>
      <w:r>
        <w:rPr>
          <w:rFonts w:hint="cs"/>
          <w:rtl/>
        </w:rPr>
        <w:t>ה'</w:t>
      </w:r>
      <w:r>
        <w:rPr>
          <w:rtl/>
        </w:rPr>
        <w:t xml:space="preserve"> אֱלֹהֶיךָ בְּכֹל מַעֲשֵׂה יָדֶיךָ</w:t>
      </w:r>
      <w:r>
        <w:rPr>
          <w:rFonts w:hint="cs"/>
          <w:rtl/>
        </w:rPr>
        <w:t xml:space="preserve">. [ </w:t>
      </w:r>
      <w:r>
        <w:rPr>
          <w:rFonts w:hint="cs"/>
          <w:sz w:val="18"/>
          <w:szCs w:val="20"/>
          <w:rtl/>
        </w:rPr>
        <w:t xml:space="preserve">הפסק פרשה סתומה </w:t>
      </w:r>
      <w:r>
        <w:rPr>
          <w:rFonts w:hint="cs"/>
          <w:rtl/>
        </w:rPr>
        <w:t>]</w:t>
      </w:r>
    </w:p>
    <w:p w14:paraId="67B6D648" w14:textId="77777777" w:rsidR="000015C4" w:rsidRDefault="000015C4" w:rsidP="000015C4">
      <w:pPr>
        <w:ind w:firstLine="284"/>
        <w:rPr>
          <w:rtl/>
        </w:rPr>
      </w:pPr>
      <w:r>
        <w:rPr>
          <w:rtl/>
        </w:rPr>
        <w:t>כִּי תַחְבֹּט זֵיתְךָ</w:t>
      </w:r>
      <w:r>
        <w:rPr>
          <w:rFonts w:hint="cs"/>
          <w:rtl/>
        </w:rPr>
        <w:t>,</w:t>
      </w:r>
      <w:r>
        <w:rPr>
          <w:rtl/>
        </w:rPr>
        <w:t xml:space="preserve"> </w:t>
      </w:r>
      <w:r>
        <w:rPr>
          <w:b/>
          <w:bCs/>
          <w:rtl/>
        </w:rPr>
        <w:t xml:space="preserve">לֹא תְפַאֵר </w:t>
      </w:r>
      <w:r>
        <w:rPr>
          <w:rtl/>
        </w:rPr>
        <w:t>אַחֲרֶיךָ</w:t>
      </w:r>
      <w:r>
        <w:rPr>
          <w:rFonts w:hint="cs"/>
          <w:rtl/>
        </w:rPr>
        <w:t>,</w:t>
      </w:r>
      <w:r>
        <w:rPr>
          <w:rtl/>
        </w:rPr>
        <w:t xml:space="preserve"> לַגֵּר לַיָּתוֹם וְלָאַלְמָנָה יִהְיֶה</w:t>
      </w:r>
      <w:r>
        <w:rPr>
          <w:rFonts w:hint="cs"/>
          <w:rtl/>
        </w:rPr>
        <w:t>.</w:t>
      </w:r>
      <w:r>
        <w:rPr>
          <w:rtl/>
        </w:rPr>
        <w:t xml:space="preserve"> כִּי תִבְצֹר כַּרְמְךָ</w:t>
      </w:r>
      <w:r>
        <w:rPr>
          <w:rFonts w:hint="cs"/>
          <w:rtl/>
        </w:rPr>
        <w:t>,</w:t>
      </w:r>
      <w:r>
        <w:rPr>
          <w:rtl/>
        </w:rPr>
        <w:t xml:space="preserve"> לֹא תְעוֹלֵל אַחֲרֶיךָ</w:t>
      </w:r>
      <w:r>
        <w:rPr>
          <w:rFonts w:hint="cs"/>
          <w:rtl/>
        </w:rPr>
        <w:t>,</w:t>
      </w:r>
      <w:r>
        <w:rPr>
          <w:rtl/>
        </w:rPr>
        <w:t xml:space="preserve"> לַגֵּר לַיָּתוֹם וְלָאַלְמָנָה יִהְיֶה</w:t>
      </w:r>
      <w:r>
        <w:rPr>
          <w:rFonts w:hint="cs"/>
          <w:rtl/>
        </w:rPr>
        <w:t xml:space="preserve">. </w:t>
      </w:r>
      <w:r>
        <w:rPr>
          <w:rtl/>
        </w:rPr>
        <w:t>וְזָכַרְתָּ כִּי עֶבֶד הָיִיתָ בְּאֶרֶץ מִצְרָיִם</w:t>
      </w:r>
      <w:r>
        <w:rPr>
          <w:rFonts w:hint="cs"/>
          <w:rtl/>
        </w:rPr>
        <w:t>,</w:t>
      </w:r>
      <w:r>
        <w:rPr>
          <w:rtl/>
        </w:rPr>
        <w:t xml:space="preserve"> עַל כֵּן אָנֹכִי מְצַוְּךָ לַעֲשׂוֹת אֶת הַדָּבָר הַזֶּה</w:t>
      </w:r>
      <w:r>
        <w:rPr>
          <w:rFonts w:hint="cs"/>
          <w:rtl/>
        </w:rPr>
        <w:t>".</w:t>
      </w:r>
    </w:p>
    <w:p w14:paraId="6C477F84" w14:textId="77777777" w:rsidR="000015C4" w:rsidRDefault="000015C4" w:rsidP="000015C4">
      <w:pPr>
        <w:ind w:firstLine="284"/>
        <w:rPr>
          <w:rFonts w:hint="cs"/>
          <w:rtl/>
        </w:rPr>
      </w:pPr>
      <w:r>
        <w:rPr>
          <w:rFonts w:hint="cs"/>
          <w:rtl/>
        </w:rPr>
        <w:t>לפי פשוטו של מקרא, נראה כי כל פסוקים אלה מתארים מִצוָה אחת, למרות מסורת הכתיבה המחלקת לשתי פרשות כנ"ל. לאחר שפֵרטה התורה במקרה הראשון (</w:t>
      </w:r>
      <w:r>
        <w:rPr>
          <w:rtl/>
        </w:rPr>
        <w:t>שָׂדֶה</w:t>
      </w:r>
      <w:r>
        <w:rPr>
          <w:rFonts w:hint="cs"/>
          <w:rtl/>
        </w:rPr>
        <w:t>), קִצרה התורה במקרה השני (עץ זית</w:t>
      </w:r>
      <w:r>
        <w:rPr>
          <w:rStyle w:val="a4"/>
          <w:rtl/>
        </w:rPr>
        <w:footnoteReference w:id="293"/>
      </w:r>
      <w:r>
        <w:rPr>
          <w:rFonts w:hint="cs"/>
          <w:rtl/>
        </w:rPr>
        <w:t>) ובמקרה השלישי (כרם ענבים), אך עניינם אחד: אם במהלך קטיף היבול פוסֵחַ הפועֵל (הקוצר, החובט או הבוצר) ושוכֵחַ לקחת חלק ממנו, יש להשאירו לעניים. בדרך זו הלך ה</w:t>
      </w:r>
      <w:r>
        <w:rPr>
          <w:rtl/>
        </w:rPr>
        <w:t>רמב"ם</w:t>
      </w:r>
      <w:r>
        <w:rPr>
          <w:rFonts w:hint="cs"/>
          <w:rtl/>
        </w:rPr>
        <w:t xml:space="preserve">, </w:t>
      </w:r>
      <w:r>
        <w:rPr>
          <w:rFonts w:hint="cs"/>
          <w:sz w:val="24"/>
          <w:rtl/>
        </w:rPr>
        <w:t>"דפשט המקרא הוא על שכחה" (</w:t>
      </w:r>
      <w:r>
        <w:rPr>
          <w:rFonts w:hint="cs"/>
          <w:sz w:val="18"/>
          <w:szCs w:val="20"/>
          <w:rtl/>
        </w:rPr>
        <w:t>משך חכמה</w:t>
      </w:r>
      <w:r>
        <w:rPr>
          <w:rFonts w:hint="cs"/>
          <w:sz w:val="24"/>
          <w:rtl/>
        </w:rPr>
        <w:t>). וכך הוא כותב</w:t>
      </w:r>
      <w:r>
        <w:rPr>
          <w:rtl/>
        </w:rPr>
        <w:t xml:space="preserve"> </w:t>
      </w:r>
      <w:r>
        <w:rPr>
          <w:rFonts w:hint="cs"/>
          <w:rtl/>
        </w:rPr>
        <w:t>בהקדמתו ל</w:t>
      </w:r>
      <w:r>
        <w:rPr>
          <w:rtl/>
        </w:rPr>
        <w:t>ספר המצוות</w:t>
      </w:r>
      <w:r>
        <w:rPr>
          <w:rStyle w:val="a4"/>
          <w:rtl/>
        </w:rPr>
        <w:footnoteReference w:id="294"/>
      </w:r>
      <w:r>
        <w:rPr>
          <w:rFonts w:hint="cs"/>
          <w:rtl/>
        </w:rPr>
        <w:t xml:space="preserve">: </w:t>
      </w:r>
    </w:p>
    <w:p w14:paraId="0DF3D25C" w14:textId="77777777" w:rsidR="000015C4" w:rsidRDefault="000015C4" w:rsidP="000015C4">
      <w:pPr>
        <w:ind w:left="720" w:firstLine="284"/>
        <w:rPr>
          <w:rFonts w:hint="cs"/>
          <w:rtl/>
        </w:rPr>
      </w:pPr>
      <w:r>
        <w:rPr>
          <w:rFonts w:hint="cs"/>
          <w:rtl/>
        </w:rPr>
        <w:t>"ו</w:t>
      </w:r>
      <w:r>
        <w:rPr>
          <w:rtl/>
        </w:rPr>
        <w:t xml:space="preserve">גם אל יטעך </w:t>
      </w:r>
      <w:r>
        <w:rPr>
          <w:rFonts w:hint="cs"/>
          <w:rtl/>
        </w:rPr>
        <w:t>מה שהלאו</w:t>
      </w:r>
      <w:r>
        <w:rPr>
          <w:rtl/>
        </w:rPr>
        <w:t xml:space="preserve"> נכפל </w:t>
      </w:r>
      <w:r>
        <w:rPr>
          <w:rFonts w:hint="cs"/>
          <w:rtl/>
        </w:rPr>
        <w:t>בלשונות שונים,</w:t>
      </w:r>
      <w:r>
        <w:rPr>
          <w:rtl/>
        </w:rPr>
        <w:t xml:space="preserve"> כ</w:t>
      </w:r>
      <w:r>
        <w:rPr>
          <w:rFonts w:hint="cs"/>
          <w:rtl/>
        </w:rPr>
        <w:t>ג</w:t>
      </w:r>
      <w:r>
        <w:rPr>
          <w:rtl/>
        </w:rPr>
        <w:t>ו</w:t>
      </w:r>
      <w:r>
        <w:rPr>
          <w:rFonts w:hint="cs"/>
          <w:rtl/>
        </w:rPr>
        <w:t>ן</w:t>
      </w:r>
      <w:r>
        <w:rPr>
          <w:rtl/>
        </w:rPr>
        <w:t xml:space="preserve"> אמרו יתעלה</w:t>
      </w:r>
      <w:r>
        <w:rPr>
          <w:rFonts w:hint="cs"/>
          <w:rtl/>
        </w:rPr>
        <w:t>: '</w:t>
      </w:r>
      <w:r>
        <w:rPr>
          <w:rtl/>
        </w:rPr>
        <w:t>וְכַרְמְךָ לֹא תְעוֹלֵל</w:t>
      </w:r>
      <w:r>
        <w:rPr>
          <w:rFonts w:hint="cs"/>
          <w:rtl/>
        </w:rPr>
        <w:t>' (</w:t>
      </w:r>
      <w:r>
        <w:rPr>
          <w:sz w:val="18"/>
          <w:szCs w:val="20"/>
          <w:rtl/>
        </w:rPr>
        <w:t>ויקרא יט</w:t>
      </w:r>
      <w:r>
        <w:rPr>
          <w:rFonts w:hint="cs"/>
          <w:sz w:val="18"/>
          <w:szCs w:val="20"/>
          <w:rtl/>
        </w:rPr>
        <w:t xml:space="preserve">, </w:t>
      </w:r>
      <w:r>
        <w:rPr>
          <w:sz w:val="18"/>
          <w:szCs w:val="20"/>
          <w:rtl/>
        </w:rPr>
        <w:t>י</w:t>
      </w:r>
      <w:r>
        <w:rPr>
          <w:rtl/>
        </w:rPr>
        <w:t>)</w:t>
      </w:r>
      <w:r>
        <w:rPr>
          <w:rFonts w:hint="cs"/>
          <w:rtl/>
        </w:rPr>
        <w:t>, '</w:t>
      </w:r>
      <w:r>
        <w:rPr>
          <w:rtl/>
        </w:rPr>
        <w:t>וְשָׁכַחְתָּ עֹמֶר בַּשָּׂדֶה לֹא תָשׁוּב לְקַחְתּוֹ</w:t>
      </w:r>
      <w:r>
        <w:rPr>
          <w:rFonts w:hint="cs"/>
          <w:rtl/>
        </w:rPr>
        <w:t>' (</w:t>
      </w:r>
      <w:r>
        <w:rPr>
          <w:sz w:val="18"/>
          <w:szCs w:val="20"/>
          <w:rtl/>
        </w:rPr>
        <w:t>דברים כד</w:t>
      </w:r>
      <w:r>
        <w:rPr>
          <w:rFonts w:hint="cs"/>
          <w:sz w:val="18"/>
          <w:szCs w:val="20"/>
          <w:rtl/>
        </w:rPr>
        <w:t xml:space="preserve">, </w:t>
      </w:r>
      <w:r>
        <w:rPr>
          <w:sz w:val="18"/>
          <w:szCs w:val="20"/>
          <w:rtl/>
        </w:rPr>
        <w:t>יט</w:t>
      </w:r>
      <w:r>
        <w:rPr>
          <w:rFonts w:hint="cs"/>
          <w:rtl/>
        </w:rPr>
        <w:t xml:space="preserve">) </w:t>
      </w:r>
      <w:r>
        <w:rPr>
          <w:rtl/>
        </w:rPr>
        <w:t>ואמר</w:t>
      </w:r>
      <w:r>
        <w:rPr>
          <w:rFonts w:hint="cs"/>
          <w:rtl/>
        </w:rPr>
        <w:t>:</w:t>
      </w:r>
      <w:r>
        <w:rPr>
          <w:rtl/>
        </w:rPr>
        <w:t xml:space="preserve"> </w:t>
      </w:r>
      <w:r>
        <w:rPr>
          <w:rFonts w:hint="cs"/>
          <w:rtl/>
        </w:rPr>
        <w:t>'</w:t>
      </w:r>
      <w:r>
        <w:rPr>
          <w:rtl/>
        </w:rPr>
        <w:t>כִּי תַחְבֹּט זֵיתְךָ</w:t>
      </w:r>
      <w:r>
        <w:rPr>
          <w:rFonts w:hint="cs"/>
          <w:rtl/>
        </w:rPr>
        <w:t>,</w:t>
      </w:r>
      <w:r>
        <w:rPr>
          <w:rtl/>
        </w:rPr>
        <w:t xml:space="preserve"> לֹא תְפַאֵר אַחֲרֶיךָ</w:t>
      </w:r>
      <w:r>
        <w:rPr>
          <w:rFonts w:hint="cs"/>
          <w:rtl/>
        </w:rPr>
        <w:t>', לפי ש</w:t>
      </w:r>
      <w:r>
        <w:rPr>
          <w:rtl/>
        </w:rPr>
        <w:t>אין אלו שני לאוין</w:t>
      </w:r>
      <w:r>
        <w:rPr>
          <w:rFonts w:hint="cs"/>
          <w:rtl/>
        </w:rPr>
        <w:t>,</w:t>
      </w:r>
      <w:r>
        <w:rPr>
          <w:rtl/>
        </w:rPr>
        <w:t xml:space="preserve"> אל</w:t>
      </w:r>
      <w:r>
        <w:rPr>
          <w:rFonts w:hint="cs"/>
          <w:rtl/>
        </w:rPr>
        <w:t>א</w:t>
      </w:r>
      <w:r>
        <w:rPr>
          <w:rtl/>
        </w:rPr>
        <w:t xml:space="preserve"> היא אזהרה אחת</w:t>
      </w:r>
      <w:r>
        <w:rPr>
          <w:rFonts w:hint="cs"/>
          <w:rtl/>
        </w:rPr>
        <w:t xml:space="preserve"> על </w:t>
      </w:r>
      <w:r>
        <w:rPr>
          <w:rtl/>
        </w:rPr>
        <w:t>ענין אחד</w:t>
      </w:r>
      <w:r>
        <w:rPr>
          <w:rFonts w:hint="cs"/>
          <w:rtl/>
        </w:rPr>
        <w:t>,</w:t>
      </w:r>
      <w:r>
        <w:rPr>
          <w:rtl/>
        </w:rPr>
        <w:t xml:space="preserve"> והוא</w:t>
      </w:r>
      <w:r>
        <w:rPr>
          <w:rFonts w:hint="cs"/>
          <w:rtl/>
        </w:rPr>
        <w:t>:</w:t>
      </w:r>
      <w:r>
        <w:rPr>
          <w:rtl/>
        </w:rPr>
        <w:t xml:space="preserve"> שלא יקח מה ששכח מן התבואה </w:t>
      </w:r>
      <w:r>
        <w:rPr>
          <w:rtl/>
        </w:rPr>
        <w:lastRenderedPageBreak/>
        <w:t xml:space="preserve">או הפירות </w:t>
      </w:r>
      <w:r>
        <w:rPr>
          <w:rFonts w:hint="cs"/>
          <w:rtl/>
        </w:rPr>
        <w:t xml:space="preserve">בעת </w:t>
      </w:r>
      <w:r>
        <w:rPr>
          <w:rtl/>
        </w:rPr>
        <w:t>אס</w:t>
      </w:r>
      <w:r>
        <w:rPr>
          <w:rFonts w:hint="cs"/>
          <w:rtl/>
        </w:rPr>
        <w:t>י</w:t>
      </w:r>
      <w:r>
        <w:rPr>
          <w:rtl/>
        </w:rPr>
        <w:t>פ</w:t>
      </w:r>
      <w:r>
        <w:rPr>
          <w:rFonts w:hint="cs"/>
          <w:rtl/>
        </w:rPr>
        <w:t>ת</w:t>
      </w:r>
      <w:r>
        <w:rPr>
          <w:rtl/>
        </w:rPr>
        <w:t>ם</w:t>
      </w:r>
      <w:r>
        <w:rPr>
          <w:rFonts w:hint="cs"/>
          <w:rtl/>
        </w:rPr>
        <w:t>,</w:t>
      </w:r>
      <w:r>
        <w:rPr>
          <w:rtl/>
        </w:rPr>
        <w:t xml:space="preserve"> והביא </w:t>
      </w:r>
      <w:r>
        <w:rPr>
          <w:rFonts w:hint="cs"/>
          <w:rtl/>
        </w:rPr>
        <w:t xml:space="preserve">לכך </w:t>
      </w:r>
      <w:r>
        <w:rPr>
          <w:rtl/>
        </w:rPr>
        <w:t>ש</w:t>
      </w:r>
      <w:r>
        <w:rPr>
          <w:rFonts w:hint="cs"/>
          <w:rtl/>
        </w:rPr>
        <w:t>ת</w:t>
      </w:r>
      <w:r>
        <w:rPr>
          <w:rtl/>
        </w:rPr>
        <w:t>י ד</w:t>
      </w:r>
      <w:r>
        <w:rPr>
          <w:rFonts w:hint="cs"/>
          <w:rtl/>
        </w:rPr>
        <w:t>וג</w:t>
      </w:r>
      <w:r>
        <w:rPr>
          <w:rtl/>
        </w:rPr>
        <w:t>מ</w:t>
      </w:r>
      <w:r>
        <w:rPr>
          <w:rFonts w:hint="cs"/>
          <w:rtl/>
        </w:rPr>
        <w:t>אות</w:t>
      </w:r>
      <w:r>
        <w:rPr>
          <w:rStyle w:val="a4"/>
          <w:rtl/>
        </w:rPr>
        <w:footnoteReference w:id="295"/>
      </w:r>
      <w:r>
        <w:rPr>
          <w:rFonts w:hint="cs"/>
          <w:rtl/>
        </w:rPr>
        <w:t xml:space="preserve">: </w:t>
      </w:r>
      <w:r>
        <w:rPr>
          <w:rtl/>
        </w:rPr>
        <w:t>ענבים וז</w:t>
      </w:r>
      <w:r>
        <w:rPr>
          <w:rFonts w:hint="cs"/>
          <w:rtl/>
        </w:rPr>
        <w:t>י</w:t>
      </w:r>
      <w:r>
        <w:rPr>
          <w:rtl/>
        </w:rPr>
        <w:t>תים</w:t>
      </w:r>
      <w:r>
        <w:rPr>
          <w:rFonts w:hint="cs"/>
          <w:rtl/>
        </w:rPr>
        <w:t>.</w:t>
      </w:r>
      <w:r>
        <w:rPr>
          <w:rtl/>
        </w:rPr>
        <w:t xml:space="preserve"> פירוש </w:t>
      </w:r>
      <w:r>
        <w:rPr>
          <w:rFonts w:hint="cs"/>
          <w:rtl/>
        </w:rPr>
        <w:t>'</w:t>
      </w:r>
      <w:r>
        <w:rPr>
          <w:rtl/>
        </w:rPr>
        <w:t>לֹא תְפַאֵר</w:t>
      </w:r>
      <w:r>
        <w:rPr>
          <w:rFonts w:hint="cs"/>
          <w:rtl/>
        </w:rPr>
        <w:t>':</w:t>
      </w:r>
      <w:r>
        <w:rPr>
          <w:rtl/>
        </w:rPr>
        <w:t xml:space="preserve"> א</w:t>
      </w:r>
      <w:r>
        <w:rPr>
          <w:rFonts w:hint="cs"/>
          <w:rtl/>
        </w:rPr>
        <w:t>ל</w:t>
      </w:r>
      <w:r>
        <w:rPr>
          <w:rtl/>
        </w:rPr>
        <w:t xml:space="preserve"> ת</w:t>
      </w:r>
      <w:r>
        <w:rPr>
          <w:rFonts w:hint="cs"/>
          <w:rtl/>
        </w:rPr>
        <w:t>כרו</w:t>
      </w:r>
      <w:r>
        <w:rPr>
          <w:rtl/>
        </w:rPr>
        <w:t>ת מה ששכחת בקצו</w:t>
      </w:r>
      <w:r>
        <w:rPr>
          <w:rFonts w:hint="cs"/>
          <w:rtl/>
        </w:rPr>
        <w:t>ו</w:t>
      </w:r>
      <w:r>
        <w:rPr>
          <w:rtl/>
        </w:rPr>
        <w:t>ת הפ</w:t>
      </w:r>
      <w:r>
        <w:rPr>
          <w:rFonts w:hint="cs"/>
          <w:rtl/>
        </w:rPr>
        <w:t>ֹ</w:t>
      </w:r>
      <w:r>
        <w:rPr>
          <w:rtl/>
        </w:rPr>
        <w:t>ארות</w:t>
      </w:r>
      <w:r>
        <w:rPr>
          <w:rFonts w:hint="cs"/>
          <w:rtl/>
        </w:rPr>
        <w:t>,</w:t>
      </w:r>
      <w:r>
        <w:rPr>
          <w:rtl/>
        </w:rPr>
        <w:t xml:space="preserve"> וה</w:t>
      </w:r>
      <w:r>
        <w:rPr>
          <w:rFonts w:hint="cs"/>
          <w:rtl/>
        </w:rPr>
        <w:t>ן</w:t>
      </w:r>
      <w:r>
        <w:rPr>
          <w:rtl/>
        </w:rPr>
        <w:t xml:space="preserve"> הענפים</w:t>
      </w:r>
      <w:r>
        <w:rPr>
          <w:rFonts w:hint="cs"/>
          <w:rtl/>
        </w:rPr>
        <w:t>".</w:t>
      </w:r>
    </w:p>
    <w:p w14:paraId="5DD9BA02" w14:textId="77777777" w:rsidR="000015C4" w:rsidRDefault="000015C4" w:rsidP="000015C4">
      <w:pPr>
        <w:ind w:firstLine="284"/>
        <w:rPr>
          <w:rFonts w:hint="cs"/>
          <w:rtl/>
        </w:rPr>
      </w:pPr>
      <w:r>
        <w:rPr>
          <w:rFonts w:hint="cs"/>
          <w:rtl/>
        </w:rPr>
        <w:t>גם לפי מדרש ההלכה נאמרה כאן מצות שכחה: במִלה "</w:t>
      </w:r>
      <w:r>
        <w:rPr>
          <w:rtl/>
        </w:rPr>
        <w:t>אַחֲרֶיךָ</w:t>
      </w:r>
      <w:r>
        <w:rPr>
          <w:rFonts w:hint="cs"/>
          <w:rtl/>
        </w:rPr>
        <w:t>" הכתובה בפסוק כ' (בכרם זית) ובפסוק כ"א (בכרם ענבים), המקבילה למה שאמור בהרחבה בפסוק י"ט (בשדה): "</w:t>
      </w:r>
      <w:r>
        <w:rPr>
          <w:rtl/>
        </w:rPr>
        <w:t>לֹא תָשׁוּב לְקַחְתּוֹ</w:t>
      </w:r>
      <w:r>
        <w:rPr>
          <w:rFonts w:hint="cs"/>
          <w:rtl/>
        </w:rPr>
        <w:t>". וכך כותב ה</w:t>
      </w:r>
      <w:r>
        <w:rPr>
          <w:rtl/>
        </w:rPr>
        <w:t xml:space="preserve">מלבי"ם </w:t>
      </w:r>
      <w:r>
        <w:rPr>
          <w:rFonts w:hint="cs"/>
          <w:rtl/>
        </w:rPr>
        <w:t>על המִלה "</w:t>
      </w:r>
      <w:r>
        <w:rPr>
          <w:rtl/>
        </w:rPr>
        <w:t>אַחֲרֶיךָ</w:t>
      </w:r>
      <w:r>
        <w:rPr>
          <w:rFonts w:hint="cs"/>
          <w:rtl/>
        </w:rPr>
        <w:t>": "ש</w:t>
      </w:r>
      <w:r>
        <w:rPr>
          <w:rtl/>
        </w:rPr>
        <w:t>הוא מיותר</w:t>
      </w:r>
      <w:r>
        <w:rPr>
          <w:rFonts w:hint="cs"/>
          <w:rtl/>
        </w:rPr>
        <w:t>,</w:t>
      </w:r>
      <w:r>
        <w:rPr>
          <w:rtl/>
        </w:rPr>
        <w:t xml:space="preserve"> הוא דבר בפ</w:t>
      </w:r>
      <w:r>
        <w:rPr>
          <w:rFonts w:hint="cs"/>
          <w:rtl/>
        </w:rPr>
        <w:t xml:space="preserve">ני </w:t>
      </w:r>
      <w:r>
        <w:rPr>
          <w:rtl/>
        </w:rPr>
        <w:t>ע</w:t>
      </w:r>
      <w:r>
        <w:rPr>
          <w:rFonts w:hint="cs"/>
          <w:rtl/>
        </w:rPr>
        <w:t>צמו</w:t>
      </w:r>
      <w:r>
        <w:rPr>
          <w:rtl/>
        </w:rPr>
        <w:t>, ויורה על דבר</w:t>
      </w:r>
      <w:r>
        <w:t xml:space="preserve"> </w:t>
      </w:r>
      <w:r>
        <w:rPr>
          <w:rtl/>
        </w:rPr>
        <w:t>שהוא</w:t>
      </w:r>
      <w:r>
        <w:rPr>
          <w:rFonts w:hint="cs"/>
          <w:rtl/>
        </w:rPr>
        <w:t xml:space="preserve"> </w:t>
      </w:r>
      <w:r>
        <w:rPr>
          <w:rtl/>
        </w:rPr>
        <w:t>אחריו וזה שכחה, שרק לאחריו הוא שכחה ולא לפניו</w:t>
      </w:r>
      <w:r>
        <w:rPr>
          <w:rStyle w:val="a4"/>
          <w:rtl/>
        </w:rPr>
        <w:footnoteReference w:id="296"/>
      </w:r>
      <w:r>
        <w:rPr>
          <w:rFonts w:hint="cs"/>
          <w:rtl/>
        </w:rPr>
        <w:t>"</w:t>
      </w:r>
      <w:r>
        <w:rPr>
          <w:rtl/>
        </w:rPr>
        <w:t>.</w:t>
      </w:r>
    </w:p>
    <w:p w14:paraId="04C1CD79" w14:textId="77777777" w:rsidR="000015C4" w:rsidRDefault="000015C4" w:rsidP="000015C4">
      <w:pPr>
        <w:ind w:firstLine="284"/>
        <w:rPr>
          <w:rFonts w:hint="cs"/>
          <w:rtl/>
        </w:rPr>
      </w:pPr>
      <w:r>
        <w:rPr>
          <w:rFonts w:hint="cs"/>
          <w:rtl/>
        </w:rPr>
        <w:t>ברם, בנוסף למצות שכחה המבוארת היטב בפרשה הראשונה (פסוק י"ט), דרשו חז"ל שהפרשה השניה איננה פירוט של מצות שכחה, אלא היא מחדשת שתי מצוות חדשות שנוגעות לחלק מן היבול שמלכתחילה יש להשאיר בכוונה עבור העניים: פסוק כ' מְצַוֶּה על מצות פאה, ופסוק כ"א על עוללות. להלן נבאר כיצד נדרשה מצות פאה מפסוק כ'. ראשית, נדון בפשוטו של מקרא, שלפיו אין לפרק את הביטוי "</w:t>
      </w:r>
      <w:r>
        <w:rPr>
          <w:rtl/>
        </w:rPr>
        <w:t>לֹא תְפַאֵר אַחֲרֶיךָ</w:t>
      </w:r>
      <w:r>
        <w:rPr>
          <w:rFonts w:hint="cs"/>
          <w:rtl/>
        </w:rPr>
        <w:t>",</w:t>
      </w:r>
      <w:r>
        <w:rPr>
          <w:rtl/>
        </w:rPr>
        <w:t xml:space="preserve"> </w:t>
      </w:r>
      <w:r>
        <w:rPr>
          <w:rFonts w:hint="cs"/>
          <w:rtl/>
        </w:rPr>
        <w:t>והוא עוסק במצות שכחה בלבד.</w:t>
      </w:r>
    </w:p>
    <w:p w14:paraId="19F46045" w14:textId="77777777" w:rsidR="000015C4" w:rsidRDefault="000015C4" w:rsidP="000015C4">
      <w:pPr>
        <w:pStyle w:val="4"/>
        <w:rPr>
          <w:rFonts w:hint="cs"/>
          <w:rtl/>
        </w:rPr>
      </w:pPr>
      <w:r>
        <w:rPr>
          <w:rFonts w:hint="cs"/>
          <w:rtl/>
        </w:rPr>
        <w:t>לפי פשוטו</w:t>
      </w:r>
    </w:p>
    <w:p w14:paraId="4F1DEB37" w14:textId="77777777" w:rsidR="000015C4" w:rsidRDefault="000015C4" w:rsidP="000015C4">
      <w:pPr>
        <w:ind w:firstLine="284"/>
        <w:rPr>
          <w:rFonts w:hint="cs"/>
          <w:rtl/>
        </w:rPr>
      </w:pPr>
      <w:r>
        <w:rPr>
          <w:rFonts w:hint="cs"/>
          <w:rtl/>
        </w:rPr>
        <w:t>מה משמעות הַפֹעַל "</w:t>
      </w:r>
      <w:r>
        <w:rPr>
          <w:rtl/>
        </w:rPr>
        <w:t>תְפַאֵר</w:t>
      </w:r>
      <w:r>
        <w:rPr>
          <w:rFonts w:hint="cs"/>
          <w:rtl/>
        </w:rPr>
        <w:t>"?</w:t>
      </w:r>
    </w:p>
    <w:p w14:paraId="49D58701" w14:textId="77777777" w:rsidR="000015C4" w:rsidRDefault="000015C4" w:rsidP="000015C4">
      <w:pPr>
        <w:ind w:firstLine="284"/>
        <w:rPr>
          <w:rFonts w:hint="cs"/>
          <w:rtl/>
        </w:rPr>
      </w:pPr>
      <w:r>
        <w:rPr>
          <w:rFonts w:hint="cs"/>
          <w:rtl/>
        </w:rPr>
        <w:t>מטעמי חִסכון אין תולשים ביד כל זית וזית בפני עצמו, אלא קטיפת הזיתים נעשית בפעולה עקיפה - ככתוב: "</w:t>
      </w:r>
      <w:r>
        <w:rPr>
          <w:rtl/>
        </w:rPr>
        <w:t xml:space="preserve">כִּי </w:t>
      </w:r>
      <w:r>
        <w:rPr>
          <w:b/>
          <w:bCs/>
          <w:rtl/>
        </w:rPr>
        <w:t>תַחְבֹּט</w:t>
      </w:r>
      <w:r>
        <w:rPr>
          <w:rtl/>
        </w:rPr>
        <w:t xml:space="preserve"> זֵיתְךָ</w:t>
      </w:r>
      <w:r>
        <w:rPr>
          <w:rFonts w:hint="cs"/>
          <w:rtl/>
        </w:rPr>
        <w:t xml:space="preserve">" </w:t>
      </w:r>
      <w:r>
        <w:rPr>
          <w:rFonts w:hint="cs"/>
          <w:rtl/>
        </w:rPr>
        <w:lastRenderedPageBreak/>
        <w:t>- חבטה (או נענוע) של ענפי הזית, סעיפיו ופאורותיו, על מנת להשיר את הזיתים; ואז כל שנותר הוא לאסוף מן הקרקע (או מהיריעה שנפרשה תחת העץ) את הזיתים שנָשרו. ברם, בתהליך זה עדיין נותרים מעט זיתים "עקשניים" הפזורים פה ושם, ואיסופם מצריך טִרחה יתֵרה: חיפוש ופִשפוש מדוקדק בין ענפי הזית</w:t>
      </w:r>
      <w:r>
        <w:rPr>
          <w:rStyle w:val="a4"/>
          <w:rtl/>
        </w:rPr>
        <w:footnoteReference w:id="297"/>
      </w:r>
      <w:r>
        <w:rPr>
          <w:rFonts w:hint="cs"/>
          <w:rtl/>
        </w:rPr>
        <w:t>. זיתים אלו, שמצוה לאפשר ל</w:t>
      </w:r>
      <w:r>
        <w:rPr>
          <w:rtl/>
        </w:rPr>
        <w:t>עני</w:t>
      </w:r>
      <w:r>
        <w:rPr>
          <w:rFonts w:hint="cs"/>
          <w:rtl/>
        </w:rPr>
        <w:t>ים</w:t>
      </w:r>
      <w:r>
        <w:rPr>
          <w:rtl/>
        </w:rPr>
        <w:t xml:space="preserve"> </w:t>
      </w:r>
      <w:r>
        <w:rPr>
          <w:rFonts w:hint="cs"/>
          <w:rtl/>
        </w:rPr>
        <w:t>ל</w:t>
      </w:r>
      <w:r>
        <w:rPr>
          <w:rtl/>
        </w:rPr>
        <w:t>על</w:t>
      </w:r>
      <w:r>
        <w:rPr>
          <w:rFonts w:hint="cs"/>
          <w:rtl/>
        </w:rPr>
        <w:t>ות</w:t>
      </w:r>
      <w:r>
        <w:rPr>
          <w:rtl/>
        </w:rPr>
        <w:t xml:space="preserve"> ו</w:t>
      </w:r>
      <w:r>
        <w:rPr>
          <w:rFonts w:hint="cs"/>
          <w:rtl/>
        </w:rPr>
        <w:t>ל</w:t>
      </w:r>
      <w:r>
        <w:rPr>
          <w:rtl/>
        </w:rPr>
        <w:t xml:space="preserve">לוקטן, נקראין </w:t>
      </w:r>
      <w:r>
        <w:rPr>
          <w:rFonts w:hint="cs"/>
          <w:rtl/>
        </w:rPr>
        <w:t>"</w:t>
      </w:r>
      <w:r>
        <w:rPr>
          <w:rtl/>
        </w:rPr>
        <w:t>זיתי ניקוף</w:t>
      </w:r>
      <w:r>
        <w:rPr>
          <w:rFonts w:hint="cs"/>
          <w:rtl/>
        </w:rPr>
        <w:t>" (</w:t>
      </w:r>
      <w:r>
        <w:rPr>
          <w:sz w:val="18"/>
          <w:szCs w:val="20"/>
          <w:rtl/>
        </w:rPr>
        <w:t>פאה פ</w:t>
      </w:r>
      <w:r>
        <w:rPr>
          <w:rFonts w:hint="cs"/>
          <w:sz w:val="18"/>
          <w:szCs w:val="20"/>
          <w:rtl/>
        </w:rPr>
        <w:t>"</w:t>
      </w:r>
      <w:r>
        <w:rPr>
          <w:sz w:val="18"/>
          <w:szCs w:val="20"/>
          <w:rtl/>
        </w:rPr>
        <w:t>ח מ</w:t>
      </w:r>
      <w:r>
        <w:rPr>
          <w:rFonts w:hint="cs"/>
          <w:sz w:val="18"/>
          <w:szCs w:val="20"/>
          <w:rtl/>
        </w:rPr>
        <w:t>"</w:t>
      </w:r>
      <w:r>
        <w:rPr>
          <w:sz w:val="18"/>
          <w:szCs w:val="20"/>
          <w:rtl/>
        </w:rPr>
        <w:t xml:space="preserve">ג </w:t>
      </w:r>
      <w:r>
        <w:rPr>
          <w:rFonts w:hint="cs"/>
          <w:sz w:val="18"/>
          <w:szCs w:val="20"/>
          <w:rtl/>
        </w:rPr>
        <w:t>ו</w:t>
      </w:r>
      <w:r>
        <w:rPr>
          <w:sz w:val="18"/>
          <w:szCs w:val="20"/>
          <w:rtl/>
        </w:rPr>
        <w:t>חלה פ</w:t>
      </w:r>
      <w:r>
        <w:rPr>
          <w:rFonts w:hint="cs"/>
          <w:sz w:val="18"/>
          <w:szCs w:val="20"/>
          <w:rtl/>
        </w:rPr>
        <w:t>"</w:t>
      </w:r>
      <w:r>
        <w:rPr>
          <w:sz w:val="18"/>
          <w:szCs w:val="20"/>
          <w:rtl/>
        </w:rPr>
        <w:t>ג מ</w:t>
      </w:r>
      <w:r>
        <w:rPr>
          <w:rFonts w:hint="cs"/>
          <w:sz w:val="18"/>
          <w:szCs w:val="20"/>
          <w:rtl/>
        </w:rPr>
        <w:t>"</w:t>
      </w:r>
      <w:r>
        <w:rPr>
          <w:sz w:val="18"/>
          <w:szCs w:val="20"/>
          <w:rtl/>
        </w:rPr>
        <w:t>ט</w:t>
      </w:r>
      <w:r>
        <w:rPr>
          <w:rtl/>
        </w:rPr>
        <w:t>)</w:t>
      </w:r>
      <w:r>
        <w:rPr>
          <w:rFonts w:hint="cs"/>
          <w:rtl/>
        </w:rPr>
        <w:t xml:space="preserve">. </w:t>
      </w:r>
    </w:p>
    <w:p w14:paraId="1FA90C07" w14:textId="77777777" w:rsidR="000015C4" w:rsidRDefault="000015C4" w:rsidP="000015C4">
      <w:pPr>
        <w:ind w:firstLine="284"/>
        <w:rPr>
          <w:rFonts w:hint="cs"/>
          <w:rtl/>
        </w:rPr>
      </w:pPr>
      <w:r>
        <w:rPr>
          <w:rFonts w:hint="cs"/>
          <w:sz w:val="26"/>
          <w:rtl/>
        </w:rPr>
        <w:t xml:space="preserve">כאמור, לפי </w:t>
      </w:r>
      <w:r>
        <w:rPr>
          <w:rFonts w:hint="cs"/>
          <w:rtl/>
        </w:rPr>
        <w:t>ה</w:t>
      </w:r>
      <w:r>
        <w:rPr>
          <w:rtl/>
        </w:rPr>
        <w:t>רמב"ם</w:t>
      </w:r>
      <w:r>
        <w:rPr>
          <w:rFonts w:hint="cs"/>
          <w:rtl/>
        </w:rPr>
        <w:t xml:space="preserve"> ב</w:t>
      </w:r>
      <w:r>
        <w:rPr>
          <w:rtl/>
        </w:rPr>
        <w:t>ספר המצוות</w:t>
      </w:r>
      <w:r>
        <w:rPr>
          <w:rFonts w:hint="cs"/>
          <w:rtl/>
        </w:rPr>
        <w:t xml:space="preserve">, </w:t>
      </w:r>
      <w:r>
        <w:rPr>
          <w:rtl/>
        </w:rPr>
        <w:t xml:space="preserve">פירוש </w:t>
      </w:r>
      <w:r>
        <w:rPr>
          <w:rFonts w:hint="cs"/>
          <w:rtl/>
        </w:rPr>
        <w:t>"</w:t>
      </w:r>
      <w:r>
        <w:rPr>
          <w:rtl/>
        </w:rPr>
        <w:t>לֹא תְפַאֵר</w:t>
      </w:r>
      <w:r>
        <w:rPr>
          <w:rFonts w:hint="cs"/>
          <w:rtl/>
        </w:rPr>
        <w:t xml:space="preserve">" הוא האיסור </w:t>
      </w:r>
      <w:r>
        <w:rPr>
          <w:rFonts w:hint="cs"/>
          <w:b/>
          <w:bCs/>
          <w:rtl/>
        </w:rPr>
        <w:t>לכרו</w:t>
      </w:r>
      <w:r>
        <w:rPr>
          <w:b/>
          <w:bCs/>
          <w:rtl/>
        </w:rPr>
        <w:t>ת</w:t>
      </w:r>
      <w:r>
        <w:rPr>
          <w:rtl/>
        </w:rPr>
        <w:t xml:space="preserve"> </w:t>
      </w:r>
      <w:r>
        <w:rPr>
          <w:rFonts w:hint="cs"/>
          <w:rtl/>
        </w:rPr>
        <w:t>את הזיתים (</w:t>
      </w:r>
      <w:r>
        <w:rPr>
          <w:rtl/>
        </w:rPr>
        <w:t>ש</w:t>
      </w:r>
      <w:r>
        <w:rPr>
          <w:rFonts w:hint="cs"/>
          <w:rtl/>
        </w:rPr>
        <w:t>נ</w:t>
      </w:r>
      <w:r>
        <w:rPr>
          <w:rtl/>
        </w:rPr>
        <w:t>שכח</w:t>
      </w:r>
      <w:r>
        <w:rPr>
          <w:rFonts w:hint="cs"/>
          <w:rtl/>
        </w:rPr>
        <w:t xml:space="preserve">ו) </w:t>
      </w:r>
      <w:r>
        <w:rPr>
          <w:rtl/>
        </w:rPr>
        <w:t>בקצו</w:t>
      </w:r>
      <w:r>
        <w:rPr>
          <w:rFonts w:hint="cs"/>
          <w:rtl/>
        </w:rPr>
        <w:t>ו</w:t>
      </w:r>
      <w:r>
        <w:rPr>
          <w:rtl/>
        </w:rPr>
        <w:t xml:space="preserve">ת הענפים </w:t>
      </w:r>
      <w:r>
        <w:rPr>
          <w:rFonts w:hint="cs"/>
          <w:rtl/>
        </w:rPr>
        <w:t>(הנקראים גם "</w:t>
      </w:r>
      <w:r>
        <w:rPr>
          <w:rtl/>
        </w:rPr>
        <w:t>פ</w:t>
      </w:r>
      <w:r>
        <w:rPr>
          <w:rFonts w:hint="cs"/>
          <w:rtl/>
        </w:rPr>
        <w:t>ֹ</w:t>
      </w:r>
      <w:r>
        <w:rPr>
          <w:rtl/>
        </w:rPr>
        <w:t>ארות</w:t>
      </w:r>
      <w:r>
        <w:rPr>
          <w:rFonts w:hint="cs"/>
          <w:rtl/>
        </w:rPr>
        <w:t>").</w:t>
      </w:r>
      <w:r>
        <w:rPr>
          <w:rFonts w:hint="cs"/>
          <w:sz w:val="26"/>
          <w:rtl/>
        </w:rPr>
        <w:t xml:space="preserve"> כך מבארים גם </w:t>
      </w:r>
      <w:r>
        <w:rPr>
          <w:sz w:val="26"/>
          <w:rtl/>
        </w:rPr>
        <w:t>רד"ק</w:t>
      </w:r>
      <w:r>
        <w:rPr>
          <w:rFonts w:hint="cs"/>
          <w:sz w:val="26"/>
          <w:rtl/>
        </w:rPr>
        <w:t xml:space="preserve"> (</w:t>
      </w:r>
      <w:r>
        <w:rPr>
          <w:sz w:val="18"/>
          <w:szCs w:val="20"/>
          <w:rtl/>
        </w:rPr>
        <w:t>ספר השרשים</w:t>
      </w:r>
      <w:r>
        <w:rPr>
          <w:rFonts w:hint="cs"/>
          <w:sz w:val="18"/>
          <w:szCs w:val="20"/>
          <w:rtl/>
        </w:rPr>
        <w:t xml:space="preserve">, פא"ר: "שלא </w:t>
      </w:r>
      <w:r>
        <w:rPr>
          <w:rFonts w:hint="cs"/>
          <w:b/>
          <w:bCs/>
          <w:sz w:val="18"/>
          <w:szCs w:val="20"/>
          <w:rtl/>
        </w:rPr>
        <w:t>תטול</w:t>
      </w:r>
      <w:r>
        <w:rPr>
          <w:rFonts w:hint="cs"/>
          <w:sz w:val="18"/>
          <w:szCs w:val="20"/>
          <w:rtl/>
        </w:rPr>
        <w:t xml:space="preserve"> מה שנשאר</w:t>
      </w:r>
      <w:r>
        <w:rPr>
          <w:sz w:val="18"/>
          <w:szCs w:val="20"/>
          <w:rtl/>
        </w:rPr>
        <w:t xml:space="preserve"> </w:t>
      </w:r>
      <w:r>
        <w:rPr>
          <w:rFonts w:hint="cs"/>
          <w:sz w:val="18"/>
          <w:szCs w:val="20"/>
          <w:rtl/>
        </w:rPr>
        <w:t>ב</w:t>
      </w:r>
      <w:r>
        <w:rPr>
          <w:sz w:val="18"/>
          <w:szCs w:val="20"/>
          <w:rtl/>
        </w:rPr>
        <w:t>פארות</w:t>
      </w:r>
      <w:r>
        <w:rPr>
          <w:rFonts w:hint="cs"/>
          <w:sz w:val="18"/>
          <w:szCs w:val="20"/>
          <w:rtl/>
        </w:rPr>
        <w:t>"</w:t>
      </w:r>
      <w:r>
        <w:rPr>
          <w:rFonts w:hint="cs"/>
          <w:sz w:val="26"/>
          <w:rtl/>
        </w:rPr>
        <w:t>) ו</w:t>
      </w:r>
      <w:r>
        <w:rPr>
          <w:rFonts w:hint="cs"/>
          <w:rtl/>
        </w:rPr>
        <w:t>ר"י אבן כספי (</w:t>
      </w:r>
      <w:r>
        <w:rPr>
          <w:rFonts w:hint="cs"/>
          <w:sz w:val="18"/>
          <w:szCs w:val="20"/>
          <w:rtl/>
        </w:rPr>
        <w:t>"</w:t>
      </w:r>
      <w:r>
        <w:rPr>
          <w:rFonts w:hint="cs"/>
          <w:b/>
          <w:bCs/>
          <w:sz w:val="18"/>
          <w:szCs w:val="20"/>
          <w:rtl/>
        </w:rPr>
        <w:t>לקחת</w:t>
      </w:r>
      <w:r>
        <w:rPr>
          <w:rFonts w:hint="cs"/>
          <w:sz w:val="18"/>
          <w:szCs w:val="20"/>
          <w:rtl/>
        </w:rPr>
        <w:t xml:space="preserve"> הזיתים הנשארים בפארות"</w:t>
      </w:r>
      <w:r>
        <w:rPr>
          <w:rFonts w:hint="cs"/>
          <w:rtl/>
        </w:rPr>
        <w:t>), וזהו אחד משני הפירושים שמביא ריב"ג ל"</w:t>
      </w:r>
      <w:r>
        <w:rPr>
          <w:rtl/>
        </w:rPr>
        <w:t>תְפַאֵר</w:t>
      </w:r>
      <w:r>
        <w:rPr>
          <w:rFonts w:hint="cs"/>
          <w:rtl/>
        </w:rPr>
        <w:t>"</w:t>
      </w:r>
      <w:r>
        <w:rPr>
          <w:rStyle w:val="a4"/>
          <w:rtl/>
        </w:rPr>
        <w:footnoteReference w:id="298"/>
      </w:r>
      <w:r>
        <w:rPr>
          <w:rFonts w:hint="cs"/>
          <w:rtl/>
        </w:rPr>
        <w:t>: "</w:t>
      </w:r>
      <w:r>
        <w:rPr>
          <w:rFonts w:hint="cs"/>
          <w:b/>
          <w:bCs/>
          <w:rtl/>
        </w:rPr>
        <w:t>תלקט</w:t>
      </w:r>
      <w:r>
        <w:rPr>
          <w:rFonts w:hint="cs"/>
          <w:rtl/>
        </w:rPr>
        <w:t xml:space="preserve"> הנשאר </w:t>
      </w:r>
      <w:r>
        <w:rPr>
          <w:rFonts w:hint="cs"/>
          <w:rtl/>
        </w:rPr>
        <w:lastRenderedPageBreak/>
        <w:t>ב</w:t>
      </w:r>
      <w:r>
        <w:rPr>
          <w:rtl/>
        </w:rPr>
        <w:t>פ</w:t>
      </w:r>
      <w:r>
        <w:rPr>
          <w:rFonts w:hint="cs"/>
          <w:rtl/>
        </w:rPr>
        <w:t>ֹ</w:t>
      </w:r>
      <w:r>
        <w:rPr>
          <w:rtl/>
        </w:rPr>
        <w:t>ארות</w:t>
      </w:r>
      <w:r>
        <w:rPr>
          <w:rFonts w:hint="cs"/>
          <w:rtl/>
        </w:rPr>
        <w:t>". אם נשוה את פירות הזית לכִּנים שבבגד, הרי שלפי פירוש זה "</w:t>
      </w:r>
      <w:r>
        <w:rPr>
          <w:rtl/>
        </w:rPr>
        <w:t>תְפַאֵר</w:t>
      </w:r>
      <w:r>
        <w:rPr>
          <w:rFonts w:hint="cs"/>
          <w:rtl/>
        </w:rPr>
        <w:t>" מקביל לסילוק הכִּנים מהבגד (</w:t>
      </w:r>
      <w:r>
        <w:rPr>
          <w:rFonts w:hint="cs"/>
          <w:sz w:val="18"/>
          <w:szCs w:val="20"/>
          <w:rtl/>
        </w:rPr>
        <w:t>שלב ג' הנ"ל</w:t>
      </w:r>
      <w:r>
        <w:rPr>
          <w:rFonts w:hint="cs"/>
          <w:rtl/>
        </w:rPr>
        <w:t>).</w:t>
      </w:r>
    </w:p>
    <w:p w14:paraId="333F3A24" w14:textId="77777777" w:rsidR="000015C4" w:rsidRDefault="000015C4" w:rsidP="000015C4">
      <w:pPr>
        <w:ind w:firstLine="284"/>
        <w:rPr>
          <w:rFonts w:hint="cs"/>
          <w:rtl/>
        </w:rPr>
      </w:pPr>
      <w:r>
        <w:rPr>
          <w:rFonts w:hint="cs"/>
          <w:rtl/>
        </w:rPr>
        <w:t>ברם, הואיל וליקוט הזיתים הבודדים שלא נשרו זוקק חיפוש ובדיקה, יש מפרשים שהמעשה שנאסר כאן בַפֹעַל "</w:t>
      </w:r>
      <w:r>
        <w:rPr>
          <w:rtl/>
        </w:rPr>
        <w:t>תְפַאֵר</w:t>
      </w:r>
      <w:r>
        <w:rPr>
          <w:rFonts w:hint="cs"/>
          <w:rtl/>
        </w:rPr>
        <w:t>" איננו הקטיף אלא החיפוש על מנת לקטוף. כך מוכח מתרגומי התורה לארמית ארץ-ישראלית, המפרשים את הפֹעַל "</w:t>
      </w:r>
      <w:r>
        <w:rPr>
          <w:rtl/>
        </w:rPr>
        <w:t>תְפַאֵר</w:t>
      </w:r>
      <w:r>
        <w:rPr>
          <w:rFonts w:hint="cs"/>
          <w:rtl/>
        </w:rPr>
        <w:t>" מלשון בִקורת: "תְבַקְרִינוּן"</w:t>
      </w:r>
      <w:r>
        <w:rPr>
          <w:rStyle w:val="a4"/>
          <w:rtl/>
        </w:rPr>
        <w:footnoteReference w:id="299"/>
      </w:r>
      <w:r>
        <w:rPr>
          <w:rFonts w:hint="cs"/>
          <w:rtl/>
        </w:rPr>
        <w:t xml:space="preserve">, וכן פירש רס"ג: "לא </w:t>
      </w:r>
      <w:r>
        <w:rPr>
          <w:rFonts w:hint="cs"/>
          <w:b/>
          <w:bCs/>
          <w:rtl/>
        </w:rPr>
        <w:t>תבדוק</w:t>
      </w:r>
      <w:r>
        <w:rPr>
          <w:rFonts w:hint="cs"/>
          <w:rtl/>
        </w:rPr>
        <w:t xml:space="preserve"> אחר כך ו</w:t>
      </w:r>
      <w:r>
        <w:rPr>
          <w:rFonts w:hint="cs"/>
          <w:b/>
          <w:bCs/>
          <w:rtl/>
        </w:rPr>
        <w:t xml:space="preserve">תחטט </w:t>
      </w:r>
      <w:r>
        <w:rPr>
          <w:rFonts w:hint="cs"/>
          <w:rtl/>
        </w:rPr>
        <w:t xml:space="preserve">אחר הנשארים בפֹארות", וכן פירש ר"א </w:t>
      </w:r>
      <w:r>
        <w:rPr>
          <w:rtl/>
        </w:rPr>
        <w:t>אבן עזרא</w:t>
      </w:r>
      <w:r>
        <w:rPr>
          <w:rFonts w:hint="cs"/>
          <w:rtl/>
        </w:rPr>
        <w:t>: "</w:t>
      </w:r>
      <w:r>
        <w:rPr>
          <w:rtl/>
        </w:rPr>
        <w:t xml:space="preserve">לא תפאר - לא </w:t>
      </w:r>
      <w:r>
        <w:rPr>
          <w:b/>
          <w:bCs/>
          <w:rtl/>
        </w:rPr>
        <w:t>תחפש</w:t>
      </w:r>
      <w:r>
        <w:rPr>
          <w:rtl/>
        </w:rPr>
        <w:t xml:space="preserve"> הפ</w:t>
      </w:r>
      <w:r>
        <w:rPr>
          <w:rFonts w:hint="cs"/>
          <w:rtl/>
        </w:rPr>
        <w:t>ֹ</w:t>
      </w:r>
      <w:r>
        <w:rPr>
          <w:rtl/>
        </w:rPr>
        <w:t>ארות והם הסעיפים, וכן:</w:t>
      </w:r>
      <w:r>
        <w:rPr>
          <w:rFonts w:hint="cs"/>
          <w:rtl/>
        </w:rPr>
        <w:t xml:space="preserve"> '</w:t>
      </w:r>
      <w:r>
        <w:rPr>
          <w:rtl/>
        </w:rPr>
        <w:t>וַתַּעַשׂ בַּדִּים וַתְּשַׁלַּח פֹּארוֹת</w:t>
      </w:r>
      <w:r>
        <w:rPr>
          <w:rFonts w:hint="cs"/>
          <w:rtl/>
        </w:rPr>
        <w:t>'</w:t>
      </w:r>
      <w:r>
        <w:rPr>
          <w:rtl/>
        </w:rPr>
        <w:t xml:space="preserve"> (</w:t>
      </w:r>
      <w:r>
        <w:rPr>
          <w:sz w:val="18"/>
          <w:szCs w:val="20"/>
          <w:rtl/>
        </w:rPr>
        <w:t>יחז</w:t>
      </w:r>
      <w:r>
        <w:rPr>
          <w:rFonts w:hint="cs"/>
          <w:sz w:val="18"/>
          <w:szCs w:val="20"/>
          <w:rtl/>
        </w:rPr>
        <w:t>קאל</w:t>
      </w:r>
      <w:r>
        <w:rPr>
          <w:sz w:val="18"/>
          <w:szCs w:val="20"/>
          <w:rtl/>
        </w:rPr>
        <w:t xml:space="preserve"> יז, ו</w:t>
      </w:r>
      <w:r>
        <w:rPr>
          <w:rFonts w:hint="cs"/>
          <w:rtl/>
        </w:rPr>
        <w:t>)", וכן פירש רבינו בחיי על דרך הפשט, וזהו הפירוש השני שכתב ריב"ג</w:t>
      </w:r>
      <w:r>
        <w:rPr>
          <w:rStyle w:val="a4"/>
          <w:rtl/>
        </w:rPr>
        <w:footnoteReference w:id="300"/>
      </w:r>
      <w:r>
        <w:rPr>
          <w:rFonts w:hint="cs"/>
          <w:rtl/>
        </w:rPr>
        <w:t>. אם נשוה את הזיתים לכִּנים, הרי שלפי פירוש זה "</w:t>
      </w:r>
      <w:r>
        <w:rPr>
          <w:rtl/>
        </w:rPr>
        <w:t>תְפַאֵר</w:t>
      </w:r>
      <w:r>
        <w:rPr>
          <w:rFonts w:hint="cs"/>
          <w:rtl/>
        </w:rPr>
        <w:t>" מקביל לחיפוש אחר כִּנים (</w:t>
      </w:r>
      <w:r>
        <w:rPr>
          <w:rFonts w:hint="cs"/>
          <w:sz w:val="18"/>
          <w:szCs w:val="20"/>
          <w:rtl/>
        </w:rPr>
        <w:t>שלב א' הנ"ל</w:t>
      </w:r>
      <w:r>
        <w:rPr>
          <w:rFonts w:hint="cs"/>
          <w:rtl/>
        </w:rPr>
        <w:t>).</w:t>
      </w:r>
    </w:p>
    <w:p w14:paraId="1BA64980" w14:textId="77777777" w:rsidR="000015C4" w:rsidRDefault="000015C4" w:rsidP="000015C4">
      <w:pPr>
        <w:ind w:firstLine="284"/>
        <w:rPr>
          <w:rFonts w:hint="cs"/>
          <w:rtl/>
        </w:rPr>
      </w:pPr>
      <w:r>
        <w:rPr>
          <w:rFonts w:hint="cs"/>
          <w:rtl/>
        </w:rPr>
        <w:t>בין אם "</w:t>
      </w:r>
      <w:r>
        <w:rPr>
          <w:rtl/>
        </w:rPr>
        <w:t>תְפַאֵר</w:t>
      </w:r>
      <w:r>
        <w:rPr>
          <w:rFonts w:hint="cs"/>
          <w:rtl/>
        </w:rPr>
        <w:t>" מכוון לקטיף הזיתים ובין אם הוא החיפוש על מנת לקוטפם, יש לעיין בגזרון (</w:t>
      </w:r>
      <w:r>
        <w:rPr>
          <w:rFonts w:hint="cs"/>
          <w:sz w:val="18"/>
          <w:szCs w:val="20"/>
          <w:rtl/>
        </w:rPr>
        <w:t>אטימולוגיה בלעז</w:t>
      </w:r>
      <w:r>
        <w:rPr>
          <w:rFonts w:hint="cs"/>
          <w:rtl/>
        </w:rPr>
        <w:t>) של מלה זו: כיצד נוצרה. המפרשים הנ"ל ציינו כי הפֹעַל "</w:t>
      </w:r>
      <w:r>
        <w:rPr>
          <w:rtl/>
        </w:rPr>
        <w:t>תְפַאֵר</w:t>
      </w:r>
      <w:r>
        <w:rPr>
          <w:rFonts w:hint="cs"/>
          <w:rtl/>
        </w:rPr>
        <w:t xml:space="preserve">" נוצר מִשֵם העצם </w:t>
      </w:r>
      <w:r>
        <w:rPr>
          <w:rFonts w:hint="cs"/>
          <w:rtl/>
        </w:rPr>
        <w:lastRenderedPageBreak/>
        <w:t>"</w:t>
      </w:r>
      <w:r>
        <w:rPr>
          <w:rtl/>
        </w:rPr>
        <w:t>פֹּארוֹת</w:t>
      </w:r>
      <w:r>
        <w:rPr>
          <w:rFonts w:hint="cs"/>
          <w:rtl/>
        </w:rPr>
        <w:t>" (</w:t>
      </w:r>
      <w:r>
        <w:rPr>
          <w:rFonts w:hint="cs"/>
          <w:sz w:val="18"/>
          <w:szCs w:val="20"/>
          <w:rtl/>
        </w:rPr>
        <w:t>=</w:t>
      </w:r>
      <w:r>
        <w:rPr>
          <w:rFonts w:hint="cs"/>
          <w:rtl/>
        </w:rPr>
        <w:t xml:space="preserve"> ענפים</w:t>
      </w:r>
      <w:r>
        <w:rPr>
          <w:rStyle w:val="a4"/>
          <w:rtl/>
        </w:rPr>
        <w:footnoteReference w:id="301"/>
      </w:r>
      <w:r>
        <w:rPr>
          <w:rFonts w:hint="cs"/>
          <w:rtl/>
        </w:rPr>
        <w:t>), ומי שמטרתו לרוקן את הפֹארות מִפירותיהן - בשם "מפַאֵר" יִקָּרֵא (</w:t>
      </w:r>
      <w:r>
        <w:rPr>
          <w:rFonts w:hint="cs"/>
          <w:sz w:val="18"/>
          <w:szCs w:val="20"/>
          <w:rtl/>
        </w:rPr>
        <w:t xml:space="preserve">מה שנקרא בפי הבלשנים: פֹעַל גְזוּר שֵם, ובלעז: פֹעַל </w:t>
      </w:r>
      <w:r>
        <w:rPr>
          <w:sz w:val="18"/>
          <w:szCs w:val="20"/>
          <w:rtl/>
        </w:rPr>
        <w:t>דֶנוֹמִינָטִיבִי</w:t>
      </w:r>
      <w:r>
        <w:rPr>
          <w:rFonts w:hint="cs"/>
          <w:rtl/>
        </w:rPr>
        <w:t xml:space="preserve">). על תופעה זו עמד ר"א </w:t>
      </w:r>
      <w:r>
        <w:rPr>
          <w:rtl/>
        </w:rPr>
        <w:t>אבן עזרא</w:t>
      </w:r>
      <w:r>
        <w:rPr>
          <w:rFonts w:hint="cs"/>
          <w:rtl/>
        </w:rPr>
        <w:t xml:space="preserve"> בפירושו לבמדבר </w:t>
      </w:r>
      <w:r>
        <w:rPr>
          <w:rFonts w:hint="cs"/>
          <w:sz w:val="18"/>
          <w:szCs w:val="20"/>
          <w:rtl/>
        </w:rPr>
        <w:t>כד, ח</w:t>
      </w:r>
      <w:r>
        <w:rPr>
          <w:rFonts w:hint="cs"/>
          <w:sz w:val="26"/>
          <w:rtl/>
        </w:rPr>
        <w:t>: "</w:t>
      </w:r>
      <w:r>
        <w:rPr>
          <w:sz w:val="26"/>
          <w:rtl/>
        </w:rPr>
        <w:t>וְעַצְמ</w:t>
      </w:r>
      <w:r>
        <w:rPr>
          <w:rFonts w:hint="cs"/>
          <w:sz w:val="26"/>
          <w:rtl/>
        </w:rPr>
        <w:t>ו</w:t>
      </w:r>
      <w:r>
        <w:rPr>
          <w:sz w:val="26"/>
          <w:rtl/>
        </w:rPr>
        <w:t>ֹתֵיהֶם יְגָרֵם</w:t>
      </w:r>
      <w:r>
        <w:rPr>
          <w:rFonts w:hint="cs"/>
          <w:sz w:val="26"/>
          <w:rtl/>
        </w:rPr>
        <w:t xml:space="preserve"> - </w:t>
      </w:r>
      <w:r>
        <w:rPr>
          <w:rFonts w:hint="cs"/>
          <w:rtl/>
        </w:rPr>
        <w:t>יְשַׁבֵּר הַגֶּרֶם, שהוא העֶצֶם, וכן</w:t>
      </w:r>
      <w:r>
        <w:rPr>
          <w:rStyle w:val="a4"/>
          <w:rtl/>
        </w:rPr>
        <w:footnoteReference w:id="302"/>
      </w:r>
      <w:r>
        <w:rPr>
          <w:rFonts w:hint="cs"/>
          <w:rtl/>
        </w:rPr>
        <w:t xml:space="preserve"> מלת</w:t>
      </w:r>
      <w:r>
        <w:rPr>
          <w:rtl/>
        </w:rPr>
        <w:t xml:space="preserve"> </w:t>
      </w:r>
      <w:r>
        <w:rPr>
          <w:rFonts w:hint="cs"/>
          <w:rtl/>
        </w:rPr>
        <w:t>'</w:t>
      </w:r>
      <w:r>
        <w:rPr>
          <w:rtl/>
        </w:rPr>
        <w:t>עִצְּמוֹ</w:t>
      </w:r>
      <w:r>
        <w:rPr>
          <w:rFonts w:hint="cs"/>
          <w:rtl/>
        </w:rPr>
        <w:t>' (</w:t>
      </w:r>
      <w:r>
        <w:rPr>
          <w:sz w:val="18"/>
          <w:szCs w:val="20"/>
          <w:rtl/>
        </w:rPr>
        <w:t>ירמיהו נ</w:t>
      </w:r>
      <w:r>
        <w:rPr>
          <w:rFonts w:hint="cs"/>
          <w:sz w:val="18"/>
          <w:szCs w:val="20"/>
          <w:rtl/>
        </w:rPr>
        <w:t>,</w:t>
      </w:r>
      <w:r>
        <w:rPr>
          <w:sz w:val="18"/>
          <w:szCs w:val="20"/>
          <w:rtl/>
        </w:rPr>
        <w:t xml:space="preserve"> </w:t>
      </w:r>
      <w:r>
        <w:rPr>
          <w:rFonts w:hint="cs"/>
          <w:sz w:val="18"/>
          <w:szCs w:val="20"/>
          <w:rtl/>
        </w:rPr>
        <w:t>יז</w:t>
      </w:r>
      <w:r>
        <w:rPr>
          <w:rFonts w:hint="cs"/>
          <w:rtl/>
        </w:rPr>
        <w:t>),</w:t>
      </w:r>
      <w:r>
        <w:rPr>
          <w:rtl/>
        </w:rPr>
        <w:t xml:space="preserve"> </w:t>
      </w:r>
      <w:r>
        <w:rPr>
          <w:rFonts w:hint="cs"/>
          <w:rtl/>
        </w:rPr>
        <w:t>וככה</w:t>
      </w:r>
      <w:r>
        <w:rPr>
          <w:rtl/>
        </w:rPr>
        <w:t xml:space="preserve"> </w:t>
      </w:r>
      <w:r>
        <w:rPr>
          <w:rFonts w:hint="cs"/>
          <w:rtl/>
        </w:rPr>
        <w:t>'</w:t>
      </w:r>
      <w:r>
        <w:rPr>
          <w:rtl/>
        </w:rPr>
        <w:t>מְסָעֵף פֻּארָה</w:t>
      </w:r>
      <w:r>
        <w:rPr>
          <w:rFonts w:hint="cs"/>
          <w:rtl/>
        </w:rPr>
        <w:t>'</w:t>
      </w:r>
      <w:r>
        <w:rPr>
          <w:rtl/>
        </w:rPr>
        <w:t xml:space="preserve"> </w:t>
      </w:r>
      <w:r>
        <w:rPr>
          <w:rFonts w:hint="cs"/>
          <w:rtl/>
        </w:rPr>
        <w:t>(</w:t>
      </w:r>
      <w:r>
        <w:rPr>
          <w:sz w:val="18"/>
          <w:szCs w:val="20"/>
          <w:rtl/>
        </w:rPr>
        <w:t>ישעיהו י</w:t>
      </w:r>
      <w:r>
        <w:rPr>
          <w:rFonts w:hint="cs"/>
          <w:sz w:val="18"/>
          <w:szCs w:val="20"/>
          <w:rtl/>
        </w:rPr>
        <w:t>,</w:t>
      </w:r>
      <w:r>
        <w:rPr>
          <w:sz w:val="18"/>
          <w:szCs w:val="20"/>
          <w:rtl/>
        </w:rPr>
        <w:t xml:space="preserve"> לג</w:t>
      </w:r>
      <w:r>
        <w:rPr>
          <w:rFonts w:hint="cs"/>
          <w:rtl/>
        </w:rPr>
        <w:t xml:space="preserve">), 'לא </w:t>
      </w:r>
      <w:r>
        <w:rPr>
          <w:rtl/>
        </w:rPr>
        <w:t>תְפַאֵר</w:t>
      </w:r>
      <w:r>
        <w:rPr>
          <w:rFonts w:hint="cs"/>
          <w:rtl/>
        </w:rPr>
        <w:t xml:space="preserve">'". וכן כתב החזקוני: "תפאר - לשון </w:t>
      </w:r>
      <w:r>
        <w:rPr>
          <w:rtl/>
        </w:rPr>
        <w:t>פ</w:t>
      </w:r>
      <w:r>
        <w:rPr>
          <w:rFonts w:hint="cs"/>
          <w:rtl/>
        </w:rPr>
        <w:t>ֹ</w:t>
      </w:r>
      <w:r>
        <w:rPr>
          <w:rtl/>
        </w:rPr>
        <w:t>ארות</w:t>
      </w:r>
      <w:r>
        <w:rPr>
          <w:rFonts w:hint="cs"/>
          <w:rtl/>
        </w:rPr>
        <w:t>".</w:t>
      </w:r>
    </w:p>
    <w:p w14:paraId="555E85D8" w14:textId="77777777" w:rsidR="000015C4" w:rsidRDefault="000015C4" w:rsidP="000015C4">
      <w:pPr>
        <w:ind w:firstLine="284"/>
        <w:rPr>
          <w:rFonts w:hint="cs"/>
          <w:sz w:val="26"/>
          <w:rtl/>
        </w:rPr>
      </w:pPr>
      <w:r>
        <w:rPr>
          <w:rFonts w:hint="cs"/>
          <w:rtl/>
        </w:rPr>
        <w:t>הסברים אלו נועדו למנוע את הלומד מלחשוב שמדובר כאן בפֹעַל הרגיל והמוכר יותר "ת</w:t>
      </w:r>
      <w:r>
        <w:rPr>
          <w:rtl/>
        </w:rPr>
        <w:t>ְפָאֵר</w:t>
      </w:r>
      <w:r>
        <w:rPr>
          <w:rFonts w:hint="cs"/>
          <w:rtl/>
        </w:rPr>
        <w:t>"</w:t>
      </w:r>
      <w:r>
        <w:rPr>
          <w:rtl/>
        </w:rPr>
        <w:t>, מלשון פְּאֵר, יופי, כבוד, הדר</w:t>
      </w:r>
      <w:r>
        <w:rPr>
          <w:rFonts w:hint="cs"/>
          <w:rtl/>
        </w:rPr>
        <w:t>, שבח</w:t>
      </w:r>
      <w:r>
        <w:rPr>
          <w:rtl/>
        </w:rPr>
        <w:t xml:space="preserve"> </w:t>
      </w:r>
      <w:r>
        <w:rPr>
          <w:rtl/>
        </w:rPr>
        <w:lastRenderedPageBreak/>
        <w:t>וחשיבות</w:t>
      </w:r>
      <w:r>
        <w:rPr>
          <w:rStyle w:val="a4"/>
          <w:rtl/>
        </w:rPr>
        <w:footnoteReference w:id="303"/>
      </w:r>
      <w:r>
        <w:rPr>
          <w:rtl/>
        </w:rPr>
        <w:t xml:space="preserve">, </w:t>
      </w:r>
      <w:r>
        <w:rPr>
          <w:rFonts w:hint="cs"/>
          <w:rtl/>
        </w:rPr>
        <w:t>אלא מדובר בפֹעַל אחֵר לגמרי, מלשון "פֹארות" כנ"ל.</w:t>
      </w:r>
      <w:r>
        <w:rPr>
          <w:sz w:val="26"/>
          <w:rtl/>
        </w:rPr>
        <w:t xml:space="preserve"> </w:t>
      </w:r>
      <w:r>
        <w:rPr>
          <w:rFonts w:hint="cs"/>
          <w:sz w:val="26"/>
          <w:rtl/>
        </w:rPr>
        <w:t xml:space="preserve">לפי </w:t>
      </w:r>
      <w:r>
        <w:rPr>
          <w:sz w:val="26"/>
          <w:rtl/>
        </w:rPr>
        <w:t>רד"ק</w:t>
      </w:r>
      <w:r>
        <w:rPr>
          <w:rFonts w:hint="cs"/>
          <w:sz w:val="26"/>
          <w:rtl/>
        </w:rPr>
        <w:t xml:space="preserve"> (</w:t>
      </w:r>
      <w:r>
        <w:rPr>
          <w:sz w:val="18"/>
          <w:szCs w:val="20"/>
          <w:rtl/>
        </w:rPr>
        <w:t>ספר השרשים</w:t>
      </w:r>
      <w:r>
        <w:rPr>
          <w:rFonts w:hint="cs"/>
          <w:sz w:val="18"/>
          <w:szCs w:val="20"/>
          <w:rtl/>
        </w:rPr>
        <w:t>, פא"ר</w:t>
      </w:r>
      <w:r>
        <w:rPr>
          <w:rStyle w:val="a4"/>
          <w:szCs w:val="20"/>
          <w:rtl/>
        </w:rPr>
        <w:footnoteReference w:id="304"/>
      </w:r>
      <w:r>
        <w:rPr>
          <w:rFonts w:hint="cs"/>
          <w:sz w:val="26"/>
          <w:rtl/>
        </w:rPr>
        <w:t>), הבחנה סימנטית זו (</w:t>
      </w:r>
      <w:r>
        <w:rPr>
          <w:rFonts w:hint="cs"/>
          <w:sz w:val="18"/>
          <w:szCs w:val="20"/>
          <w:rtl/>
        </w:rPr>
        <w:t>כלומר ההבחנה בין המשמעויות</w:t>
      </w:r>
      <w:r>
        <w:rPr>
          <w:rFonts w:hint="cs"/>
          <w:sz w:val="26"/>
          <w:rtl/>
        </w:rPr>
        <w:t xml:space="preserve">) היא העומדת בבסיס המסורת שבידינו לקרוא כאן באופן חריג: </w:t>
      </w:r>
      <w:r>
        <w:rPr>
          <w:rFonts w:hint="cs"/>
          <w:rtl/>
        </w:rPr>
        <w:t>"</w:t>
      </w:r>
      <w:r>
        <w:rPr>
          <w:rtl/>
        </w:rPr>
        <w:t>תְפַאֵר</w:t>
      </w:r>
      <w:r>
        <w:rPr>
          <w:rFonts w:hint="cs"/>
          <w:rtl/>
        </w:rPr>
        <w:t>" כשהאות פ' מנוקדת בפתח</w:t>
      </w:r>
      <w:r>
        <w:rPr>
          <w:rStyle w:val="a4"/>
          <w:rtl/>
        </w:rPr>
        <w:footnoteReference w:id="305"/>
      </w:r>
      <w:r>
        <w:rPr>
          <w:rFonts w:hint="cs"/>
          <w:rtl/>
        </w:rPr>
        <w:t>, ולא כשאר "ת</w:t>
      </w:r>
      <w:r>
        <w:rPr>
          <w:rtl/>
        </w:rPr>
        <w:t>ְפָאֵר</w:t>
      </w:r>
      <w:r>
        <w:rPr>
          <w:rFonts w:hint="cs"/>
          <w:rtl/>
        </w:rPr>
        <w:t>" המנוקדת (מחמת מה שמכונה "תשלום דגש"</w:t>
      </w:r>
      <w:r>
        <w:rPr>
          <w:rStyle w:val="a4"/>
          <w:rtl/>
        </w:rPr>
        <w:footnoteReference w:id="306"/>
      </w:r>
      <w:r>
        <w:rPr>
          <w:rFonts w:hint="cs"/>
          <w:rtl/>
        </w:rPr>
        <w:t xml:space="preserve">) בקמץ. לפיכך, הקורא בתורה לפי מבטא יהודי תימן ואשכנז המבחין בין </w:t>
      </w:r>
      <w:r>
        <w:rPr>
          <w:rFonts w:hint="cs"/>
          <w:rtl/>
        </w:rPr>
        <w:lastRenderedPageBreak/>
        <w:t>פתח</w:t>
      </w:r>
      <w:r>
        <w:rPr>
          <w:rStyle w:val="a4"/>
          <w:rFonts w:hint="cs"/>
          <w:rtl/>
        </w:rPr>
        <w:t xml:space="preserve"> </w:t>
      </w:r>
      <w:r>
        <w:rPr>
          <w:rFonts w:hint="cs"/>
          <w:rtl/>
        </w:rPr>
        <w:t>לקמץ, והחליף בין "</w:t>
      </w:r>
      <w:r>
        <w:rPr>
          <w:rtl/>
        </w:rPr>
        <w:t>תְפַאֵר</w:t>
      </w:r>
      <w:r>
        <w:rPr>
          <w:rFonts w:hint="cs"/>
          <w:rtl/>
        </w:rPr>
        <w:t>" ל"ת</w:t>
      </w:r>
      <w:r>
        <w:rPr>
          <w:rtl/>
        </w:rPr>
        <w:t>ְפָאֵר</w:t>
      </w:r>
      <w:r>
        <w:rPr>
          <w:rFonts w:hint="cs"/>
          <w:rtl/>
        </w:rPr>
        <w:t>", יש לה</w:t>
      </w:r>
      <w:r>
        <w:rPr>
          <w:rtl/>
        </w:rPr>
        <w:t>חזיר</w:t>
      </w:r>
      <w:r>
        <w:rPr>
          <w:rFonts w:hint="cs"/>
          <w:rtl/>
        </w:rPr>
        <w:t>ו (</w:t>
      </w:r>
      <w:r>
        <w:rPr>
          <w:rFonts w:hint="cs"/>
          <w:sz w:val="18"/>
          <w:szCs w:val="20"/>
          <w:rtl/>
        </w:rPr>
        <w:t>לדעת הפוסקים שיש לה</w:t>
      </w:r>
      <w:r>
        <w:rPr>
          <w:sz w:val="18"/>
          <w:szCs w:val="20"/>
          <w:rtl/>
        </w:rPr>
        <w:t>חזיר</w:t>
      </w:r>
      <w:r>
        <w:rPr>
          <w:rFonts w:hint="cs"/>
          <w:sz w:val="18"/>
          <w:szCs w:val="20"/>
          <w:rtl/>
        </w:rPr>
        <w:t xml:space="preserve"> על </w:t>
      </w:r>
      <w:r>
        <w:rPr>
          <w:sz w:val="18"/>
          <w:szCs w:val="20"/>
          <w:rtl/>
        </w:rPr>
        <w:t>טע</w:t>
      </w:r>
      <w:r>
        <w:rPr>
          <w:rFonts w:hint="cs"/>
          <w:sz w:val="18"/>
          <w:szCs w:val="20"/>
          <w:rtl/>
        </w:rPr>
        <w:t xml:space="preserve">ות שהמשמעות משתנה; ראה </w:t>
      </w:r>
      <w:r>
        <w:rPr>
          <w:sz w:val="18"/>
          <w:szCs w:val="20"/>
          <w:rtl/>
        </w:rPr>
        <w:t>שו</w:t>
      </w:r>
      <w:r>
        <w:rPr>
          <w:rFonts w:hint="cs"/>
          <w:sz w:val="18"/>
          <w:szCs w:val="20"/>
          <w:rtl/>
        </w:rPr>
        <w:t>"</w:t>
      </w:r>
      <w:r>
        <w:rPr>
          <w:sz w:val="18"/>
          <w:szCs w:val="20"/>
          <w:rtl/>
        </w:rPr>
        <w:t>ע</w:t>
      </w:r>
      <w:r>
        <w:rPr>
          <w:rFonts w:hint="cs"/>
          <w:sz w:val="18"/>
          <w:szCs w:val="20"/>
          <w:rtl/>
        </w:rPr>
        <w:t xml:space="preserve"> </w:t>
      </w:r>
      <w:r>
        <w:rPr>
          <w:sz w:val="18"/>
          <w:szCs w:val="20"/>
          <w:rtl/>
        </w:rPr>
        <w:t>או</w:t>
      </w:r>
      <w:r>
        <w:rPr>
          <w:rFonts w:hint="cs"/>
          <w:sz w:val="18"/>
          <w:szCs w:val="20"/>
          <w:rtl/>
        </w:rPr>
        <w:t>"</w:t>
      </w:r>
      <w:r>
        <w:rPr>
          <w:sz w:val="18"/>
          <w:szCs w:val="20"/>
          <w:rtl/>
        </w:rPr>
        <w:t>ח קמב</w:t>
      </w:r>
      <w:r>
        <w:rPr>
          <w:rFonts w:hint="cs"/>
          <w:sz w:val="18"/>
          <w:szCs w:val="20"/>
          <w:rtl/>
        </w:rPr>
        <w:t xml:space="preserve">, </w:t>
      </w:r>
      <w:r>
        <w:rPr>
          <w:sz w:val="18"/>
          <w:szCs w:val="20"/>
          <w:rtl/>
        </w:rPr>
        <w:t>א</w:t>
      </w:r>
      <w:r>
        <w:rPr>
          <w:rFonts w:hint="cs"/>
          <w:sz w:val="18"/>
          <w:szCs w:val="20"/>
          <w:rtl/>
        </w:rPr>
        <w:t xml:space="preserve"> ו</w:t>
      </w:r>
      <w:r>
        <w:rPr>
          <w:sz w:val="18"/>
          <w:szCs w:val="20"/>
          <w:rtl/>
        </w:rPr>
        <w:t>משנה ברורה סק</w:t>
      </w:r>
      <w:r>
        <w:rPr>
          <w:rFonts w:hint="cs"/>
          <w:sz w:val="18"/>
          <w:szCs w:val="20"/>
          <w:rtl/>
        </w:rPr>
        <w:t>"</w:t>
      </w:r>
      <w:r>
        <w:rPr>
          <w:sz w:val="18"/>
          <w:szCs w:val="20"/>
          <w:rtl/>
        </w:rPr>
        <w:t>ד</w:t>
      </w:r>
      <w:r>
        <w:rPr>
          <w:rFonts w:hint="cs"/>
          <w:rtl/>
        </w:rPr>
        <w:t>)</w:t>
      </w:r>
      <w:r>
        <w:rPr>
          <w:rFonts w:hint="cs"/>
          <w:sz w:val="26"/>
          <w:rtl/>
        </w:rPr>
        <w:t>. במבטא שאר העדות אלו מִלים שְווֹת צליל (</w:t>
      </w:r>
      <w:r>
        <w:rPr>
          <w:rFonts w:hint="cs"/>
          <w:sz w:val="18"/>
          <w:szCs w:val="20"/>
          <w:rtl/>
        </w:rPr>
        <w:t>"מִלים הומופוניות" בלעז</w:t>
      </w:r>
      <w:r>
        <w:rPr>
          <w:rFonts w:hint="cs"/>
          <w:sz w:val="26"/>
          <w:rtl/>
        </w:rPr>
        <w:t>) ורק משמעותן שונה.</w:t>
      </w:r>
    </w:p>
    <w:p w14:paraId="2641A136" w14:textId="77777777" w:rsidR="000015C4" w:rsidRDefault="000015C4" w:rsidP="000015C4">
      <w:pPr>
        <w:ind w:firstLine="284"/>
        <w:rPr>
          <w:rFonts w:hint="cs"/>
          <w:rtl/>
        </w:rPr>
      </w:pPr>
      <w:r>
        <w:rPr>
          <w:rFonts w:hint="cs"/>
          <w:sz w:val="26"/>
          <w:rtl/>
        </w:rPr>
        <w:t xml:space="preserve">ברם, קיים הסבר נוסף </w:t>
      </w:r>
      <w:r>
        <w:rPr>
          <w:rFonts w:hint="cs"/>
          <w:rtl/>
        </w:rPr>
        <w:t xml:space="preserve">לגזרונו ומקורו של הפֹעַל </w:t>
      </w:r>
      <w:r>
        <w:rPr>
          <w:rtl/>
        </w:rPr>
        <w:t>"תְפַאֵר"</w:t>
      </w:r>
      <w:r>
        <w:rPr>
          <w:rFonts w:hint="cs"/>
          <w:rtl/>
        </w:rPr>
        <w:t xml:space="preserve"> במשמע יחידאי זה, הקושר את "</w:t>
      </w:r>
      <w:r>
        <w:rPr>
          <w:rtl/>
        </w:rPr>
        <w:t>תְפַאֵר</w:t>
      </w:r>
      <w:r>
        <w:rPr>
          <w:rFonts w:hint="cs"/>
          <w:rtl/>
        </w:rPr>
        <w:t>" עם "</w:t>
      </w:r>
      <w:r>
        <w:rPr>
          <w:rFonts w:ascii="Ezra SIL SR" w:hAnsi="Ezra SIL SR" w:hint="cs"/>
          <w:rtl/>
        </w:rPr>
        <w:t>ת</w:t>
      </w:r>
      <w:r>
        <w:rPr>
          <w:rFonts w:ascii="Ezra SIL SR" w:hAnsi="Ezra SIL SR"/>
          <w:rtl/>
        </w:rPr>
        <w:t>ְפָאֵר</w:t>
      </w:r>
      <w:r>
        <w:rPr>
          <w:rFonts w:hint="cs"/>
          <w:rtl/>
        </w:rPr>
        <w:t>"</w:t>
      </w:r>
      <w:r>
        <w:rPr>
          <w:rFonts w:ascii="Ezra SIL SR" w:hAnsi="Ezra SIL SR" w:hint="cs"/>
          <w:rtl/>
        </w:rPr>
        <w:t xml:space="preserve">. כך כותב </w:t>
      </w:r>
      <w:r>
        <w:rPr>
          <w:rFonts w:hint="cs"/>
          <w:rtl/>
        </w:rPr>
        <w:t>ר"י בכו</w:t>
      </w:r>
      <w:r>
        <w:rPr>
          <w:rtl/>
        </w:rPr>
        <w:t>ר</w:t>
      </w:r>
      <w:r>
        <w:rPr>
          <w:rFonts w:hint="cs"/>
          <w:rtl/>
        </w:rPr>
        <w:t xml:space="preserve"> </w:t>
      </w:r>
      <w:r>
        <w:rPr>
          <w:rtl/>
        </w:rPr>
        <w:t>ש</w:t>
      </w:r>
      <w:r>
        <w:rPr>
          <w:rFonts w:hint="cs"/>
          <w:rtl/>
        </w:rPr>
        <w:t>ור</w:t>
      </w:r>
      <w:r>
        <w:rPr>
          <w:rtl/>
        </w:rPr>
        <w:t xml:space="preserve"> על אתר: "לא תפאר - </w:t>
      </w:r>
      <w:r>
        <w:rPr>
          <w:rFonts w:hint="cs"/>
          <w:rtl/>
        </w:rPr>
        <w:t>כמו '</w:t>
      </w:r>
      <w:r>
        <w:rPr>
          <w:rtl/>
        </w:rPr>
        <w:t>וַתַּשְׁרֵשׁ שָׁרָשֶׁיהָ</w:t>
      </w:r>
      <w:r>
        <w:rPr>
          <w:rFonts w:hint="cs"/>
          <w:rtl/>
        </w:rPr>
        <w:t>'</w:t>
      </w:r>
      <w:r>
        <w:rPr>
          <w:rtl/>
        </w:rPr>
        <w:t xml:space="preserve"> </w:t>
      </w:r>
      <w:r>
        <w:rPr>
          <w:rFonts w:hint="cs"/>
          <w:rtl/>
        </w:rPr>
        <w:t>(</w:t>
      </w:r>
      <w:r>
        <w:rPr>
          <w:sz w:val="18"/>
          <w:szCs w:val="20"/>
          <w:rtl/>
        </w:rPr>
        <w:t>תהלים פ</w:t>
      </w:r>
      <w:r>
        <w:rPr>
          <w:rFonts w:hint="cs"/>
          <w:sz w:val="18"/>
          <w:szCs w:val="20"/>
          <w:rtl/>
        </w:rPr>
        <w:t xml:space="preserve">, </w:t>
      </w:r>
      <w:r>
        <w:rPr>
          <w:sz w:val="18"/>
          <w:szCs w:val="20"/>
          <w:rtl/>
        </w:rPr>
        <w:t>י</w:t>
      </w:r>
      <w:r>
        <w:rPr>
          <w:rFonts w:hint="cs"/>
          <w:rtl/>
        </w:rPr>
        <w:t xml:space="preserve">): 'ד-ריצינש'. וכן </w:t>
      </w:r>
      <w:r>
        <w:rPr>
          <w:rtl/>
        </w:rPr>
        <w:t>תפאר</w:t>
      </w:r>
      <w:r>
        <w:rPr>
          <w:rFonts w:hint="cs"/>
          <w:rtl/>
        </w:rPr>
        <w:t>: 'דש-בילירש', ש</w:t>
      </w:r>
      <w:r>
        <w:rPr>
          <w:rtl/>
        </w:rPr>
        <w:t>לא ת</w:t>
      </w:r>
      <w:r>
        <w:rPr>
          <w:rFonts w:hint="cs"/>
          <w:rtl/>
        </w:rPr>
        <w:t>י</w:t>
      </w:r>
      <w:r>
        <w:rPr>
          <w:rtl/>
        </w:rPr>
        <w:t xml:space="preserve">טול תפארתו ממנו. </w:t>
      </w:r>
      <w:r>
        <w:rPr>
          <w:rFonts w:hint="cs"/>
          <w:rtl/>
        </w:rPr>
        <w:t xml:space="preserve">ויש מפרשים </w:t>
      </w:r>
      <w:r>
        <w:rPr>
          <w:rtl/>
        </w:rPr>
        <w:t>פא</w:t>
      </w:r>
      <w:r>
        <w:rPr>
          <w:rFonts w:hint="cs"/>
          <w:rtl/>
        </w:rPr>
        <w:t>ו</w:t>
      </w:r>
      <w:r>
        <w:rPr>
          <w:rtl/>
        </w:rPr>
        <w:t>רו</w:t>
      </w:r>
      <w:r>
        <w:rPr>
          <w:rFonts w:hint="cs"/>
          <w:rtl/>
        </w:rPr>
        <w:t xml:space="preserve">ת, </w:t>
      </w:r>
      <w:r>
        <w:rPr>
          <w:rtl/>
        </w:rPr>
        <w:t>שלא ת</w:t>
      </w:r>
      <w:r>
        <w:rPr>
          <w:rFonts w:hint="cs"/>
          <w:rtl/>
        </w:rPr>
        <w:t>רוקן ה</w:t>
      </w:r>
      <w:r>
        <w:rPr>
          <w:rtl/>
        </w:rPr>
        <w:t>פא</w:t>
      </w:r>
      <w:r>
        <w:rPr>
          <w:rFonts w:hint="cs"/>
          <w:rtl/>
        </w:rPr>
        <w:t>ו</w:t>
      </w:r>
      <w:r>
        <w:rPr>
          <w:rtl/>
        </w:rPr>
        <w:t>רו</w:t>
      </w:r>
      <w:r>
        <w:rPr>
          <w:rFonts w:hint="cs"/>
          <w:rtl/>
        </w:rPr>
        <w:t xml:space="preserve">ת והענפים". </w:t>
      </w:r>
    </w:p>
    <w:p w14:paraId="3ED2641E" w14:textId="77777777" w:rsidR="000015C4" w:rsidRDefault="000015C4" w:rsidP="000015C4">
      <w:pPr>
        <w:ind w:firstLine="284"/>
        <w:rPr>
          <w:rtl/>
        </w:rPr>
      </w:pPr>
      <w:r>
        <w:rPr>
          <w:rFonts w:hint="cs"/>
          <w:rtl/>
        </w:rPr>
        <w:t xml:space="preserve">הפירוש השני נתבאר לעיל. הפירוש בראש דברי ריב"ש מקורו בדברי </w:t>
      </w:r>
      <w:r>
        <w:rPr>
          <w:rFonts w:hint="cs"/>
          <w:sz w:val="26"/>
          <w:rtl/>
        </w:rPr>
        <w:t>חז"ל שלהלן</w:t>
      </w:r>
      <w:r>
        <w:rPr>
          <w:rFonts w:hint="cs"/>
          <w:rtl/>
        </w:rPr>
        <w:t xml:space="preserve">, המחברים את הפֹעַל </w:t>
      </w:r>
      <w:r>
        <w:rPr>
          <w:rtl/>
        </w:rPr>
        <w:t>"תְפַאֵר"</w:t>
      </w:r>
      <w:r>
        <w:rPr>
          <w:rFonts w:hint="cs"/>
          <w:rtl/>
        </w:rPr>
        <w:t xml:space="preserve"> עם "</w:t>
      </w:r>
      <w:r>
        <w:rPr>
          <w:rtl/>
        </w:rPr>
        <w:t>פְּאֵר</w:t>
      </w:r>
      <w:r>
        <w:rPr>
          <w:rFonts w:hint="cs"/>
          <w:rtl/>
        </w:rPr>
        <w:t>" ו"</w:t>
      </w:r>
      <w:r>
        <w:rPr>
          <w:rtl/>
        </w:rPr>
        <w:t>ת</w:t>
      </w:r>
      <w:r>
        <w:rPr>
          <w:rFonts w:hint="cs"/>
          <w:rtl/>
        </w:rPr>
        <w:t>ִ</w:t>
      </w:r>
      <w:r>
        <w:rPr>
          <w:rtl/>
        </w:rPr>
        <w:t>פארת</w:t>
      </w:r>
      <w:r>
        <w:rPr>
          <w:rFonts w:hint="cs"/>
          <w:rtl/>
        </w:rPr>
        <w:t xml:space="preserve">". תפארתו ויופיו של עץ הזית מתבטא בפירותיו או בענפיו הגבוהים. אך </w:t>
      </w:r>
      <w:r>
        <w:rPr>
          <w:rFonts w:ascii="Ezra SIL SR" w:hAnsi="Ezra SIL SR" w:hint="cs"/>
          <w:rtl/>
        </w:rPr>
        <w:t>במבט ראשון לא נראה שום קשר בין מסיק זיתים ל</w:t>
      </w:r>
      <w:r>
        <w:rPr>
          <w:rFonts w:ascii="Ezra SIL SR" w:hAnsi="Ezra SIL SR"/>
          <w:rtl/>
        </w:rPr>
        <w:t>לשון פְּאֵר, יופי</w:t>
      </w:r>
      <w:r>
        <w:rPr>
          <w:rFonts w:ascii="Ezra SIL SR" w:hAnsi="Ezra SIL SR" w:hint="cs"/>
          <w:rtl/>
        </w:rPr>
        <w:t xml:space="preserve"> ושבח. מבט נוסף יראה כי המוסק זיתים משיג דווקא תוצאה הפוכה מן ה</w:t>
      </w:r>
      <w:r>
        <w:rPr>
          <w:rFonts w:ascii="Ezra SIL SR" w:hAnsi="Ezra SIL SR"/>
          <w:rtl/>
        </w:rPr>
        <w:t>פְּאֵר</w:t>
      </w:r>
      <w:r>
        <w:rPr>
          <w:rFonts w:ascii="Ezra SIL SR" w:hAnsi="Ezra SIL SR" w:hint="cs"/>
          <w:rtl/>
        </w:rPr>
        <w:t>: הוא הורס את יו</w:t>
      </w:r>
      <w:r>
        <w:rPr>
          <w:rFonts w:ascii="Ezra SIL SR" w:hAnsi="Ezra SIL SR"/>
          <w:rtl/>
        </w:rPr>
        <w:t>פי</w:t>
      </w:r>
      <w:r>
        <w:rPr>
          <w:rFonts w:ascii="Ezra SIL SR" w:hAnsi="Ezra SIL SR" w:hint="cs"/>
          <w:rtl/>
        </w:rPr>
        <w:t xml:space="preserve">ו של עץ הזית! זהו שמבאר ריב"ש בעזרת הלעזים הצרפתיים: </w:t>
      </w:r>
      <w:r>
        <w:rPr>
          <w:rFonts w:hint="cs"/>
          <w:rtl/>
        </w:rPr>
        <w:t>כמו ש"</w:t>
      </w:r>
      <w:r>
        <w:rPr>
          <w:rtl/>
        </w:rPr>
        <w:t>וַתַּשְׁרֵשׁ שָׁרָשֶׁיהָ</w:t>
      </w:r>
      <w:r>
        <w:rPr>
          <w:rFonts w:hint="cs"/>
          <w:rtl/>
        </w:rPr>
        <w:t>"</w:t>
      </w:r>
      <w:r>
        <w:rPr>
          <w:rtl/>
        </w:rPr>
        <w:t xml:space="preserve"> </w:t>
      </w:r>
      <w:r>
        <w:rPr>
          <w:rFonts w:hint="cs"/>
          <w:rtl/>
        </w:rPr>
        <w:t>הוא פֹעל גזור שם שמשמעו ביטול השורשים ועקירתם, ובלעז "ד-ריצינש" שמשמעו סילוק שורשים (</w:t>
      </w:r>
      <w:r>
        <w:rPr>
          <w:rFonts w:hint="cs"/>
          <w:sz w:val="20"/>
          <w:szCs w:val="20"/>
          <w:rtl/>
        </w:rPr>
        <w:t xml:space="preserve">לפי אוצר לעזי רש"י, לעז 1023: דיש-רציני"ר, </w:t>
      </w:r>
      <w:r>
        <w:rPr>
          <w:sz w:val="20"/>
          <w:szCs w:val="20"/>
        </w:rPr>
        <w:t>des-raciner</w:t>
      </w:r>
      <w:r>
        <w:rPr>
          <w:rFonts w:hint="cs"/>
          <w:rtl/>
        </w:rPr>
        <w:t>), כך גם "</w:t>
      </w:r>
      <w:r>
        <w:rPr>
          <w:rtl/>
        </w:rPr>
        <w:t>תפאר</w:t>
      </w:r>
      <w:r>
        <w:rPr>
          <w:rFonts w:hint="cs"/>
          <w:rtl/>
        </w:rPr>
        <w:t>" הוא פֹעל גזור שם שמשמעו ביטול הפְאֵר של הזית, היינו תלישת זיתיו, ובלעז "דש-בילירש", שמשמעו סילוק היופי (</w:t>
      </w:r>
      <w:r>
        <w:rPr>
          <w:rFonts w:hint="cs"/>
          <w:sz w:val="20"/>
          <w:szCs w:val="20"/>
          <w:rtl/>
        </w:rPr>
        <w:t xml:space="preserve">לפי אוצר לעזי רש"י, לעז 2289: דיש-אינביליר, </w:t>
      </w:r>
      <w:r>
        <w:rPr>
          <w:sz w:val="20"/>
          <w:szCs w:val="20"/>
        </w:rPr>
        <w:t>des-enbelir</w:t>
      </w:r>
      <w:r>
        <w:rPr>
          <w:rFonts w:hint="cs"/>
          <w:rtl/>
        </w:rPr>
        <w:t>). בשני לעזים אלו באה קִדֹמֶת הביטול "</w:t>
      </w:r>
      <w:r>
        <w:t>des</w:t>
      </w:r>
      <w:r>
        <w:rPr>
          <w:rFonts w:hint="cs"/>
          <w:rtl/>
        </w:rPr>
        <w:t>".</w:t>
      </w:r>
    </w:p>
    <w:p w14:paraId="2857A206" w14:textId="77777777" w:rsidR="000015C4" w:rsidRDefault="000015C4" w:rsidP="000015C4">
      <w:pPr>
        <w:ind w:firstLine="284"/>
        <w:rPr>
          <w:rFonts w:hint="cs"/>
          <w:sz w:val="24"/>
          <w:rtl/>
        </w:rPr>
      </w:pPr>
      <w:r>
        <w:rPr>
          <w:rFonts w:hint="cs"/>
          <w:sz w:val="24"/>
          <w:rtl/>
        </w:rPr>
        <w:t>ההסבר ש"</w:t>
      </w:r>
      <w:r>
        <w:rPr>
          <w:sz w:val="24"/>
          <w:rtl/>
        </w:rPr>
        <w:t>יש תיבות משמשות לשון וחילופו</w:t>
      </w:r>
      <w:r>
        <w:rPr>
          <w:rFonts w:hint="cs"/>
          <w:sz w:val="24"/>
          <w:rtl/>
        </w:rPr>
        <w:t>" מוזכר בפירוש רש"י במקומות רבים (</w:t>
      </w:r>
      <w:r>
        <w:rPr>
          <w:rFonts w:hint="cs"/>
          <w:sz w:val="18"/>
          <w:rtl/>
        </w:rPr>
        <w:t>כגון</w:t>
      </w:r>
      <w:r>
        <w:rPr>
          <w:rFonts w:hint="cs"/>
          <w:sz w:val="18"/>
          <w:szCs w:val="20"/>
          <w:rtl/>
        </w:rPr>
        <w:t xml:space="preserve"> ב</w:t>
      </w:r>
      <w:r>
        <w:rPr>
          <w:sz w:val="18"/>
          <w:szCs w:val="20"/>
          <w:rtl/>
        </w:rPr>
        <w:t>בראשית טו</w:t>
      </w:r>
      <w:r>
        <w:rPr>
          <w:rFonts w:hint="cs"/>
          <w:sz w:val="18"/>
          <w:szCs w:val="20"/>
          <w:rtl/>
        </w:rPr>
        <w:t xml:space="preserve">, </w:t>
      </w:r>
      <w:r>
        <w:rPr>
          <w:sz w:val="18"/>
          <w:szCs w:val="20"/>
          <w:rtl/>
        </w:rPr>
        <w:t xml:space="preserve">ב ד"ה הוֹלֵךְ </w:t>
      </w:r>
      <w:r>
        <w:rPr>
          <w:sz w:val="18"/>
          <w:rtl/>
        </w:rPr>
        <w:t>עֲרִירִי</w:t>
      </w:r>
      <w:r>
        <w:rPr>
          <w:rFonts w:hint="cs"/>
          <w:sz w:val="18"/>
          <w:szCs w:val="20"/>
          <w:rtl/>
        </w:rPr>
        <w:t>;</w:t>
      </w:r>
      <w:r>
        <w:rPr>
          <w:sz w:val="18"/>
          <w:szCs w:val="20"/>
          <w:rtl/>
        </w:rPr>
        <w:t xml:space="preserve"> שמות כז, ג ד"ה</w:t>
      </w:r>
      <w:r>
        <w:rPr>
          <w:rFonts w:hint="cs"/>
          <w:sz w:val="18"/>
          <w:szCs w:val="20"/>
          <w:rtl/>
        </w:rPr>
        <w:t xml:space="preserve"> </w:t>
      </w:r>
      <w:r>
        <w:rPr>
          <w:sz w:val="18"/>
          <w:rtl/>
        </w:rPr>
        <w:t>לְדַשְּׁנוֹ</w:t>
      </w:r>
      <w:r>
        <w:rPr>
          <w:rFonts w:hint="cs"/>
          <w:sz w:val="18"/>
          <w:szCs w:val="20"/>
          <w:rtl/>
        </w:rPr>
        <w:t xml:space="preserve">; </w:t>
      </w:r>
      <w:r>
        <w:rPr>
          <w:sz w:val="18"/>
          <w:szCs w:val="20"/>
          <w:rtl/>
        </w:rPr>
        <w:t>שמואל א</w:t>
      </w:r>
      <w:r>
        <w:rPr>
          <w:rFonts w:hint="cs"/>
          <w:sz w:val="18"/>
          <w:szCs w:val="20"/>
          <w:rtl/>
        </w:rPr>
        <w:t>'</w:t>
      </w:r>
      <w:r>
        <w:rPr>
          <w:sz w:val="18"/>
          <w:szCs w:val="20"/>
          <w:rtl/>
        </w:rPr>
        <w:t xml:space="preserve"> יז</w:t>
      </w:r>
      <w:r>
        <w:rPr>
          <w:rFonts w:hint="cs"/>
          <w:sz w:val="18"/>
          <w:szCs w:val="20"/>
          <w:rtl/>
        </w:rPr>
        <w:t xml:space="preserve">, </w:t>
      </w:r>
      <w:r>
        <w:rPr>
          <w:sz w:val="18"/>
          <w:szCs w:val="20"/>
          <w:rtl/>
        </w:rPr>
        <w:t xml:space="preserve">לט </w:t>
      </w:r>
      <w:r>
        <w:rPr>
          <w:rFonts w:hint="cs"/>
          <w:sz w:val="18"/>
          <w:szCs w:val="20"/>
          <w:rtl/>
        </w:rPr>
        <w:t xml:space="preserve">ד"ה </w:t>
      </w:r>
      <w:r>
        <w:rPr>
          <w:sz w:val="18"/>
          <w:rtl/>
        </w:rPr>
        <w:t>וַיּ</w:t>
      </w:r>
      <w:r>
        <w:rPr>
          <w:rFonts w:hint="cs"/>
          <w:sz w:val="18"/>
          <w:rtl/>
        </w:rPr>
        <w:t>ו</w:t>
      </w:r>
      <w:r>
        <w:rPr>
          <w:sz w:val="18"/>
          <w:rtl/>
        </w:rPr>
        <w:t>ֹאֶל</w:t>
      </w:r>
      <w:r>
        <w:rPr>
          <w:sz w:val="18"/>
          <w:szCs w:val="20"/>
          <w:rtl/>
        </w:rPr>
        <w:t xml:space="preserve"> לָלֶכֶת</w:t>
      </w:r>
      <w:r>
        <w:rPr>
          <w:rFonts w:hint="cs"/>
          <w:sz w:val="18"/>
          <w:szCs w:val="20"/>
          <w:rtl/>
        </w:rPr>
        <w:t xml:space="preserve">; </w:t>
      </w:r>
      <w:r>
        <w:rPr>
          <w:sz w:val="18"/>
          <w:szCs w:val="20"/>
          <w:rtl/>
        </w:rPr>
        <w:t xml:space="preserve">יחזקאל כג, יז ד"ה </w:t>
      </w:r>
      <w:r>
        <w:rPr>
          <w:sz w:val="18"/>
          <w:rtl/>
        </w:rPr>
        <w:t>וַתֵּקַע</w:t>
      </w:r>
      <w:r>
        <w:rPr>
          <w:rFonts w:hint="cs"/>
          <w:sz w:val="18"/>
          <w:szCs w:val="20"/>
          <w:rtl/>
        </w:rPr>
        <w:t xml:space="preserve">; </w:t>
      </w:r>
      <w:r>
        <w:rPr>
          <w:sz w:val="18"/>
          <w:szCs w:val="20"/>
          <w:rtl/>
        </w:rPr>
        <w:t>בבא מציעא לח</w:t>
      </w:r>
      <w:r>
        <w:rPr>
          <w:rFonts w:hint="cs"/>
          <w:sz w:val="18"/>
          <w:szCs w:val="20"/>
          <w:rtl/>
        </w:rPr>
        <w:t xml:space="preserve">, </w:t>
      </w:r>
      <w:r>
        <w:rPr>
          <w:sz w:val="18"/>
          <w:szCs w:val="20"/>
          <w:rtl/>
        </w:rPr>
        <w:t xml:space="preserve">א ד"ה </w:t>
      </w:r>
      <w:r>
        <w:rPr>
          <w:sz w:val="18"/>
          <w:rtl/>
        </w:rPr>
        <w:t>והדביש</w:t>
      </w:r>
      <w:r>
        <w:rPr>
          <w:rFonts w:hint="cs"/>
          <w:sz w:val="18"/>
          <w:szCs w:val="20"/>
          <w:rtl/>
        </w:rPr>
        <w:t>;</w:t>
      </w:r>
      <w:r>
        <w:rPr>
          <w:rFonts w:hint="cs"/>
          <w:sz w:val="14"/>
          <w:szCs w:val="16"/>
          <w:rtl/>
        </w:rPr>
        <w:t xml:space="preserve"> </w:t>
      </w:r>
      <w:r>
        <w:rPr>
          <w:rFonts w:hint="cs"/>
          <w:sz w:val="20"/>
          <w:szCs w:val="20"/>
          <w:rtl/>
        </w:rPr>
        <w:t>וראה השגתו של ר"י אבן כספי בביאורו ל</w:t>
      </w:r>
      <w:r>
        <w:rPr>
          <w:sz w:val="20"/>
          <w:szCs w:val="20"/>
          <w:rtl/>
        </w:rPr>
        <w:t>ויקרא יט</w:t>
      </w:r>
      <w:r>
        <w:rPr>
          <w:rFonts w:hint="cs"/>
          <w:sz w:val="20"/>
          <w:szCs w:val="20"/>
          <w:rtl/>
        </w:rPr>
        <w:t xml:space="preserve">, </w:t>
      </w:r>
      <w:r>
        <w:rPr>
          <w:sz w:val="20"/>
          <w:szCs w:val="20"/>
          <w:rtl/>
        </w:rPr>
        <w:t>י</w:t>
      </w:r>
      <w:r>
        <w:rPr>
          <w:rFonts w:hint="cs"/>
          <w:sz w:val="24"/>
          <w:rtl/>
        </w:rPr>
        <w:t xml:space="preserve">). </w:t>
      </w:r>
    </w:p>
    <w:p w14:paraId="44EF92D3" w14:textId="77777777" w:rsidR="000015C4" w:rsidRDefault="000015C4" w:rsidP="000015C4">
      <w:pPr>
        <w:ind w:firstLine="284"/>
        <w:rPr>
          <w:rFonts w:hint="cs"/>
          <w:rtl/>
        </w:rPr>
      </w:pPr>
      <w:r>
        <w:rPr>
          <w:rFonts w:hint="cs"/>
          <w:sz w:val="24"/>
          <w:rtl/>
        </w:rPr>
        <w:lastRenderedPageBreak/>
        <w:t>יתכן שאין מרחק כה רב בין הפירושים, אם נסביר שהשם "</w:t>
      </w:r>
      <w:r>
        <w:rPr>
          <w:rtl/>
        </w:rPr>
        <w:t>פא</w:t>
      </w:r>
      <w:r>
        <w:rPr>
          <w:rFonts w:hint="cs"/>
          <w:rtl/>
        </w:rPr>
        <w:t>ו</w:t>
      </w:r>
      <w:r>
        <w:rPr>
          <w:rtl/>
        </w:rPr>
        <w:t>רו</w:t>
      </w:r>
      <w:r>
        <w:rPr>
          <w:rFonts w:hint="cs"/>
          <w:rtl/>
        </w:rPr>
        <w:t>ת" עצמו נגזר מ"</w:t>
      </w:r>
      <w:r>
        <w:rPr>
          <w:rtl/>
        </w:rPr>
        <w:t>פְּאֵר</w:t>
      </w:r>
      <w:r>
        <w:rPr>
          <w:rFonts w:hint="cs"/>
          <w:rtl/>
        </w:rPr>
        <w:t>". כך כותב רד"ק</w:t>
      </w:r>
      <w:r>
        <w:rPr>
          <w:rFonts w:hint="cs"/>
          <w:sz w:val="26"/>
          <w:rtl/>
        </w:rPr>
        <w:t xml:space="preserve"> (</w:t>
      </w:r>
      <w:r>
        <w:rPr>
          <w:sz w:val="18"/>
          <w:szCs w:val="20"/>
          <w:rtl/>
        </w:rPr>
        <w:t>ספר השרשים</w:t>
      </w:r>
      <w:r>
        <w:rPr>
          <w:rFonts w:hint="cs"/>
          <w:sz w:val="18"/>
          <w:szCs w:val="20"/>
          <w:rtl/>
        </w:rPr>
        <w:t>, פא"ר</w:t>
      </w:r>
      <w:r>
        <w:rPr>
          <w:rFonts w:hint="cs"/>
          <w:sz w:val="26"/>
          <w:rtl/>
        </w:rPr>
        <w:t>)</w:t>
      </w:r>
      <w:r>
        <w:rPr>
          <w:rFonts w:hint="cs"/>
          <w:sz w:val="24"/>
          <w:rtl/>
        </w:rPr>
        <w:t>: "ואפשר שנקרא הסעיף הגדול והגבוה '</w:t>
      </w:r>
      <w:r>
        <w:rPr>
          <w:sz w:val="24"/>
          <w:rtl/>
        </w:rPr>
        <w:t>פ</w:t>
      </w:r>
      <w:r>
        <w:rPr>
          <w:rFonts w:hint="cs"/>
          <w:sz w:val="24"/>
          <w:rtl/>
        </w:rPr>
        <w:t>ֹ</w:t>
      </w:r>
      <w:r>
        <w:rPr>
          <w:sz w:val="24"/>
          <w:rtl/>
        </w:rPr>
        <w:t>אר</w:t>
      </w:r>
      <w:r>
        <w:rPr>
          <w:rFonts w:hint="cs"/>
          <w:sz w:val="24"/>
          <w:rtl/>
        </w:rPr>
        <w:t>ה' לפי שהוא פאר האילן ויופיו". אך אין זה ההסבר היחיד לגזרון "</w:t>
      </w:r>
      <w:r>
        <w:rPr>
          <w:rtl/>
        </w:rPr>
        <w:t>פ</w:t>
      </w:r>
      <w:r>
        <w:rPr>
          <w:rFonts w:hint="cs"/>
          <w:rtl/>
        </w:rPr>
        <w:t>ֹ</w:t>
      </w:r>
      <w:r>
        <w:rPr>
          <w:rtl/>
        </w:rPr>
        <w:t>א</w:t>
      </w:r>
      <w:r>
        <w:rPr>
          <w:rFonts w:hint="cs"/>
          <w:rtl/>
        </w:rPr>
        <w:t>רה" (</w:t>
      </w:r>
      <w:r>
        <w:rPr>
          <w:rFonts w:hint="cs"/>
          <w:sz w:val="18"/>
          <w:szCs w:val="20"/>
          <w:rtl/>
        </w:rPr>
        <w:t>ראה קונקורדנציה לתנ"ך של ש' מנדלקרן, עמ' 941</w:t>
      </w:r>
      <w:r>
        <w:rPr>
          <w:rFonts w:hint="cs"/>
          <w:color w:val="800000"/>
          <w:sz w:val="18"/>
          <w:szCs w:val="20"/>
          <w:rtl/>
        </w:rPr>
        <w:t xml:space="preserve"> ומילון העברית המקראית של מ"צ קדרי</w:t>
      </w:r>
      <w:r>
        <w:rPr>
          <w:rFonts w:hint="cs"/>
          <w:rtl/>
        </w:rPr>
        <w:t>).</w:t>
      </w:r>
    </w:p>
    <w:p w14:paraId="35E08FE8" w14:textId="77777777" w:rsidR="000015C4" w:rsidRDefault="000015C4" w:rsidP="000015C4">
      <w:pPr>
        <w:pStyle w:val="4"/>
        <w:rPr>
          <w:rFonts w:hint="cs"/>
          <w:rtl/>
        </w:rPr>
      </w:pPr>
      <w:r>
        <w:rPr>
          <w:rFonts w:hint="cs"/>
          <w:rtl/>
        </w:rPr>
        <w:t>לפי מדרשו</w:t>
      </w:r>
    </w:p>
    <w:p w14:paraId="02FD764D" w14:textId="77777777" w:rsidR="000015C4" w:rsidRDefault="000015C4" w:rsidP="000015C4">
      <w:pPr>
        <w:ind w:firstLine="284"/>
        <w:rPr>
          <w:rFonts w:hint="cs"/>
          <w:rtl/>
        </w:rPr>
      </w:pPr>
      <w:r>
        <w:rPr>
          <w:rFonts w:hint="cs"/>
          <w:rtl/>
        </w:rPr>
        <w:t>חז"ל בדרשותיהם הניחו שיש קשר בין "</w:t>
      </w:r>
      <w:r>
        <w:rPr>
          <w:rtl/>
        </w:rPr>
        <w:t>תְפַאֵר</w:t>
      </w:r>
      <w:r>
        <w:rPr>
          <w:rFonts w:hint="cs"/>
          <w:rtl/>
        </w:rPr>
        <w:t>" לבין "</w:t>
      </w:r>
      <w:r>
        <w:rPr>
          <w:rtl/>
        </w:rPr>
        <w:t>פְּאֵר</w:t>
      </w:r>
      <w:r>
        <w:rPr>
          <w:rFonts w:hint="cs"/>
          <w:rtl/>
        </w:rPr>
        <w:t>". כך דרשו חז"ל</w:t>
      </w:r>
      <w:r>
        <w:rPr>
          <w:rStyle w:val="a4"/>
          <w:rtl/>
        </w:rPr>
        <w:footnoteReference w:id="307"/>
      </w:r>
      <w:r>
        <w:rPr>
          <w:rFonts w:hint="cs"/>
          <w:rtl/>
        </w:rPr>
        <w:t>: "</w:t>
      </w:r>
      <w:r>
        <w:rPr>
          <w:rtl/>
        </w:rPr>
        <w:t>לא</w:t>
      </w:r>
      <w:r>
        <w:rPr>
          <w:rFonts w:hint="cs"/>
          <w:rtl/>
        </w:rPr>
        <w:t xml:space="preserve"> </w:t>
      </w:r>
      <w:r>
        <w:rPr>
          <w:rtl/>
        </w:rPr>
        <w:t>תפאר</w:t>
      </w:r>
      <w:r>
        <w:rPr>
          <w:rFonts w:hint="cs"/>
          <w:rtl/>
        </w:rPr>
        <w:t xml:space="preserve"> - </w:t>
      </w:r>
      <w:r>
        <w:rPr>
          <w:rtl/>
        </w:rPr>
        <w:t>שלא תטול תפארתך ממנו</w:t>
      </w:r>
      <w:r>
        <w:rPr>
          <w:rFonts w:hint="cs"/>
          <w:rtl/>
        </w:rPr>
        <w:t>,</w:t>
      </w:r>
      <w:r>
        <w:rPr>
          <w:rtl/>
        </w:rPr>
        <w:t xml:space="preserve"> מגיד שהזית חייב בפיאה</w:t>
      </w:r>
      <w:r>
        <w:rPr>
          <w:rFonts w:hint="cs"/>
          <w:rtl/>
        </w:rPr>
        <w:t>,</w:t>
      </w:r>
      <w:r>
        <w:rPr>
          <w:rtl/>
        </w:rPr>
        <w:t xml:space="preserve"> והוא הדין לשאר כל הא</w:t>
      </w:r>
      <w:r>
        <w:rPr>
          <w:rFonts w:hint="cs"/>
          <w:rtl/>
        </w:rPr>
        <w:t>ִ</w:t>
      </w:r>
      <w:r>
        <w:rPr>
          <w:rtl/>
        </w:rPr>
        <w:t>לנות</w:t>
      </w:r>
      <w:r>
        <w:rPr>
          <w:rFonts w:hint="cs"/>
          <w:rtl/>
        </w:rPr>
        <w:t xml:space="preserve">. </w:t>
      </w:r>
      <w:r>
        <w:rPr>
          <w:rtl/>
        </w:rPr>
        <w:t xml:space="preserve">אחריך </w:t>
      </w:r>
      <w:r>
        <w:rPr>
          <w:rFonts w:hint="cs"/>
          <w:rtl/>
        </w:rPr>
        <w:t xml:space="preserve">- </w:t>
      </w:r>
      <w:r>
        <w:rPr>
          <w:rtl/>
        </w:rPr>
        <w:t>זו שכחה</w:t>
      </w:r>
      <w:r>
        <w:rPr>
          <w:rFonts w:hint="cs"/>
          <w:rtl/>
        </w:rPr>
        <w:t xml:space="preserve">. </w:t>
      </w:r>
      <w:r>
        <w:rPr>
          <w:b/>
          <w:bCs/>
          <w:rtl/>
        </w:rPr>
        <w:t>ד</w:t>
      </w:r>
      <w:r>
        <w:rPr>
          <w:rFonts w:hint="cs"/>
          <w:b/>
          <w:bCs/>
          <w:rtl/>
        </w:rPr>
        <w:t xml:space="preserve">בר </w:t>
      </w:r>
      <w:r>
        <w:rPr>
          <w:b/>
          <w:bCs/>
          <w:rtl/>
        </w:rPr>
        <w:t>א</w:t>
      </w:r>
      <w:r>
        <w:rPr>
          <w:rFonts w:hint="cs"/>
          <w:b/>
          <w:bCs/>
          <w:rtl/>
        </w:rPr>
        <w:t>חר</w:t>
      </w:r>
      <w:r>
        <w:rPr>
          <w:rFonts w:hint="cs"/>
          <w:rtl/>
        </w:rPr>
        <w:t>:</w:t>
      </w:r>
      <w:r>
        <w:rPr>
          <w:rtl/>
        </w:rPr>
        <w:t xml:space="preserve"> לא תפאר </w:t>
      </w:r>
      <w:r>
        <w:rPr>
          <w:rFonts w:hint="cs"/>
          <w:rtl/>
        </w:rPr>
        <w:t xml:space="preserve">- </w:t>
      </w:r>
      <w:r>
        <w:rPr>
          <w:rtl/>
        </w:rPr>
        <w:t>לא תתפאר בו לעני</w:t>
      </w:r>
      <w:r>
        <w:rPr>
          <w:rFonts w:hint="cs"/>
          <w:rtl/>
        </w:rPr>
        <w:t>,</w:t>
      </w:r>
      <w:r>
        <w:rPr>
          <w:rtl/>
        </w:rPr>
        <w:t xml:space="preserve"> מיכן אמ</w:t>
      </w:r>
      <w:r>
        <w:rPr>
          <w:rFonts w:hint="cs"/>
          <w:rtl/>
        </w:rPr>
        <w:t xml:space="preserve">רו: </w:t>
      </w:r>
      <w:r>
        <w:rPr>
          <w:rtl/>
        </w:rPr>
        <w:t>מי שאינו מניח את העניים ללקט</w:t>
      </w:r>
      <w:r>
        <w:rPr>
          <w:rFonts w:hint="cs"/>
          <w:rtl/>
        </w:rPr>
        <w:t>,</w:t>
      </w:r>
      <w:r>
        <w:rPr>
          <w:rtl/>
        </w:rPr>
        <w:t xml:space="preserve"> או שמניח אחד ואחד לאו</w:t>
      </w:r>
      <w:r>
        <w:rPr>
          <w:rFonts w:hint="cs"/>
          <w:rtl/>
        </w:rPr>
        <w:t>,</w:t>
      </w:r>
      <w:r>
        <w:rPr>
          <w:rtl/>
        </w:rPr>
        <w:t xml:space="preserve"> או שמסייע את אחד מהן ואחד לאו </w:t>
      </w:r>
      <w:r>
        <w:rPr>
          <w:rFonts w:hint="cs"/>
          <w:rtl/>
        </w:rPr>
        <w:t xml:space="preserve">- </w:t>
      </w:r>
      <w:r>
        <w:rPr>
          <w:rtl/>
        </w:rPr>
        <w:t>הרי זה גוזל את העניים</w:t>
      </w:r>
      <w:r>
        <w:rPr>
          <w:rFonts w:hint="cs"/>
          <w:rtl/>
        </w:rPr>
        <w:t>,</w:t>
      </w:r>
      <w:r>
        <w:rPr>
          <w:rtl/>
        </w:rPr>
        <w:t xml:space="preserve"> ועל זה נאמר</w:t>
      </w:r>
      <w:r>
        <w:rPr>
          <w:rFonts w:hint="cs"/>
          <w:rtl/>
        </w:rPr>
        <w:t>:</w:t>
      </w:r>
      <w:r>
        <w:rPr>
          <w:rtl/>
        </w:rPr>
        <w:t xml:space="preserve"> לא תסיג גבול עולם</w:t>
      </w:r>
      <w:r>
        <w:rPr>
          <w:rFonts w:hint="cs"/>
          <w:rtl/>
        </w:rPr>
        <w:t xml:space="preserve"> </w:t>
      </w:r>
      <w:r>
        <w:rPr>
          <w:rtl/>
        </w:rPr>
        <w:t>(</w:t>
      </w:r>
      <w:r>
        <w:rPr>
          <w:sz w:val="18"/>
          <w:szCs w:val="20"/>
          <w:rtl/>
        </w:rPr>
        <w:t>ע</w:t>
      </w:r>
      <w:r>
        <w:rPr>
          <w:rFonts w:hint="cs"/>
          <w:sz w:val="18"/>
          <w:szCs w:val="20"/>
          <w:rtl/>
        </w:rPr>
        <w:t>"פ</w:t>
      </w:r>
      <w:r>
        <w:rPr>
          <w:sz w:val="18"/>
          <w:szCs w:val="20"/>
          <w:rtl/>
        </w:rPr>
        <w:t xml:space="preserve"> דברים יט</w:t>
      </w:r>
      <w:r>
        <w:rPr>
          <w:rFonts w:hint="cs"/>
          <w:sz w:val="18"/>
          <w:szCs w:val="20"/>
          <w:rtl/>
        </w:rPr>
        <w:t xml:space="preserve">, </w:t>
      </w:r>
      <w:r>
        <w:rPr>
          <w:sz w:val="18"/>
          <w:szCs w:val="20"/>
          <w:rtl/>
        </w:rPr>
        <w:t>יד</w:t>
      </w:r>
      <w:r>
        <w:rPr>
          <w:rFonts w:hint="cs"/>
          <w:sz w:val="18"/>
          <w:szCs w:val="20"/>
          <w:rtl/>
        </w:rPr>
        <w:t xml:space="preserve"> ו</w:t>
      </w:r>
      <w:r>
        <w:rPr>
          <w:sz w:val="18"/>
          <w:szCs w:val="20"/>
          <w:rtl/>
        </w:rPr>
        <w:t>משלי כב</w:t>
      </w:r>
      <w:r>
        <w:rPr>
          <w:rFonts w:hint="cs"/>
          <w:sz w:val="18"/>
          <w:szCs w:val="20"/>
          <w:rtl/>
        </w:rPr>
        <w:t>,</w:t>
      </w:r>
      <w:r>
        <w:rPr>
          <w:sz w:val="18"/>
          <w:szCs w:val="20"/>
          <w:rtl/>
        </w:rPr>
        <w:t xml:space="preserve"> כח</w:t>
      </w:r>
      <w:r>
        <w:rPr>
          <w:rtl/>
        </w:rPr>
        <w:t>)</w:t>
      </w:r>
      <w:r>
        <w:rPr>
          <w:rFonts w:hint="cs"/>
          <w:rtl/>
        </w:rPr>
        <w:t>".</w:t>
      </w:r>
    </w:p>
    <w:p w14:paraId="50B0123B" w14:textId="77777777" w:rsidR="000015C4" w:rsidRDefault="000015C4" w:rsidP="000015C4">
      <w:pPr>
        <w:ind w:firstLine="284"/>
        <w:rPr>
          <w:rFonts w:hint="cs"/>
          <w:rtl/>
        </w:rPr>
      </w:pPr>
      <w:r>
        <w:rPr>
          <w:rFonts w:hint="cs"/>
          <w:rtl/>
        </w:rPr>
        <w:t>הדרשה השניה קושרת בין "</w:t>
      </w:r>
      <w:r>
        <w:rPr>
          <w:rtl/>
        </w:rPr>
        <w:t>תְפַאֵר</w:t>
      </w:r>
      <w:r>
        <w:rPr>
          <w:rFonts w:hint="cs"/>
          <w:rtl/>
        </w:rPr>
        <w:t>" להתפארוּת והתרברבוּת (</w:t>
      </w:r>
      <w:r>
        <w:rPr>
          <w:rFonts w:hint="cs"/>
          <w:sz w:val="18"/>
          <w:szCs w:val="20"/>
          <w:rtl/>
        </w:rPr>
        <w:t xml:space="preserve">כבספר </w:t>
      </w:r>
      <w:r>
        <w:rPr>
          <w:sz w:val="18"/>
          <w:szCs w:val="20"/>
          <w:rtl/>
        </w:rPr>
        <w:t>שופטים ז</w:t>
      </w:r>
      <w:r>
        <w:rPr>
          <w:rFonts w:hint="cs"/>
          <w:sz w:val="18"/>
          <w:szCs w:val="20"/>
          <w:rtl/>
        </w:rPr>
        <w:t xml:space="preserve">, </w:t>
      </w:r>
      <w:r>
        <w:rPr>
          <w:sz w:val="18"/>
          <w:szCs w:val="20"/>
          <w:rtl/>
        </w:rPr>
        <w:t>ב</w:t>
      </w:r>
      <w:r>
        <w:rPr>
          <w:rFonts w:hint="cs"/>
          <w:sz w:val="18"/>
          <w:szCs w:val="20"/>
          <w:rtl/>
        </w:rPr>
        <w:t>: "</w:t>
      </w:r>
      <w:r>
        <w:rPr>
          <w:sz w:val="18"/>
          <w:szCs w:val="20"/>
          <w:rtl/>
        </w:rPr>
        <w:t>פֶּן יִתְפָּאֵר עָלַי יִשְׂרָאֵל לֵאמֹר יָדִי הוֹשִׁיעָה לִּי</w:t>
      </w:r>
      <w:r>
        <w:rPr>
          <w:rFonts w:hint="cs"/>
          <w:sz w:val="18"/>
          <w:szCs w:val="20"/>
          <w:rtl/>
        </w:rPr>
        <w:t>"</w:t>
      </w:r>
      <w:r>
        <w:rPr>
          <w:rFonts w:hint="cs"/>
          <w:rtl/>
        </w:rPr>
        <w:t>), וכפי שמבאר רבינו בחיי: "אל תתפאר על העניים אם אתה מיטיב להן ומניח זיתים תחת האילן". מפרשים אחרונים הלכו גם הם בדרך זו וקִשרוּ את הפֹעַל "</w:t>
      </w:r>
      <w:r>
        <w:rPr>
          <w:rtl/>
        </w:rPr>
        <w:t>תְפַאֵר</w:t>
      </w:r>
      <w:r>
        <w:rPr>
          <w:rFonts w:hint="cs"/>
          <w:rtl/>
        </w:rPr>
        <w:t xml:space="preserve">" עם התפארוּת והתנשאוּת (כגון </w:t>
      </w:r>
      <w:r>
        <w:rPr>
          <w:rFonts w:hint="cs"/>
          <w:color w:val="800000"/>
          <w:rtl/>
        </w:rPr>
        <w:t xml:space="preserve">בספר </w:t>
      </w:r>
      <w:r>
        <w:rPr>
          <w:color w:val="800000"/>
          <w:rtl/>
        </w:rPr>
        <w:lastRenderedPageBreak/>
        <w:t>מנחם ציון</w:t>
      </w:r>
      <w:r>
        <w:rPr>
          <w:rStyle w:val="a4"/>
          <w:color w:val="800000"/>
          <w:rtl/>
        </w:rPr>
        <w:footnoteReference w:id="308"/>
      </w:r>
      <w:r>
        <w:rPr>
          <w:rFonts w:hint="cs"/>
          <w:color w:val="800000"/>
          <w:rtl/>
        </w:rPr>
        <w:t>)</w:t>
      </w:r>
      <w:r>
        <w:rPr>
          <w:rFonts w:hint="cs"/>
          <w:rtl/>
        </w:rPr>
        <w:t xml:space="preserve"> או עם הוספת </w:t>
      </w:r>
      <w:r>
        <w:rPr>
          <w:rtl/>
        </w:rPr>
        <w:t>פְּאֵר</w:t>
      </w:r>
      <w:r>
        <w:rPr>
          <w:rFonts w:hint="cs"/>
          <w:rtl/>
        </w:rPr>
        <w:t xml:space="preserve">, כבוד ועֹשֶׁר (כגון בספר </w:t>
      </w:r>
      <w:r>
        <w:rPr>
          <w:rtl/>
        </w:rPr>
        <w:t>צרור המור</w:t>
      </w:r>
      <w:r>
        <w:rPr>
          <w:rStyle w:val="a4"/>
          <w:rtl/>
        </w:rPr>
        <w:footnoteReference w:id="309"/>
      </w:r>
      <w:r>
        <w:rPr>
          <w:rFonts w:hint="cs"/>
          <w:rtl/>
        </w:rPr>
        <w:t xml:space="preserve"> ובפירוש</w:t>
      </w:r>
      <w:r>
        <w:rPr>
          <w:rtl/>
        </w:rPr>
        <w:t xml:space="preserve"> כלי יקר</w:t>
      </w:r>
      <w:r>
        <w:rPr>
          <w:rStyle w:val="a4"/>
          <w:rtl/>
        </w:rPr>
        <w:footnoteReference w:id="310"/>
      </w:r>
      <w:r>
        <w:rPr>
          <w:rFonts w:hint="cs"/>
          <w:rtl/>
        </w:rPr>
        <w:t>)</w:t>
      </w:r>
      <w:r>
        <w:rPr>
          <w:rStyle w:val="a4"/>
          <w:rtl/>
        </w:rPr>
        <w:footnoteReference w:id="311"/>
      </w:r>
      <w:r>
        <w:rPr>
          <w:rFonts w:hint="cs"/>
          <w:rtl/>
        </w:rPr>
        <w:t xml:space="preserve">. </w:t>
      </w:r>
    </w:p>
    <w:p w14:paraId="0DB84C5D" w14:textId="77777777" w:rsidR="000015C4" w:rsidRDefault="000015C4" w:rsidP="000015C4">
      <w:pPr>
        <w:ind w:firstLine="284"/>
        <w:rPr>
          <w:rFonts w:hint="cs"/>
          <w:rtl/>
        </w:rPr>
      </w:pPr>
      <w:r>
        <w:rPr>
          <w:rFonts w:hint="cs"/>
          <w:rtl/>
        </w:rPr>
        <w:lastRenderedPageBreak/>
        <w:t>הדרשה הראשונה, המסיקה מכתוב זה "</w:t>
      </w:r>
      <w:r>
        <w:rPr>
          <w:rtl/>
        </w:rPr>
        <w:t>שהזית חייב בפיאה</w:t>
      </w:r>
      <w:r>
        <w:rPr>
          <w:rFonts w:hint="cs"/>
          <w:rtl/>
        </w:rPr>
        <w:t>", מובאת בתלמוד הבבלי (</w:t>
      </w:r>
      <w:r>
        <w:rPr>
          <w:sz w:val="18"/>
          <w:szCs w:val="20"/>
          <w:rtl/>
        </w:rPr>
        <w:t>חולין קלא</w:t>
      </w:r>
      <w:r>
        <w:rPr>
          <w:rFonts w:hint="cs"/>
          <w:sz w:val="18"/>
          <w:szCs w:val="20"/>
          <w:rtl/>
        </w:rPr>
        <w:t xml:space="preserve">, </w:t>
      </w:r>
      <w:r>
        <w:rPr>
          <w:sz w:val="18"/>
          <w:szCs w:val="20"/>
          <w:rtl/>
        </w:rPr>
        <w:t>ב</w:t>
      </w:r>
      <w:r>
        <w:rPr>
          <w:rFonts w:hint="cs"/>
          <w:rtl/>
        </w:rPr>
        <w:t xml:space="preserve">) מפי תנא דבי רבי ישמעאל: </w:t>
      </w:r>
      <w:r>
        <w:rPr>
          <w:rtl/>
        </w:rPr>
        <w:t xml:space="preserve">"שלא תטול תפארתו </w:t>
      </w:r>
      <w:r>
        <w:rPr>
          <w:rFonts w:hint="cs"/>
          <w:rtl/>
        </w:rPr>
        <w:t>מ</w:t>
      </w:r>
      <w:r>
        <w:rPr>
          <w:rtl/>
        </w:rPr>
        <w:t>מנו</w:t>
      </w:r>
      <w:r>
        <w:rPr>
          <w:rFonts w:hint="cs"/>
          <w:rtl/>
        </w:rPr>
        <w:t>" (</w:t>
      </w:r>
      <w:r>
        <w:rPr>
          <w:rFonts w:hint="cs"/>
          <w:sz w:val="18"/>
          <w:szCs w:val="20"/>
          <w:rtl/>
        </w:rPr>
        <w:t>וכך העתיק רש"י בפירושו לתורה</w:t>
      </w:r>
      <w:r>
        <w:rPr>
          <w:rStyle w:val="a4"/>
          <w:szCs w:val="20"/>
          <w:rtl/>
        </w:rPr>
        <w:footnoteReference w:id="312"/>
      </w:r>
      <w:r>
        <w:rPr>
          <w:rFonts w:hint="cs"/>
          <w:rtl/>
        </w:rPr>
        <w:t xml:space="preserve">). כלומר, נאסר על המוסק עץ זית למסוק את כל היבול, אלא עליו להשאיר חלק (והוא הנקרא "פאה"), ובגזירה שוה למדו מן הזית </w:t>
      </w:r>
      <w:r>
        <w:rPr>
          <w:rtl/>
        </w:rPr>
        <w:t>לשאר כל הא</w:t>
      </w:r>
      <w:r>
        <w:rPr>
          <w:rFonts w:hint="cs"/>
          <w:rtl/>
        </w:rPr>
        <w:t>ִ</w:t>
      </w:r>
      <w:r>
        <w:rPr>
          <w:rtl/>
        </w:rPr>
        <w:t>לנות</w:t>
      </w:r>
      <w:r>
        <w:rPr>
          <w:rFonts w:hint="cs"/>
          <w:rtl/>
        </w:rPr>
        <w:t xml:space="preserve"> שגם בהם</w:t>
      </w:r>
      <w:r>
        <w:rPr>
          <w:rtl/>
        </w:rPr>
        <w:t xml:space="preserve"> </w:t>
      </w:r>
      <w:r>
        <w:rPr>
          <w:rFonts w:hint="cs"/>
          <w:rtl/>
        </w:rPr>
        <w:t>יש להותיר</w:t>
      </w:r>
      <w:r>
        <w:rPr>
          <w:rtl/>
        </w:rPr>
        <w:t xml:space="preserve"> פאה</w:t>
      </w:r>
      <w:r>
        <w:rPr>
          <w:rStyle w:val="a4"/>
          <w:rtl/>
        </w:rPr>
        <w:footnoteReference w:id="313"/>
      </w:r>
      <w:r>
        <w:rPr>
          <w:rFonts w:hint="cs"/>
          <w:rtl/>
        </w:rPr>
        <w:t xml:space="preserve">. </w:t>
      </w:r>
    </w:p>
    <w:p w14:paraId="7256379E" w14:textId="77777777" w:rsidR="000015C4" w:rsidRDefault="000015C4" w:rsidP="000015C4">
      <w:pPr>
        <w:ind w:firstLine="284"/>
        <w:rPr>
          <w:rFonts w:hint="cs"/>
          <w:rtl/>
        </w:rPr>
      </w:pPr>
      <w:r>
        <w:rPr>
          <w:rFonts w:hint="cs"/>
          <w:rtl/>
        </w:rPr>
        <w:t>כיצד למדו מ"</w:t>
      </w:r>
      <w:r>
        <w:rPr>
          <w:rtl/>
        </w:rPr>
        <w:t>לֹא תְפַאֵר</w:t>
      </w:r>
      <w:r>
        <w:rPr>
          <w:rFonts w:hint="cs"/>
          <w:rtl/>
        </w:rPr>
        <w:t xml:space="preserve">" שאין לקטוף את כל הזיתים, ויש להשאיר חֵלֶק ("פאה") לעניים? </w:t>
      </w:r>
    </w:p>
    <w:p w14:paraId="70A08C33" w14:textId="77777777" w:rsidR="000015C4" w:rsidRDefault="000015C4" w:rsidP="000015C4">
      <w:pPr>
        <w:ind w:firstLine="284"/>
        <w:rPr>
          <w:rFonts w:hint="cs"/>
          <w:rtl/>
        </w:rPr>
      </w:pPr>
      <w:r>
        <w:rPr>
          <w:rFonts w:hint="cs"/>
          <w:rtl/>
        </w:rPr>
        <w:t>רש"י מבאר בפירושו לתלמוד (</w:t>
      </w:r>
      <w:r>
        <w:rPr>
          <w:sz w:val="18"/>
          <w:szCs w:val="20"/>
          <w:rtl/>
        </w:rPr>
        <w:t>חולין קלא</w:t>
      </w:r>
      <w:r>
        <w:rPr>
          <w:rFonts w:hint="cs"/>
          <w:sz w:val="18"/>
          <w:szCs w:val="20"/>
          <w:rtl/>
        </w:rPr>
        <w:t xml:space="preserve">, </w:t>
      </w:r>
      <w:r>
        <w:rPr>
          <w:sz w:val="18"/>
          <w:szCs w:val="20"/>
          <w:rtl/>
        </w:rPr>
        <w:t>ב</w:t>
      </w:r>
      <w:r>
        <w:rPr>
          <w:rFonts w:hint="cs"/>
          <w:sz w:val="18"/>
          <w:szCs w:val="20"/>
          <w:rtl/>
        </w:rPr>
        <w:t xml:space="preserve"> ד"ה</w:t>
      </w:r>
      <w:r>
        <w:rPr>
          <w:sz w:val="18"/>
          <w:szCs w:val="20"/>
          <w:rtl/>
        </w:rPr>
        <w:t xml:space="preserve"> אחריך</w:t>
      </w:r>
      <w:r>
        <w:rPr>
          <w:rFonts w:hint="cs"/>
          <w:sz w:val="18"/>
          <w:szCs w:val="20"/>
          <w:rtl/>
        </w:rPr>
        <w:t xml:space="preserve"> </w:t>
      </w:r>
      <w:r>
        <w:rPr>
          <w:sz w:val="18"/>
          <w:szCs w:val="20"/>
          <w:rtl/>
        </w:rPr>
        <w:t>זו שכחה</w:t>
      </w:r>
      <w:r>
        <w:rPr>
          <w:rFonts w:hint="cs"/>
          <w:rtl/>
        </w:rPr>
        <w:t xml:space="preserve">): </w:t>
      </w:r>
      <w:r>
        <w:rPr>
          <w:rtl/>
        </w:rPr>
        <w:t xml:space="preserve">"שלא תטול תפארתו הימנו, כלומר </w:t>
      </w:r>
      <w:r>
        <w:rPr>
          <w:b/>
          <w:bCs/>
          <w:rtl/>
        </w:rPr>
        <w:t>לא תטול כל פ</w:t>
      </w:r>
      <w:r>
        <w:rPr>
          <w:rFonts w:hint="cs"/>
          <w:b/>
          <w:bCs/>
          <w:rtl/>
        </w:rPr>
        <w:t>ְ</w:t>
      </w:r>
      <w:r>
        <w:rPr>
          <w:b/>
          <w:bCs/>
          <w:rtl/>
        </w:rPr>
        <w:t>א</w:t>
      </w:r>
      <w:r>
        <w:rPr>
          <w:rFonts w:hint="cs"/>
          <w:b/>
          <w:bCs/>
          <w:rtl/>
        </w:rPr>
        <w:t>ֵ</w:t>
      </w:r>
      <w:r>
        <w:rPr>
          <w:b/>
          <w:bCs/>
          <w:rtl/>
        </w:rPr>
        <w:t>רו</w:t>
      </w:r>
      <w:r>
        <w:rPr>
          <w:rFonts w:hint="cs"/>
          <w:rtl/>
        </w:rPr>
        <w:t>,</w:t>
      </w:r>
      <w:r>
        <w:rPr>
          <w:rtl/>
        </w:rPr>
        <w:t xml:space="preserve"> לשון </w:t>
      </w:r>
      <w:r>
        <w:rPr>
          <w:rFonts w:hint="cs"/>
          <w:rtl/>
        </w:rPr>
        <w:t>'</w:t>
      </w:r>
      <w:r>
        <w:rPr>
          <w:rtl/>
        </w:rPr>
        <w:t>וּבְכָל תְּבוּאָתִי תְשָׁרֵשׁ</w:t>
      </w:r>
      <w:r>
        <w:rPr>
          <w:rFonts w:hint="cs"/>
          <w:rtl/>
        </w:rPr>
        <w:t>'</w:t>
      </w:r>
      <w:r>
        <w:rPr>
          <w:rtl/>
        </w:rPr>
        <w:t xml:space="preserve"> (</w:t>
      </w:r>
      <w:r>
        <w:rPr>
          <w:sz w:val="18"/>
          <w:szCs w:val="20"/>
          <w:rtl/>
        </w:rPr>
        <w:t>איוב לא, יב</w:t>
      </w:r>
      <w:r>
        <w:rPr>
          <w:rtl/>
        </w:rPr>
        <w:t>) דמשמע עקירה</w:t>
      </w:r>
      <w:r>
        <w:rPr>
          <w:rFonts w:hint="cs"/>
          <w:rtl/>
        </w:rPr>
        <w:t>,</w:t>
      </w:r>
      <w:r>
        <w:rPr>
          <w:rtl/>
        </w:rPr>
        <w:t xml:space="preserve"> ולשון </w:t>
      </w:r>
      <w:r>
        <w:rPr>
          <w:rFonts w:hint="cs"/>
          <w:rtl/>
        </w:rPr>
        <w:t>'</w:t>
      </w:r>
      <w:r>
        <w:rPr>
          <w:rtl/>
        </w:rPr>
        <w:t>וַיְזַנֵּב בְּךָ</w:t>
      </w:r>
      <w:r>
        <w:rPr>
          <w:rFonts w:hint="cs"/>
          <w:rtl/>
        </w:rPr>
        <w:t>'</w:t>
      </w:r>
      <w:r>
        <w:rPr>
          <w:rtl/>
        </w:rPr>
        <w:t xml:space="preserve"> (</w:t>
      </w:r>
      <w:r>
        <w:rPr>
          <w:sz w:val="18"/>
          <w:szCs w:val="20"/>
          <w:rtl/>
        </w:rPr>
        <w:t xml:space="preserve">דברים </w:t>
      </w:r>
      <w:r>
        <w:rPr>
          <w:sz w:val="18"/>
          <w:szCs w:val="20"/>
          <w:rtl/>
        </w:rPr>
        <w:lastRenderedPageBreak/>
        <w:t>כה, יח</w:t>
      </w:r>
      <w:r>
        <w:rPr>
          <w:rtl/>
        </w:rPr>
        <w:t>) נטל את זנבך</w:t>
      </w:r>
      <w:r>
        <w:rPr>
          <w:rFonts w:hint="cs"/>
          <w:rtl/>
        </w:rPr>
        <w:t>;</w:t>
      </w:r>
      <w:r>
        <w:rPr>
          <w:rtl/>
        </w:rPr>
        <w:t xml:space="preserve"> </w:t>
      </w:r>
      <w:r>
        <w:rPr>
          <w:rFonts w:hint="cs"/>
          <w:sz w:val="30"/>
          <w:szCs w:val="28"/>
          <w:rtl/>
        </w:rPr>
        <w:t>[</w:t>
      </w:r>
      <w:r>
        <w:rPr>
          <w:rtl/>
        </w:rPr>
        <w:t>תְפַאֵר</w:t>
      </w:r>
      <w:r>
        <w:rPr>
          <w:rFonts w:hint="cs"/>
          <w:rtl/>
        </w:rPr>
        <w:t xml:space="preserve"> - דיש-אנבלי"ר</w:t>
      </w:r>
      <w:r>
        <w:rPr>
          <w:rStyle w:val="a4"/>
          <w:rtl/>
        </w:rPr>
        <w:footnoteReference w:id="314"/>
      </w:r>
      <w:r>
        <w:rPr>
          <w:rFonts w:hint="cs"/>
          <w:sz w:val="30"/>
          <w:szCs w:val="28"/>
          <w:rtl/>
        </w:rPr>
        <w:t>] (</w:t>
      </w:r>
      <w:r>
        <w:rPr>
          <w:rtl/>
        </w:rPr>
        <w:t>אשפי"ר</w:t>
      </w:r>
      <w:r>
        <w:rPr>
          <w:rStyle w:val="a4"/>
          <w:rtl/>
        </w:rPr>
        <w:footnoteReference w:id="315"/>
      </w:r>
      <w:r>
        <w:rPr>
          <w:rFonts w:hint="cs"/>
          <w:sz w:val="30"/>
          <w:szCs w:val="28"/>
          <w:rtl/>
        </w:rPr>
        <w:t>)</w:t>
      </w:r>
      <w:r>
        <w:rPr>
          <w:rtl/>
        </w:rPr>
        <w:t xml:space="preserve"> בלע"ז</w:t>
      </w:r>
      <w:r>
        <w:rPr>
          <w:rFonts w:hint="cs"/>
          <w:rtl/>
        </w:rPr>
        <w:t>,</w:t>
      </w:r>
      <w:r>
        <w:rPr>
          <w:rtl/>
        </w:rPr>
        <w:t xml:space="preserve"> והיינו שלא תטול פאה".</w:t>
      </w:r>
      <w:r>
        <w:rPr>
          <w:rFonts w:hint="cs"/>
          <w:rtl/>
        </w:rPr>
        <w:t xml:space="preserve"> לאור ההסבר הנ"ל בפירוש ריב"ש יובן פירוש</w:t>
      </w:r>
      <w:r>
        <w:rPr>
          <w:rFonts w:ascii="Ezra SIL SR" w:hAnsi="Ezra SIL SR" w:hint="cs"/>
          <w:rtl/>
        </w:rPr>
        <w:t xml:space="preserve"> רש"י</w:t>
      </w:r>
      <w:r>
        <w:rPr>
          <w:rFonts w:hint="cs"/>
          <w:rtl/>
        </w:rPr>
        <w:t>, וכך מבאר ר"מ קטן (אוצר לעזי רש"י</w:t>
      </w:r>
      <w:r>
        <w:rPr>
          <w:rFonts w:hint="cs"/>
          <w:sz w:val="18"/>
          <w:szCs w:val="20"/>
          <w:rtl/>
        </w:rPr>
        <w:t>, לעז 2289</w:t>
      </w:r>
      <w:r>
        <w:rPr>
          <w:rFonts w:hint="cs"/>
          <w:rtl/>
        </w:rPr>
        <w:t>): "רש"י מסביר את התופעה הלשונית השכיחה בעברית, שלאותו פועל, בבניינים שונים (או אפילו באותו בניין), משמעויות הפוכות"</w:t>
      </w:r>
      <w:r>
        <w:rPr>
          <w:rStyle w:val="a4"/>
          <w:rtl/>
        </w:rPr>
        <w:footnoteReference w:id="316"/>
      </w:r>
      <w:r>
        <w:rPr>
          <w:rFonts w:hint="cs"/>
          <w:rtl/>
        </w:rPr>
        <w:t xml:space="preserve">. אף </w:t>
      </w:r>
      <w:r>
        <w:rPr>
          <w:rtl/>
        </w:rPr>
        <w:t>"תְפַאֵר</w:t>
      </w:r>
      <w:r>
        <w:rPr>
          <w:rFonts w:hint="cs"/>
          <w:rtl/>
        </w:rPr>
        <w:t xml:space="preserve">" משמעו נטילת הפְאֵר וביטולו, "ולשם כך הביא (או המציא) את הפֹעַל המורכב </w:t>
      </w:r>
      <w:r>
        <w:t>des-enbelir</w:t>
      </w:r>
      <w:r>
        <w:rPr>
          <w:rFonts w:hint="cs"/>
          <w:rtl/>
        </w:rPr>
        <w:t xml:space="preserve"> (</w:t>
      </w:r>
      <w:r>
        <w:t>enbelir</w:t>
      </w:r>
      <w:r>
        <w:rPr>
          <w:rFonts w:hint="cs"/>
          <w:rtl/>
        </w:rPr>
        <w:t xml:space="preserve"> - לְיַפּוֹת; -</w:t>
      </w:r>
      <w:r>
        <w:t>des</w:t>
      </w:r>
      <w:r>
        <w:rPr>
          <w:rFonts w:hint="cs"/>
          <w:rtl/>
        </w:rPr>
        <w:t xml:space="preserve"> - קִדֹמֶת הביטול)". עכת"ד</w:t>
      </w:r>
      <w:r>
        <w:rPr>
          <w:rStyle w:val="a4"/>
          <w:rtl/>
        </w:rPr>
        <w:footnoteReference w:id="317"/>
      </w:r>
      <w:r>
        <w:rPr>
          <w:rFonts w:hint="cs"/>
          <w:rtl/>
        </w:rPr>
        <w:t xml:space="preserve">. </w:t>
      </w:r>
    </w:p>
    <w:p w14:paraId="5A2F7EA1" w14:textId="77777777" w:rsidR="000015C4" w:rsidRDefault="000015C4" w:rsidP="000015C4">
      <w:pPr>
        <w:ind w:firstLine="284"/>
        <w:rPr>
          <w:rFonts w:hint="cs"/>
          <w:rtl/>
        </w:rPr>
      </w:pPr>
      <w:r>
        <w:rPr>
          <w:rFonts w:hint="cs"/>
          <w:rtl/>
        </w:rPr>
        <w:t xml:space="preserve">מלשון רש"י </w:t>
      </w:r>
      <w:r>
        <w:rPr>
          <w:rtl/>
        </w:rPr>
        <w:t xml:space="preserve">"לא תטול </w:t>
      </w:r>
      <w:r>
        <w:rPr>
          <w:b/>
          <w:bCs/>
          <w:rtl/>
        </w:rPr>
        <w:t>כל</w:t>
      </w:r>
      <w:r>
        <w:rPr>
          <w:rtl/>
        </w:rPr>
        <w:t xml:space="preserve"> פ</w:t>
      </w:r>
      <w:r>
        <w:rPr>
          <w:rFonts w:hint="cs"/>
          <w:rtl/>
        </w:rPr>
        <w:t>ְ</w:t>
      </w:r>
      <w:r>
        <w:rPr>
          <w:rtl/>
        </w:rPr>
        <w:t>א</w:t>
      </w:r>
      <w:r>
        <w:rPr>
          <w:rFonts w:hint="cs"/>
          <w:rtl/>
        </w:rPr>
        <w:t>ֵ</w:t>
      </w:r>
      <w:r>
        <w:rPr>
          <w:rtl/>
        </w:rPr>
        <w:t>רו</w:t>
      </w:r>
      <w:r>
        <w:rPr>
          <w:rFonts w:hint="cs"/>
          <w:rtl/>
        </w:rPr>
        <w:t>",</w:t>
      </w:r>
      <w:r>
        <w:rPr>
          <w:rtl/>
        </w:rPr>
        <w:t xml:space="preserve"> </w:t>
      </w:r>
      <w:r>
        <w:rPr>
          <w:rFonts w:hint="cs"/>
          <w:rtl/>
        </w:rPr>
        <w:t>משמע שה"</w:t>
      </w:r>
      <w:r>
        <w:rPr>
          <w:rtl/>
        </w:rPr>
        <w:t>פְּאֵר</w:t>
      </w:r>
      <w:r>
        <w:rPr>
          <w:rFonts w:hint="cs"/>
          <w:rtl/>
        </w:rPr>
        <w:t>" (בלשונו, או ה"</w:t>
      </w:r>
      <w:r>
        <w:rPr>
          <w:rtl/>
        </w:rPr>
        <w:t>ת</w:t>
      </w:r>
      <w:r>
        <w:rPr>
          <w:rFonts w:hint="cs"/>
          <w:rtl/>
        </w:rPr>
        <w:t>ִ</w:t>
      </w:r>
      <w:r>
        <w:rPr>
          <w:rtl/>
        </w:rPr>
        <w:t>פארת</w:t>
      </w:r>
      <w:r>
        <w:rPr>
          <w:rFonts w:hint="cs"/>
          <w:rtl/>
        </w:rPr>
        <w:t>" בלשון תנא דבי רבי ישמעאל) היינו הפֵרות, הזיתים (</w:t>
      </w:r>
      <w:r>
        <w:rPr>
          <w:rFonts w:hint="cs"/>
          <w:sz w:val="18"/>
          <w:szCs w:val="20"/>
          <w:rtl/>
        </w:rPr>
        <w:t>וכ"כ רבינו בחיי, ה</w:t>
      </w:r>
      <w:r>
        <w:rPr>
          <w:sz w:val="18"/>
          <w:szCs w:val="20"/>
          <w:rtl/>
        </w:rPr>
        <w:t xml:space="preserve">מלבי"ם </w:t>
      </w:r>
      <w:r>
        <w:rPr>
          <w:rFonts w:hint="cs"/>
          <w:sz w:val="18"/>
          <w:szCs w:val="20"/>
          <w:rtl/>
        </w:rPr>
        <w:t>ובעל תורה תמימה</w:t>
      </w:r>
      <w:r>
        <w:rPr>
          <w:rFonts w:hint="cs"/>
          <w:rtl/>
        </w:rPr>
        <w:t>), וברור שאין התורה אוסרת למסוק זיתים, "זה לא יתכן כלל, דאם כן כל הזית הוא לעניים!" (</w:t>
      </w:r>
      <w:r>
        <w:rPr>
          <w:rFonts w:hint="cs"/>
          <w:sz w:val="18"/>
          <w:szCs w:val="20"/>
          <w:rtl/>
        </w:rPr>
        <w:t>משך חכמה</w:t>
      </w:r>
      <w:r>
        <w:rPr>
          <w:rFonts w:hint="cs"/>
          <w:rtl/>
        </w:rPr>
        <w:t>). אלא, פירוש "</w:t>
      </w:r>
      <w:r>
        <w:rPr>
          <w:rtl/>
        </w:rPr>
        <w:t>תפאר</w:t>
      </w:r>
      <w:r>
        <w:rPr>
          <w:rFonts w:hint="cs"/>
          <w:rtl/>
        </w:rPr>
        <w:t xml:space="preserve">" הוא מסיק גמור ושלם של כל הזיתים ללא שיור. </w:t>
      </w:r>
    </w:p>
    <w:p w14:paraId="6B19DB4D" w14:textId="77777777" w:rsidR="000015C4" w:rsidRDefault="000015C4" w:rsidP="000015C4">
      <w:pPr>
        <w:ind w:firstLine="284"/>
        <w:rPr>
          <w:rFonts w:hint="cs"/>
          <w:rtl/>
        </w:rPr>
      </w:pPr>
      <w:r>
        <w:rPr>
          <w:rFonts w:hint="cs"/>
          <w:rtl/>
        </w:rPr>
        <w:lastRenderedPageBreak/>
        <w:t>ברם, יש מפרשים שה"</w:t>
      </w:r>
      <w:r>
        <w:rPr>
          <w:rtl/>
        </w:rPr>
        <w:t>ת</w:t>
      </w:r>
      <w:r>
        <w:rPr>
          <w:rFonts w:hint="cs"/>
          <w:rtl/>
        </w:rPr>
        <w:t>ִ</w:t>
      </w:r>
      <w:r>
        <w:rPr>
          <w:rtl/>
        </w:rPr>
        <w:t>פארת</w:t>
      </w:r>
      <w:r>
        <w:rPr>
          <w:rFonts w:hint="cs"/>
          <w:rtl/>
        </w:rPr>
        <w:t xml:space="preserve">" בלשון תנא דבי רבי ישמעאל הוא כינוי רק לחֵלֶק מהזיתים שבעץ. כך כותבים שנים מן האחרונים, אך כל אחד מכִווּן שונה: </w:t>
      </w:r>
    </w:p>
    <w:p w14:paraId="59FEF9A1" w14:textId="77777777" w:rsidR="000015C4" w:rsidRDefault="000015C4" w:rsidP="000015C4">
      <w:pPr>
        <w:ind w:firstLine="284"/>
        <w:rPr>
          <w:rFonts w:hint="cs"/>
          <w:sz w:val="26"/>
          <w:rtl/>
        </w:rPr>
      </w:pPr>
      <w:r>
        <w:rPr>
          <w:rFonts w:hint="cs"/>
          <w:sz w:val="26"/>
          <w:rtl/>
        </w:rPr>
        <w:t>מלמעלה: ר' יעקב צבי מֶקלנבורג, בעל הכתב והקבלה (</w:t>
      </w:r>
      <w:r>
        <w:rPr>
          <w:rFonts w:hint="cs"/>
          <w:sz w:val="18"/>
          <w:szCs w:val="20"/>
          <w:rtl/>
        </w:rPr>
        <w:t>נפטר בשנת ה'תרכ"ה; 1865 למניינם</w:t>
      </w:r>
      <w:r>
        <w:rPr>
          <w:rFonts w:hint="cs"/>
          <w:sz w:val="26"/>
          <w:rtl/>
        </w:rPr>
        <w:t>):</w:t>
      </w:r>
    </w:p>
    <w:p w14:paraId="25BB7B9E" w14:textId="77777777" w:rsidR="000015C4" w:rsidRDefault="000015C4" w:rsidP="000015C4">
      <w:pPr>
        <w:ind w:left="720" w:firstLine="284"/>
        <w:rPr>
          <w:rFonts w:hint="cs"/>
          <w:sz w:val="26"/>
          <w:rtl/>
        </w:rPr>
      </w:pPr>
      <w:r>
        <w:rPr>
          <w:rFonts w:hint="cs"/>
          <w:sz w:val="26"/>
          <w:rtl/>
        </w:rPr>
        <w:t xml:space="preserve">"ויראה כי </w:t>
      </w:r>
      <w:r>
        <w:rPr>
          <w:rFonts w:hint="cs"/>
          <w:b/>
          <w:bCs/>
          <w:sz w:val="26"/>
          <w:rtl/>
        </w:rPr>
        <w:t>ראש האילן</w:t>
      </w:r>
      <w:r>
        <w:rPr>
          <w:rFonts w:hint="cs"/>
          <w:sz w:val="26"/>
          <w:rtl/>
        </w:rPr>
        <w:t xml:space="preserve"> עם הענפים שסביביו ועוטרים עליו הם פאר האילן ועטרת תפארתו, [והזיתים] </w:t>
      </w:r>
      <w:r>
        <w:rPr>
          <w:rFonts w:hint="cs"/>
          <w:sz w:val="18"/>
          <w:szCs w:val="20"/>
          <w:rtl/>
        </w:rPr>
        <w:t>(והענפים)</w:t>
      </w:r>
      <w:r>
        <w:rPr>
          <w:rStyle w:val="a4"/>
          <w:rtl/>
        </w:rPr>
        <w:footnoteReference w:id="318"/>
      </w:r>
      <w:r>
        <w:rPr>
          <w:rFonts w:hint="cs"/>
          <w:sz w:val="26"/>
          <w:rtl/>
        </w:rPr>
        <w:t xml:space="preserve"> שבראש הזית לא נשרו ע"י חבטת האילן והם היותר מובחרים וטובים שנתבשלו היטב מחום השמש". </w:t>
      </w:r>
    </w:p>
    <w:p w14:paraId="248225FB" w14:textId="77777777" w:rsidR="000015C4" w:rsidRDefault="000015C4" w:rsidP="000015C4">
      <w:pPr>
        <w:pStyle w:val="21"/>
        <w:rPr>
          <w:rFonts w:hint="cs"/>
          <w:rtl/>
        </w:rPr>
      </w:pPr>
      <w:r>
        <w:rPr>
          <w:rFonts w:hint="cs"/>
          <w:rtl/>
        </w:rPr>
        <w:t>מלמטה: ר' מאיר שמחה הכהן מדווינסק, בעל משך חכמה (</w:t>
      </w:r>
      <w:r>
        <w:rPr>
          <w:rFonts w:hint="cs"/>
          <w:sz w:val="18"/>
          <w:szCs w:val="20"/>
          <w:rtl/>
        </w:rPr>
        <w:t>נפטר בשנת ה'תרפ"ו; 1926 למניינם</w:t>
      </w:r>
      <w:r>
        <w:rPr>
          <w:rFonts w:hint="cs"/>
          <w:rtl/>
        </w:rPr>
        <w:t>):</w:t>
      </w:r>
    </w:p>
    <w:p w14:paraId="2FF7CFE6" w14:textId="77777777" w:rsidR="000015C4" w:rsidRDefault="000015C4" w:rsidP="000015C4">
      <w:pPr>
        <w:pStyle w:val="21"/>
        <w:ind w:left="720"/>
        <w:rPr>
          <w:rFonts w:hint="cs"/>
          <w:rtl/>
        </w:rPr>
      </w:pPr>
      <w:r>
        <w:rPr>
          <w:rFonts w:hint="cs"/>
          <w:rtl/>
        </w:rPr>
        <w:t xml:space="preserve">"...פירושו לא תלקט הפארות. אך בלשון פארות המה הענפים הארוכים, כמו שאמר </w:t>
      </w:r>
      <w:r>
        <w:rPr>
          <w:rtl/>
        </w:rPr>
        <w:t>יחז</w:t>
      </w:r>
      <w:r>
        <w:rPr>
          <w:rFonts w:hint="cs"/>
          <w:rtl/>
        </w:rPr>
        <w:t>קאל</w:t>
      </w:r>
      <w:r>
        <w:rPr>
          <w:rtl/>
        </w:rPr>
        <w:t xml:space="preserve"> יז</w:t>
      </w:r>
      <w:r>
        <w:rPr>
          <w:sz w:val="18"/>
          <w:szCs w:val="20"/>
          <w:rtl/>
        </w:rPr>
        <w:t>, ו</w:t>
      </w:r>
      <w:r>
        <w:rPr>
          <w:rFonts w:hint="cs"/>
          <w:rtl/>
        </w:rPr>
        <w:t>: '</w:t>
      </w:r>
      <w:r>
        <w:rPr>
          <w:rtl/>
        </w:rPr>
        <w:t>וַתְּשַׁלַּח פֹּארוֹת</w:t>
      </w:r>
      <w:r>
        <w:rPr>
          <w:rFonts w:hint="cs"/>
          <w:rtl/>
        </w:rPr>
        <w:t>' וב[</w:t>
      </w:r>
      <w:r>
        <w:rPr>
          <w:rtl/>
        </w:rPr>
        <w:t>פרק</w:t>
      </w:r>
      <w:r>
        <w:rPr>
          <w:rFonts w:hint="cs"/>
          <w:rtl/>
        </w:rPr>
        <w:t>]</w:t>
      </w:r>
      <w:r>
        <w:rPr>
          <w:rtl/>
        </w:rPr>
        <w:t xml:space="preserve"> לא</w:t>
      </w:r>
      <w:r>
        <w:rPr>
          <w:rFonts w:hint="cs"/>
          <w:szCs w:val="20"/>
          <w:rtl/>
        </w:rPr>
        <w:t xml:space="preserve">, </w:t>
      </w:r>
      <w:r>
        <w:rPr>
          <w:sz w:val="18"/>
          <w:szCs w:val="20"/>
          <w:rtl/>
        </w:rPr>
        <w:t>ה</w:t>
      </w:r>
      <w:r>
        <w:rPr>
          <w:rFonts w:hint="cs"/>
          <w:sz w:val="18"/>
          <w:szCs w:val="20"/>
          <w:rtl/>
        </w:rPr>
        <w:t>:</w:t>
      </w:r>
      <w:r>
        <w:rPr>
          <w:sz w:val="18"/>
          <w:szCs w:val="20"/>
          <w:rtl/>
        </w:rPr>
        <w:t xml:space="preserve"> </w:t>
      </w:r>
      <w:r>
        <w:rPr>
          <w:rFonts w:hint="cs"/>
          <w:rtl/>
        </w:rPr>
        <w:t>'</w:t>
      </w:r>
      <w:r>
        <w:rPr>
          <w:rtl/>
        </w:rPr>
        <w:t>וַתֶּאֱרַכְנָה פֹאר</w:t>
      </w:r>
      <w:r>
        <w:rPr>
          <w:rFonts w:hint="cs"/>
          <w:rtl/>
        </w:rPr>
        <w:t>ו</w:t>
      </w:r>
      <w:r>
        <w:rPr>
          <w:rtl/>
        </w:rPr>
        <w:t>ֹתָיו</w:t>
      </w:r>
      <w:r>
        <w:rPr>
          <w:rFonts w:hint="cs"/>
          <w:rtl/>
        </w:rPr>
        <w:t>'</w:t>
      </w:r>
      <w:r>
        <w:rPr>
          <w:rStyle w:val="a4"/>
          <w:rtl/>
        </w:rPr>
        <w:footnoteReference w:id="319"/>
      </w:r>
      <w:r>
        <w:rPr>
          <w:rFonts w:hint="cs"/>
          <w:rtl/>
        </w:rPr>
        <w:t>, אך אם כן המצוה שלא ילקט הענפים הארוכים, וזה לא יתכן כלל, דאם כן כל הזית הוא לעניים! לכן פירשו כי הכוונה שלא יגמור ללקט... שיניח ענפים שלא יחבוט אותם...</w:t>
      </w:r>
      <w:r>
        <w:rPr>
          <w:rtl/>
        </w:rPr>
        <w:t xml:space="preserve"> שלא תטול תפארתו </w:t>
      </w:r>
      <w:r>
        <w:rPr>
          <w:rFonts w:hint="cs"/>
          <w:rtl/>
        </w:rPr>
        <w:t>מ</w:t>
      </w:r>
      <w:r>
        <w:rPr>
          <w:rtl/>
        </w:rPr>
        <w:t>מנו</w:t>
      </w:r>
      <w:r>
        <w:rPr>
          <w:rFonts w:hint="cs"/>
          <w:rtl/>
        </w:rPr>
        <w:t xml:space="preserve"> לגמרי... </w:t>
      </w:r>
      <w:r>
        <w:rPr>
          <w:rFonts w:hint="cs"/>
          <w:b/>
          <w:bCs/>
          <w:rtl/>
        </w:rPr>
        <w:t>ויתכן</w:t>
      </w:r>
      <w:r>
        <w:rPr>
          <w:rFonts w:hint="cs"/>
          <w:rtl/>
        </w:rPr>
        <w:t xml:space="preserve"> כי הפארות הארוכים דרכם להיות בסוף האילן </w:t>
      </w:r>
      <w:r>
        <w:rPr>
          <w:rFonts w:hint="cs"/>
          <w:rtl/>
        </w:rPr>
        <w:lastRenderedPageBreak/>
        <w:t>למטה, לכן אמר: '</w:t>
      </w:r>
      <w:r>
        <w:rPr>
          <w:rtl/>
        </w:rPr>
        <w:t xml:space="preserve">בִּסְעַפֹּתָיו קִנְנוּ </w:t>
      </w:r>
      <w:r>
        <w:rPr>
          <w:rFonts w:hint="cs"/>
          <w:rtl/>
        </w:rPr>
        <w:t>[</w:t>
      </w:r>
      <w:r>
        <w:rPr>
          <w:rtl/>
        </w:rPr>
        <w:t>כָּל עוֹף הַשָּׁמַיִם</w:t>
      </w:r>
      <w:r>
        <w:rPr>
          <w:rFonts w:hint="cs"/>
          <w:rtl/>
        </w:rPr>
        <w:t>]</w:t>
      </w:r>
      <w:r>
        <w:rPr>
          <w:rtl/>
        </w:rPr>
        <w:t xml:space="preserve"> וְתַחַת פֹּאר</w:t>
      </w:r>
      <w:r>
        <w:rPr>
          <w:rFonts w:hint="cs"/>
          <w:rtl/>
        </w:rPr>
        <w:t>ו</w:t>
      </w:r>
      <w:r>
        <w:rPr>
          <w:rtl/>
        </w:rPr>
        <w:t>ֹתָיו יָלְדוּ כֹּל חַיַּת הַשָּׂדֶה</w:t>
      </w:r>
      <w:r>
        <w:rPr>
          <w:rFonts w:hint="cs"/>
          <w:rtl/>
        </w:rPr>
        <w:t>' (</w:t>
      </w:r>
      <w:r>
        <w:rPr>
          <w:sz w:val="18"/>
          <w:szCs w:val="20"/>
          <w:rtl/>
        </w:rPr>
        <w:t>יחזקאל לא</w:t>
      </w:r>
      <w:r>
        <w:rPr>
          <w:rFonts w:hint="cs"/>
          <w:sz w:val="18"/>
          <w:szCs w:val="20"/>
          <w:rtl/>
        </w:rPr>
        <w:t xml:space="preserve">, </w:t>
      </w:r>
      <w:r>
        <w:rPr>
          <w:sz w:val="18"/>
          <w:szCs w:val="20"/>
          <w:rtl/>
        </w:rPr>
        <w:t>ו</w:t>
      </w:r>
      <w:r>
        <w:rPr>
          <w:rFonts w:hint="cs"/>
          <w:rtl/>
        </w:rPr>
        <w:t xml:space="preserve">). לכן צִוְּתה התורה להניח לעני </w:t>
      </w:r>
      <w:r>
        <w:rPr>
          <w:rFonts w:hint="cs"/>
          <w:b/>
          <w:bCs/>
          <w:rtl/>
        </w:rPr>
        <w:t>למטה באילן</w:t>
      </w:r>
      <w:r>
        <w:rPr>
          <w:rFonts w:hint="cs"/>
          <w:rtl/>
        </w:rPr>
        <w:t xml:space="preserve"> כדי שלא יהא לו טורח לעלות...".</w:t>
      </w:r>
    </w:p>
    <w:p w14:paraId="50EF697E" w14:textId="77777777" w:rsidR="000015C4" w:rsidRDefault="000015C4" w:rsidP="000015C4">
      <w:pPr>
        <w:ind w:firstLine="284"/>
        <w:rPr>
          <w:rFonts w:hint="cs"/>
          <w:rtl/>
        </w:rPr>
      </w:pPr>
      <w:r>
        <w:rPr>
          <w:rFonts w:hint="cs"/>
          <w:rtl/>
        </w:rPr>
        <w:t>לעומת הדרשה הנ"ל בבבלי (</w:t>
      </w:r>
      <w:r>
        <w:rPr>
          <w:rFonts w:hint="cs"/>
          <w:sz w:val="18"/>
          <w:szCs w:val="20"/>
          <w:rtl/>
        </w:rPr>
        <w:t>ובמדרש התנאים</w:t>
      </w:r>
      <w:r>
        <w:rPr>
          <w:rFonts w:hint="cs"/>
          <w:rtl/>
        </w:rPr>
        <w:t>) אשר תלתה את החיוב להשאיר מראש פאה במִלה "</w:t>
      </w:r>
      <w:r>
        <w:rPr>
          <w:rtl/>
        </w:rPr>
        <w:t>תְפַאֵר</w:t>
      </w:r>
      <w:r>
        <w:rPr>
          <w:rFonts w:hint="cs"/>
          <w:rtl/>
        </w:rPr>
        <w:t xml:space="preserve">" - </w:t>
      </w:r>
      <w:r>
        <w:rPr>
          <w:rtl/>
        </w:rPr>
        <w:t xml:space="preserve">"שלא תטול תפארתו </w:t>
      </w:r>
      <w:r>
        <w:rPr>
          <w:rFonts w:hint="cs"/>
          <w:rtl/>
        </w:rPr>
        <w:t>מ</w:t>
      </w:r>
      <w:r>
        <w:rPr>
          <w:rtl/>
        </w:rPr>
        <w:t>מנו</w:t>
      </w:r>
      <w:r>
        <w:rPr>
          <w:rFonts w:hint="cs"/>
          <w:rtl/>
        </w:rPr>
        <w:t>", מצאנו שתי דרשות נוספות:</w:t>
      </w:r>
    </w:p>
    <w:p w14:paraId="0BAEF6CB" w14:textId="77777777" w:rsidR="000015C4" w:rsidRDefault="000015C4" w:rsidP="000015C4">
      <w:pPr>
        <w:ind w:firstLine="284"/>
        <w:rPr>
          <w:rFonts w:hint="cs"/>
          <w:rtl/>
        </w:rPr>
      </w:pPr>
      <w:r>
        <w:rPr>
          <w:rFonts w:hint="cs"/>
          <w:rtl/>
        </w:rPr>
        <w:t>גם ב</w:t>
      </w:r>
      <w:r>
        <w:rPr>
          <w:rtl/>
        </w:rPr>
        <w:t xml:space="preserve">תלמוד </w:t>
      </w:r>
      <w:r>
        <w:rPr>
          <w:rFonts w:hint="cs"/>
          <w:rtl/>
        </w:rPr>
        <w:t>ה</w:t>
      </w:r>
      <w:r>
        <w:rPr>
          <w:rtl/>
        </w:rPr>
        <w:t xml:space="preserve">ירושלמי </w:t>
      </w:r>
      <w:r>
        <w:rPr>
          <w:rFonts w:hint="cs"/>
          <w:rtl/>
        </w:rPr>
        <w:t>(</w:t>
      </w:r>
      <w:r>
        <w:rPr>
          <w:sz w:val="18"/>
          <w:szCs w:val="20"/>
          <w:rtl/>
        </w:rPr>
        <w:t>פיאה פ</w:t>
      </w:r>
      <w:r>
        <w:rPr>
          <w:rFonts w:hint="cs"/>
          <w:sz w:val="18"/>
          <w:szCs w:val="20"/>
          <w:rtl/>
        </w:rPr>
        <w:t>"</w:t>
      </w:r>
      <w:r>
        <w:rPr>
          <w:sz w:val="18"/>
          <w:szCs w:val="20"/>
          <w:rtl/>
        </w:rPr>
        <w:t xml:space="preserve">א </w:t>
      </w:r>
      <w:r>
        <w:rPr>
          <w:rFonts w:hint="cs"/>
          <w:sz w:val="18"/>
          <w:szCs w:val="20"/>
          <w:rtl/>
        </w:rPr>
        <w:t xml:space="preserve">ריש </w:t>
      </w:r>
      <w:r>
        <w:rPr>
          <w:sz w:val="18"/>
          <w:szCs w:val="20"/>
          <w:rtl/>
        </w:rPr>
        <w:t>ה"ד</w:t>
      </w:r>
      <w:r>
        <w:rPr>
          <w:rFonts w:hint="cs"/>
          <w:rtl/>
        </w:rPr>
        <w:t>) דרשו ש</w:t>
      </w:r>
      <w:r>
        <w:rPr>
          <w:rtl/>
        </w:rPr>
        <w:t>אילנות</w:t>
      </w:r>
      <w:r>
        <w:rPr>
          <w:rFonts w:hint="cs"/>
          <w:rtl/>
        </w:rPr>
        <w:t xml:space="preserve"> חייבים בפאה מהמִלה "</w:t>
      </w:r>
      <w:r>
        <w:rPr>
          <w:rtl/>
        </w:rPr>
        <w:t>תְפַאֵר</w:t>
      </w:r>
      <w:r>
        <w:rPr>
          <w:rFonts w:hint="cs"/>
          <w:rtl/>
        </w:rPr>
        <w:t xml:space="preserve">", אך באופן אחר. להלן דברי הירושלמי ובהם משולבים ביאורי הגר"א </w:t>
      </w:r>
      <w:r>
        <w:rPr>
          <w:rFonts w:hint="cs"/>
          <w:b/>
          <w:bCs/>
          <w:rtl/>
        </w:rPr>
        <w:t>באות מודגשת</w:t>
      </w:r>
      <w:r>
        <w:rPr>
          <w:rFonts w:hint="cs"/>
          <w:sz w:val="18"/>
          <w:szCs w:val="20"/>
          <w:rtl/>
        </w:rPr>
        <w:t xml:space="preserve"> </w:t>
      </w:r>
      <w:r>
        <w:rPr>
          <w:rFonts w:hint="cs"/>
          <w:sz w:val="26"/>
          <w:rtl/>
        </w:rPr>
        <w:t>(</w:t>
      </w:r>
      <w:r>
        <w:rPr>
          <w:rFonts w:hint="cs"/>
          <w:sz w:val="18"/>
          <w:szCs w:val="20"/>
          <w:rtl/>
        </w:rPr>
        <w:t>לפי כתב יד א' המודפס בסוף הירושלמי</w:t>
      </w:r>
      <w:r>
        <w:rPr>
          <w:rFonts w:hint="cs"/>
          <w:rtl/>
        </w:rPr>
        <w:t xml:space="preserve">): </w:t>
      </w:r>
    </w:p>
    <w:p w14:paraId="523E926D" w14:textId="77777777" w:rsidR="000015C4" w:rsidRDefault="000015C4" w:rsidP="000015C4">
      <w:pPr>
        <w:ind w:left="720" w:firstLine="284"/>
        <w:rPr>
          <w:rFonts w:hint="cs"/>
          <w:rtl/>
        </w:rPr>
      </w:pPr>
      <w:r>
        <w:rPr>
          <w:rFonts w:hint="cs"/>
          <w:rtl/>
        </w:rPr>
        <w:t>"</w:t>
      </w:r>
      <w:r>
        <w:rPr>
          <w:rtl/>
        </w:rPr>
        <w:t>ואית דבעי נישמעינה מן הכא</w:t>
      </w:r>
      <w:r>
        <w:rPr>
          <w:rFonts w:hint="cs"/>
          <w:rtl/>
        </w:rPr>
        <w:t>:</w:t>
      </w:r>
      <w:r>
        <w:rPr>
          <w:rtl/>
        </w:rPr>
        <w:t xml:space="preserve"> כִּי תִבְצֹר כַּרְמְךָ</w:t>
      </w:r>
      <w:r>
        <w:rPr>
          <w:rFonts w:hint="cs"/>
          <w:rtl/>
        </w:rPr>
        <w:t xml:space="preserve"> [</w:t>
      </w:r>
      <w:r>
        <w:rPr>
          <w:sz w:val="18"/>
          <w:szCs w:val="20"/>
          <w:rtl/>
        </w:rPr>
        <w:t>לֹא תְעוֹלֵל אַחֲרֶיךָ</w:t>
      </w:r>
      <w:r>
        <w:rPr>
          <w:rFonts w:hint="cs"/>
          <w:rtl/>
        </w:rPr>
        <w:t xml:space="preserve">], </w:t>
      </w:r>
      <w:r>
        <w:rPr>
          <w:rFonts w:hint="cs"/>
          <w:b/>
          <w:bCs/>
          <w:rtl/>
        </w:rPr>
        <w:t>והיינו חיוב פאה בכרם. ומקשי:</w:t>
      </w:r>
      <w:r>
        <w:rPr>
          <w:b/>
          <w:bCs/>
          <w:rtl/>
        </w:rPr>
        <w:t xml:space="preserve"> </w:t>
      </w:r>
      <w:r>
        <w:rPr>
          <w:rtl/>
        </w:rPr>
        <w:t>מה את שמע מינה</w:t>
      </w:r>
      <w:r>
        <w:rPr>
          <w:rFonts w:hint="cs"/>
          <w:rtl/>
        </w:rPr>
        <w:t xml:space="preserve"> </w:t>
      </w:r>
      <w:r>
        <w:rPr>
          <w:rFonts w:hint="cs"/>
          <w:b/>
          <w:bCs/>
          <w:rtl/>
        </w:rPr>
        <w:t>שאיירי בחיוב פאה</w:t>
      </w:r>
      <w:r>
        <w:rPr>
          <w:rFonts w:hint="cs"/>
          <w:rtl/>
        </w:rPr>
        <w:t xml:space="preserve">? </w:t>
      </w:r>
      <w:r>
        <w:rPr>
          <w:rFonts w:hint="cs"/>
          <w:b/>
          <w:bCs/>
          <w:rtl/>
        </w:rPr>
        <w:t>ומפרש:</w:t>
      </w:r>
      <w:r>
        <w:rPr>
          <w:rtl/>
        </w:rPr>
        <w:t xml:space="preserve"> אמר רבי יונה</w:t>
      </w:r>
      <w:r>
        <w:rPr>
          <w:rFonts w:hint="cs"/>
          <w:rtl/>
        </w:rPr>
        <w:t>:</w:t>
      </w:r>
      <w:r>
        <w:rPr>
          <w:rtl/>
        </w:rPr>
        <w:t xml:space="preserve"> </w:t>
      </w:r>
      <w:r>
        <w:rPr>
          <w:rFonts w:hint="cs"/>
          <w:rtl/>
        </w:rPr>
        <w:t>[</w:t>
      </w:r>
      <w:r>
        <w:rPr>
          <w:sz w:val="18"/>
          <w:szCs w:val="20"/>
          <w:rtl/>
        </w:rPr>
        <w:t xml:space="preserve">כִּי תִבְצֹר כַּרְמְךָ </w:t>
      </w:r>
      <w:r>
        <w:rPr>
          <w:b/>
          <w:bCs/>
          <w:rtl/>
        </w:rPr>
        <w:t>לֹא תְעוֹלֵל אַחֲרֶיךָ</w:t>
      </w:r>
      <w:r>
        <w:rPr>
          <w:rFonts w:hint="cs"/>
          <w:rtl/>
        </w:rPr>
        <w:t xml:space="preserve">] - </w:t>
      </w:r>
      <w:r>
        <w:rPr>
          <w:rFonts w:hint="cs"/>
          <w:b/>
          <w:bCs/>
          <w:rtl/>
        </w:rPr>
        <w:t>כמה דתימא:</w:t>
      </w:r>
      <w:r>
        <w:rPr>
          <w:rtl/>
        </w:rPr>
        <w:t xml:space="preserve"> לא תדקדק</w:t>
      </w:r>
      <w:r>
        <w:rPr>
          <w:rFonts w:hint="cs"/>
          <w:rtl/>
        </w:rPr>
        <w:t>,</w:t>
      </w:r>
      <w:r>
        <w:rPr>
          <w:rFonts w:hint="cs"/>
          <w:b/>
          <w:bCs/>
          <w:rtl/>
        </w:rPr>
        <w:t xml:space="preserve"> והיינו שלא יטול הכל אלא צריך להניח פאה בסוף שדהו, </w:t>
      </w:r>
      <w:r>
        <w:rPr>
          <w:rtl/>
        </w:rPr>
        <w:t>כמה דתימר</w:t>
      </w:r>
      <w:r>
        <w:rPr>
          <w:rFonts w:hint="cs"/>
          <w:rtl/>
        </w:rPr>
        <w:t>:</w:t>
      </w:r>
      <w:r>
        <w:rPr>
          <w:rtl/>
        </w:rPr>
        <w:t xml:space="preserve"> וְעוֹלֵל לָמוֹ</w:t>
      </w:r>
      <w:r>
        <w:rPr>
          <w:rFonts w:hint="cs"/>
          <w:rtl/>
        </w:rPr>
        <w:t xml:space="preserve"> (</w:t>
      </w:r>
      <w:r>
        <w:rPr>
          <w:sz w:val="18"/>
          <w:szCs w:val="20"/>
          <w:rtl/>
        </w:rPr>
        <w:t>איכה א</w:t>
      </w:r>
      <w:r>
        <w:rPr>
          <w:rFonts w:hint="cs"/>
          <w:sz w:val="18"/>
          <w:szCs w:val="20"/>
          <w:rtl/>
        </w:rPr>
        <w:t xml:space="preserve">, </w:t>
      </w:r>
      <w:r>
        <w:rPr>
          <w:sz w:val="18"/>
          <w:szCs w:val="20"/>
          <w:rtl/>
        </w:rPr>
        <w:t>כב</w:t>
      </w:r>
      <w:r>
        <w:rPr>
          <w:rFonts w:hint="cs"/>
          <w:rtl/>
        </w:rPr>
        <w:t xml:space="preserve">), </w:t>
      </w:r>
      <w:r>
        <w:rPr>
          <w:rFonts w:hint="cs"/>
          <w:b/>
          <w:bCs/>
          <w:rtl/>
        </w:rPr>
        <w:t>פירוש: דמייתי ראיה ש'</w:t>
      </w:r>
      <w:r>
        <w:rPr>
          <w:b/>
          <w:bCs/>
          <w:rtl/>
        </w:rPr>
        <w:t>עוֹלֵל</w:t>
      </w:r>
      <w:r>
        <w:rPr>
          <w:rFonts w:hint="cs"/>
          <w:b/>
          <w:bCs/>
          <w:rtl/>
        </w:rPr>
        <w:t>' הוא מלשון דקדוק</w:t>
      </w:r>
      <w:r>
        <w:rPr>
          <w:rStyle w:val="a4"/>
          <w:rtl/>
        </w:rPr>
        <w:footnoteReference w:id="320"/>
      </w:r>
      <w:r>
        <w:rPr>
          <w:rFonts w:hint="cs"/>
          <w:rtl/>
        </w:rPr>
        <w:t>.</w:t>
      </w:r>
      <w:r>
        <w:rPr>
          <w:rtl/>
        </w:rPr>
        <w:t xml:space="preserve"> </w:t>
      </w:r>
    </w:p>
    <w:p w14:paraId="458440C8" w14:textId="77777777" w:rsidR="000015C4" w:rsidRDefault="000015C4" w:rsidP="000015C4">
      <w:pPr>
        <w:ind w:left="720" w:firstLine="284"/>
        <w:rPr>
          <w:rFonts w:hint="cs"/>
          <w:rtl/>
        </w:rPr>
      </w:pPr>
      <w:r>
        <w:rPr>
          <w:rtl/>
        </w:rPr>
        <w:lastRenderedPageBreak/>
        <w:t>כִּי תַחְבּ</w:t>
      </w:r>
      <w:r>
        <w:rPr>
          <w:rFonts w:hint="cs"/>
          <w:rtl/>
        </w:rPr>
        <w:t>ו</w:t>
      </w:r>
      <w:r>
        <w:rPr>
          <w:rtl/>
        </w:rPr>
        <w:t xml:space="preserve">ֹט זֵיתְךָ </w:t>
      </w:r>
      <w:r>
        <w:rPr>
          <w:rFonts w:hint="cs"/>
          <w:rtl/>
        </w:rPr>
        <w:t>[</w:t>
      </w:r>
      <w:r>
        <w:rPr>
          <w:sz w:val="18"/>
          <w:szCs w:val="20"/>
          <w:rtl/>
        </w:rPr>
        <w:t>לֹא תְפַאֵר אַחֲרֶיךָ</w:t>
      </w:r>
      <w:r>
        <w:rPr>
          <w:rFonts w:hint="cs"/>
          <w:rtl/>
        </w:rPr>
        <w:t xml:space="preserve">], </w:t>
      </w:r>
      <w:r>
        <w:rPr>
          <w:rFonts w:hint="cs"/>
          <w:b/>
          <w:bCs/>
          <w:rtl/>
        </w:rPr>
        <w:t xml:space="preserve">פירוש: והיינו חיוב פאה. ומקשי: </w:t>
      </w:r>
      <w:r>
        <w:rPr>
          <w:rtl/>
        </w:rPr>
        <w:t>מה את שמע מינה</w:t>
      </w:r>
      <w:r>
        <w:rPr>
          <w:rFonts w:hint="cs"/>
          <w:rtl/>
        </w:rPr>
        <w:t>?</w:t>
      </w:r>
      <w:r>
        <w:rPr>
          <w:rtl/>
        </w:rPr>
        <w:t xml:space="preserve"> </w:t>
      </w:r>
      <w:r>
        <w:rPr>
          <w:rFonts w:hint="cs"/>
          <w:b/>
          <w:bCs/>
          <w:rtl/>
        </w:rPr>
        <w:t>פירוש: דאיירי בחיוב פאה</w:t>
      </w:r>
      <w:r>
        <w:rPr>
          <w:rFonts w:hint="cs"/>
          <w:rtl/>
        </w:rPr>
        <w:t xml:space="preserve">? </w:t>
      </w:r>
      <w:r>
        <w:rPr>
          <w:rFonts w:hint="cs"/>
          <w:b/>
          <w:bCs/>
          <w:rtl/>
        </w:rPr>
        <w:t>ומפרש:</w:t>
      </w:r>
      <w:r>
        <w:rPr>
          <w:rtl/>
        </w:rPr>
        <w:t xml:space="preserve"> אמר רבי יונה</w:t>
      </w:r>
      <w:r>
        <w:rPr>
          <w:rFonts w:hint="cs"/>
          <w:rtl/>
        </w:rPr>
        <w:t>:</w:t>
      </w:r>
      <w:r>
        <w:rPr>
          <w:rtl/>
        </w:rPr>
        <w:t xml:space="preserve"> </w:t>
      </w:r>
      <w:r>
        <w:rPr>
          <w:rFonts w:hint="cs"/>
          <w:rtl/>
        </w:rPr>
        <w:t>[</w:t>
      </w:r>
      <w:r>
        <w:rPr>
          <w:b/>
          <w:bCs/>
          <w:sz w:val="26"/>
          <w:rtl/>
        </w:rPr>
        <w:t>לֹא תְפַאֵר אַחֲרֶיךָ</w:t>
      </w:r>
      <w:r>
        <w:rPr>
          <w:rFonts w:hint="cs"/>
          <w:rtl/>
        </w:rPr>
        <w:t xml:space="preserve">] - </w:t>
      </w:r>
      <w:r>
        <w:rPr>
          <w:rFonts w:hint="cs"/>
          <w:b/>
          <w:bCs/>
          <w:rtl/>
        </w:rPr>
        <w:t xml:space="preserve">פירוש: והיינו חיוב פאה, </w:t>
      </w:r>
      <w:r>
        <w:rPr>
          <w:b/>
          <w:bCs/>
          <w:rtl/>
        </w:rPr>
        <w:t>כמה דתימר</w:t>
      </w:r>
      <w:r>
        <w:rPr>
          <w:rFonts w:hint="cs"/>
          <w:b/>
          <w:bCs/>
          <w:rtl/>
        </w:rPr>
        <w:t>:</w:t>
      </w:r>
      <w:r>
        <w:rPr>
          <w:rtl/>
        </w:rPr>
        <w:t xml:space="preserve"> לֹא תַקִּ</w:t>
      </w:r>
      <w:r>
        <w:rPr>
          <w:rFonts w:hint="cs"/>
          <w:rtl/>
        </w:rPr>
        <w:t>י</w:t>
      </w:r>
      <w:r>
        <w:rPr>
          <w:rtl/>
        </w:rPr>
        <w:t>פוּ פְּאַת רֹאשְׁכֶם</w:t>
      </w:r>
      <w:r>
        <w:rPr>
          <w:rFonts w:hint="cs"/>
          <w:rtl/>
        </w:rPr>
        <w:t xml:space="preserve"> (</w:t>
      </w:r>
      <w:r>
        <w:rPr>
          <w:sz w:val="18"/>
          <w:szCs w:val="20"/>
          <w:rtl/>
        </w:rPr>
        <w:t>ויקרא יט</w:t>
      </w:r>
      <w:r>
        <w:rPr>
          <w:rFonts w:hint="cs"/>
          <w:sz w:val="18"/>
          <w:szCs w:val="20"/>
          <w:rtl/>
        </w:rPr>
        <w:t xml:space="preserve">, </w:t>
      </w:r>
      <w:r>
        <w:rPr>
          <w:sz w:val="18"/>
          <w:szCs w:val="20"/>
          <w:rtl/>
        </w:rPr>
        <w:t>כז</w:t>
      </w:r>
      <w:r>
        <w:rPr>
          <w:rFonts w:hint="cs"/>
          <w:rtl/>
        </w:rPr>
        <w:t xml:space="preserve">), </w:t>
      </w:r>
      <w:r>
        <w:rPr>
          <w:rFonts w:hint="cs"/>
          <w:b/>
          <w:bCs/>
          <w:rtl/>
        </w:rPr>
        <w:t>פירוש: דהיינו שצריך להניח פאה בסוף ולא להשחית, ודייק מלשון נוטריקון ד'</w:t>
      </w:r>
      <w:r>
        <w:rPr>
          <w:b/>
          <w:bCs/>
          <w:sz w:val="26"/>
          <w:rtl/>
        </w:rPr>
        <w:t>תְפַאֵר</w:t>
      </w:r>
      <w:r>
        <w:rPr>
          <w:rFonts w:hint="cs"/>
          <w:b/>
          <w:bCs/>
          <w:sz w:val="26"/>
          <w:rtl/>
        </w:rPr>
        <w:t>' היינו ראשי תיבות ד</w:t>
      </w:r>
      <w:r>
        <w:rPr>
          <w:b/>
          <w:bCs/>
          <w:u w:val="single"/>
          <w:rtl/>
        </w:rPr>
        <w:t>ת</w:t>
      </w:r>
      <w:r>
        <w:rPr>
          <w:b/>
          <w:bCs/>
          <w:rtl/>
        </w:rPr>
        <w:t xml:space="preserve">קיפו </w:t>
      </w:r>
      <w:r>
        <w:rPr>
          <w:b/>
          <w:bCs/>
          <w:u w:val="single"/>
          <w:rtl/>
        </w:rPr>
        <w:t>פא</w:t>
      </w:r>
      <w:r>
        <w:rPr>
          <w:b/>
          <w:bCs/>
          <w:rtl/>
        </w:rPr>
        <w:t xml:space="preserve">ת </w:t>
      </w:r>
      <w:r>
        <w:rPr>
          <w:b/>
          <w:bCs/>
          <w:u w:val="single"/>
          <w:rtl/>
        </w:rPr>
        <w:t>ר</w:t>
      </w:r>
      <w:r>
        <w:rPr>
          <w:b/>
          <w:bCs/>
          <w:rtl/>
        </w:rPr>
        <w:t>אשכם</w:t>
      </w:r>
      <w:r>
        <w:rPr>
          <w:rFonts w:hint="cs"/>
          <w:rtl/>
        </w:rPr>
        <w:t>".</w:t>
      </w:r>
    </w:p>
    <w:p w14:paraId="7DB602AF" w14:textId="77777777" w:rsidR="000015C4" w:rsidRDefault="000015C4" w:rsidP="000015C4">
      <w:pPr>
        <w:ind w:firstLine="284"/>
        <w:rPr>
          <w:rFonts w:hint="cs"/>
          <w:rtl/>
        </w:rPr>
      </w:pPr>
      <w:r>
        <w:rPr>
          <w:rtl/>
        </w:rPr>
        <w:t xml:space="preserve">הרמב"ן </w:t>
      </w:r>
      <w:r>
        <w:rPr>
          <w:rFonts w:hint="cs"/>
          <w:rtl/>
        </w:rPr>
        <w:t>(</w:t>
      </w:r>
      <w:r>
        <w:rPr>
          <w:rFonts w:hint="cs"/>
          <w:sz w:val="18"/>
          <w:szCs w:val="20"/>
          <w:rtl/>
        </w:rPr>
        <w:t>ב</w:t>
      </w:r>
      <w:r>
        <w:rPr>
          <w:sz w:val="18"/>
          <w:szCs w:val="20"/>
          <w:rtl/>
        </w:rPr>
        <w:t>השגות</w:t>
      </w:r>
      <w:r>
        <w:rPr>
          <w:rFonts w:hint="cs"/>
          <w:sz w:val="18"/>
          <w:szCs w:val="20"/>
          <w:rtl/>
        </w:rPr>
        <w:t>יו</w:t>
      </w:r>
      <w:r>
        <w:rPr>
          <w:sz w:val="18"/>
          <w:szCs w:val="20"/>
          <w:rtl/>
        </w:rPr>
        <w:t xml:space="preserve"> לספר המצוות</w:t>
      </w:r>
      <w:r>
        <w:rPr>
          <w:rFonts w:hint="cs"/>
          <w:sz w:val="18"/>
          <w:szCs w:val="20"/>
          <w:rtl/>
        </w:rPr>
        <w:t xml:space="preserve">, </w:t>
      </w:r>
      <w:r>
        <w:rPr>
          <w:sz w:val="18"/>
          <w:szCs w:val="20"/>
          <w:rtl/>
        </w:rPr>
        <w:t>הקדמה לפרטי המצוות</w:t>
      </w:r>
      <w:r>
        <w:rPr>
          <w:rFonts w:hint="cs"/>
          <w:sz w:val="18"/>
          <w:szCs w:val="20"/>
          <w:rtl/>
        </w:rPr>
        <w:t>, של רח"ד שעוועל, מהדורת ירושלים תשמ"א, עמ' ק"נ</w:t>
      </w:r>
      <w:r>
        <w:rPr>
          <w:rFonts w:hint="cs"/>
          <w:rtl/>
        </w:rPr>
        <w:t>)</w:t>
      </w:r>
      <w:r>
        <w:rPr>
          <w:rtl/>
        </w:rPr>
        <w:t xml:space="preserve"> פ</w:t>
      </w:r>
      <w:r>
        <w:rPr>
          <w:rFonts w:hint="cs"/>
          <w:rtl/>
        </w:rPr>
        <w:t>ֵרש את הירושלמי אחרת, ללא הזדקקות לנוטריקון:</w:t>
      </w:r>
      <w:r>
        <w:rPr>
          <w:rtl/>
        </w:rPr>
        <w:t xml:space="preserve"> </w:t>
      </w:r>
      <w:r>
        <w:rPr>
          <w:rFonts w:hint="cs"/>
          <w:rtl/>
        </w:rPr>
        <w:t>"</w:t>
      </w:r>
      <w:r>
        <w:rPr>
          <w:rtl/>
        </w:rPr>
        <w:t>ש</w:t>
      </w:r>
      <w:r>
        <w:rPr>
          <w:rFonts w:hint="cs"/>
          <w:rtl/>
        </w:rPr>
        <w:t>ֵ</w:t>
      </w:r>
      <w:r>
        <w:rPr>
          <w:rtl/>
        </w:rPr>
        <w:t xml:space="preserve">ם </w:t>
      </w:r>
      <w:r>
        <w:rPr>
          <w:sz w:val="26"/>
          <w:rtl/>
        </w:rPr>
        <w:t>לֹא תְפַאֵר</w:t>
      </w:r>
      <w:r>
        <w:rPr>
          <w:rFonts w:hint="cs"/>
          <w:rtl/>
        </w:rPr>
        <w:t xml:space="preserve"> -</w:t>
      </w:r>
      <w:r>
        <w:rPr>
          <w:rtl/>
        </w:rPr>
        <w:t xml:space="preserve"> מלשון </w:t>
      </w:r>
      <w:r>
        <w:rPr>
          <w:rFonts w:hint="cs"/>
          <w:rtl/>
        </w:rPr>
        <w:t>'</w:t>
      </w:r>
      <w:r>
        <w:rPr>
          <w:rtl/>
        </w:rPr>
        <w:t>פַּאֲרֵי הַמִּגְבָּע</w:t>
      </w:r>
      <w:r>
        <w:rPr>
          <w:rFonts w:hint="cs"/>
          <w:rtl/>
        </w:rPr>
        <w:t>ו</w:t>
      </w:r>
      <w:r>
        <w:rPr>
          <w:rtl/>
        </w:rPr>
        <w:t>ֹת</w:t>
      </w:r>
      <w:r>
        <w:rPr>
          <w:rFonts w:hint="cs"/>
          <w:rtl/>
        </w:rPr>
        <w:t>'</w:t>
      </w:r>
      <w:r>
        <w:rPr>
          <w:rtl/>
        </w:rPr>
        <w:t xml:space="preserve"> (</w:t>
      </w:r>
      <w:r>
        <w:rPr>
          <w:sz w:val="18"/>
          <w:szCs w:val="20"/>
          <w:rtl/>
        </w:rPr>
        <w:t>שמות לט</w:t>
      </w:r>
      <w:r>
        <w:rPr>
          <w:rFonts w:hint="cs"/>
          <w:sz w:val="18"/>
          <w:szCs w:val="20"/>
          <w:rtl/>
        </w:rPr>
        <w:t xml:space="preserve">, </w:t>
      </w:r>
      <w:r>
        <w:rPr>
          <w:sz w:val="18"/>
          <w:szCs w:val="20"/>
          <w:rtl/>
        </w:rPr>
        <w:t>כח</w:t>
      </w:r>
      <w:r>
        <w:rPr>
          <w:rStyle w:val="a4"/>
          <w:szCs w:val="20"/>
          <w:rtl/>
        </w:rPr>
        <w:footnoteReference w:id="321"/>
      </w:r>
      <w:r>
        <w:rPr>
          <w:rtl/>
        </w:rPr>
        <w:t xml:space="preserve">) שהוא </w:t>
      </w:r>
      <w:r>
        <w:rPr>
          <w:rFonts w:hint="cs"/>
          <w:rtl/>
        </w:rPr>
        <w:t>פאת</w:t>
      </w:r>
      <w:r>
        <w:rPr>
          <w:rtl/>
        </w:rPr>
        <w:t xml:space="preserve"> </w:t>
      </w:r>
      <w:r>
        <w:rPr>
          <w:rFonts w:hint="cs"/>
          <w:rtl/>
        </w:rPr>
        <w:t>[</w:t>
      </w:r>
      <w:r>
        <w:rPr>
          <w:rFonts w:hint="cs"/>
          <w:sz w:val="18"/>
          <w:szCs w:val="20"/>
          <w:rtl/>
        </w:rPr>
        <w:t xml:space="preserve">נוסח אחר: </w:t>
      </w:r>
      <w:r>
        <w:rPr>
          <w:sz w:val="18"/>
          <w:szCs w:val="20"/>
          <w:rtl/>
        </w:rPr>
        <w:t>פאר</w:t>
      </w:r>
      <w:r>
        <w:rPr>
          <w:rFonts w:hint="cs"/>
          <w:rtl/>
        </w:rPr>
        <w:t xml:space="preserve">] </w:t>
      </w:r>
      <w:r>
        <w:rPr>
          <w:rtl/>
        </w:rPr>
        <w:t>הראש</w:t>
      </w:r>
      <w:r>
        <w:rPr>
          <w:rFonts w:hint="cs"/>
          <w:rtl/>
        </w:rPr>
        <w:t>,</w:t>
      </w:r>
      <w:r>
        <w:rPr>
          <w:rtl/>
        </w:rPr>
        <w:t xml:space="preserve"> כמו שאמרו </w:t>
      </w:r>
      <w:r>
        <w:rPr>
          <w:rFonts w:hint="cs"/>
          <w:rtl/>
        </w:rPr>
        <w:t>'</w:t>
      </w:r>
      <w:r>
        <w:rPr>
          <w:rtl/>
        </w:rPr>
        <w:t xml:space="preserve">לא </w:t>
      </w:r>
      <w:r>
        <w:rPr>
          <w:rtl/>
        </w:rPr>
        <w:lastRenderedPageBreak/>
        <w:t>תטול תפארתו ממנו</w:t>
      </w:r>
      <w:r>
        <w:rPr>
          <w:rFonts w:hint="cs"/>
          <w:rtl/>
        </w:rPr>
        <w:t>'</w:t>
      </w:r>
      <w:r>
        <w:rPr>
          <w:rtl/>
        </w:rPr>
        <w:t xml:space="preserve"> (</w:t>
      </w:r>
      <w:r>
        <w:rPr>
          <w:sz w:val="18"/>
          <w:szCs w:val="20"/>
          <w:rtl/>
        </w:rPr>
        <w:t>חולין קלא</w:t>
      </w:r>
      <w:r>
        <w:rPr>
          <w:rFonts w:hint="cs"/>
          <w:sz w:val="18"/>
          <w:szCs w:val="20"/>
          <w:rtl/>
        </w:rPr>
        <w:t>,</w:t>
      </w:r>
      <w:r>
        <w:rPr>
          <w:sz w:val="18"/>
          <w:szCs w:val="20"/>
          <w:rtl/>
        </w:rPr>
        <w:t xml:space="preserve"> א</w:t>
      </w:r>
      <w:r>
        <w:rPr>
          <w:rtl/>
        </w:rPr>
        <w:t>)</w:t>
      </w:r>
      <w:r>
        <w:rPr>
          <w:rFonts w:hint="cs"/>
          <w:rtl/>
        </w:rPr>
        <w:t>"</w:t>
      </w:r>
      <w:r>
        <w:rPr>
          <w:rtl/>
        </w:rPr>
        <w:t xml:space="preserve">. </w:t>
      </w:r>
      <w:r>
        <w:rPr>
          <w:rFonts w:hint="cs"/>
          <w:rtl/>
        </w:rPr>
        <w:t>"ויהיה פירוש</w:t>
      </w:r>
      <w:r>
        <w:rPr>
          <w:sz w:val="18"/>
          <w:szCs w:val="20"/>
          <w:rtl/>
        </w:rPr>
        <w:t xml:space="preserve"> </w:t>
      </w:r>
      <w:r>
        <w:rPr>
          <w:rFonts w:hint="cs"/>
          <w:sz w:val="26"/>
          <w:rtl/>
        </w:rPr>
        <w:t>'</w:t>
      </w:r>
      <w:r>
        <w:rPr>
          <w:rtl/>
        </w:rPr>
        <w:t>תפארתו</w:t>
      </w:r>
      <w:r>
        <w:rPr>
          <w:rFonts w:hint="cs"/>
          <w:rtl/>
        </w:rPr>
        <w:t xml:space="preserve">' היינו </w:t>
      </w:r>
      <w:r>
        <w:rPr>
          <w:rFonts w:hint="cs"/>
          <w:sz w:val="26"/>
          <w:rtl/>
        </w:rPr>
        <w:t xml:space="preserve">ראש </w:t>
      </w:r>
      <w:r>
        <w:rPr>
          <w:rFonts w:hint="cs"/>
          <w:rtl/>
        </w:rPr>
        <w:t>העליון שהיא כ</w:t>
      </w:r>
      <w:r>
        <w:rPr>
          <w:rtl/>
        </w:rPr>
        <w:t>תפאר</w:t>
      </w:r>
      <w:r>
        <w:rPr>
          <w:rFonts w:hint="cs"/>
          <w:rtl/>
        </w:rPr>
        <w:t>ה ועטרה לאילן" (</w:t>
      </w:r>
      <w:r>
        <w:rPr>
          <w:rFonts w:hint="cs"/>
          <w:sz w:val="18"/>
          <w:szCs w:val="20"/>
          <w:rtl/>
        </w:rPr>
        <w:t>הרב פרלא ל"ת קמ"ט, מובא ע"י רח"ד שעוועל</w:t>
      </w:r>
      <w:r>
        <w:rPr>
          <w:rFonts w:hint="cs"/>
          <w:rtl/>
        </w:rPr>
        <w:t>)</w:t>
      </w:r>
      <w:r>
        <w:rPr>
          <w:rStyle w:val="a4"/>
          <w:rtl/>
        </w:rPr>
        <w:footnoteReference w:id="322"/>
      </w:r>
      <w:r>
        <w:rPr>
          <w:rFonts w:hint="cs"/>
          <w:rtl/>
        </w:rPr>
        <w:t>.</w:t>
      </w:r>
    </w:p>
    <w:p w14:paraId="4A91DF19" w14:textId="77777777" w:rsidR="000015C4" w:rsidRDefault="000015C4" w:rsidP="000015C4">
      <w:pPr>
        <w:ind w:firstLine="284"/>
        <w:rPr>
          <w:rFonts w:cs="Times New Roman"/>
          <w:sz w:val="20"/>
          <w:rtl/>
          <w:lang w:eastAsia="he-IL"/>
        </w:rPr>
      </w:pPr>
      <w:r>
        <w:rPr>
          <w:rFonts w:hint="cs"/>
          <w:rtl/>
        </w:rPr>
        <w:t>בספרי (</w:t>
      </w:r>
      <w:r>
        <w:rPr>
          <w:sz w:val="18"/>
          <w:szCs w:val="20"/>
          <w:rtl/>
        </w:rPr>
        <w:t>פיסקא</w:t>
      </w:r>
      <w:r>
        <w:rPr>
          <w:rFonts w:hint="cs"/>
          <w:sz w:val="18"/>
          <w:szCs w:val="20"/>
          <w:rtl/>
        </w:rPr>
        <w:t>ות</w:t>
      </w:r>
      <w:r>
        <w:rPr>
          <w:sz w:val="18"/>
          <w:szCs w:val="20"/>
          <w:rtl/>
        </w:rPr>
        <w:t xml:space="preserve"> רפד</w:t>
      </w:r>
      <w:r>
        <w:rPr>
          <w:rFonts w:hint="cs"/>
          <w:sz w:val="18"/>
          <w:szCs w:val="20"/>
          <w:rtl/>
        </w:rPr>
        <w:t>-רפה</w:t>
      </w:r>
      <w:r>
        <w:rPr>
          <w:rFonts w:hint="cs"/>
          <w:rtl/>
        </w:rPr>
        <w:t>) למדו את חיוב פאה מהמִלה "</w:t>
      </w:r>
      <w:r>
        <w:rPr>
          <w:rtl/>
        </w:rPr>
        <w:t>אַחֲרֶיךָ</w:t>
      </w:r>
      <w:r>
        <w:rPr>
          <w:rFonts w:hint="cs"/>
          <w:rtl/>
        </w:rPr>
        <w:t>" הכתובה בפסוק כ' (בכרם זית) ובפסוק כ"א (בכרם ענבים): "</w:t>
      </w:r>
      <w:r>
        <w:rPr>
          <w:rtl/>
        </w:rPr>
        <w:t>אחריך</w:t>
      </w:r>
      <w:r>
        <w:rPr>
          <w:rFonts w:hint="cs"/>
          <w:rtl/>
        </w:rPr>
        <w:t xml:space="preserve"> - </w:t>
      </w:r>
      <w:r>
        <w:rPr>
          <w:rtl/>
        </w:rPr>
        <w:t>מלמד שיש לו פיאה</w:t>
      </w:r>
      <w:r>
        <w:rPr>
          <w:rFonts w:hint="cs"/>
          <w:rtl/>
        </w:rPr>
        <w:t>"</w:t>
      </w:r>
      <w:r>
        <w:rPr>
          <w:rtl/>
        </w:rPr>
        <w:t xml:space="preserve">. </w:t>
      </w:r>
      <w:r>
        <w:rPr>
          <w:rFonts w:hint="cs"/>
          <w:rtl/>
        </w:rPr>
        <w:t xml:space="preserve">כלומר, </w:t>
      </w:r>
      <w:r>
        <w:rPr>
          <w:rtl/>
        </w:rPr>
        <w:t>שלא ידקדק אחריו לכלות הפיאה</w:t>
      </w:r>
      <w:r>
        <w:rPr>
          <w:rFonts w:hint="cs"/>
          <w:rtl/>
        </w:rPr>
        <w:t xml:space="preserve"> (</w:t>
      </w:r>
      <w:r>
        <w:rPr>
          <w:sz w:val="18"/>
          <w:szCs w:val="20"/>
          <w:rtl/>
        </w:rPr>
        <w:t xml:space="preserve">הרמב"ן </w:t>
      </w:r>
      <w:r>
        <w:rPr>
          <w:rFonts w:hint="cs"/>
          <w:sz w:val="18"/>
          <w:szCs w:val="20"/>
          <w:rtl/>
        </w:rPr>
        <w:t>ב</w:t>
      </w:r>
      <w:r>
        <w:rPr>
          <w:sz w:val="18"/>
          <w:szCs w:val="20"/>
          <w:rtl/>
        </w:rPr>
        <w:t>השגות</w:t>
      </w:r>
      <w:r>
        <w:rPr>
          <w:rFonts w:hint="cs"/>
          <w:sz w:val="18"/>
          <w:szCs w:val="20"/>
          <w:rtl/>
        </w:rPr>
        <w:t>יו</w:t>
      </w:r>
      <w:r>
        <w:rPr>
          <w:sz w:val="18"/>
          <w:szCs w:val="20"/>
          <w:rtl/>
        </w:rPr>
        <w:t xml:space="preserve"> לספר המצוות</w:t>
      </w:r>
      <w:r>
        <w:rPr>
          <w:rFonts w:hint="cs"/>
          <w:sz w:val="18"/>
          <w:szCs w:val="20"/>
          <w:rtl/>
        </w:rPr>
        <w:t>, שם</w:t>
      </w:r>
      <w:r>
        <w:rPr>
          <w:rFonts w:hint="cs"/>
          <w:rtl/>
        </w:rPr>
        <w:t xml:space="preserve">). </w:t>
      </w:r>
    </w:p>
    <w:p w14:paraId="59288EBC" w14:textId="77777777" w:rsidR="000015C4" w:rsidRDefault="000015C4" w:rsidP="000015C4">
      <w:pPr>
        <w:ind w:firstLine="284"/>
        <w:rPr>
          <w:rFonts w:hint="cs"/>
          <w:rtl/>
        </w:rPr>
      </w:pPr>
      <w:r>
        <w:rPr>
          <w:rFonts w:hint="cs"/>
          <w:rtl/>
        </w:rPr>
        <w:t>הרב שמשון ב"ר רפאל הירש (</w:t>
      </w:r>
      <w:r>
        <w:rPr>
          <w:rFonts w:hint="cs"/>
          <w:sz w:val="18"/>
          <w:szCs w:val="20"/>
          <w:rtl/>
        </w:rPr>
        <w:t>נפטר בשנת ה'תרמ"ט; 1888 למניינם</w:t>
      </w:r>
      <w:r>
        <w:rPr>
          <w:rFonts w:hint="cs"/>
          <w:rtl/>
        </w:rPr>
        <w:t>)</w:t>
      </w:r>
      <w:r>
        <w:rPr>
          <w:rStyle w:val="a4"/>
          <w:rtl/>
        </w:rPr>
        <w:footnoteReference w:id="323"/>
      </w:r>
      <w:r>
        <w:rPr>
          <w:rFonts w:hint="cs"/>
          <w:rtl/>
        </w:rPr>
        <w:t xml:space="preserve"> מבאר כיצד מתוך פשט הכתובים העוסקים במצות שכחה, הוסיפו חז"ל ודרשו מהם את החיוב להשאיר מראש פאה ועוללות:</w:t>
      </w:r>
    </w:p>
    <w:p w14:paraId="03F8952C" w14:textId="77777777" w:rsidR="000015C4" w:rsidRDefault="000015C4" w:rsidP="000015C4">
      <w:pPr>
        <w:ind w:left="720" w:firstLine="284"/>
        <w:rPr>
          <w:rFonts w:hint="cs"/>
          <w:rtl/>
        </w:rPr>
      </w:pPr>
      <w:r>
        <w:rPr>
          <w:rFonts w:hint="cs"/>
          <w:rtl/>
        </w:rPr>
        <w:lastRenderedPageBreak/>
        <w:t>"ב</w:t>
      </w:r>
      <w:r>
        <w:rPr>
          <w:rtl/>
        </w:rPr>
        <w:t>ספרי אמר</w:t>
      </w:r>
      <w:r>
        <w:rPr>
          <w:rFonts w:hint="cs"/>
          <w:rtl/>
        </w:rPr>
        <w:t>ו</w:t>
      </w:r>
      <w:r>
        <w:rPr>
          <w:rtl/>
        </w:rPr>
        <w:t xml:space="preserve"> </w:t>
      </w:r>
      <w:r>
        <w:rPr>
          <w:rFonts w:hint="cs"/>
          <w:rtl/>
        </w:rPr>
        <w:t>שבימי קדם לא</w:t>
      </w:r>
      <w:r>
        <w:rPr>
          <w:rtl/>
        </w:rPr>
        <w:t xml:space="preserve"> היו </w:t>
      </w:r>
      <w:r>
        <w:rPr>
          <w:rFonts w:hint="cs"/>
          <w:rtl/>
        </w:rPr>
        <w:t xml:space="preserve">נוהגים צרות </w:t>
      </w:r>
      <w:r>
        <w:rPr>
          <w:rtl/>
        </w:rPr>
        <w:t xml:space="preserve">עין </w:t>
      </w:r>
      <w:r>
        <w:rPr>
          <w:rFonts w:hint="cs"/>
          <w:rtl/>
        </w:rPr>
        <w:t>ב</w:t>
      </w:r>
      <w:r>
        <w:rPr>
          <w:rtl/>
        </w:rPr>
        <w:t xml:space="preserve">זיתים </w:t>
      </w:r>
      <w:r>
        <w:rPr>
          <w:rFonts w:hint="cs"/>
          <w:rtl/>
        </w:rPr>
        <w:t>ולא מסקו אותם ביד: '</w:t>
      </w:r>
      <w:r>
        <w:rPr>
          <w:rtl/>
        </w:rPr>
        <w:t>הראשונים היו חובטין זיתיה</w:t>
      </w:r>
      <w:r>
        <w:rPr>
          <w:rFonts w:hint="cs"/>
          <w:rtl/>
        </w:rPr>
        <w:t xml:space="preserve">ן (במקלות) </w:t>
      </w:r>
      <w:r>
        <w:rPr>
          <w:rtl/>
        </w:rPr>
        <w:t>ונוהגים</w:t>
      </w:r>
      <w:r>
        <w:rPr>
          <w:rFonts w:hint="cs"/>
          <w:rtl/>
        </w:rPr>
        <w:t xml:space="preserve"> </w:t>
      </w:r>
      <w:r>
        <w:rPr>
          <w:rtl/>
        </w:rPr>
        <w:t>בעין יפה</w:t>
      </w:r>
      <w:r>
        <w:rPr>
          <w:rFonts w:hint="cs"/>
          <w:rtl/>
        </w:rPr>
        <w:t>'.</w:t>
      </w:r>
      <w:r>
        <w:rPr>
          <w:rtl/>
        </w:rPr>
        <w:t xml:space="preserve"> ש</w:t>
      </w:r>
      <w:r>
        <w:rPr>
          <w:rFonts w:hint="cs"/>
          <w:rtl/>
        </w:rPr>
        <w:t>מ</w:t>
      </w:r>
      <w:r>
        <w:rPr>
          <w:rtl/>
        </w:rPr>
        <w:t>א</w:t>
      </w:r>
      <w:r>
        <w:rPr>
          <w:rFonts w:hint="cs"/>
          <w:rtl/>
        </w:rPr>
        <w:t xml:space="preserve"> </w:t>
      </w:r>
      <w:r>
        <w:rPr>
          <w:rtl/>
        </w:rPr>
        <w:t>י</w:t>
      </w:r>
      <w:r>
        <w:rPr>
          <w:rFonts w:hint="cs"/>
          <w:rtl/>
        </w:rPr>
        <w:t xml:space="preserve">תבאר ע"י כך האמור במסכת חולין </w:t>
      </w:r>
      <w:r>
        <w:rPr>
          <w:rFonts w:hint="cs"/>
          <w:sz w:val="18"/>
          <w:szCs w:val="20"/>
          <w:rtl/>
        </w:rPr>
        <w:t>קלא, א</w:t>
      </w:r>
      <w:r>
        <w:rPr>
          <w:rFonts w:hint="cs"/>
          <w:rtl/>
        </w:rPr>
        <w:t>, שם נאמר: '</w:t>
      </w:r>
      <w:r>
        <w:rPr>
          <w:rtl/>
        </w:rPr>
        <w:t>לא</w:t>
      </w:r>
      <w:r>
        <w:rPr>
          <w:rFonts w:hint="cs"/>
          <w:rtl/>
        </w:rPr>
        <w:t xml:space="preserve"> </w:t>
      </w:r>
      <w:r>
        <w:rPr>
          <w:rtl/>
        </w:rPr>
        <w:t>תפאר</w:t>
      </w:r>
      <w:r>
        <w:rPr>
          <w:rFonts w:hint="cs"/>
          <w:rtl/>
        </w:rPr>
        <w:t xml:space="preserve"> </w:t>
      </w:r>
      <w:r>
        <w:rPr>
          <w:rtl/>
        </w:rPr>
        <w:t>אחריך</w:t>
      </w:r>
      <w:r>
        <w:rPr>
          <w:rFonts w:hint="cs"/>
          <w:rtl/>
        </w:rPr>
        <w:t>'</w:t>
      </w:r>
      <w:r>
        <w:rPr>
          <w:rtl/>
        </w:rPr>
        <w:t xml:space="preserve"> </w:t>
      </w:r>
      <w:r>
        <w:rPr>
          <w:rFonts w:hint="cs"/>
          <w:rtl/>
        </w:rPr>
        <w:t xml:space="preserve">כולל שתי מתנות: </w:t>
      </w:r>
      <w:r>
        <w:rPr>
          <w:rtl/>
        </w:rPr>
        <w:t>פאה</w:t>
      </w:r>
      <w:r>
        <w:rPr>
          <w:rFonts w:hint="cs"/>
          <w:rtl/>
        </w:rPr>
        <w:t xml:space="preserve"> </w:t>
      </w:r>
      <w:r>
        <w:rPr>
          <w:rFonts w:hint="cs"/>
          <w:rtl/>
        </w:rPr>
        <w:lastRenderedPageBreak/>
        <w:t>ו</w:t>
      </w:r>
      <w:r>
        <w:rPr>
          <w:rtl/>
        </w:rPr>
        <w:t>שכחה</w:t>
      </w:r>
      <w:r>
        <w:rPr>
          <w:rFonts w:hint="cs"/>
          <w:rtl/>
        </w:rPr>
        <w:t>. '</w:t>
      </w:r>
      <w:r>
        <w:rPr>
          <w:rtl/>
        </w:rPr>
        <w:t xml:space="preserve">לא תפאר </w:t>
      </w:r>
      <w:r>
        <w:rPr>
          <w:rFonts w:hint="cs"/>
          <w:rtl/>
        </w:rPr>
        <w:t>(פִעֵל, כדוגמת "דִשֵּן"</w:t>
      </w:r>
      <w:r>
        <w:rPr>
          <w:rStyle w:val="a4"/>
          <w:rtl/>
        </w:rPr>
        <w:footnoteReference w:id="324"/>
      </w:r>
      <w:r>
        <w:rPr>
          <w:rFonts w:hint="cs"/>
          <w:rtl/>
        </w:rPr>
        <w:t xml:space="preserve">): </w:t>
      </w:r>
      <w:r>
        <w:rPr>
          <w:rtl/>
        </w:rPr>
        <w:t>שלא תטול תפארת</w:t>
      </w:r>
      <w:r>
        <w:rPr>
          <w:rFonts w:hint="cs"/>
          <w:rtl/>
        </w:rPr>
        <w:t>ו</w:t>
      </w:r>
      <w:r>
        <w:rPr>
          <w:rtl/>
        </w:rPr>
        <w:t xml:space="preserve"> ממנו</w:t>
      </w:r>
      <w:r>
        <w:rPr>
          <w:rFonts w:hint="cs"/>
          <w:rtl/>
        </w:rPr>
        <w:t>' - אסור ליטול את הפרי שבראש האמיר שהוא פאר האילן, והרי כאן מצות פאה לאילנות. '</w:t>
      </w:r>
      <w:r>
        <w:rPr>
          <w:rtl/>
        </w:rPr>
        <w:t xml:space="preserve">אחריך </w:t>
      </w:r>
      <w:r>
        <w:rPr>
          <w:rFonts w:hint="cs"/>
          <w:rtl/>
        </w:rPr>
        <w:t>- זו שכחה' - אסור לאדם ליטול את מה שכבר עבר עליו והניחו לאחריו. והנה אפשר שאם אין עולים באילן בסולמות או בדרך טיפוס אלא עומדים בארץ וחובטים את הפרי, אין מגיעים בד"כ אל הפרי שבצמרת אלא מניחים אותו על מנת ליטול אותו לאחר מכן. 'פאר' זה נשאר אפוא באילן מאליו. אולם הואיל ומניחים אותו מדעת, אין הוא בגדר שכחה, וכך נעשה איסור 'לא תפאר' למצות פאה עצמאית: יש להניח את הפרי שבראש האמיר שרגילים ליטול אותו לאחרונה. אולם מאלינו כבר למדנו ע"י כך הלכה נוספת: אל תיטול אח"כ גם את שאר כל הפרי שעברת עליו באילן והנחת אותו 'אחריך', והרי כאן מצות שכחה לאילנות. פירוש הפסוק: אל תיטול אח"כ את 'פאר' הזית אע"פ שהנחת אותו מדעת, ק"ו שלא תיטול פירות אחרים ששכחת אותם שלא מדעת. וכעין זה בפסוק הבא: 'לא תעולל אחריך'. איסור בצירת עוללות כבר נתבאר</w:t>
      </w:r>
      <w:r>
        <w:rPr>
          <w:rStyle w:val="a4"/>
          <w:rtl/>
        </w:rPr>
        <w:footnoteReference w:id="325"/>
      </w:r>
      <w:r>
        <w:rPr>
          <w:rFonts w:hint="cs"/>
          <w:rtl/>
        </w:rPr>
        <w:t xml:space="preserve"> בספר ויקרא (</w:t>
      </w:r>
      <w:r>
        <w:rPr>
          <w:rFonts w:hint="cs"/>
          <w:sz w:val="18"/>
          <w:szCs w:val="20"/>
          <w:rtl/>
        </w:rPr>
        <w:t>יט, י</w:t>
      </w:r>
      <w:r>
        <w:rPr>
          <w:rFonts w:hint="cs"/>
          <w:rtl/>
        </w:rPr>
        <w:t xml:space="preserve">). עוללות הן גרגרים בודדים שאינם מגיעים לכדי יצירת אשכולות. בד"כ היו בוצרים אותם לאחרונה, אך אין הם בגדר שכחה, שהרי עברו </w:t>
      </w:r>
      <w:r>
        <w:rPr>
          <w:rFonts w:hint="cs"/>
          <w:rtl/>
        </w:rPr>
        <w:lastRenderedPageBreak/>
        <w:t>עליהם מדעת. נמצא שגם שם נאמרו שני איסורים: עוללות, וכן 'אחריך' - שכחה".</w:t>
      </w:r>
    </w:p>
    <w:p w14:paraId="727F6869" w14:textId="77777777" w:rsidR="000015C4" w:rsidRDefault="000015C4" w:rsidP="000015C4">
      <w:pPr>
        <w:pStyle w:val="3"/>
        <w:rPr>
          <w:rFonts w:hint="cs"/>
          <w:rtl/>
        </w:rPr>
      </w:pPr>
      <w:r>
        <w:rPr>
          <w:rtl/>
        </w:rPr>
        <w:t>"ל</w:t>
      </w:r>
      <w:r>
        <w:rPr>
          <w:rFonts w:hint="cs"/>
          <w:rtl/>
        </w:rPr>
        <w:t>ָ</w:t>
      </w:r>
      <w:r>
        <w:rPr>
          <w:rtl/>
        </w:rPr>
        <w:t xml:space="preserve">א </w:t>
      </w:r>
      <w:r>
        <w:rPr>
          <w:rFonts w:hint="cs"/>
          <w:rtl/>
        </w:rPr>
        <w:t>תְפַלֵּי"</w:t>
      </w:r>
    </w:p>
    <w:p w14:paraId="1CD58386" w14:textId="77777777" w:rsidR="000015C4" w:rsidRDefault="000015C4" w:rsidP="000015C4">
      <w:pPr>
        <w:ind w:firstLine="284"/>
        <w:rPr>
          <w:rFonts w:hint="cs"/>
          <w:rtl/>
        </w:rPr>
      </w:pPr>
      <w:r>
        <w:rPr>
          <w:rFonts w:hint="cs"/>
          <w:rtl/>
        </w:rPr>
        <w:t>נשוב עתה לתרגום אונקלוס ל"</w:t>
      </w:r>
      <w:r>
        <w:rPr>
          <w:sz w:val="26"/>
          <w:rtl/>
        </w:rPr>
        <w:t>תְפַאֵר</w:t>
      </w:r>
      <w:r>
        <w:rPr>
          <w:rFonts w:hint="cs"/>
          <w:sz w:val="26"/>
          <w:rtl/>
        </w:rPr>
        <w:t>" -</w:t>
      </w:r>
      <w:r>
        <w:rPr>
          <w:rFonts w:hint="cs"/>
          <w:rtl/>
        </w:rPr>
        <w:t xml:space="preserve"> "תְפַלֵּי". בטרם נדון במחלוקת הראשונים בפירוש תרגומו, יש לציין כי לפי אונקלוס, "</w:t>
      </w:r>
      <w:r>
        <w:rPr>
          <w:rtl/>
        </w:rPr>
        <w:t>לֹא תְפַאֵר אַחֲרֶיךָ</w:t>
      </w:r>
      <w:r>
        <w:rPr>
          <w:rFonts w:hint="cs"/>
          <w:rtl/>
        </w:rPr>
        <w:t>" איננו קשור לחלק מסוים של עץ הזית, וכך אכן נפסקה ההלכה שאין צריך להשאיר פאה בכל עץ ועץ: "</w:t>
      </w:r>
      <w:r>
        <w:rPr>
          <w:rtl/>
        </w:rPr>
        <w:t>אמר רבן גמליאל</w:t>
      </w:r>
      <w:r>
        <w:rPr>
          <w:rFonts w:hint="cs"/>
          <w:rtl/>
        </w:rPr>
        <w:t>:</w:t>
      </w:r>
      <w:r>
        <w:rPr>
          <w:rtl/>
        </w:rPr>
        <w:t xml:space="preserve"> נוהגין היו בית אבא</w:t>
      </w:r>
      <w:r>
        <w:rPr>
          <w:rFonts w:hint="cs"/>
          <w:rtl/>
        </w:rPr>
        <w:t xml:space="preserve"> </w:t>
      </w:r>
      <w:r>
        <w:rPr>
          <w:rtl/>
        </w:rPr>
        <w:t>נותנין פאה אחת לזיתים שהיו להם בכל רוח</w:t>
      </w:r>
      <w:r>
        <w:rPr>
          <w:rFonts w:hint="cs"/>
          <w:rtl/>
        </w:rPr>
        <w:t>" (</w:t>
      </w:r>
      <w:r>
        <w:rPr>
          <w:sz w:val="18"/>
          <w:szCs w:val="20"/>
          <w:rtl/>
        </w:rPr>
        <w:t>פאה פ</w:t>
      </w:r>
      <w:r>
        <w:rPr>
          <w:rFonts w:hint="cs"/>
          <w:sz w:val="18"/>
          <w:szCs w:val="20"/>
          <w:rtl/>
        </w:rPr>
        <w:t>"</w:t>
      </w:r>
      <w:r>
        <w:rPr>
          <w:sz w:val="18"/>
          <w:szCs w:val="20"/>
          <w:rtl/>
        </w:rPr>
        <w:t>ב מ</w:t>
      </w:r>
      <w:r>
        <w:rPr>
          <w:rFonts w:hint="cs"/>
          <w:sz w:val="18"/>
          <w:szCs w:val="20"/>
          <w:rtl/>
        </w:rPr>
        <w:t>"</w:t>
      </w:r>
      <w:r>
        <w:rPr>
          <w:sz w:val="18"/>
          <w:szCs w:val="20"/>
          <w:rtl/>
        </w:rPr>
        <w:t>ד</w:t>
      </w:r>
      <w:r>
        <w:rPr>
          <w:rFonts w:hint="cs"/>
          <w:rtl/>
        </w:rPr>
        <w:t>).</w:t>
      </w:r>
    </w:p>
    <w:p w14:paraId="46237D6D" w14:textId="77777777" w:rsidR="000015C4" w:rsidRDefault="000015C4" w:rsidP="000015C4">
      <w:pPr>
        <w:ind w:firstLine="284"/>
        <w:rPr>
          <w:rFonts w:hint="cs"/>
          <w:rtl/>
        </w:rPr>
      </w:pPr>
      <w:r>
        <w:rPr>
          <w:rFonts w:hint="cs"/>
          <w:rtl/>
        </w:rPr>
        <w:t>עתה, מהו "תְפַלֵּי" זה?</w:t>
      </w:r>
    </w:p>
    <w:p w14:paraId="5A8F9EF4" w14:textId="77777777" w:rsidR="000015C4" w:rsidRDefault="000015C4" w:rsidP="000015C4">
      <w:pPr>
        <w:ind w:firstLine="284"/>
        <w:rPr>
          <w:rFonts w:hint="cs"/>
          <w:rtl/>
        </w:rPr>
      </w:pPr>
      <w:r>
        <w:rPr>
          <w:rFonts w:hint="cs"/>
          <w:rtl/>
        </w:rPr>
        <w:t xml:space="preserve">לפי רש"י, הפֹעַל הארמי </w:t>
      </w:r>
      <w:r>
        <w:rPr>
          <w:rtl/>
        </w:rPr>
        <w:t>"</w:t>
      </w:r>
      <w:r>
        <w:rPr>
          <w:rFonts w:hint="cs"/>
          <w:rtl/>
        </w:rPr>
        <w:t>תְפַלֵּי</w:t>
      </w:r>
      <w:r>
        <w:rPr>
          <w:rtl/>
        </w:rPr>
        <w:t>"</w:t>
      </w:r>
      <w:r>
        <w:rPr>
          <w:rFonts w:hint="cs"/>
          <w:rtl/>
        </w:rPr>
        <w:t xml:space="preserve"> אינו שונה מכל שאר הופעותיו בתרגום, והואיל והוא מתרגם בקביעות את "</w:t>
      </w:r>
      <w:r>
        <w:rPr>
          <w:rtl/>
        </w:rPr>
        <w:t>וּבִעַרְתָּ הָרָע מִקִּרְבֶּךָ</w:t>
      </w:r>
      <w:r>
        <w:rPr>
          <w:rFonts w:hint="cs"/>
          <w:rtl/>
        </w:rPr>
        <w:t xml:space="preserve">", וכלשון רש"י הנ"ל </w:t>
      </w:r>
      <w:r>
        <w:rPr>
          <w:rtl/>
        </w:rPr>
        <w:t>"</w:t>
      </w:r>
      <w:r>
        <w:rPr>
          <w:rFonts w:hint="cs"/>
          <w:rtl/>
        </w:rPr>
        <w:t>דמתרגמינן: בִּעַרְתִּי - פַּלֵּתִי" (</w:t>
      </w:r>
      <w:r>
        <w:rPr>
          <w:rFonts w:hint="cs"/>
          <w:sz w:val="18"/>
          <w:szCs w:val="20"/>
          <w:rtl/>
        </w:rPr>
        <w:t>וראה הערה 11</w:t>
      </w:r>
      <w:r>
        <w:rPr>
          <w:rFonts w:hint="cs"/>
          <w:rtl/>
        </w:rPr>
        <w:t xml:space="preserve">), לכן </w:t>
      </w:r>
      <w:r>
        <w:rPr>
          <w:rtl/>
        </w:rPr>
        <w:t xml:space="preserve">"תְפַאֵר" </w:t>
      </w:r>
      <w:r>
        <w:rPr>
          <w:rFonts w:hint="cs"/>
          <w:rtl/>
        </w:rPr>
        <w:t>היינו "</w:t>
      </w:r>
      <w:r>
        <w:rPr>
          <w:rtl/>
        </w:rPr>
        <w:t>תְ</w:t>
      </w:r>
      <w:r>
        <w:rPr>
          <w:rFonts w:hint="cs"/>
          <w:rtl/>
        </w:rPr>
        <w:t>ב</w:t>
      </w:r>
      <w:r>
        <w:rPr>
          <w:rtl/>
        </w:rPr>
        <w:t>ַ</w:t>
      </w:r>
      <w:r>
        <w:rPr>
          <w:rFonts w:hint="cs"/>
          <w:rtl/>
        </w:rPr>
        <w:t>ע</w:t>
      </w:r>
      <w:r>
        <w:rPr>
          <w:rtl/>
        </w:rPr>
        <w:t>ֵר</w:t>
      </w:r>
      <w:r>
        <w:rPr>
          <w:rFonts w:hint="cs"/>
          <w:rtl/>
        </w:rPr>
        <w:t xml:space="preserve">" (ואין צורך לכרוך כנ"ל את </w:t>
      </w:r>
      <w:r>
        <w:rPr>
          <w:rtl/>
        </w:rPr>
        <w:t>"תְפַאֵר"</w:t>
      </w:r>
      <w:r>
        <w:rPr>
          <w:rFonts w:hint="cs"/>
          <w:rtl/>
        </w:rPr>
        <w:t xml:space="preserve"> לא עם "</w:t>
      </w:r>
      <w:r>
        <w:rPr>
          <w:rtl/>
        </w:rPr>
        <w:t>פֹּארוֹת</w:t>
      </w:r>
      <w:r>
        <w:rPr>
          <w:rFonts w:hint="cs"/>
          <w:rtl/>
        </w:rPr>
        <w:t xml:space="preserve">" ולא עם </w:t>
      </w:r>
      <w:r>
        <w:rPr>
          <w:rtl/>
        </w:rPr>
        <w:t xml:space="preserve">לשון </w:t>
      </w:r>
      <w:r>
        <w:rPr>
          <w:rFonts w:hint="cs"/>
          <w:rtl/>
        </w:rPr>
        <w:t>"</w:t>
      </w:r>
      <w:r>
        <w:rPr>
          <w:rtl/>
        </w:rPr>
        <w:t>פְּאֵר</w:t>
      </w:r>
      <w:r>
        <w:rPr>
          <w:rFonts w:hint="cs"/>
          <w:rtl/>
        </w:rPr>
        <w:t>")</w:t>
      </w:r>
      <w:r>
        <w:rPr>
          <w:rStyle w:val="a4"/>
          <w:rtl/>
        </w:rPr>
        <w:footnoteReference w:id="326"/>
      </w:r>
      <w:r>
        <w:rPr>
          <w:rFonts w:hint="cs"/>
          <w:rtl/>
        </w:rPr>
        <w:t xml:space="preserve">. האיסור לבעֵר ולְכַלות את הזיתים </w:t>
      </w:r>
      <w:r>
        <w:rPr>
          <w:rFonts w:hint="cs"/>
          <w:rtl/>
        </w:rPr>
        <w:lastRenderedPageBreak/>
        <w:t>מן העץ יכול להתאים גם לפשט הכתוב (מצות שכחה) וגם למדרשו (מצות פאה</w:t>
      </w:r>
      <w:r>
        <w:rPr>
          <w:rStyle w:val="a4"/>
          <w:rtl/>
        </w:rPr>
        <w:footnoteReference w:id="327"/>
      </w:r>
      <w:r>
        <w:rPr>
          <w:rFonts w:hint="cs"/>
          <w:rtl/>
        </w:rPr>
        <w:t xml:space="preserve">). </w:t>
      </w:r>
    </w:p>
    <w:p w14:paraId="52D1E71B" w14:textId="77777777" w:rsidR="000015C4" w:rsidRDefault="000015C4" w:rsidP="000015C4">
      <w:pPr>
        <w:ind w:firstLine="284"/>
        <w:rPr>
          <w:rFonts w:hint="cs"/>
          <w:rtl/>
        </w:rPr>
      </w:pPr>
      <w:r>
        <w:rPr>
          <w:rFonts w:hint="cs"/>
          <w:rtl/>
        </w:rPr>
        <w:t>לעומת זאת, לפי הערוך</w:t>
      </w:r>
      <w:r>
        <w:rPr>
          <w:rtl/>
        </w:rPr>
        <w:t xml:space="preserve"> </w:t>
      </w:r>
      <w:r>
        <w:rPr>
          <w:rFonts w:hint="cs"/>
          <w:rtl/>
        </w:rPr>
        <w:t xml:space="preserve">וסיעתו, אין הבדל בין </w:t>
      </w:r>
      <w:r>
        <w:rPr>
          <w:rtl/>
        </w:rPr>
        <w:t>"</w:t>
      </w:r>
      <w:r>
        <w:rPr>
          <w:rFonts w:hint="cs"/>
          <w:rtl/>
        </w:rPr>
        <w:t>תְפַלֵּי</w:t>
      </w:r>
      <w:r>
        <w:rPr>
          <w:rtl/>
        </w:rPr>
        <w:t>"</w:t>
      </w:r>
      <w:r>
        <w:rPr>
          <w:rFonts w:hint="cs"/>
          <w:rtl/>
        </w:rPr>
        <w:t xml:space="preserve"> שתרגם אונקלוס לתרגומי ארץ ישראל, וכולם התכוונו לתרגם ללשון בדיקה וחיפוש</w:t>
      </w:r>
      <w:r>
        <w:rPr>
          <w:rStyle w:val="a4"/>
          <w:rtl/>
        </w:rPr>
        <w:footnoteReference w:id="328"/>
      </w:r>
      <w:r>
        <w:rPr>
          <w:rFonts w:hint="cs"/>
          <w:rtl/>
        </w:rPr>
        <w:t xml:space="preserve">. </w:t>
      </w:r>
    </w:p>
    <w:p w14:paraId="599BE94C" w14:textId="77777777" w:rsidR="000015C4" w:rsidRDefault="000015C4" w:rsidP="000015C4">
      <w:pPr>
        <w:ind w:firstLine="284"/>
        <w:rPr>
          <w:rFonts w:hint="cs"/>
          <w:rtl/>
        </w:rPr>
      </w:pPr>
      <w:r>
        <w:rPr>
          <w:rFonts w:hint="cs"/>
          <w:rtl/>
        </w:rPr>
        <w:t>אם כן, הכל מודים שהפעולה שמופיעה בלשון התורה "</w:t>
      </w:r>
      <w:r>
        <w:rPr>
          <w:rtl/>
        </w:rPr>
        <w:t>לֹא תְפַאֵר</w:t>
      </w:r>
      <w:r>
        <w:rPr>
          <w:rFonts w:hint="cs"/>
          <w:rtl/>
        </w:rPr>
        <w:t>" ומתורגמת "</w:t>
      </w:r>
      <w:r>
        <w:rPr>
          <w:rtl/>
        </w:rPr>
        <w:t xml:space="preserve">לא </w:t>
      </w:r>
      <w:r>
        <w:rPr>
          <w:rFonts w:hint="cs"/>
          <w:rtl/>
        </w:rPr>
        <w:t>תְפַלֵּי", היא היא הפעולה השנויה במשנתנו "</w:t>
      </w:r>
      <w:r>
        <w:rPr>
          <w:rtl/>
        </w:rPr>
        <w:t>לא יפלה את כליו</w:t>
      </w:r>
      <w:r>
        <w:rPr>
          <w:rFonts w:hint="cs"/>
          <w:rtl/>
        </w:rPr>
        <w:t>". רש"י סובר שהפעולה האסורה היא הביעור, הסילוק והכילוי (של הזיתים או של הכִּנים), אך הערוך</w:t>
      </w:r>
      <w:r>
        <w:rPr>
          <w:rtl/>
        </w:rPr>
        <w:t xml:space="preserve"> </w:t>
      </w:r>
      <w:r>
        <w:rPr>
          <w:rFonts w:hint="cs"/>
          <w:rtl/>
        </w:rPr>
        <w:t>וסיעתו מפרשים שנאסר לבדוק ולחפֵש (על מנת לכלות ולבער).</w:t>
      </w:r>
    </w:p>
    <w:p w14:paraId="4D51F76E" w14:textId="77777777" w:rsidR="000015C4" w:rsidRDefault="000015C4" w:rsidP="000015C4">
      <w:pPr>
        <w:ind w:firstLine="284"/>
        <w:rPr>
          <w:rFonts w:hint="cs"/>
          <w:rtl/>
        </w:rPr>
      </w:pPr>
      <w:r>
        <w:rPr>
          <w:rFonts w:hint="cs"/>
          <w:rtl/>
        </w:rPr>
        <w:t>כיצד יסבירו הערוך</w:t>
      </w:r>
      <w:r>
        <w:rPr>
          <w:rtl/>
        </w:rPr>
        <w:t xml:space="preserve"> </w:t>
      </w:r>
      <w:r>
        <w:rPr>
          <w:rFonts w:hint="cs"/>
          <w:rtl/>
        </w:rPr>
        <w:t>וסיעתו את "</w:t>
      </w:r>
      <w:r>
        <w:rPr>
          <w:rtl/>
        </w:rPr>
        <w:t>וּבִעַרְתָּ הָרָע מִקִּרְבֶּךָ</w:t>
      </w:r>
      <w:r>
        <w:rPr>
          <w:rFonts w:hint="cs"/>
          <w:rtl/>
        </w:rPr>
        <w:t xml:space="preserve">" המתורגם </w:t>
      </w:r>
      <w:r>
        <w:rPr>
          <w:rtl/>
        </w:rPr>
        <w:t>"</w:t>
      </w:r>
      <w:r>
        <w:rPr>
          <w:rFonts w:hint="cs"/>
          <w:rtl/>
        </w:rPr>
        <w:t>תְפַלֵּי</w:t>
      </w:r>
      <w:r>
        <w:rPr>
          <w:rtl/>
        </w:rPr>
        <w:t>"</w:t>
      </w:r>
      <w:r>
        <w:rPr>
          <w:rFonts w:hint="cs"/>
          <w:rtl/>
        </w:rPr>
        <w:t>? הרי כאן מדובר על הריגת רשעים במיתת בית דין וסילוקם מקרב עם ישראל, ולא על חיפוש אחריהם!</w:t>
      </w:r>
    </w:p>
    <w:p w14:paraId="5C8E033D" w14:textId="77777777" w:rsidR="000015C4" w:rsidRDefault="000015C4" w:rsidP="000015C4">
      <w:pPr>
        <w:ind w:firstLine="284"/>
        <w:rPr>
          <w:rFonts w:hint="cs"/>
          <w:rtl/>
        </w:rPr>
      </w:pPr>
      <w:r>
        <w:rPr>
          <w:rtl/>
        </w:rPr>
        <w:t>נראה להסביר שחל כאן "מעתק משמעות"</w:t>
      </w:r>
      <w:r>
        <w:rPr>
          <w:rStyle w:val="a4"/>
          <w:rtl/>
        </w:rPr>
        <w:footnoteReference w:id="329"/>
      </w:r>
      <w:r>
        <w:rPr>
          <w:rtl/>
        </w:rPr>
        <w:t xml:space="preserve"> באופן זה: </w:t>
      </w:r>
      <w:r>
        <w:rPr>
          <w:rFonts w:hint="cs"/>
          <w:rtl/>
        </w:rPr>
        <w:t>"</w:t>
      </w:r>
      <w:r>
        <w:rPr>
          <w:rtl/>
        </w:rPr>
        <w:t>וּבִעַרְתָּ</w:t>
      </w:r>
      <w:r>
        <w:rPr>
          <w:rFonts w:hint="cs"/>
          <w:rtl/>
        </w:rPr>
        <w:t xml:space="preserve">" </w:t>
      </w:r>
      <w:r>
        <w:rPr>
          <w:rtl/>
        </w:rPr>
        <w:t xml:space="preserve">במקורו משמעו </w:t>
      </w:r>
      <w:r>
        <w:rPr>
          <w:rFonts w:hint="cs"/>
          <w:rtl/>
        </w:rPr>
        <w:t>(</w:t>
      </w:r>
      <w:r>
        <w:rPr>
          <w:rFonts w:hint="cs"/>
          <w:sz w:val="18"/>
          <w:szCs w:val="20"/>
          <w:rtl/>
        </w:rPr>
        <w:t>כרש"י</w:t>
      </w:r>
      <w:r>
        <w:rPr>
          <w:rFonts w:hint="cs"/>
          <w:rtl/>
        </w:rPr>
        <w:t>) ל</w:t>
      </w:r>
      <w:r>
        <w:rPr>
          <w:rtl/>
        </w:rPr>
        <w:t>סַלֵּק</w:t>
      </w:r>
      <w:r>
        <w:rPr>
          <w:rFonts w:hint="cs"/>
          <w:rtl/>
        </w:rPr>
        <w:t xml:space="preserve">, לכַלות ולהעביר מן העולם, אך מכיוון שסילוקם של רשעים לא נעשה בבת אחת, אלא איבודם הוא שיא תהליך ארוך עד לאיתור הפושעים, העמדתם לדין ועד להרשעתם, נקרא כל התהליך על שם סופו, ולכן התרחבה משמעות פעולת ה"ביעור" להורות לא רק על עצם הסילוק וההשמדה, אלא גם על </w:t>
      </w:r>
      <w:r>
        <w:rPr>
          <w:rFonts w:hint="cs"/>
          <w:rtl/>
        </w:rPr>
        <w:lastRenderedPageBreak/>
        <w:t>החיפוש, הבדיקה, הדרישה והחקירה על מנת לעשות דין ברשעים</w:t>
      </w:r>
      <w:r>
        <w:rPr>
          <w:rStyle w:val="a4"/>
          <w:rtl/>
        </w:rPr>
        <w:footnoteReference w:id="330"/>
      </w:r>
      <w:r>
        <w:rPr>
          <w:rFonts w:hint="cs"/>
          <w:rtl/>
        </w:rPr>
        <w:t xml:space="preserve"> ולהעבירם כליל מן העולם.</w:t>
      </w:r>
      <w:r>
        <w:rPr>
          <w:rtl/>
        </w:rPr>
        <w:t xml:space="preserve"> מעתק משמעות זה חל בלשון חכמים, ואולי יסודו </w:t>
      </w:r>
      <w:r>
        <w:rPr>
          <w:rFonts w:eastAsia="MS Mincho"/>
          <w:sz w:val="26"/>
          <w:rtl/>
        </w:rPr>
        <w:t>בספר מלכים</w:t>
      </w:r>
      <w:r>
        <w:rPr>
          <w:rStyle w:val="a4"/>
          <w:rtl/>
        </w:rPr>
        <w:footnoteReference w:id="331"/>
      </w:r>
      <w:r>
        <w:rPr>
          <w:rFonts w:eastAsia="MS Mincho" w:hint="cs"/>
          <w:sz w:val="26"/>
          <w:rtl/>
        </w:rPr>
        <w:t>, ואולי כבר בלשון התורה</w:t>
      </w:r>
      <w:r>
        <w:rPr>
          <w:rStyle w:val="a4"/>
          <w:rFonts w:eastAsia="MS Mincho"/>
          <w:rtl/>
        </w:rPr>
        <w:footnoteReference w:id="332"/>
      </w:r>
      <w:r>
        <w:rPr>
          <w:rFonts w:hint="cs"/>
          <w:rtl/>
        </w:rPr>
        <w:t>.</w:t>
      </w:r>
    </w:p>
    <w:p w14:paraId="4F1F118D" w14:textId="77777777" w:rsidR="000015C4" w:rsidRDefault="000015C4" w:rsidP="000015C4">
      <w:pPr>
        <w:ind w:firstLine="284"/>
        <w:rPr>
          <w:rFonts w:hint="cs"/>
          <w:rtl/>
        </w:rPr>
      </w:pPr>
      <w:r>
        <w:rPr>
          <w:rFonts w:hint="cs"/>
          <w:rtl/>
        </w:rPr>
        <w:lastRenderedPageBreak/>
        <w:t>כיוצא בדבר במצות ביעור החמץ: הואיל ואת ביעור החמץ</w:t>
      </w:r>
      <w:r>
        <w:rPr>
          <w:rStyle w:val="a4"/>
          <w:rtl/>
        </w:rPr>
        <w:footnoteReference w:id="333"/>
      </w:r>
      <w:r>
        <w:rPr>
          <w:rFonts w:hint="cs"/>
          <w:rtl/>
        </w:rPr>
        <w:t xml:space="preserve"> מקדימה בדיקה מדוקדקת עד למציאת כל החמץ, נקרא כל התהליך על שם סופו. לפיכך יכולה הברייתא להשתמש בניסוח "</w:t>
      </w:r>
      <w:r>
        <w:rPr>
          <w:rtl/>
        </w:rPr>
        <w:t xml:space="preserve">הכל נאמנים על </w:t>
      </w:r>
      <w:r>
        <w:rPr>
          <w:b/>
          <w:bCs/>
          <w:rtl/>
        </w:rPr>
        <w:t>ביעור</w:t>
      </w:r>
      <w:r>
        <w:rPr>
          <w:rtl/>
        </w:rPr>
        <w:t xml:space="preserve"> חמץ</w:t>
      </w:r>
      <w:r>
        <w:rPr>
          <w:rFonts w:hint="cs"/>
          <w:rtl/>
        </w:rPr>
        <w:t>"</w:t>
      </w:r>
      <w:r>
        <w:rPr>
          <w:rtl/>
        </w:rPr>
        <w:t xml:space="preserve"> </w:t>
      </w:r>
      <w:r>
        <w:rPr>
          <w:rFonts w:hint="cs"/>
          <w:rtl/>
        </w:rPr>
        <w:t>(</w:t>
      </w:r>
      <w:r>
        <w:rPr>
          <w:sz w:val="18"/>
          <w:szCs w:val="20"/>
          <w:rtl/>
        </w:rPr>
        <w:t>פסחים ד</w:t>
      </w:r>
      <w:r>
        <w:rPr>
          <w:rFonts w:hint="cs"/>
          <w:sz w:val="18"/>
          <w:szCs w:val="20"/>
          <w:rtl/>
        </w:rPr>
        <w:t xml:space="preserve">, </w:t>
      </w:r>
      <w:r>
        <w:rPr>
          <w:sz w:val="18"/>
          <w:szCs w:val="20"/>
          <w:rtl/>
        </w:rPr>
        <w:t>א</w:t>
      </w:r>
      <w:r>
        <w:rPr>
          <w:rFonts w:hint="cs"/>
          <w:rtl/>
        </w:rPr>
        <w:t xml:space="preserve">) על אף שמדובר על </w:t>
      </w:r>
      <w:r>
        <w:rPr>
          <w:b/>
          <w:bCs/>
          <w:sz w:val="26"/>
          <w:rtl/>
        </w:rPr>
        <w:t>בד</w:t>
      </w:r>
      <w:r>
        <w:rPr>
          <w:rFonts w:hint="cs"/>
          <w:b/>
          <w:bCs/>
          <w:sz w:val="26"/>
          <w:rtl/>
        </w:rPr>
        <w:t>י</w:t>
      </w:r>
      <w:r>
        <w:rPr>
          <w:b/>
          <w:bCs/>
          <w:sz w:val="26"/>
          <w:rtl/>
        </w:rPr>
        <w:t>ק</w:t>
      </w:r>
      <w:r>
        <w:rPr>
          <w:rFonts w:hint="cs"/>
          <w:b/>
          <w:bCs/>
          <w:sz w:val="26"/>
          <w:rtl/>
        </w:rPr>
        <w:t>ת</w:t>
      </w:r>
      <w:r>
        <w:rPr>
          <w:sz w:val="26"/>
          <w:rtl/>
        </w:rPr>
        <w:t xml:space="preserve"> </w:t>
      </w:r>
      <w:r>
        <w:rPr>
          <w:rFonts w:hint="cs"/>
          <w:sz w:val="26"/>
          <w:rtl/>
        </w:rPr>
        <w:t>חמץ</w:t>
      </w:r>
      <w:r>
        <w:rPr>
          <w:rStyle w:val="a4"/>
          <w:rtl/>
        </w:rPr>
        <w:footnoteReference w:id="334"/>
      </w:r>
      <w:r>
        <w:rPr>
          <w:rFonts w:hint="cs"/>
          <w:rtl/>
        </w:rPr>
        <w:t xml:space="preserve">, וכן נוסח הברכה עובר לעשיית </w:t>
      </w:r>
      <w:r>
        <w:rPr>
          <w:rFonts w:hint="cs"/>
          <w:b/>
          <w:bCs/>
          <w:rtl/>
        </w:rPr>
        <w:t>הבדיקה</w:t>
      </w:r>
      <w:r>
        <w:rPr>
          <w:rFonts w:hint="cs"/>
          <w:rtl/>
        </w:rPr>
        <w:t xml:space="preserve"> הוא:</w:t>
      </w:r>
      <w:r>
        <w:rPr>
          <w:rtl/>
        </w:rPr>
        <w:t xml:space="preserve"> "על </w:t>
      </w:r>
      <w:r>
        <w:rPr>
          <w:b/>
          <w:bCs/>
          <w:rtl/>
        </w:rPr>
        <w:t>ביעור</w:t>
      </w:r>
      <w:r>
        <w:rPr>
          <w:rtl/>
        </w:rPr>
        <w:t xml:space="preserve"> חמץ"</w:t>
      </w:r>
      <w:r>
        <w:rPr>
          <w:rStyle w:val="a4"/>
          <w:rtl/>
        </w:rPr>
        <w:footnoteReference w:id="335"/>
      </w:r>
      <w:r>
        <w:rPr>
          <w:rtl/>
        </w:rPr>
        <w:t xml:space="preserve">. </w:t>
      </w:r>
    </w:p>
    <w:p w14:paraId="75F1389E" w14:textId="77777777" w:rsidR="000015C4" w:rsidRDefault="000015C4" w:rsidP="000015C4">
      <w:pPr>
        <w:ind w:firstLine="284"/>
        <w:rPr>
          <w:rFonts w:hint="cs"/>
          <w:rtl/>
        </w:rPr>
      </w:pPr>
      <w:r>
        <w:rPr>
          <w:rFonts w:hint="cs"/>
          <w:rtl/>
        </w:rPr>
        <w:lastRenderedPageBreak/>
        <w:t xml:space="preserve">אף בלשון התורה </w:t>
      </w:r>
      <w:r>
        <w:rPr>
          <w:rtl/>
        </w:rPr>
        <w:t>"תְפַאֵר אַחֲרֶיךָ"</w:t>
      </w:r>
      <w:r>
        <w:rPr>
          <w:rFonts w:hint="cs"/>
          <w:rtl/>
        </w:rPr>
        <w:t xml:space="preserve"> ובלשון חכמים (ואונקלוס) "</w:t>
      </w:r>
      <w:r>
        <w:rPr>
          <w:rtl/>
        </w:rPr>
        <w:t>יפלה את כליו</w:t>
      </w:r>
      <w:r>
        <w:rPr>
          <w:rFonts w:hint="cs"/>
          <w:rtl/>
        </w:rPr>
        <w:t>" ניתן לפרש שעיקר הוראתם של הפעלים הוא: עקירה ונטילה, הוצאה וסילוק, ביעור וכילוי (</w:t>
      </w:r>
      <w:r>
        <w:rPr>
          <w:rFonts w:hint="cs"/>
          <w:sz w:val="18"/>
          <w:szCs w:val="20"/>
          <w:rtl/>
        </w:rPr>
        <w:t>כרש"י</w:t>
      </w:r>
      <w:r>
        <w:rPr>
          <w:rFonts w:hint="cs"/>
          <w:rtl/>
        </w:rPr>
        <w:t>), אך מכיוון שאת סילוקם מקדים חיפוש ממושך ומייגע עד למציאתם, נקרא כל התהליך על שם סופו, ולכן אם בראשונה היו אומרים שהוא "בודק" את הבגד ו"מחפש" בו כִּנים על מנת שיוכל "לפלות" אותם, בשלב הבא החלו לקצֵר ולומר שהוא "מפלה" את הבגד, דהיינו בודק אותו ועושה את כל התהליך שמטרתו סילוק הכִּנים ממנו.</w:t>
      </w:r>
    </w:p>
    <w:p w14:paraId="421602E7" w14:textId="77777777" w:rsidR="000015C4" w:rsidRDefault="000015C4" w:rsidP="000015C4">
      <w:pPr>
        <w:ind w:firstLine="284"/>
        <w:rPr>
          <w:rFonts w:hint="cs"/>
          <w:rtl/>
        </w:rPr>
      </w:pPr>
      <w:r>
        <w:rPr>
          <w:rFonts w:hint="cs"/>
          <w:rtl/>
        </w:rPr>
        <w:t>שמא ניתן להוכיח מן התלמוד הבבלי כפירוש הערוך והרמב"ם: על המשנה "</w:t>
      </w:r>
      <w:r>
        <w:rPr>
          <w:rtl/>
        </w:rPr>
        <w:t xml:space="preserve">לא יפלה את </w:t>
      </w:r>
      <w:r>
        <w:rPr>
          <w:rFonts w:hint="cs"/>
          <w:rtl/>
        </w:rPr>
        <w:t>כליו" הביא התלמוד (</w:t>
      </w:r>
      <w:r>
        <w:rPr>
          <w:rFonts w:hint="cs"/>
          <w:sz w:val="18"/>
          <w:szCs w:val="20"/>
          <w:rtl/>
        </w:rPr>
        <w:t xml:space="preserve">להלן דף </w:t>
      </w:r>
      <w:r>
        <w:rPr>
          <w:sz w:val="18"/>
          <w:szCs w:val="20"/>
          <w:rtl/>
        </w:rPr>
        <w:t>יב</w:t>
      </w:r>
      <w:r>
        <w:rPr>
          <w:rFonts w:hint="cs"/>
          <w:sz w:val="18"/>
          <w:szCs w:val="20"/>
          <w:rtl/>
        </w:rPr>
        <w:t xml:space="preserve">, </w:t>
      </w:r>
      <w:r>
        <w:rPr>
          <w:sz w:val="18"/>
          <w:szCs w:val="20"/>
          <w:rtl/>
        </w:rPr>
        <w:t>א</w:t>
      </w:r>
      <w:r>
        <w:rPr>
          <w:rFonts w:hint="cs"/>
          <w:rtl/>
        </w:rPr>
        <w:t xml:space="preserve">) מימרא של </w:t>
      </w:r>
      <w:r>
        <w:rPr>
          <w:rtl/>
        </w:rPr>
        <w:t xml:space="preserve">רב יהודה </w:t>
      </w:r>
      <w:r>
        <w:rPr>
          <w:rFonts w:hint="cs"/>
          <w:rtl/>
        </w:rPr>
        <w:t xml:space="preserve">בשם </w:t>
      </w:r>
      <w:r>
        <w:rPr>
          <w:rtl/>
        </w:rPr>
        <w:t>שמואל</w:t>
      </w:r>
      <w:r>
        <w:rPr>
          <w:rFonts w:hint="cs"/>
          <w:rtl/>
        </w:rPr>
        <w:t xml:space="preserve"> בלשון זו "</w:t>
      </w:r>
      <w:r>
        <w:rPr>
          <w:rtl/>
        </w:rPr>
        <w:t xml:space="preserve">אפילו </w:t>
      </w:r>
      <w:r>
        <w:rPr>
          <w:b/>
          <w:bCs/>
          <w:rtl/>
        </w:rPr>
        <w:t>להבחין</w:t>
      </w:r>
      <w:r>
        <w:rPr>
          <w:rtl/>
        </w:rPr>
        <w:t xml:space="preserve"> בין בגדו לבגדי אשתו</w:t>
      </w:r>
      <w:r>
        <w:rPr>
          <w:rFonts w:hint="cs"/>
          <w:rtl/>
        </w:rPr>
        <w:t>"</w:t>
      </w:r>
      <w:r>
        <w:rPr>
          <w:rtl/>
        </w:rPr>
        <w:t xml:space="preserve">. </w:t>
      </w:r>
      <w:r>
        <w:rPr>
          <w:rFonts w:hint="cs"/>
          <w:rtl/>
        </w:rPr>
        <w:t>כלומר, אותה פעולה ששנינו במשנה (</w:t>
      </w:r>
      <w:r>
        <w:rPr>
          <w:rFonts w:ascii="Arial" w:hAnsi="Arial" w:cs="Arial" w:hint="cs"/>
          <w:sz w:val="24"/>
          <w:rtl/>
        </w:rPr>
        <w:t>=</w:t>
      </w:r>
      <w:r>
        <w:rPr>
          <w:rFonts w:hint="cs"/>
          <w:rtl/>
        </w:rPr>
        <w:t xml:space="preserve"> </w:t>
      </w:r>
      <w:r>
        <w:rPr>
          <w:rFonts w:hint="cs"/>
          <w:b/>
          <w:bCs/>
          <w:rtl/>
        </w:rPr>
        <w:t>בדיקת</w:t>
      </w:r>
      <w:r>
        <w:rPr>
          <w:rFonts w:hint="cs"/>
          <w:rtl/>
        </w:rPr>
        <w:t xml:space="preserve"> בגדים), </w:t>
      </w:r>
      <w:r>
        <w:rPr>
          <w:rtl/>
        </w:rPr>
        <w:t>יכולה להיעשות לא רק על מנת לבעֵר כִּנים, אלא גם על מנת לזהוֹת אם מדובר בבגדו או בבגד אשתו</w:t>
      </w:r>
      <w:r>
        <w:rPr>
          <w:rStyle w:val="a4"/>
          <w:rtl/>
        </w:rPr>
        <w:footnoteReference w:id="336"/>
      </w:r>
      <w:r>
        <w:rPr>
          <w:rtl/>
        </w:rPr>
        <w:t>.</w:t>
      </w:r>
    </w:p>
    <w:p w14:paraId="617A3B59" w14:textId="77777777" w:rsidR="000015C4" w:rsidRDefault="000015C4" w:rsidP="000015C4">
      <w:pPr>
        <w:pStyle w:val="3"/>
        <w:rPr>
          <w:rFonts w:hint="cs"/>
          <w:rtl/>
        </w:rPr>
      </w:pPr>
      <w:r>
        <w:rPr>
          <w:rtl/>
        </w:rPr>
        <w:t>בעל</w:t>
      </w:r>
      <w:r>
        <w:rPr>
          <w:rFonts w:hint="cs"/>
          <w:rtl/>
        </w:rPr>
        <w:t xml:space="preserve"> </w:t>
      </w:r>
      <w:r>
        <w:rPr>
          <w:rtl/>
        </w:rPr>
        <w:t>הפול</w:t>
      </w:r>
      <w:r>
        <w:rPr>
          <w:rFonts w:hint="cs"/>
          <w:rtl/>
        </w:rPr>
        <w:t xml:space="preserve"> </w:t>
      </w:r>
    </w:p>
    <w:p w14:paraId="2943A099" w14:textId="77777777" w:rsidR="000015C4" w:rsidRDefault="000015C4" w:rsidP="000015C4">
      <w:pPr>
        <w:ind w:firstLine="284"/>
        <w:rPr>
          <w:rFonts w:hint="cs"/>
          <w:rtl/>
        </w:rPr>
      </w:pPr>
      <w:r>
        <w:rPr>
          <w:rFonts w:hint="cs"/>
          <w:rtl/>
        </w:rPr>
        <w:t xml:space="preserve">בשולי הדברים יש להעיר על ביטוי נוסף למחלוקת זו: </w:t>
      </w:r>
    </w:p>
    <w:p w14:paraId="2274CA33" w14:textId="77777777" w:rsidR="000015C4" w:rsidRDefault="000015C4" w:rsidP="000015C4">
      <w:pPr>
        <w:ind w:firstLine="284"/>
        <w:rPr>
          <w:rFonts w:hint="cs"/>
          <w:rtl/>
        </w:rPr>
      </w:pPr>
      <w:r>
        <w:rPr>
          <w:rFonts w:hint="cs"/>
          <w:rtl/>
        </w:rPr>
        <w:lastRenderedPageBreak/>
        <w:t>שנינו ב</w:t>
      </w:r>
      <w:r>
        <w:rPr>
          <w:rtl/>
        </w:rPr>
        <w:t xml:space="preserve">תוספתא </w:t>
      </w:r>
      <w:r>
        <w:rPr>
          <w:rFonts w:hint="cs"/>
          <w:rtl/>
        </w:rPr>
        <w:t>(</w:t>
      </w:r>
      <w:r>
        <w:rPr>
          <w:sz w:val="18"/>
          <w:szCs w:val="20"/>
          <w:rtl/>
        </w:rPr>
        <w:t>כלים</w:t>
      </w:r>
      <w:r>
        <w:rPr>
          <w:rFonts w:hint="cs"/>
          <w:sz w:val="18"/>
          <w:szCs w:val="20"/>
          <w:rtl/>
        </w:rPr>
        <w:t xml:space="preserve">, </w:t>
      </w:r>
      <w:r>
        <w:rPr>
          <w:sz w:val="18"/>
          <w:szCs w:val="20"/>
          <w:rtl/>
        </w:rPr>
        <w:t>בבא קמא</w:t>
      </w:r>
      <w:r>
        <w:rPr>
          <w:rFonts w:hint="cs"/>
          <w:sz w:val="18"/>
          <w:szCs w:val="20"/>
          <w:rtl/>
        </w:rPr>
        <w:t xml:space="preserve"> </w:t>
      </w:r>
      <w:r>
        <w:rPr>
          <w:sz w:val="18"/>
          <w:szCs w:val="20"/>
          <w:rtl/>
        </w:rPr>
        <w:t>פ</w:t>
      </w:r>
      <w:r>
        <w:rPr>
          <w:rFonts w:hint="cs"/>
          <w:sz w:val="18"/>
          <w:szCs w:val="20"/>
          <w:rtl/>
        </w:rPr>
        <w:t>"</w:t>
      </w:r>
      <w:r>
        <w:rPr>
          <w:sz w:val="18"/>
          <w:szCs w:val="20"/>
          <w:rtl/>
        </w:rPr>
        <w:t>א ה</w:t>
      </w:r>
      <w:r>
        <w:rPr>
          <w:rFonts w:hint="cs"/>
          <w:sz w:val="18"/>
          <w:szCs w:val="20"/>
          <w:rtl/>
        </w:rPr>
        <w:t>"</w:t>
      </w:r>
      <w:r>
        <w:rPr>
          <w:sz w:val="18"/>
          <w:szCs w:val="20"/>
          <w:rtl/>
        </w:rPr>
        <w:t>ו</w:t>
      </w:r>
      <w:r>
        <w:rPr>
          <w:rFonts w:hint="cs"/>
          <w:rtl/>
        </w:rPr>
        <w:t>): "</w:t>
      </w:r>
      <w:r>
        <w:rPr>
          <w:rtl/>
        </w:rPr>
        <w:t>נכנסין לבין האולם ולמזבח שלא רחוץ ידים ורגלים</w:t>
      </w:r>
      <w:r>
        <w:rPr>
          <w:rFonts w:hint="cs"/>
          <w:rtl/>
        </w:rPr>
        <w:t>,</w:t>
      </w:r>
      <w:r>
        <w:rPr>
          <w:rtl/>
        </w:rPr>
        <w:t xml:space="preserve"> דברי ר' מאיר</w:t>
      </w:r>
      <w:r>
        <w:rPr>
          <w:rFonts w:hint="cs"/>
          <w:rtl/>
        </w:rPr>
        <w:t>.</w:t>
      </w:r>
      <w:r>
        <w:rPr>
          <w:rtl/>
        </w:rPr>
        <w:t xml:space="preserve"> וחכמים אומרים</w:t>
      </w:r>
      <w:r>
        <w:rPr>
          <w:rFonts w:hint="cs"/>
          <w:rtl/>
        </w:rPr>
        <w:t>:</w:t>
      </w:r>
      <w:r>
        <w:rPr>
          <w:rtl/>
        </w:rPr>
        <w:t xml:space="preserve"> אין נכנסין</w:t>
      </w:r>
      <w:r>
        <w:rPr>
          <w:rFonts w:hint="cs"/>
          <w:rtl/>
        </w:rPr>
        <w:t>.</w:t>
      </w:r>
      <w:r>
        <w:rPr>
          <w:rtl/>
        </w:rPr>
        <w:t xml:space="preserve"> אמר שמעון הצנוע לפני ר' אליעזר</w:t>
      </w:r>
      <w:r>
        <w:rPr>
          <w:rFonts w:hint="cs"/>
          <w:rtl/>
        </w:rPr>
        <w:t>:</w:t>
      </w:r>
      <w:r>
        <w:rPr>
          <w:rtl/>
        </w:rPr>
        <w:t xml:space="preserve"> אני נכנסתי לבין האולם ולמזבח שלא רחוץ ידים ורגלים</w:t>
      </w:r>
      <w:r>
        <w:rPr>
          <w:rFonts w:hint="cs"/>
          <w:rtl/>
        </w:rPr>
        <w:t>!</w:t>
      </w:r>
      <w:r>
        <w:rPr>
          <w:rtl/>
        </w:rPr>
        <w:t xml:space="preserve"> אמר לו</w:t>
      </w:r>
      <w:r>
        <w:rPr>
          <w:rFonts w:hint="cs"/>
          <w:rtl/>
        </w:rPr>
        <w:t>:</w:t>
      </w:r>
      <w:r>
        <w:rPr>
          <w:rtl/>
        </w:rPr>
        <w:t xml:space="preserve"> מי חביב</w:t>
      </w:r>
      <w:r>
        <w:rPr>
          <w:rFonts w:hint="cs"/>
          <w:rtl/>
        </w:rPr>
        <w:t>:</w:t>
      </w:r>
      <w:r>
        <w:rPr>
          <w:rtl/>
        </w:rPr>
        <w:t xml:space="preserve"> אתה או כהן גדול</w:t>
      </w:r>
      <w:r>
        <w:rPr>
          <w:rFonts w:hint="cs"/>
          <w:rtl/>
        </w:rPr>
        <w:t>?</w:t>
      </w:r>
      <w:r>
        <w:rPr>
          <w:rtl/>
        </w:rPr>
        <w:t xml:space="preserve"> היה שותק</w:t>
      </w:r>
      <w:r>
        <w:rPr>
          <w:rFonts w:hint="cs"/>
          <w:rtl/>
        </w:rPr>
        <w:t>.</w:t>
      </w:r>
      <w:r>
        <w:rPr>
          <w:rtl/>
        </w:rPr>
        <w:t xml:space="preserve"> אמר לו</w:t>
      </w:r>
      <w:r>
        <w:rPr>
          <w:rFonts w:hint="cs"/>
          <w:rtl/>
        </w:rPr>
        <w:t>:</w:t>
      </w:r>
      <w:r>
        <w:rPr>
          <w:rtl/>
        </w:rPr>
        <w:t xml:space="preserve"> בוש אתה לומר שכלבו של כהן גדול חביב הימך</w:t>
      </w:r>
      <w:r>
        <w:rPr>
          <w:rFonts w:hint="cs"/>
          <w:rtl/>
        </w:rPr>
        <w:t>?</w:t>
      </w:r>
      <w:r>
        <w:rPr>
          <w:rtl/>
        </w:rPr>
        <w:t xml:space="preserve"> אמר לו</w:t>
      </w:r>
      <w:r>
        <w:rPr>
          <w:rFonts w:hint="cs"/>
          <w:rtl/>
        </w:rPr>
        <w:t>:</w:t>
      </w:r>
      <w:r>
        <w:rPr>
          <w:rtl/>
        </w:rPr>
        <w:t xml:space="preserve"> רבי</w:t>
      </w:r>
      <w:r>
        <w:rPr>
          <w:rFonts w:hint="cs"/>
          <w:rtl/>
        </w:rPr>
        <w:t>,</w:t>
      </w:r>
      <w:r>
        <w:rPr>
          <w:rtl/>
        </w:rPr>
        <w:t xml:space="preserve"> אמרת</w:t>
      </w:r>
      <w:r>
        <w:rPr>
          <w:rFonts w:hint="cs"/>
          <w:rtl/>
        </w:rPr>
        <w:t>!</w:t>
      </w:r>
      <w:r>
        <w:rPr>
          <w:rtl/>
        </w:rPr>
        <w:t xml:space="preserve"> אמר לו</w:t>
      </w:r>
      <w:r>
        <w:rPr>
          <w:rFonts w:hint="cs"/>
          <w:rtl/>
        </w:rPr>
        <w:t>:</w:t>
      </w:r>
      <w:r>
        <w:rPr>
          <w:rtl/>
        </w:rPr>
        <w:t xml:space="preserve"> העבודה</w:t>
      </w:r>
      <w:r>
        <w:rPr>
          <w:rFonts w:hint="cs"/>
          <w:rtl/>
        </w:rPr>
        <w:t>!</w:t>
      </w:r>
      <w:r>
        <w:rPr>
          <w:rtl/>
        </w:rPr>
        <w:t xml:space="preserve"> אפילו כהן גדול פ</w:t>
      </w:r>
      <w:r>
        <w:rPr>
          <w:rFonts w:hint="cs"/>
          <w:rtl/>
        </w:rPr>
        <w:t>[ו]</w:t>
      </w:r>
      <w:r>
        <w:rPr>
          <w:rtl/>
        </w:rPr>
        <w:t>צעין</w:t>
      </w:r>
      <w:r>
        <w:rPr>
          <w:rStyle w:val="a4"/>
          <w:rtl/>
        </w:rPr>
        <w:footnoteReference w:id="337"/>
      </w:r>
      <w:r>
        <w:rPr>
          <w:rtl/>
        </w:rPr>
        <w:t xml:space="preserve"> את מוחו בגזירין</w:t>
      </w:r>
      <w:r>
        <w:rPr>
          <w:rFonts w:hint="cs"/>
          <w:rtl/>
        </w:rPr>
        <w:t>!</w:t>
      </w:r>
      <w:r>
        <w:rPr>
          <w:rtl/>
        </w:rPr>
        <w:t xml:space="preserve"> מה תעשה שלא מצאך</w:t>
      </w:r>
      <w:r>
        <w:rPr>
          <w:rFonts w:hint="cs"/>
          <w:rtl/>
        </w:rPr>
        <w:t xml:space="preserve"> </w:t>
      </w:r>
      <w:r>
        <w:rPr>
          <w:rtl/>
        </w:rPr>
        <w:t>בעל</w:t>
      </w:r>
      <w:r>
        <w:rPr>
          <w:rFonts w:hint="cs"/>
          <w:rtl/>
        </w:rPr>
        <w:t xml:space="preserve"> </w:t>
      </w:r>
      <w:r>
        <w:rPr>
          <w:rtl/>
        </w:rPr>
        <w:t>ה</w:t>
      </w:r>
      <w:r>
        <w:rPr>
          <w:b/>
          <w:bCs/>
          <w:rtl/>
        </w:rPr>
        <w:t>פול</w:t>
      </w:r>
      <w:r>
        <w:rPr>
          <w:rFonts w:hint="cs"/>
          <w:rtl/>
        </w:rPr>
        <w:t>".</w:t>
      </w:r>
    </w:p>
    <w:p w14:paraId="757DDE57" w14:textId="77777777" w:rsidR="000015C4" w:rsidRDefault="000015C4" w:rsidP="000015C4">
      <w:pPr>
        <w:ind w:firstLine="284"/>
        <w:rPr>
          <w:rFonts w:hint="cs"/>
          <w:rtl/>
        </w:rPr>
      </w:pPr>
      <w:r>
        <w:rPr>
          <w:rFonts w:hint="cs"/>
          <w:rtl/>
        </w:rPr>
        <w:t>מיהו "</w:t>
      </w:r>
      <w:r>
        <w:rPr>
          <w:rtl/>
        </w:rPr>
        <w:t>בעל</w:t>
      </w:r>
      <w:r>
        <w:rPr>
          <w:rFonts w:hint="cs"/>
          <w:rtl/>
        </w:rPr>
        <w:t xml:space="preserve"> </w:t>
      </w:r>
      <w:r>
        <w:rPr>
          <w:rtl/>
        </w:rPr>
        <w:t>הפול</w:t>
      </w:r>
      <w:r>
        <w:rPr>
          <w:rFonts w:hint="cs"/>
          <w:rtl/>
        </w:rPr>
        <w:t>" ומה תפקידו? מבארים בעלי ה</w:t>
      </w:r>
      <w:r>
        <w:rPr>
          <w:rtl/>
        </w:rPr>
        <w:t xml:space="preserve">תוספות </w:t>
      </w:r>
      <w:r>
        <w:rPr>
          <w:rFonts w:hint="cs"/>
          <w:rtl/>
        </w:rPr>
        <w:t>(</w:t>
      </w:r>
      <w:r>
        <w:rPr>
          <w:sz w:val="18"/>
          <w:szCs w:val="20"/>
          <w:rtl/>
        </w:rPr>
        <w:t>סנהדרין פג</w:t>
      </w:r>
      <w:r>
        <w:rPr>
          <w:rFonts w:hint="cs"/>
          <w:sz w:val="18"/>
          <w:szCs w:val="20"/>
          <w:rtl/>
        </w:rPr>
        <w:t xml:space="preserve">, </w:t>
      </w:r>
      <w:r>
        <w:rPr>
          <w:sz w:val="18"/>
          <w:szCs w:val="20"/>
          <w:rtl/>
        </w:rPr>
        <w:t>א</w:t>
      </w:r>
      <w:r>
        <w:rPr>
          <w:rFonts w:hint="cs"/>
          <w:sz w:val="18"/>
          <w:szCs w:val="20"/>
          <w:rtl/>
        </w:rPr>
        <w:t xml:space="preserve"> ד"ה </w:t>
      </w:r>
      <w:r>
        <w:rPr>
          <w:sz w:val="18"/>
          <w:szCs w:val="20"/>
          <w:rtl/>
        </w:rPr>
        <w:t>ולא משום טומאה</w:t>
      </w:r>
      <w:r>
        <w:rPr>
          <w:rFonts w:hint="cs"/>
          <w:rtl/>
        </w:rPr>
        <w:t>): "</w:t>
      </w:r>
      <w:r>
        <w:rPr>
          <w:rtl/>
        </w:rPr>
        <w:t xml:space="preserve">בעל הפול </w:t>
      </w:r>
      <w:r>
        <w:rPr>
          <w:rFonts w:hint="cs"/>
          <w:rtl/>
        </w:rPr>
        <w:t xml:space="preserve">- </w:t>
      </w:r>
      <w:r>
        <w:rPr>
          <w:rtl/>
        </w:rPr>
        <w:t>פי</w:t>
      </w:r>
      <w:r>
        <w:rPr>
          <w:rFonts w:hint="cs"/>
          <w:rtl/>
        </w:rPr>
        <w:t>רוש:</w:t>
      </w:r>
      <w:r>
        <w:rPr>
          <w:rtl/>
        </w:rPr>
        <w:t xml:space="preserve"> כמו </w:t>
      </w:r>
      <w:r>
        <w:rPr>
          <w:rFonts w:hint="cs"/>
          <w:rtl/>
        </w:rPr>
        <w:t>'</w:t>
      </w:r>
      <w:r>
        <w:rPr>
          <w:rtl/>
        </w:rPr>
        <w:t>אין פולין</w:t>
      </w:r>
      <w:r>
        <w:rPr>
          <w:rFonts w:hint="cs"/>
          <w:rtl/>
        </w:rPr>
        <w:t xml:space="preserve">', </w:t>
      </w:r>
      <w:r>
        <w:rPr>
          <w:rtl/>
        </w:rPr>
        <w:t>איש הר הבית הממונה ו</w:t>
      </w:r>
      <w:r>
        <w:rPr>
          <w:b/>
          <w:bCs/>
          <w:rtl/>
        </w:rPr>
        <w:t>בודק</w:t>
      </w:r>
      <w:r>
        <w:rPr>
          <w:rFonts w:hint="cs"/>
          <w:rtl/>
        </w:rPr>
        <w:t>"</w:t>
      </w:r>
      <w:r>
        <w:rPr>
          <w:rStyle w:val="a4"/>
          <w:rtl/>
        </w:rPr>
        <w:footnoteReference w:id="338"/>
      </w:r>
      <w:r>
        <w:rPr>
          <w:rFonts w:hint="cs"/>
          <w:rtl/>
        </w:rPr>
        <w:t xml:space="preserve">. </w:t>
      </w:r>
    </w:p>
    <w:p w14:paraId="78C7AB4F" w14:textId="77777777" w:rsidR="000015C4" w:rsidRDefault="000015C4" w:rsidP="000015C4">
      <w:pPr>
        <w:ind w:firstLine="284"/>
        <w:rPr>
          <w:rFonts w:hint="cs"/>
          <w:rtl/>
        </w:rPr>
      </w:pPr>
      <w:r>
        <w:rPr>
          <w:rFonts w:hint="cs"/>
          <w:rtl/>
        </w:rPr>
        <w:t>שמא רש"י היה מפרש כך: "</w:t>
      </w:r>
      <w:r>
        <w:rPr>
          <w:rtl/>
        </w:rPr>
        <w:t>בעל הפול</w:t>
      </w:r>
      <w:r>
        <w:rPr>
          <w:rFonts w:hint="cs"/>
          <w:rtl/>
        </w:rPr>
        <w:t xml:space="preserve"> - </w:t>
      </w:r>
      <w:r>
        <w:rPr>
          <w:rtl/>
        </w:rPr>
        <w:t>איש הר הבית</w:t>
      </w:r>
      <w:r>
        <w:rPr>
          <w:rFonts w:hint="cs"/>
          <w:rtl/>
        </w:rPr>
        <w:t xml:space="preserve"> הממונה לסלק ממשמרתו כל בן לוי שמוצאו נרדם בשמירתו,</w:t>
      </w:r>
      <w:r>
        <w:rPr>
          <w:rtl/>
        </w:rPr>
        <w:t xml:space="preserve"> כמו ששנינו </w:t>
      </w:r>
      <w:r>
        <w:rPr>
          <w:rFonts w:hint="cs"/>
          <w:rtl/>
        </w:rPr>
        <w:t>(</w:t>
      </w:r>
      <w:r>
        <w:rPr>
          <w:sz w:val="18"/>
          <w:szCs w:val="20"/>
          <w:rtl/>
        </w:rPr>
        <w:t>מידות פ</w:t>
      </w:r>
      <w:r>
        <w:rPr>
          <w:rFonts w:hint="cs"/>
          <w:sz w:val="18"/>
          <w:szCs w:val="20"/>
          <w:rtl/>
        </w:rPr>
        <w:t>"</w:t>
      </w:r>
      <w:r>
        <w:rPr>
          <w:sz w:val="18"/>
          <w:szCs w:val="20"/>
          <w:rtl/>
        </w:rPr>
        <w:t>א מ</w:t>
      </w:r>
      <w:r>
        <w:rPr>
          <w:rFonts w:hint="cs"/>
          <w:sz w:val="18"/>
          <w:szCs w:val="20"/>
          <w:rtl/>
        </w:rPr>
        <w:t>"</w:t>
      </w:r>
      <w:r>
        <w:rPr>
          <w:sz w:val="18"/>
          <w:szCs w:val="20"/>
          <w:rtl/>
        </w:rPr>
        <w:t>ב</w:t>
      </w:r>
      <w:r>
        <w:rPr>
          <w:rFonts w:hint="cs"/>
          <w:rtl/>
        </w:rPr>
        <w:t>) '</w:t>
      </w:r>
      <w:r>
        <w:rPr>
          <w:rtl/>
        </w:rPr>
        <w:t>איש</w:t>
      </w:r>
      <w:r>
        <w:rPr>
          <w:rFonts w:hint="cs"/>
          <w:rtl/>
        </w:rPr>
        <w:t xml:space="preserve"> </w:t>
      </w:r>
      <w:r>
        <w:rPr>
          <w:rtl/>
        </w:rPr>
        <w:t>הר</w:t>
      </w:r>
      <w:r>
        <w:rPr>
          <w:rFonts w:hint="cs"/>
          <w:rtl/>
        </w:rPr>
        <w:t xml:space="preserve"> </w:t>
      </w:r>
      <w:r>
        <w:rPr>
          <w:rtl/>
        </w:rPr>
        <w:t>הבית היה מחזר על כל משמר ומשמר ואבוקות דולקין לפניו וכל משמר שאינו עומד</w:t>
      </w:r>
      <w:r>
        <w:rPr>
          <w:rFonts w:hint="cs"/>
          <w:rtl/>
        </w:rPr>
        <w:t>,</w:t>
      </w:r>
      <w:r>
        <w:rPr>
          <w:rtl/>
        </w:rPr>
        <w:t xml:space="preserve"> אומר לו איש הר הבית</w:t>
      </w:r>
      <w:r>
        <w:rPr>
          <w:rFonts w:hint="cs"/>
          <w:rtl/>
        </w:rPr>
        <w:t>:</w:t>
      </w:r>
      <w:r>
        <w:rPr>
          <w:rtl/>
        </w:rPr>
        <w:t xml:space="preserve"> </w:t>
      </w:r>
      <w:r>
        <w:rPr>
          <w:rFonts w:hint="cs"/>
          <w:rtl/>
        </w:rPr>
        <w:t>'</w:t>
      </w:r>
      <w:r>
        <w:rPr>
          <w:rtl/>
        </w:rPr>
        <w:t>שלום עליך</w:t>
      </w:r>
      <w:r>
        <w:rPr>
          <w:rFonts w:hint="cs"/>
          <w:rtl/>
        </w:rPr>
        <w:t xml:space="preserve">!' </w:t>
      </w:r>
      <w:r>
        <w:rPr>
          <w:rtl/>
        </w:rPr>
        <w:t>ניכר שהוא ישן</w:t>
      </w:r>
      <w:r>
        <w:rPr>
          <w:rFonts w:hint="cs"/>
          <w:rtl/>
        </w:rPr>
        <w:t xml:space="preserve"> -</w:t>
      </w:r>
      <w:r>
        <w:rPr>
          <w:rtl/>
        </w:rPr>
        <w:t xml:space="preserve"> חובטו במקלו</w:t>
      </w:r>
      <w:r>
        <w:rPr>
          <w:rFonts w:hint="cs"/>
          <w:rtl/>
        </w:rPr>
        <w:t>,</w:t>
      </w:r>
      <w:r>
        <w:rPr>
          <w:rtl/>
        </w:rPr>
        <w:t xml:space="preserve"> ורשות היה לו לשרוף את כסותו</w:t>
      </w:r>
      <w:r>
        <w:rPr>
          <w:rFonts w:hint="cs"/>
          <w:rtl/>
        </w:rPr>
        <w:t xml:space="preserve">'. </w:t>
      </w:r>
      <w:r>
        <w:rPr>
          <w:rtl/>
        </w:rPr>
        <w:t>פול</w:t>
      </w:r>
      <w:r>
        <w:rPr>
          <w:rFonts w:hint="cs"/>
          <w:rtl/>
        </w:rPr>
        <w:t xml:space="preserve"> - לשון סילוק וביעור, דמתרגמינן: בִּעַרְתִּי - פַּלֵּתִי".</w:t>
      </w:r>
    </w:p>
    <w:p w14:paraId="1F03F1B5" w14:textId="77777777" w:rsidR="000015C4" w:rsidRDefault="000015C4" w:rsidP="000015C4">
      <w:pPr>
        <w:pStyle w:val="3"/>
        <w:rPr>
          <w:rFonts w:hint="cs"/>
          <w:rtl/>
        </w:rPr>
      </w:pPr>
      <w:r>
        <w:rPr>
          <w:rFonts w:hint="cs"/>
          <w:rtl/>
        </w:rPr>
        <w:lastRenderedPageBreak/>
        <w:t>כיצד כותבים וקוראים?</w:t>
      </w:r>
    </w:p>
    <w:p w14:paraId="755C77E7" w14:textId="77777777" w:rsidR="000015C4" w:rsidRDefault="000015C4" w:rsidP="000015C4">
      <w:pPr>
        <w:ind w:firstLine="284"/>
        <w:rPr>
          <w:rFonts w:hint="cs"/>
          <w:rtl/>
        </w:rPr>
      </w:pPr>
      <w:r>
        <w:rPr>
          <w:rFonts w:hint="cs"/>
          <w:rtl/>
        </w:rPr>
        <w:t xml:space="preserve">לסיום, נדון בשאלת צורתו של הפֹעַל "יפלה". מצינו שתי צורות כתיב </w:t>
      </w:r>
      <w:r>
        <w:rPr>
          <w:rtl/>
        </w:rPr>
        <w:t>(יפל</w:t>
      </w:r>
      <w:r>
        <w:rPr>
          <w:b/>
          <w:bCs/>
          <w:rtl/>
        </w:rPr>
        <w:t>ה</w:t>
      </w:r>
      <w:r>
        <w:rPr>
          <w:rtl/>
        </w:rPr>
        <w:t xml:space="preserve"> / יפל</w:t>
      </w:r>
      <w:r>
        <w:rPr>
          <w:b/>
          <w:bCs/>
          <w:rtl/>
        </w:rPr>
        <w:t>א</w:t>
      </w:r>
      <w:r>
        <w:rPr>
          <w:rStyle w:val="a4"/>
          <w:rtl/>
        </w:rPr>
        <w:footnoteReference w:id="339"/>
      </w:r>
      <w:r>
        <w:rPr>
          <w:rFonts w:hint="cs"/>
          <w:rtl/>
        </w:rPr>
        <w:t>) ושלושה אופני קריאה: בבנין קל: "יִפְלֶה", בבנין הִפעיל: "יַפְלֶה", או בבנין פִעֵל: "יְפַלֶּה".</w:t>
      </w:r>
    </w:p>
    <w:p w14:paraId="7770E03C" w14:textId="77777777" w:rsidR="000015C4" w:rsidRDefault="000015C4" w:rsidP="000015C4">
      <w:pPr>
        <w:ind w:firstLine="284"/>
        <w:rPr>
          <w:rFonts w:hint="cs"/>
          <w:rtl/>
        </w:rPr>
      </w:pPr>
      <w:r>
        <w:rPr>
          <w:rFonts w:hint="cs"/>
          <w:rtl/>
        </w:rPr>
        <w:t>הקריאה בבנין קל: "יִפְלֶה", נתמכת מלשון הברייתא: "אין פּוֹלִין לאור הנר" (</w:t>
      </w:r>
      <w:r>
        <w:rPr>
          <w:rFonts w:hint="cs"/>
          <w:sz w:val="18"/>
          <w:szCs w:val="20"/>
          <w:rtl/>
        </w:rPr>
        <w:t xml:space="preserve">להלן דף </w:t>
      </w:r>
      <w:r>
        <w:rPr>
          <w:sz w:val="18"/>
          <w:szCs w:val="20"/>
          <w:rtl/>
        </w:rPr>
        <w:t>יב</w:t>
      </w:r>
      <w:r>
        <w:rPr>
          <w:rFonts w:hint="cs"/>
          <w:sz w:val="18"/>
          <w:szCs w:val="20"/>
          <w:rtl/>
        </w:rPr>
        <w:t xml:space="preserve">, </w:t>
      </w:r>
      <w:r>
        <w:rPr>
          <w:sz w:val="18"/>
          <w:szCs w:val="20"/>
          <w:rtl/>
        </w:rPr>
        <w:t>א</w:t>
      </w:r>
      <w:r>
        <w:rPr>
          <w:rFonts w:hint="cs"/>
          <w:rtl/>
        </w:rPr>
        <w:t>). אך לשון ברייתא אחרת (</w:t>
      </w:r>
      <w:r>
        <w:rPr>
          <w:rFonts w:hint="cs"/>
          <w:sz w:val="18"/>
          <w:szCs w:val="20"/>
          <w:rtl/>
        </w:rPr>
        <w:t>שם</w:t>
      </w:r>
      <w:r>
        <w:rPr>
          <w:rFonts w:hint="cs"/>
          <w:rtl/>
        </w:rPr>
        <w:t xml:space="preserve">) "המפלה את </w:t>
      </w:r>
      <w:r>
        <w:rPr>
          <w:rtl/>
        </w:rPr>
        <w:t>כליו</w:t>
      </w:r>
      <w:r>
        <w:rPr>
          <w:rFonts w:hint="cs"/>
          <w:rtl/>
        </w:rPr>
        <w:t>" מסייעת לקריאה בבנין פִעֵל (המְפַלֶּה), או בהִפעיל (המַפְלֶה).</w:t>
      </w:r>
    </w:p>
    <w:p w14:paraId="40575FCC" w14:textId="77777777" w:rsidR="000015C4" w:rsidRDefault="000015C4" w:rsidP="000015C4">
      <w:pPr>
        <w:ind w:firstLine="284"/>
        <w:rPr>
          <w:rFonts w:hint="cs"/>
          <w:rtl/>
        </w:rPr>
      </w:pPr>
      <w:r>
        <w:rPr>
          <w:rtl/>
        </w:rPr>
        <w:t>רבי יעקב עמדין</w:t>
      </w:r>
      <w:r>
        <w:rPr>
          <w:rStyle w:val="a4"/>
          <w:rtl/>
        </w:rPr>
        <w:footnoteReference w:id="340"/>
      </w:r>
      <w:r>
        <w:rPr>
          <w:rtl/>
        </w:rPr>
        <w:t xml:space="preserve"> </w:t>
      </w:r>
      <w:r>
        <w:rPr>
          <w:rFonts w:hint="cs"/>
          <w:rtl/>
        </w:rPr>
        <w:t>סבור שיש לקרוא "יְפַלֶּה - מהַכָּבֵד" (היינו מבנין פִעֵל), "על דרך התרגום: וּבִעַרְתָּ (</w:t>
      </w:r>
      <w:r>
        <w:rPr>
          <w:rFonts w:hint="cs"/>
          <w:sz w:val="18"/>
          <w:szCs w:val="20"/>
          <w:rtl/>
        </w:rPr>
        <w:t>דברים יג, ו</w:t>
      </w:r>
      <w:r>
        <w:rPr>
          <w:rFonts w:hint="cs"/>
          <w:rtl/>
        </w:rPr>
        <w:t>) - וּתְפַלֵּי; בִּעַרְתִּי (</w:t>
      </w:r>
      <w:r>
        <w:rPr>
          <w:rFonts w:hint="cs"/>
          <w:sz w:val="18"/>
          <w:szCs w:val="20"/>
          <w:rtl/>
        </w:rPr>
        <w:t>דברים כו, יג</w:t>
      </w:r>
      <w:r>
        <w:rPr>
          <w:rFonts w:hint="cs"/>
          <w:rtl/>
        </w:rPr>
        <w:t>) - פַּלֵּתִי" (כנ"ל בפירוש רש"י). "ובטעות רגילין לקרות 'יַפְלֶה' על דרך העִברי, שהוא מהנוסף" (היינו מבנין הִפעיל), "כי הוא לשון הבדלה" כלשון התורה (</w:t>
      </w:r>
      <w:r>
        <w:rPr>
          <w:rFonts w:hint="cs"/>
          <w:sz w:val="18"/>
          <w:szCs w:val="20"/>
          <w:rtl/>
        </w:rPr>
        <w:t>שמות יא, ז</w:t>
      </w:r>
      <w:r>
        <w:rPr>
          <w:rFonts w:hint="cs"/>
          <w:rtl/>
        </w:rPr>
        <w:t xml:space="preserve">): "אֲשֶׁר </w:t>
      </w:r>
      <w:r>
        <w:rPr>
          <w:rFonts w:hint="cs"/>
          <w:b/>
          <w:bCs/>
          <w:rtl/>
        </w:rPr>
        <w:t>יַפְלֶה</w:t>
      </w:r>
      <w:r>
        <w:rPr>
          <w:rFonts w:hint="cs"/>
          <w:rtl/>
        </w:rPr>
        <w:t xml:space="preserve"> ה' בֵּין מִצְרַיִם וּבֵין יִשְׂרָאֵל". לדעתו, יש להבחין בין בנין הִפעיל שהוראתו "הבְדלה והבְחנה" לבין בנין פִעֵל שהוראתו "סילוק והוצאה" (כפי שתרגם אונקלוס בביעור מעשרות ועוד).</w:t>
      </w:r>
    </w:p>
    <w:p w14:paraId="7302F4A4" w14:textId="77777777" w:rsidR="000015C4" w:rsidRDefault="000015C4" w:rsidP="000015C4">
      <w:pPr>
        <w:ind w:firstLine="284"/>
        <w:rPr>
          <w:rFonts w:hint="cs"/>
          <w:rtl/>
        </w:rPr>
      </w:pPr>
      <w:r>
        <w:rPr>
          <w:rtl/>
        </w:rPr>
        <w:lastRenderedPageBreak/>
        <w:t>ואכן, ברוב המשניות המנוקדות בכתבי יד ובדפוסים הניקוד הוא "יְפַלֶּה" (או "יְפַלֵּא"), למעט משניות דפוס קושטא ששם מנוקד "יַפְלֶה"</w:t>
      </w:r>
      <w:r>
        <w:rPr>
          <w:rStyle w:val="a4"/>
          <w:rtl/>
        </w:rPr>
        <w:footnoteReference w:id="341"/>
      </w:r>
      <w:r>
        <w:rPr>
          <w:rtl/>
        </w:rPr>
        <w:t>.</w:t>
      </w:r>
    </w:p>
    <w:p w14:paraId="5370281F" w14:textId="77777777" w:rsidR="000015C4" w:rsidRDefault="000015C4" w:rsidP="000015C4">
      <w:pPr>
        <w:pStyle w:val="1"/>
        <w:rPr>
          <w:rFonts w:hint="cs"/>
          <w:rtl/>
        </w:rPr>
      </w:pPr>
    </w:p>
    <w:p w14:paraId="10C00083" w14:textId="77777777" w:rsidR="000015C4" w:rsidRDefault="000015C4" w:rsidP="000015C4">
      <w:pPr>
        <w:pStyle w:val="1"/>
        <w:rPr>
          <w:rFonts w:hint="cs"/>
          <w:rtl/>
        </w:rPr>
      </w:pPr>
      <w:r>
        <w:rPr>
          <w:rFonts w:hint="cs"/>
          <w:rtl/>
        </w:rPr>
        <w:t>דף יב, א: "</w:t>
      </w:r>
      <w:r>
        <w:rPr>
          <w:rtl/>
        </w:rPr>
        <w:t>משדכין את התינוקות</w:t>
      </w:r>
      <w:r>
        <w:rPr>
          <w:rFonts w:hint="cs"/>
          <w:rtl/>
        </w:rPr>
        <w:t>"</w:t>
      </w:r>
    </w:p>
    <w:p w14:paraId="30E04D80" w14:textId="77777777" w:rsidR="000015C4" w:rsidRDefault="000015C4" w:rsidP="000015C4">
      <w:pPr>
        <w:pStyle w:val="2"/>
        <w:ind w:firstLine="284"/>
        <w:rPr>
          <w:rFonts w:hint="cs"/>
          <w:rtl/>
        </w:rPr>
      </w:pPr>
      <w:r>
        <w:rPr>
          <w:rFonts w:hint="cs"/>
          <w:rtl/>
        </w:rPr>
        <w:t>השידוך המרגיע</w:t>
      </w:r>
      <w:r>
        <w:rPr>
          <w:rtl/>
        </w:rPr>
        <w:t xml:space="preserve"> </w:t>
      </w:r>
    </w:p>
    <w:p w14:paraId="2809EBE9" w14:textId="77777777" w:rsidR="000015C4" w:rsidRDefault="000015C4" w:rsidP="000015C4">
      <w:pPr>
        <w:ind w:left="720" w:firstLine="158"/>
        <w:rPr>
          <w:rtl/>
        </w:rPr>
      </w:pPr>
      <w:r>
        <w:rPr>
          <w:rtl/>
        </w:rPr>
        <w:t xml:space="preserve">"תניא... </w:t>
      </w:r>
      <w:r>
        <w:rPr>
          <w:vertAlign w:val="subscript"/>
          <w:rtl/>
        </w:rPr>
        <w:t>[1]</w:t>
      </w:r>
      <w:r>
        <w:rPr>
          <w:b/>
          <w:bCs/>
          <w:rtl/>
        </w:rPr>
        <w:t xml:space="preserve">אין משדכין את התינוקות </w:t>
      </w:r>
      <w:r>
        <w:rPr>
          <w:rtl/>
        </w:rPr>
        <w:t xml:space="preserve">לארס, </w:t>
      </w:r>
      <w:r>
        <w:rPr>
          <w:vertAlign w:val="subscript"/>
          <w:rtl/>
        </w:rPr>
        <w:t>[2]</w:t>
      </w:r>
      <w:r>
        <w:rPr>
          <w:b/>
          <w:bCs/>
          <w:rtl/>
        </w:rPr>
        <w:t xml:space="preserve">ולא את התינוק </w:t>
      </w:r>
      <w:r>
        <w:rPr>
          <w:rtl/>
        </w:rPr>
        <w:t>ללמדו ספר</w:t>
      </w:r>
      <w:r>
        <w:rPr>
          <w:rStyle w:val="a4"/>
          <w:rtl/>
        </w:rPr>
        <w:footnoteReference w:id="342"/>
      </w:r>
      <w:r>
        <w:rPr>
          <w:rFonts w:hint="cs"/>
          <w:rtl/>
        </w:rPr>
        <w:t xml:space="preserve"> </w:t>
      </w:r>
      <w:r>
        <w:rPr>
          <w:rtl/>
        </w:rPr>
        <w:t xml:space="preserve">וללמדו אומנות. </w:t>
      </w:r>
      <w:r>
        <w:rPr>
          <w:vertAlign w:val="subscript"/>
          <w:rtl/>
        </w:rPr>
        <w:t>[3]</w:t>
      </w:r>
      <w:r>
        <w:rPr>
          <w:rtl/>
        </w:rPr>
        <w:t xml:space="preserve">ואין מנחמין אבלים, </w:t>
      </w:r>
      <w:r>
        <w:rPr>
          <w:vertAlign w:val="subscript"/>
          <w:rtl/>
        </w:rPr>
        <w:t>[4]</w:t>
      </w:r>
      <w:r>
        <w:rPr>
          <w:rtl/>
        </w:rPr>
        <w:t xml:space="preserve">ואין מבקרין חולין בשבת - דברי בית שמאי, ובית הלל מתירין". </w:t>
      </w:r>
    </w:p>
    <w:p w14:paraId="1FAC1D44" w14:textId="77777777" w:rsidR="000015C4" w:rsidRDefault="000015C4" w:rsidP="000015C4">
      <w:pPr>
        <w:rPr>
          <w:rFonts w:eastAsia="MS Mincho" w:hint="cs"/>
          <w:rtl/>
        </w:rPr>
      </w:pPr>
      <w:r>
        <w:rPr>
          <w:rtl/>
        </w:rPr>
        <w:t>את ה</w:t>
      </w:r>
      <w:r>
        <w:rPr>
          <w:rFonts w:hint="cs"/>
          <w:rtl/>
        </w:rPr>
        <w:t xml:space="preserve">הלכה </w:t>
      </w:r>
      <w:r>
        <w:rPr>
          <w:rtl/>
        </w:rPr>
        <w:t>השני</w:t>
      </w:r>
      <w:r>
        <w:rPr>
          <w:rFonts w:hint="cs"/>
          <w:rtl/>
        </w:rPr>
        <w:t>ה</w:t>
      </w:r>
      <w:r>
        <w:rPr>
          <w:rtl/>
        </w:rPr>
        <w:t xml:space="preserve"> אי אפשר להבין כראוי ללא השלמת הפֹעַל "משדכין" מהמשפט הראשון ("מושך עצמו ואחר עמו")</w:t>
      </w:r>
      <w:r>
        <w:rPr>
          <w:rStyle w:val="a4"/>
          <w:rtl/>
        </w:rPr>
        <w:footnoteReference w:id="343"/>
      </w:r>
      <w:r>
        <w:rPr>
          <w:rFonts w:hint="cs"/>
          <w:rtl/>
        </w:rPr>
        <w:t xml:space="preserve">. </w:t>
      </w:r>
      <w:r>
        <w:rPr>
          <w:rFonts w:eastAsia="MS Mincho"/>
          <w:rtl/>
        </w:rPr>
        <w:t>מה פירוש "לא [משדכין] את התינוק ללמדו ספר וללמדו אומנות"? וכי האומנות או הסֵפר הם בן הזוג שמשדכים ומתאימים לתינוק?!</w:t>
      </w:r>
    </w:p>
    <w:p w14:paraId="28EB8874" w14:textId="77777777" w:rsidR="000015C4" w:rsidRDefault="000015C4" w:rsidP="000015C4">
      <w:pPr>
        <w:rPr>
          <w:rFonts w:eastAsia="MS Mincho"/>
          <w:rtl/>
        </w:rPr>
      </w:pPr>
      <w:r>
        <w:rPr>
          <w:rFonts w:eastAsia="MS Mincho"/>
          <w:rtl/>
        </w:rPr>
        <w:lastRenderedPageBreak/>
        <w:t>המשמעות הבסיסית של שורש שד"כ בארמית היא "פִיוס, הרְגעה והשְקטה", בדומה לשורש שכ"כ שבעברית המקראית: הן במובן המוחשי, כמו השֶּקֶט שאחרי סערת מי המבול ("וַיָּשֹׁכּוּ הַמָּיִם" - "וא</w:t>
      </w:r>
      <w:r>
        <w:rPr>
          <w:rFonts w:eastAsia="MS Mincho"/>
          <w:b/>
          <w:bCs/>
          <w:rtl/>
        </w:rPr>
        <w:t>ש</w:t>
      </w:r>
      <w:r>
        <w:rPr>
          <w:rFonts w:eastAsia="MS Mincho"/>
          <w:rtl/>
        </w:rPr>
        <w:t>ת</w:t>
      </w:r>
      <w:r>
        <w:rPr>
          <w:rFonts w:eastAsia="MS Mincho"/>
          <w:b/>
          <w:bCs/>
          <w:rtl/>
        </w:rPr>
        <w:t>דכ</w:t>
      </w:r>
      <w:r>
        <w:rPr>
          <w:rFonts w:eastAsia="MS Mincho"/>
          <w:rtl/>
        </w:rPr>
        <w:t>ו מיא"</w:t>
      </w:r>
      <w:r>
        <w:rPr>
          <w:rFonts w:eastAsia="MS Mincho" w:hint="cs"/>
          <w:sz w:val="18"/>
          <w:szCs w:val="20"/>
          <w:rtl/>
        </w:rPr>
        <w:t xml:space="preserve">; </w:t>
      </w:r>
      <w:r>
        <w:rPr>
          <w:rFonts w:eastAsia="MS Mincho"/>
          <w:sz w:val="18"/>
          <w:szCs w:val="20"/>
          <w:rtl/>
        </w:rPr>
        <w:t>בראשית ח, א</w:t>
      </w:r>
      <w:r>
        <w:rPr>
          <w:rStyle w:val="a4"/>
          <w:rFonts w:eastAsia="MS Mincho"/>
          <w:rtl/>
        </w:rPr>
        <w:footnoteReference w:id="344"/>
      </w:r>
      <w:r>
        <w:rPr>
          <w:rFonts w:eastAsia="MS Mincho"/>
          <w:rtl/>
        </w:rPr>
        <w:t>), והן במובן המופשט, כמו השֶּקֶט שאחרי המלחמה ("וַתִּשְׁקֹט הָאָרֶץ" - "ו</w:t>
      </w:r>
      <w:r>
        <w:rPr>
          <w:rFonts w:eastAsia="MS Mincho"/>
          <w:b/>
          <w:bCs/>
          <w:rtl/>
        </w:rPr>
        <w:t>שד</w:t>
      </w:r>
      <w:r>
        <w:rPr>
          <w:rFonts w:eastAsia="MS Mincho"/>
          <w:rtl/>
        </w:rPr>
        <w:t>ו</w:t>
      </w:r>
      <w:r>
        <w:rPr>
          <w:rFonts w:eastAsia="MS Mincho"/>
          <w:b/>
          <w:bCs/>
          <w:rtl/>
        </w:rPr>
        <w:t>כ</w:t>
      </w:r>
      <w:r>
        <w:rPr>
          <w:rFonts w:eastAsia="MS Mincho"/>
          <w:rtl/>
        </w:rPr>
        <w:t>ת ארעא"</w:t>
      </w:r>
      <w:r>
        <w:rPr>
          <w:rFonts w:eastAsia="MS Mincho"/>
          <w:sz w:val="18"/>
          <w:szCs w:val="20"/>
          <w:rtl/>
        </w:rPr>
        <w:t>; תרגום יו</w:t>
      </w:r>
      <w:r>
        <w:rPr>
          <w:rFonts w:eastAsia="MS Mincho" w:hint="cs"/>
          <w:sz w:val="18"/>
          <w:szCs w:val="20"/>
          <w:rtl/>
        </w:rPr>
        <w:t>נתן ל</w:t>
      </w:r>
      <w:r>
        <w:rPr>
          <w:rFonts w:eastAsia="MS Mincho"/>
          <w:sz w:val="18"/>
          <w:szCs w:val="20"/>
          <w:rtl/>
        </w:rPr>
        <w:t>שופטים ה, לא, ועוד</w:t>
      </w:r>
      <w:r>
        <w:rPr>
          <w:rFonts w:eastAsia="MS Mincho"/>
          <w:rtl/>
        </w:rPr>
        <w:t>) וכמו שכיכת כעס ("וַחֲמַת הַמֶּלֶךְ שָׁכָכָה" - "א</w:t>
      </w:r>
      <w:r>
        <w:rPr>
          <w:rFonts w:eastAsia="MS Mincho"/>
          <w:b/>
          <w:bCs/>
          <w:rtl/>
        </w:rPr>
        <w:t>ש</w:t>
      </w:r>
      <w:r>
        <w:rPr>
          <w:rFonts w:eastAsia="MS Mincho"/>
          <w:rtl/>
        </w:rPr>
        <w:t>ת</w:t>
      </w:r>
      <w:r>
        <w:rPr>
          <w:rFonts w:eastAsia="MS Mincho"/>
          <w:b/>
          <w:bCs/>
          <w:rtl/>
        </w:rPr>
        <w:t>ד</w:t>
      </w:r>
      <w:r>
        <w:rPr>
          <w:rFonts w:eastAsia="MS Mincho"/>
          <w:rtl/>
        </w:rPr>
        <w:t>י</w:t>
      </w:r>
      <w:r>
        <w:rPr>
          <w:rFonts w:eastAsia="MS Mincho"/>
          <w:b/>
          <w:bCs/>
          <w:rtl/>
        </w:rPr>
        <w:t>כ</w:t>
      </w:r>
      <w:r>
        <w:rPr>
          <w:rFonts w:eastAsia="MS Mincho"/>
          <w:rtl/>
        </w:rPr>
        <w:t>ת"</w:t>
      </w:r>
      <w:r>
        <w:rPr>
          <w:rFonts w:eastAsia="MS Mincho"/>
          <w:sz w:val="18"/>
          <w:szCs w:val="20"/>
          <w:rtl/>
        </w:rPr>
        <w:t xml:space="preserve">; תרגום ראשון </w:t>
      </w:r>
      <w:r>
        <w:rPr>
          <w:rFonts w:eastAsia="MS Mincho" w:hint="cs"/>
          <w:sz w:val="18"/>
          <w:szCs w:val="20"/>
          <w:rtl/>
        </w:rPr>
        <w:t>ל</w:t>
      </w:r>
      <w:r>
        <w:rPr>
          <w:rFonts w:eastAsia="MS Mincho"/>
          <w:sz w:val="18"/>
          <w:szCs w:val="20"/>
          <w:rtl/>
        </w:rPr>
        <w:t>אסתר ז, י</w:t>
      </w:r>
      <w:r>
        <w:rPr>
          <w:rFonts w:eastAsia="MS Mincho"/>
          <w:rtl/>
        </w:rPr>
        <w:t>)</w:t>
      </w:r>
      <w:r>
        <w:rPr>
          <w:rStyle w:val="a4"/>
          <w:rFonts w:eastAsia="MS Mincho"/>
          <w:rtl/>
        </w:rPr>
        <w:footnoteReference w:id="345"/>
      </w:r>
      <w:r>
        <w:rPr>
          <w:rFonts w:eastAsia="MS Mincho"/>
          <w:rtl/>
        </w:rPr>
        <w:t xml:space="preserve">. </w:t>
      </w:r>
    </w:p>
    <w:p w14:paraId="6EDEA04E" w14:textId="77777777" w:rsidR="000015C4" w:rsidRDefault="000015C4" w:rsidP="000015C4">
      <w:pPr>
        <w:rPr>
          <w:rFonts w:eastAsia="MS Mincho" w:hint="cs"/>
          <w:rtl/>
        </w:rPr>
      </w:pPr>
      <w:r>
        <w:rPr>
          <w:rFonts w:eastAsia="MS Mincho"/>
          <w:rtl/>
        </w:rPr>
        <w:t xml:space="preserve">בבראשית רבה </w:t>
      </w:r>
      <w:r>
        <w:rPr>
          <w:rFonts w:eastAsia="MS Mincho"/>
          <w:sz w:val="18"/>
          <w:szCs w:val="20"/>
          <w:rtl/>
        </w:rPr>
        <w:t>פרשה ס</w:t>
      </w:r>
      <w:r>
        <w:rPr>
          <w:rFonts w:eastAsia="MS Mincho" w:hint="cs"/>
          <w:sz w:val="18"/>
          <w:szCs w:val="20"/>
          <w:rtl/>
        </w:rPr>
        <w:t>"</w:t>
      </w:r>
      <w:r>
        <w:rPr>
          <w:rFonts w:eastAsia="MS Mincho"/>
          <w:sz w:val="18"/>
          <w:szCs w:val="20"/>
          <w:rtl/>
        </w:rPr>
        <w:t>ד</w:t>
      </w:r>
      <w:r>
        <w:rPr>
          <w:rFonts w:eastAsia="MS Mincho"/>
          <w:rtl/>
        </w:rPr>
        <w:t xml:space="preserve"> מסופר כי בימי ר' יהושע בן חנניה נתן הקיסר אישור לבנות את המקדש מחדש, וכשבִטֵל את אישורו היתה תסיסה רבה בקרב היהודים שהתקבצו בבקעת בית רמון. חִפשו חכמי ישראל מי שיוכל להרגיע ולהשקיט את רוח היהודים המאוכזבים לבל ימרדו ברומאים, וכך אמרו: "יעול חד בר נש חכים </w:t>
      </w:r>
      <w:r>
        <w:rPr>
          <w:rFonts w:eastAsia="MS Mincho"/>
          <w:b/>
          <w:bCs/>
          <w:rtl/>
        </w:rPr>
        <w:t>וישדך</w:t>
      </w:r>
      <w:r>
        <w:rPr>
          <w:rFonts w:eastAsia="MS Mincho"/>
          <w:rtl/>
        </w:rPr>
        <w:t xml:space="preserve"> ציבורא". ואכן ר' יהושע בן חנניה הגיע ודִבר על לבם והרגיע את הרוחות. </w:t>
      </w:r>
    </w:p>
    <w:p w14:paraId="6DB8CC31" w14:textId="77777777" w:rsidR="000015C4" w:rsidRDefault="000015C4" w:rsidP="000015C4">
      <w:pPr>
        <w:rPr>
          <w:rFonts w:eastAsia="MS Mincho"/>
          <w:rtl/>
        </w:rPr>
      </w:pPr>
      <w:r>
        <w:rPr>
          <w:rFonts w:eastAsia="MS Mincho"/>
          <w:rtl/>
        </w:rPr>
        <w:t>שורש ארמי זה אֻמץ בעברית של חז"ל</w:t>
      </w:r>
      <w:r>
        <w:rPr>
          <w:rStyle w:val="a4"/>
          <w:rFonts w:eastAsia="MS Mincho"/>
          <w:rtl/>
        </w:rPr>
        <w:footnoteReference w:id="346"/>
      </w:r>
      <w:r>
        <w:rPr>
          <w:rFonts w:eastAsia="MS Mincho" w:hint="cs"/>
          <w:rtl/>
        </w:rPr>
        <w:t xml:space="preserve">, </w:t>
      </w:r>
      <w:r>
        <w:rPr>
          <w:rFonts w:eastAsia="MS Mincho"/>
          <w:rtl/>
        </w:rPr>
        <w:t xml:space="preserve">כגון באסתר רבה </w:t>
      </w:r>
      <w:r>
        <w:rPr>
          <w:rFonts w:eastAsia="MS Mincho"/>
          <w:sz w:val="18"/>
          <w:szCs w:val="20"/>
          <w:rtl/>
        </w:rPr>
        <w:t>ריש פרשה ב'</w:t>
      </w:r>
      <w:r>
        <w:rPr>
          <w:rFonts w:eastAsia="MS Mincho"/>
          <w:rtl/>
        </w:rPr>
        <w:t>: "כָּל רוּחוֹ יוֹצִיא כְסִיל' (</w:t>
      </w:r>
      <w:r>
        <w:rPr>
          <w:rFonts w:eastAsia="MS Mincho"/>
          <w:sz w:val="18"/>
          <w:szCs w:val="20"/>
          <w:rtl/>
        </w:rPr>
        <w:t>משלי כט, יא</w:t>
      </w:r>
      <w:r>
        <w:rPr>
          <w:rFonts w:eastAsia="MS Mincho" w:hint="cs"/>
          <w:rtl/>
        </w:rPr>
        <w:t>)</w:t>
      </w:r>
      <w:r>
        <w:rPr>
          <w:rFonts w:eastAsia="MS Mincho"/>
          <w:rtl/>
        </w:rPr>
        <w:t xml:space="preserve"> - זה אחשורוש; 'וְחָכָם </w:t>
      </w:r>
      <w:r>
        <w:rPr>
          <w:rFonts w:eastAsia="MS Mincho"/>
          <w:rtl/>
        </w:rPr>
        <w:lastRenderedPageBreak/>
        <w:t>בְּאָחוֹר יְשַׁבְּחֶנָּה' (שם</w:t>
      </w:r>
      <w:r>
        <w:rPr>
          <w:rStyle w:val="a4"/>
          <w:rFonts w:eastAsia="MS Mincho"/>
          <w:rtl/>
        </w:rPr>
        <w:footnoteReference w:id="347"/>
      </w:r>
      <w:r>
        <w:rPr>
          <w:rFonts w:eastAsia="MS Mincho"/>
          <w:rtl/>
        </w:rPr>
        <w:t>) - זה הקב"ה שהוא מְשַׁדֵּיךְ</w:t>
      </w:r>
      <w:r>
        <w:rPr>
          <w:rStyle w:val="a4"/>
          <w:rFonts w:eastAsia="MS Mincho"/>
          <w:rtl/>
        </w:rPr>
        <w:footnoteReference w:id="348"/>
      </w:r>
      <w:r>
        <w:rPr>
          <w:rFonts w:eastAsia="MS Mincho" w:hint="cs"/>
          <w:rtl/>
        </w:rPr>
        <w:t xml:space="preserve"> </w:t>
      </w:r>
      <w:r>
        <w:rPr>
          <w:rFonts w:eastAsia="MS Mincho"/>
          <w:rtl/>
        </w:rPr>
        <w:t>אחשורוש, היך מה דאת אמר: 'מַשְׁבִּיחַ שְׁאוֹן יַמִּים שְׁאוֹן גַּלֵּיהֶם וַהֲמוֹן לְאֻמִּים' (</w:t>
      </w:r>
      <w:r>
        <w:rPr>
          <w:rFonts w:eastAsia="MS Mincho"/>
          <w:sz w:val="18"/>
          <w:szCs w:val="20"/>
          <w:rtl/>
        </w:rPr>
        <w:t>תהלים סה, ח</w:t>
      </w:r>
      <w:r>
        <w:rPr>
          <w:rFonts w:eastAsia="MS Mincho"/>
          <w:rtl/>
        </w:rPr>
        <w:t>)".</w:t>
      </w:r>
    </w:p>
    <w:p w14:paraId="657E5761" w14:textId="77777777" w:rsidR="000015C4" w:rsidRDefault="000015C4" w:rsidP="000015C4">
      <w:pPr>
        <w:rPr>
          <w:rFonts w:eastAsia="MS Mincho"/>
          <w:rtl/>
        </w:rPr>
      </w:pPr>
      <w:r>
        <w:rPr>
          <w:rFonts w:eastAsia="MS Mincho"/>
          <w:rtl/>
        </w:rPr>
        <w:t>הר"ן בסוגייתנו (</w:t>
      </w:r>
      <w:r>
        <w:rPr>
          <w:rFonts w:eastAsia="MS Mincho"/>
          <w:sz w:val="18"/>
          <w:szCs w:val="20"/>
          <w:rtl/>
        </w:rPr>
        <w:t>ה, ב בדפי האלפס</w:t>
      </w:r>
      <w:r>
        <w:rPr>
          <w:rFonts w:eastAsia="MS Mincho"/>
          <w:rtl/>
        </w:rPr>
        <w:t>) מבאר לשון זו בענין זיווג אשה: "אין משדכין - מלשון שקט ומנוחה שהאשה מוצאת בבית בעלה, כדכתיב: 'וּמְצֶאןָ מְנוּחָה אִשָּׁה בֵּית אִישָׁהּ' (</w:t>
      </w:r>
      <w:r>
        <w:rPr>
          <w:rFonts w:eastAsia="MS Mincho"/>
          <w:sz w:val="18"/>
          <w:szCs w:val="20"/>
          <w:rtl/>
        </w:rPr>
        <w:t>רות א, ט</w:t>
      </w:r>
      <w:r>
        <w:rPr>
          <w:rFonts w:eastAsia="MS Mincho"/>
          <w:rtl/>
        </w:rPr>
        <w:t>); ומתרגמינן 'וַתִּשְׁקֹט הָאָרֶץ' - ושדוכת ארעא". ברם, עדיין לא נתבאר מדבריו מהו שידוך של תינוק ללמדו ספר או אומנות. נראה שמשמעות ה"שידוך", המשותפת הן לאירוסין שיובילו בשע</w:t>
      </w:r>
      <w:r>
        <w:rPr>
          <w:rFonts w:eastAsia="MS Mincho" w:hint="cs"/>
          <w:rtl/>
        </w:rPr>
        <w:t>ה טובה</w:t>
      </w:r>
      <w:r>
        <w:rPr>
          <w:rFonts w:eastAsia="MS Mincho"/>
          <w:rtl/>
        </w:rPr>
        <w:t xml:space="preserve"> לכריתת ברית נישואין והן ללימוד (תורה) בבית הספר ולרכישת מקצוע, היא</w:t>
      </w:r>
      <w:r>
        <w:rPr>
          <w:rFonts w:eastAsia="MS Mincho" w:hint="cs"/>
          <w:rtl/>
        </w:rPr>
        <w:t>:</w:t>
      </w:r>
      <w:r>
        <w:rPr>
          <w:rFonts w:eastAsia="MS Mincho"/>
          <w:rtl/>
        </w:rPr>
        <w:t xml:space="preserve"> השקטה והרגעה, פיוס ושכנוע של התינוקות לקראת דבר שמרתיע אותם</w:t>
      </w:r>
      <w:r>
        <w:rPr>
          <w:rStyle w:val="a4"/>
          <w:rFonts w:eastAsia="MS Mincho"/>
          <w:rtl/>
        </w:rPr>
        <w:footnoteReference w:id="349"/>
      </w:r>
      <w:r>
        <w:rPr>
          <w:rFonts w:eastAsia="MS Mincho"/>
          <w:rtl/>
        </w:rPr>
        <w:t>. לדעת בית שמאי, שידוך זה, במובן של דברי שכנוע ופיוס אודות הליכה לביה"ס ולימוד מקצוע ואודות הנישואין</w:t>
      </w:r>
      <w:r>
        <w:rPr>
          <w:rFonts w:eastAsia="MS Mincho" w:hint="cs"/>
          <w:rtl/>
        </w:rPr>
        <w:t>,</w:t>
      </w:r>
      <w:r>
        <w:rPr>
          <w:rFonts w:eastAsia="MS Mincho"/>
          <w:rtl/>
        </w:rPr>
        <w:t xml:space="preserve"> כלולים באיסור </w:t>
      </w:r>
      <w:r>
        <w:rPr>
          <w:rFonts w:eastAsia="MS Mincho" w:hint="cs"/>
          <w:rtl/>
        </w:rPr>
        <w:t>"</w:t>
      </w:r>
      <w:r>
        <w:rPr>
          <w:rFonts w:eastAsia="MS Mincho"/>
          <w:rtl/>
        </w:rPr>
        <w:t>מִמְּצוֹא חֶפְצְךָ וְדַבֵּר דָּבָר</w:t>
      </w:r>
      <w:r>
        <w:rPr>
          <w:rFonts w:eastAsia="MS Mincho" w:hint="cs"/>
          <w:rtl/>
        </w:rPr>
        <w:t>"</w:t>
      </w:r>
      <w:r>
        <w:rPr>
          <w:rFonts w:eastAsia="MS Mincho"/>
          <w:rtl/>
        </w:rPr>
        <w:t xml:space="preserve"> </w:t>
      </w:r>
      <w:r>
        <w:rPr>
          <w:rFonts w:eastAsia="MS Mincho" w:hint="cs"/>
          <w:rtl/>
        </w:rPr>
        <w:t>(</w:t>
      </w:r>
      <w:r>
        <w:rPr>
          <w:rFonts w:eastAsia="MS Mincho"/>
          <w:sz w:val="18"/>
          <w:szCs w:val="20"/>
          <w:rtl/>
        </w:rPr>
        <w:t>ישעיה</w:t>
      </w:r>
      <w:r>
        <w:rPr>
          <w:rFonts w:eastAsia="MS Mincho" w:hint="cs"/>
          <w:sz w:val="18"/>
          <w:szCs w:val="20"/>
          <w:rtl/>
        </w:rPr>
        <w:t xml:space="preserve"> </w:t>
      </w:r>
      <w:r>
        <w:rPr>
          <w:rFonts w:eastAsia="MS Mincho"/>
          <w:sz w:val="18"/>
          <w:szCs w:val="20"/>
          <w:rtl/>
        </w:rPr>
        <w:t>נח</w:t>
      </w:r>
      <w:r>
        <w:rPr>
          <w:rFonts w:eastAsia="MS Mincho" w:hint="cs"/>
          <w:sz w:val="18"/>
          <w:szCs w:val="20"/>
          <w:rtl/>
        </w:rPr>
        <w:t xml:space="preserve">, </w:t>
      </w:r>
      <w:r>
        <w:rPr>
          <w:rFonts w:eastAsia="MS Mincho"/>
          <w:sz w:val="18"/>
          <w:szCs w:val="20"/>
          <w:rtl/>
        </w:rPr>
        <w:t>יג</w:t>
      </w:r>
      <w:r>
        <w:rPr>
          <w:rFonts w:eastAsia="MS Mincho" w:hint="cs"/>
          <w:rtl/>
        </w:rPr>
        <w:t xml:space="preserve">). </w:t>
      </w:r>
      <w:r>
        <w:rPr>
          <w:rFonts w:eastAsia="MS Mincho"/>
          <w:rtl/>
        </w:rPr>
        <w:t>כך יש לפרש את נוסח הברייתא "משדכין את..." המודפס בסוגייתנו.</w:t>
      </w:r>
    </w:p>
    <w:p w14:paraId="3AEB0D83" w14:textId="77777777" w:rsidR="000015C4" w:rsidRDefault="000015C4" w:rsidP="000015C4">
      <w:pPr>
        <w:rPr>
          <w:rFonts w:eastAsia="MS Mincho" w:hint="cs"/>
          <w:rtl/>
        </w:rPr>
      </w:pPr>
      <w:r>
        <w:rPr>
          <w:rFonts w:eastAsia="MS Mincho"/>
          <w:rtl/>
        </w:rPr>
        <w:lastRenderedPageBreak/>
        <w:t>נוסח אחר של ברייתא זו, "משדכין על...", נמצא בכתבי יד ובראשונים כאן (</w:t>
      </w:r>
      <w:r>
        <w:rPr>
          <w:rFonts w:eastAsia="MS Mincho"/>
          <w:sz w:val="18"/>
          <w:szCs w:val="20"/>
          <w:rtl/>
        </w:rPr>
        <w:t>כגון כתב יד מינכן והלכות הרי"ף</w:t>
      </w:r>
      <w:r>
        <w:rPr>
          <w:rStyle w:val="a4"/>
          <w:rFonts w:eastAsia="MS Mincho"/>
          <w:rtl/>
        </w:rPr>
        <w:footnoteReference w:id="350"/>
      </w:r>
      <w:r>
        <w:rPr>
          <w:rFonts w:eastAsia="MS Mincho"/>
          <w:rtl/>
        </w:rPr>
        <w:t>), וכך גם לשון ברייתא אחרת בשם ר</w:t>
      </w:r>
      <w:r>
        <w:rPr>
          <w:rFonts w:eastAsia="MS Mincho" w:hint="cs"/>
          <w:rtl/>
        </w:rPr>
        <w:t>בי</w:t>
      </w:r>
      <w:r>
        <w:rPr>
          <w:rFonts w:eastAsia="MS Mincho"/>
          <w:rtl/>
        </w:rPr>
        <w:t xml:space="preserve"> מנשה</w:t>
      </w:r>
      <w:r>
        <w:rPr>
          <w:rStyle w:val="a4"/>
          <w:rFonts w:eastAsia="MS Mincho"/>
          <w:rtl/>
        </w:rPr>
        <w:footnoteReference w:id="351"/>
      </w:r>
      <w:r>
        <w:rPr>
          <w:rFonts w:eastAsia="MS Mincho"/>
          <w:rtl/>
        </w:rPr>
        <w:t xml:space="preserve">. נראה ששידוך "על התינוקות" אינו מתבצע ישירות עם התינוקות, אלא הכוונה היא לניהול משא ומתן ע"י ההורים על מנת להגיע להסכם ולפשרה בנוגע לתינוקות. </w:t>
      </w:r>
    </w:p>
    <w:p w14:paraId="66723C4B" w14:textId="77777777" w:rsidR="000015C4" w:rsidRDefault="000015C4" w:rsidP="000015C4">
      <w:pPr>
        <w:rPr>
          <w:rFonts w:eastAsia="MS Mincho" w:hint="cs"/>
          <w:rtl/>
        </w:rPr>
      </w:pPr>
      <w:r>
        <w:rPr>
          <w:rFonts w:eastAsia="MS Mincho"/>
          <w:rtl/>
        </w:rPr>
        <w:t xml:space="preserve">עם הזמן נתייחד השידוך לפיוס בני זוג, </w:t>
      </w:r>
      <w:r>
        <w:rPr>
          <w:rFonts w:eastAsia="MS Mincho" w:hint="cs"/>
          <w:rtl/>
        </w:rPr>
        <w:t>ו</w:t>
      </w:r>
      <w:r>
        <w:rPr>
          <w:rFonts w:eastAsia="MS Mincho"/>
          <w:rtl/>
        </w:rPr>
        <w:t>בתוספתא</w:t>
      </w:r>
      <w:r>
        <w:rPr>
          <w:rStyle w:val="a4"/>
          <w:rFonts w:eastAsia="MS Mincho"/>
          <w:rtl/>
        </w:rPr>
        <w:footnoteReference w:id="352"/>
      </w:r>
      <w:r>
        <w:rPr>
          <w:rFonts w:eastAsia="MS Mincho"/>
          <w:rtl/>
        </w:rPr>
        <w:t xml:space="preserve"> אנו מוצאים ששידוך זה אינו נגמר בנישואי החתן והכלה: "משדכין בין איש לאשתו". כמו כן, השידוך כשכנוע לקראת נישואי איש ואשה, אינו רק ע"י גורם שלישי, אלא השידוך יכול להעשות גם ע"י החתן עצמו, כמו בסוגיית התלמוד במסכת קידושין </w:t>
      </w:r>
      <w:r>
        <w:rPr>
          <w:rFonts w:eastAsia="MS Mincho"/>
          <w:sz w:val="18"/>
          <w:szCs w:val="20"/>
          <w:rtl/>
        </w:rPr>
        <w:t>יג, א</w:t>
      </w:r>
      <w:r>
        <w:rPr>
          <w:rFonts w:eastAsia="MS Mincho"/>
          <w:rtl/>
        </w:rPr>
        <w:t>: חז"ל דנים במקרה שאדם מקדֵש אשה באמצעות חפץ שמחזיר לה לאחר שלקחו</w:t>
      </w:r>
      <w:r>
        <w:rPr>
          <w:rFonts w:eastAsia="MS Mincho" w:hint="cs"/>
          <w:rtl/>
        </w:rPr>
        <w:t>ֹ</w:t>
      </w:r>
      <w:r>
        <w:rPr>
          <w:rFonts w:eastAsia="MS Mincho"/>
          <w:rtl/>
        </w:rPr>
        <w:t xml:space="preserve"> ממנה קודם לכן, והאשה קִבלה אותו בשתיקה, ומחַלקים בין אם שִדֵּך את האשה או לא שִדכהּ. מסביר שם רש"י: "בדשדיך - שדִבֵּר בה קודם לכן ונתרצֵית להתקדש לו, דהתם כי שתקה משום דניחא לה הוא". וכך פוסק הרמב"ם (הלכות אישות </w:t>
      </w:r>
      <w:r>
        <w:rPr>
          <w:rFonts w:eastAsia="MS Mincho"/>
          <w:sz w:val="18"/>
          <w:szCs w:val="20"/>
          <w:rtl/>
        </w:rPr>
        <w:t>פ"ה ה"י</w:t>
      </w:r>
      <w:r>
        <w:rPr>
          <w:rFonts w:eastAsia="MS Mincho"/>
          <w:rtl/>
        </w:rPr>
        <w:t xml:space="preserve">): </w:t>
      </w:r>
    </w:p>
    <w:p w14:paraId="4780040E" w14:textId="77777777" w:rsidR="000015C4" w:rsidRDefault="000015C4" w:rsidP="000015C4">
      <w:pPr>
        <w:ind w:left="720" w:firstLine="158"/>
        <w:rPr>
          <w:rFonts w:eastAsia="MS Mincho" w:hint="cs"/>
          <w:rtl/>
        </w:rPr>
      </w:pPr>
      <w:r>
        <w:rPr>
          <w:rFonts w:eastAsia="MS Mincho"/>
          <w:rtl/>
        </w:rPr>
        <w:lastRenderedPageBreak/>
        <w:t xml:space="preserve">"גָזַל את האשה... וחזר וקִדשה בגָזֵל... שלה, ואמר לה 'הרי את מקודשת לי בו', אם קדם ביניהן שִדוכין ונטלה ושתקה - הרי זו מקודשת; ואם לא שִדֵך אותה מעולם, אע"פ ששתקה כשנתן לה דברים אלו בתורת קִדושין - אינה מקודשת; ואם אמרה הֵן - הרי זו מקודשת". </w:t>
      </w:r>
    </w:p>
    <w:p w14:paraId="15285BC3" w14:textId="77777777" w:rsidR="000015C4" w:rsidRDefault="000015C4" w:rsidP="000015C4">
      <w:pPr>
        <w:rPr>
          <w:rFonts w:eastAsia="MS Mincho"/>
          <w:rtl/>
        </w:rPr>
      </w:pPr>
      <w:r>
        <w:rPr>
          <w:rFonts w:eastAsia="MS Mincho"/>
          <w:rtl/>
        </w:rPr>
        <w:t xml:space="preserve">השדכן </w:t>
      </w:r>
      <w:r>
        <w:rPr>
          <w:rFonts w:eastAsia="MS Mincho" w:hint="cs"/>
          <w:rtl/>
        </w:rPr>
        <w:t>הקדמון (</w:t>
      </w:r>
      <w:r>
        <w:rPr>
          <w:rFonts w:eastAsia="MS Mincho"/>
          <w:rtl/>
        </w:rPr>
        <w:t>בשונה מלשוננו</w:t>
      </w:r>
      <w:r>
        <w:rPr>
          <w:rFonts w:eastAsia="MS Mincho" w:hint="cs"/>
          <w:rtl/>
        </w:rPr>
        <w:t>, בד"כ) ל</w:t>
      </w:r>
      <w:r>
        <w:rPr>
          <w:rFonts w:eastAsia="MS Mincho"/>
          <w:rtl/>
        </w:rPr>
        <w:t>א</w:t>
      </w:r>
      <w:r>
        <w:rPr>
          <w:rFonts w:eastAsia="MS Mincho" w:hint="cs"/>
          <w:rtl/>
        </w:rPr>
        <w:t xml:space="preserve"> ה</w:t>
      </w:r>
      <w:r>
        <w:rPr>
          <w:rFonts w:eastAsia="MS Mincho"/>
          <w:rtl/>
        </w:rPr>
        <w:t>סתפק רק בהצעת השידוך, שמא פלונית היא היא המזומנת לפלוני, אלא הוא גם מְלַוֶּה ומגַשר, מתַוֵּך ומפשֵר, משקיט ומרגיע את שני הצדדים (כגון בויכוח על הכתובה) כדי שהצעתו תעלה יפה. כך כותב הרא"ם (שו"ת רבי אליהו מזרחי, סימן יח</w:t>
      </w:r>
      <w:r>
        <w:rPr>
          <w:rFonts w:eastAsia="MS Mincho"/>
          <w:sz w:val="18"/>
          <w:szCs w:val="20"/>
          <w:rtl/>
        </w:rPr>
        <w:t>; נפטר בשנת ה'רפ"ו, 1526</w:t>
      </w:r>
      <w:r>
        <w:rPr>
          <w:rFonts w:eastAsia="MS Mincho"/>
          <w:rtl/>
        </w:rPr>
        <w:t xml:space="preserve">): </w:t>
      </w:r>
    </w:p>
    <w:p w14:paraId="4855170A" w14:textId="77777777" w:rsidR="000015C4" w:rsidRDefault="000015C4" w:rsidP="000015C4">
      <w:pPr>
        <w:ind w:left="720"/>
        <w:rPr>
          <w:rFonts w:eastAsia="MS Mincho"/>
          <w:rtl/>
        </w:rPr>
      </w:pPr>
      <w:r>
        <w:rPr>
          <w:rFonts w:eastAsia="MS Mincho"/>
          <w:rtl/>
        </w:rPr>
        <w:t>"בזה איני רואה חשש קדושין שכיון שעדיין לא הוו מוסכמים בתנאי הזיוג, והקדושין והשדוכין היו תלויים ועומדים עד שהברורים יפסקו אותם, הוה ליה כאלו לא שידך עדין, שלשון שדוכין הוא השקט והסמכה</w:t>
      </w:r>
      <w:r>
        <w:rPr>
          <w:rStyle w:val="a4"/>
          <w:rFonts w:eastAsia="MS Mincho"/>
          <w:rtl/>
        </w:rPr>
        <w:footnoteReference w:id="353"/>
      </w:r>
      <w:r>
        <w:rPr>
          <w:rFonts w:eastAsia="MS Mincho" w:hint="cs"/>
          <w:rtl/>
        </w:rPr>
        <w:t xml:space="preserve"> </w:t>
      </w:r>
      <w:r>
        <w:rPr>
          <w:rFonts w:eastAsia="MS Mincho"/>
          <w:rtl/>
        </w:rPr>
        <w:t xml:space="preserve">בין הצדדים כדמתרגמינן ותשקוט הארץ ושדוכת ארעא, ואם השדוכין עדין לא נגמרו אין שום חשש בסבלונות". </w:t>
      </w:r>
    </w:p>
    <w:p w14:paraId="0361B440" w14:textId="77777777" w:rsidR="000015C4" w:rsidRDefault="000015C4" w:rsidP="000015C4">
      <w:pPr>
        <w:rPr>
          <w:rFonts w:eastAsia="MS Mincho" w:hint="cs"/>
          <w:rtl/>
        </w:rPr>
      </w:pPr>
      <w:r>
        <w:rPr>
          <w:rFonts w:eastAsia="MS Mincho"/>
          <w:rtl/>
        </w:rPr>
        <w:t>לאור האמור, נראה שהניסוח בלשון רבים "אין משדכין את התינוקות לארס" כוונתו הן לשידוך הבנים והן לשידוך הבנות, שהרי בלשון חכמים "תינוקות" היא צורת הרבים גם לזכרים</w:t>
      </w:r>
      <w:r>
        <w:rPr>
          <w:rStyle w:val="a4"/>
          <w:rFonts w:eastAsia="MS Mincho"/>
          <w:rtl/>
        </w:rPr>
        <w:footnoteReference w:id="354"/>
      </w:r>
      <w:r>
        <w:rPr>
          <w:rFonts w:eastAsia="MS Mincho"/>
          <w:rtl/>
        </w:rPr>
        <w:t>. את כולם היו ההורים משׂיאים בגיל צעיר, והיה צורך לשדֵך ולשכנע את שני בני הזוג שיסכימו לה</w:t>
      </w:r>
      <w:r>
        <w:rPr>
          <w:rFonts w:eastAsia="MS Mincho" w:hint="cs"/>
          <w:rtl/>
        </w:rPr>
        <w:t>ִ</w:t>
      </w:r>
      <w:r>
        <w:rPr>
          <w:rFonts w:eastAsia="MS Mincho"/>
          <w:rtl/>
        </w:rPr>
        <w:t xml:space="preserve">נשא זה לזה (ולפי הנוסח "משדכין על", הורי התינוק והורי התינוקת "משתדכים" יחד בנהלם מו"מ בנוגע לתינוק ולתינוקת). </w:t>
      </w:r>
    </w:p>
    <w:p w14:paraId="564CB804" w14:textId="77777777" w:rsidR="000015C4" w:rsidRDefault="000015C4" w:rsidP="000015C4">
      <w:pPr>
        <w:rPr>
          <w:rFonts w:eastAsia="MS Mincho"/>
          <w:rtl/>
        </w:rPr>
      </w:pPr>
      <w:r>
        <w:rPr>
          <w:rFonts w:eastAsia="MS Mincho" w:hint="cs"/>
          <w:rtl/>
        </w:rPr>
        <w:lastRenderedPageBreak/>
        <w:t xml:space="preserve">לעומת זאת, </w:t>
      </w:r>
      <w:r>
        <w:rPr>
          <w:rFonts w:eastAsia="MS Mincho"/>
          <w:rtl/>
        </w:rPr>
        <w:t>ה</w:t>
      </w:r>
      <w:r>
        <w:rPr>
          <w:rFonts w:eastAsia="MS Mincho" w:hint="cs"/>
          <w:rtl/>
        </w:rPr>
        <w:t>הלכה השניה</w:t>
      </w:r>
      <w:r>
        <w:rPr>
          <w:rFonts w:eastAsia="MS Mincho"/>
          <w:rtl/>
        </w:rPr>
        <w:t>, העוסק</w:t>
      </w:r>
      <w:r>
        <w:rPr>
          <w:rFonts w:eastAsia="MS Mincho" w:hint="cs"/>
          <w:rtl/>
        </w:rPr>
        <w:t>ת</w:t>
      </w:r>
      <w:r>
        <w:rPr>
          <w:rFonts w:eastAsia="MS Mincho"/>
          <w:rtl/>
        </w:rPr>
        <w:t xml:space="preserve"> בשידוך ושכנוע התינוק ללמדו ספר וללמדו אומנות - לא נאמר</w:t>
      </w:r>
      <w:r>
        <w:rPr>
          <w:rFonts w:eastAsia="MS Mincho" w:hint="cs"/>
          <w:rtl/>
        </w:rPr>
        <w:t>ה</w:t>
      </w:r>
      <w:r>
        <w:rPr>
          <w:rFonts w:eastAsia="MS Mincho"/>
          <w:rtl/>
        </w:rPr>
        <w:t xml:space="preserve"> בברייתא אלא לגבי הבנים (שהרי בתקופת חז"ל לא היו מוסדות לימוד לבנות), ולכן נאמר</w:t>
      </w:r>
      <w:r>
        <w:rPr>
          <w:rFonts w:eastAsia="MS Mincho" w:hint="cs"/>
          <w:rtl/>
        </w:rPr>
        <w:t>ה</w:t>
      </w:r>
      <w:r>
        <w:rPr>
          <w:rFonts w:eastAsia="MS Mincho"/>
          <w:rtl/>
        </w:rPr>
        <w:t xml:space="preserve"> בלשון זכר יחיד: "משדכין... את התינוק ללמדו ספר וללמדו אומנות". </w:t>
      </w:r>
    </w:p>
    <w:p w14:paraId="583C5734" w14:textId="77777777" w:rsidR="000015C4" w:rsidRDefault="000015C4" w:rsidP="000015C4">
      <w:pPr>
        <w:rPr>
          <w:rFonts w:eastAsia="MS Mincho" w:hint="cs"/>
          <w:rtl/>
        </w:rPr>
      </w:pPr>
      <w:r>
        <w:rPr>
          <w:rFonts w:eastAsia="MS Mincho"/>
          <w:rtl/>
        </w:rPr>
        <w:t>הבחנה זו בין לשון רבים ("תינוקות לארס") ללשון יחיד ("התינוק ללמדו ספר") קיימת בנוסח הברייתא המודפס בסוגייתנו ובמקורות נוספים</w:t>
      </w:r>
      <w:r>
        <w:rPr>
          <w:rStyle w:val="a4"/>
          <w:rFonts w:eastAsia="MS Mincho"/>
          <w:rtl/>
        </w:rPr>
        <w:footnoteReference w:id="355"/>
      </w:r>
      <w:r>
        <w:rPr>
          <w:rFonts w:eastAsia="MS Mincho"/>
          <w:rtl/>
        </w:rPr>
        <w:t>. אבל במקורות אחרים</w:t>
      </w:r>
      <w:r>
        <w:rPr>
          <w:rStyle w:val="a4"/>
          <w:rFonts w:eastAsia="MS Mincho"/>
          <w:rtl/>
        </w:rPr>
        <w:footnoteReference w:id="356"/>
      </w:r>
      <w:r>
        <w:rPr>
          <w:rFonts w:eastAsia="MS Mincho" w:hint="cs"/>
          <w:rtl/>
        </w:rPr>
        <w:t xml:space="preserve"> </w:t>
      </w:r>
      <w:r>
        <w:rPr>
          <w:rFonts w:eastAsia="MS Mincho"/>
          <w:rtl/>
        </w:rPr>
        <w:t xml:space="preserve">מופיעה לשון יחיד הן ברישא </w:t>
      </w:r>
      <w:r>
        <w:rPr>
          <w:rFonts w:eastAsia="MS Mincho"/>
          <w:rtl/>
        </w:rPr>
        <w:lastRenderedPageBreak/>
        <w:t>והן בסיפא, אך קיימת הבחנה אחרת ביניהם: ברישא לשון נקבה יחידה ("תינוקת לארס") ובסיפא לשון זכר יחיד ("התינוק ללמדו ספר"). ניסוח המשפט הראשון בלשון יחידה לנקבה, מורה שאין מדובר על הזכר התינוק. מסתבר שהוא הדין שמשדכין גם אותו, אלא שדִברו חכמים בהווה</w:t>
      </w:r>
      <w:r>
        <w:rPr>
          <w:rFonts w:eastAsia="MS Mincho" w:hint="cs"/>
          <w:rtl/>
        </w:rPr>
        <w:t>, שנדרש יותר פיוס לבת מאשר לבן</w:t>
      </w:r>
      <w:r>
        <w:rPr>
          <w:rFonts w:eastAsia="MS Mincho"/>
          <w:rtl/>
        </w:rPr>
        <w:t>. על פי נוסח זה</w:t>
      </w:r>
      <w:r>
        <w:rPr>
          <w:rStyle w:val="a4"/>
          <w:rFonts w:eastAsia="MS Mincho"/>
          <w:rtl/>
        </w:rPr>
        <w:footnoteReference w:id="357"/>
      </w:r>
      <w:r>
        <w:rPr>
          <w:rFonts w:eastAsia="MS Mincho"/>
          <w:rtl/>
        </w:rPr>
        <w:t xml:space="preserve"> חובר הזמר לשבת "מה ידידות מנוחתך" ובו נאמר: </w:t>
      </w:r>
    </w:p>
    <w:p w14:paraId="1DEA595C" w14:textId="77777777" w:rsidR="000015C4" w:rsidRDefault="000015C4" w:rsidP="000015C4">
      <w:pPr>
        <w:ind w:firstLine="720"/>
        <w:rPr>
          <w:rFonts w:eastAsia="MS Mincho"/>
          <w:rtl/>
        </w:rPr>
      </w:pPr>
      <w:r>
        <w:rPr>
          <w:rFonts w:eastAsia="MS Mincho"/>
          <w:rtl/>
        </w:rPr>
        <w:lastRenderedPageBreak/>
        <w:t xml:space="preserve">"חֲפָצֶיךָ (בּוֹ) אֲסוּרִים, וְגַם לַחֲשֹׁב חֶשְׁבּוֹנוֹת, </w:t>
      </w:r>
    </w:p>
    <w:p w14:paraId="4272CE60" w14:textId="77777777" w:rsidR="000015C4" w:rsidRDefault="000015C4" w:rsidP="000015C4">
      <w:pPr>
        <w:ind w:firstLine="720"/>
        <w:rPr>
          <w:rFonts w:eastAsia="MS Mincho"/>
          <w:rtl/>
        </w:rPr>
      </w:pPr>
      <w:r>
        <w:rPr>
          <w:rFonts w:eastAsia="MS Mincho"/>
          <w:rtl/>
        </w:rPr>
        <w:t>הִרְהוּרִים מֻתָּרִים, וּ</w:t>
      </w:r>
      <w:r>
        <w:rPr>
          <w:rFonts w:eastAsia="MS Mincho"/>
          <w:b/>
          <w:bCs/>
          <w:rtl/>
        </w:rPr>
        <w:t>לְשַׁדֵּךְ הַבָּנוֹת</w:t>
      </w:r>
      <w:r>
        <w:rPr>
          <w:rFonts w:eastAsia="MS Mincho"/>
          <w:rtl/>
        </w:rPr>
        <w:t xml:space="preserve">, </w:t>
      </w:r>
    </w:p>
    <w:p w14:paraId="49641C4E" w14:textId="77777777" w:rsidR="000015C4" w:rsidRDefault="000015C4" w:rsidP="000015C4">
      <w:pPr>
        <w:ind w:firstLine="720"/>
        <w:rPr>
          <w:rFonts w:eastAsia="MS Mincho" w:hint="cs"/>
          <w:rtl/>
        </w:rPr>
      </w:pPr>
      <w:r>
        <w:rPr>
          <w:rFonts w:eastAsia="MS Mincho"/>
          <w:rtl/>
        </w:rPr>
        <w:t>וְתִינוֹק לְלַמְּדוֹ סֵפֶר, לַמְנַצֵּחַ בִּנְגִינוֹת".</w:t>
      </w:r>
    </w:p>
    <w:p w14:paraId="209EB79A" w14:textId="77777777" w:rsidR="000015C4" w:rsidRDefault="000015C4" w:rsidP="000015C4">
      <w:pPr>
        <w:rPr>
          <w:rFonts w:eastAsia="MS Mincho" w:hint="cs"/>
          <w:rtl/>
        </w:rPr>
      </w:pPr>
    </w:p>
    <w:p w14:paraId="03F64B91" w14:textId="77777777" w:rsidR="000015C4" w:rsidRDefault="000015C4" w:rsidP="000015C4">
      <w:pPr>
        <w:rPr>
          <w:rFonts w:eastAsia="MS Mincho" w:hint="cs"/>
          <w:rtl/>
        </w:rPr>
      </w:pPr>
      <w:r>
        <w:rPr>
          <w:rFonts w:eastAsia="MS Mincho"/>
          <w:rtl/>
        </w:rPr>
        <w:t>לסיכום: השידוך במקורו כָלל כל השְקטה ופִיוס, גם מבלי שמעורבים שני צדדים. בהמשך נתייחד השידוך לפיוס בין שני צדדים, בד"כ בין בני זוג, ובפרט לניהול מו"מ לקראת נישואיהם. במהלך הדורות חל ככ</w:t>
      </w:r>
      <w:r>
        <w:rPr>
          <w:rFonts w:eastAsia="MS Mincho" w:hint="cs"/>
          <w:rtl/>
        </w:rPr>
        <w:t xml:space="preserve">ל </w:t>
      </w:r>
      <w:r>
        <w:rPr>
          <w:rFonts w:eastAsia="MS Mincho"/>
          <w:rtl/>
        </w:rPr>
        <w:t>הנ</w:t>
      </w:r>
      <w:r>
        <w:rPr>
          <w:rFonts w:eastAsia="MS Mincho" w:hint="cs"/>
          <w:rtl/>
        </w:rPr>
        <w:t>ראה</w:t>
      </w:r>
      <w:r>
        <w:rPr>
          <w:rFonts w:eastAsia="MS Mincho"/>
          <w:rtl/>
        </w:rPr>
        <w:t xml:space="preserve"> שינוי בתודעה ביחס לתפקידו של השדכן: התפקיד המורכב של השידוך והשגת הפּשרה בין הצדדים נשכח, והובלט יותר תפקיד השדכן כמי שמציע שפלוני ופלונית יִפָּגשו למטרת נישואין. על רקע זה התקבלה משמעות חדשה ל"שידוך": חיבור וקישור בין שני גורמים, ואפילו בין שני חפצים (!) אע"פ שאין שום צורך לפייסם ולנהל עמם מו"מ, כגון חיבור דפים במכשיר ה"מְהַדֵּק" (</w:t>
      </w:r>
      <w:r>
        <w:rPr>
          <w:rFonts w:eastAsia="MS Mincho"/>
        </w:rPr>
        <w:t>stapler</w:t>
      </w:r>
      <w:r>
        <w:rPr>
          <w:rFonts w:eastAsia="MS Mincho"/>
          <w:rtl/>
        </w:rPr>
        <w:t xml:space="preserve"> בלעז), שרבים מכנים זאת "שידוך" בעזרת "שדכן". עכ"פ, שידוך התינוק ושכנועו ללמוד ספר ואומנות, כמובא בסוגייתנו, איננו תפקיד השדכנים של ימינו, אלא הוא מוטל על ההורים והמחנכים. </w:t>
      </w:r>
    </w:p>
    <w:p w14:paraId="1ABDAB22" w14:textId="77777777" w:rsidR="000015C4" w:rsidRDefault="000015C4" w:rsidP="002B4B31">
      <w:pPr>
        <w:pStyle w:val="1"/>
        <w:rPr>
          <w:rFonts w:hint="cs"/>
          <w:rtl/>
        </w:rPr>
      </w:pPr>
    </w:p>
    <w:p w14:paraId="795AE654" w14:textId="77777777" w:rsidR="002B4B31" w:rsidRDefault="002B4B31" w:rsidP="002B4B31">
      <w:pPr>
        <w:pStyle w:val="1"/>
        <w:rPr>
          <w:rFonts w:hint="cs"/>
          <w:rtl/>
        </w:rPr>
      </w:pPr>
      <w:r>
        <w:rPr>
          <w:rFonts w:hint="cs"/>
          <w:rtl/>
        </w:rPr>
        <w:t xml:space="preserve">דף יב, ב: </w:t>
      </w:r>
      <w:r>
        <w:rPr>
          <w:rtl/>
        </w:rPr>
        <w:t>מנין ששכינה סועד את החולה</w:t>
      </w:r>
    </w:p>
    <w:p w14:paraId="2F432073" w14:textId="77777777" w:rsidR="002B4B31" w:rsidRDefault="002B4B31" w:rsidP="002B4B31">
      <w:pPr>
        <w:pStyle w:val="2"/>
        <w:ind w:firstLine="284"/>
        <w:rPr>
          <w:rFonts w:hint="cs"/>
          <w:color w:val="000000"/>
          <w:rtl/>
        </w:rPr>
      </w:pPr>
      <w:r>
        <w:rPr>
          <w:rFonts w:hint="cs"/>
          <w:color w:val="000000"/>
          <w:rtl/>
        </w:rPr>
        <w:t>סועד, סר או סוער?</w:t>
      </w:r>
      <w:r>
        <w:rPr>
          <w:color w:val="000000"/>
          <w:rtl/>
        </w:rPr>
        <w:t xml:space="preserve"> </w:t>
      </w:r>
    </w:p>
    <w:p w14:paraId="3D40A00A" w14:textId="77777777" w:rsidR="002B4B31" w:rsidRDefault="002B4B31" w:rsidP="002B4B31">
      <w:pPr>
        <w:ind w:firstLine="284"/>
        <w:rPr>
          <w:rFonts w:hint="cs"/>
          <w:rtl/>
        </w:rPr>
      </w:pPr>
      <w:r>
        <w:rPr>
          <w:rFonts w:hint="cs"/>
          <w:rtl/>
        </w:rPr>
        <w:t>"</w:t>
      </w:r>
      <w:r>
        <w:rPr>
          <w:rtl/>
        </w:rPr>
        <w:t>שאני חולה דשכינה עמו</w:t>
      </w:r>
      <w:r>
        <w:rPr>
          <w:rFonts w:hint="cs"/>
          <w:rtl/>
        </w:rPr>
        <w:t>,</w:t>
      </w:r>
      <w:r>
        <w:rPr>
          <w:rtl/>
        </w:rPr>
        <w:t xml:space="preserve"> דאמר רב ענן אמר רב</w:t>
      </w:r>
      <w:r>
        <w:rPr>
          <w:rFonts w:hint="cs"/>
          <w:sz w:val="26"/>
          <w:vertAlign w:val="subscript"/>
          <w:rtl/>
        </w:rPr>
        <w:t>[1]</w:t>
      </w:r>
      <w:r>
        <w:rPr>
          <w:rtl/>
        </w:rPr>
        <w:t>: מנין ששכינה סועד</w:t>
      </w:r>
      <w:r>
        <w:rPr>
          <w:rStyle w:val="a4"/>
          <w:rtl/>
        </w:rPr>
        <w:footnoteReference w:id="358"/>
      </w:r>
      <w:r>
        <w:rPr>
          <w:rtl/>
        </w:rPr>
        <w:t xml:space="preserve"> את החולה, שנאמר 'ה' יִסְעָדֶנּוּ עַל עֶרֶשׂ דְּוָי'. תניא נמי </w:t>
      </w:r>
      <w:r>
        <w:rPr>
          <w:rtl/>
        </w:rPr>
        <w:lastRenderedPageBreak/>
        <w:t>הכי</w:t>
      </w:r>
      <w:r>
        <w:rPr>
          <w:sz w:val="26"/>
          <w:vertAlign w:val="subscript"/>
          <w:rtl/>
        </w:rPr>
        <w:t>[2]</w:t>
      </w:r>
      <w:r>
        <w:rPr>
          <w:rtl/>
        </w:rPr>
        <w:t>: ...ששכינה למעלה מראשותיו</w:t>
      </w:r>
      <w:r>
        <w:rPr>
          <w:rStyle w:val="a4"/>
          <w:rtl/>
        </w:rPr>
        <w:footnoteReference w:id="359"/>
      </w:r>
      <w:r>
        <w:rPr>
          <w:rFonts w:hint="cs"/>
          <w:rtl/>
        </w:rPr>
        <w:t xml:space="preserve"> </w:t>
      </w:r>
      <w:r>
        <w:rPr>
          <w:rtl/>
        </w:rPr>
        <w:t>של חולה,</w:t>
      </w:r>
      <w:r>
        <w:rPr>
          <w:rFonts w:hint="cs"/>
          <w:rtl/>
        </w:rPr>
        <w:t xml:space="preserve"> </w:t>
      </w:r>
      <w:r>
        <w:rPr>
          <w:rtl/>
        </w:rPr>
        <w:t xml:space="preserve">שנאמר </w:t>
      </w:r>
      <w:r>
        <w:rPr>
          <w:rFonts w:hint="cs"/>
          <w:rtl/>
        </w:rPr>
        <w:t>'</w:t>
      </w:r>
      <w:r>
        <w:rPr>
          <w:rtl/>
        </w:rPr>
        <w:t>ה' יִסְעָדֶנּוּ עַל עֶרֶשׂ דְּוָי</w:t>
      </w:r>
      <w:r>
        <w:rPr>
          <w:rFonts w:hint="cs"/>
          <w:rtl/>
        </w:rPr>
        <w:t>'</w:t>
      </w:r>
      <w:r>
        <w:rPr>
          <w:rtl/>
        </w:rPr>
        <w:t>. ואמר רבא אמר רבין</w:t>
      </w:r>
      <w:r>
        <w:rPr>
          <w:rFonts w:hint="cs"/>
          <w:sz w:val="26"/>
          <w:vertAlign w:val="subscript"/>
          <w:rtl/>
        </w:rPr>
        <w:t>[3]</w:t>
      </w:r>
      <w:r>
        <w:rPr>
          <w:rtl/>
        </w:rPr>
        <w:t xml:space="preserve">: מנין שהקדוש ברוך הוא </w:t>
      </w:r>
      <w:r>
        <w:rPr>
          <w:b/>
          <w:bCs/>
          <w:rtl/>
        </w:rPr>
        <w:t xml:space="preserve">זן </w:t>
      </w:r>
      <w:r>
        <w:rPr>
          <w:rtl/>
        </w:rPr>
        <w:t>את החולה</w:t>
      </w:r>
      <w:r>
        <w:rPr>
          <w:rFonts w:hint="cs"/>
          <w:rtl/>
        </w:rPr>
        <w:t xml:space="preserve">, </w:t>
      </w:r>
      <w:r>
        <w:rPr>
          <w:rtl/>
        </w:rPr>
        <w:t xml:space="preserve">שנאמר </w:t>
      </w:r>
      <w:r>
        <w:rPr>
          <w:rFonts w:hint="cs"/>
          <w:rtl/>
        </w:rPr>
        <w:t>'</w:t>
      </w:r>
      <w:r>
        <w:rPr>
          <w:rtl/>
        </w:rPr>
        <w:t>ה' יִסְעָדֶנּוּ עַל עֶרֶשׂ דְּוָי</w:t>
      </w:r>
      <w:r>
        <w:rPr>
          <w:rFonts w:hint="cs"/>
          <w:rtl/>
        </w:rPr>
        <w:t>'</w:t>
      </w:r>
      <w:r>
        <w:rPr>
          <w:rFonts w:hint="cs"/>
          <w:sz w:val="2"/>
          <w:szCs w:val="2"/>
          <w:rtl/>
        </w:rPr>
        <w:t xml:space="preserve"> </w:t>
      </w:r>
      <w:r>
        <w:rPr>
          <w:rFonts w:hint="cs"/>
          <w:rtl/>
        </w:rPr>
        <w:t>"</w:t>
      </w:r>
      <w:r>
        <w:rPr>
          <w:rtl/>
        </w:rPr>
        <w:t xml:space="preserve">. </w:t>
      </w:r>
    </w:p>
    <w:p w14:paraId="73486550" w14:textId="77777777" w:rsidR="002B4B31" w:rsidRDefault="002B4B31" w:rsidP="002B4B31">
      <w:pPr>
        <w:ind w:firstLine="284"/>
        <w:rPr>
          <w:rFonts w:hint="cs"/>
          <w:rtl/>
        </w:rPr>
      </w:pPr>
      <w:r>
        <w:rPr>
          <w:rFonts w:hint="cs"/>
          <w:rtl/>
        </w:rPr>
        <w:t>ב</w:t>
      </w:r>
      <w:r>
        <w:rPr>
          <w:rtl/>
        </w:rPr>
        <w:t xml:space="preserve">מסכת נדרים </w:t>
      </w:r>
      <w:r>
        <w:rPr>
          <w:rFonts w:hint="cs"/>
          <w:rtl/>
        </w:rPr>
        <w:t>(</w:t>
      </w:r>
      <w:r>
        <w:rPr>
          <w:sz w:val="18"/>
          <w:szCs w:val="20"/>
          <w:rtl/>
        </w:rPr>
        <w:t>מ</w:t>
      </w:r>
      <w:r>
        <w:rPr>
          <w:rFonts w:hint="cs"/>
          <w:sz w:val="18"/>
          <w:szCs w:val="20"/>
          <w:rtl/>
        </w:rPr>
        <w:t xml:space="preserve">, </w:t>
      </w:r>
      <w:r>
        <w:rPr>
          <w:sz w:val="18"/>
          <w:szCs w:val="20"/>
          <w:rtl/>
        </w:rPr>
        <w:t>א</w:t>
      </w:r>
      <w:r>
        <w:rPr>
          <w:rFonts w:hint="cs"/>
          <w:rtl/>
        </w:rPr>
        <w:t>)</w:t>
      </w:r>
      <w:r>
        <w:rPr>
          <w:rtl/>
        </w:rPr>
        <w:t xml:space="preserve"> </w:t>
      </w:r>
      <w:r>
        <w:rPr>
          <w:rFonts w:hint="cs"/>
          <w:rtl/>
        </w:rPr>
        <w:t>מובאות דרשות אלה עם כמה שינויים (</w:t>
      </w:r>
      <w:r>
        <w:rPr>
          <w:rFonts w:hint="cs"/>
          <w:sz w:val="26"/>
          <w:vertAlign w:val="subscript"/>
          <w:rtl/>
        </w:rPr>
        <w:t>המִספור זהה למִספור הנ"ל, כדי להקל על ההקבלה</w:t>
      </w:r>
      <w:r>
        <w:rPr>
          <w:rFonts w:hint="cs"/>
          <w:rtl/>
        </w:rPr>
        <w:t>):</w:t>
      </w:r>
      <w:r>
        <w:rPr>
          <w:rtl/>
        </w:rPr>
        <w:t xml:space="preserve"> </w:t>
      </w:r>
      <w:r>
        <w:rPr>
          <w:rFonts w:hint="cs"/>
          <w:rtl/>
        </w:rPr>
        <w:t>"</w:t>
      </w:r>
      <w:r>
        <w:rPr>
          <w:rtl/>
        </w:rPr>
        <w:t>אמר רבין אמר רב</w:t>
      </w:r>
      <w:r>
        <w:rPr>
          <w:rFonts w:hint="cs"/>
          <w:sz w:val="26"/>
          <w:vertAlign w:val="subscript"/>
          <w:rtl/>
        </w:rPr>
        <w:t>[3]</w:t>
      </w:r>
      <w:r>
        <w:rPr>
          <w:rtl/>
        </w:rPr>
        <w:t>: מניין שהקב"ה זן את החולה? שנאמר:</w:t>
      </w:r>
      <w:r>
        <w:rPr>
          <w:rFonts w:hint="cs"/>
          <w:rtl/>
        </w:rPr>
        <w:t xml:space="preserve"> </w:t>
      </w:r>
      <w:r>
        <w:rPr>
          <w:rtl/>
        </w:rPr>
        <w:t>יי' יסעדנו על ערש</w:t>
      </w:r>
      <w:r>
        <w:rPr>
          <w:rFonts w:hint="cs"/>
          <w:rtl/>
        </w:rPr>
        <w:t xml:space="preserve"> </w:t>
      </w:r>
      <w:r>
        <w:rPr>
          <w:rtl/>
        </w:rPr>
        <w:t xml:space="preserve">דוי וגו'. ואמר רבין אמר </w:t>
      </w:r>
      <w:r>
        <w:rPr>
          <w:rtl/>
        </w:rPr>
        <w:lastRenderedPageBreak/>
        <w:t>רב</w:t>
      </w:r>
      <w:r>
        <w:rPr>
          <w:rFonts w:hint="cs"/>
          <w:sz w:val="26"/>
          <w:vertAlign w:val="subscript"/>
          <w:rtl/>
        </w:rPr>
        <w:t>[1]</w:t>
      </w:r>
      <w:r>
        <w:rPr>
          <w:rtl/>
        </w:rPr>
        <w:t>: מניין</w:t>
      </w:r>
      <w:r>
        <w:rPr>
          <w:rFonts w:hint="cs"/>
          <w:rtl/>
        </w:rPr>
        <w:t xml:space="preserve"> </w:t>
      </w:r>
      <w:r>
        <w:rPr>
          <w:rtl/>
        </w:rPr>
        <w:t>שהשכינה</w:t>
      </w:r>
      <w:r>
        <w:rPr>
          <w:rFonts w:hint="cs"/>
          <w:rtl/>
        </w:rPr>
        <w:t xml:space="preserve"> </w:t>
      </w:r>
      <w:r>
        <w:rPr>
          <w:rtl/>
        </w:rPr>
        <w:t>שרויה למעלה ממטתו של חולה? שנאמר: יי' יסעדנו על ערש דוי. תניא נמי הכי</w:t>
      </w:r>
      <w:r>
        <w:rPr>
          <w:rFonts w:hint="cs"/>
          <w:sz w:val="26"/>
          <w:vertAlign w:val="subscript"/>
          <w:rtl/>
        </w:rPr>
        <w:t>[2]</w:t>
      </w:r>
      <w:r>
        <w:rPr>
          <w:rtl/>
        </w:rPr>
        <w:t>:</w:t>
      </w:r>
      <w:r>
        <w:rPr>
          <w:rFonts w:hint="cs"/>
          <w:rtl/>
        </w:rPr>
        <w:t xml:space="preserve"> </w:t>
      </w:r>
      <w:r>
        <w:rPr>
          <w:rtl/>
        </w:rPr>
        <w:t>הנכנס</w:t>
      </w:r>
      <w:r>
        <w:rPr>
          <w:rFonts w:hint="cs"/>
          <w:rtl/>
        </w:rPr>
        <w:t xml:space="preserve"> </w:t>
      </w:r>
      <w:r>
        <w:rPr>
          <w:rtl/>
        </w:rPr>
        <w:t>לבקר</w:t>
      </w:r>
      <w:r>
        <w:rPr>
          <w:rFonts w:hint="cs"/>
          <w:rtl/>
        </w:rPr>
        <w:t xml:space="preserve"> </w:t>
      </w:r>
      <w:r>
        <w:rPr>
          <w:rtl/>
        </w:rPr>
        <w:t>את החולה</w:t>
      </w:r>
      <w:r>
        <w:rPr>
          <w:rFonts w:hint="cs"/>
          <w:rtl/>
        </w:rPr>
        <w:t xml:space="preserve">... </w:t>
      </w:r>
      <w:r>
        <w:rPr>
          <w:rtl/>
        </w:rPr>
        <w:t>שהשכינה</w:t>
      </w:r>
      <w:r>
        <w:rPr>
          <w:rFonts w:hint="cs"/>
          <w:rtl/>
        </w:rPr>
        <w:t xml:space="preserve"> </w:t>
      </w:r>
      <w:r>
        <w:rPr>
          <w:rtl/>
        </w:rPr>
        <w:t>שרויה למעלה ממטתו</w:t>
      </w:r>
      <w:r>
        <w:rPr>
          <w:rFonts w:hint="cs"/>
          <w:rtl/>
        </w:rPr>
        <w:t xml:space="preserve"> </w:t>
      </w:r>
      <w:r>
        <w:rPr>
          <w:rtl/>
        </w:rPr>
        <w:t>של חולה, שנאמר: יי' יסעדנו על ערש דוי</w:t>
      </w:r>
      <w:r>
        <w:rPr>
          <w:rFonts w:hint="cs"/>
          <w:rtl/>
        </w:rPr>
        <w:t>"</w:t>
      </w:r>
      <w:r>
        <w:rPr>
          <w:rtl/>
        </w:rPr>
        <w:t>.</w:t>
      </w:r>
    </w:p>
    <w:p w14:paraId="3B63AB6B" w14:textId="77777777" w:rsidR="002B4B31" w:rsidRDefault="002B4B31" w:rsidP="002B4B31">
      <w:pPr>
        <w:ind w:firstLine="284"/>
        <w:rPr>
          <w:rFonts w:hint="cs"/>
          <w:rtl/>
        </w:rPr>
      </w:pPr>
      <w:r>
        <w:rPr>
          <w:rFonts w:hint="cs"/>
          <w:rtl/>
        </w:rPr>
        <w:t xml:space="preserve">במרכז דיוננו עומד הכתוב </w:t>
      </w:r>
      <w:r>
        <w:rPr>
          <w:rFonts w:hint="cs"/>
          <w:sz w:val="26"/>
          <w:rtl/>
        </w:rPr>
        <w:t xml:space="preserve">במזמור </w:t>
      </w:r>
      <w:r>
        <w:rPr>
          <w:sz w:val="26"/>
          <w:rtl/>
        </w:rPr>
        <w:t>מ</w:t>
      </w:r>
      <w:r>
        <w:rPr>
          <w:rFonts w:hint="cs"/>
          <w:sz w:val="26"/>
          <w:rtl/>
        </w:rPr>
        <w:t>"</w:t>
      </w:r>
      <w:r>
        <w:rPr>
          <w:sz w:val="26"/>
          <w:rtl/>
        </w:rPr>
        <w:t>א</w:t>
      </w:r>
      <w:r>
        <w:rPr>
          <w:rFonts w:hint="cs"/>
          <w:rtl/>
        </w:rPr>
        <w:t xml:space="preserve"> ב</w:t>
      </w:r>
      <w:r>
        <w:rPr>
          <w:sz w:val="26"/>
          <w:rtl/>
        </w:rPr>
        <w:t>תהלים</w:t>
      </w:r>
      <w:r>
        <w:rPr>
          <w:rFonts w:hint="cs"/>
          <w:rtl/>
        </w:rPr>
        <w:t>:</w:t>
      </w:r>
      <w:r>
        <w:rPr>
          <w:rtl/>
        </w:rPr>
        <w:t xml:space="preserve"> </w:t>
      </w:r>
      <w:r>
        <w:rPr>
          <w:rFonts w:hint="cs"/>
          <w:rtl/>
        </w:rPr>
        <w:t>"</w:t>
      </w:r>
      <w:r>
        <w:rPr>
          <w:rtl/>
        </w:rPr>
        <w:t xml:space="preserve">אַשְׁרֵי מַשְׂכִּיל אֶל דָּל בְּיוֹם רָעָה יְמַלְּטֵהוּ </w:t>
      </w:r>
      <w:r>
        <w:rPr>
          <w:rFonts w:hint="cs"/>
          <w:rtl/>
        </w:rPr>
        <w:t>ה'. ה'</w:t>
      </w:r>
      <w:r>
        <w:rPr>
          <w:rtl/>
        </w:rPr>
        <w:t xml:space="preserve"> יִשְׁמְרֵהוּ וִיחַיֵּהוּ</w:t>
      </w:r>
      <w:r>
        <w:rPr>
          <w:rFonts w:hint="cs"/>
          <w:rtl/>
        </w:rPr>
        <w:t xml:space="preserve">... </w:t>
      </w:r>
      <w:r>
        <w:rPr>
          <w:rtl/>
        </w:rPr>
        <w:t xml:space="preserve">ה' </w:t>
      </w:r>
      <w:r>
        <w:rPr>
          <w:b/>
          <w:bCs/>
          <w:rtl/>
        </w:rPr>
        <w:t>יִסְעָדֶנּוּ</w:t>
      </w:r>
      <w:r>
        <w:rPr>
          <w:rtl/>
        </w:rPr>
        <w:t xml:space="preserve"> עַל עֶרֶשׂ דְּוָי</w:t>
      </w:r>
      <w:r>
        <w:rPr>
          <w:rStyle w:val="a4"/>
          <w:rtl/>
        </w:rPr>
        <w:footnoteReference w:id="360"/>
      </w:r>
      <w:r>
        <w:rPr>
          <w:rFonts w:hint="cs"/>
          <w:rtl/>
        </w:rPr>
        <w:t xml:space="preserve">, </w:t>
      </w:r>
      <w:r>
        <w:rPr>
          <w:rtl/>
        </w:rPr>
        <w:t>כָּל מִשְׁכָּבוֹ הָפַכְתָּ בְחָלְיוֹ</w:t>
      </w:r>
      <w:r>
        <w:rPr>
          <w:rFonts w:hint="cs"/>
          <w:rtl/>
        </w:rPr>
        <w:t>". מהו "</w:t>
      </w:r>
      <w:r>
        <w:rPr>
          <w:rtl/>
        </w:rPr>
        <w:t>יִסְעָדֶנּוּ</w:t>
      </w:r>
      <w:r>
        <w:rPr>
          <w:rFonts w:hint="cs"/>
          <w:rtl/>
        </w:rPr>
        <w:t xml:space="preserve">"? </w:t>
      </w:r>
    </w:p>
    <w:p w14:paraId="79B3FD5C" w14:textId="77777777" w:rsidR="002B4B31" w:rsidRDefault="002B4B31" w:rsidP="002B4B31">
      <w:pPr>
        <w:ind w:firstLine="284"/>
        <w:rPr>
          <w:rFonts w:hint="cs"/>
          <w:rtl/>
        </w:rPr>
      </w:pPr>
      <w:r>
        <w:rPr>
          <w:rFonts w:hint="cs"/>
          <w:rtl/>
        </w:rPr>
        <w:t>שורש סע"ד מופיע במקרא במשמעות עזרה וסיוע, סמיכה ותמיכה, הן בעברית ("</w:t>
      </w:r>
      <w:r>
        <w:rPr>
          <w:rtl/>
        </w:rPr>
        <w:t xml:space="preserve">יִשְׁלַח </w:t>
      </w:r>
      <w:r>
        <w:rPr>
          <w:b/>
          <w:bCs/>
          <w:rtl/>
        </w:rPr>
        <w:t xml:space="preserve">עֶזְרְךָ </w:t>
      </w:r>
      <w:r>
        <w:rPr>
          <w:rtl/>
        </w:rPr>
        <w:t>מִקֹּדֶשׁ</w:t>
      </w:r>
      <w:r>
        <w:rPr>
          <w:rFonts w:hint="cs"/>
          <w:rtl/>
        </w:rPr>
        <w:t>,</w:t>
      </w:r>
      <w:r>
        <w:rPr>
          <w:rtl/>
        </w:rPr>
        <w:t xml:space="preserve"> וּמִצִּיּוֹן </w:t>
      </w:r>
      <w:r>
        <w:rPr>
          <w:b/>
          <w:bCs/>
          <w:rtl/>
        </w:rPr>
        <w:t>יִסְעָדֶךָּ</w:t>
      </w:r>
      <w:r>
        <w:rPr>
          <w:rFonts w:hint="cs"/>
          <w:rtl/>
        </w:rPr>
        <w:t xml:space="preserve">", </w:t>
      </w:r>
      <w:r>
        <w:rPr>
          <w:sz w:val="18"/>
          <w:szCs w:val="20"/>
          <w:rtl/>
        </w:rPr>
        <w:t>תהלים כ</w:t>
      </w:r>
      <w:r>
        <w:rPr>
          <w:rFonts w:hint="cs"/>
          <w:sz w:val="18"/>
          <w:szCs w:val="20"/>
          <w:rtl/>
        </w:rPr>
        <w:t xml:space="preserve">, </w:t>
      </w:r>
      <w:r>
        <w:rPr>
          <w:sz w:val="18"/>
          <w:szCs w:val="20"/>
          <w:rtl/>
        </w:rPr>
        <w:t>ג</w:t>
      </w:r>
      <w:r>
        <w:rPr>
          <w:rFonts w:hint="cs"/>
          <w:rtl/>
        </w:rPr>
        <w:t>;</w:t>
      </w:r>
      <w:r>
        <w:rPr>
          <w:rtl/>
        </w:rPr>
        <w:t xml:space="preserve"> </w:t>
      </w:r>
      <w:r>
        <w:rPr>
          <w:rFonts w:hint="cs"/>
          <w:rtl/>
        </w:rPr>
        <w:t>"</w:t>
      </w:r>
      <w:r>
        <w:rPr>
          <w:rtl/>
        </w:rPr>
        <w:t xml:space="preserve">אִם אָמַרְתִּי מָטָה רַגְלִי </w:t>
      </w:r>
      <w:r>
        <w:rPr>
          <w:rFonts w:hint="cs"/>
          <w:rtl/>
        </w:rPr>
        <w:t xml:space="preserve">- </w:t>
      </w:r>
      <w:r>
        <w:rPr>
          <w:rtl/>
        </w:rPr>
        <w:t xml:space="preserve">חַסְדְּךָ </w:t>
      </w:r>
      <w:r>
        <w:rPr>
          <w:rFonts w:hint="cs"/>
          <w:rtl/>
        </w:rPr>
        <w:t xml:space="preserve">ה' </w:t>
      </w:r>
      <w:r>
        <w:rPr>
          <w:b/>
          <w:bCs/>
          <w:rtl/>
        </w:rPr>
        <w:t>יִסְעָדֵנִי</w:t>
      </w:r>
      <w:r>
        <w:rPr>
          <w:rFonts w:hint="cs"/>
          <w:rtl/>
        </w:rPr>
        <w:t xml:space="preserve">", </w:t>
      </w:r>
      <w:r>
        <w:rPr>
          <w:rFonts w:hint="cs"/>
          <w:sz w:val="18"/>
          <w:szCs w:val="20"/>
          <w:rtl/>
        </w:rPr>
        <w:t>ש</w:t>
      </w:r>
      <w:r>
        <w:rPr>
          <w:sz w:val="18"/>
          <w:szCs w:val="20"/>
          <w:rtl/>
        </w:rPr>
        <w:t>ם צד</w:t>
      </w:r>
      <w:r>
        <w:rPr>
          <w:rFonts w:hint="cs"/>
          <w:sz w:val="18"/>
          <w:szCs w:val="20"/>
          <w:rtl/>
        </w:rPr>
        <w:t xml:space="preserve">, </w:t>
      </w:r>
      <w:r>
        <w:rPr>
          <w:sz w:val="18"/>
          <w:szCs w:val="20"/>
          <w:rtl/>
        </w:rPr>
        <w:t>יח</w:t>
      </w:r>
      <w:r>
        <w:rPr>
          <w:rFonts w:hint="cs"/>
          <w:rtl/>
        </w:rPr>
        <w:t>), והן בארמית (</w:t>
      </w:r>
      <w:r>
        <w:rPr>
          <w:sz w:val="18"/>
          <w:szCs w:val="20"/>
          <w:rtl/>
        </w:rPr>
        <w:t>עזרא ה</w:t>
      </w:r>
      <w:r>
        <w:rPr>
          <w:rFonts w:hint="cs"/>
          <w:sz w:val="18"/>
          <w:szCs w:val="20"/>
          <w:rtl/>
        </w:rPr>
        <w:t xml:space="preserve">, </w:t>
      </w:r>
      <w:r>
        <w:rPr>
          <w:sz w:val="18"/>
          <w:szCs w:val="20"/>
          <w:rtl/>
        </w:rPr>
        <w:t>ב</w:t>
      </w:r>
      <w:r>
        <w:rPr>
          <w:rFonts w:hint="cs"/>
          <w:rtl/>
        </w:rPr>
        <w:t>:</w:t>
      </w:r>
      <w:r>
        <w:rPr>
          <w:rtl/>
        </w:rPr>
        <w:t xml:space="preserve"> </w:t>
      </w:r>
      <w:r>
        <w:rPr>
          <w:rFonts w:hint="cs"/>
          <w:rtl/>
        </w:rPr>
        <w:t>"</w:t>
      </w:r>
      <w:r>
        <w:rPr>
          <w:rtl/>
        </w:rPr>
        <w:t xml:space="preserve">וְעִמְּהוֹן נְבִיַּיָּא </w:t>
      </w:r>
      <w:r>
        <w:rPr>
          <w:rFonts w:hint="cs"/>
          <w:rtl/>
        </w:rPr>
        <w:t>[</w:t>
      </w:r>
      <w:r>
        <w:rPr>
          <w:rFonts w:hint="cs"/>
          <w:sz w:val="18"/>
          <w:szCs w:val="20"/>
          <w:rtl/>
        </w:rPr>
        <w:t xml:space="preserve">כתיב: </w:t>
      </w:r>
      <w:r>
        <w:rPr>
          <w:sz w:val="18"/>
          <w:szCs w:val="20"/>
          <w:rtl/>
        </w:rPr>
        <w:t>נביאיא</w:t>
      </w:r>
      <w:r>
        <w:rPr>
          <w:rFonts w:hint="cs"/>
          <w:rtl/>
        </w:rPr>
        <w:t xml:space="preserve">] </w:t>
      </w:r>
      <w:r>
        <w:rPr>
          <w:rtl/>
        </w:rPr>
        <w:t>דִי אֱלָהָא</w:t>
      </w:r>
      <w:r>
        <w:rPr>
          <w:rFonts w:hint="cs"/>
          <w:rtl/>
        </w:rPr>
        <w:t xml:space="preserve">, </w:t>
      </w:r>
      <w:r>
        <w:rPr>
          <w:b/>
          <w:bCs/>
          <w:rtl/>
        </w:rPr>
        <w:t>מְסָעֲדִין</w:t>
      </w:r>
      <w:r>
        <w:rPr>
          <w:rtl/>
        </w:rPr>
        <w:t xml:space="preserve"> לְהוֹן</w:t>
      </w:r>
      <w:r>
        <w:rPr>
          <w:rFonts w:hint="cs"/>
          <w:rtl/>
        </w:rPr>
        <w:t>"</w:t>
      </w:r>
      <w:r>
        <w:rPr>
          <w:rFonts w:hint="cs"/>
          <w:sz w:val="18"/>
          <w:szCs w:val="20"/>
          <w:rtl/>
        </w:rPr>
        <w:t>, רש"י: "</w:t>
      </w:r>
      <w:r>
        <w:rPr>
          <w:sz w:val="18"/>
          <w:szCs w:val="20"/>
          <w:rtl/>
        </w:rPr>
        <w:t xml:space="preserve">ועמהם הנביאים של הקב"ה </w:t>
      </w:r>
      <w:r>
        <w:rPr>
          <w:b/>
          <w:bCs/>
          <w:sz w:val="18"/>
          <w:szCs w:val="20"/>
          <w:rtl/>
        </w:rPr>
        <w:t>עוזרין ומסייעין</w:t>
      </w:r>
      <w:r>
        <w:rPr>
          <w:sz w:val="18"/>
          <w:szCs w:val="20"/>
          <w:rtl/>
        </w:rPr>
        <w:t xml:space="preserve"> להם</w:t>
      </w:r>
      <w:r>
        <w:rPr>
          <w:rFonts w:hint="cs"/>
          <w:sz w:val="18"/>
          <w:szCs w:val="20"/>
          <w:rtl/>
        </w:rPr>
        <w:t>"</w:t>
      </w:r>
      <w:r>
        <w:rPr>
          <w:rFonts w:hint="cs"/>
          <w:rtl/>
        </w:rPr>
        <w:t>). כמו כן, אנו מוצאים שאונקלוס מתרגם לשורש סע"ד מִלים</w:t>
      </w:r>
      <w:r>
        <w:rPr>
          <w:rtl/>
        </w:rPr>
        <w:t xml:space="preserve"> משורש עז"ר</w:t>
      </w:r>
      <w:r>
        <w:rPr>
          <w:rStyle w:val="a4"/>
          <w:rtl/>
        </w:rPr>
        <w:footnoteReference w:id="361"/>
      </w:r>
      <w:r>
        <w:rPr>
          <w:rtl/>
        </w:rPr>
        <w:t>, סמ"כ</w:t>
      </w:r>
      <w:r>
        <w:rPr>
          <w:rStyle w:val="a4"/>
          <w:rtl/>
        </w:rPr>
        <w:footnoteReference w:id="362"/>
      </w:r>
      <w:r>
        <w:rPr>
          <w:rtl/>
        </w:rPr>
        <w:t xml:space="preserve"> </w:t>
      </w:r>
      <w:r>
        <w:rPr>
          <w:rtl/>
        </w:rPr>
        <w:lastRenderedPageBreak/>
        <w:t>ותמ"ך</w:t>
      </w:r>
      <w:r>
        <w:rPr>
          <w:rStyle w:val="a4"/>
          <w:rtl/>
        </w:rPr>
        <w:footnoteReference w:id="363"/>
      </w:r>
      <w:r>
        <w:rPr>
          <w:rtl/>
        </w:rPr>
        <w:t xml:space="preserve"> (שורש סי"ע אינו מופיע במקרא</w:t>
      </w:r>
      <w:r>
        <w:rPr>
          <w:rStyle w:val="a4"/>
          <w:rtl/>
        </w:rPr>
        <w:footnoteReference w:id="364"/>
      </w:r>
      <w:r>
        <w:rPr>
          <w:rtl/>
        </w:rPr>
        <w:t>). השימוש בשורש זה נמשך בעברית של חז"ל</w:t>
      </w:r>
      <w:r>
        <w:rPr>
          <w:rStyle w:val="a4"/>
          <w:rtl/>
        </w:rPr>
        <w:footnoteReference w:id="365"/>
      </w:r>
      <w:r>
        <w:rPr>
          <w:rtl/>
        </w:rPr>
        <w:t xml:space="preserve"> ובלשון התפילה</w:t>
      </w:r>
      <w:r>
        <w:rPr>
          <w:rStyle w:val="a4"/>
          <w:rtl/>
        </w:rPr>
        <w:footnoteReference w:id="366"/>
      </w:r>
      <w:r>
        <w:rPr>
          <w:rtl/>
        </w:rPr>
        <w:t xml:space="preserve"> ונתרחב לצורות נוספות</w:t>
      </w:r>
      <w:r>
        <w:rPr>
          <w:rStyle w:val="a4"/>
          <w:rtl/>
        </w:rPr>
        <w:footnoteReference w:id="367"/>
      </w:r>
      <w:r>
        <w:rPr>
          <w:rtl/>
        </w:rPr>
        <w:t>.</w:t>
      </w:r>
    </w:p>
    <w:p w14:paraId="090BBC4B" w14:textId="77777777" w:rsidR="002B4B31" w:rsidRDefault="002B4B31" w:rsidP="002B4B31">
      <w:pPr>
        <w:ind w:firstLine="284"/>
        <w:rPr>
          <w:rFonts w:hint="cs"/>
          <w:rtl/>
        </w:rPr>
      </w:pPr>
      <w:r>
        <w:rPr>
          <w:rFonts w:hint="cs"/>
          <w:rtl/>
        </w:rPr>
        <w:t>הניב המקראי "סעידת הלב" משמעו עזרה וחיזוק גופני באמצעות אכילה, כמאמר אברהם אבינו בהציעו ארוחה לאורחיו: "</w:t>
      </w:r>
      <w:r>
        <w:rPr>
          <w:rtl/>
        </w:rPr>
        <w:t xml:space="preserve">וְאֶקְחָה פַת לֶחֶם </w:t>
      </w:r>
      <w:r>
        <w:rPr>
          <w:b/>
          <w:bCs/>
          <w:rtl/>
        </w:rPr>
        <w:t>וְסַעֲדוּ</w:t>
      </w:r>
      <w:r>
        <w:rPr>
          <w:rtl/>
        </w:rPr>
        <w:t xml:space="preserve"> לִבְּכֶם</w:t>
      </w:r>
      <w:r>
        <w:rPr>
          <w:rFonts w:hint="cs"/>
          <w:rtl/>
        </w:rPr>
        <w:t>" (</w:t>
      </w:r>
      <w:r>
        <w:rPr>
          <w:sz w:val="18"/>
          <w:szCs w:val="20"/>
          <w:rtl/>
        </w:rPr>
        <w:t>בראשית יח</w:t>
      </w:r>
      <w:r>
        <w:rPr>
          <w:rFonts w:hint="cs"/>
          <w:sz w:val="18"/>
          <w:szCs w:val="20"/>
          <w:rtl/>
        </w:rPr>
        <w:t xml:space="preserve">, </w:t>
      </w:r>
      <w:r>
        <w:rPr>
          <w:sz w:val="18"/>
          <w:szCs w:val="20"/>
          <w:rtl/>
        </w:rPr>
        <w:t>ה</w:t>
      </w:r>
      <w:r>
        <w:rPr>
          <w:rFonts w:hint="cs"/>
          <w:rtl/>
        </w:rPr>
        <w:t xml:space="preserve">), וכך כותב </w:t>
      </w:r>
      <w:r>
        <w:rPr>
          <w:rtl/>
        </w:rPr>
        <w:t xml:space="preserve">רש"י </w:t>
      </w:r>
      <w:r>
        <w:rPr>
          <w:rFonts w:hint="cs"/>
          <w:rtl/>
        </w:rPr>
        <w:t>(</w:t>
      </w:r>
      <w:r>
        <w:rPr>
          <w:rFonts w:hint="cs"/>
          <w:sz w:val="18"/>
          <w:szCs w:val="20"/>
          <w:rtl/>
        </w:rPr>
        <w:t xml:space="preserve">ע"פ </w:t>
      </w:r>
      <w:r>
        <w:rPr>
          <w:sz w:val="18"/>
          <w:szCs w:val="20"/>
          <w:rtl/>
        </w:rPr>
        <w:t>ב</w:t>
      </w:r>
      <w:r>
        <w:rPr>
          <w:rFonts w:hint="cs"/>
          <w:sz w:val="18"/>
          <w:szCs w:val="20"/>
          <w:rtl/>
        </w:rPr>
        <w:t>"</w:t>
      </w:r>
      <w:r>
        <w:rPr>
          <w:sz w:val="18"/>
          <w:szCs w:val="20"/>
          <w:rtl/>
        </w:rPr>
        <w:t>ר</w:t>
      </w:r>
      <w:r>
        <w:rPr>
          <w:rFonts w:hint="cs"/>
          <w:rtl/>
        </w:rPr>
        <w:t>): "</w:t>
      </w:r>
      <w:r>
        <w:rPr>
          <w:rtl/>
        </w:rPr>
        <w:t xml:space="preserve">בתורה </w:t>
      </w:r>
      <w:r>
        <w:rPr>
          <w:rtl/>
        </w:rPr>
        <w:lastRenderedPageBreak/>
        <w:t>בנביאים ובכתובים מצינו דפִתא - סעדתא</w:t>
      </w:r>
      <w:r>
        <w:rPr>
          <w:rStyle w:val="a4"/>
          <w:rtl/>
        </w:rPr>
        <w:footnoteReference w:id="368"/>
      </w:r>
      <w:r>
        <w:rPr>
          <w:rtl/>
        </w:rPr>
        <w:t xml:space="preserve"> דל</w:t>
      </w:r>
      <w:r>
        <w:rPr>
          <w:rFonts w:hint="cs"/>
          <w:rtl/>
        </w:rPr>
        <w:t>ִ</w:t>
      </w:r>
      <w:r>
        <w:rPr>
          <w:rtl/>
        </w:rPr>
        <w:t>בא</w:t>
      </w:r>
      <w:r>
        <w:rPr>
          <w:rFonts w:hint="cs"/>
          <w:rtl/>
        </w:rPr>
        <w:t>:</w:t>
      </w:r>
      <w:r>
        <w:rPr>
          <w:rtl/>
        </w:rPr>
        <w:t xml:space="preserve"> בתורה</w:t>
      </w:r>
      <w:r>
        <w:rPr>
          <w:rFonts w:hint="cs"/>
          <w:rtl/>
        </w:rPr>
        <w:t xml:space="preserve"> -</w:t>
      </w:r>
      <w:r>
        <w:rPr>
          <w:rtl/>
        </w:rPr>
        <w:t xml:space="preserve"> </w:t>
      </w:r>
      <w:r>
        <w:rPr>
          <w:rFonts w:hint="cs"/>
          <w:rtl/>
        </w:rPr>
        <w:t>'</w:t>
      </w:r>
      <w:r>
        <w:rPr>
          <w:rtl/>
        </w:rPr>
        <w:t>וְסַעֲדוּ לִבְּכֶם</w:t>
      </w:r>
      <w:r>
        <w:rPr>
          <w:rFonts w:hint="cs"/>
          <w:rtl/>
        </w:rPr>
        <w:t>';</w:t>
      </w:r>
      <w:r>
        <w:rPr>
          <w:rtl/>
        </w:rPr>
        <w:t xml:space="preserve"> בנביאים </w:t>
      </w:r>
      <w:r>
        <w:rPr>
          <w:rFonts w:hint="cs"/>
          <w:rtl/>
        </w:rPr>
        <w:t>- '</w:t>
      </w:r>
      <w:r>
        <w:rPr>
          <w:rtl/>
        </w:rPr>
        <w:t>סְעָד לִבְּךָ פַּת לֶחֶם</w:t>
      </w:r>
      <w:r>
        <w:rPr>
          <w:rFonts w:hint="cs"/>
          <w:rtl/>
        </w:rPr>
        <w:t xml:space="preserve">' </w:t>
      </w:r>
      <w:r>
        <w:rPr>
          <w:rtl/>
        </w:rPr>
        <w:t>(</w:t>
      </w:r>
      <w:r>
        <w:rPr>
          <w:sz w:val="18"/>
          <w:szCs w:val="20"/>
          <w:rtl/>
        </w:rPr>
        <w:t>שופטים יט, ה</w:t>
      </w:r>
      <w:r>
        <w:rPr>
          <w:rStyle w:val="a4"/>
          <w:rtl/>
        </w:rPr>
        <w:footnoteReference w:id="369"/>
      </w:r>
      <w:r>
        <w:rPr>
          <w:rFonts w:hint="cs"/>
          <w:rtl/>
        </w:rPr>
        <w:t xml:space="preserve">); </w:t>
      </w:r>
      <w:r>
        <w:rPr>
          <w:rtl/>
        </w:rPr>
        <w:t xml:space="preserve">בכתובים </w:t>
      </w:r>
      <w:r>
        <w:rPr>
          <w:rFonts w:hint="cs"/>
          <w:rtl/>
        </w:rPr>
        <w:t>- '</w:t>
      </w:r>
      <w:r>
        <w:rPr>
          <w:rtl/>
        </w:rPr>
        <w:t>וְלֶחֶם לְבַב אֱנוֹשׁ יִסְעָד</w:t>
      </w:r>
      <w:r>
        <w:rPr>
          <w:rFonts w:hint="cs"/>
          <w:rtl/>
        </w:rPr>
        <w:t xml:space="preserve">' </w:t>
      </w:r>
      <w:r>
        <w:rPr>
          <w:rtl/>
        </w:rPr>
        <w:t>(</w:t>
      </w:r>
      <w:r>
        <w:rPr>
          <w:sz w:val="18"/>
          <w:szCs w:val="20"/>
          <w:rtl/>
        </w:rPr>
        <w:t>תהלים קד</w:t>
      </w:r>
      <w:r>
        <w:rPr>
          <w:rFonts w:hint="cs"/>
          <w:sz w:val="18"/>
          <w:szCs w:val="20"/>
          <w:rtl/>
        </w:rPr>
        <w:t>,</w:t>
      </w:r>
      <w:r>
        <w:rPr>
          <w:sz w:val="18"/>
          <w:szCs w:val="20"/>
          <w:rtl/>
        </w:rPr>
        <w:t xml:space="preserve"> טו</w:t>
      </w:r>
      <w:r>
        <w:rPr>
          <w:rtl/>
        </w:rPr>
        <w:t>)</w:t>
      </w:r>
      <w:r>
        <w:rPr>
          <w:rFonts w:hint="cs"/>
          <w:rtl/>
        </w:rPr>
        <w:t>" עכ"ל</w:t>
      </w:r>
      <w:r>
        <w:rPr>
          <w:rtl/>
        </w:rPr>
        <w:t xml:space="preserve">. </w:t>
      </w:r>
      <w:r>
        <w:rPr>
          <w:rFonts w:hint="cs"/>
          <w:rtl/>
        </w:rPr>
        <w:t>לפעמים מדובר על סעידת הלב, גם ללא אזכור מפורש של הלב, כמו: "</w:t>
      </w:r>
      <w:r>
        <w:rPr>
          <w:rtl/>
        </w:rPr>
        <w:t>בֹּאָה אִתִּי הַבַּיְתָה וּסְעָדָה</w:t>
      </w:r>
      <w:r>
        <w:rPr>
          <w:rFonts w:hint="cs"/>
          <w:rtl/>
        </w:rPr>
        <w:t>!" (</w:t>
      </w:r>
      <w:r>
        <w:rPr>
          <w:sz w:val="18"/>
          <w:szCs w:val="20"/>
          <w:rtl/>
        </w:rPr>
        <w:t>מלכים א</w:t>
      </w:r>
      <w:r>
        <w:rPr>
          <w:rFonts w:hint="cs"/>
          <w:sz w:val="18"/>
          <w:szCs w:val="20"/>
          <w:rtl/>
        </w:rPr>
        <w:t>'</w:t>
      </w:r>
      <w:r>
        <w:rPr>
          <w:sz w:val="18"/>
          <w:szCs w:val="20"/>
          <w:rtl/>
        </w:rPr>
        <w:t xml:space="preserve"> יג</w:t>
      </w:r>
      <w:r>
        <w:rPr>
          <w:rFonts w:hint="cs"/>
          <w:sz w:val="18"/>
          <w:szCs w:val="20"/>
          <w:rtl/>
        </w:rPr>
        <w:t xml:space="preserve">, </w:t>
      </w:r>
      <w:r>
        <w:rPr>
          <w:sz w:val="18"/>
          <w:szCs w:val="20"/>
          <w:rtl/>
        </w:rPr>
        <w:t>ז</w:t>
      </w:r>
      <w:r>
        <w:rPr>
          <w:rFonts w:hint="cs"/>
          <w:rtl/>
        </w:rPr>
        <w:t>). במובן זה נגזרו בעברית שלאחר המקרא</w:t>
      </w:r>
      <w:r>
        <w:rPr>
          <w:rtl/>
        </w:rPr>
        <w:t xml:space="preserve"> המִלים: סעודה</w:t>
      </w:r>
      <w:r>
        <w:rPr>
          <w:rStyle w:val="a4"/>
          <w:rtl/>
        </w:rPr>
        <w:footnoteReference w:id="370"/>
      </w:r>
      <w:r>
        <w:rPr>
          <w:rtl/>
        </w:rPr>
        <w:t>, סועדים, מִסעָדָה והַסְעָדָה</w:t>
      </w:r>
      <w:r>
        <w:rPr>
          <w:rStyle w:val="a4"/>
          <w:rtl/>
        </w:rPr>
        <w:footnoteReference w:id="371"/>
      </w:r>
      <w:r>
        <w:rPr>
          <w:rtl/>
        </w:rPr>
        <w:t>.</w:t>
      </w:r>
    </w:p>
    <w:p w14:paraId="2243451E" w14:textId="77777777" w:rsidR="002B4B31" w:rsidRDefault="002B4B31" w:rsidP="002B4B31">
      <w:pPr>
        <w:ind w:firstLine="284"/>
        <w:rPr>
          <w:rFonts w:hint="cs"/>
          <w:rtl/>
        </w:rPr>
      </w:pPr>
      <w:r>
        <w:rPr>
          <w:rFonts w:hint="cs"/>
          <w:rtl/>
        </w:rPr>
        <w:t>ועתה נתבונן כיצד דרשו חז"ל את הכתוב "</w:t>
      </w:r>
      <w:r>
        <w:rPr>
          <w:rtl/>
        </w:rPr>
        <w:t>ה' יִסְעָדֶנּוּ</w:t>
      </w:r>
      <w:r>
        <w:rPr>
          <w:rFonts w:hint="cs"/>
          <w:rtl/>
        </w:rPr>
        <w:t xml:space="preserve">" ביחס לשוכב על מטת חוליו. </w:t>
      </w:r>
    </w:p>
    <w:p w14:paraId="09BF4866" w14:textId="77777777" w:rsidR="002B4B31" w:rsidRDefault="002B4B31" w:rsidP="002B4B31">
      <w:pPr>
        <w:ind w:firstLine="284"/>
        <w:rPr>
          <w:rFonts w:hint="cs"/>
          <w:rtl/>
        </w:rPr>
      </w:pPr>
      <w:r>
        <w:rPr>
          <w:rFonts w:hint="cs"/>
          <w:rtl/>
        </w:rPr>
        <w:t>הברייתא המובאת בסוגייתנו (ובמקבילתה בנדרים) לומדת מהפסוק על נוכחות השכינה מעל מִטת החולה ("</w:t>
      </w:r>
      <w:r>
        <w:rPr>
          <w:rtl/>
        </w:rPr>
        <w:t>ה'</w:t>
      </w:r>
      <w:r>
        <w:rPr>
          <w:rFonts w:hint="cs"/>
          <w:rtl/>
        </w:rPr>
        <w:t xml:space="preserve"> -</w:t>
      </w:r>
      <w:r>
        <w:rPr>
          <w:rtl/>
        </w:rPr>
        <w:t xml:space="preserve"> עַל עֶרֶשׂ דְּוָי</w:t>
      </w:r>
      <w:r>
        <w:rPr>
          <w:rFonts w:hint="cs"/>
          <w:rtl/>
        </w:rPr>
        <w:t xml:space="preserve">") </w:t>
      </w:r>
      <w:r>
        <w:rPr>
          <w:rFonts w:hint="cs"/>
          <w:rtl/>
        </w:rPr>
        <w:lastRenderedPageBreak/>
        <w:t>ומפרטת כיצד מבקרי החולה צריכים להתנהג כראוי למעמד קדוש זה</w:t>
      </w:r>
      <w:r>
        <w:rPr>
          <w:rtl/>
        </w:rPr>
        <w:t xml:space="preserve">. </w:t>
      </w:r>
    </w:p>
    <w:p w14:paraId="0A4922E3" w14:textId="77777777" w:rsidR="002B4B31" w:rsidRDefault="002B4B31" w:rsidP="002B4B31">
      <w:pPr>
        <w:ind w:firstLine="284"/>
        <w:rPr>
          <w:rFonts w:hint="cs"/>
          <w:rtl/>
        </w:rPr>
      </w:pPr>
      <w:r>
        <w:rPr>
          <w:rFonts w:hint="cs"/>
          <w:rtl/>
        </w:rPr>
        <w:t>במאמרֵי האמוראים נדרש הפֹעַל "</w:t>
      </w:r>
      <w:r>
        <w:rPr>
          <w:rtl/>
        </w:rPr>
        <w:t>יִסְעָדֶנּוּ</w:t>
      </w:r>
      <w:r>
        <w:rPr>
          <w:rFonts w:hint="cs"/>
          <w:rtl/>
        </w:rPr>
        <w:t>" בכמה דרכים: המאמר הראשון בנדרים (</w:t>
      </w:r>
      <w:r>
        <w:rPr>
          <w:sz w:val="18"/>
          <w:szCs w:val="20"/>
          <w:rtl/>
        </w:rPr>
        <w:t xml:space="preserve">רבין </w:t>
      </w:r>
      <w:r>
        <w:rPr>
          <w:rFonts w:hint="cs"/>
          <w:sz w:val="18"/>
          <w:szCs w:val="20"/>
          <w:rtl/>
        </w:rPr>
        <w:t xml:space="preserve">בשם </w:t>
      </w:r>
      <w:r>
        <w:rPr>
          <w:sz w:val="18"/>
          <w:szCs w:val="20"/>
          <w:rtl/>
        </w:rPr>
        <w:t>רב</w:t>
      </w:r>
      <w:r>
        <w:rPr>
          <w:rFonts w:hint="cs"/>
          <w:rtl/>
        </w:rPr>
        <w:t>) שמופיע אחרון בסוגיה בשבת (</w:t>
      </w:r>
      <w:r>
        <w:rPr>
          <w:sz w:val="18"/>
          <w:szCs w:val="20"/>
          <w:rtl/>
        </w:rPr>
        <w:t xml:space="preserve">רבא </w:t>
      </w:r>
      <w:r>
        <w:rPr>
          <w:rFonts w:hint="cs"/>
          <w:sz w:val="18"/>
          <w:szCs w:val="20"/>
          <w:rtl/>
        </w:rPr>
        <w:t xml:space="preserve">בשם </w:t>
      </w:r>
      <w:r>
        <w:rPr>
          <w:sz w:val="18"/>
          <w:szCs w:val="20"/>
          <w:rtl/>
        </w:rPr>
        <w:t>רבין</w:t>
      </w:r>
      <w:r>
        <w:rPr>
          <w:rFonts w:hint="cs"/>
          <w:rtl/>
        </w:rPr>
        <w:t>), דורש את "</w:t>
      </w:r>
      <w:r>
        <w:rPr>
          <w:rtl/>
        </w:rPr>
        <w:t>יִסְעָדֶנּוּ</w:t>
      </w:r>
      <w:r>
        <w:rPr>
          <w:rFonts w:hint="cs"/>
          <w:rtl/>
        </w:rPr>
        <w:t>" מלשון סעודה, סעידת הלב, ומכאן שכביכול הקב"ה בעצמו</w:t>
      </w:r>
      <w:r>
        <w:rPr>
          <w:rtl/>
        </w:rPr>
        <w:t xml:space="preserve"> זן את החולה (כנראה באופן מיוחד יותר ממה שהוא מכין מזון, מפרנס ומשׂביע כל חי).</w:t>
      </w:r>
    </w:p>
    <w:p w14:paraId="32CC09ED" w14:textId="77777777" w:rsidR="002B4B31" w:rsidRDefault="002B4B31" w:rsidP="002B4B31">
      <w:pPr>
        <w:ind w:firstLine="284"/>
        <w:rPr>
          <w:rFonts w:hint="cs"/>
          <w:rtl/>
        </w:rPr>
      </w:pPr>
      <w:r>
        <w:rPr>
          <w:rFonts w:hint="cs"/>
          <w:rtl/>
        </w:rPr>
        <w:t>המאמר השני בנדרים (</w:t>
      </w:r>
      <w:r>
        <w:rPr>
          <w:rFonts w:hint="cs"/>
          <w:sz w:val="18"/>
          <w:szCs w:val="20"/>
          <w:rtl/>
        </w:rPr>
        <w:t xml:space="preserve">אף מאמר זה מובא שם ע"י </w:t>
      </w:r>
      <w:r>
        <w:rPr>
          <w:sz w:val="18"/>
          <w:szCs w:val="20"/>
          <w:rtl/>
        </w:rPr>
        <w:t xml:space="preserve">רבין </w:t>
      </w:r>
      <w:r>
        <w:rPr>
          <w:rFonts w:hint="cs"/>
          <w:sz w:val="18"/>
          <w:szCs w:val="20"/>
          <w:rtl/>
        </w:rPr>
        <w:t xml:space="preserve">בשם </w:t>
      </w:r>
      <w:r>
        <w:rPr>
          <w:sz w:val="18"/>
          <w:szCs w:val="20"/>
          <w:rtl/>
        </w:rPr>
        <w:t>רב</w:t>
      </w:r>
      <w:r>
        <w:rPr>
          <w:rFonts w:hint="cs"/>
          <w:rtl/>
        </w:rPr>
        <w:t>) מקביל למאמר הראשון בסוגיה בשבת (</w:t>
      </w:r>
      <w:r>
        <w:rPr>
          <w:sz w:val="18"/>
          <w:szCs w:val="20"/>
          <w:rtl/>
        </w:rPr>
        <w:t xml:space="preserve">רב ענן </w:t>
      </w:r>
      <w:r>
        <w:rPr>
          <w:rFonts w:hint="cs"/>
          <w:sz w:val="18"/>
          <w:szCs w:val="20"/>
          <w:rtl/>
        </w:rPr>
        <w:t xml:space="preserve">בשם </w:t>
      </w:r>
      <w:r>
        <w:rPr>
          <w:sz w:val="18"/>
          <w:szCs w:val="20"/>
          <w:rtl/>
        </w:rPr>
        <w:t>רב</w:t>
      </w:r>
      <w:r>
        <w:rPr>
          <w:rFonts w:hint="cs"/>
          <w:rtl/>
        </w:rPr>
        <w:t>) אך לא זהה לו, ונראה שאלו שני מאמרים שונים שאמר רב, אשר נמסרו בנפרד בפי שני תלמידיו. המאמר בנדרים איננו דורש את המִלה "</w:t>
      </w:r>
      <w:r>
        <w:rPr>
          <w:rtl/>
        </w:rPr>
        <w:t>יִסְעָדֶנּוּ</w:t>
      </w:r>
      <w:r>
        <w:rPr>
          <w:rFonts w:hint="cs"/>
          <w:rtl/>
        </w:rPr>
        <w:t>", אלא רק לומד מפסוק זה על נוכחות השכינה על מטת החולה. לאחר שהתלמוד מביא את הברייתא שלעיל (</w:t>
      </w:r>
      <w:r>
        <w:rPr>
          <w:rFonts w:hint="cs"/>
          <w:sz w:val="18"/>
          <w:szCs w:val="20"/>
          <w:rtl/>
        </w:rPr>
        <w:t>"</w:t>
      </w:r>
      <w:r>
        <w:rPr>
          <w:sz w:val="18"/>
          <w:szCs w:val="20"/>
          <w:rtl/>
        </w:rPr>
        <w:t>תניא נמי הכי</w:t>
      </w:r>
      <w:r>
        <w:rPr>
          <w:rFonts w:hint="cs"/>
          <w:sz w:val="18"/>
          <w:szCs w:val="20"/>
          <w:rtl/>
        </w:rPr>
        <w:t>"</w:t>
      </w:r>
      <w:r>
        <w:rPr>
          <w:rFonts w:hint="cs"/>
          <w:rtl/>
        </w:rPr>
        <w:t xml:space="preserve">), מתברר שמאמר זה של רב אינו מוסיף דבר. </w:t>
      </w:r>
    </w:p>
    <w:p w14:paraId="58A58A0F" w14:textId="77777777" w:rsidR="002B4B31" w:rsidRDefault="002B4B31" w:rsidP="002B4B31">
      <w:pPr>
        <w:ind w:firstLine="284"/>
        <w:rPr>
          <w:rFonts w:hint="cs"/>
          <w:rtl/>
        </w:rPr>
      </w:pPr>
      <w:r>
        <w:rPr>
          <w:rFonts w:hint="cs"/>
          <w:rtl/>
        </w:rPr>
        <w:t xml:space="preserve">לעומת זאת, המאמר של </w:t>
      </w:r>
      <w:r>
        <w:rPr>
          <w:rtl/>
        </w:rPr>
        <w:t xml:space="preserve">רב ענן </w:t>
      </w:r>
      <w:r>
        <w:rPr>
          <w:rFonts w:hint="cs"/>
          <w:rtl/>
        </w:rPr>
        <w:t>בשם</w:t>
      </w:r>
      <w:r>
        <w:rPr>
          <w:rtl/>
        </w:rPr>
        <w:t xml:space="preserve"> רב</w:t>
      </w:r>
      <w:r>
        <w:rPr>
          <w:rFonts w:hint="cs"/>
          <w:rtl/>
        </w:rPr>
        <w:t xml:space="preserve"> (בשבת) מוסיף לימוד חדש שלא נאמר בברייתא: גם הוא דורש את "</w:t>
      </w:r>
      <w:r>
        <w:rPr>
          <w:rtl/>
        </w:rPr>
        <w:t>יִסְעָדֶנּוּ</w:t>
      </w:r>
      <w:r>
        <w:rPr>
          <w:rFonts w:hint="cs"/>
          <w:rtl/>
        </w:rPr>
        <w:t>", אך באופן אחר מהדרשה הנ"ל. לפי הנוסח שלנו ("</w:t>
      </w:r>
      <w:r>
        <w:rPr>
          <w:rtl/>
        </w:rPr>
        <w:t>שכינה סוע</w:t>
      </w:r>
      <w:r>
        <w:rPr>
          <w:b/>
          <w:bCs/>
          <w:rtl/>
        </w:rPr>
        <w:t>ד</w:t>
      </w:r>
      <w:r>
        <w:rPr>
          <w:rFonts w:hint="cs"/>
          <w:rtl/>
        </w:rPr>
        <w:t xml:space="preserve"> </w:t>
      </w:r>
      <w:r>
        <w:rPr>
          <w:rtl/>
        </w:rPr>
        <w:t>את החולה</w:t>
      </w:r>
      <w:r>
        <w:rPr>
          <w:rFonts w:hint="cs"/>
          <w:rtl/>
        </w:rPr>
        <w:t>"),</w:t>
      </w:r>
      <w:r>
        <w:rPr>
          <w:rtl/>
        </w:rPr>
        <w:t xml:space="preserve"> מפרש רב שה' תומך ועוזר לחולה, וגם ככלות כוחו א</w:t>
      </w:r>
      <w:r>
        <w:rPr>
          <w:rFonts w:hint="cs"/>
          <w:rtl/>
        </w:rPr>
        <w:t xml:space="preserve">יננו </w:t>
      </w:r>
      <w:r>
        <w:rPr>
          <w:rtl/>
        </w:rPr>
        <w:t>עוזבו</w:t>
      </w:r>
      <w:r>
        <w:rPr>
          <w:rStyle w:val="a4"/>
          <w:rtl/>
        </w:rPr>
        <w:footnoteReference w:id="372"/>
      </w:r>
      <w:r>
        <w:rPr>
          <w:rFonts w:hint="cs"/>
          <w:rtl/>
        </w:rPr>
        <w:t xml:space="preserve">. </w:t>
      </w:r>
    </w:p>
    <w:p w14:paraId="61AE4DCB" w14:textId="77777777" w:rsidR="002B4B31" w:rsidRDefault="002B4B31" w:rsidP="002B4B31">
      <w:pPr>
        <w:ind w:firstLine="284"/>
        <w:rPr>
          <w:rFonts w:hint="cs"/>
          <w:rtl/>
        </w:rPr>
      </w:pPr>
      <w:r>
        <w:rPr>
          <w:rFonts w:hint="cs"/>
          <w:rtl/>
        </w:rPr>
        <w:lastRenderedPageBreak/>
        <w:t>ברם, לאחר שפרש רש"י נוסח זה (</w:t>
      </w:r>
      <w:r>
        <w:rPr>
          <w:sz w:val="18"/>
          <w:szCs w:val="20"/>
          <w:rtl/>
        </w:rPr>
        <w:t>ד"ה סועד</w:t>
      </w:r>
      <w:r>
        <w:rPr>
          <w:rFonts w:hint="cs"/>
          <w:rtl/>
        </w:rPr>
        <w:t>), הוא מוסיף בשם ר"</w:t>
      </w:r>
      <w:r>
        <w:rPr>
          <w:rtl/>
        </w:rPr>
        <w:t>י ב</w:t>
      </w:r>
      <w:r>
        <w:rPr>
          <w:rFonts w:hint="cs"/>
          <w:rtl/>
        </w:rPr>
        <w:t>ר</w:t>
      </w:r>
      <w:r>
        <w:rPr>
          <w:rtl/>
        </w:rPr>
        <w:t xml:space="preserve"> יקר</w:t>
      </w:r>
      <w:r>
        <w:rPr>
          <w:rFonts w:hint="cs"/>
          <w:rtl/>
        </w:rPr>
        <w:t xml:space="preserve"> נוסח אחר: "</w:t>
      </w:r>
      <w:r>
        <w:rPr>
          <w:rtl/>
        </w:rPr>
        <w:t>ומשום רבינו יעקב: סוער</w:t>
      </w:r>
      <w:r>
        <w:rPr>
          <w:rStyle w:val="a4"/>
          <w:rtl/>
        </w:rPr>
        <w:footnoteReference w:id="373"/>
      </w:r>
      <w:r>
        <w:rPr>
          <w:rtl/>
        </w:rPr>
        <w:t>, תרגומו של 'פוקד', כלומר</w:t>
      </w:r>
      <w:r>
        <w:rPr>
          <w:rStyle w:val="a4"/>
          <w:rtl/>
        </w:rPr>
        <w:footnoteReference w:id="374"/>
      </w:r>
      <w:r>
        <w:rPr>
          <w:rtl/>
        </w:rPr>
        <w:t>: מְבַקֵּר, כמו 'וְאֶת אַחֶיךָ תִּפְקוֹד לְשָׁלוֹם' (שמואל א' יז, יח) ומתרגמינן</w:t>
      </w:r>
      <w:r>
        <w:rPr>
          <w:rStyle w:val="a4"/>
          <w:rtl/>
        </w:rPr>
        <w:footnoteReference w:id="375"/>
      </w:r>
      <w:r>
        <w:rPr>
          <w:rtl/>
        </w:rPr>
        <w:t xml:space="preserve">: </w:t>
      </w:r>
      <w:r>
        <w:rPr>
          <w:rFonts w:hint="cs"/>
          <w:rtl/>
        </w:rPr>
        <w:t>'</w:t>
      </w:r>
      <w:r>
        <w:rPr>
          <w:rtl/>
        </w:rPr>
        <w:t>ואת אחיך ת</w:t>
      </w:r>
      <w:r>
        <w:rPr>
          <w:rFonts w:hint="cs"/>
          <w:rtl/>
        </w:rPr>
        <w:t>ַּ</w:t>
      </w:r>
      <w:r>
        <w:rPr>
          <w:rtl/>
        </w:rPr>
        <w:t>ס</w:t>
      </w:r>
      <w:r>
        <w:rPr>
          <w:rFonts w:hint="cs"/>
          <w:rtl/>
        </w:rPr>
        <w:t>ְ</w:t>
      </w:r>
      <w:r>
        <w:rPr>
          <w:rtl/>
        </w:rPr>
        <w:t>ע</w:t>
      </w:r>
      <w:r>
        <w:rPr>
          <w:rFonts w:hint="cs"/>
          <w:rtl/>
        </w:rPr>
        <w:t>ַ</w:t>
      </w:r>
      <w:r>
        <w:rPr>
          <w:rtl/>
        </w:rPr>
        <w:t>ר לשלם</w:t>
      </w:r>
      <w:r>
        <w:rPr>
          <w:rFonts w:hint="cs"/>
          <w:rtl/>
        </w:rPr>
        <w:t xml:space="preserve">'. </w:t>
      </w:r>
      <w:r>
        <w:rPr>
          <w:rtl/>
        </w:rPr>
        <w:t>ולהך לישנא גרסינן: אל תקרי</w:t>
      </w:r>
      <w:r>
        <w:rPr>
          <w:rFonts w:hint="cs"/>
          <w:rtl/>
        </w:rPr>
        <w:t xml:space="preserve"> '</w:t>
      </w:r>
      <w:r>
        <w:rPr>
          <w:rtl/>
        </w:rPr>
        <w:t>יסע</w:t>
      </w:r>
      <w:r>
        <w:rPr>
          <w:b/>
          <w:bCs/>
          <w:rtl/>
        </w:rPr>
        <w:t>ד</w:t>
      </w:r>
      <w:r>
        <w:rPr>
          <w:rtl/>
        </w:rPr>
        <w:t>נו</w:t>
      </w:r>
      <w:r>
        <w:rPr>
          <w:rFonts w:hint="cs"/>
          <w:rtl/>
        </w:rPr>
        <w:t xml:space="preserve">' </w:t>
      </w:r>
      <w:r>
        <w:rPr>
          <w:rtl/>
        </w:rPr>
        <w:t xml:space="preserve">אלא </w:t>
      </w:r>
      <w:r>
        <w:rPr>
          <w:rFonts w:hint="cs"/>
          <w:rtl/>
        </w:rPr>
        <w:t>'</w:t>
      </w:r>
      <w:r>
        <w:rPr>
          <w:rtl/>
        </w:rPr>
        <w:t>יסע</w:t>
      </w:r>
      <w:r>
        <w:rPr>
          <w:b/>
          <w:bCs/>
          <w:rtl/>
        </w:rPr>
        <w:t>ר</w:t>
      </w:r>
      <w:r>
        <w:rPr>
          <w:rtl/>
        </w:rPr>
        <w:t>נו</w:t>
      </w:r>
      <w:r>
        <w:rPr>
          <w:rFonts w:hint="cs"/>
          <w:rtl/>
        </w:rPr>
        <w:t>'"</w:t>
      </w:r>
      <w:r>
        <w:rPr>
          <w:rtl/>
        </w:rPr>
        <w:t>.</w:t>
      </w:r>
      <w:r>
        <w:rPr>
          <w:rFonts w:hint="cs"/>
          <w:rtl/>
        </w:rPr>
        <w:t xml:space="preserve"> בדומה לכך מובא ב</w:t>
      </w:r>
      <w:r>
        <w:rPr>
          <w:rFonts w:hint="cs"/>
          <w:sz w:val="26"/>
          <w:rtl/>
        </w:rPr>
        <w:t>אוצר הגאונים (</w:t>
      </w:r>
      <w:r>
        <w:rPr>
          <w:rFonts w:hint="cs"/>
          <w:sz w:val="18"/>
          <w:szCs w:val="20"/>
          <w:rtl/>
        </w:rPr>
        <w:t>הפירושים, עמ' 5; תשובת רב האי גאון</w:t>
      </w:r>
      <w:r>
        <w:rPr>
          <w:rFonts w:hint="cs"/>
          <w:rtl/>
        </w:rPr>
        <w:t>): "</w:t>
      </w:r>
      <w:r>
        <w:rPr>
          <w:rtl/>
        </w:rPr>
        <w:t xml:space="preserve">מנין שהקדוש ברוך הוא </w:t>
      </w:r>
      <w:r>
        <w:rPr>
          <w:rFonts w:hint="cs"/>
          <w:b/>
          <w:bCs/>
          <w:rtl/>
        </w:rPr>
        <w:t xml:space="preserve">סר </w:t>
      </w:r>
      <w:r>
        <w:rPr>
          <w:rtl/>
        </w:rPr>
        <w:t>את החולה</w:t>
      </w:r>
      <w:r>
        <w:rPr>
          <w:rFonts w:hint="cs"/>
          <w:rtl/>
        </w:rPr>
        <w:t xml:space="preserve">, </w:t>
      </w:r>
      <w:r>
        <w:rPr>
          <w:rtl/>
        </w:rPr>
        <w:t xml:space="preserve">שנאמר </w:t>
      </w:r>
      <w:r>
        <w:rPr>
          <w:rFonts w:hint="cs"/>
          <w:rtl/>
        </w:rPr>
        <w:t>'</w:t>
      </w:r>
      <w:r>
        <w:rPr>
          <w:rtl/>
        </w:rPr>
        <w:t>ה' יִסְעָדֶנּוּ עַל עֶרֶשׂ דְּוָי</w:t>
      </w:r>
      <w:r>
        <w:rPr>
          <w:rFonts w:hint="cs"/>
          <w:rtl/>
        </w:rPr>
        <w:t>', קרי ביה: יסע</w:t>
      </w:r>
      <w:r>
        <w:rPr>
          <w:rFonts w:hint="cs"/>
          <w:b/>
          <w:bCs/>
          <w:rtl/>
        </w:rPr>
        <w:t>ר</w:t>
      </w:r>
      <w:r>
        <w:rPr>
          <w:rFonts w:hint="cs"/>
          <w:rtl/>
        </w:rPr>
        <w:t>נו</w:t>
      </w:r>
      <w:r>
        <w:rPr>
          <w:rtl/>
        </w:rPr>
        <w:t>.</w:t>
      </w:r>
      <w:r>
        <w:rPr>
          <w:rFonts w:hint="cs"/>
          <w:rtl/>
        </w:rPr>
        <w:t xml:space="preserve"> פי[רוש] סר - סער</w:t>
      </w:r>
      <w:r>
        <w:rPr>
          <w:rStyle w:val="a4"/>
          <w:rtl/>
        </w:rPr>
        <w:footnoteReference w:id="376"/>
      </w:r>
      <w:r>
        <w:rPr>
          <w:rFonts w:hint="cs"/>
          <w:rtl/>
        </w:rPr>
        <w:t xml:space="preserve">, בהבלעת עין. </w:t>
      </w:r>
      <w:r>
        <w:rPr>
          <w:rtl/>
        </w:rPr>
        <w:t>תרגו</w:t>
      </w:r>
      <w:r>
        <w:rPr>
          <w:rFonts w:hint="cs"/>
          <w:rtl/>
        </w:rPr>
        <w:t>ם '</w:t>
      </w:r>
      <w:r>
        <w:rPr>
          <w:rtl/>
        </w:rPr>
        <w:t>פוקד</w:t>
      </w:r>
      <w:r>
        <w:rPr>
          <w:rFonts w:hint="cs"/>
          <w:rtl/>
        </w:rPr>
        <w:t>'</w:t>
      </w:r>
      <w:r>
        <w:rPr>
          <w:rtl/>
        </w:rPr>
        <w:t xml:space="preserve"> </w:t>
      </w:r>
      <w:r>
        <w:rPr>
          <w:rFonts w:hint="cs"/>
          <w:rtl/>
        </w:rPr>
        <w:t>- מס</w:t>
      </w:r>
      <w:r>
        <w:rPr>
          <w:rtl/>
        </w:rPr>
        <w:t>ער</w:t>
      </w:r>
      <w:r>
        <w:rPr>
          <w:rFonts w:hint="cs"/>
          <w:rtl/>
        </w:rPr>
        <w:t>. וכן</w:t>
      </w:r>
      <w:r>
        <w:rPr>
          <w:rtl/>
        </w:rPr>
        <w:t xml:space="preserve"> </w:t>
      </w:r>
      <w:r>
        <w:rPr>
          <w:b/>
          <w:bCs/>
          <w:rtl/>
        </w:rPr>
        <w:t>דרך לשון ארמי להבליע חית ועין</w:t>
      </w:r>
      <w:r>
        <w:rPr>
          <w:rtl/>
        </w:rPr>
        <w:t>"</w:t>
      </w:r>
      <w:r>
        <w:rPr>
          <w:rStyle w:val="a4"/>
          <w:rtl/>
        </w:rPr>
        <w:footnoteReference w:id="377"/>
      </w:r>
      <w:r>
        <w:rPr>
          <w:rFonts w:hint="cs"/>
          <w:rtl/>
        </w:rPr>
        <w:t>.</w:t>
      </w:r>
      <w:r>
        <w:rPr>
          <w:rtl/>
        </w:rPr>
        <w:t xml:space="preserve"> </w:t>
      </w:r>
    </w:p>
    <w:p w14:paraId="76EB579C" w14:textId="77777777" w:rsidR="002B4B31" w:rsidRDefault="002B4B31" w:rsidP="002B4B31">
      <w:pPr>
        <w:ind w:firstLine="284"/>
        <w:rPr>
          <w:rFonts w:hint="cs"/>
          <w:rtl/>
        </w:rPr>
      </w:pPr>
      <w:r>
        <w:rPr>
          <w:rtl/>
        </w:rPr>
        <w:lastRenderedPageBreak/>
        <w:t>לפי נוסח זה, מֵמיר רב - בדרך דרש - את שורש סע"</w:t>
      </w:r>
      <w:r>
        <w:rPr>
          <w:b/>
          <w:bCs/>
          <w:rtl/>
        </w:rPr>
        <w:t>ד</w:t>
      </w:r>
      <w:r>
        <w:rPr>
          <w:rtl/>
        </w:rPr>
        <w:t xml:space="preserve"> בשורש סע"</w:t>
      </w:r>
      <w:r>
        <w:rPr>
          <w:b/>
          <w:bCs/>
          <w:rtl/>
        </w:rPr>
        <w:t>ר</w:t>
      </w:r>
      <w:r>
        <w:rPr>
          <w:rStyle w:val="a4"/>
          <w:rtl/>
        </w:rPr>
        <w:footnoteReference w:id="378"/>
      </w:r>
      <w:r>
        <w:rPr>
          <w:rtl/>
        </w:rPr>
        <w:t>, המצוי בארמית של תרגומי המקרא</w:t>
      </w:r>
      <w:r>
        <w:rPr>
          <w:rStyle w:val="a4"/>
          <w:rtl/>
        </w:rPr>
        <w:footnoteReference w:id="379"/>
      </w:r>
      <w:r>
        <w:rPr>
          <w:rtl/>
        </w:rPr>
        <w:t xml:space="preserve"> ושל התלמוד </w:t>
      </w:r>
      <w:r>
        <w:rPr>
          <w:rtl/>
        </w:rPr>
        <w:lastRenderedPageBreak/>
        <w:t>הבבלי</w:t>
      </w:r>
      <w:r>
        <w:rPr>
          <w:rStyle w:val="a4"/>
          <w:rtl/>
        </w:rPr>
        <w:footnoteReference w:id="380"/>
      </w:r>
      <w:r>
        <w:rPr>
          <w:rtl/>
        </w:rPr>
        <w:t xml:space="preserve"> במשמעות של בדיקה, ביקור ופקידה</w:t>
      </w:r>
      <w:r>
        <w:rPr>
          <w:rStyle w:val="a4"/>
          <w:rtl/>
        </w:rPr>
        <w:footnoteReference w:id="381"/>
      </w:r>
      <w:r>
        <w:rPr>
          <w:rtl/>
        </w:rPr>
        <w:t>. כאמור, האות הגרונית ע' לא נשמרה תמיד, ולכן שורש זה לובש לפעמים צורה אחרת, אשר קל יותר לבטאה: סא"ר</w:t>
      </w:r>
      <w:r>
        <w:rPr>
          <w:rStyle w:val="a4"/>
          <w:rtl/>
        </w:rPr>
        <w:footnoteReference w:id="382"/>
      </w:r>
      <w:r>
        <w:rPr>
          <w:rtl/>
        </w:rPr>
        <w:t xml:space="preserve"> או סי"ר</w:t>
      </w:r>
      <w:r>
        <w:rPr>
          <w:rStyle w:val="a4"/>
          <w:rtl/>
        </w:rPr>
        <w:footnoteReference w:id="383"/>
      </w:r>
      <w:r>
        <w:rPr>
          <w:rtl/>
        </w:rPr>
        <w:t>. דברי רב שהקב"ה סוער (או "סר") את החולה, כוונתם לומר שה' דורש אותו, פוקד וזוכר אותו, שָׂם אליו לֵב ונותן דעתו עליו.</w:t>
      </w:r>
    </w:p>
    <w:p w14:paraId="3D8CE6F8" w14:textId="77777777" w:rsidR="002B4B31" w:rsidRDefault="002B4B31" w:rsidP="002B4B31">
      <w:pPr>
        <w:ind w:firstLine="284"/>
        <w:rPr>
          <w:rFonts w:hint="cs"/>
          <w:rtl/>
        </w:rPr>
      </w:pPr>
      <w:r>
        <w:rPr>
          <w:rFonts w:hint="cs"/>
          <w:rtl/>
        </w:rPr>
        <w:lastRenderedPageBreak/>
        <w:t xml:space="preserve">יש לציין בנוסח זה תופעה מעניינת מבחינה לשונית: המִלה "סר" או "סוער" (בעלת השורשים הארמיים) משובצת בתוך המאמר (העברי) של </w:t>
      </w:r>
      <w:r>
        <w:rPr>
          <w:rtl/>
        </w:rPr>
        <w:t xml:space="preserve">רב ענן </w:t>
      </w:r>
      <w:r>
        <w:rPr>
          <w:rFonts w:hint="cs"/>
          <w:rtl/>
        </w:rPr>
        <w:t>בשם</w:t>
      </w:r>
      <w:r>
        <w:rPr>
          <w:rtl/>
        </w:rPr>
        <w:t xml:space="preserve"> רב</w:t>
      </w:r>
      <w:r>
        <w:rPr>
          <w:rFonts w:hint="cs"/>
          <w:rtl/>
        </w:rPr>
        <w:t>,</w:t>
      </w:r>
      <w:r>
        <w:rPr>
          <w:rtl/>
        </w:rPr>
        <w:t xml:space="preserve"> ובכך "התעשר" אוצר המִלים של הלשון העברית במִלה נוספת</w:t>
      </w:r>
      <w:r>
        <w:rPr>
          <w:rStyle w:val="a4"/>
          <w:rtl/>
        </w:rPr>
        <w:footnoteReference w:id="384"/>
      </w:r>
      <w:r>
        <w:rPr>
          <w:rtl/>
        </w:rPr>
        <w:t>.</w:t>
      </w:r>
    </w:p>
    <w:p w14:paraId="61859621" w14:textId="77777777" w:rsidR="002B4B31" w:rsidRDefault="002B4B31" w:rsidP="002B4B31">
      <w:pPr>
        <w:ind w:firstLine="284"/>
        <w:rPr>
          <w:rFonts w:hint="cs"/>
          <w:rtl/>
        </w:rPr>
      </w:pPr>
    </w:p>
    <w:p w14:paraId="5CDD4841" w14:textId="77777777" w:rsidR="002B4B31" w:rsidRDefault="002B4B31" w:rsidP="002B4B31">
      <w:pPr>
        <w:ind w:firstLine="284"/>
        <w:rPr>
          <w:rFonts w:hint="cs"/>
          <w:rtl/>
        </w:rPr>
      </w:pPr>
      <w:r>
        <w:rPr>
          <w:rFonts w:hint="cs"/>
          <w:rtl/>
        </w:rPr>
        <w:t>כשם שנתחלפו האותיות ד' ור' בסוגייתנו ("</w:t>
      </w:r>
      <w:r>
        <w:rPr>
          <w:rtl/>
        </w:rPr>
        <w:t>יסע</w:t>
      </w:r>
      <w:r>
        <w:rPr>
          <w:b/>
          <w:bCs/>
          <w:rtl/>
        </w:rPr>
        <w:t>ד</w:t>
      </w:r>
      <w:r>
        <w:rPr>
          <w:rtl/>
        </w:rPr>
        <w:t>נו</w:t>
      </w:r>
      <w:r>
        <w:rPr>
          <w:rFonts w:hint="cs"/>
          <w:rtl/>
        </w:rPr>
        <w:t>" - "</w:t>
      </w:r>
      <w:r>
        <w:rPr>
          <w:rtl/>
        </w:rPr>
        <w:t>יסע</w:t>
      </w:r>
      <w:r>
        <w:rPr>
          <w:b/>
          <w:bCs/>
          <w:rtl/>
        </w:rPr>
        <w:t>ר</w:t>
      </w:r>
      <w:r>
        <w:rPr>
          <w:rtl/>
        </w:rPr>
        <w:t>נו</w:t>
      </w:r>
      <w:r>
        <w:rPr>
          <w:rFonts w:hint="cs"/>
          <w:rtl/>
        </w:rPr>
        <w:t>"), כך ארע בסוגיה ב</w:t>
      </w:r>
      <w:r>
        <w:rPr>
          <w:rtl/>
        </w:rPr>
        <w:t>מסכת נדרים</w:t>
      </w:r>
      <w:r>
        <w:rPr>
          <w:rFonts w:hint="cs"/>
          <w:rtl/>
        </w:rPr>
        <w:t xml:space="preserve">. לפני הדרָשות שהובאו לעיל מובאת שם אזהרתו של </w:t>
      </w:r>
      <w:r>
        <w:rPr>
          <w:rtl/>
        </w:rPr>
        <w:t>רב שישא בריה דרב אידי:</w:t>
      </w:r>
      <w:r>
        <w:rPr>
          <w:rFonts w:hint="cs"/>
          <w:rtl/>
        </w:rPr>
        <w:t xml:space="preserve"> "</w:t>
      </w:r>
      <w:r>
        <w:rPr>
          <w:rtl/>
        </w:rPr>
        <w:t xml:space="preserve">לא </w:t>
      </w:r>
      <w:r>
        <w:rPr>
          <w:b/>
          <w:bCs/>
          <w:rtl/>
        </w:rPr>
        <w:t>ליסעו</w:t>
      </w:r>
      <w:r>
        <w:rPr>
          <w:rFonts w:hint="cs"/>
          <w:b/>
          <w:bCs/>
          <w:rtl/>
        </w:rPr>
        <w:t>ר</w:t>
      </w:r>
      <w:r>
        <w:rPr>
          <w:rtl/>
        </w:rPr>
        <w:t xml:space="preserve"> איניש קצירא לא בתלת שעי קדמייתא ולא בתלת שעי בתרייתא דיומא, כי היכי דלא ליסח דעתיה מן רחמי</w:t>
      </w:r>
      <w:r>
        <w:rPr>
          <w:rFonts w:hint="cs"/>
          <w:rtl/>
        </w:rPr>
        <w:t xml:space="preserve">: </w:t>
      </w:r>
      <w:r>
        <w:rPr>
          <w:rtl/>
        </w:rPr>
        <w:t>תלת שעי קדמייתא - רווחא דעתיה, בתרייתא - תקיף חולשיה</w:t>
      </w:r>
      <w:r>
        <w:rPr>
          <w:rFonts w:hint="cs"/>
          <w:rtl/>
        </w:rPr>
        <w:t>", כלומר: "</w:t>
      </w:r>
      <w:r>
        <w:rPr>
          <w:rtl/>
        </w:rPr>
        <w:t xml:space="preserve">אין </w:t>
      </w:r>
      <w:r>
        <w:rPr>
          <w:b/>
          <w:bCs/>
          <w:rtl/>
        </w:rPr>
        <w:t>מבקרין</w:t>
      </w:r>
      <w:r>
        <w:rPr>
          <w:rtl/>
        </w:rPr>
        <w:t xml:space="preserve"> החולה בג' שעות ראשונות של יום, מפני שכל חולה מיקל עליו חליוֹ בבקר ולא יחוש</w:t>
      </w:r>
      <w:r>
        <w:rPr>
          <w:rStyle w:val="a4"/>
          <w:rtl/>
        </w:rPr>
        <w:footnoteReference w:id="385"/>
      </w:r>
      <w:r>
        <w:rPr>
          <w:rFonts w:hint="cs"/>
          <w:rtl/>
        </w:rPr>
        <w:t xml:space="preserve"> </w:t>
      </w:r>
      <w:r>
        <w:rPr>
          <w:rtl/>
        </w:rPr>
        <w:t>לבקש עליו רחמים. ו</w:t>
      </w:r>
      <w:r>
        <w:rPr>
          <w:rFonts w:hint="cs"/>
          <w:rtl/>
        </w:rPr>
        <w:t xml:space="preserve">כן </w:t>
      </w:r>
      <w:r>
        <w:rPr>
          <w:rtl/>
        </w:rPr>
        <w:t>לא בג' שעות אחרונות של יום, שאז מכביד עליו חליו</w:t>
      </w:r>
      <w:r>
        <w:rPr>
          <w:rFonts w:hint="cs"/>
          <w:rtl/>
        </w:rPr>
        <w:t>ֹ</w:t>
      </w:r>
      <w:r>
        <w:rPr>
          <w:rtl/>
        </w:rPr>
        <w:t xml:space="preserve"> ויתייאש מלבקש עליו רחמים</w:t>
      </w:r>
      <w:r>
        <w:rPr>
          <w:rFonts w:hint="cs"/>
          <w:rtl/>
        </w:rPr>
        <w:t>" (</w:t>
      </w:r>
      <w:r>
        <w:rPr>
          <w:rFonts w:hint="cs"/>
          <w:sz w:val="18"/>
          <w:szCs w:val="20"/>
          <w:rtl/>
        </w:rPr>
        <w:t>לשון הטור וה</w:t>
      </w:r>
      <w:r>
        <w:rPr>
          <w:sz w:val="18"/>
          <w:szCs w:val="20"/>
          <w:rtl/>
        </w:rPr>
        <w:t>שולחן ערוך יו"ד שלה, ד</w:t>
      </w:r>
      <w:r>
        <w:rPr>
          <w:rStyle w:val="a4"/>
          <w:rtl/>
        </w:rPr>
        <w:footnoteReference w:id="386"/>
      </w:r>
      <w:r>
        <w:rPr>
          <w:rFonts w:hint="cs"/>
          <w:rtl/>
        </w:rPr>
        <w:t>)</w:t>
      </w:r>
      <w:r>
        <w:rPr>
          <w:rtl/>
        </w:rPr>
        <w:t xml:space="preserve">. </w:t>
      </w:r>
      <w:r>
        <w:rPr>
          <w:rFonts w:hint="cs"/>
          <w:rtl/>
        </w:rPr>
        <w:t>את הפועל הארמי "</w:t>
      </w:r>
      <w:r>
        <w:rPr>
          <w:rtl/>
        </w:rPr>
        <w:t>ל</w:t>
      </w:r>
      <w:r>
        <w:rPr>
          <w:rFonts w:hint="cs"/>
          <w:rtl/>
        </w:rPr>
        <w:t>ִ</w:t>
      </w:r>
      <w:r>
        <w:rPr>
          <w:rtl/>
        </w:rPr>
        <w:t>יס</w:t>
      </w:r>
      <w:r>
        <w:rPr>
          <w:rFonts w:hint="cs"/>
          <w:rtl/>
        </w:rPr>
        <w:t>ְ</w:t>
      </w:r>
      <w:r>
        <w:rPr>
          <w:rtl/>
        </w:rPr>
        <w:t>עו</w:t>
      </w:r>
      <w:r>
        <w:rPr>
          <w:rFonts w:hint="cs"/>
          <w:rtl/>
        </w:rPr>
        <w:t>ֹר" המירו בפועל העברי "</w:t>
      </w:r>
      <w:r>
        <w:rPr>
          <w:rtl/>
        </w:rPr>
        <w:t>מ</w:t>
      </w:r>
      <w:r>
        <w:rPr>
          <w:rFonts w:hint="cs"/>
          <w:rtl/>
        </w:rPr>
        <w:t>ְ</w:t>
      </w:r>
      <w:r>
        <w:rPr>
          <w:rtl/>
        </w:rPr>
        <w:t>ב</w:t>
      </w:r>
      <w:r>
        <w:rPr>
          <w:rFonts w:hint="cs"/>
          <w:rtl/>
        </w:rPr>
        <w:t>ַ</w:t>
      </w:r>
      <w:r>
        <w:rPr>
          <w:rtl/>
        </w:rPr>
        <w:t>ק</w:t>
      </w:r>
      <w:r>
        <w:rPr>
          <w:rFonts w:hint="cs"/>
          <w:rtl/>
        </w:rPr>
        <w:t>ְּ</w:t>
      </w:r>
      <w:r>
        <w:rPr>
          <w:rtl/>
        </w:rPr>
        <w:t>ר</w:t>
      </w:r>
      <w:r>
        <w:rPr>
          <w:rFonts w:hint="cs"/>
          <w:rtl/>
        </w:rPr>
        <w:t>ִ</w:t>
      </w:r>
      <w:r>
        <w:rPr>
          <w:rtl/>
        </w:rPr>
        <w:t>ין</w:t>
      </w:r>
      <w:r>
        <w:rPr>
          <w:rFonts w:hint="cs"/>
          <w:rtl/>
        </w:rPr>
        <w:t>"</w:t>
      </w:r>
      <w:r>
        <w:rPr>
          <w:rStyle w:val="a4"/>
          <w:rtl/>
        </w:rPr>
        <w:footnoteReference w:id="387"/>
      </w:r>
      <w:r>
        <w:rPr>
          <w:rFonts w:hint="cs"/>
          <w:rtl/>
        </w:rPr>
        <w:t>, וכן פרש שם הר"ן: "</w:t>
      </w:r>
      <w:r>
        <w:rPr>
          <w:rtl/>
        </w:rPr>
        <w:t>לא ליסעו</w:t>
      </w:r>
      <w:r>
        <w:rPr>
          <w:rFonts w:hint="cs"/>
          <w:rtl/>
        </w:rPr>
        <w:t>ר</w:t>
      </w:r>
      <w:r>
        <w:rPr>
          <w:rtl/>
        </w:rPr>
        <w:t xml:space="preserve"> - לא י</w:t>
      </w:r>
      <w:r>
        <w:rPr>
          <w:rFonts w:hint="cs"/>
          <w:rtl/>
        </w:rPr>
        <w:t>ְ</w:t>
      </w:r>
      <w:r>
        <w:rPr>
          <w:rtl/>
        </w:rPr>
        <w:t>ב</w:t>
      </w:r>
      <w:r>
        <w:rPr>
          <w:rFonts w:hint="cs"/>
          <w:rtl/>
        </w:rPr>
        <w:t>ַ</w:t>
      </w:r>
      <w:r>
        <w:rPr>
          <w:rtl/>
        </w:rPr>
        <w:t>ק</w:t>
      </w:r>
      <w:r>
        <w:rPr>
          <w:rFonts w:hint="cs"/>
          <w:rtl/>
        </w:rPr>
        <w:t>ֵּ</w:t>
      </w:r>
      <w:r>
        <w:rPr>
          <w:rtl/>
        </w:rPr>
        <w:t>ר</w:t>
      </w:r>
      <w:r>
        <w:rPr>
          <w:rFonts w:hint="cs"/>
          <w:rtl/>
        </w:rPr>
        <w:t xml:space="preserve">". </w:t>
      </w:r>
    </w:p>
    <w:p w14:paraId="3029BE68" w14:textId="77777777" w:rsidR="002B4B31" w:rsidRDefault="002B4B31" w:rsidP="002B4B31">
      <w:pPr>
        <w:ind w:firstLine="284"/>
        <w:rPr>
          <w:rFonts w:hint="cs"/>
          <w:rtl/>
          <w:lang w:eastAsia="he-IL"/>
        </w:rPr>
      </w:pPr>
      <w:r>
        <w:rPr>
          <w:rFonts w:hint="cs"/>
          <w:rtl/>
        </w:rPr>
        <w:t>הר"ן מבסס את השוואת שורש סע"ר הארמי עם השורש העברי בק"ר על תרגום אונקלוס בפרשת קֹרח (</w:t>
      </w:r>
      <w:r>
        <w:rPr>
          <w:sz w:val="18"/>
          <w:szCs w:val="20"/>
          <w:rtl/>
        </w:rPr>
        <w:t>במדבר טז</w:t>
      </w:r>
      <w:r>
        <w:rPr>
          <w:rFonts w:hint="cs"/>
          <w:sz w:val="18"/>
          <w:szCs w:val="20"/>
          <w:rtl/>
        </w:rPr>
        <w:t xml:space="preserve">, </w:t>
      </w:r>
      <w:r>
        <w:rPr>
          <w:sz w:val="18"/>
          <w:szCs w:val="20"/>
          <w:rtl/>
        </w:rPr>
        <w:t>כט</w:t>
      </w:r>
      <w:r>
        <w:rPr>
          <w:rtl/>
        </w:rPr>
        <w:t>)</w:t>
      </w:r>
      <w:r>
        <w:rPr>
          <w:rFonts w:hint="cs"/>
          <w:rtl/>
        </w:rPr>
        <w:t>: "</w:t>
      </w:r>
      <w:r>
        <w:rPr>
          <w:b/>
          <w:bCs/>
          <w:rtl/>
        </w:rPr>
        <w:t>וּפְקֻדַּת</w:t>
      </w:r>
      <w:r>
        <w:rPr>
          <w:rtl/>
        </w:rPr>
        <w:t xml:space="preserve"> כָּל </w:t>
      </w:r>
      <w:r>
        <w:rPr>
          <w:rtl/>
        </w:rPr>
        <w:lastRenderedPageBreak/>
        <w:t xml:space="preserve">הָאָדָם </w:t>
      </w:r>
      <w:r>
        <w:rPr>
          <w:b/>
          <w:bCs/>
          <w:rtl/>
        </w:rPr>
        <w:t>יִפָּקֵד</w:t>
      </w:r>
      <w:r>
        <w:rPr>
          <w:rtl/>
        </w:rPr>
        <w:t xml:space="preserve"> עֲלֵיהֶם</w:t>
      </w:r>
      <w:r>
        <w:rPr>
          <w:rFonts w:hint="cs"/>
          <w:rtl/>
        </w:rPr>
        <w:t>" - "</w:t>
      </w:r>
      <w:r>
        <w:rPr>
          <w:b/>
          <w:bCs/>
          <w:rtl/>
        </w:rPr>
        <w:t>ו</w:t>
      </w:r>
      <w:r>
        <w:rPr>
          <w:rFonts w:hint="cs"/>
          <w:b/>
          <w:bCs/>
          <w:rtl/>
        </w:rPr>
        <w:t>ּ</w:t>
      </w:r>
      <w:r>
        <w:rPr>
          <w:b/>
          <w:bCs/>
          <w:rtl/>
        </w:rPr>
        <w:t>ס</w:t>
      </w:r>
      <w:r>
        <w:rPr>
          <w:rFonts w:hint="cs"/>
          <w:b/>
          <w:bCs/>
          <w:rtl/>
        </w:rPr>
        <w:t>ְ</w:t>
      </w:r>
      <w:r>
        <w:rPr>
          <w:b/>
          <w:bCs/>
          <w:rtl/>
        </w:rPr>
        <w:t>עו</w:t>
      </w:r>
      <w:r>
        <w:rPr>
          <w:rFonts w:hint="cs"/>
          <w:b/>
          <w:bCs/>
          <w:rtl/>
        </w:rPr>
        <w:t>ּ</w:t>
      </w:r>
      <w:r>
        <w:rPr>
          <w:b/>
          <w:bCs/>
          <w:rtl/>
        </w:rPr>
        <w:t>ר</w:t>
      </w:r>
      <w:r>
        <w:rPr>
          <w:rFonts w:hint="cs"/>
          <w:b/>
          <w:bCs/>
          <w:rtl/>
        </w:rPr>
        <w:t>ָ</w:t>
      </w:r>
      <w:r>
        <w:rPr>
          <w:b/>
          <w:bCs/>
          <w:rtl/>
        </w:rPr>
        <w:t>א</w:t>
      </w:r>
      <w:r>
        <w:rPr>
          <w:rtl/>
        </w:rPr>
        <w:t xml:space="preserve"> דכל אנשא </w:t>
      </w:r>
      <w:r>
        <w:rPr>
          <w:b/>
          <w:bCs/>
          <w:rtl/>
        </w:rPr>
        <w:t>י</w:t>
      </w:r>
      <w:r>
        <w:rPr>
          <w:rFonts w:hint="cs"/>
          <w:b/>
          <w:bCs/>
          <w:rtl/>
        </w:rPr>
        <w:t>ִ</w:t>
      </w:r>
      <w:r>
        <w:rPr>
          <w:b/>
          <w:bCs/>
          <w:rtl/>
        </w:rPr>
        <w:t>ס</w:t>
      </w:r>
      <w:r>
        <w:rPr>
          <w:rFonts w:hint="cs"/>
          <w:b/>
          <w:bCs/>
          <w:rtl/>
        </w:rPr>
        <w:t>ְ</w:t>
      </w:r>
      <w:r>
        <w:rPr>
          <w:b/>
          <w:bCs/>
          <w:rtl/>
        </w:rPr>
        <w:t>ת</w:t>
      </w:r>
      <w:r>
        <w:rPr>
          <w:rFonts w:hint="cs"/>
          <w:b/>
          <w:bCs/>
          <w:rtl/>
        </w:rPr>
        <w:t>ְּ</w:t>
      </w:r>
      <w:r>
        <w:rPr>
          <w:b/>
          <w:bCs/>
          <w:rtl/>
        </w:rPr>
        <w:t>ע</w:t>
      </w:r>
      <w:r>
        <w:rPr>
          <w:rFonts w:hint="cs"/>
          <w:b/>
          <w:bCs/>
          <w:rtl/>
        </w:rPr>
        <w:t>ַ</w:t>
      </w:r>
      <w:r>
        <w:rPr>
          <w:b/>
          <w:bCs/>
          <w:rtl/>
        </w:rPr>
        <w:t>ר</w:t>
      </w:r>
      <w:r>
        <w:rPr>
          <w:rtl/>
        </w:rPr>
        <w:t xml:space="preserve"> עליהון</w:t>
      </w:r>
      <w:r>
        <w:rPr>
          <w:rFonts w:hint="cs"/>
          <w:rtl/>
        </w:rPr>
        <w:t>". נוסח זה של התרגום (באות ר' סופית</w:t>
      </w:r>
      <w:r>
        <w:rPr>
          <w:rStyle w:val="a4"/>
          <w:rtl/>
        </w:rPr>
        <w:footnoteReference w:id="388"/>
      </w:r>
      <w:r>
        <w:rPr>
          <w:rFonts w:hint="cs"/>
          <w:rtl/>
        </w:rPr>
        <w:t>) תואם את נוסח התלמוד שהבאנו (</w:t>
      </w:r>
      <w:r>
        <w:rPr>
          <w:rFonts w:hint="cs"/>
          <w:sz w:val="18"/>
          <w:szCs w:val="20"/>
          <w:rtl/>
        </w:rPr>
        <w:t xml:space="preserve">ע"פ </w:t>
      </w:r>
      <w:r>
        <w:rPr>
          <w:rFonts w:hint="cs"/>
          <w:color w:val="800000"/>
          <w:sz w:val="18"/>
          <w:szCs w:val="20"/>
          <w:rtl/>
        </w:rPr>
        <w:t>כתב יד מינכן</w:t>
      </w:r>
      <w:r>
        <w:rPr>
          <w:rFonts w:hint="cs"/>
          <w:rtl/>
        </w:rPr>
        <w:t>) ואת נוסח הר"ן (</w:t>
      </w:r>
      <w:r>
        <w:rPr>
          <w:rFonts w:hint="cs"/>
          <w:sz w:val="20"/>
          <w:szCs w:val="20"/>
          <w:rtl/>
        </w:rPr>
        <w:t>כתב יד</w:t>
      </w:r>
      <w:r>
        <w:rPr>
          <w:rFonts w:hint="cs"/>
          <w:rtl/>
        </w:rPr>
        <w:t>); אך בדפוסי התלמוד ומפרשיו הודפסה אות ד' סופית: "</w:t>
      </w:r>
      <w:r>
        <w:rPr>
          <w:rtl/>
        </w:rPr>
        <w:t>לא ליסעו</w:t>
      </w:r>
      <w:r>
        <w:rPr>
          <w:rFonts w:hint="cs"/>
          <w:b/>
          <w:bCs/>
          <w:rtl/>
        </w:rPr>
        <w:t>ד</w:t>
      </w:r>
      <w:r>
        <w:rPr>
          <w:rtl/>
        </w:rPr>
        <w:t xml:space="preserve"> איניש</w:t>
      </w:r>
      <w:r>
        <w:rPr>
          <w:rFonts w:hint="cs"/>
          <w:rtl/>
        </w:rPr>
        <w:t>". גם ציטוט התרגום בדפוסי המפרשים שובש בהתאם: "</w:t>
      </w:r>
      <w:r>
        <w:rPr>
          <w:rtl/>
        </w:rPr>
        <w:t>מתרגמינן ו</w:t>
      </w:r>
      <w:r>
        <w:rPr>
          <w:b/>
          <w:bCs/>
          <w:rtl/>
        </w:rPr>
        <w:t>סיעדא</w:t>
      </w:r>
      <w:r>
        <w:rPr>
          <w:rFonts w:hint="cs"/>
          <w:rtl/>
        </w:rPr>
        <w:t>" (</w:t>
      </w:r>
      <w:r>
        <w:rPr>
          <w:rFonts w:hint="cs"/>
          <w:sz w:val="18"/>
          <w:szCs w:val="20"/>
          <w:rtl/>
        </w:rPr>
        <w:t>פירוש הר"ן הנדפס</w:t>
      </w:r>
      <w:r>
        <w:rPr>
          <w:rFonts w:hint="cs"/>
          <w:rtl/>
        </w:rPr>
        <w:t>), "</w:t>
      </w:r>
      <w:r>
        <w:rPr>
          <w:rFonts w:hint="cs"/>
          <w:b/>
          <w:bCs/>
          <w:rtl/>
        </w:rPr>
        <w:t>וסעודא</w:t>
      </w:r>
      <w:r>
        <w:rPr>
          <w:rFonts w:hint="cs"/>
          <w:rtl/>
        </w:rPr>
        <w:t>" (</w:t>
      </w:r>
      <w:r>
        <w:rPr>
          <w:rFonts w:hint="cs"/>
          <w:szCs w:val="20"/>
          <w:rtl/>
        </w:rPr>
        <w:t>המפרש</w:t>
      </w:r>
      <w:r>
        <w:rPr>
          <w:rFonts w:hint="cs"/>
          <w:rtl/>
        </w:rPr>
        <w:t xml:space="preserve"> </w:t>
      </w:r>
      <w:r>
        <w:rPr>
          <w:rFonts w:hint="cs"/>
          <w:sz w:val="18"/>
          <w:szCs w:val="20"/>
          <w:rtl/>
        </w:rPr>
        <w:t>המיוחס לרש"י</w:t>
      </w:r>
      <w:r>
        <w:rPr>
          <w:rFonts w:hint="cs"/>
          <w:rtl/>
        </w:rPr>
        <w:t xml:space="preserve">), </w:t>
      </w:r>
      <w:r>
        <w:rPr>
          <w:rtl/>
        </w:rPr>
        <w:t>וכבר העירו אחרונים שיש לתקן שיבוש זה</w:t>
      </w:r>
      <w:r>
        <w:rPr>
          <w:rStyle w:val="a4"/>
          <w:rtl/>
        </w:rPr>
        <w:footnoteReference w:id="389"/>
      </w:r>
      <w:r>
        <w:rPr>
          <w:rFonts w:hint="cs"/>
          <w:rtl/>
        </w:rPr>
        <w:t xml:space="preserve"> </w:t>
      </w:r>
      <w:r>
        <w:rPr>
          <w:rtl/>
        </w:rPr>
        <w:t>(כן הגיהו מהרש"א ורעק"א בגליון הש"ס בנוסח התלמוד בנדרים ובלשון המפרשים שם)</w:t>
      </w:r>
      <w:r>
        <w:rPr>
          <w:rStyle w:val="a4"/>
          <w:rtl/>
        </w:rPr>
        <w:footnoteReference w:id="390"/>
      </w:r>
      <w:r>
        <w:rPr>
          <w:rtl/>
        </w:rPr>
        <w:t>.</w:t>
      </w:r>
    </w:p>
    <w:p w14:paraId="4C7A589F" w14:textId="77777777" w:rsidR="002B4B31" w:rsidRDefault="002B4B31" w:rsidP="002B4B31">
      <w:pPr>
        <w:pStyle w:val="1"/>
        <w:rPr>
          <w:rFonts w:hint="cs"/>
          <w:rtl/>
        </w:rPr>
      </w:pPr>
    </w:p>
    <w:p w14:paraId="0CA6B87C" w14:textId="77777777" w:rsidR="002B4B31" w:rsidRDefault="002B4B31" w:rsidP="002B4B31">
      <w:pPr>
        <w:pStyle w:val="1"/>
        <w:rPr>
          <w:rFonts w:hint="cs"/>
          <w:rtl/>
        </w:rPr>
      </w:pPr>
      <w:r>
        <w:rPr>
          <w:rFonts w:hint="cs"/>
          <w:rtl/>
        </w:rPr>
        <w:t xml:space="preserve">דף יג, ב: </w:t>
      </w:r>
      <w:r>
        <w:rPr>
          <w:rtl/>
        </w:rPr>
        <w:t>חנניה בן חזקיה וסיעתו</w:t>
      </w:r>
    </w:p>
    <w:p w14:paraId="73003606" w14:textId="77777777" w:rsidR="002B4B31" w:rsidRDefault="002B4B31" w:rsidP="002B4B31">
      <w:pPr>
        <w:pStyle w:val="2"/>
        <w:ind w:firstLine="284"/>
        <w:rPr>
          <w:rFonts w:hint="cs"/>
          <w:rtl/>
        </w:rPr>
      </w:pPr>
      <w:r>
        <w:rPr>
          <w:rtl/>
        </w:rPr>
        <w:t>סיע</w:t>
      </w:r>
      <w:r>
        <w:rPr>
          <w:rFonts w:hint="cs"/>
          <w:rtl/>
        </w:rPr>
        <w:t>ה, סיעתא ו</w:t>
      </w:r>
      <w:r>
        <w:rPr>
          <w:sz w:val="26"/>
          <w:rtl/>
        </w:rPr>
        <w:t>סייעתא דשמיא</w:t>
      </w:r>
    </w:p>
    <w:p w14:paraId="6A25813C" w14:textId="77777777" w:rsidR="002B4B31" w:rsidRDefault="002B4B31" w:rsidP="002B4B31">
      <w:pPr>
        <w:pStyle w:val="a7"/>
        <w:rPr>
          <w:rFonts w:hint="cs"/>
          <w:rtl/>
        </w:rPr>
      </w:pPr>
      <w:r>
        <w:rPr>
          <w:rtl/>
        </w:rPr>
        <w:t>תנו רבנן: מי כתב מגילת תענית</w:t>
      </w:r>
      <w:r>
        <w:rPr>
          <w:rStyle w:val="a4"/>
          <w:rtl/>
        </w:rPr>
        <w:footnoteReference w:id="391"/>
      </w:r>
      <w:r>
        <w:rPr>
          <w:rtl/>
        </w:rPr>
        <w:t>? אמרו: חנניה בן חזקיה ו</w:t>
      </w:r>
      <w:r>
        <w:rPr>
          <w:b/>
          <w:bCs/>
          <w:rtl/>
        </w:rPr>
        <w:t>סיעתו</w:t>
      </w:r>
      <w:r>
        <w:rPr>
          <w:rtl/>
        </w:rPr>
        <w:t>, שהיו מחבבין את הצרות. אמר רבן שמעון בן גמליאל: אף אנו מחבבין את הצרות, אבל מה נעשה, שאם באנו לכתוב - אין אנו מספיקין</w:t>
      </w:r>
      <w:r>
        <w:rPr>
          <w:rFonts w:hint="cs"/>
          <w:rtl/>
        </w:rPr>
        <w:t>"</w:t>
      </w:r>
      <w:r>
        <w:rPr>
          <w:rtl/>
        </w:rPr>
        <w:t>.</w:t>
      </w:r>
      <w:r>
        <w:rPr>
          <w:rFonts w:hint="cs"/>
          <w:rtl/>
        </w:rPr>
        <w:t xml:space="preserve"> </w:t>
      </w:r>
    </w:p>
    <w:p w14:paraId="3BDBBAC8" w14:textId="77777777" w:rsidR="002B4B31" w:rsidRDefault="002B4B31" w:rsidP="002B4B31">
      <w:pPr>
        <w:rPr>
          <w:rFonts w:hint="cs"/>
          <w:rtl/>
        </w:rPr>
      </w:pPr>
      <w:r>
        <w:rPr>
          <w:rFonts w:hint="cs"/>
          <w:rtl/>
        </w:rPr>
        <w:t>פירוש המִלה</w:t>
      </w:r>
      <w:r>
        <w:rPr>
          <w:rtl/>
        </w:rPr>
        <w:t xml:space="preserve"> </w:t>
      </w:r>
      <w:r>
        <w:rPr>
          <w:rFonts w:hint="cs"/>
          <w:rtl/>
        </w:rPr>
        <w:t>"סִיעָה" הוא קבוצת אנשים (השוה: "</w:t>
      </w:r>
      <w:r>
        <w:rPr>
          <w:rtl/>
        </w:rPr>
        <w:t>סיעה של בני אדם</w:t>
      </w:r>
      <w:r>
        <w:rPr>
          <w:rFonts w:hint="cs"/>
          <w:rtl/>
        </w:rPr>
        <w:t>"</w:t>
      </w:r>
      <w:r>
        <w:rPr>
          <w:rFonts w:hint="cs"/>
          <w:sz w:val="18"/>
          <w:szCs w:val="20"/>
          <w:rtl/>
        </w:rPr>
        <w:t xml:space="preserve">; </w:t>
      </w:r>
      <w:r>
        <w:rPr>
          <w:sz w:val="18"/>
          <w:szCs w:val="20"/>
          <w:rtl/>
        </w:rPr>
        <w:t>כתובות טו</w:t>
      </w:r>
      <w:r>
        <w:rPr>
          <w:rFonts w:hint="cs"/>
          <w:sz w:val="18"/>
          <w:szCs w:val="20"/>
          <w:rtl/>
        </w:rPr>
        <w:t xml:space="preserve">, </w:t>
      </w:r>
      <w:r>
        <w:rPr>
          <w:sz w:val="18"/>
          <w:szCs w:val="20"/>
          <w:rtl/>
        </w:rPr>
        <w:t>א</w:t>
      </w:r>
      <w:r>
        <w:rPr>
          <w:rFonts w:hint="cs"/>
          <w:rtl/>
        </w:rPr>
        <w:t xml:space="preserve">). כאן מדובר על קבוצת אנשים בעלי עניין משותף, חבורה מאוחדת ומאוגדת סביב רעיון אחד (וכן להלן </w:t>
      </w:r>
      <w:r>
        <w:rPr>
          <w:sz w:val="18"/>
          <w:szCs w:val="20"/>
          <w:rtl/>
        </w:rPr>
        <w:t>דף יד</w:t>
      </w:r>
      <w:r>
        <w:rPr>
          <w:rFonts w:hint="cs"/>
          <w:sz w:val="18"/>
          <w:szCs w:val="20"/>
          <w:rtl/>
        </w:rPr>
        <w:t xml:space="preserve">, </w:t>
      </w:r>
      <w:r>
        <w:rPr>
          <w:sz w:val="18"/>
          <w:szCs w:val="20"/>
          <w:rtl/>
        </w:rPr>
        <w:t xml:space="preserve">ב </w:t>
      </w:r>
      <w:r>
        <w:rPr>
          <w:rFonts w:hint="cs"/>
          <w:rtl/>
        </w:rPr>
        <w:t>"</w:t>
      </w:r>
      <w:r>
        <w:rPr>
          <w:rtl/>
        </w:rPr>
        <w:t>שמאי וסיעתו והלל וסיעתו</w:t>
      </w:r>
      <w:r>
        <w:rPr>
          <w:rFonts w:hint="cs"/>
          <w:rtl/>
        </w:rPr>
        <w:t>"; "</w:t>
      </w:r>
      <w:r>
        <w:rPr>
          <w:rtl/>
        </w:rPr>
        <w:t>שבנא וסיעתו</w:t>
      </w:r>
      <w:r>
        <w:rPr>
          <w:rFonts w:hint="cs"/>
          <w:rtl/>
        </w:rPr>
        <w:t xml:space="preserve">, </w:t>
      </w:r>
      <w:r>
        <w:rPr>
          <w:rtl/>
        </w:rPr>
        <w:t>חזקיה וסיעתו</w:t>
      </w:r>
      <w:r>
        <w:rPr>
          <w:rFonts w:hint="cs"/>
          <w:rtl/>
        </w:rPr>
        <w:t xml:space="preserve">" </w:t>
      </w:r>
      <w:r>
        <w:rPr>
          <w:rFonts w:hint="cs"/>
          <w:sz w:val="18"/>
          <w:szCs w:val="20"/>
          <w:rtl/>
        </w:rPr>
        <w:t>ב</w:t>
      </w:r>
      <w:r>
        <w:rPr>
          <w:sz w:val="18"/>
          <w:szCs w:val="20"/>
          <w:rtl/>
        </w:rPr>
        <w:t>סנהדרין כו</w:t>
      </w:r>
      <w:r>
        <w:rPr>
          <w:rFonts w:hint="cs"/>
          <w:sz w:val="18"/>
          <w:szCs w:val="20"/>
          <w:rtl/>
        </w:rPr>
        <w:t xml:space="preserve">, </w:t>
      </w:r>
      <w:r>
        <w:rPr>
          <w:sz w:val="18"/>
          <w:szCs w:val="20"/>
          <w:rtl/>
        </w:rPr>
        <w:t>א</w:t>
      </w:r>
      <w:r>
        <w:rPr>
          <w:rFonts w:hint="cs"/>
          <w:rtl/>
        </w:rPr>
        <w:t xml:space="preserve">). יתכן ומקור המילה מהשורש סי"ע, על שום כך שבני הקבוצה מסייעים זה את זה, </w:t>
      </w:r>
      <w:r>
        <w:rPr>
          <w:rFonts w:hint="cs"/>
          <w:sz w:val="26"/>
          <w:rtl/>
        </w:rPr>
        <w:t>"</w:t>
      </w:r>
      <w:r>
        <w:rPr>
          <w:sz w:val="26"/>
          <w:rtl/>
        </w:rPr>
        <w:t>אִישׁ אֶת רֵעֵהוּ יַעְזֹרוּ וּלְאָחִיו יֹאמַר חֲזָק</w:t>
      </w:r>
      <w:r>
        <w:rPr>
          <w:rFonts w:hint="cs"/>
          <w:sz w:val="26"/>
          <w:rtl/>
        </w:rPr>
        <w:t>" (</w:t>
      </w:r>
      <w:r>
        <w:rPr>
          <w:sz w:val="18"/>
          <w:szCs w:val="20"/>
          <w:rtl/>
        </w:rPr>
        <w:t>ישעיה</w:t>
      </w:r>
      <w:r>
        <w:rPr>
          <w:rFonts w:hint="cs"/>
          <w:sz w:val="18"/>
          <w:szCs w:val="20"/>
          <w:rtl/>
        </w:rPr>
        <w:t xml:space="preserve"> </w:t>
      </w:r>
      <w:r>
        <w:rPr>
          <w:sz w:val="18"/>
          <w:szCs w:val="20"/>
          <w:rtl/>
        </w:rPr>
        <w:t>מא</w:t>
      </w:r>
      <w:r>
        <w:rPr>
          <w:rFonts w:hint="cs"/>
          <w:sz w:val="18"/>
          <w:szCs w:val="20"/>
          <w:rtl/>
        </w:rPr>
        <w:t xml:space="preserve">, </w:t>
      </w:r>
      <w:r>
        <w:rPr>
          <w:sz w:val="18"/>
          <w:szCs w:val="20"/>
          <w:rtl/>
        </w:rPr>
        <w:t>ו</w:t>
      </w:r>
      <w:r>
        <w:rPr>
          <w:rFonts w:hint="cs"/>
          <w:sz w:val="26"/>
          <w:rtl/>
        </w:rPr>
        <w:t>)</w:t>
      </w:r>
      <w:r>
        <w:rPr>
          <w:rStyle w:val="a4"/>
          <w:rtl/>
        </w:rPr>
        <w:footnoteReference w:id="392"/>
      </w:r>
      <w:r>
        <w:rPr>
          <w:rFonts w:hint="cs"/>
          <w:sz w:val="26"/>
          <w:rtl/>
        </w:rPr>
        <w:t xml:space="preserve">. ויתכן ומקור המילה בשורש המקראי סע"ה או נס"ע שעניינם עקירה, נסיעה ונדידה, ולפי זה </w:t>
      </w:r>
      <w:r>
        <w:rPr>
          <w:rFonts w:hint="cs"/>
          <w:rtl/>
        </w:rPr>
        <w:t>"</w:t>
      </w:r>
      <w:r>
        <w:rPr>
          <w:rtl/>
        </w:rPr>
        <w:t>סיעה</w:t>
      </w:r>
      <w:r>
        <w:rPr>
          <w:rFonts w:hint="cs"/>
          <w:rtl/>
        </w:rPr>
        <w:t>" היא שיירה, אורחה</w:t>
      </w:r>
      <w:r>
        <w:rPr>
          <w:rStyle w:val="a4"/>
          <w:rtl/>
        </w:rPr>
        <w:footnoteReference w:id="393"/>
      </w:r>
      <w:r>
        <w:rPr>
          <w:rFonts w:hint="cs"/>
          <w:rtl/>
        </w:rPr>
        <w:t>.</w:t>
      </w:r>
    </w:p>
    <w:p w14:paraId="77995847" w14:textId="77777777" w:rsidR="002B4B31" w:rsidRDefault="002B4B31" w:rsidP="002B4B31">
      <w:pPr>
        <w:rPr>
          <w:rFonts w:hint="cs"/>
          <w:rtl/>
        </w:rPr>
      </w:pPr>
      <w:r>
        <w:rPr>
          <w:rFonts w:hint="cs"/>
          <w:rtl/>
        </w:rPr>
        <w:lastRenderedPageBreak/>
        <w:t>לעומת הצורה שלפנינו עם יו"ד אחת (</w:t>
      </w:r>
      <w:r>
        <w:rPr>
          <w:rFonts w:hint="cs"/>
          <w:sz w:val="26"/>
          <w:rtl/>
        </w:rPr>
        <w:t>"</w:t>
      </w:r>
      <w:r>
        <w:rPr>
          <w:sz w:val="26"/>
          <w:rtl/>
        </w:rPr>
        <w:t>ס</w:t>
      </w:r>
      <w:r>
        <w:rPr>
          <w:b/>
          <w:bCs/>
          <w:sz w:val="26"/>
          <w:rtl/>
        </w:rPr>
        <w:t>י</w:t>
      </w:r>
      <w:r>
        <w:rPr>
          <w:sz w:val="26"/>
          <w:rtl/>
        </w:rPr>
        <w:t>עתו</w:t>
      </w:r>
      <w:r>
        <w:rPr>
          <w:rFonts w:hint="cs"/>
          <w:sz w:val="26"/>
          <w:rtl/>
        </w:rPr>
        <w:t xml:space="preserve">" </w:t>
      </w:r>
      <w:r>
        <w:rPr>
          <w:rFonts w:hint="cs"/>
          <w:sz w:val="18"/>
          <w:szCs w:val="20"/>
          <w:rtl/>
        </w:rPr>
        <w:t>מופיע י"ז פעמים בתלמוד הבבלי</w:t>
      </w:r>
      <w:r>
        <w:rPr>
          <w:rFonts w:hint="cs"/>
          <w:sz w:val="26"/>
          <w:rtl/>
        </w:rPr>
        <w:t>), קיימת גם צורה כפולת יו"ד (</w:t>
      </w:r>
      <w:r>
        <w:rPr>
          <w:rFonts w:hint="cs"/>
          <w:sz w:val="18"/>
          <w:szCs w:val="20"/>
          <w:rtl/>
        </w:rPr>
        <w:t>המופיעה בדפוסי התלמוד ד' פעמים; כגון ב</w:t>
      </w:r>
      <w:r>
        <w:rPr>
          <w:sz w:val="18"/>
          <w:szCs w:val="20"/>
          <w:rtl/>
        </w:rPr>
        <w:t>פסחים קיז</w:t>
      </w:r>
      <w:r>
        <w:rPr>
          <w:rFonts w:hint="cs"/>
          <w:sz w:val="18"/>
          <w:szCs w:val="20"/>
          <w:rtl/>
        </w:rPr>
        <w:t xml:space="preserve">, </w:t>
      </w:r>
      <w:r>
        <w:rPr>
          <w:sz w:val="18"/>
          <w:szCs w:val="20"/>
          <w:rtl/>
        </w:rPr>
        <w:t>א</w:t>
      </w:r>
      <w:r>
        <w:rPr>
          <w:rFonts w:hint="cs"/>
          <w:sz w:val="18"/>
          <w:szCs w:val="20"/>
          <w:rtl/>
        </w:rPr>
        <w:t>: "</w:t>
      </w:r>
      <w:r>
        <w:rPr>
          <w:sz w:val="18"/>
          <w:szCs w:val="20"/>
          <w:rtl/>
        </w:rPr>
        <w:t>חזקיה</w:t>
      </w:r>
      <w:r>
        <w:rPr>
          <w:rFonts w:hint="cs"/>
          <w:sz w:val="18"/>
          <w:szCs w:val="20"/>
          <w:rtl/>
        </w:rPr>
        <w:t xml:space="preserve"> </w:t>
      </w:r>
      <w:r>
        <w:rPr>
          <w:sz w:val="18"/>
          <w:szCs w:val="20"/>
          <w:rtl/>
        </w:rPr>
        <w:t>וס</w:t>
      </w:r>
      <w:r>
        <w:rPr>
          <w:b/>
          <w:bCs/>
          <w:sz w:val="18"/>
          <w:szCs w:val="20"/>
          <w:rtl/>
        </w:rPr>
        <w:t>יי</w:t>
      </w:r>
      <w:r>
        <w:rPr>
          <w:sz w:val="18"/>
          <w:szCs w:val="20"/>
          <w:rtl/>
        </w:rPr>
        <w:t>עתו</w:t>
      </w:r>
      <w:r>
        <w:rPr>
          <w:rFonts w:hint="cs"/>
          <w:sz w:val="18"/>
          <w:szCs w:val="20"/>
          <w:rtl/>
        </w:rPr>
        <w:t>"</w:t>
      </w:r>
      <w:r>
        <w:rPr>
          <w:rFonts w:hint="cs"/>
          <w:sz w:val="26"/>
          <w:rtl/>
        </w:rPr>
        <w:t xml:space="preserve">), וכך </w:t>
      </w:r>
      <w:r>
        <w:rPr>
          <w:rFonts w:hint="cs"/>
          <w:rtl/>
        </w:rPr>
        <w:t>מודפס בפירוש רבנו חננאל כאן: "</w:t>
      </w:r>
      <w:r>
        <w:rPr>
          <w:rtl/>
        </w:rPr>
        <w:t xml:space="preserve">חנניה בן חזקיה </w:t>
      </w:r>
      <w:r>
        <w:rPr>
          <w:rFonts w:hint="cs"/>
          <w:rtl/>
        </w:rPr>
        <w:t xml:space="preserve">בן גרון </w:t>
      </w:r>
      <w:r>
        <w:rPr>
          <w:rtl/>
        </w:rPr>
        <w:t>ו</w:t>
      </w:r>
      <w:r>
        <w:rPr>
          <w:b/>
          <w:bCs/>
          <w:rtl/>
        </w:rPr>
        <w:t>ס</w:t>
      </w:r>
      <w:r>
        <w:rPr>
          <w:rFonts w:hint="cs"/>
          <w:b/>
          <w:bCs/>
          <w:rtl/>
        </w:rPr>
        <w:t>י</w:t>
      </w:r>
      <w:r>
        <w:rPr>
          <w:b/>
          <w:bCs/>
          <w:rtl/>
        </w:rPr>
        <w:t>יעתו</w:t>
      </w:r>
      <w:r>
        <w:rPr>
          <w:rFonts w:hint="cs"/>
          <w:rtl/>
        </w:rPr>
        <w:t>", עם שתי יודי"ן. הכפלת היו"ד מצביעה לכאורה על כך שהיו"ד עיצורית ואיננה "אֵם קריאה". לפיכך אולי יש לקרוא "סַיְיעָה"</w:t>
      </w:r>
      <w:r>
        <w:rPr>
          <w:rStyle w:val="a4"/>
          <w:rtl/>
        </w:rPr>
        <w:footnoteReference w:id="394"/>
      </w:r>
      <w:r>
        <w:rPr>
          <w:rFonts w:hint="cs"/>
          <w:rtl/>
        </w:rPr>
        <w:t xml:space="preserve"> ו"סַיְיעָתו". מעניין חילוף הנוסח בלשונו של </w:t>
      </w:r>
      <w:r>
        <w:rPr>
          <w:rtl/>
        </w:rPr>
        <w:t>ר</w:t>
      </w:r>
      <w:r>
        <w:rPr>
          <w:rFonts w:hint="cs"/>
          <w:rtl/>
        </w:rPr>
        <w:t>'</w:t>
      </w:r>
      <w:r>
        <w:rPr>
          <w:rtl/>
        </w:rPr>
        <w:t xml:space="preserve"> אבא בריה דרבי חייא בר אבא</w:t>
      </w:r>
      <w:r>
        <w:rPr>
          <w:rFonts w:hint="cs"/>
          <w:rtl/>
        </w:rPr>
        <w:t xml:space="preserve"> שאמר: "</w:t>
      </w:r>
      <w:r>
        <w:rPr>
          <w:rtl/>
        </w:rPr>
        <w:t>ר' יהודה נשיאה</w:t>
      </w:r>
      <w:r>
        <w:rPr>
          <w:rFonts w:hint="cs"/>
          <w:rtl/>
        </w:rPr>
        <w:t>,</w:t>
      </w:r>
      <w:r>
        <w:rPr>
          <w:rtl/>
        </w:rPr>
        <w:t xml:space="preserve"> בנו של ר"ג בר רבי</w:t>
      </w:r>
      <w:r>
        <w:rPr>
          <w:rFonts w:hint="cs"/>
          <w:rtl/>
        </w:rPr>
        <w:t>,</w:t>
      </w:r>
      <w:r>
        <w:rPr>
          <w:rtl/>
        </w:rPr>
        <w:t xml:space="preserve"> הורה</w:t>
      </w:r>
      <w:r>
        <w:rPr>
          <w:rFonts w:hint="cs"/>
          <w:rtl/>
        </w:rPr>
        <w:t xml:space="preserve">; </w:t>
      </w:r>
      <w:r>
        <w:rPr>
          <w:rtl/>
        </w:rPr>
        <w:t xml:space="preserve">ולא הודו לו כל </w:t>
      </w:r>
      <w:r>
        <w:rPr>
          <w:b/>
          <w:bCs/>
          <w:rtl/>
        </w:rPr>
        <w:t>סיעתו</w:t>
      </w:r>
      <w:r>
        <w:rPr>
          <w:rFonts w:hint="cs"/>
          <w:rtl/>
        </w:rPr>
        <w:t xml:space="preserve">. </w:t>
      </w:r>
      <w:r>
        <w:rPr>
          <w:rtl/>
        </w:rPr>
        <w:t>ואמרי לה: כל שעתו</w:t>
      </w:r>
      <w:r>
        <w:rPr>
          <w:rFonts w:hint="cs"/>
          <w:rtl/>
        </w:rPr>
        <w:t>" (</w:t>
      </w:r>
      <w:r>
        <w:rPr>
          <w:rtl/>
        </w:rPr>
        <w:t xml:space="preserve">גיטין </w:t>
      </w:r>
      <w:r>
        <w:rPr>
          <w:sz w:val="18"/>
          <w:szCs w:val="20"/>
          <w:rtl/>
        </w:rPr>
        <w:t>עו</w:t>
      </w:r>
      <w:r>
        <w:rPr>
          <w:rFonts w:hint="cs"/>
          <w:sz w:val="18"/>
          <w:szCs w:val="20"/>
          <w:rtl/>
        </w:rPr>
        <w:t xml:space="preserve">, </w:t>
      </w:r>
      <w:r>
        <w:rPr>
          <w:sz w:val="18"/>
          <w:szCs w:val="20"/>
          <w:rtl/>
        </w:rPr>
        <w:t>ב</w:t>
      </w:r>
      <w:r>
        <w:rPr>
          <w:rFonts w:hint="cs"/>
          <w:rtl/>
        </w:rPr>
        <w:t>), ובסוגיה המקבילה (</w:t>
      </w:r>
      <w:r>
        <w:rPr>
          <w:rtl/>
        </w:rPr>
        <w:t xml:space="preserve">עבודה זרה </w:t>
      </w:r>
      <w:r>
        <w:rPr>
          <w:sz w:val="18"/>
          <w:szCs w:val="20"/>
          <w:rtl/>
        </w:rPr>
        <w:t>לז</w:t>
      </w:r>
      <w:r>
        <w:rPr>
          <w:rFonts w:hint="cs"/>
          <w:sz w:val="18"/>
          <w:szCs w:val="20"/>
          <w:rtl/>
        </w:rPr>
        <w:t xml:space="preserve">, </w:t>
      </w:r>
      <w:r>
        <w:rPr>
          <w:sz w:val="18"/>
          <w:szCs w:val="20"/>
          <w:rtl/>
        </w:rPr>
        <w:t>א</w:t>
      </w:r>
      <w:r>
        <w:rPr>
          <w:rFonts w:hint="cs"/>
          <w:rtl/>
        </w:rPr>
        <w:t>) עם שתי יודי"ן: "</w:t>
      </w:r>
      <w:r>
        <w:rPr>
          <w:rtl/>
        </w:rPr>
        <w:t>כל שעתו</w:t>
      </w:r>
      <w:r>
        <w:rPr>
          <w:rFonts w:hint="cs"/>
          <w:rtl/>
        </w:rPr>
        <w:t xml:space="preserve"> (</w:t>
      </w:r>
      <w:r>
        <w:rPr>
          <w:rtl/>
        </w:rPr>
        <w:t>כל ימיו נחלקו עליו</w:t>
      </w:r>
      <w:r>
        <w:rPr>
          <w:rFonts w:hint="cs"/>
          <w:sz w:val="18"/>
          <w:szCs w:val="20"/>
          <w:rtl/>
        </w:rPr>
        <w:t>;</w:t>
      </w:r>
      <w:r>
        <w:rPr>
          <w:sz w:val="18"/>
          <w:szCs w:val="20"/>
          <w:rtl/>
        </w:rPr>
        <w:t xml:space="preserve"> </w:t>
      </w:r>
      <w:r>
        <w:rPr>
          <w:rFonts w:hint="cs"/>
          <w:sz w:val="18"/>
          <w:szCs w:val="20"/>
          <w:rtl/>
        </w:rPr>
        <w:t>רש"י</w:t>
      </w:r>
      <w:r>
        <w:rPr>
          <w:rFonts w:hint="cs"/>
          <w:rtl/>
        </w:rPr>
        <w:t xml:space="preserve">). </w:t>
      </w:r>
      <w:r>
        <w:rPr>
          <w:rtl/>
        </w:rPr>
        <w:t xml:space="preserve">ואמרי לה: כל </w:t>
      </w:r>
      <w:r>
        <w:rPr>
          <w:b/>
          <w:bCs/>
          <w:rtl/>
        </w:rPr>
        <w:t>סייעתו</w:t>
      </w:r>
      <w:r>
        <w:rPr>
          <w:rFonts w:hint="cs"/>
          <w:rtl/>
        </w:rPr>
        <w:t>"</w:t>
      </w:r>
      <w:r>
        <w:rPr>
          <w:rtl/>
        </w:rPr>
        <w:t xml:space="preserve">. </w:t>
      </w:r>
    </w:p>
    <w:p w14:paraId="50DCA2E3" w14:textId="77777777" w:rsidR="002B4B31" w:rsidRDefault="002B4B31" w:rsidP="002B4B31">
      <w:pPr>
        <w:rPr>
          <w:rFonts w:hint="cs"/>
          <w:rtl/>
        </w:rPr>
      </w:pPr>
      <w:r>
        <w:rPr>
          <w:rFonts w:hint="cs"/>
          <w:sz w:val="26"/>
          <w:rtl/>
        </w:rPr>
        <w:t>גם למקבילתה הארמית מצאנו שני כתיבים: בדרך כלל נכתבת יו"ד אחת. כך מופיעה המילה בתרגום אונקלוס</w:t>
      </w:r>
      <w:r>
        <w:rPr>
          <w:rStyle w:val="a4"/>
          <w:rtl/>
        </w:rPr>
        <w:footnoteReference w:id="395"/>
      </w:r>
      <w:r>
        <w:rPr>
          <w:rFonts w:hint="cs"/>
          <w:sz w:val="26"/>
          <w:rtl/>
        </w:rPr>
        <w:t>, בתרגום יונתן בן עוזיאל</w:t>
      </w:r>
      <w:r>
        <w:rPr>
          <w:rStyle w:val="a4"/>
          <w:rtl/>
        </w:rPr>
        <w:footnoteReference w:id="396"/>
      </w:r>
      <w:r>
        <w:rPr>
          <w:rFonts w:hint="cs"/>
          <w:sz w:val="26"/>
          <w:rtl/>
        </w:rPr>
        <w:t>, בתלמוד ה</w:t>
      </w:r>
      <w:r>
        <w:rPr>
          <w:sz w:val="26"/>
          <w:rtl/>
        </w:rPr>
        <w:t>ירושלמי</w:t>
      </w:r>
      <w:r>
        <w:rPr>
          <w:rStyle w:val="a4"/>
          <w:rtl/>
        </w:rPr>
        <w:footnoteReference w:id="397"/>
      </w:r>
      <w:r>
        <w:rPr>
          <w:rFonts w:hint="cs"/>
          <w:sz w:val="26"/>
          <w:rtl/>
        </w:rPr>
        <w:t xml:space="preserve"> ובבראשית רבה</w:t>
      </w:r>
      <w:r>
        <w:rPr>
          <w:rStyle w:val="a4"/>
          <w:rtl/>
        </w:rPr>
        <w:footnoteReference w:id="398"/>
      </w:r>
      <w:r>
        <w:rPr>
          <w:rFonts w:hint="cs"/>
          <w:sz w:val="26"/>
          <w:rtl/>
        </w:rPr>
        <w:t xml:space="preserve">. אך מצינו פעם </w:t>
      </w:r>
      <w:r>
        <w:rPr>
          <w:rFonts w:hint="cs"/>
          <w:sz w:val="26"/>
          <w:rtl/>
        </w:rPr>
        <w:lastRenderedPageBreak/>
        <w:t xml:space="preserve">אחת </w:t>
      </w:r>
      <w:r>
        <w:rPr>
          <w:rFonts w:hint="cs"/>
          <w:rtl/>
        </w:rPr>
        <w:t>עם שתי יודי"ן</w:t>
      </w:r>
      <w:r>
        <w:rPr>
          <w:rFonts w:hint="cs"/>
          <w:sz w:val="26"/>
          <w:rtl/>
        </w:rPr>
        <w:t xml:space="preserve"> ב</w:t>
      </w:r>
      <w:r>
        <w:rPr>
          <w:sz w:val="26"/>
          <w:rtl/>
        </w:rPr>
        <w:t xml:space="preserve">ירושלמי </w:t>
      </w:r>
      <w:r>
        <w:rPr>
          <w:rFonts w:hint="cs"/>
          <w:sz w:val="26"/>
          <w:rtl/>
        </w:rPr>
        <w:t>(</w:t>
      </w:r>
      <w:r>
        <w:rPr>
          <w:sz w:val="18"/>
          <w:szCs w:val="20"/>
          <w:rtl/>
        </w:rPr>
        <w:t>ביכורים פ</w:t>
      </w:r>
      <w:r>
        <w:rPr>
          <w:rFonts w:hint="cs"/>
          <w:sz w:val="18"/>
          <w:szCs w:val="20"/>
          <w:rtl/>
        </w:rPr>
        <w:t>"</w:t>
      </w:r>
      <w:r>
        <w:rPr>
          <w:sz w:val="18"/>
          <w:szCs w:val="20"/>
          <w:rtl/>
        </w:rPr>
        <w:t>ג</w:t>
      </w:r>
      <w:r>
        <w:rPr>
          <w:rFonts w:hint="cs"/>
          <w:sz w:val="18"/>
          <w:szCs w:val="20"/>
          <w:rtl/>
        </w:rPr>
        <w:t xml:space="preserve"> </w:t>
      </w:r>
      <w:r>
        <w:rPr>
          <w:sz w:val="18"/>
          <w:szCs w:val="20"/>
          <w:rtl/>
        </w:rPr>
        <w:t>ה"ג</w:t>
      </w:r>
      <w:r>
        <w:rPr>
          <w:rFonts w:hint="cs"/>
          <w:sz w:val="26"/>
          <w:rtl/>
        </w:rPr>
        <w:t>) "</w:t>
      </w:r>
      <w:r>
        <w:rPr>
          <w:sz w:val="26"/>
          <w:rtl/>
        </w:rPr>
        <w:t>סייעתא דסבין</w:t>
      </w:r>
      <w:r>
        <w:rPr>
          <w:rFonts w:hint="cs"/>
          <w:sz w:val="26"/>
          <w:rtl/>
        </w:rPr>
        <w:t>" (פני משה: "חבורת זקֵנים")</w:t>
      </w:r>
      <w:r>
        <w:rPr>
          <w:rFonts w:hint="cs"/>
          <w:rtl/>
        </w:rPr>
        <w:t xml:space="preserve">. </w:t>
      </w:r>
      <w:r>
        <w:rPr>
          <w:rFonts w:hint="cs"/>
          <w:sz w:val="26"/>
          <w:rtl/>
        </w:rPr>
        <w:t>בתלמוד הבבלי לא מופיעה המילה כלל.</w:t>
      </w:r>
    </w:p>
    <w:p w14:paraId="3B61CB7C" w14:textId="77777777" w:rsidR="002B4B31" w:rsidRDefault="002B4B31" w:rsidP="002B4B31">
      <w:pPr>
        <w:rPr>
          <w:rFonts w:hint="cs"/>
          <w:sz w:val="26"/>
          <w:rtl/>
        </w:rPr>
      </w:pPr>
      <w:r>
        <w:rPr>
          <w:rFonts w:hint="cs"/>
          <w:sz w:val="26"/>
          <w:rtl/>
        </w:rPr>
        <w:t>לכתיב הנפוץ יש יתרון על פני כְפוּלֵי היודי"ן: כך מושג בידול סימנטי בין שם עצם מוחשי זה, לבין שם הפעולה: "סיוע" העברי</w:t>
      </w:r>
      <w:r>
        <w:rPr>
          <w:rStyle w:val="a4"/>
          <w:rtl/>
        </w:rPr>
        <w:footnoteReference w:id="399"/>
      </w:r>
      <w:r>
        <w:rPr>
          <w:rFonts w:hint="cs"/>
          <w:sz w:val="26"/>
          <w:rtl/>
        </w:rPr>
        <w:t>, ו</w:t>
      </w:r>
      <w:r>
        <w:rPr>
          <w:rFonts w:hint="cs"/>
          <w:rtl/>
        </w:rPr>
        <w:t xml:space="preserve">"סייעתא" הארמי. גם מילה זו מופיעה לפעמים עם יו"ד אחת, כגון </w:t>
      </w:r>
      <w:r>
        <w:rPr>
          <w:rFonts w:hint="cs"/>
          <w:sz w:val="26"/>
          <w:rtl/>
        </w:rPr>
        <w:t>"</w:t>
      </w:r>
      <w:r>
        <w:rPr>
          <w:b/>
          <w:bCs/>
          <w:sz w:val="26"/>
          <w:rtl/>
        </w:rPr>
        <w:t>סיעתא</w:t>
      </w:r>
      <w:r>
        <w:rPr>
          <w:sz w:val="26"/>
          <w:rtl/>
        </w:rPr>
        <w:t xml:space="preserve"> דשמיא</w:t>
      </w:r>
      <w:r>
        <w:rPr>
          <w:rFonts w:hint="cs"/>
          <w:sz w:val="26"/>
          <w:rtl/>
        </w:rPr>
        <w:t>" (</w:t>
      </w:r>
      <w:r>
        <w:rPr>
          <w:szCs w:val="20"/>
          <w:rtl/>
        </w:rPr>
        <w:t>בבא בתרא נה</w:t>
      </w:r>
      <w:r>
        <w:rPr>
          <w:rFonts w:hint="cs"/>
          <w:szCs w:val="20"/>
          <w:rtl/>
        </w:rPr>
        <w:t xml:space="preserve">, </w:t>
      </w:r>
      <w:r>
        <w:rPr>
          <w:szCs w:val="20"/>
          <w:rtl/>
        </w:rPr>
        <w:t>א</w:t>
      </w:r>
      <w:r>
        <w:rPr>
          <w:rFonts w:hint="cs"/>
          <w:sz w:val="26"/>
          <w:rtl/>
        </w:rPr>
        <w:t>), אך במרבית ההיקרויות כפולה האות יו"ד, כמו: "</w:t>
      </w:r>
      <w:r>
        <w:rPr>
          <w:b/>
          <w:bCs/>
          <w:sz w:val="26"/>
          <w:rtl/>
        </w:rPr>
        <w:t>סייעתא</w:t>
      </w:r>
      <w:r>
        <w:rPr>
          <w:sz w:val="26"/>
          <w:rtl/>
        </w:rPr>
        <w:t xml:space="preserve"> דשמיא</w:t>
      </w:r>
      <w:r>
        <w:rPr>
          <w:rFonts w:hint="cs"/>
          <w:sz w:val="26"/>
          <w:rtl/>
        </w:rPr>
        <w:t>" (</w:t>
      </w:r>
      <w:r>
        <w:rPr>
          <w:szCs w:val="20"/>
          <w:rtl/>
        </w:rPr>
        <w:t>כתובות סג</w:t>
      </w:r>
      <w:r>
        <w:rPr>
          <w:rFonts w:hint="cs"/>
          <w:szCs w:val="20"/>
          <w:rtl/>
        </w:rPr>
        <w:t xml:space="preserve">, </w:t>
      </w:r>
      <w:r>
        <w:rPr>
          <w:szCs w:val="20"/>
          <w:rtl/>
        </w:rPr>
        <w:t>ב</w:t>
      </w:r>
      <w:r>
        <w:rPr>
          <w:rFonts w:hint="cs"/>
          <w:szCs w:val="20"/>
          <w:rtl/>
        </w:rPr>
        <w:t>; וכן ב</w:t>
      </w:r>
      <w:r>
        <w:rPr>
          <w:szCs w:val="20"/>
          <w:rtl/>
        </w:rPr>
        <w:t>מגילה ו</w:t>
      </w:r>
      <w:r>
        <w:rPr>
          <w:rFonts w:hint="cs"/>
          <w:szCs w:val="20"/>
          <w:rtl/>
        </w:rPr>
        <w:t xml:space="preserve">, </w:t>
      </w:r>
      <w:r>
        <w:rPr>
          <w:szCs w:val="20"/>
          <w:rtl/>
        </w:rPr>
        <w:t>ב</w:t>
      </w:r>
      <w:r>
        <w:rPr>
          <w:rFonts w:hint="cs"/>
          <w:szCs w:val="20"/>
          <w:rtl/>
        </w:rPr>
        <w:t>: "</w:t>
      </w:r>
      <w:r>
        <w:rPr>
          <w:szCs w:val="20"/>
          <w:rtl/>
        </w:rPr>
        <w:t>סייעתא מן שמיא</w:t>
      </w:r>
      <w:r>
        <w:rPr>
          <w:rFonts w:hint="cs"/>
          <w:szCs w:val="20"/>
          <w:rtl/>
        </w:rPr>
        <w:t>"</w:t>
      </w:r>
      <w:r>
        <w:rPr>
          <w:rFonts w:hint="cs"/>
          <w:sz w:val="26"/>
          <w:rtl/>
        </w:rPr>
        <w:t xml:space="preserve">), ומסתבר שיש להשמיע כאן יו"ד עיצורית. </w:t>
      </w:r>
    </w:p>
    <w:p w14:paraId="31C838E7" w14:textId="77777777" w:rsidR="002B4B31" w:rsidRDefault="002B4B31" w:rsidP="002B4B31">
      <w:pPr>
        <w:rPr>
          <w:rFonts w:hint="cs"/>
          <w:rtl/>
        </w:rPr>
      </w:pPr>
      <w:r>
        <w:rPr>
          <w:rFonts w:hint="cs"/>
          <w:rtl/>
        </w:rPr>
        <w:t>מילה זו מצאה את מקומה בסידור התפילה האשכנזי בתפילת "יקום פורקן", וזכתה לשלל קריאות שונות: "סִיַּעְתָּא" (</w:t>
      </w:r>
      <w:r>
        <w:rPr>
          <w:rFonts w:hint="cs"/>
          <w:sz w:val="18"/>
          <w:szCs w:val="20"/>
          <w:rtl/>
        </w:rPr>
        <w:t xml:space="preserve">ריעב"ץ, </w:t>
      </w:r>
      <w:r>
        <w:rPr>
          <w:sz w:val="18"/>
          <w:szCs w:val="20"/>
          <w:rtl/>
        </w:rPr>
        <w:t xml:space="preserve">לוח </w:t>
      </w:r>
      <w:r>
        <w:rPr>
          <w:rFonts w:hint="cs"/>
          <w:sz w:val="18"/>
          <w:szCs w:val="20"/>
          <w:rtl/>
        </w:rPr>
        <w:t>א</w:t>
      </w:r>
      <w:r>
        <w:rPr>
          <w:sz w:val="18"/>
          <w:szCs w:val="20"/>
          <w:rtl/>
        </w:rPr>
        <w:t>רש</w:t>
      </w:r>
      <w:r>
        <w:rPr>
          <w:rFonts w:hint="cs"/>
          <w:sz w:val="18"/>
          <w:szCs w:val="20"/>
          <w:rtl/>
        </w:rPr>
        <w:t>ׁ, סימן מג, עמ' ל"ז וסימן שכג, עמ' קי"ג; וכן הדפיסו סידורים נוספים, כמובא שם בעמ' תל"ז; וכך מנוקד במילונו התלמודי של רע"צ מלמד</w:t>
      </w:r>
      <w:r>
        <w:rPr>
          <w:rFonts w:hint="cs"/>
          <w:rtl/>
        </w:rPr>
        <w:t>), "סַיַּעְתָּא" או "סַיַּעֲתָּא" (</w:t>
      </w:r>
      <w:r>
        <w:rPr>
          <w:rFonts w:hint="cs"/>
          <w:sz w:val="18"/>
          <w:szCs w:val="20"/>
          <w:rtl/>
        </w:rPr>
        <w:t>סידור ר"ע ור"א מווילנה והגהות ר' מרדכי דיסלדורף בלוח ארש הנ"ל, עמ' שמ"ד</w:t>
      </w:r>
      <w:r>
        <w:rPr>
          <w:rFonts w:hint="cs"/>
          <w:rtl/>
        </w:rPr>
        <w:t>), ו"סַיְעַתָּא" (</w:t>
      </w:r>
      <w:r>
        <w:rPr>
          <w:rFonts w:hint="cs"/>
          <w:color w:val="800000"/>
          <w:rtl/>
        </w:rPr>
        <w:t>סידור חב"ד</w:t>
      </w:r>
      <w:r>
        <w:rPr>
          <w:rFonts w:hint="cs"/>
          <w:rtl/>
        </w:rPr>
        <w:t>, תהלת ה'). יש אף מי שנִקד "סִיעָתָא", יו"ד אֵם קריאה (</w:t>
      </w:r>
      <w:r>
        <w:rPr>
          <w:rFonts w:hint="cs"/>
          <w:sz w:val="18"/>
          <w:szCs w:val="20"/>
          <w:rtl/>
        </w:rPr>
        <w:t>ר"ז הענא, סידור בית תפלה</w:t>
      </w:r>
      <w:r>
        <w:rPr>
          <w:rFonts w:hint="cs"/>
          <w:rtl/>
        </w:rPr>
        <w:t>).</w:t>
      </w:r>
    </w:p>
    <w:p w14:paraId="693BBC20" w14:textId="77777777" w:rsidR="002B4B31" w:rsidRDefault="002B4B31" w:rsidP="002B4B31">
      <w:pPr>
        <w:pStyle w:val="3"/>
        <w:rPr>
          <w:rFonts w:hint="cs"/>
          <w:rtl/>
        </w:rPr>
      </w:pPr>
      <w:r>
        <w:rPr>
          <w:rFonts w:hint="cs"/>
          <w:rtl/>
        </w:rPr>
        <w:t>"סיעתא דשמיא" ו"יראת שמים"</w:t>
      </w:r>
    </w:p>
    <w:p w14:paraId="33ACF908" w14:textId="77777777" w:rsidR="002B4B31" w:rsidRDefault="002B4B31" w:rsidP="002B4B31">
      <w:pPr>
        <w:rPr>
          <w:rFonts w:hint="cs"/>
          <w:rtl/>
        </w:rPr>
      </w:pPr>
      <w:r>
        <w:rPr>
          <w:rFonts w:hint="cs"/>
          <w:rtl/>
        </w:rPr>
        <w:t>ומה פירושו המדויק של בס"ד (</w:t>
      </w:r>
      <w:r>
        <w:rPr>
          <w:rFonts w:hint="cs"/>
          <w:sz w:val="18"/>
          <w:szCs w:val="20"/>
          <w:rtl/>
        </w:rPr>
        <w:t>=</w:t>
      </w:r>
      <w:r>
        <w:rPr>
          <w:rFonts w:hint="cs"/>
          <w:rtl/>
        </w:rPr>
        <w:t>ב</w:t>
      </w:r>
      <w:r>
        <w:rPr>
          <w:sz w:val="26"/>
          <w:rtl/>
        </w:rPr>
        <w:t>סייעתא דשמיא</w:t>
      </w:r>
      <w:r>
        <w:rPr>
          <w:rFonts w:hint="cs"/>
          <w:rtl/>
        </w:rPr>
        <w:t>) השגור בפי כל ובראשי מכתבים?</w:t>
      </w:r>
    </w:p>
    <w:p w14:paraId="0DDA86D8" w14:textId="77777777" w:rsidR="002B4B31" w:rsidRDefault="002B4B31" w:rsidP="002B4B31">
      <w:pPr>
        <w:pStyle w:val="20"/>
        <w:rPr>
          <w:rFonts w:hint="cs"/>
          <w:rtl/>
        </w:rPr>
      </w:pPr>
      <w:r>
        <w:rPr>
          <w:rFonts w:hint="cs"/>
          <w:rtl/>
        </w:rPr>
        <w:t xml:space="preserve">הפירוש המילולי של ביטוי ארמי זה: בסיוע של השמים, דהיינו בעזרת [הקב"ה, היושב ב]שמים, במקביל לביטוי העברי, "בעזרת השם" (המשמש אף הוא בראשי ספרים ומכתבים). </w:t>
      </w:r>
    </w:p>
    <w:p w14:paraId="1373C544" w14:textId="77777777" w:rsidR="002B4B31" w:rsidRDefault="002B4B31" w:rsidP="002B4B31">
      <w:pPr>
        <w:rPr>
          <w:rFonts w:hint="cs"/>
          <w:rtl/>
        </w:rPr>
      </w:pPr>
      <w:r>
        <w:rPr>
          <w:rFonts w:hint="cs"/>
          <w:rtl/>
        </w:rPr>
        <w:t xml:space="preserve">השם "שמים", מלבד משמעותו המקראית (כמופיע בראשית חומש בראשית), רגיל כאחד מכינוייו של היושב בשמים, הן בארמית והן </w:t>
      </w:r>
      <w:r>
        <w:rPr>
          <w:rFonts w:hint="cs"/>
          <w:rtl/>
        </w:rPr>
        <w:lastRenderedPageBreak/>
        <w:t>בעברית של חז"ל, כגון: "</w:t>
      </w:r>
      <w:r>
        <w:rPr>
          <w:rtl/>
        </w:rPr>
        <w:t>עול מלכות שמים</w:t>
      </w:r>
      <w:r>
        <w:rPr>
          <w:rFonts w:hint="cs"/>
          <w:rtl/>
        </w:rPr>
        <w:t>" (</w:t>
      </w:r>
      <w:r>
        <w:rPr>
          <w:sz w:val="18"/>
          <w:szCs w:val="20"/>
          <w:rtl/>
        </w:rPr>
        <w:t>ברכות פ</w:t>
      </w:r>
      <w:r>
        <w:rPr>
          <w:rFonts w:hint="cs"/>
          <w:sz w:val="18"/>
          <w:szCs w:val="20"/>
          <w:rtl/>
        </w:rPr>
        <w:t>"</w:t>
      </w:r>
      <w:r>
        <w:rPr>
          <w:sz w:val="18"/>
          <w:szCs w:val="20"/>
          <w:rtl/>
        </w:rPr>
        <w:t>ב מ</w:t>
      </w:r>
      <w:r>
        <w:rPr>
          <w:rFonts w:hint="cs"/>
          <w:sz w:val="18"/>
          <w:szCs w:val="20"/>
          <w:rtl/>
        </w:rPr>
        <w:t>"</w:t>
      </w:r>
      <w:r>
        <w:rPr>
          <w:sz w:val="18"/>
          <w:szCs w:val="20"/>
          <w:rtl/>
        </w:rPr>
        <w:t>ב</w:t>
      </w:r>
      <w:r>
        <w:rPr>
          <w:rFonts w:hint="cs"/>
          <w:rtl/>
        </w:rPr>
        <w:t>), "</w:t>
      </w:r>
      <w:r>
        <w:rPr>
          <w:rtl/>
        </w:rPr>
        <w:t>דיני שמים</w:t>
      </w:r>
      <w:r>
        <w:rPr>
          <w:rFonts w:hint="cs"/>
          <w:rtl/>
        </w:rPr>
        <w:t>" (</w:t>
      </w:r>
      <w:r>
        <w:rPr>
          <w:sz w:val="18"/>
          <w:szCs w:val="20"/>
          <w:rtl/>
        </w:rPr>
        <w:t>ב</w:t>
      </w:r>
      <w:r>
        <w:rPr>
          <w:rFonts w:hint="cs"/>
          <w:sz w:val="18"/>
          <w:szCs w:val="20"/>
          <w:rtl/>
        </w:rPr>
        <w:t>"</w:t>
      </w:r>
      <w:r>
        <w:rPr>
          <w:sz w:val="18"/>
          <w:szCs w:val="20"/>
          <w:rtl/>
        </w:rPr>
        <w:t>ק</w:t>
      </w:r>
      <w:r>
        <w:rPr>
          <w:rFonts w:hint="cs"/>
          <w:sz w:val="18"/>
          <w:szCs w:val="20"/>
          <w:rtl/>
        </w:rPr>
        <w:t xml:space="preserve"> </w:t>
      </w:r>
      <w:r>
        <w:rPr>
          <w:sz w:val="18"/>
          <w:szCs w:val="20"/>
          <w:rtl/>
        </w:rPr>
        <w:t>פ</w:t>
      </w:r>
      <w:r>
        <w:rPr>
          <w:rFonts w:hint="cs"/>
          <w:sz w:val="18"/>
          <w:szCs w:val="20"/>
          <w:rtl/>
        </w:rPr>
        <w:t>"</w:t>
      </w:r>
      <w:r>
        <w:rPr>
          <w:sz w:val="18"/>
          <w:szCs w:val="20"/>
          <w:rtl/>
        </w:rPr>
        <w:t>ו מ</w:t>
      </w:r>
      <w:r>
        <w:rPr>
          <w:rFonts w:hint="cs"/>
          <w:sz w:val="18"/>
          <w:szCs w:val="20"/>
          <w:rtl/>
        </w:rPr>
        <w:t>"</w:t>
      </w:r>
      <w:r>
        <w:rPr>
          <w:sz w:val="18"/>
          <w:szCs w:val="20"/>
          <w:rtl/>
        </w:rPr>
        <w:t>ד</w:t>
      </w:r>
      <w:r>
        <w:rPr>
          <w:rFonts w:hint="cs"/>
          <w:rtl/>
        </w:rPr>
        <w:t>), "</w:t>
      </w:r>
      <w:r>
        <w:rPr>
          <w:rtl/>
        </w:rPr>
        <w:t>כל מעשיך יהיו לשם שמים</w:t>
      </w:r>
      <w:r>
        <w:rPr>
          <w:rFonts w:hint="cs"/>
          <w:rtl/>
        </w:rPr>
        <w:t>" (</w:t>
      </w:r>
      <w:r>
        <w:rPr>
          <w:sz w:val="18"/>
          <w:szCs w:val="20"/>
          <w:rtl/>
        </w:rPr>
        <w:t>אבות פ</w:t>
      </w:r>
      <w:r>
        <w:rPr>
          <w:rFonts w:hint="cs"/>
          <w:sz w:val="18"/>
          <w:szCs w:val="20"/>
          <w:rtl/>
        </w:rPr>
        <w:t>"</w:t>
      </w:r>
      <w:r>
        <w:rPr>
          <w:sz w:val="18"/>
          <w:szCs w:val="20"/>
          <w:rtl/>
        </w:rPr>
        <w:t>ב מי</w:t>
      </w:r>
      <w:r>
        <w:rPr>
          <w:rFonts w:hint="cs"/>
          <w:sz w:val="18"/>
          <w:szCs w:val="20"/>
          <w:rtl/>
        </w:rPr>
        <w:t>"</w:t>
      </w:r>
      <w:r>
        <w:rPr>
          <w:sz w:val="18"/>
          <w:szCs w:val="20"/>
          <w:rtl/>
        </w:rPr>
        <w:t>ב</w:t>
      </w:r>
      <w:r>
        <w:rPr>
          <w:rFonts w:hint="cs"/>
          <w:rtl/>
        </w:rPr>
        <w:t xml:space="preserve">), </w:t>
      </w:r>
      <w:r>
        <w:rPr>
          <w:rFonts w:hint="cs"/>
          <w:sz w:val="26"/>
          <w:rtl/>
        </w:rPr>
        <w:t>"</w:t>
      </w:r>
      <w:r>
        <w:rPr>
          <w:rtl/>
        </w:rPr>
        <w:t>ש</w:t>
      </w:r>
      <w:r>
        <w:rPr>
          <w:rFonts w:hint="cs"/>
          <w:rtl/>
        </w:rPr>
        <w:t>ֵ</w:t>
      </w:r>
      <w:r>
        <w:rPr>
          <w:rtl/>
        </w:rPr>
        <w:t>ם שמים מתחלל</w:t>
      </w:r>
      <w:r>
        <w:rPr>
          <w:rFonts w:hint="cs"/>
          <w:rtl/>
        </w:rPr>
        <w:t>" (</w:t>
      </w:r>
      <w:r>
        <w:rPr>
          <w:rFonts w:hint="cs"/>
          <w:sz w:val="18"/>
          <w:szCs w:val="20"/>
          <w:rtl/>
        </w:rPr>
        <w:t xml:space="preserve">שם </w:t>
      </w:r>
      <w:r>
        <w:rPr>
          <w:sz w:val="18"/>
          <w:szCs w:val="20"/>
          <w:rtl/>
        </w:rPr>
        <w:t>פ</w:t>
      </w:r>
      <w:r>
        <w:rPr>
          <w:rFonts w:hint="cs"/>
          <w:sz w:val="18"/>
          <w:szCs w:val="20"/>
          <w:rtl/>
        </w:rPr>
        <w:t>"</w:t>
      </w:r>
      <w:r>
        <w:rPr>
          <w:sz w:val="18"/>
          <w:szCs w:val="20"/>
          <w:rtl/>
        </w:rPr>
        <w:t>א מי</w:t>
      </w:r>
      <w:r>
        <w:rPr>
          <w:rFonts w:hint="cs"/>
          <w:sz w:val="18"/>
          <w:szCs w:val="20"/>
          <w:rtl/>
        </w:rPr>
        <w:t>"</w:t>
      </w:r>
      <w:r>
        <w:rPr>
          <w:sz w:val="18"/>
          <w:szCs w:val="20"/>
          <w:rtl/>
        </w:rPr>
        <w:t>א</w:t>
      </w:r>
      <w:r>
        <w:rPr>
          <w:rFonts w:hint="cs"/>
          <w:rtl/>
        </w:rPr>
        <w:t>), ו"</w:t>
      </w:r>
      <w:r>
        <w:rPr>
          <w:rtl/>
        </w:rPr>
        <w:t>מורא שמים</w:t>
      </w:r>
      <w:r>
        <w:rPr>
          <w:rFonts w:hint="cs"/>
          <w:rtl/>
        </w:rPr>
        <w:t>" (</w:t>
      </w:r>
      <w:r>
        <w:rPr>
          <w:rFonts w:hint="cs"/>
          <w:sz w:val="18"/>
          <w:szCs w:val="20"/>
          <w:rtl/>
        </w:rPr>
        <w:t xml:space="preserve">שם </w:t>
      </w:r>
      <w:r>
        <w:rPr>
          <w:sz w:val="18"/>
          <w:szCs w:val="20"/>
          <w:rtl/>
        </w:rPr>
        <w:t>מ</w:t>
      </w:r>
      <w:r>
        <w:rPr>
          <w:rFonts w:hint="cs"/>
          <w:sz w:val="18"/>
          <w:szCs w:val="20"/>
          <w:rtl/>
        </w:rPr>
        <w:t>"</w:t>
      </w:r>
      <w:r>
        <w:rPr>
          <w:sz w:val="18"/>
          <w:szCs w:val="20"/>
          <w:rtl/>
        </w:rPr>
        <w:t>ג</w:t>
      </w:r>
      <w:r>
        <w:rPr>
          <w:rFonts w:hint="cs"/>
          <w:rtl/>
        </w:rPr>
        <w:t xml:space="preserve">). </w:t>
      </w:r>
    </w:p>
    <w:p w14:paraId="5B638F67" w14:textId="77777777" w:rsidR="002B4B31" w:rsidRDefault="002B4B31" w:rsidP="002B4B31">
      <w:pPr>
        <w:rPr>
          <w:rFonts w:hint="cs"/>
          <w:rtl/>
        </w:rPr>
      </w:pPr>
      <w:r>
        <w:rPr>
          <w:rFonts w:hint="cs"/>
          <w:rtl/>
        </w:rPr>
        <w:t xml:space="preserve">במאמרו של </w:t>
      </w:r>
      <w:r>
        <w:rPr>
          <w:rtl/>
        </w:rPr>
        <w:t>רבי חנינא</w:t>
      </w:r>
      <w:r>
        <w:rPr>
          <w:rFonts w:hint="cs"/>
          <w:rtl/>
        </w:rPr>
        <w:t xml:space="preserve"> מופיעים שני "שמים" שפירושם זהה: "</w:t>
      </w:r>
      <w:r>
        <w:rPr>
          <w:rtl/>
        </w:rPr>
        <w:t xml:space="preserve">הכל בידי </w:t>
      </w:r>
      <w:r>
        <w:rPr>
          <w:b/>
          <w:bCs/>
          <w:rtl/>
        </w:rPr>
        <w:t>שמים</w:t>
      </w:r>
      <w:r>
        <w:rPr>
          <w:rFonts w:hint="cs"/>
          <w:rtl/>
        </w:rPr>
        <w:t xml:space="preserve">, </w:t>
      </w:r>
      <w:r>
        <w:rPr>
          <w:rtl/>
        </w:rPr>
        <w:t xml:space="preserve">חוץ מיראת </w:t>
      </w:r>
      <w:r>
        <w:rPr>
          <w:b/>
          <w:bCs/>
          <w:rtl/>
        </w:rPr>
        <w:t>שמים</w:t>
      </w:r>
      <w:r>
        <w:rPr>
          <w:rFonts w:hint="cs"/>
          <w:rtl/>
        </w:rPr>
        <w:t>" (</w:t>
      </w:r>
      <w:r>
        <w:rPr>
          <w:sz w:val="18"/>
          <w:szCs w:val="20"/>
          <w:rtl/>
        </w:rPr>
        <w:t>ברכות לג</w:t>
      </w:r>
      <w:r>
        <w:rPr>
          <w:rFonts w:hint="cs"/>
          <w:sz w:val="18"/>
          <w:szCs w:val="20"/>
          <w:rtl/>
        </w:rPr>
        <w:t xml:space="preserve">, </w:t>
      </w:r>
      <w:r>
        <w:rPr>
          <w:sz w:val="18"/>
          <w:szCs w:val="20"/>
          <w:rtl/>
        </w:rPr>
        <w:t>ב</w:t>
      </w:r>
      <w:r>
        <w:rPr>
          <w:rFonts w:hint="cs"/>
          <w:rtl/>
        </w:rPr>
        <w:t>), ואילו ב"קדיש דרבנן" נמצאים שני "</w:t>
      </w:r>
      <w:r>
        <w:rPr>
          <w:rtl/>
        </w:rPr>
        <w:t>שְׁמַיָּא</w:t>
      </w:r>
      <w:r>
        <w:rPr>
          <w:rFonts w:hint="cs"/>
          <w:rtl/>
        </w:rPr>
        <w:t>" זה לצד זה בשתי המשמעויות: "</w:t>
      </w:r>
      <w:r>
        <w:rPr>
          <w:rtl/>
        </w:rPr>
        <w:t>אֲבוּהוֹן דִּי בִ</w:t>
      </w:r>
      <w:r>
        <w:rPr>
          <w:b/>
          <w:bCs/>
          <w:rtl/>
        </w:rPr>
        <w:t>שְׁמַיָּא</w:t>
      </w:r>
      <w:r>
        <w:rPr>
          <w:rFonts w:hint="cs"/>
          <w:rtl/>
        </w:rPr>
        <w:t>", ומיד אח"כ: "</w:t>
      </w:r>
      <w:r>
        <w:rPr>
          <w:rtl/>
        </w:rPr>
        <w:t xml:space="preserve">יְהֵא שְׁלָמָא רַבָּא מִן </w:t>
      </w:r>
      <w:r>
        <w:rPr>
          <w:b/>
          <w:bCs/>
          <w:rtl/>
        </w:rPr>
        <w:t>שְׁמַיָּא</w:t>
      </w:r>
      <w:r>
        <w:rPr>
          <w:rFonts w:hint="cs"/>
          <w:rtl/>
        </w:rPr>
        <w:t>".</w:t>
      </w:r>
    </w:p>
    <w:p w14:paraId="15814A1F" w14:textId="77777777" w:rsidR="002B4B31" w:rsidRDefault="002B4B31" w:rsidP="002B4B31">
      <w:pPr>
        <w:rPr>
          <w:rFonts w:hint="cs"/>
          <w:rtl/>
        </w:rPr>
      </w:pPr>
      <w:r>
        <w:rPr>
          <w:rFonts w:hint="cs"/>
          <w:rtl/>
        </w:rPr>
        <w:t>נשאלה פעם שאלה על תפלתנו לה' שיתן לנו "</w:t>
      </w:r>
      <w:r>
        <w:rPr>
          <w:rtl/>
        </w:rPr>
        <w:t>חיים שתהא בנו אהבת תורה ויראת שמים</w:t>
      </w:r>
      <w:r>
        <w:rPr>
          <w:rFonts w:hint="cs"/>
          <w:rtl/>
        </w:rPr>
        <w:t>" (תפלת רב</w:t>
      </w:r>
      <w:r>
        <w:rPr>
          <w:rFonts w:hint="cs"/>
          <w:sz w:val="18"/>
          <w:szCs w:val="20"/>
          <w:rtl/>
        </w:rPr>
        <w:t xml:space="preserve">, </w:t>
      </w:r>
      <w:r>
        <w:rPr>
          <w:sz w:val="18"/>
          <w:szCs w:val="20"/>
          <w:rtl/>
        </w:rPr>
        <w:t>ברכות טז</w:t>
      </w:r>
      <w:r>
        <w:rPr>
          <w:rFonts w:hint="cs"/>
          <w:sz w:val="18"/>
          <w:szCs w:val="20"/>
          <w:rtl/>
        </w:rPr>
        <w:t xml:space="preserve">, </w:t>
      </w:r>
      <w:r>
        <w:rPr>
          <w:sz w:val="18"/>
          <w:szCs w:val="20"/>
          <w:rtl/>
        </w:rPr>
        <w:t>ב</w:t>
      </w:r>
      <w:r>
        <w:rPr>
          <w:rFonts w:hint="cs"/>
          <w:rtl/>
        </w:rPr>
        <w:t>). מילא "</w:t>
      </w:r>
      <w:r>
        <w:rPr>
          <w:rtl/>
        </w:rPr>
        <w:t>אהבת תורה</w:t>
      </w:r>
      <w:r>
        <w:rPr>
          <w:rFonts w:hint="cs"/>
          <w:rtl/>
        </w:rPr>
        <w:t>" - מובן, אך מהי "</w:t>
      </w:r>
      <w:r>
        <w:rPr>
          <w:rtl/>
        </w:rPr>
        <w:t>יראת שמים</w:t>
      </w:r>
      <w:r>
        <w:rPr>
          <w:rFonts w:hint="cs"/>
          <w:rtl/>
        </w:rPr>
        <w:t xml:space="preserve">"? וכי יראים מן השמים?! על דרך הפשט, התשובה היא ש"שמים" כאן פירושם "אבינו שבשמים". ברם, בשם הרמ"מ מקוצק מוסרים שדרש והסביר "שמים" אלה כמשמעם המקורי: "יראת שמים" - היא כמו היראה של השמים, כשם שהשמים ממשיכים לקיים דבר ה' מימי בראשית שאמר להם יהי רקיע, כך ירא שמים מרגיש בכל עת את נוכחות רבש"ע. </w:t>
      </w:r>
    </w:p>
    <w:p w14:paraId="1C0549BA" w14:textId="77777777" w:rsidR="002B4B31" w:rsidRDefault="002B4B31" w:rsidP="002B4B31">
      <w:pPr>
        <w:rPr>
          <w:rFonts w:hint="cs"/>
          <w:sz w:val="20"/>
          <w:szCs w:val="20"/>
          <w:rtl/>
        </w:rPr>
      </w:pPr>
      <w:r>
        <w:rPr>
          <w:rFonts w:hint="cs"/>
          <w:rtl/>
        </w:rPr>
        <w:t>ההבחנה הלשונית בפרט זה בין לשון המקרא ללשון חז"ל בולטת ב</w:t>
      </w:r>
      <w:r>
        <w:rPr>
          <w:rtl/>
        </w:rPr>
        <w:t>ברכות ח</w:t>
      </w:r>
      <w:r>
        <w:rPr>
          <w:rFonts w:hint="cs"/>
          <w:rtl/>
        </w:rPr>
        <w:t xml:space="preserve">, </w:t>
      </w:r>
      <w:r>
        <w:rPr>
          <w:rtl/>
        </w:rPr>
        <w:t>א</w:t>
      </w:r>
      <w:r>
        <w:rPr>
          <w:rFonts w:hint="cs"/>
          <w:rtl/>
        </w:rPr>
        <w:t>: "</w:t>
      </w:r>
      <w:r>
        <w:rPr>
          <w:rtl/>
        </w:rPr>
        <w:t xml:space="preserve">גבי </w:t>
      </w:r>
      <w:r>
        <w:rPr>
          <w:b/>
          <w:bCs/>
          <w:rtl/>
        </w:rPr>
        <w:t>ירא שמים</w:t>
      </w:r>
      <w:r>
        <w:rPr>
          <w:rtl/>
        </w:rPr>
        <w:t xml:space="preserve"> כתיב:</w:t>
      </w:r>
      <w:r>
        <w:rPr>
          <w:rFonts w:hint="cs"/>
          <w:rtl/>
        </w:rPr>
        <w:t xml:space="preserve"> '</w:t>
      </w:r>
      <w:r>
        <w:rPr>
          <w:rtl/>
        </w:rPr>
        <w:t xml:space="preserve">אשרי איש </w:t>
      </w:r>
      <w:r>
        <w:rPr>
          <w:b/>
          <w:bCs/>
          <w:rtl/>
        </w:rPr>
        <w:t>ירא את ה'</w:t>
      </w:r>
      <w:r>
        <w:rPr>
          <w:rFonts w:hint="cs"/>
          <w:rtl/>
        </w:rPr>
        <w:t>' (</w:t>
      </w:r>
      <w:r>
        <w:rPr>
          <w:sz w:val="18"/>
          <w:szCs w:val="20"/>
          <w:rtl/>
        </w:rPr>
        <w:t>תהלים קיב</w:t>
      </w:r>
      <w:r>
        <w:rPr>
          <w:rFonts w:hint="cs"/>
          <w:sz w:val="18"/>
          <w:szCs w:val="20"/>
          <w:rtl/>
        </w:rPr>
        <w:t>, א</w:t>
      </w:r>
      <w:r>
        <w:rPr>
          <w:rFonts w:hint="cs"/>
          <w:rtl/>
        </w:rPr>
        <w:t xml:space="preserve">)". </w:t>
      </w:r>
      <w:r>
        <w:rPr>
          <w:rFonts w:hint="cs"/>
          <w:sz w:val="20"/>
          <w:szCs w:val="20"/>
          <w:rtl/>
        </w:rPr>
        <w:t>וע"ע</w:t>
      </w:r>
      <w:r>
        <w:rPr>
          <w:sz w:val="20"/>
          <w:szCs w:val="20"/>
          <w:rtl/>
        </w:rPr>
        <w:t xml:space="preserve"> רש"י ראש השנה יט</w:t>
      </w:r>
      <w:r>
        <w:rPr>
          <w:rFonts w:hint="cs"/>
          <w:sz w:val="20"/>
          <w:szCs w:val="20"/>
          <w:rtl/>
        </w:rPr>
        <w:t xml:space="preserve">, </w:t>
      </w:r>
      <w:r>
        <w:rPr>
          <w:sz w:val="20"/>
          <w:szCs w:val="20"/>
          <w:rtl/>
        </w:rPr>
        <w:t>א ד"ה</w:t>
      </w:r>
      <w:r>
        <w:rPr>
          <w:rFonts w:hint="cs"/>
          <w:sz w:val="20"/>
          <w:szCs w:val="20"/>
          <w:rtl/>
        </w:rPr>
        <w:t xml:space="preserve"> "</w:t>
      </w:r>
      <w:r>
        <w:rPr>
          <w:sz w:val="20"/>
          <w:szCs w:val="20"/>
          <w:rtl/>
        </w:rPr>
        <w:t>אי שמים</w:t>
      </w:r>
      <w:r>
        <w:rPr>
          <w:rFonts w:hint="cs"/>
          <w:sz w:val="20"/>
          <w:szCs w:val="20"/>
          <w:rtl/>
        </w:rPr>
        <w:t xml:space="preserve">". </w:t>
      </w:r>
    </w:p>
    <w:p w14:paraId="11EA1C78" w14:textId="77777777" w:rsidR="002B4B31" w:rsidRDefault="002B4B31" w:rsidP="002B4B31">
      <w:pPr>
        <w:rPr>
          <w:rFonts w:hint="cs"/>
          <w:rtl/>
        </w:rPr>
      </w:pPr>
      <w:r>
        <w:rPr>
          <w:rFonts w:hint="cs"/>
          <w:rtl/>
        </w:rPr>
        <w:t>כינוי יושב שמים בשם "שמים" נקרא בפי חכמי הלשון "מעתק משמעות" (ובלעז: מטונימיה</w:t>
      </w:r>
      <w:r>
        <w:rPr>
          <w:rFonts w:hint="cs"/>
          <w:sz w:val="18"/>
          <w:szCs w:val="20"/>
          <w:rtl/>
        </w:rPr>
        <w:t>; "מעתק" - לשון העתקה והעברה</w:t>
      </w:r>
      <w:r>
        <w:rPr>
          <w:rFonts w:hint="cs"/>
          <w:rtl/>
        </w:rPr>
        <w:t>). סוג אחד של מעתק משמעות הוא חילוף בין המקום, "הקנקן", לבין מה שיש בתוכו (</w:t>
      </w:r>
      <w:r>
        <w:rPr>
          <w:rFonts w:hint="cs"/>
          <w:sz w:val="18"/>
          <w:szCs w:val="20"/>
          <w:rtl/>
        </w:rPr>
        <w:t>השוה בין שתי "הארץ" ב</w:t>
      </w:r>
      <w:r>
        <w:rPr>
          <w:sz w:val="18"/>
          <w:szCs w:val="20"/>
          <w:rtl/>
        </w:rPr>
        <w:t>בראשית מא</w:t>
      </w:r>
      <w:r>
        <w:rPr>
          <w:rFonts w:hint="cs"/>
          <w:sz w:val="18"/>
          <w:szCs w:val="20"/>
          <w:rtl/>
        </w:rPr>
        <w:t xml:space="preserve">, </w:t>
      </w:r>
      <w:r>
        <w:rPr>
          <w:sz w:val="18"/>
          <w:szCs w:val="20"/>
          <w:rtl/>
        </w:rPr>
        <w:t>נז</w:t>
      </w:r>
      <w:r>
        <w:rPr>
          <w:rFonts w:hint="cs"/>
          <w:sz w:val="18"/>
          <w:szCs w:val="20"/>
          <w:rtl/>
        </w:rPr>
        <w:t>: "</w:t>
      </w:r>
      <w:r>
        <w:rPr>
          <w:sz w:val="18"/>
          <w:szCs w:val="20"/>
          <w:rtl/>
        </w:rPr>
        <w:t xml:space="preserve">וְכָל </w:t>
      </w:r>
      <w:r>
        <w:rPr>
          <w:sz w:val="26"/>
          <w:rtl/>
        </w:rPr>
        <w:t xml:space="preserve">הָאָרֶץ </w:t>
      </w:r>
      <w:r>
        <w:rPr>
          <w:sz w:val="18"/>
          <w:szCs w:val="20"/>
          <w:rtl/>
        </w:rPr>
        <w:t>בָּאוּ מִצְרַיְמָה</w:t>
      </w:r>
      <w:r>
        <w:rPr>
          <w:rFonts w:hint="cs"/>
          <w:sz w:val="18"/>
          <w:szCs w:val="20"/>
          <w:rtl/>
        </w:rPr>
        <w:t xml:space="preserve">... </w:t>
      </w:r>
      <w:r>
        <w:rPr>
          <w:sz w:val="18"/>
          <w:szCs w:val="20"/>
          <w:rtl/>
        </w:rPr>
        <w:t xml:space="preserve">כִּי חָזַק הָרָעָב בְּכָל </w:t>
      </w:r>
      <w:r>
        <w:rPr>
          <w:sz w:val="18"/>
          <w:rtl/>
        </w:rPr>
        <w:t>הָאָרֶץ</w:t>
      </w:r>
      <w:r>
        <w:rPr>
          <w:rFonts w:hint="cs"/>
          <w:sz w:val="18"/>
          <w:szCs w:val="20"/>
          <w:rtl/>
        </w:rPr>
        <w:t xml:space="preserve">"; וראה </w:t>
      </w:r>
      <w:r>
        <w:rPr>
          <w:sz w:val="18"/>
          <w:szCs w:val="20"/>
          <w:rtl/>
        </w:rPr>
        <w:t xml:space="preserve">רש"י </w:t>
      </w:r>
      <w:r>
        <w:rPr>
          <w:rFonts w:hint="cs"/>
          <w:sz w:val="18"/>
          <w:szCs w:val="20"/>
          <w:rtl/>
        </w:rPr>
        <w:t>ל</w:t>
      </w:r>
      <w:r>
        <w:rPr>
          <w:sz w:val="18"/>
          <w:szCs w:val="20"/>
          <w:rtl/>
        </w:rPr>
        <w:t>אסתר ג</w:t>
      </w:r>
      <w:r>
        <w:rPr>
          <w:rFonts w:hint="cs"/>
          <w:sz w:val="18"/>
          <w:szCs w:val="20"/>
          <w:rtl/>
        </w:rPr>
        <w:t xml:space="preserve">, </w:t>
      </w:r>
      <w:r>
        <w:rPr>
          <w:sz w:val="18"/>
          <w:szCs w:val="20"/>
          <w:rtl/>
        </w:rPr>
        <w:t>טו</w:t>
      </w:r>
      <w:r>
        <w:rPr>
          <w:rFonts w:hint="cs"/>
          <w:sz w:val="18"/>
          <w:szCs w:val="20"/>
          <w:rtl/>
        </w:rPr>
        <w:t xml:space="preserve"> ד"ה "</w:t>
      </w:r>
      <w:r>
        <w:rPr>
          <w:sz w:val="26"/>
          <w:rtl/>
        </w:rPr>
        <w:t>וְהָעִיר</w:t>
      </w:r>
      <w:r>
        <w:rPr>
          <w:rFonts w:hint="cs"/>
          <w:sz w:val="26"/>
          <w:rtl/>
        </w:rPr>
        <w:t xml:space="preserve"> </w:t>
      </w:r>
      <w:r>
        <w:rPr>
          <w:sz w:val="18"/>
          <w:szCs w:val="20"/>
          <w:rtl/>
        </w:rPr>
        <w:t>שׁוּשָׁן נָבוֹכָה</w:t>
      </w:r>
      <w:r>
        <w:rPr>
          <w:rFonts w:hint="cs"/>
          <w:sz w:val="18"/>
          <w:szCs w:val="20"/>
          <w:rtl/>
        </w:rPr>
        <w:t>"</w:t>
      </w:r>
      <w:r>
        <w:rPr>
          <w:rFonts w:hint="cs"/>
          <w:rtl/>
        </w:rPr>
        <w:t>). כמובן, ש"הִמָצאות" רבש"ע בשמים אינה אלא מבחינת התפיסה האנושית המוגבלת, שהרי "</w:t>
      </w:r>
      <w:r>
        <w:rPr>
          <w:rtl/>
        </w:rPr>
        <w:t>הַשָּׁמַיִם וּשְׁמֵי הַשָּׁמַיִם לֹא יְכַלְכְּלֻהוּ</w:t>
      </w:r>
      <w:r>
        <w:rPr>
          <w:rFonts w:hint="cs"/>
          <w:rtl/>
        </w:rPr>
        <w:t>" (</w:t>
      </w:r>
      <w:r>
        <w:rPr>
          <w:sz w:val="18"/>
          <w:szCs w:val="20"/>
          <w:rtl/>
        </w:rPr>
        <w:t>דברי הימים ב</w:t>
      </w:r>
      <w:r>
        <w:rPr>
          <w:rFonts w:hint="cs"/>
          <w:sz w:val="18"/>
          <w:szCs w:val="20"/>
          <w:rtl/>
        </w:rPr>
        <w:t>'</w:t>
      </w:r>
      <w:r>
        <w:rPr>
          <w:sz w:val="18"/>
          <w:szCs w:val="20"/>
          <w:rtl/>
        </w:rPr>
        <w:t xml:space="preserve"> ב</w:t>
      </w:r>
      <w:r>
        <w:rPr>
          <w:rFonts w:hint="cs"/>
          <w:sz w:val="18"/>
          <w:szCs w:val="20"/>
          <w:rtl/>
        </w:rPr>
        <w:t xml:space="preserve">, </w:t>
      </w:r>
      <w:r>
        <w:rPr>
          <w:sz w:val="18"/>
          <w:szCs w:val="20"/>
          <w:rtl/>
        </w:rPr>
        <w:t>ה</w:t>
      </w:r>
      <w:r>
        <w:rPr>
          <w:rFonts w:hint="cs"/>
          <w:rtl/>
        </w:rPr>
        <w:t>), אך כידוע דִברה התורה בלשון בני אדם ("</w:t>
      </w:r>
      <w:r>
        <w:rPr>
          <w:rtl/>
        </w:rPr>
        <w:t>רֹכֵב שָׁמַיִם</w:t>
      </w:r>
      <w:r>
        <w:rPr>
          <w:rFonts w:hint="cs"/>
          <w:rtl/>
        </w:rPr>
        <w:t>"</w:t>
      </w:r>
      <w:r>
        <w:rPr>
          <w:rFonts w:hint="cs"/>
          <w:sz w:val="18"/>
          <w:szCs w:val="20"/>
          <w:rtl/>
        </w:rPr>
        <w:t xml:space="preserve">, </w:t>
      </w:r>
      <w:r>
        <w:rPr>
          <w:sz w:val="18"/>
          <w:szCs w:val="20"/>
          <w:rtl/>
        </w:rPr>
        <w:lastRenderedPageBreak/>
        <w:t>דברים לג</w:t>
      </w:r>
      <w:r>
        <w:rPr>
          <w:rFonts w:hint="cs"/>
          <w:sz w:val="18"/>
          <w:szCs w:val="20"/>
          <w:rtl/>
        </w:rPr>
        <w:t xml:space="preserve">, </w:t>
      </w:r>
      <w:r>
        <w:rPr>
          <w:sz w:val="18"/>
          <w:szCs w:val="20"/>
          <w:rtl/>
        </w:rPr>
        <w:t>כו</w:t>
      </w:r>
      <w:r>
        <w:rPr>
          <w:rFonts w:hint="cs"/>
          <w:rtl/>
        </w:rPr>
        <w:t>), וכן שנוי בנביאים ("</w:t>
      </w:r>
      <w:r>
        <w:rPr>
          <w:rtl/>
        </w:rPr>
        <w:t>הַבֵּט מִשָּׁמַיִם וּרְאֵה</w:t>
      </w:r>
      <w:r>
        <w:rPr>
          <w:rFonts w:hint="cs"/>
          <w:rtl/>
        </w:rPr>
        <w:t>"</w:t>
      </w:r>
      <w:r>
        <w:rPr>
          <w:rFonts w:hint="cs"/>
          <w:sz w:val="18"/>
          <w:szCs w:val="20"/>
          <w:rtl/>
        </w:rPr>
        <w:t>,</w:t>
      </w:r>
      <w:r>
        <w:rPr>
          <w:sz w:val="18"/>
          <w:szCs w:val="20"/>
          <w:rtl/>
        </w:rPr>
        <w:t xml:space="preserve"> ישעיהו סג</w:t>
      </w:r>
      <w:r>
        <w:rPr>
          <w:rFonts w:hint="cs"/>
          <w:sz w:val="18"/>
          <w:szCs w:val="20"/>
          <w:rtl/>
        </w:rPr>
        <w:t xml:space="preserve">, </w:t>
      </w:r>
      <w:r>
        <w:rPr>
          <w:sz w:val="18"/>
          <w:szCs w:val="20"/>
          <w:rtl/>
        </w:rPr>
        <w:t>טו</w:t>
      </w:r>
      <w:r>
        <w:rPr>
          <w:rFonts w:hint="cs"/>
          <w:rtl/>
        </w:rPr>
        <w:t>) ומשולש בכתובים ("</w:t>
      </w:r>
      <w:r>
        <w:rPr>
          <w:rtl/>
        </w:rPr>
        <w:t>יוֹשֵׁב בַּשָּׁמַיִם יִשְׂחָק</w:t>
      </w:r>
      <w:r>
        <w:rPr>
          <w:rFonts w:hint="cs"/>
          <w:rtl/>
        </w:rPr>
        <w:t>"</w:t>
      </w:r>
      <w:r>
        <w:rPr>
          <w:rFonts w:hint="cs"/>
          <w:sz w:val="18"/>
          <w:szCs w:val="20"/>
          <w:rtl/>
        </w:rPr>
        <w:t xml:space="preserve">, </w:t>
      </w:r>
      <w:r>
        <w:rPr>
          <w:sz w:val="18"/>
          <w:szCs w:val="20"/>
          <w:rtl/>
        </w:rPr>
        <w:t>תהלים ב</w:t>
      </w:r>
      <w:r>
        <w:rPr>
          <w:rFonts w:hint="cs"/>
          <w:sz w:val="18"/>
          <w:szCs w:val="20"/>
          <w:rtl/>
        </w:rPr>
        <w:t xml:space="preserve">, </w:t>
      </w:r>
      <w:r>
        <w:rPr>
          <w:sz w:val="18"/>
          <w:szCs w:val="20"/>
          <w:rtl/>
        </w:rPr>
        <w:t>ד</w:t>
      </w:r>
      <w:r>
        <w:rPr>
          <w:rFonts w:hint="cs"/>
          <w:sz w:val="18"/>
          <w:szCs w:val="20"/>
          <w:rtl/>
        </w:rPr>
        <w:t>;</w:t>
      </w:r>
      <w:r>
        <w:rPr>
          <w:rFonts w:hint="cs"/>
          <w:rtl/>
        </w:rPr>
        <w:t xml:space="preserve"> "</w:t>
      </w:r>
      <w:r>
        <w:rPr>
          <w:rtl/>
        </w:rPr>
        <w:t>הַיֹּשְׁבִי בַּשָּׁמָיִם</w:t>
      </w:r>
      <w:r>
        <w:rPr>
          <w:rFonts w:hint="cs"/>
          <w:rtl/>
        </w:rPr>
        <w:t>"</w:t>
      </w:r>
      <w:r>
        <w:rPr>
          <w:rFonts w:hint="cs"/>
          <w:sz w:val="18"/>
          <w:szCs w:val="20"/>
          <w:rtl/>
        </w:rPr>
        <w:t xml:space="preserve">, שם </w:t>
      </w:r>
      <w:r>
        <w:rPr>
          <w:sz w:val="18"/>
          <w:szCs w:val="20"/>
          <w:rtl/>
        </w:rPr>
        <w:t>קכג</w:t>
      </w:r>
      <w:r>
        <w:rPr>
          <w:rFonts w:hint="cs"/>
          <w:sz w:val="18"/>
          <w:szCs w:val="20"/>
          <w:rtl/>
        </w:rPr>
        <w:t xml:space="preserve">, </w:t>
      </w:r>
      <w:r>
        <w:rPr>
          <w:sz w:val="18"/>
          <w:szCs w:val="20"/>
          <w:rtl/>
        </w:rPr>
        <w:t>א</w:t>
      </w:r>
      <w:r>
        <w:rPr>
          <w:rFonts w:hint="cs"/>
          <w:rtl/>
        </w:rPr>
        <w:t>), והשוה לדיון בשאלת "</w:t>
      </w:r>
      <w:r>
        <w:rPr>
          <w:rtl/>
        </w:rPr>
        <w:t xml:space="preserve">רחמנא </w:t>
      </w:r>
      <w:r>
        <w:rPr>
          <w:rFonts w:hint="cs"/>
          <w:rtl/>
        </w:rPr>
        <w:t xml:space="preserve">- </w:t>
      </w:r>
      <w:r>
        <w:rPr>
          <w:rtl/>
        </w:rPr>
        <w:t>היכא יתיב?</w:t>
      </w:r>
      <w:r>
        <w:rPr>
          <w:rFonts w:hint="cs"/>
          <w:rtl/>
        </w:rPr>
        <w:t>" ב</w:t>
      </w:r>
      <w:r>
        <w:rPr>
          <w:rtl/>
        </w:rPr>
        <w:t xml:space="preserve">ברכות </w:t>
      </w:r>
      <w:r>
        <w:rPr>
          <w:sz w:val="18"/>
          <w:szCs w:val="20"/>
          <w:rtl/>
        </w:rPr>
        <w:t>מח</w:t>
      </w:r>
      <w:r>
        <w:rPr>
          <w:rFonts w:hint="cs"/>
          <w:sz w:val="18"/>
          <w:szCs w:val="20"/>
          <w:rtl/>
        </w:rPr>
        <w:t xml:space="preserve">, </w:t>
      </w:r>
      <w:r>
        <w:rPr>
          <w:sz w:val="18"/>
          <w:szCs w:val="20"/>
          <w:rtl/>
        </w:rPr>
        <w:t>א</w:t>
      </w:r>
      <w:r>
        <w:rPr>
          <w:rFonts w:hint="cs"/>
          <w:rtl/>
        </w:rPr>
        <w:t>.</w:t>
      </w:r>
      <w:r>
        <w:rPr>
          <w:rtl/>
        </w:rPr>
        <w:t xml:space="preserve"> </w:t>
      </w:r>
    </w:p>
    <w:p w14:paraId="5D52EE66" w14:textId="77777777" w:rsidR="002B4B31" w:rsidRDefault="002B4B31" w:rsidP="002B4B31">
      <w:pPr>
        <w:pStyle w:val="1"/>
        <w:rPr>
          <w:rFonts w:hint="cs"/>
          <w:rtl/>
        </w:rPr>
      </w:pPr>
      <w:r>
        <w:rPr>
          <w:rFonts w:hint="cs"/>
          <w:rtl/>
        </w:rPr>
        <w:t xml:space="preserve">דף יד, א: </w:t>
      </w:r>
      <w:r>
        <w:rPr>
          <w:rtl/>
        </w:rPr>
        <w:t xml:space="preserve">ספר תורה ערום </w:t>
      </w:r>
    </w:p>
    <w:p w14:paraId="5190B1D8" w14:textId="77777777" w:rsidR="002B4B31" w:rsidRDefault="002B4B31" w:rsidP="002B4B31">
      <w:pPr>
        <w:pStyle w:val="2"/>
        <w:ind w:firstLine="284"/>
        <w:rPr>
          <w:rFonts w:hint="cs"/>
          <w:rtl/>
        </w:rPr>
      </w:pPr>
      <w:r>
        <w:rPr>
          <w:rFonts w:hint="cs"/>
          <w:rtl/>
        </w:rPr>
        <w:t>תואר השֵם או תואר הפֹעַל?</w:t>
      </w:r>
      <w:r>
        <w:rPr>
          <w:rtl/>
        </w:rPr>
        <w:t xml:space="preserve"> </w:t>
      </w:r>
    </w:p>
    <w:p w14:paraId="37038FCC" w14:textId="77777777" w:rsidR="002B4B31" w:rsidRDefault="002B4B31" w:rsidP="002B4B31">
      <w:pPr>
        <w:ind w:firstLine="284"/>
        <w:rPr>
          <w:rFonts w:hint="cs"/>
          <w:rtl/>
        </w:rPr>
      </w:pPr>
      <w:r>
        <w:rPr>
          <w:rFonts w:hint="cs"/>
          <w:rtl/>
        </w:rPr>
        <w:t xml:space="preserve">בביאור מאמרו של </w:t>
      </w:r>
      <w:r>
        <w:rPr>
          <w:rtl/>
        </w:rPr>
        <w:t xml:space="preserve">רבי </w:t>
      </w:r>
      <w:r>
        <w:rPr>
          <w:sz w:val="24"/>
          <w:rtl/>
          <w:lang w:eastAsia="he-IL"/>
        </w:rPr>
        <w:t>פַּרְנָךְ</w:t>
      </w:r>
      <w:r>
        <w:rPr>
          <w:rStyle w:val="a4"/>
          <w:rtl/>
        </w:rPr>
        <w:footnoteReference w:id="400"/>
      </w:r>
      <w:r>
        <w:rPr>
          <w:rtl/>
        </w:rPr>
        <w:t xml:space="preserve"> </w:t>
      </w:r>
      <w:r>
        <w:rPr>
          <w:rFonts w:hint="cs"/>
          <w:rtl/>
        </w:rPr>
        <w:t xml:space="preserve">בשם </w:t>
      </w:r>
      <w:r>
        <w:rPr>
          <w:rtl/>
        </w:rPr>
        <w:t>רבי יוחנן</w:t>
      </w:r>
      <w:r>
        <w:rPr>
          <w:rFonts w:hint="cs"/>
          <w:rtl/>
        </w:rPr>
        <w:t xml:space="preserve"> "</w:t>
      </w:r>
      <w:r>
        <w:rPr>
          <w:rtl/>
        </w:rPr>
        <w:t>האוחז ספר תורה ערום - נקבר</w:t>
      </w:r>
      <w:r>
        <w:rPr>
          <w:rFonts w:hint="cs"/>
          <w:rtl/>
        </w:rPr>
        <w:t xml:space="preserve"> </w:t>
      </w:r>
      <w:r>
        <w:rPr>
          <w:rtl/>
        </w:rPr>
        <w:t>ערום</w:t>
      </w:r>
      <w:r>
        <w:rPr>
          <w:rFonts w:hint="cs"/>
          <w:rtl/>
        </w:rPr>
        <w:t>", התחבטו רבות המפרשים</w:t>
      </w:r>
      <w:r>
        <w:rPr>
          <w:rtl/>
        </w:rPr>
        <w:t xml:space="preserve">. </w:t>
      </w:r>
      <w:r>
        <w:rPr>
          <w:rFonts w:hint="cs"/>
          <w:rtl/>
        </w:rPr>
        <w:t xml:space="preserve">כבר </w:t>
      </w:r>
      <w:r>
        <w:rPr>
          <w:rtl/>
        </w:rPr>
        <w:t>רבי זירא</w:t>
      </w:r>
      <w:r>
        <w:rPr>
          <w:rFonts w:hint="cs"/>
          <w:rtl/>
        </w:rPr>
        <w:t xml:space="preserve">, תלמידו של </w:t>
      </w:r>
      <w:r>
        <w:rPr>
          <w:rtl/>
        </w:rPr>
        <w:t>רבי יוחנן</w:t>
      </w:r>
      <w:r>
        <w:rPr>
          <w:rFonts w:hint="cs"/>
          <w:rtl/>
        </w:rPr>
        <w:t>, הוזקק לפרש ש"</w:t>
      </w:r>
      <w:r>
        <w:rPr>
          <w:rtl/>
        </w:rPr>
        <w:t>נקבר</w:t>
      </w:r>
      <w:r>
        <w:rPr>
          <w:rFonts w:hint="cs"/>
          <w:rtl/>
        </w:rPr>
        <w:t xml:space="preserve"> </w:t>
      </w:r>
      <w:r>
        <w:rPr>
          <w:rtl/>
        </w:rPr>
        <w:t>ערום</w:t>
      </w:r>
      <w:r>
        <w:rPr>
          <w:rFonts w:hint="cs"/>
          <w:rtl/>
        </w:rPr>
        <w:t>" אינו ממש כפשוטו, אלא "</w:t>
      </w:r>
      <w:r>
        <w:rPr>
          <w:rtl/>
        </w:rPr>
        <w:t>ערום בלא מצות</w:t>
      </w:r>
      <w:r>
        <w:rPr>
          <w:rFonts w:hint="cs"/>
          <w:rtl/>
        </w:rPr>
        <w:t>", וגם פירושו תוקן ע"י התלמוד (ב</w:t>
      </w:r>
      <w:r>
        <w:rPr>
          <w:rtl/>
        </w:rPr>
        <w:t xml:space="preserve">מגילה </w:t>
      </w:r>
      <w:r>
        <w:rPr>
          <w:sz w:val="18"/>
          <w:szCs w:val="20"/>
          <w:rtl/>
        </w:rPr>
        <w:t>לב</w:t>
      </w:r>
      <w:r>
        <w:rPr>
          <w:rFonts w:hint="cs"/>
          <w:sz w:val="18"/>
          <w:szCs w:val="20"/>
          <w:rtl/>
        </w:rPr>
        <w:t xml:space="preserve">, </w:t>
      </w:r>
      <w:r>
        <w:rPr>
          <w:sz w:val="18"/>
          <w:szCs w:val="20"/>
          <w:rtl/>
        </w:rPr>
        <w:t xml:space="preserve">א </w:t>
      </w:r>
      <w:r>
        <w:rPr>
          <w:rFonts w:hint="cs"/>
          <w:sz w:val="26"/>
          <w:rtl/>
        </w:rPr>
        <w:t>מיוחס פירוש זה ל</w:t>
      </w:r>
      <w:r>
        <w:rPr>
          <w:rtl/>
        </w:rPr>
        <w:t>אביי</w:t>
      </w:r>
      <w:r>
        <w:rPr>
          <w:rFonts w:hint="cs"/>
          <w:rtl/>
        </w:rPr>
        <w:t>): "</w:t>
      </w:r>
      <w:r>
        <w:rPr>
          <w:rtl/>
        </w:rPr>
        <w:t>אלא אימא: ערום בלא אותה מצוה</w:t>
      </w:r>
      <w:r>
        <w:rPr>
          <w:rFonts w:hint="cs"/>
          <w:rtl/>
        </w:rPr>
        <w:t>"</w:t>
      </w:r>
      <w:r>
        <w:rPr>
          <w:rtl/>
        </w:rPr>
        <w:t xml:space="preserve">. </w:t>
      </w:r>
      <w:r>
        <w:rPr>
          <w:rFonts w:hint="cs"/>
          <w:rtl/>
        </w:rPr>
        <w:t>מאמר זה לא נוסח בצורה הלכתית, "אסור ל</w:t>
      </w:r>
      <w:r>
        <w:rPr>
          <w:rtl/>
        </w:rPr>
        <w:t>אח</w:t>
      </w:r>
      <w:r>
        <w:rPr>
          <w:rFonts w:hint="cs"/>
          <w:rtl/>
        </w:rPr>
        <w:t>ו</w:t>
      </w:r>
      <w:r>
        <w:rPr>
          <w:rtl/>
        </w:rPr>
        <w:t>ז ספר תורה ערום</w:t>
      </w:r>
      <w:r>
        <w:rPr>
          <w:rFonts w:hint="cs"/>
          <w:rtl/>
        </w:rPr>
        <w:t>", אלא מנוסח כדברי אגדה וכמאמר מוסר, ויש שהוציאוהו לגמרי מפשוטו</w:t>
      </w:r>
      <w:r>
        <w:rPr>
          <w:rStyle w:val="a4"/>
          <w:rtl/>
        </w:rPr>
        <w:footnoteReference w:id="401"/>
      </w:r>
      <w:r>
        <w:rPr>
          <w:rFonts w:hint="cs"/>
          <w:rtl/>
        </w:rPr>
        <w:t>.</w:t>
      </w:r>
    </w:p>
    <w:p w14:paraId="1EB06745" w14:textId="77777777" w:rsidR="002B4B31" w:rsidRDefault="002B4B31" w:rsidP="002B4B31">
      <w:pPr>
        <w:ind w:firstLine="284"/>
        <w:rPr>
          <w:rFonts w:hint="cs"/>
          <w:rtl/>
        </w:rPr>
      </w:pPr>
      <w:r>
        <w:rPr>
          <w:rFonts w:hint="cs"/>
          <w:rtl/>
        </w:rPr>
        <w:t>את הלשון "</w:t>
      </w:r>
      <w:r>
        <w:rPr>
          <w:rtl/>
        </w:rPr>
        <w:t xml:space="preserve">אוחז ספר תורה </w:t>
      </w:r>
      <w:r>
        <w:rPr>
          <w:b/>
          <w:bCs/>
          <w:rtl/>
        </w:rPr>
        <w:t>ערום</w:t>
      </w:r>
      <w:r>
        <w:rPr>
          <w:rFonts w:hint="cs"/>
          <w:rtl/>
        </w:rPr>
        <w:t>" ניתן לפרש בכמה אופנים:</w:t>
      </w:r>
    </w:p>
    <w:p w14:paraId="70767397" w14:textId="77777777" w:rsidR="002B4B31" w:rsidRDefault="002B4B31" w:rsidP="002B4B31">
      <w:pPr>
        <w:ind w:firstLine="284"/>
        <w:rPr>
          <w:rFonts w:hint="cs"/>
          <w:rtl/>
        </w:rPr>
      </w:pPr>
      <w:r>
        <w:rPr>
          <w:rFonts w:hint="cs"/>
          <w:rtl/>
        </w:rPr>
        <w:t>ההבנה המקובלת היא שהמילה "</w:t>
      </w:r>
      <w:r>
        <w:rPr>
          <w:rtl/>
        </w:rPr>
        <w:t>ערום</w:t>
      </w:r>
      <w:r>
        <w:rPr>
          <w:rFonts w:hint="cs"/>
          <w:rtl/>
        </w:rPr>
        <w:t>" היא מושאלת</w:t>
      </w:r>
      <w:r>
        <w:rPr>
          <w:rStyle w:val="a4"/>
          <w:rtl/>
        </w:rPr>
        <w:footnoteReference w:id="402"/>
      </w:r>
      <w:r>
        <w:rPr>
          <w:rFonts w:hint="cs"/>
          <w:rtl/>
        </w:rPr>
        <w:t xml:space="preserve"> ואיננה מתארת אדם שאינו לבוש, אלא מתארת את ספר התורה שאיננו </w:t>
      </w:r>
      <w:r>
        <w:rPr>
          <w:rFonts w:hint="cs"/>
          <w:rtl/>
        </w:rPr>
        <w:lastRenderedPageBreak/>
        <w:t>"לבוש" ומכוסה במטפחת או במעיל. בדומה לכך יש מפרשים שהיד החשׂופה, הנוגעת בספר ללא כיסוי חוצץ, היא ה"ערומה"</w:t>
      </w:r>
      <w:r>
        <w:rPr>
          <w:rStyle w:val="a4"/>
          <w:rtl/>
        </w:rPr>
        <w:footnoteReference w:id="403"/>
      </w:r>
      <w:r>
        <w:rPr>
          <w:rFonts w:hint="cs"/>
          <w:rtl/>
        </w:rPr>
        <w:t xml:space="preserve">. </w:t>
      </w:r>
    </w:p>
    <w:p w14:paraId="0B3D6A89" w14:textId="77777777" w:rsidR="002B4B31" w:rsidRDefault="002B4B31" w:rsidP="002B4B31">
      <w:pPr>
        <w:ind w:firstLine="284"/>
        <w:rPr>
          <w:rFonts w:hint="cs"/>
          <w:rtl/>
        </w:rPr>
      </w:pPr>
      <w:r>
        <w:rPr>
          <w:rFonts w:hint="cs"/>
          <w:rtl/>
        </w:rPr>
        <w:t>ויש מפרשים: ש"</w:t>
      </w:r>
      <w:r>
        <w:rPr>
          <w:rtl/>
        </w:rPr>
        <w:t>ערום</w:t>
      </w:r>
      <w:r>
        <w:rPr>
          <w:rFonts w:hint="cs"/>
          <w:rtl/>
        </w:rPr>
        <w:t>" איננו תואר השֵם, אלא תואר הפֹעַל, וכוונתו שאין לאחוז בספר בהיות האדם האוחז בו, ערום (ערום לגמרי, או ערום חלקית: ללא טלית או בגד עליון).</w:t>
      </w:r>
    </w:p>
    <w:p w14:paraId="4E2CB4DA" w14:textId="77777777" w:rsidR="002B4B31" w:rsidRDefault="002B4B31" w:rsidP="002B4B31">
      <w:pPr>
        <w:ind w:firstLine="284"/>
        <w:rPr>
          <w:rFonts w:hint="cs"/>
          <w:rtl/>
        </w:rPr>
      </w:pPr>
      <w:r>
        <w:rPr>
          <w:rFonts w:hint="cs"/>
          <w:rtl/>
        </w:rPr>
        <w:t>ראה בנושא זה בהרחבה ב</w:t>
      </w:r>
      <w:r>
        <w:rPr>
          <w:rtl/>
        </w:rPr>
        <w:t xml:space="preserve">שו"ת עטרת פז </w:t>
      </w:r>
      <w:r>
        <w:rPr>
          <w:rFonts w:hint="cs"/>
          <w:rtl/>
        </w:rPr>
        <w:t>(</w:t>
      </w:r>
      <w:r>
        <w:rPr>
          <w:rtl/>
        </w:rPr>
        <w:t>א</w:t>
      </w:r>
      <w:r>
        <w:rPr>
          <w:rFonts w:hint="cs"/>
          <w:rtl/>
        </w:rPr>
        <w:t>, א</w:t>
      </w:r>
      <w:r>
        <w:rPr>
          <w:rtl/>
        </w:rPr>
        <w:t xml:space="preserve"> או"ח סימן ח</w:t>
      </w:r>
      <w:r>
        <w:rPr>
          <w:rFonts w:hint="cs"/>
          <w:rtl/>
        </w:rPr>
        <w:t>, ובהערותיו), והשוה למקרה נוסף שנסתפקו בו האם התואר חוזר על האדם או על הדומם: "</w:t>
      </w:r>
      <w:r>
        <w:rPr>
          <w:rtl/>
        </w:rPr>
        <w:t>אמר</w:t>
      </w:r>
      <w:r>
        <w:rPr>
          <w:rFonts w:hint="cs"/>
          <w:rtl/>
        </w:rPr>
        <w:t xml:space="preserve"> </w:t>
      </w:r>
      <w:r>
        <w:rPr>
          <w:rtl/>
        </w:rPr>
        <w:t xml:space="preserve">רבי חנינא: אסור לישן בבית </w:t>
      </w:r>
      <w:r>
        <w:rPr>
          <w:b/>
          <w:bCs/>
          <w:rtl/>
        </w:rPr>
        <w:t>יחידי</w:t>
      </w:r>
      <w:r>
        <w:rPr>
          <w:rFonts w:hint="cs"/>
          <w:rtl/>
        </w:rPr>
        <w:t xml:space="preserve">" (להלן </w:t>
      </w:r>
      <w:r>
        <w:rPr>
          <w:sz w:val="26"/>
          <w:rtl/>
        </w:rPr>
        <w:t>קנא</w:t>
      </w:r>
      <w:r>
        <w:rPr>
          <w:rFonts w:hint="cs"/>
          <w:sz w:val="26"/>
          <w:rtl/>
        </w:rPr>
        <w:t xml:space="preserve">, </w:t>
      </w:r>
      <w:r>
        <w:rPr>
          <w:sz w:val="26"/>
          <w:rtl/>
        </w:rPr>
        <w:t>ב</w:t>
      </w:r>
      <w:r>
        <w:rPr>
          <w:rFonts w:hint="cs"/>
          <w:rtl/>
        </w:rPr>
        <w:t xml:space="preserve">; </w:t>
      </w:r>
      <w:r>
        <w:rPr>
          <w:rtl/>
        </w:rPr>
        <w:t>משנ</w:t>
      </w:r>
      <w:r>
        <w:rPr>
          <w:rFonts w:hint="cs"/>
          <w:rtl/>
        </w:rPr>
        <w:t>"</w:t>
      </w:r>
      <w:r>
        <w:rPr>
          <w:rtl/>
        </w:rPr>
        <w:t>ב</w:t>
      </w:r>
      <w:r>
        <w:rPr>
          <w:rFonts w:hint="cs"/>
          <w:rtl/>
        </w:rPr>
        <w:t xml:space="preserve"> </w:t>
      </w:r>
      <w:r>
        <w:rPr>
          <w:sz w:val="18"/>
          <w:szCs w:val="20"/>
          <w:rtl/>
        </w:rPr>
        <w:t>רלט</w:t>
      </w:r>
      <w:r>
        <w:rPr>
          <w:rFonts w:hint="cs"/>
          <w:sz w:val="18"/>
          <w:szCs w:val="20"/>
          <w:rtl/>
        </w:rPr>
        <w:t xml:space="preserve">, </w:t>
      </w:r>
      <w:r>
        <w:rPr>
          <w:sz w:val="18"/>
          <w:szCs w:val="20"/>
          <w:rtl/>
        </w:rPr>
        <w:t>ט</w:t>
      </w:r>
      <w:r>
        <w:rPr>
          <w:rFonts w:hint="cs"/>
          <w:sz w:val="18"/>
          <w:szCs w:val="20"/>
          <w:rtl/>
        </w:rPr>
        <w:t xml:space="preserve"> </w:t>
      </w:r>
      <w:r>
        <w:rPr>
          <w:rFonts w:hint="cs"/>
          <w:rtl/>
        </w:rPr>
        <w:t xml:space="preserve">וערוה"ש </w:t>
      </w:r>
      <w:r>
        <w:rPr>
          <w:rFonts w:hint="cs"/>
          <w:sz w:val="18"/>
          <w:szCs w:val="20"/>
          <w:rtl/>
        </w:rPr>
        <w:t>יו"ד קטז, יח</w:t>
      </w:r>
      <w:r>
        <w:rPr>
          <w:rFonts w:hint="cs"/>
          <w:rtl/>
        </w:rPr>
        <w:t>).</w:t>
      </w:r>
    </w:p>
    <w:p w14:paraId="2422FA0C" w14:textId="77777777" w:rsidR="002B4B31" w:rsidRDefault="002B4B31" w:rsidP="002B4B31">
      <w:pPr>
        <w:rPr>
          <w:rFonts w:hint="cs"/>
          <w:rtl/>
        </w:rPr>
      </w:pPr>
    </w:p>
    <w:p w14:paraId="6CDF5295" w14:textId="77777777" w:rsidR="002B4B31" w:rsidRDefault="002B4B31" w:rsidP="002B4B31">
      <w:pPr>
        <w:pStyle w:val="1"/>
        <w:rPr>
          <w:rFonts w:hint="cs"/>
          <w:rtl/>
        </w:rPr>
      </w:pPr>
      <w:r>
        <w:rPr>
          <w:rFonts w:hint="cs"/>
          <w:rtl/>
        </w:rPr>
        <w:t>דף טו, א: חייב אדם לומר בלשון רבו</w:t>
      </w:r>
    </w:p>
    <w:p w14:paraId="4E700F1F" w14:textId="77777777" w:rsidR="002B4B31" w:rsidRDefault="002B4B31" w:rsidP="002B4B31">
      <w:pPr>
        <w:pStyle w:val="2"/>
        <w:ind w:firstLine="284"/>
        <w:rPr>
          <w:rFonts w:hint="cs"/>
          <w:rtl/>
        </w:rPr>
      </w:pPr>
      <w:r>
        <w:rPr>
          <w:rFonts w:hint="cs"/>
          <w:rtl/>
        </w:rPr>
        <w:t>לשון הרב שווה זהב</w:t>
      </w:r>
    </w:p>
    <w:p w14:paraId="3C00EECE" w14:textId="77777777" w:rsidR="002B4B31" w:rsidRDefault="002B4B31" w:rsidP="002B4B31">
      <w:pPr>
        <w:ind w:firstLine="284"/>
        <w:rPr>
          <w:rFonts w:hint="cs"/>
          <w:rtl/>
        </w:rPr>
      </w:pPr>
      <w:r>
        <w:rPr>
          <w:rtl/>
        </w:rPr>
        <w:t>"הלל אומר: 'מלא הין מים שאובים פוסלים את המקוה', שחייב אדם לומר בלשון רבו". מהו הסגנון החריג שאמר הלל הזקן</w:t>
      </w:r>
      <w:r>
        <w:rPr>
          <w:rStyle w:val="a4"/>
          <w:rtl/>
        </w:rPr>
        <w:footnoteReference w:id="404"/>
      </w:r>
      <w:r>
        <w:rPr>
          <w:rtl/>
        </w:rPr>
        <w:t xml:space="preserve"> בהלכה זו, מפאת החיוב לשמור בדייקנות על לשון הרב?</w:t>
      </w:r>
    </w:p>
    <w:p w14:paraId="0AD626D0" w14:textId="77777777" w:rsidR="002B4B31" w:rsidRDefault="002B4B31" w:rsidP="002B4B31">
      <w:pPr>
        <w:ind w:firstLine="284"/>
        <w:rPr>
          <w:rFonts w:hint="cs"/>
          <w:rtl/>
        </w:rPr>
      </w:pPr>
      <w:r>
        <w:rPr>
          <w:rFonts w:hint="cs"/>
          <w:rtl/>
        </w:rPr>
        <w:lastRenderedPageBreak/>
        <w:t>מפרש רש"י: "</w:t>
      </w:r>
      <w:r>
        <w:rPr>
          <w:rtl/>
        </w:rPr>
        <w:t>שחייב אדם כו' - כלומר: הין אינו לשון משנה אלא לשון תורה, אלא כך שמעה מפי שמעיה ואבטליון</w:t>
      </w:r>
      <w:r>
        <w:rPr>
          <w:rStyle w:val="a4"/>
          <w:rtl/>
        </w:rPr>
        <w:footnoteReference w:id="405"/>
      </w:r>
      <w:r>
        <w:rPr>
          <w:rtl/>
        </w:rPr>
        <w:t>, ורבותי מפרשין: [בלשון] משה רבינו, ולבי מגמגם, שהרי בכמה מקומות לא הקפיד על כך</w:t>
      </w:r>
      <w:r>
        <w:rPr>
          <w:rFonts w:hint="cs"/>
          <w:rtl/>
        </w:rPr>
        <w:t>"</w:t>
      </w:r>
      <w:r>
        <w:rPr>
          <w:rtl/>
        </w:rPr>
        <w:t xml:space="preserve">. </w:t>
      </w:r>
    </w:p>
    <w:p w14:paraId="549BA219" w14:textId="77777777" w:rsidR="002B4B31" w:rsidRDefault="002B4B31" w:rsidP="002B4B31">
      <w:pPr>
        <w:ind w:firstLine="284"/>
        <w:rPr>
          <w:rFonts w:hint="cs"/>
          <w:rtl/>
        </w:rPr>
      </w:pPr>
      <w:r>
        <w:rPr>
          <w:rFonts w:hint="cs"/>
          <w:rtl/>
        </w:rPr>
        <w:t>כלומר, הסגנון המוזר הוא השימוש במידת הלח "הין" האופיינית ללשון התורה, במקום להשתמש בחלופות הרגילות בלשון חז"ל:</w:t>
      </w:r>
      <w:r>
        <w:rPr>
          <w:rtl/>
        </w:rPr>
        <w:t xml:space="preserve"> "תרקב", "שלושה קבין" או "שנים עשר לוג"</w:t>
      </w:r>
      <w:r>
        <w:rPr>
          <w:rStyle w:val="a4"/>
          <w:rtl/>
        </w:rPr>
        <w:footnoteReference w:id="406"/>
      </w:r>
      <w:r>
        <w:rPr>
          <w:rtl/>
        </w:rPr>
        <w:t xml:space="preserve">. </w:t>
      </w:r>
      <w:r>
        <w:rPr>
          <w:rFonts w:hint="cs"/>
          <w:rtl/>
        </w:rPr>
        <w:t>בפרט אחד חולק רש"י על רבותיו: לפי פירוש רבותיו, "לשון רבו" היינו לשון תורה, לשון משה רבינו. ואילו רש"י מפרש שמדובר ב"רבו" ממש, היינו שמעיה ואבטליון, רבותיו הישירים של הלל,</w:t>
      </w:r>
      <w:r>
        <w:rPr>
          <w:rtl/>
        </w:rPr>
        <w:t xml:space="preserve"> שאמרו הלכה זו בלשון תורה</w:t>
      </w:r>
      <w:r>
        <w:rPr>
          <w:rStyle w:val="a4"/>
          <w:rtl/>
        </w:rPr>
        <w:footnoteReference w:id="407"/>
      </w:r>
      <w:r>
        <w:rPr>
          <w:rFonts w:hint="cs"/>
          <w:rtl/>
        </w:rPr>
        <w:t>.</w:t>
      </w:r>
    </w:p>
    <w:p w14:paraId="71A67D2F" w14:textId="77777777" w:rsidR="002B4B31" w:rsidRDefault="002B4B31" w:rsidP="002B4B31">
      <w:pPr>
        <w:ind w:firstLine="284"/>
        <w:rPr>
          <w:rFonts w:hint="cs"/>
          <w:sz w:val="18"/>
          <w:szCs w:val="20"/>
          <w:rtl/>
        </w:rPr>
      </w:pPr>
      <w:r>
        <w:rPr>
          <w:rFonts w:hint="cs"/>
          <w:rtl/>
        </w:rPr>
        <w:lastRenderedPageBreak/>
        <w:t>הנימוק שבעטיו חולק רש"י על רבותיו הוא: "</w:t>
      </w:r>
      <w:r>
        <w:rPr>
          <w:rtl/>
        </w:rPr>
        <w:t>שהרי בכמה מקומות לא הקפיד על כך</w:t>
      </w:r>
      <w:r>
        <w:rPr>
          <w:rFonts w:hint="cs"/>
          <w:rtl/>
        </w:rPr>
        <w:t>". כלומר, בהלכות אחרות שָנה הלל בלשון חז"ל ו"שָנו חכמים בלשון המשנה", ולא בלשון התורה, ולכן לא יתכן לפרש שיש חובה לומר את כל ההלכות בלשון התורה, "דאדרבה!</w:t>
      </w:r>
      <w:r>
        <w:rPr>
          <w:rtl/>
        </w:rPr>
        <w:t xml:space="preserve"> מצינו: לשון תורה לחוד [ולשון חכמים לחוד]"</w:t>
      </w:r>
      <w:r>
        <w:rPr>
          <w:rStyle w:val="a4"/>
          <w:rtl/>
        </w:rPr>
        <w:footnoteReference w:id="408"/>
      </w:r>
      <w:r>
        <w:rPr>
          <w:rFonts w:hint="cs"/>
          <w:rtl/>
        </w:rPr>
        <w:t>. לעומת זאת, ההקפדה לומר בלשון רבו מתאשרת מסוגיות רבות בתלמוד ללא עוררין.</w:t>
      </w:r>
    </w:p>
    <w:p w14:paraId="1B1D67B1" w14:textId="77777777" w:rsidR="002B4B31" w:rsidRDefault="002B4B31" w:rsidP="002B4B31">
      <w:pPr>
        <w:ind w:firstLine="284"/>
        <w:rPr>
          <w:rFonts w:hint="cs"/>
          <w:rtl/>
        </w:rPr>
      </w:pPr>
      <w:r>
        <w:rPr>
          <w:rFonts w:hint="cs"/>
          <w:rtl/>
        </w:rPr>
        <w:t xml:space="preserve">בין לפי רש"י ובין לפי רבותיו, שִמֵר הלל את הלשון הארכאית, ופרט לפליאת השומעים על הסגנון העתיק שבו שָנה הלל את ההלכה, אין כאן שום פגם והפסד בהִצמדות ללשון רבו "הין", במקום הלשון הרגילה יותר. </w:t>
      </w:r>
    </w:p>
    <w:p w14:paraId="521FAF44" w14:textId="77777777" w:rsidR="002B4B31" w:rsidRDefault="002B4B31" w:rsidP="002B4B31">
      <w:pPr>
        <w:ind w:firstLine="284"/>
        <w:rPr>
          <w:rFonts w:hint="cs"/>
          <w:rtl/>
        </w:rPr>
      </w:pPr>
      <w:r>
        <w:rPr>
          <w:rFonts w:hint="cs"/>
          <w:rtl/>
        </w:rPr>
        <w:t xml:space="preserve">שינויים סגנוניים רבים בלשון חכמים נִתנים ליישוב בדרך זו, שחכם העדיף לומר נוסח ששונה מהמצופה מבחינה לשונית, מהטעם </w:t>
      </w:r>
      <w:r>
        <w:rPr>
          <w:rFonts w:hint="cs"/>
          <w:b/>
          <w:bCs/>
          <w:rtl/>
        </w:rPr>
        <w:t>שכך שמע מרבו</w:t>
      </w:r>
      <w:r>
        <w:rPr>
          <w:rFonts w:hint="cs"/>
          <w:rtl/>
        </w:rPr>
        <w:t>.</w:t>
      </w:r>
      <w:r>
        <w:rPr>
          <w:rtl/>
        </w:rPr>
        <w:t xml:space="preserve"> כדוגמה לכך נציין את הסברו של הריעב"ץ</w:t>
      </w:r>
      <w:r>
        <w:rPr>
          <w:rStyle w:val="a4"/>
          <w:rtl/>
        </w:rPr>
        <w:footnoteReference w:id="409"/>
      </w:r>
      <w:r>
        <w:rPr>
          <w:rFonts w:hint="cs"/>
          <w:sz w:val="20"/>
          <w:rtl/>
        </w:rPr>
        <w:t xml:space="preserve"> לתופעה רווחת בספרות חז"ל: משפטים מעורבים ש</w:t>
      </w:r>
      <w:r>
        <w:rPr>
          <w:sz w:val="20"/>
          <w:rtl/>
        </w:rPr>
        <w:t xml:space="preserve">חֶצְיָם מְדַבֵּר </w:t>
      </w:r>
      <w:r>
        <w:rPr>
          <w:rFonts w:hint="cs"/>
          <w:sz w:val="20"/>
          <w:rtl/>
        </w:rPr>
        <w:t xml:space="preserve">ארמית </w:t>
      </w:r>
      <w:r>
        <w:rPr>
          <w:sz w:val="20"/>
          <w:rtl/>
        </w:rPr>
        <w:t xml:space="preserve">וְחֶצְיָם </w:t>
      </w:r>
      <w:r>
        <w:rPr>
          <w:rFonts w:hint="cs"/>
          <w:sz w:val="20"/>
          <w:rtl/>
        </w:rPr>
        <w:t xml:space="preserve">עברית. הוא מבאר שהטעם ששִנה תנא דברייתא של פיטום הקטורת את לשונו באמצע פירוט סממני הקטורת מהשפה העברית ("וְקִלּוּפָה </w:t>
      </w:r>
      <w:r>
        <w:rPr>
          <w:rFonts w:hint="cs"/>
          <w:b/>
          <w:bCs/>
          <w:sz w:val="20"/>
          <w:rtl/>
        </w:rPr>
        <w:t>שְׁלוֹשָׁה</w:t>
      </w:r>
      <w:r>
        <w:rPr>
          <w:rFonts w:hint="cs"/>
          <w:sz w:val="20"/>
          <w:rtl/>
        </w:rPr>
        <w:t xml:space="preserve">") לארמית ("יֵין קַפְרִיסִין סְאִין </w:t>
      </w:r>
      <w:r>
        <w:rPr>
          <w:rFonts w:hint="cs"/>
          <w:b/>
          <w:bCs/>
          <w:sz w:val="20"/>
          <w:rtl/>
        </w:rPr>
        <w:t>תְּלָתָא</w:t>
      </w:r>
      <w:r>
        <w:rPr>
          <w:rFonts w:hint="cs"/>
          <w:sz w:val="20"/>
          <w:rtl/>
        </w:rPr>
        <w:t>") הוא: "מפני ש</w:t>
      </w:r>
      <w:r>
        <w:rPr>
          <w:rFonts w:hint="cs"/>
          <w:rtl/>
        </w:rPr>
        <w:t>חייב אדם לומר בלשון רבו, ו</w:t>
      </w:r>
      <w:r>
        <w:rPr>
          <w:rFonts w:hint="cs"/>
          <w:sz w:val="20"/>
          <w:rtl/>
        </w:rPr>
        <w:t>כך שמעהּ".</w:t>
      </w:r>
    </w:p>
    <w:p w14:paraId="2493A5DC" w14:textId="77777777" w:rsidR="002B4B31" w:rsidRDefault="002B4B31" w:rsidP="002B4B31">
      <w:pPr>
        <w:ind w:firstLine="284"/>
        <w:rPr>
          <w:rFonts w:hint="cs"/>
          <w:rtl/>
        </w:rPr>
      </w:pPr>
      <w:r>
        <w:rPr>
          <w:rFonts w:hint="cs"/>
          <w:rtl/>
        </w:rPr>
        <w:t xml:space="preserve">בויכוח שבין רש"י לרבותיו עומד הרמב"ם בשיטת רש"י, שהִלל אחז בלשון שמעיה ואבטליון, אלא שהוא קִבל מסורת מאביו שיש </w:t>
      </w:r>
      <w:r>
        <w:rPr>
          <w:rFonts w:hint="cs"/>
          <w:rtl/>
        </w:rPr>
        <w:lastRenderedPageBreak/>
        <w:t>לקרוא "מְלַא הין" (</w:t>
      </w:r>
      <w:r>
        <w:rPr>
          <w:rFonts w:hint="cs"/>
          <w:sz w:val="18"/>
          <w:szCs w:val="20"/>
          <w:rtl/>
        </w:rPr>
        <w:t>וכך מנוקד במסכת עדיות פ"א מ"ג</w:t>
      </w:r>
      <w:r>
        <w:rPr>
          <w:rFonts w:hint="cs"/>
          <w:rtl/>
        </w:rPr>
        <w:t xml:space="preserve"> </w:t>
      </w:r>
      <w:r>
        <w:rPr>
          <w:rFonts w:hint="cs"/>
          <w:sz w:val="20"/>
          <w:szCs w:val="20"/>
          <w:rtl/>
        </w:rPr>
        <w:t>בהוצאת הר"י קאפח ע"פ כתי"ק של הרמב"ם</w:t>
      </w:r>
      <w:r>
        <w:rPr>
          <w:rFonts w:hint="cs"/>
          <w:rtl/>
        </w:rPr>
        <w:t>), וכך פרש בפירוש המשניות, ששמעיה ואבטליון שהיו גֵרים "נשארה בלשונם עלגות הגוים, והיו אומרים במקום '</w:t>
      </w:r>
      <w:r>
        <w:rPr>
          <w:rFonts w:hint="cs"/>
          <w:b/>
          <w:bCs/>
          <w:rtl/>
        </w:rPr>
        <w:t>מלוֹא</w:t>
      </w:r>
      <w:r>
        <w:rPr>
          <w:rFonts w:hint="cs"/>
          <w:rtl/>
        </w:rPr>
        <w:t xml:space="preserve"> הין' - '</w:t>
      </w:r>
      <w:r>
        <w:rPr>
          <w:rFonts w:hint="cs"/>
          <w:b/>
          <w:bCs/>
          <w:rtl/>
        </w:rPr>
        <w:t>מְלַא</w:t>
      </w:r>
      <w:r>
        <w:rPr>
          <w:rFonts w:hint="cs"/>
          <w:rtl/>
        </w:rPr>
        <w:t xml:space="preserve"> הין',</w:t>
      </w:r>
      <w:r>
        <w:rPr>
          <w:rtl/>
        </w:rPr>
        <w:t xml:space="preserve"> והיה הלל אומר כך 'מְלַא הין', כמו ששמע מהם"</w:t>
      </w:r>
      <w:r>
        <w:rPr>
          <w:rStyle w:val="a4"/>
          <w:rtl/>
        </w:rPr>
        <w:footnoteReference w:id="410"/>
      </w:r>
      <w:r>
        <w:rPr>
          <w:rFonts w:hint="cs"/>
          <w:rtl/>
        </w:rPr>
        <w:t>.</w:t>
      </w:r>
    </w:p>
    <w:p w14:paraId="4F4EC0D0" w14:textId="77777777" w:rsidR="002B4B31" w:rsidRDefault="002B4B31" w:rsidP="002B4B31">
      <w:pPr>
        <w:ind w:firstLine="284"/>
        <w:rPr>
          <w:rFonts w:hint="cs"/>
          <w:szCs w:val="22"/>
          <w:rtl/>
        </w:rPr>
      </w:pPr>
      <w:r>
        <w:rPr>
          <w:rFonts w:hint="cs"/>
          <w:rtl/>
        </w:rPr>
        <w:t xml:space="preserve">ממשיך הרמב"ם: ו"יש מי שקורא 'מלוא </w:t>
      </w:r>
      <w:r>
        <w:rPr>
          <w:rFonts w:hint="cs"/>
          <w:b/>
          <w:bCs/>
          <w:rtl/>
        </w:rPr>
        <w:t>ח</w:t>
      </w:r>
      <w:r>
        <w:rPr>
          <w:rFonts w:hint="cs"/>
          <w:rtl/>
        </w:rPr>
        <w:t>ין', ואומר כי השינוי היה בין הין וחין". כידוע, היו שהתקשו במבטא האותיות הגרוניות, ובמהלך הדורות היו חלקים מעם ישראל שהחליפו בין האותיות ה' וח' (</w:t>
      </w:r>
      <w:r>
        <w:rPr>
          <w:rFonts w:hint="cs"/>
          <w:color w:val="000000"/>
          <w:rtl/>
        </w:rPr>
        <w:t xml:space="preserve">כגון ר' </w:t>
      </w:r>
      <w:r>
        <w:rPr>
          <w:rFonts w:hint="cs"/>
          <w:b/>
          <w:bCs/>
          <w:color w:val="000000"/>
          <w:rtl/>
        </w:rPr>
        <w:t>ח</w:t>
      </w:r>
      <w:r>
        <w:rPr>
          <w:rFonts w:hint="cs"/>
          <w:color w:val="000000"/>
          <w:rtl/>
        </w:rPr>
        <w:t>ייא</w:t>
      </w:r>
      <w:r>
        <w:rPr>
          <w:rFonts w:hint="cs"/>
          <w:color w:val="000000"/>
          <w:sz w:val="18"/>
          <w:szCs w:val="20"/>
          <w:rtl/>
        </w:rPr>
        <w:t xml:space="preserve">; </w:t>
      </w:r>
      <w:r>
        <w:rPr>
          <w:color w:val="000000"/>
          <w:sz w:val="18"/>
          <w:szCs w:val="20"/>
          <w:rtl/>
        </w:rPr>
        <w:t>מגילה כד</w:t>
      </w:r>
      <w:r>
        <w:rPr>
          <w:rFonts w:hint="cs"/>
          <w:color w:val="000000"/>
          <w:sz w:val="18"/>
          <w:szCs w:val="20"/>
          <w:rtl/>
        </w:rPr>
        <w:t xml:space="preserve">, </w:t>
      </w:r>
      <w:r>
        <w:rPr>
          <w:color w:val="000000"/>
          <w:sz w:val="18"/>
          <w:szCs w:val="20"/>
          <w:rtl/>
        </w:rPr>
        <w:t>ב</w:t>
      </w:r>
      <w:r>
        <w:rPr>
          <w:rFonts w:hint="cs"/>
          <w:rtl/>
        </w:rPr>
        <w:t>).</w:t>
      </w:r>
    </w:p>
    <w:p w14:paraId="1B47C7E0" w14:textId="77777777" w:rsidR="002B4B31" w:rsidRDefault="002B4B31" w:rsidP="002B4B31">
      <w:pPr>
        <w:ind w:firstLine="284"/>
        <w:rPr>
          <w:rFonts w:hint="cs"/>
          <w:szCs w:val="22"/>
          <w:rtl/>
        </w:rPr>
      </w:pPr>
      <w:r>
        <w:rPr>
          <w:rFonts w:hint="cs"/>
          <w:rtl/>
        </w:rPr>
        <w:t>בפני הרב עובדיה מברטנורא היה נוסח פירוש הרמב"ם כפי שמופיע אצלנו בדפוסים הרגילים, ולפיו:</w:t>
      </w:r>
      <w:r>
        <w:rPr>
          <w:rtl/>
        </w:rPr>
        <w:t xml:space="preserve"> "היו אומרים 'אין' במקום 'הין', כדרך בני אדם</w:t>
      </w:r>
      <w:r>
        <w:rPr>
          <w:rStyle w:val="a4"/>
          <w:rtl/>
        </w:rPr>
        <w:footnoteReference w:id="411"/>
      </w:r>
      <w:r>
        <w:rPr>
          <w:rFonts w:hint="cs"/>
          <w:rtl/>
        </w:rPr>
        <w:t xml:space="preserve"> עד היום, שאינם יכולים לחתוך באותיות א' ח' ה' ע'</w:t>
      </w:r>
      <w:r>
        <w:rPr>
          <w:rFonts w:hint="cs"/>
          <w:sz w:val="2"/>
          <w:szCs w:val="2"/>
          <w:rtl/>
        </w:rPr>
        <w:t xml:space="preserve"> </w:t>
      </w:r>
      <w:r>
        <w:rPr>
          <w:rFonts w:hint="cs"/>
          <w:rtl/>
        </w:rPr>
        <w:t>"</w:t>
      </w:r>
      <w:r>
        <w:rPr>
          <w:rStyle w:val="a4"/>
          <w:rtl/>
        </w:rPr>
        <w:footnoteReference w:id="412"/>
      </w:r>
      <w:r>
        <w:rPr>
          <w:rFonts w:hint="cs"/>
          <w:rtl/>
        </w:rPr>
        <w:t xml:space="preserve">. פירושו השני של הרמב"ם לפי נוסח הדפוסים הוא שהחליפו בין "הֵן" לבין "הִין". </w:t>
      </w:r>
    </w:p>
    <w:p w14:paraId="2BCBADD3" w14:textId="77777777" w:rsidR="002B4B31" w:rsidRDefault="002B4B31" w:rsidP="002B4B31">
      <w:pPr>
        <w:ind w:firstLine="284"/>
        <w:rPr>
          <w:rFonts w:hint="cs"/>
          <w:rtl/>
        </w:rPr>
      </w:pPr>
      <w:r>
        <w:rPr>
          <w:rFonts w:hint="cs"/>
          <w:rtl/>
        </w:rPr>
        <w:lastRenderedPageBreak/>
        <w:t>לפי ארבעת פירושי הרמב"ם, אין מדובר כאן רק בסטייה מסגנון הלשון הרווח על מנת לנקוט בלשון התורה המיוחדת (</w:t>
      </w:r>
      <w:r>
        <w:rPr>
          <w:rFonts w:hint="cs"/>
          <w:sz w:val="18"/>
          <w:szCs w:val="20"/>
          <w:rtl/>
        </w:rPr>
        <w:t>כפירושי רש"י ורבותיו</w:t>
      </w:r>
      <w:r>
        <w:rPr>
          <w:rFonts w:hint="cs"/>
          <w:rtl/>
        </w:rPr>
        <w:t>), אלא הִלל דבק בהיגוי המִלים המשובש שבפי רבותיו. לפי דרכנו נמצאנו למדים עד היכן מגעת חשיבות אמירת ההלכה בלשון רבו!</w:t>
      </w:r>
    </w:p>
    <w:p w14:paraId="3FD83C23" w14:textId="77777777" w:rsidR="002B4B31" w:rsidRDefault="002B4B31" w:rsidP="002B4B31">
      <w:pPr>
        <w:ind w:firstLine="284"/>
        <w:rPr>
          <w:rFonts w:hint="cs"/>
          <w:rtl/>
        </w:rPr>
      </w:pPr>
      <w:r>
        <w:rPr>
          <w:rFonts w:hint="cs"/>
          <w:rtl/>
        </w:rPr>
        <w:t>אך, על כך מקשה הגר"א (</w:t>
      </w:r>
      <w:r>
        <w:rPr>
          <w:rFonts w:hint="cs"/>
          <w:sz w:val="18"/>
          <w:szCs w:val="20"/>
          <w:rtl/>
        </w:rPr>
        <w:t>ביאורי הגר"א לעדיות</w:t>
      </w:r>
      <w:r>
        <w:rPr>
          <w:rFonts w:hint="cs"/>
          <w:rtl/>
        </w:rPr>
        <w:t>) "אם הם אמרו מחמת שלא היו יכולין לחתוך אותיות - יאמר גם הלל שֶיָכוֹל לחתוך אותיות?! מאי 'לשון רבו' שייך בזה?".</w:t>
      </w:r>
    </w:p>
    <w:p w14:paraId="6587E54D" w14:textId="77777777" w:rsidR="002B4B31" w:rsidRDefault="002B4B31" w:rsidP="002B4B31">
      <w:pPr>
        <w:ind w:firstLine="284"/>
        <w:rPr>
          <w:rFonts w:hint="cs"/>
          <w:sz w:val="20"/>
          <w:rtl/>
        </w:rPr>
      </w:pPr>
      <w:r>
        <w:rPr>
          <w:rFonts w:hint="cs"/>
          <w:rtl/>
        </w:rPr>
        <w:t>שמא ניתן להציע שנחלקו הראשונים ב</w:t>
      </w:r>
      <w:r>
        <w:rPr>
          <w:rFonts w:hint="cs"/>
          <w:sz w:val="20"/>
          <w:rtl/>
        </w:rPr>
        <w:t>טעמה של חובה זו, כדלהלן:</w:t>
      </w:r>
    </w:p>
    <w:p w14:paraId="2974ABF7" w14:textId="77777777" w:rsidR="002B4B31" w:rsidRDefault="002B4B31" w:rsidP="002B4B31">
      <w:pPr>
        <w:ind w:firstLine="284"/>
        <w:rPr>
          <w:rFonts w:hint="cs"/>
          <w:sz w:val="20"/>
          <w:rtl/>
        </w:rPr>
      </w:pPr>
      <w:r>
        <w:rPr>
          <w:rFonts w:hint="cs"/>
          <w:sz w:val="20"/>
          <w:rtl/>
        </w:rPr>
        <w:t>אפשר לומר שמטרת החובה לומר בלשון רבו, לפי רש"י, היא על מנת לשמור על התורה שבעל פה "שלא תהא מוחלפת" מלשונה המקורית, ובמיוחד לאור העובדה שישנם מִקרים ששינוי קל מלשון רבו עלול להשפיע על המשמעות וכך יִכָּשלו בדבר הלכה. לפיכך, במקרה שידוע שלשון הרב העִלגת שִבשה את לשון רבו, יש להחזיר עטרה ליושנה ולומר את הלשון המקורית, בניגוד לרבו העִלג, החוליה החלשה מבחינה לשונית בשלשלת הקבלה.</w:t>
      </w:r>
    </w:p>
    <w:p w14:paraId="7BF5F945" w14:textId="77777777" w:rsidR="002B4B31" w:rsidRDefault="002B4B31" w:rsidP="002B4B31">
      <w:pPr>
        <w:ind w:firstLine="284"/>
        <w:rPr>
          <w:rFonts w:hint="cs"/>
          <w:sz w:val="20"/>
          <w:rtl/>
        </w:rPr>
      </w:pPr>
      <w:r>
        <w:rPr>
          <w:rFonts w:hint="cs"/>
          <w:sz w:val="20"/>
          <w:rtl/>
        </w:rPr>
        <w:t>ברם, לפי הרמב"ם, אין כאן שימור הלשון המקורית שבה נאמרה ההלכה, שהרי כאן לשון רבותיו של הלל לא נשתלשלה בדייקנות מלשון משה רבינו ועד אליהם, אלא נשתבשה בפיהם מלשון רבותיהם עקב</w:t>
      </w:r>
      <w:r>
        <w:rPr>
          <w:rFonts w:hint="cs"/>
          <w:rtl/>
        </w:rPr>
        <w:t xml:space="preserve"> עלגותם, </w:t>
      </w:r>
      <w:r>
        <w:rPr>
          <w:rFonts w:hint="cs"/>
          <w:sz w:val="20"/>
          <w:rtl/>
        </w:rPr>
        <w:t>של</w:t>
      </w:r>
      <w:r>
        <w:rPr>
          <w:sz w:val="20"/>
          <w:rtl/>
        </w:rPr>
        <w:t>א</w:t>
      </w:r>
      <w:r>
        <w:rPr>
          <w:rFonts w:hint="cs"/>
          <w:sz w:val="20"/>
          <w:rtl/>
        </w:rPr>
        <w:t xml:space="preserve"> הכירו </w:t>
      </w:r>
      <w:r>
        <w:rPr>
          <w:sz w:val="20"/>
          <w:rtl/>
        </w:rPr>
        <w:t>לְדַבֵּר יְהוּדִית</w:t>
      </w:r>
      <w:r>
        <w:rPr>
          <w:rFonts w:hint="cs"/>
          <w:sz w:val="20"/>
          <w:rtl/>
        </w:rPr>
        <w:t xml:space="preserve"> בדקדוק. יתכן שטעם הדבר, לפי הרמב"ם, הוא טעם זה: </w:t>
      </w:r>
      <w:r>
        <w:rPr>
          <w:rtl/>
        </w:rPr>
        <w:t>"כי ע"י הדיוק יזכור דבריו יותר טוב"</w:t>
      </w:r>
      <w:r>
        <w:rPr>
          <w:rStyle w:val="a4"/>
          <w:rtl/>
        </w:rPr>
        <w:footnoteReference w:id="413"/>
      </w:r>
      <w:r>
        <w:rPr>
          <w:rtl/>
        </w:rPr>
        <w:t>.</w:t>
      </w:r>
      <w:r>
        <w:rPr>
          <w:rFonts w:hint="cs"/>
          <w:rtl/>
        </w:rPr>
        <w:t xml:space="preserve"> </w:t>
      </w:r>
      <w:r>
        <w:rPr>
          <w:rFonts w:hint="cs"/>
          <w:sz w:val="20"/>
          <w:rtl/>
        </w:rPr>
        <w:t xml:space="preserve">חובת האדם לומר בלשון רבו נועדה למַקֵד את הלומד בפרטי הפרטים כדי שיוכל להשמיע בדיוק את ששמע, אף אם רבו </w:t>
      </w:r>
      <w:r>
        <w:rPr>
          <w:rFonts w:hint="cs"/>
          <w:sz w:val="20"/>
          <w:rtl/>
        </w:rPr>
        <w:lastRenderedPageBreak/>
        <w:t>מדבר בלעגי שפה, כי עצם שימת הלב לפרטים תועיל הן להבנת הלימוד והן לזכירתו. יתכן גם שיש ערך עצמי בשימור</w:t>
      </w:r>
      <w:r>
        <w:rPr>
          <w:sz w:val="20"/>
          <w:rtl/>
        </w:rPr>
        <w:t xml:space="preserve"> דברי רבו כלשונם, אף אם אינם מדוקדקים</w:t>
      </w:r>
      <w:r>
        <w:rPr>
          <w:rStyle w:val="a4"/>
          <w:rtl/>
        </w:rPr>
        <w:footnoteReference w:id="414"/>
      </w:r>
      <w:r>
        <w:rPr>
          <w:rFonts w:hint="cs"/>
          <w:sz w:val="26"/>
          <w:rtl/>
        </w:rPr>
        <w:t>.</w:t>
      </w:r>
    </w:p>
    <w:p w14:paraId="2668C467" w14:textId="77777777" w:rsidR="002B4B31" w:rsidRDefault="002B4B31" w:rsidP="002B4B31">
      <w:pPr>
        <w:ind w:firstLine="284"/>
        <w:rPr>
          <w:rFonts w:hint="cs"/>
          <w:rtl/>
        </w:rPr>
      </w:pPr>
      <w:r>
        <w:rPr>
          <w:rFonts w:hint="cs"/>
          <w:rtl/>
        </w:rPr>
        <w:t>עכ"פ, הגר"א דחה פירושים אלה והלך בדרך פירוש הרמב"ם (</w:t>
      </w:r>
      <w:r>
        <w:rPr>
          <w:rFonts w:hint="cs"/>
          <w:szCs w:val="20"/>
          <w:rtl/>
        </w:rPr>
        <w:t>שבדפוס</w:t>
      </w:r>
      <w:r>
        <w:rPr>
          <w:rFonts w:hint="cs"/>
          <w:rtl/>
        </w:rPr>
        <w:t>), אלא שהוא שִכְלֵל אותו מעט: אין כאן אחיזה בלשון עלגים, כי אם ייתור מִלה כלשון רבותיו, ייתור שנבע ממבטאם העִלג, דהיינו: שמעיה ואבטליון, מחמת עלגות לשונם, היו אומרים "</w:t>
      </w:r>
      <w:r>
        <w:rPr>
          <w:rFonts w:hint="cs"/>
          <w:b/>
          <w:bCs/>
          <w:rtl/>
        </w:rPr>
        <w:t>א</w:t>
      </w:r>
      <w:r>
        <w:rPr>
          <w:rFonts w:hint="cs"/>
          <w:rtl/>
        </w:rPr>
        <w:t>ין" במקום "</w:t>
      </w:r>
      <w:r>
        <w:rPr>
          <w:rFonts w:hint="cs"/>
          <w:b/>
          <w:bCs/>
          <w:rtl/>
        </w:rPr>
        <w:t>ה</w:t>
      </w:r>
      <w:r>
        <w:rPr>
          <w:rFonts w:hint="cs"/>
          <w:rtl/>
        </w:rPr>
        <w:t>ין", ולכן אמרו מִלה מיותרת: "מלוא", כדי שלא יובן בטעות "</w:t>
      </w:r>
      <w:r>
        <w:rPr>
          <w:rFonts w:hint="cs"/>
          <w:b/>
          <w:bCs/>
          <w:rtl/>
        </w:rPr>
        <w:t>אֵ</w:t>
      </w:r>
      <w:r>
        <w:rPr>
          <w:rFonts w:hint="cs"/>
          <w:rtl/>
        </w:rPr>
        <w:t>ין מים שאובים פוסלים את המקוה". אך הלל,</w:t>
      </w:r>
      <w:r>
        <w:rPr>
          <w:rtl/>
        </w:rPr>
        <w:t xml:space="preserve"> אע"פ שיכול היה לבטא יפה את האות ה', הקפיד על ייתור לשון רבותיו ואמר "[מלוא] הין"</w:t>
      </w:r>
      <w:r>
        <w:rPr>
          <w:rStyle w:val="a4"/>
          <w:rtl/>
        </w:rPr>
        <w:footnoteReference w:id="415"/>
      </w:r>
      <w:r>
        <w:rPr>
          <w:rFonts w:hint="cs"/>
          <w:rtl/>
        </w:rPr>
        <w:t>.</w:t>
      </w:r>
    </w:p>
    <w:p w14:paraId="1C437278" w14:textId="77777777" w:rsidR="002B4B31" w:rsidRDefault="002B4B31" w:rsidP="002B4B31">
      <w:pPr>
        <w:rPr>
          <w:rFonts w:hint="cs"/>
          <w:rtl/>
        </w:rPr>
      </w:pPr>
    </w:p>
    <w:p w14:paraId="628B3145" w14:textId="77777777" w:rsidR="002B4B31" w:rsidRDefault="002B4B31" w:rsidP="002B4B31">
      <w:pPr>
        <w:pStyle w:val="1"/>
        <w:rPr>
          <w:rFonts w:hint="cs"/>
          <w:rtl/>
        </w:rPr>
      </w:pPr>
      <w:r>
        <w:rPr>
          <w:rFonts w:hint="cs"/>
          <w:rtl/>
        </w:rPr>
        <w:lastRenderedPageBreak/>
        <w:t>דף יז, ב (</w:t>
      </w:r>
      <w:r>
        <w:rPr>
          <w:rtl/>
        </w:rPr>
        <w:t>פ</w:t>
      </w:r>
      <w:r>
        <w:rPr>
          <w:rFonts w:hint="cs"/>
          <w:rtl/>
        </w:rPr>
        <w:t>"</w:t>
      </w:r>
      <w:r>
        <w:rPr>
          <w:rtl/>
        </w:rPr>
        <w:t>א מ</w:t>
      </w:r>
      <w:r>
        <w:rPr>
          <w:rFonts w:hint="cs"/>
          <w:rtl/>
        </w:rPr>
        <w:t>"</w:t>
      </w:r>
      <w:r>
        <w:rPr>
          <w:rtl/>
        </w:rPr>
        <w:t>ח</w:t>
      </w:r>
      <w:r>
        <w:rPr>
          <w:rFonts w:hint="cs"/>
          <w:rtl/>
        </w:rPr>
        <w:t xml:space="preserve">): </w:t>
      </w:r>
      <w:r>
        <w:rPr>
          <w:rtl/>
        </w:rPr>
        <w:t xml:space="preserve">אין נותנין עורות </w:t>
      </w:r>
      <w:r>
        <w:rPr>
          <w:rFonts w:hint="cs"/>
          <w:rtl/>
        </w:rPr>
        <w:t xml:space="preserve">לְעַבְּדָן </w:t>
      </w:r>
    </w:p>
    <w:p w14:paraId="10EE0F71" w14:textId="77777777" w:rsidR="002B4B31" w:rsidRDefault="002B4B31" w:rsidP="002B4B31">
      <w:pPr>
        <w:pStyle w:val="2"/>
        <w:ind w:firstLine="284"/>
        <w:rPr>
          <w:rFonts w:hint="cs"/>
          <w:rtl/>
        </w:rPr>
      </w:pPr>
      <w:r>
        <w:rPr>
          <w:rFonts w:hint="cs"/>
          <w:rtl/>
        </w:rPr>
        <w:t xml:space="preserve">שם עצם או מקור/שם הפועל? </w:t>
      </w:r>
    </w:p>
    <w:p w14:paraId="17D320B2" w14:textId="77777777" w:rsidR="002B4B31" w:rsidRDefault="002B4B31" w:rsidP="002B4B31">
      <w:pPr>
        <w:ind w:firstLine="284"/>
        <w:rPr>
          <w:rFonts w:hint="cs"/>
          <w:rtl/>
        </w:rPr>
      </w:pPr>
      <w:r>
        <w:rPr>
          <w:rFonts w:hint="cs"/>
          <w:rtl/>
        </w:rPr>
        <w:t>יש להסתפק במשמעות המִלה "לְעַבְּדָן" המופיעה במשנה. יתכן לפרש שזוהי צורת מקור (</w:t>
      </w:r>
      <w:r>
        <w:rPr>
          <w:rFonts w:hint="cs"/>
          <w:sz w:val="18"/>
          <w:szCs w:val="20"/>
          <w:rtl/>
        </w:rPr>
        <w:t>בדומה ל"</w:t>
      </w:r>
      <w:r>
        <w:rPr>
          <w:sz w:val="18"/>
          <w:szCs w:val="20"/>
          <w:rtl/>
        </w:rPr>
        <w:t xml:space="preserve">לא שנו אלא לצחצחו, אבל </w:t>
      </w:r>
      <w:r>
        <w:rPr>
          <w:rFonts w:hint="cs"/>
          <w:sz w:val="18"/>
          <w:szCs w:val="20"/>
          <w:rtl/>
        </w:rPr>
        <w:t xml:space="preserve">לְעַבְּדוֹ </w:t>
      </w:r>
      <w:r>
        <w:rPr>
          <w:sz w:val="18"/>
          <w:szCs w:val="20"/>
          <w:rtl/>
        </w:rPr>
        <w:t>- אסור</w:t>
      </w:r>
      <w:r>
        <w:rPr>
          <w:rFonts w:hint="cs"/>
          <w:sz w:val="18"/>
          <w:szCs w:val="20"/>
          <w:rtl/>
        </w:rPr>
        <w:t xml:space="preserve">" בדברי </w:t>
      </w:r>
      <w:r>
        <w:rPr>
          <w:sz w:val="18"/>
          <w:szCs w:val="20"/>
          <w:rtl/>
        </w:rPr>
        <w:t>רב חסדא</w:t>
      </w:r>
      <w:r>
        <w:rPr>
          <w:rFonts w:hint="cs"/>
          <w:sz w:val="18"/>
          <w:szCs w:val="20"/>
          <w:rtl/>
        </w:rPr>
        <w:t xml:space="preserve">, </w:t>
      </w:r>
      <w:r>
        <w:rPr>
          <w:sz w:val="18"/>
          <w:szCs w:val="20"/>
          <w:rtl/>
        </w:rPr>
        <w:t>שבת קמא</w:t>
      </w:r>
      <w:r>
        <w:rPr>
          <w:rFonts w:hint="cs"/>
          <w:sz w:val="18"/>
          <w:szCs w:val="20"/>
          <w:rtl/>
        </w:rPr>
        <w:t xml:space="preserve">, </w:t>
      </w:r>
      <w:r>
        <w:rPr>
          <w:sz w:val="18"/>
          <w:szCs w:val="20"/>
          <w:rtl/>
        </w:rPr>
        <w:t>ב</w:t>
      </w:r>
      <w:r>
        <w:rPr>
          <w:rFonts w:hint="cs"/>
          <w:rtl/>
        </w:rPr>
        <w:t>) והכוונה לתת את העורות על מנת לְעַבֵּד אותן</w:t>
      </w:r>
      <w:r>
        <w:rPr>
          <w:rStyle w:val="a4"/>
          <w:rtl/>
        </w:rPr>
        <w:footnoteReference w:id="416"/>
      </w:r>
      <w:r>
        <w:rPr>
          <w:rFonts w:hint="cs"/>
          <w:rtl/>
        </w:rPr>
        <w:t xml:space="preserve">. </w:t>
      </w:r>
    </w:p>
    <w:p w14:paraId="1999FA73" w14:textId="77777777" w:rsidR="002B4B31" w:rsidRDefault="002B4B31" w:rsidP="002B4B31">
      <w:pPr>
        <w:ind w:firstLine="284"/>
        <w:rPr>
          <w:rFonts w:hint="cs"/>
          <w:color w:val="FF0000"/>
          <w:sz w:val="24"/>
          <w:rtl/>
        </w:rPr>
      </w:pPr>
      <w:r>
        <w:rPr>
          <w:rFonts w:hint="cs"/>
          <w:rtl/>
        </w:rPr>
        <w:t>ואולם, מסתבר יותר לפרש ש"לְעַבְּדָן" איננו "לְעַבֵּד+אותן", אלא זהו שם עצם בתוספת ל' השימוש (לְ+עַבְּדָן), וכשם שמצינו ב</w:t>
      </w:r>
      <w:r>
        <w:rPr>
          <w:rtl/>
        </w:rPr>
        <w:t xml:space="preserve">מסכת כלים </w:t>
      </w:r>
      <w:r>
        <w:rPr>
          <w:rFonts w:hint="cs"/>
          <w:rtl/>
        </w:rPr>
        <w:t>(</w:t>
      </w:r>
      <w:r>
        <w:rPr>
          <w:sz w:val="18"/>
          <w:szCs w:val="20"/>
          <w:rtl/>
        </w:rPr>
        <w:t>פכ</w:t>
      </w:r>
      <w:r>
        <w:rPr>
          <w:rFonts w:hint="cs"/>
          <w:sz w:val="18"/>
          <w:szCs w:val="20"/>
          <w:rtl/>
        </w:rPr>
        <w:t>"</w:t>
      </w:r>
      <w:r>
        <w:rPr>
          <w:sz w:val="18"/>
          <w:szCs w:val="20"/>
          <w:rtl/>
        </w:rPr>
        <w:t>ו מ</w:t>
      </w:r>
      <w:r>
        <w:rPr>
          <w:rFonts w:hint="cs"/>
          <w:sz w:val="18"/>
          <w:szCs w:val="20"/>
          <w:rtl/>
        </w:rPr>
        <w:t>"</w:t>
      </w:r>
      <w:r>
        <w:rPr>
          <w:sz w:val="18"/>
          <w:szCs w:val="20"/>
          <w:rtl/>
        </w:rPr>
        <w:t>ח</w:t>
      </w:r>
      <w:r>
        <w:rPr>
          <w:rFonts w:hint="cs"/>
          <w:sz w:val="18"/>
          <w:szCs w:val="20"/>
          <w:rtl/>
        </w:rPr>
        <w:t xml:space="preserve">; </w:t>
      </w:r>
      <w:r>
        <w:rPr>
          <w:sz w:val="18"/>
          <w:szCs w:val="20"/>
          <w:rtl/>
        </w:rPr>
        <w:t>בבא קמא קיד</w:t>
      </w:r>
      <w:r>
        <w:rPr>
          <w:rFonts w:hint="cs"/>
          <w:sz w:val="18"/>
          <w:szCs w:val="20"/>
          <w:rtl/>
        </w:rPr>
        <w:t xml:space="preserve">, </w:t>
      </w:r>
      <w:r>
        <w:rPr>
          <w:sz w:val="18"/>
          <w:szCs w:val="20"/>
          <w:rtl/>
        </w:rPr>
        <w:t>א</w:t>
      </w:r>
      <w:r>
        <w:rPr>
          <w:rFonts w:hint="cs"/>
          <w:sz w:val="18"/>
          <w:szCs w:val="20"/>
          <w:rtl/>
        </w:rPr>
        <w:t xml:space="preserve">: </w:t>
      </w:r>
      <w:r>
        <w:rPr>
          <w:sz w:val="18"/>
          <w:szCs w:val="20"/>
          <w:rtl/>
        </w:rPr>
        <w:t xml:space="preserve">עורות של בעל הבית - מחשבה מטמאתן, ושל </w:t>
      </w:r>
      <w:r>
        <w:rPr>
          <w:rFonts w:hint="cs"/>
          <w:sz w:val="18"/>
          <w:szCs w:val="20"/>
          <w:rtl/>
        </w:rPr>
        <w:t>עַבְּדָן</w:t>
      </w:r>
      <w:r>
        <w:rPr>
          <w:rFonts w:hint="cs"/>
          <w:sz w:val="14"/>
          <w:szCs w:val="16"/>
          <w:rtl/>
        </w:rPr>
        <w:t xml:space="preserve"> </w:t>
      </w:r>
      <w:r>
        <w:rPr>
          <w:sz w:val="18"/>
          <w:szCs w:val="20"/>
          <w:rtl/>
        </w:rPr>
        <w:t>- אין מחשבה מטמאתן</w:t>
      </w:r>
      <w:r>
        <w:rPr>
          <w:rFonts w:hint="cs"/>
          <w:sz w:val="18"/>
          <w:szCs w:val="20"/>
          <w:rtl/>
        </w:rPr>
        <w:t>"</w:t>
      </w:r>
      <w:r>
        <w:rPr>
          <w:rFonts w:hint="cs"/>
          <w:rtl/>
        </w:rPr>
        <w:t>). כך נראה להוכיח מן ההקבלה לסיפא דמתניתין: "</w:t>
      </w:r>
      <w:r>
        <w:rPr>
          <w:rtl/>
        </w:rPr>
        <w:t xml:space="preserve">אין נותנין עורות </w:t>
      </w:r>
      <w:r>
        <w:rPr>
          <w:rFonts w:hint="cs"/>
          <w:rtl/>
        </w:rPr>
        <w:t xml:space="preserve">לְעַבְּדָן, </w:t>
      </w:r>
      <w:r>
        <w:rPr>
          <w:rtl/>
        </w:rPr>
        <w:t>ולא כלים ל</w:t>
      </w:r>
      <w:r>
        <w:rPr>
          <w:rFonts w:hint="cs"/>
          <w:rtl/>
        </w:rPr>
        <w:t>ְ</w:t>
      </w:r>
      <w:r>
        <w:rPr>
          <w:rtl/>
        </w:rPr>
        <w:t>כו</w:t>
      </w:r>
      <w:r>
        <w:rPr>
          <w:rFonts w:hint="cs"/>
          <w:rtl/>
        </w:rPr>
        <w:t>ֹ</w:t>
      </w:r>
      <w:r>
        <w:rPr>
          <w:rtl/>
        </w:rPr>
        <w:t>ב</w:t>
      </w:r>
      <w:r>
        <w:rPr>
          <w:rFonts w:hint="cs"/>
          <w:rtl/>
        </w:rPr>
        <w:t>ֵ</w:t>
      </w:r>
      <w:r>
        <w:rPr>
          <w:rtl/>
        </w:rPr>
        <w:t>ס</w:t>
      </w:r>
      <w:r>
        <w:rPr>
          <w:b/>
          <w:bCs/>
          <w:rtl/>
        </w:rPr>
        <w:t xml:space="preserve"> </w:t>
      </w:r>
      <w:r>
        <w:rPr>
          <w:rtl/>
        </w:rPr>
        <w:t>נכרי</w:t>
      </w:r>
      <w:r>
        <w:rPr>
          <w:rFonts w:hint="cs"/>
          <w:rtl/>
        </w:rPr>
        <w:t>" (תפארת ישראל</w:t>
      </w:r>
      <w:r>
        <w:rPr>
          <w:rFonts w:hint="cs"/>
          <w:sz w:val="18"/>
          <w:szCs w:val="20"/>
          <w:rtl/>
        </w:rPr>
        <w:t>, יכין</w:t>
      </w:r>
      <w:r>
        <w:rPr>
          <w:rFonts w:hint="cs"/>
          <w:sz w:val="24"/>
          <w:rtl/>
        </w:rPr>
        <w:t xml:space="preserve">), וכך פרש </w:t>
      </w:r>
      <w:r>
        <w:rPr>
          <w:sz w:val="24"/>
          <w:rtl/>
        </w:rPr>
        <w:t>ר' עובדיה מברטנורא</w:t>
      </w:r>
      <w:r>
        <w:rPr>
          <w:rFonts w:hint="cs"/>
          <w:sz w:val="24"/>
          <w:rtl/>
        </w:rPr>
        <w:t>:</w:t>
      </w:r>
      <w:r>
        <w:rPr>
          <w:sz w:val="24"/>
          <w:rtl/>
        </w:rPr>
        <w:t xml:space="preserve"> </w:t>
      </w:r>
      <w:r>
        <w:rPr>
          <w:rFonts w:hint="cs"/>
          <w:sz w:val="24"/>
          <w:rtl/>
        </w:rPr>
        <w:t>"</w:t>
      </w:r>
      <w:r>
        <w:rPr>
          <w:sz w:val="24"/>
          <w:rtl/>
        </w:rPr>
        <w:t>לעבדן - מעבד העורות</w:t>
      </w:r>
      <w:r>
        <w:rPr>
          <w:rFonts w:hint="cs"/>
          <w:sz w:val="24"/>
          <w:rtl/>
        </w:rPr>
        <w:t>".</w:t>
      </w:r>
      <w:r>
        <w:rPr>
          <w:sz w:val="24"/>
          <w:rtl/>
        </w:rPr>
        <w:t xml:space="preserve"> </w:t>
      </w:r>
      <w:r>
        <w:rPr>
          <w:color w:val="FF0000"/>
          <w:sz w:val="24"/>
          <w:rtl/>
        </w:rPr>
        <w:t xml:space="preserve"> </w:t>
      </w:r>
    </w:p>
    <w:p w14:paraId="4329C094" w14:textId="77777777" w:rsidR="002B4B31" w:rsidRDefault="002B4B31" w:rsidP="002B4B31">
      <w:pPr>
        <w:rPr>
          <w:rFonts w:hint="cs"/>
          <w:rtl/>
        </w:rPr>
      </w:pPr>
    </w:p>
    <w:p w14:paraId="33CDCD73" w14:textId="77777777" w:rsidR="002B4B31" w:rsidRDefault="002B4B31" w:rsidP="002B4B31">
      <w:pPr>
        <w:pStyle w:val="1"/>
        <w:rPr>
          <w:rFonts w:hint="cs"/>
          <w:rtl/>
        </w:rPr>
      </w:pPr>
      <w:r>
        <w:rPr>
          <w:rFonts w:hint="cs"/>
          <w:rtl/>
        </w:rPr>
        <w:t>דף יז, ב בפירוש ר"ח</w:t>
      </w:r>
    </w:p>
    <w:p w14:paraId="794F8CE4" w14:textId="77777777" w:rsidR="002B4B31" w:rsidRDefault="002B4B31" w:rsidP="002B4B31">
      <w:pPr>
        <w:pStyle w:val="2"/>
        <w:rPr>
          <w:rFonts w:hint="cs"/>
          <w:color w:val="FF0000"/>
          <w:rtl/>
        </w:rPr>
      </w:pPr>
      <w:r>
        <w:rPr>
          <w:rFonts w:hint="cs"/>
          <w:rtl/>
        </w:rPr>
        <w:t>קבוע בארץ ישראל ומדבר בלשון הקודש</w:t>
      </w:r>
    </w:p>
    <w:p w14:paraId="7BDCF80B" w14:textId="77777777" w:rsidR="002B4B31" w:rsidRDefault="002B4B31" w:rsidP="002B4B31">
      <w:pPr>
        <w:ind w:firstLine="284"/>
        <w:rPr>
          <w:rFonts w:hint="cs"/>
          <w:rtl/>
        </w:rPr>
      </w:pPr>
      <w:r>
        <w:rPr>
          <w:rFonts w:hint="cs"/>
          <w:rtl/>
        </w:rPr>
        <w:t xml:space="preserve">בסוף סוגיית י"ח דבר, שעיקרם גזרות שגזרו חז"ל כתריס בפני סכנת הטמיעה בקרב הגוים וכדי להבדיל בין ישראל לעמים, מביא </w:t>
      </w:r>
      <w:r>
        <w:rPr>
          <w:rFonts w:hint="cs"/>
          <w:rtl/>
        </w:rPr>
        <w:lastRenderedPageBreak/>
        <w:t>רבנו חננאל שני מאמרים מן התלמוד הירושלמי שאמרו שני תלמידי רבי עקיבא, שמהם ניתן לעמוד על חשיבות הדיבור בלשון הקודש:</w:t>
      </w:r>
    </w:p>
    <w:p w14:paraId="6724A984" w14:textId="77777777" w:rsidR="002B4B31" w:rsidRDefault="002B4B31" w:rsidP="002B4B31">
      <w:pPr>
        <w:pStyle w:val="3"/>
        <w:rPr>
          <w:rFonts w:hint="cs"/>
          <w:rtl/>
        </w:rPr>
      </w:pPr>
      <w:r>
        <w:rPr>
          <w:rtl/>
        </w:rPr>
        <w:t>ר</w:t>
      </w:r>
      <w:r>
        <w:rPr>
          <w:rFonts w:hint="cs"/>
          <w:rtl/>
        </w:rPr>
        <w:t xml:space="preserve">' </w:t>
      </w:r>
      <w:r>
        <w:rPr>
          <w:rtl/>
        </w:rPr>
        <w:t>ש</w:t>
      </w:r>
      <w:r>
        <w:rPr>
          <w:rFonts w:hint="cs"/>
          <w:rtl/>
        </w:rPr>
        <w:t>מעון</w:t>
      </w:r>
      <w:r>
        <w:rPr>
          <w:rtl/>
        </w:rPr>
        <w:t xml:space="preserve"> בן יוחי</w:t>
      </w:r>
    </w:p>
    <w:p w14:paraId="04881FF9" w14:textId="77777777" w:rsidR="002B4B31" w:rsidRDefault="002B4B31" w:rsidP="002B4B31">
      <w:pPr>
        <w:ind w:left="720" w:firstLine="284"/>
        <w:rPr>
          <w:rFonts w:hint="cs"/>
          <w:rtl/>
        </w:rPr>
      </w:pPr>
      <w:r>
        <w:rPr>
          <w:rFonts w:hint="cs"/>
          <w:rtl/>
        </w:rPr>
        <w:t>"</w:t>
      </w:r>
      <w:r>
        <w:rPr>
          <w:rtl/>
        </w:rPr>
        <w:t xml:space="preserve">תני </w:t>
      </w:r>
      <w:r>
        <w:rPr>
          <w:rFonts w:hint="cs"/>
          <w:rtl/>
        </w:rPr>
        <w:t>רשב"י:</w:t>
      </w:r>
      <w:r>
        <w:rPr>
          <w:rtl/>
        </w:rPr>
        <w:t xml:space="preserve"> בו ביום גזרו פיתן ויינן וגבינתן וח</w:t>
      </w:r>
      <w:r>
        <w:rPr>
          <w:rFonts w:hint="cs"/>
          <w:rtl/>
        </w:rPr>
        <w:t>ֹ</w:t>
      </w:r>
      <w:r>
        <w:rPr>
          <w:rtl/>
        </w:rPr>
        <w:t xml:space="preserve">מצן וצירן ומורייסן </w:t>
      </w:r>
      <w:r>
        <w:rPr>
          <w:rFonts w:hint="cs"/>
          <w:rtl/>
        </w:rPr>
        <w:t>ו</w:t>
      </w:r>
      <w:r>
        <w:rPr>
          <w:rtl/>
        </w:rPr>
        <w:t>כבושיה</w:t>
      </w:r>
      <w:r>
        <w:rPr>
          <w:rFonts w:hint="cs"/>
          <w:rtl/>
        </w:rPr>
        <w:t>ו</w:t>
      </w:r>
      <w:r>
        <w:rPr>
          <w:rtl/>
        </w:rPr>
        <w:t>ן ושלוקיהן ומלוחיהן ועל החל</w:t>
      </w:r>
      <w:r>
        <w:rPr>
          <w:rFonts w:hint="cs"/>
          <w:rtl/>
        </w:rPr>
        <w:t>י</w:t>
      </w:r>
      <w:r>
        <w:rPr>
          <w:rtl/>
        </w:rPr>
        <w:t>קה ושחיקה טיסני</w:t>
      </w:r>
      <w:r>
        <w:rPr>
          <w:rFonts w:hint="cs"/>
          <w:rtl/>
        </w:rPr>
        <w:t>,</w:t>
      </w:r>
      <w:r>
        <w:rPr>
          <w:rtl/>
        </w:rPr>
        <w:t xml:space="preserve"> </w:t>
      </w:r>
      <w:r>
        <w:rPr>
          <w:b/>
          <w:bCs/>
          <w:rtl/>
        </w:rPr>
        <w:t>ועל לשונ</w:t>
      </w:r>
      <w:r>
        <w:rPr>
          <w:rFonts w:hint="cs"/>
          <w:b/>
          <w:bCs/>
          <w:rtl/>
        </w:rPr>
        <w:t>ם</w:t>
      </w:r>
      <w:r>
        <w:rPr>
          <w:b/>
          <w:bCs/>
          <w:rtl/>
        </w:rPr>
        <w:t xml:space="preserve"> </w:t>
      </w:r>
      <w:r>
        <w:rPr>
          <w:rtl/>
        </w:rPr>
        <w:t xml:space="preserve">ועל עדותן ומתנתן ובכוריהן </w:t>
      </w:r>
      <w:r>
        <w:rPr>
          <w:rFonts w:hint="cs"/>
          <w:rtl/>
        </w:rPr>
        <w:t>ו</w:t>
      </w:r>
      <w:r>
        <w:rPr>
          <w:rtl/>
        </w:rPr>
        <w:t>בניהן</w:t>
      </w:r>
      <w:r>
        <w:rPr>
          <w:rFonts w:hint="cs"/>
          <w:rtl/>
        </w:rPr>
        <w:t>...</w:t>
      </w:r>
      <w:r>
        <w:rPr>
          <w:rtl/>
        </w:rPr>
        <w:t xml:space="preserve"> ובנותיהן</w:t>
      </w:r>
      <w:r>
        <w:rPr>
          <w:rFonts w:hint="cs"/>
          <w:rtl/>
        </w:rPr>
        <w:t>" (</w:t>
      </w:r>
      <w:r>
        <w:rPr>
          <w:rFonts w:hint="cs"/>
          <w:sz w:val="18"/>
          <w:szCs w:val="20"/>
          <w:rtl/>
        </w:rPr>
        <w:t>שבת פ"א ה"ד;</w:t>
      </w:r>
      <w:r>
        <w:rPr>
          <w:rFonts w:hint="cs"/>
          <w:rtl/>
        </w:rPr>
        <w:t xml:space="preserve"> </w:t>
      </w:r>
      <w:r>
        <w:rPr>
          <w:rFonts w:hint="cs"/>
          <w:sz w:val="18"/>
          <w:szCs w:val="20"/>
          <w:rtl/>
        </w:rPr>
        <w:t>עמ' 371 במהדורת האקדמיה ללשון</w:t>
      </w:r>
      <w:r>
        <w:rPr>
          <w:rFonts w:hint="cs"/>
          <w:rtl/>
        </w:rPr>
        <w:t xml:space="preserve">). </w:t>
      </w:r>
    </w:p>
    <w:p w14:paraId="753F3FF6" w14:textId="77777777" w:rsidR="002B4B31" w:rsidRDefault="002B4B31" w:rsidP="002B4B31">
      <w:pPr>
        <w:ind w:firstLine="284"/>
        <w:rPr>
          <w:rFonts w:hint="cs"/>
          <w:rtl/>
        </w:rPr>
      </w:pPr>
      <w:r>
        <w:rPr>
          <w:rFonts w:hint="cs"/>
          <w:rtl/>
        </w:rPr>
        <w:t>לדעת רשב"י גזרו חכמים שלא לדבר בלשון הגוים, מה שלא נזכר בבבלי</w:t>
      </w:r>
      <w:r>
        <w:rPr>
          <w:rStyle w:val="a4"/>
          <w:rtl/>
        </w:rPr>
        <w:footnoteReference w:id="417"/>
      </w:r>
      <w:r>
        <w:rPr>
          <w:rFonts w:hint="cs"/>
          <w:rtl/>
        </w:rPr>
        <w:t>.</w:t>
      </w:r>
    </w:p>
    <w:p w14:paraId="1685BC87" w14:textId="77777777" w:rsidR="002B4B31" w:rsidRDefault="002B4B31" w:rsidP="002B4B31">
      <w:pPr>
        <w:pStyle w:val="3"/>
        <w:rPr>
          <w:rFonts w:hint="cs"/>
          <w:rtl/>
        </w:rPr>
      </w:pPr>
      <w:r>
        <w:rPr>
          <w:rtl/>
        </w:rPr>
        <w:t>ר</w:t>
      </w:r>
      <w:r>
        <w:rPr>
          <w:rFonts w:hint="cs"/>
          <w:rtl/>
        </w:rPr>
        <w:t>' מאיר</w:t>
      </w:r>
    </w:p>
    <w:p w14:paraId="239E39C6" w14:textId="77777777" w:rsidR="002B4B31" w:rsidRDefault="002B4B31" w:rsidP="002B4B31">
      <w:pPr>
        <w:ind w:firstLine="284"/>
        <w:rPr>
          <w:rFonts w:hint="cs"/>
          <w:rtl/>
        </w:rPr>
      </w:pPr>
      <w:r>
        <w:rPr>
          <w:rFonts w:hint="cs"/>
          <w:rtl/>
        </w:rPr>
        <w:t>בהמשך (</w:t>
      </w:r>
      <w:r>
        <w:rPr>
          <w:rFonts w:hint="cs"/>
          <w:sz w:val="18"/>
          <w:szCs w:val="20"/>
          <w:rtl/>
        </w:rPr>
        <w:t>שבת פ"א ה"ג;</w:t>
      </w:r>
      <w:r>
        <w:rPr>
          <w:rFonts w:hint="cs"/>
          <w:rtl/>
        </w:rPr>
        <w:t xml:space="preserve"> </w:t>
      </w:r>
      <w:r>
        <w:rPr>
          <w:rFonts w:hint="cs"/>
          <w:sz w:val="18"/>
          <w:szCs w:val="20"/>
          <w:rtl/>
        </w:rPr>
        <w:t>עמ' 370 שם</w:t>
      </w:r>
      <w:r>
        <w:rPr>
          <w:rFonts w:hint="cs"/>
          <w:rtl/>
        </w:rPr>
        <w:t xml:space="preserve">) מובאת ברייתא של ר"מ: </w:t>
      </w:r>
    </w:p>
    <w:p w14:paraId="081B1349" w14:textId="77777777" w:rsidR="002B4B31" w:rsidRDefault="002B4B31" w:rsidP="002B4B31">
      <w:pPr>
        <w:ind w:left="720" w:firstLine="284"/>
        <w:rPr>
          <w:rFonts w:hint="cs"/>
          <w:rtl/>
        </w:rPr>
      </w:pPr>
      <w:r>
        <w:rPr>
          <w:rFonts w:hint="cs"/>
          <w:rtl/>
        </w:rPr>
        <w:lastRenderedPageBreak/>
        <w:t>"תני בשם רבי מאיר: כל הקבוע בארץ ישראל, ואוכל חולין בטהרה, ומדבר בלשון הקודש, וקורא את שמע בבקר ובערב - מובטח שהוא בן העולם הבא".</w:t>
      </w:r>
    </w:p>
    <w:p w14:paraId="11BF8D65" w14:textId="77777777" w:rsidR="002B4B31" w:rsidRDefault="002B4B31" w:rsidP="002B4B31">
      <w:pPr>
        <w:ind w:firstLine="284"/>
        <w:rPr>
          <w:rFonts w:hint="cs"/>
          <w:rtl/>
        </w:rPr>
      </w:pPr>
      <w:r>
        <w:rPr>
          <w:rFonts w:hint="cs"/>
          <w:rtl/>
        </w:rPr>
        <w:t>יש מסבירים כי הרקע ההיסטורי לדברי ר' מאיר במעלת מי שקבוע בארץ ישראל, הוא השמד שהיה בזמנו לאחר מלחמת ביתר, שגרם ליהודים רבים לרדת ולהתיישב בארצות חוץ לארץ (</w:t>
      </w:r>
      <w:r>
        <w:rPr>
          <w:rFonts w:hint="cs"/>
          <w:sz w:val="18"/>
          <w:szCs w:val="20"/>
          <w:rtl/>
        </w:rPr>
        <w:t>ואפילו ר"מ הוכרח לברוח לאסיא ושם נפטר</w:t>
      </w:r>
      <w:r>
        <w:rPr>
          <w:rFonts w:hint="cs"/>
          <w:rtl/>
        </w:rPr>
        <w:t>), שם יכלו לחיות כיהודים ואין רודף (</w:t>
      </w:r>
      <w:r>
        <w:rPr>
          <w:rFonts w:hint="cs"/>
          <w:sz w:val="18"/>
          <w:szCs w:val="20"/>
          <w:rtl/>
        </w:rPr>
        <w:t>עלי תמר, שם, עמ' יד</w:t>
      </w:r>
      <w:r>
        <w:rPr>
          <w:rFonts w:hint="cs"/>
          <w:rtl/>
        </w:rPr>
        <w:t>). יישוב הארץ היה ועודנו ניסיון לא פשוט, וכמו שאמר חברו הנ"ל של ר' מאיר, ר' שמעון בן יוחאי: "שלש מתנות טובות נתן הקדוש ברוך הוא לישראל, וכולן לא נתנן אלא ע"י יסורין, אלו הן: תורה, וארץ ישראל והעולם הבא" (</w:t>
      </w:r>
      <w:r>
        <w:rPr>
          <w:rFonts w:hint="cs"/>
          <w:sz w:val="18"/>
          <w:szCs w:val="20"/>
          <w:rtl/>
        </w:rPr>
        <w:t>בבלי ברכות ה, א</w:t>
      </w:r>
      <w:r>
        <w:rPr>
          <w:rFonts w:hint="cs"/>
          <w:rtl/>
        </w:rPr>
        <w:t>).</w:t>
      </w:r>
    </w:p>
    <w:p w14:paraId="7CA0262B" w14:textId="77777777" w:rsidR="002B4B31" w:rsidRDefault="002B4B31" w:rsidP="002B4B31">
      <w:pPr>
        <w:ind w:firstLine="284"/>
        <w:rPr>
          <w:rFonts w:hint="cs"/>
          <w:rtl/>
        </w:rPr>
      </w:pPr>
      <w:r>
        <w:rPr>
          <w:rFonts w:hint="cs"/>
          <w:rtl/>
        </w:rPr>
        <w:t>כמו כן, דבריו בשבח הדיבור בלשון הקודש נאמרו כלפי הסכנה שהיא תחדל מלהיות מדוברת, עקב חדירת הארמית והיוונית בתקופתו, שאיימו לרשת את מקום העברית.</w:t>
      </w:r>
    </w:p>
    <w:p w14:paraId="26E52E97" w14:textId="77777777" w:rsidR="002B4B31" w:rsidRDefault="002B4B31" w:rsidP="002B4B31">
      <w:pPr>
        <w:pStyle w:val="3"/>
        <w:rPr>
          <w:rFonts w:hint="cs"/>
          <w:rtl/>
        </w:rPr>
      </w:pPr>
      <w:r>
        <w:rPr>
          <w:rFonts w:hint="cs"/>
          <w:rtl/>
        </w:rPr>
        <w:lastRenderedPageBreak/>
        <w:t>הקבוע והדר בארץ ישראל</w:t>
      </w:r>
    </w:p>
    <w:p w14:paraId="41393125" w14:textId="77777777" w:rsidR="002B4B31" w:rsidRDefault="002B4B31" w:rsidP="002B4B31">
      <w:pPr>
        <w:ind w:firstLine="284"/>
        <w:rPr>
          <w:rFonts w:hint="cs"/>
          <w:rtl/>
        </w:rPr>
      </w:pPr>
      <w:r>
        <w:rPr>
          <w:rFonts w:hint="cs"/>
          <w:rtl/>
        </w:rPr>
        <w:t>בדברי ר"מ המובאים בספרי</w:t>
      </w:r>
      <w:r>
        <w:rPr>
          <w:rStyle w:val="a4"/>
          <w:rtl/>
        </w:rPr>
        <w:footnoteReference w:id="418"/>
      </w:r>
      <w:r>
        <w:rPr>
          <w:rFonts w:hint="cs"/>
          <w:rtl/>
        </w:rPr>
        <w:t xml:space="preserve"> הלשון מובנת ורגילה יותר: "</w:t>
      </w:r>
      <w:r>
        <w:rPr>
          <w:rFonts w:hint="cs"/>
          <w:b/>
          <w:bCs/>
          <w:rtl/>
        </w:rPr>
        <w:t>הדר</w:t>
      </w:r>
      <w:r>
        <w:rPr>
          <w:rFonts w:hint="cs"/>
          <w:rtl/>
        </w:rPr>
        <w:t xml:space="preserve"> בארץ ישראל"</w:t>
      </w:r>
      <w:r>
        <w:rPr>
          <w:rStyle w:val="a4"/>
          <w:rtl/>
        </w:rPr>
        <w:footnoteReference w:id="419"/>
      </w:r>
      <w:r>
        <w:rPr>
          <w:rFonts w:hint="cs"/>
          <w:rtl/>
        </w:rPr>
        <w:t>. ברם, הניסוח בירושלמי</w:t>
      </w:r>
      <w:r>
        <w:rPr>
          <w:rStyle w:val="a4"/>
          <w:rtl/>
        </w:rPr>
        <w:footnoteReference w:id="420"/>
      </w:r>
      <w:r>
        <w:rPr>
          <w:rFonts w:hint="cs"/>
          <w:rtl/>
        </w:rPr>
        <w:t xml:space="preserve"> מדגיש שאין מדובר במגורים עראיים, אלא במגורי קבע. </w:t>
      </w:r>
    </w:p>
    <w:p w14:paraId="4A1F2D8F" w14:textId="77777777" w:rsidR="002B4B31" w:rsidRDefault="002B4B31" w:rsidP="002B4B31">
      <w:pPr>
        <w:pStyle w:val="a8"/>
        <w:ind w:left="0"/>
        <w:rPr>
          <w:rFonts w:hint="cs"/>
          <w:rtl/>
        </w:rPr>
      </w:pPr>
      <w:r>
        <w:rPr>
          <w:rFonts w:hint="cs"/>
          <w:rtl/>
        </w:rPr>
        <w:t>שורש גו"ר במשמע שְכינה, דִיוּר ומגורים</w:t>
      </w:r>
      <w:r>
        <w:rPr>
          <w:rStyle w:val="a4"/>
          <w:rtl/>
        </w:rPr>
        <w:footnoteReference w:id="421"/>
      </w:r>
      <w:r>
        <w:rPr>
          <w:rFonts w:hint="cs"/>
          <w:rtl/>
        </w:rPr>
        <w:t>, בא בעברית המקראית הן למגורי עראי והן למגורי קבע. אונקלוס מבחין ביניהם בתרגומו בד"כ בעזרת שני שורשים: שורש דו"ר ושורש ית"ב</w:t>
      </w:r>
      <w:r>
        <w:rPr>
          <w:rStyle w:val="a4"/>
          <w:rtl/>
        </w:rPr>
        <w:footnoteReference w:id="422"/>
      </w:r>
      <w:r>
        <w:rPr>
          <w:rFonts w:hint="cs"/>
          <w:rtl/>
        </w:rPr>
        <w:t>. ית"ב הארמי מקביל לשורש יש"ב העברי</w:t>
      </w:r>
      <w:r>
        <w:rPr>
          <w:rStyle w:val="a4"/>
          <w:rtl/>
        </w:rPr>
        <w:footnoteReference w:id="423"/>
      </w:r>
      <w:r>
        <w:rPr>
          <w:rFonts w:hint="cs"/>
          <w:rtl/>
        </w:rPr>
        <w:t xml:space="preserve">, והם מציינים מגורי קבע. לעומת זאת, שורש </w:t>
      </w:r>
      <w:r>
        <w:rPr>
          <w:rFonts w:hint="cs"/>
          <w:b/>
          <w:bCs/>
          <w:rtl/>
        </w:rPr>
        <w:t>ג</w:t>
      </w:r>
      <w:r>
        <w:rPr>
          <w:rFonts w:hint="cs"/>
          <w:rtl/>
        </w:rPr>
        <w:t xml:space="preserve">ו"ר כמו אחיו שורש </w:t>
      </w:r>
      <w:r>
        <w:rPr>
          <w:rFonts w:hint="cs"/>
          <w:b/>
          <w:bCs/>
          <w:rtl/>
        </w:rPr>
        <w:t>ד</w:t>
      </w:r>
      <w:r>
        <w:rPr>
          <w:rFonts w:hint="cs"/>
          <w:rtl/>
        </w:rPr>
        <w:t>ו"ר</w:t>
      </w:r>
      <w:r>
        <w:rPr>
          <w:rStyle w:val="a4"/>
          <w:rtl/>
        </w:rPr>
        <w:footnoteReference w:id="424"/>
      </w:r>
      <w:r>
        <w:rPr>
          <w:rFonts w:hint="cs"/>
          <w:rtl/>
        </w:rPr>
        <w:t>, מציינים בדרך כלל ישיבה ארעית, מגורים זמניים.</w:t>
      </w:r>
    </w:p>
    <w:p w14:paraId="2923ADFA" w14:textId="77777777" w:rsidR="002B4B31" w:rsidRDefault="002B4B31" w:rsidP="002B4B31">
      <w:pPr>
        <w:pStyle w:val="a8"/>
        <w:ind w:left="0"/>
        <w:rPr>
          <w:rFonts w:hint="cs"/>
          <w:rtl/>
        </w:rPr>
      </w:pPr>
      <w:r>
        <w:rPr>
          <w:rFonts w:hint="cs"/>
          <w:rtl/>
        </w:rPr>
        <w:lastRenderedPageBreak/>
        <w:t>על כן, מגורי האבות בארץ כנען - נתפסים כמגורי קבע</w:t>
      </w:r>
      <w:r>
        <w:rPr>
          <w:rStyle w:val="a4"/>
          <w:rtl/>
        </w:rPr>
        <w:footnoteReference w:id="425"/>
      </w:r>
      <w:r>
        <w:rPr>
          <w:rFonts w:hint="cs"/>
          <w:rtl/>
        </w:rPr>
        <w:t>; אך מגוריהם בארץ נכר וכן מגורי בניהם בגלות - נחשבים ישיבת עראי</w:t>
      </w:r>
      <w:r>
        <w:rPr>
          <w:rStyle w:val="a4"/>
          <w:rtl/>
        </w:rPr>
        <w:footnoteReference w:id="426"/>
      </w:r>
      <w:r>
        <w:rPr>
          <w:rFonts w:hint="cs"/>
          <w:rtl/>
        </w:rPr>
        <w:t xml:space="preserve">. </w:t>
      </w:r>
    </w:p>
    <w:p w14:paraId="58D6204B" w14:textId="77777777" w:rsidR="002B4B31" w:rsidRDefault="002B4B31" w:rsidP="002B4B31">
      <w:pPr>
        <w:pStyle w:val="a8"/>
        <w:ind w:left="0"/>
        <w:rPr>
          <w:rFonts w:hint="cs"/>
          <w:rtl/>
        </w:rPr>
      </w:pPr>
      <w:r>
        <w:rPr>
          <w:rFonts w:hint="cs"/>
          <w:rtl/>
        </w:rPr>
        <w:t xml:space="preserve">הצירוף "גֵּר וְתוֹשָׁב" </w:t>
      </w:r>
      <w:r>
        <w:rPr>
          <w:rtl/>
        </w:rPr>
        <w:t>(</w:t>
      </w:r>
      <w:r>
        <w:rPr>
          <w:sz w:val="18"/>
          <w:szCs w:val="20"/>
          <w:rtl/>
        </w:rPr>
        <w:t>בראשית כג</w:t>
      </w:r>
      <w:r>
        <w:rPr>
          <w:rFonts w:hint="cs"/>
          <w:sz w:val="18"/>
          <w:szCs w:val="20"/>
          <w:rtl/>
        </w:rPr>
        <w:t xml:space="preserve">, </w:t>
      </w:r>
      <w:r>
        <w:rPr>
          <w:sz w:val="18"/>
          <w:szCs w:val="20"/>
          <w:rtl/>
        </w:rPr>
        <w:t>ד</w:t>
      </w:r>
      <w:r>
        <w:rPr>
          <w:rFonts w:hint="cs"/>
          <w:sz w:val="18"/>
          <w:szCs w:val="20"/>
          <w:rtl/>
        </w:rPr>
        <w:t xml:space="preserve">; </w:t>
      </w:r>
      <w:r>
        <w:rPr>
          <w:sz w:val="18"/>
          <w:szCs w:val="20"/>
          <w:rtl/>
        </w:rPr>
        <w:t>ויקרא כה</w:t>
      </w:r>
      <w:r>
        <w:rPr>
          <w:rFonts w:hint="cs"/>
          <w:sz w:val="18"/>
          <w:szCs w:val="20"/>
          <w:rtl/>
        </w:rPr>
        <w:t xml:space="preserve">, </w:t>
      </w:r>
      <w:r>
        <w:rPr>
          <w:sz w:val="18"/>
          <w:szCs w:val="20"/>
          <w:rtl/>
        </w:rPr>
        <w:t>כג</w:t>
      </w:r>
      <w:r>
        <w:rPr>
          <w:rFonts w:hint="cs"/>
          <w:sz w:val="18"/>
          <w:szCs w:val="20"/>
          <w:rtl/>
        </w:rPr>
        <w:t>;</w:t>
      </w:r>
      <w:r>
        <w:rPr>
          <w:sz w:val="18"/>
          <w:szCs w:val="20"/>
          <w:rtl/>
        </w:rPr>
        <w:t xml:space="preserve"> לה</w:t>
      </w:r>
      <w:r>
        <w:rPr>
          <w:rFonts w:hint="cs"/>
          <w:sz w:val="18"/>
          <w:szCs w:val="20"/>
          <w:rtl/>
        </w:rPr>
        <w:t>;</w:t>
      </w:r>
      <w:r>
        <w:rPr>
          <w:sz w:val="18"/>
          <w:szCs w:val="20"/>
          <w:rtl/>
        </w:rPr>
        <w:t xml:space="preserve"> מז</w:t>
      </w:r>
      <w:r>
        <w:rPr>
          <w:rFonts w:hint="cs"/>
          <w:rtl/>
        </w:rPr>
        <w:t>) לפי אונקלוס הִנוֹ דו-פרצופי בהיותו כולל שני מצבים: "דַּיָּיר וְתוֹתַב"</w:t>
      </w:r>
      <w:r>
        <w:rPr>
          <w:rStyle w:val="a4"/>
          <w:rtl/>
        </w:rPr>
        <w:footnoteReference w:id="427"/>
      </w:r>
      <w:r>
        <w:rPr>
          <w:rFonts w:hint="cs"/>
          <w:rtl/>
        </w:rPr>
        <w:t>.</w:t>
      </w:r>
    </w:p>
    <w:p w14:paraId="29A1BA3C" w14:textId="77777777" w:rsidR="002B4B31" w:rsidRDefault="002B4B31" w:rsidP="002B4B31">
      <w:pPr>
        <w:pStyle w:val="a8"/>
        <w:ind w:left="0"/>
        <w:rPr>
          <w:rFonts w:hint="cs"/>
          <w:rtl/>
        </w:rPr>
      </w:pPr>
      <w:r>
        <w:rPr>
          <w:rFonts w:hint="cs"/>
          <w:rtl/>
        </w:rPr>
        <w:t>ברם, לפעמים מצאנו גם את שורש דו"ר בהקשר של מגורי קבע, הן בתרגומי המקרא הארמיים</w:t>
      </w:r>
      <w:r>
        <w:rPr>
          <w:rStyle w:val="a4"/>
          <w:rtl/>
        </w:rPr>
        <w:footnoteReference w:id="428"/>
      </w:r>
      <w:r>
        <w:rPr>
          <w:rFonts w:hint="cs"/>
          <w:rtl/>
        </w:rPr>
        <w:t>, והן בלשון חכמים</w:t>
      </w:r>
      <w:r>
        <w:rPr>
          <w:rStyle w:val="a4"/>
          <w:rtl/>
        </w:rPr>
        <w:footnoteReference w:id="429"/>
      </w:r>
      <w:r>
        <w:rPr>
          <w:rFonts w:hint="cs"/>
          <w:rtl/>
        </w:rPr>
        <w:t xml:space="preserve">. יתכן שעל מנת </w:t>
      </w:r>
      <w:r>
        <w:rPr>
          <w:rFonts w:hint="cs"/>
          <w:rtl/>
        </w:rPr>
        <w:lastRenderedPageBreak/>
        <w:t>להבהיר שאין מדובר בדירת עראי אלא במגורי קבע נקטו חז"ל באחת משני דרכים: לפעמים הוסיפו את המילה "לעולם"</w:t>
      </w:r>
      <w:r>
        <w:rPr>
          <w:rStyle w:val="a4"/>
          <w:rtl/>
        </w:rPr>
        <w:footnoteReference w:id="430"/>
      </w:r>
      <w:r>
        <w:rPr>
          <w:rFonts w:hint="cs"/>
          <w:rtl/>
        </w:rPr>
        <w:t xml:space="preserve">, ולפעמים נקטו בלשון "מי שהוא </w:t>
      </w:r>
      <w:r>
        <w:rPr>
          <w:rFonts w:hint="cs"/>
          <w:b/>
          <w:bCs/>
          <w:rtl/>
        </w:rPr>
        <w:t>קבוע</w:t>
      </w:r>
      <w:r>
        <w:rPr>
          <w:rFonts w:hint="cs"/>
          <w:rtl/>
        </w:rPr>
        <w:t xml:space="preserve"> בארץ ישראל". </w:t>
      </w:r>
    </w:p>
    <w:p w14:paraId="3C72533C" w14:textId="77777777" w:rsidR="002B4B31" w:rsidRDefault="002B4B31" w:rsidP="002B4B31">
      <w:pPr>
        <w:pStyle w:val="a8"/>
        <w:ind w:left="0"/>
        <w:rPr>
          <w:rFonts w:hint="cs"/>
          <w:rtl/>
        </w:rPr>
      </w:pPr>
      <w:r>
        <w:rPr>
          <w:rFonts w:hint="cs"/>
          <w:rtl/>
        </w:rPr>
        <w:t>להבדיל משורש קב"ע במקרא, שפירושו: גזל (</w:t>
      </w:r>
      <w:r>
        <w:rPr>
          <w:rFonts w:hint="cs"/>
          <w:sz w:val="18"/>
          <w:szCs w:val="20"/>
          <w:rtl/>
        </w:rPr>
        <w:t>כגון במלאכי ג, ח: "קֹבְעִים... קְבַעֲנוּךָ"</w:t>
      </w:r>
      <w:r>
        <w:rPr>
          <w:rFonts w:hint="cs"/>
          <w:rtl/>
        </w:rPr>
        <w:t>), שורש קב"ע בלשון חז"ל, עניינו: תקיעה, שׂימה או ייעוד של "קבע" (= שאינו עראי). שורש זה נאמר בד"כ</w:t>
      </w:r>
      <w:r>
        <w:rPr>
          <w:rStyle w:val="a4"/>
          <w:rtl/>
        </w:rPr>
        <w:footnoteReference w:id="431"/>
      </w:r>
      <w:r>
        <w:rPr>
          <w:rFonts w:hint="cs"/>
          <w:rtl/>
        </w:rPr>
        <w:t xml:space="preserve"> על עצמים דוממים (</w:t>
      </w:r>
      <w:r>
        <w:rPr>
          <w:rFonts w:hint="cs"/>
          <w:sz w:val="18"/>
          <w:szCs w:val="20"/>
          <w:rtl/>
        </w:rPr>
        <w:t>"מום קבוע", "גלגל קבוע", "קבוע במסמר" וכיו"ב</w:t>
      </w:r>
      <w:r>
        <w:rPr>
          <w:rFonts w:hint="cs"/>
          <w:rtl/>
        </w:rPr>
        <w:t>), או על שמות עצם מופשטים (</w:t>
      </w:r>
      <w:r>
        <w:rPr>
          <w:rFonts w:hint="cs"/>
          <w:sz w:val="18"/>
          <w:szCs w:val="20"/>
          <w:rtl/>
        </w:rPr>
        <w:t>"זמן קבוע", "עֲשֵה תּוֹרָתְךָ קְבַע!", "קבעת עתים לתורה?"</w:t>
      </w:r>
      <w:r>
        <w:rPr>
          <w:rStyle w:val="a4"/>
          <w:sz w:val="18"/>
          <w:szCs w:val="20"/>
          <w:rtl/>
        </w:rPr>
        <w:footnoteReference w:id="432"/>
      </w:r>
      <w:r>
        <w:rPr>
          <w:rFonts w:hint="cs"/>
          <w:rtl/>
        </w:rPr>
        <w:t xml:space="preserve">). דווקא שימוש בשורש זה מבהיר שמדובר כאן במי שגר בארץ ישראל </w:t>
      </w:r>
      <w:r>
        <w:rPr>
          <w:rFonts w:hint="cs"/>
          <w:b/>
          <w:bCs/>
          <w:rtl/>
        </w:rPr>
        <w:t>בקביעות</w:t>
      </w:r>
      <w:r>
        <w:rPr>
          <w:rFonts w:hint="cs"/>
          <w:rtl/>
        </w:rPr>
        <w:t xml:space="preserve"> ובתמידות, כמו חפץ דומם הקבוע במקומו. </w:t>
      </w:r>
    </w:p>
    <w:p w14:paraId="08EFEA8F" w14:textId="77777777" w:rsidR="002B4B31" w:rsidRDefault="002B4B31" w:rsidP="002B4B31">
      <w:pPr>
        <w:pStyle w:val="a8"/>
        <w:ind w:left="0"/>
        <w:rPr>
          <w:rFonts w:hint="cs"/>
          <w:rtl/>
        </w:rPr>
      </w:pPr>
      <w:r>
        <w:rPr>
          <w:rFonts w:hint="cs"/>
          <w:rtl/>
        </w:rPr>
        <w:t xml:space="preserve">כיוצא בו מצינו בפרקי אבות </w:t>
      </w:r>
      <w:r>
        <w:rPr>
          <w:rFonts w:hint="cs"/>
          <w:sz w:val="18"/>
          <w:szCs w:val="20"/>
          <w:rtl/>
        </w:rPr>
        <w:t>פ"ג משנה יז</w:t>
      </w:r>
      <w:r>
        <w:rPr>
          <w:rFonts w:hint="cs"/>
          <w:rtl/>
        </w:rPr>
        <w:t xml:space="preserve"> דימוי של אדם לעצם דומם בכדי לבטא את קביעותו ויציבותו: "כָּל שֶׁמַּעֲשָיו מְרֻבִּין מֵחָכְמָתוֹ, לְמַה הוּא דּוֹמֶה? </w:t>
      </w:r>
      <w:r>
        <w:rPr>
          <w:rFonts w:hint="cs"/>
          <w:b/>
          <w:bCs/>
          <w:rtl/>
        </w:rPr>
        <w:t>לְאִילָן</w:t>
      </w:r>
      <w:r>
        <w:rPr>
          <w:rFonts w:hint="cs"/>
          <w:rtl/>
        </w:rPr>
        <w:t xml:space="preserve"> שֶׁעֲנָפָיו מוּעָטִין וְשָׁרָשָׁיו מְרֻבִּין, שֶׁאֲפִלּוּ כָּל הָרוּחוֹת שֶׁבָּעוֹלָם בָּאוֹת וְנוֹשְׁבוֹת בּוֹ, </w:t>
      </w:r>
      <w:r>
        <w:rPr>
          <w:rFonts w:hint="cs"/>
          <w:b/>
          <w:bCs/>
          <w:rtl/>
        </w:rPr>
        <w:t>אֵין מְזִיזוֹת אוֹתוֹ מִמְּקוֹמוֹ</w:t>
      </w:r>
      <w:r>
        <w:rPr>
          <w:rFonts w:hint="cs"/>
          <w:rtl/>
        </w:rPr>
        <w:t xml:space="preserve">, שֶׁנֶּאֱמַר: 'וְהָיָה </w:t>
      </w:r>
      <w:r>
        <w:rPr>
          <w:rFonts w:hint="cs"/>
          <w:b/>
          <w:bCs/>
          <w:rtl/>
        </w:rPr>
        <w:t>כְּעֵץ שָׁתוּל</w:t>
      </w:r>
      <w:r>
        <w:rPr>
          <w:rFonts w:hint="cs"/>
          <w:rtl/>
        </w:rPr>
        <w:t xml:space="preserve"> עַל מַיִם'..." (</w:t>
      </w:r>
      <w:r>
        <w:rPr>
          <w:rFonts w:hint="cs"/>
          <w:sz w:val="18"/>
          <w:szCs w:val="20"/>
          <w:rtl/>
        </w:rPr>
        <w:t>ירמיה יז, ח</w:t>
      </w:r>
      <w:r>
        <w:rPr>
          <w:rFonts w:hint="cs"/>
          <w:rtl/>
        </w:rPr>
        <w:t>)</w:t>
      </w:r>
      <w:r>
        <w:rPr>
          <w:rStyle w:val="a4"/>
          <w:rtl/>
        </w:rPr>
        <w:footnoteReference w:id="433"/>
      </w:r>
      <w:r>
        <w:rPr>
          <w:rFonts w:hint="cs"/>
          <w:rtl/>
        </w:rPr>
        <w:t>.</w:t>
      </w:r>
    </w:p>
    <w:p w14:paraId="7706278B" w14:textId="77777777" w:rsidR="002B4B31" w:rsidRDefault="002B4B31" w:rsidP="002B4B31">
      <w:pPr>
        <w:pStyle w:val="a8"/>
        <w:ind w:left="0"/>
        <w:rPr>
          <w:rFonts w:hint="cs"/>
          <w:rtl/>
        </w:rPr>
      </w:pPr>
      <w:r>
        <w:rPr>
          <w:rFonts w:hint="cs"/>
          <w:rtl/>
        </w:rPr>
        <w:lastRenderedPageBreak/>
        <w:t>האדמו"ר מצאנז-קלויזנבורג, ר' יקותיאל יהודה הלברשטם (</w:t>
      </w:r>
      <w:r>
        <w:rPr>
          <w:rFonts w:hint="cs"/>
          <w:sz w:val="18"/>
          <w:szCs w:val="20"/>
          <w:rtl/>
        </w:rPr>
        <w:t>גליציה 1904 -  נתניה 1995</w:t>
      </w:r>
      <w:r>
        <w:rPr>
          <w:rFonts w:hint="cs"/>
          <w:rtl/>
        </w:rPr>
        <w:t>), פרש את הלשון המיוחדת בירושלמי כך: "</w:t>
      </w:r>
      <w:r>
        <w:rPr>
          <w:rtl/>
        </w:rPr>
        <w:t>רצ"ל ש</w:t>
      </w:r>
      <w:r>
        <w:rPr>
          <w:b/>
          <w:bCs/>
          <w:rtl/>
        </w:rPr>
        <w:t xml:space="preserve">שקוע וקבוע </w:t>
      </w:r>
      <w:r>
        <w:rPr>
          <w:rtl/>
        </w:rPr>
        <w:t>בקדושת ארץ ישראל ובמעלות ומדות טובות של ישיבת ארץ ישראל</w:t>
      </w:r>
      <w:r>
        <w:rPr>
          <w:rFonts w:hint="cs"/>
          <w:rtl/>
        </w:rPr>
        <w:t>" (</w:t>
      </w:r>
      <w:r>
        <w:rPr>
          <w:rFonts w:hint="cs"/>
          <w:sz w:val="18"/>
          <w:szCs w:val="20"/>
          <w:rtl/>
        </w:rPr>
        <w:t xml:space="preserve">שו"ת </w:t>
      </w:r>
      <w:r>
        <w:rPr>
          <w:sz w:val="18"/>
          <w:szCs w:val="20"/>
          <w:rtl/>
        </w:rPr>
        <w:t>דברי יציב</w:t>
      </w:r>
      <w:r>
        <w:rPr>
          <w:rFonts w:hint="cs"/>
          <w:sz w:val="18"/>
          <w:szCs w:val="20"/>
          <w:rtl/>
        </w:rPr>
        <w:t xml:space="preserve">, </w:t>
      </w:r>
      <w:r>
        <w:rPr>
          <w:sz w:val="18"/>
          <w:szCs w:val="20"/>
          <w:rtl/>
        </w:rPr>
        <w:t>יו"ד</w:t>
      </w:r>
      <w:r>
        <w:rPr>
          <w:rFonts w:hint="cs"/>
          <w:sz w:val="18"/>
          <w:szCs w:val="20"/>
          <w:rtl/>
        </w:rPr>
        <w:t>, נג</w:t>
      </w:r>
      <w:r>
        <w:rPr>
          <w:rFonts w:hint="cs"/>
          <w:rtl/>
        </w:rPr>
        <w:t>).</w:t>
      </w:r>
    </w:p>
    <w:p w14:paraId="4227F728" w14:textId="77777777" w:rsidR="002B4B31" w:rsidRDefault="002B4B31" w:rsidP="002B4B31">
      <w:pPr>
        <w:pStyle w:val="3"/>
        <w:rPr>
          <w:rFonts w:hint="cs"/>
          <w:rtl/>
        </w:rPr>
      </w:pPr>
      <w:r>
        <w:rPr>
          <w:rFonts w:hint="cs"/>
          <w:rtl/>
        </w:rPr>
        <w:t>מדבר בלשון הקודש</w:t>
      </w:r>
    </w:p>
    <w:p w14:paraId="12419685" w14:textId="77777777" w:rsidR="002B4B31" w:rsidRDefault="002B4B31" w:rsidP="002B4B31">
      <w:pPr>
        <w:pStyle w:val="a8"/>
        <w:ind w:left="0"/>
        <w:rPr>
          <w:rFonts w:hint="cs"/>
          <w:rtl/>
        </w:rPr>
      </w:pPr>
      <w:r>
        <w:rPr>
          <w:rFonts w:hint="cs"/>
          <w:rtl/>
        </w:rPr>
        <w:t>ר' ברוך הלוי אפשטיין (</w:t>
      </w:r>
      <w:r>
        <w:rPr>
          <w:rFonts w:hint="cs"/>
          <w:sz w:val="18"/>
          <w:szCs w:val="20"/>
          <w:rtl/>
        </w:rPr>
        <w:t>תורה תמימה לדברים יא, סוף הערה נב</w:t>
      </w:r>
      <w:r>
        <w:rPr>
          <w:rFonts w:hint="cs"/>
          <w:rtl/>
        </w:rPr>
        <w:t>) מסביר את טעמו של ר' מאיר: "וטעם הדבר נראה פשוט, כדי שיבין מה שידבר בק"ש ובתורה". אך רבי מאיר לא רמז בלשונו שמעלת הדיבור בעברית נעוצה בתועלת שהדיבור יביא ללימוד תורה</w:t>
      </w:r>
      <w:r>
        <w:rPr>
          <w:rStyle w:val="a4"/>
          <w:rtl/>
        </w:rPr>
        <w:footnoteReference w:id="434"/>
      </w:r>
      <w:r>
        <w:rPr>
          <w:rFonts w:hint="cs"/>
          <w:rtl/>
        </w:rPr>
        <w:t>, ולכן ניתן לשער כי לדיבור בלשון הקודש יש מעלה עצמאית.</w:t>
      </w:r>
    </w:p>
    <w:p w14:paraId="79382FC0" w14:textId="77777777" w:rsidR="002B4B31" w:rsidRDefault="002B4B31" w:rsidP="002B4B31">
      <w:pPr>
        <w:pStyle w:val="a8"/>
        <w:ind w:left="0"/>
        <w:rPr>
          <w:rFonts w:hint="cs"/>
          <w:rtl/>
        </w:rPr>
      </w:pPr>
      <w:r>
        <w:rPr>
          <w:rFonts w:hint="cs"/>
          <w:rtl/>
        </w:rPr>
        <w:t>בעל "קרבן העדה" מסביר מה מסמל כל פרט ברשימת הזיכיון לעוה"ב שאמר רבי מאיר: הדר בקביעות בארץ ישראל - מתכפרים עוונותיו; אוכל חוליו בטהרה - גורם לטהרת גופו; ומדבר בלשון הקודש - גורם לטהרת הנפש</w:t>
      </w:r>
      <w:r>
        <w:rPr>
          <w:rStyle w:val="a4"/>
          <w:rtl/>
        </w:rPr>
        <w:footnoteReference w:id="435"/>
      </w:r>
      <w:r>
        <w:rPr>
          <w:rFonts w:hint="cs"/>
          <w:rtl/>
        </w:rPr>
        <w:t>; וקורא שמע בבוקר ובערב - טהרת הנשמה.</w:t>
      </w:r>
    </w:p>
    <w:p w14:paraId="7B8CC4DE" w14:textId="77777777" w:rsidR="002B4B31" w:rsidRDefault="002B4B31" w:rsidP="002B4B31">
      <w:pPr>
        <w:pStyle w:val="a8"/>
        <w:ind w:left="0"/>
        <w:rPr>
          <w:rFonts w:hint="cs"/>
          <w:rtl/>
        </w:rPr>
      </w:pPr>
      <w:r>
        <w:rPr>
          <w:rFonts w:hint="cs"/>
          <w:rtl/>
        </w:rPr>
        <w:t>שמא ניתן להוסיף טעם נוסף, השּוה גם לדברי רשב"י הנ"ל, והוא: הדיבור בעברית שומר על ייחודו הלאומי של עם ישראל, ומניעת "טמיעתו" הלשונית היא סייג לשמירת זהותו וייחודו.</w:t>
      </w:r>
    </w:p>
    <w:p w14:paraId="62697D0C" w14:textId="77777777" w:rsidR="002B4B31" w:rsidRDefault="002B4B31" w:rsidP="002B4B31">
      <w:pPr>
        <w:pStyle w:val="3"/>
        <w:rPr>
          <w:rFonts w:hint="cs"/>
          <w:rtl/>
        </w:rPr>
      </w:pPr>
      <w:r>
        <w:rPr>
          <w:rFonts w:hint="cs"/>
          <w:rtl/>
        </w:rPr>
        <w:lastRenderedPageBreak/>
        <w:t>מובטח שהוא בן העולם הבא</w:t>
      </w:r>
    </w:p>
    <w:p w14:paraId="03EF0DB4" w14:textId="77777777" w:rsidR="002B4B31" w:rsidRDefault="002B4B31" w:rsidP="002B4B31">
      <w:pPr>
        <w:pStyle w:val="a8"/>
        <w:ind w:left="0"/>
        <w:rPr>
          <w:rFonts w:hint="cs"/>
          <w:color w:val="FF0000"/>
          <w:rtl/>
        </w:rPr>
      </w:pPr>
      <w:r>
        <w:rPr>
          <w:rFonts w:hint="cs"/>
          <w:rtl/>
        </w:rPr>
        <w:t>כמובן שאין די להיות "קבוע בארץ ישראל" ו"לדבר בלשון הקודש". ככל מאמר חז"ל המבטיח "שהוא בן העולם הבא", צריך להבין גם כאן שיש "מדרגות" בעולם הבא. הרי גם תייר המגיע לביקור קצר בן ארבע אמות בארץ ישראל, אמרו עליו שהוא מובטח "שהוא בן העולם הבא" (</w:t>
      </w:r>
      <w:r>
        <w:rPr>
          <w:rFonts w:hint="cs"/>
          <w:szCs w:val="20"/>
          <w:rtl/>
        </w:rPr>
        <w:t>בבלי כתובות קיא, א</w:t>
      </w:r>
      <w:r>
        <w:rPr>
          <w:rFonts w:hint="cs"/>
          <w:rtl/>
        </w:rPr>
        <w:t>). אך מי שגם גר בקביעות בא"י, וגם מדבר בלשון הקודש - מעלתו גדולה יותר, ומי שגם קורא את שמע בבוקר ובערב - גדול יותר, ומי שגם אוכל פירותיו בטהרה - עוד יותר גדול, וכן הלאה. אך כמובן שיש לעודד גם קיום חלקי של רשימה זו, ושכרו כפול מן השמים</w:t>
      </w:r>
      <w:r>
        <w:rPr>
          <w:rStyle w:val="a4"/>
          <w:rtl/>
        </w:rPr>
        <w:footnoteReference w:id="436"/>
      </w:r>
      <w:r>
        <w:rPr>
          <w:rFonts w:hint="cs"/>
          <w:rtl/>
        </w:rPr>
        <w:t>.</w:t>
      </w:r>
    </w:p>
    <w:p w14:paraId="04ED6BCA" w14:textId="77777777" w:rsidR="002B4B31" w:rsidRDefault="002B4B31" w:rsidP="002B4B31">
      <w:pPr>
        <w:rPr>
          <w:rFonts w:hint="cs"/>
          <w:rtl/>
        </w:rPr>
      </w:pPr>
    </w:p>
    <w:p w14:paraId="234CDD1B" w14:textId="77777777" w:rsidR="002B4B31" w:rsidRDefault="002B4B31" w:rsidP="002B4B31">
      <w:pPr>
        <w:pStyle w:val="1"/>
        <w:rPr>
          <w:rFonts w:hint="cs"/>
          <w:rtl/>
        </w:rPr>
      </w:pPr>
      <w:r>
        <w:rPr>
          <w:rFonts w:hint="cs"/>
          <w:rtl/>
        </w:rPr>
        <w:t xml:space="preserve">דף יח, א </w:t>
      </w:r>
      <w:r>
        <w:rPr>
          <w:rtl/>
        </w:rPr>
        <w:t>רש"י ד"ה שיטחנו</w:t>
      </w:r>
      <w:r>
        <w:rPr>
          <w:rFonts w:hint="cs"/>
          <w:rtl/>
        </w:rPr>
        <w:t xml:space="preserve">: אוושא מילתא </w:t>
      </w:r>
      <w:r>
        <w:rPr>
          <w:rtl/>
        </w:rPr>
        <w:t>בשבת</w:t>
      </w:r>
    </w:p>
    <w:p w14:paraId="56CB1B8A" w14:textId="77777777" w:rsidR="002B4B31" w:rsidRDefault="002B4B31" w:rsidP="002B4B31">
      <w:pPr>
        <w:pStyle w:val="2"/>
        <w:rPr>
          <w:rFonts w:hint="cs"/>
          <w:sz w:val="24"/>
          <w:rtl/>
        </w:rPr>
      </w:pPr>
      <w:r>
        <w:rPr>
          <w:rFonts w:hint="cs"/>
          <w:rtl/>
        </w:rPr>
        <w:t>אוושא מילתא</w:t>
      </w:r>
    </w:p>
    <w:p w14:paraId="48EC68F4" w14:textId="77777777" w:rsidR="002B4B31" w:rsidRDefault="002B4B31" w:rsidP="002B4B31">
      <w:pPr>
        <w:rPr>
          <w:rFonts w:hint="cs"/>
          <w:rtl/>
        </w:rPr>
      </w:pPr>
      <w:r>
        <w:rPr>
          <w:rFonts w:hint="cs"/>
          <w:rtl/>
        </w:rPr>
        <w:t>בראש פרק "</w:t>
      </w:r>
      <w:r>
        <w:rPr>
          <w:rtl/>
        </w:rPr>
        <w:t>המוצא תפילין</w:t>
      </w:r>
      <w:r>
        <w:rPr>
          <w:rFonts w:hint="cs"/>
          <w:rtl/>
        </w:rPr>
        <w:t xml:space="preserve">", הפרק האחרון של </w:t>
      </w:r>
      <w:r>
        <w:rPr>
          <w:rtl/>
        </w:rPr>
        <w:t>מסכת עירובין</w:t>
      </w:r>
      <w:r>
        <w:rPr>
          <w:rFonts w:hint="cs"/>
          <w:rtl/>
        </w:rPr>
        <w:t>,</w:t>
      </w:r>
      <w:r>
        <w:rPr>
          <w:rtl/>
        </w:rPr>
        <w:t xml:space="preserve"> </w:t>
      </w:r>
      <w:r>
        <w:rPr>
          <w:rFonts w:hint="cs"/>
          <w:rtl/>
        </w:rPr>
        <w:t>נמצא המקור למושג "</w:t>
      </w:r>
      <w:r>
        <w:rPr>
          <w:rtl/>
        </w:rPr>
        <w:t>א</w:t>
      </w:r>
      <w:r>
        <w:rPr>
          <w:rFonts w:hint="cs"/>
          <w:rtl/>
        </w:rPr>
        <w:t xml:space="preserve">ָוְושָׁא מִלְּתָא" (=הַדָּבָר רוֹעֵשׁ), האומר שיש להימנע מעשיית פעולה שתעורר תשומת לב </w:t>
      </w:r>
      <w:r>
        <w:rPr>
          <w:rFonts w:hint="cs"/>
          <w:color w:val="0000FF"/>
          <w:rtl/>
        </w:rPr>
        <w:t>ציבורית</w:t>
      </w:r>
      <w:r>
        <w:rPr>
          <w:rFonts w:hint="cs"/>
          <w:rtl/>
        </w:rPr>
        <w:t xml:space="preserve"> ותתפרסם </w:t>
      </w:r>
      <w:r>
        <w:rPr>
          <w:rFonts w:hint="cs"/>
          <w:color w:val="0000FF"/>
          <w:rtl/>
        </w:rPr>
        <w:t>(כחילול שבת)</w:t>
      </w:r>
      <w:r>
        <w:rPr>
          <w:rFonts w:hint="cs"/>
          <w:rtl/>
        </w:rPr>
        <w:t xml:space="preserve">. מסיבה זו יש עדיפות להולכת תפילין </w:t>
      </w:r>
      <w:r>
        <w:rPr>
          <w:rFonts w:hint="cs"/>
          <w:color w:val="0000FF"/>
          <w:rtl/>
        </w:rPr>
        <w:t>שנמצאו בדרך אל תוך העיר</w:t>
      </w:r>
      <w:r>
        <w:rPr>
          <w:rFonts w:hint="cs"/>
          <w:rtl/>
        </w:rPr>
        <w:t xml:space="preserve"> פחות פחות מארבע אמות ע"י אדם יחיד, מאשר </w:t>
      </w:r>
      <w:r>
        <w:rPr>
          <w:rFonts w:hint="cs"/>
          <w:rtl/>
        </w:rPr>
        <w:lastRenderedPageBreak/>
        <w:t>מסירתם "לחבירו וחבירו לחבירו", שאז יתפרסם הדבר ויזלזלו בשמירת שבת.</w:t>
      </w:r>
    </w:p>
    <w:p w14:paraId="30834118" w14:textId="77777777" w:rsidR="002B4B31" w:rsidRDefault="002B4B31" w:rsidP="002B4B31">
      <w:pPr>
        <w:rPr>
          <w:rFonts w:hint="cs"/>
          <w:rtl/>
        </w:rPr>
      </w:pPr>
      <w:r>
        <w:rPr>
          <w:rFonts w:hint="cs"/>
          <w:rtl/>
        </w:rPr>
        <w:t>התרגום המילולי של הפועל הארמי "</w:t>
      </w:r>
      <w:r>
        <w:rPr>
          <w:b/>
          <w:bCs/>
          <w:rtl/>
        </w:rPr>
        <w:t>א</w:t>
      </w:r>
      <w:r>
        <w:rPr>
          <w:rFonts w:hint="cs"/>
          <w:b/>
          <w:bCs/>
          <w:rtl/>
        </w:rPr>
        <w:t>ֲוַושׁ</w:t>
      </w:r>
      <w:r>
        <w:rPr>
          <w:rFonts w:hint="cs"/>
          <w:rtl/>
        </w:rPr>
        <w:t xml:space="preserve">" הוא: רָעַשׁ, רָגַשׁ. למשל, בברכות </w:t>
      </w:r>
      <w:r>
        <w:rPr>
          <w:rFonts w:hint="cs"/>
          <w:sz w:val="18"/>
          <w:szCs w:val="20"/>
          <w:rtl/>
        </w:rPr>
        <w:t xml:space="preserve">נ, א </w:t>
      </w:r>
      <w:r>
        <w:rPr>
          <w:rFonts w:hint="cs"/>
          <w:rtl/>
        </w:rPr>
        <w:t>מסופר על רפרם בר פפא שעמד לקרוא בספר תורה, ואמר "ברכו את ה'!", כדעת ר' עקיבא, ללא "המבורך", ואז: "</w:t>
      </w:r>
      <w:r>
        <w:rPr>
          <w:rFonts w:hint="cs"/>
          <w:b/>
          <w:bCs/>
          <w:rtl/>
        </w:rPr>
        <w:t>אַוְושׁוּ</w:t>
      </w:r>
      <w:r>
        <w:rPr>
          <w:rFonts w:hint="cs"/>
          <w:rtl/>
        </w:rPr>
        <w:t xml:space="preserve"> כוּלֵי עָלְמָא: 'ברכו את ה' </w:t>
      </w:r>
      <w:r>
        <w:rPr>
          <w:rFonts w:hint="cs"/>
          <w:b/>
          <w:bCs/>
          <w:rtl/>
        </w:rPr>
        <w:t>המבורך</w:t>
      </w:r>
      <w:r>
        <w:rPr>
          <w:rFonts w:hint="cs"/>
          <w:rtl/>
        </w:rPr>
        <w:t xml:space="preserve">'". כלומר, כל הציבור </w:t>
      </w:r>
      <w:r>
        <w:rPr>
          <w:rFonts w:hint="cs"/>
          <w:b/>
          <w:bCs/>
          <w:rtl/>
        </w:rPr>
        <w:t>ענה בקול רם</w:t>
      </w:r>
      <w:r>
        <w:rPr>
          <w:rFonts w:hint="cs"/>
          <w:rtl/>
        </w:rPr>
        <w:t xml:space="preserve"> בתוספת "המבורך" (כדעת ר' ישמעאל). וכן בחולין </w:t>
      </w:r>
      <w:r>
        <w:rPr>
          <w:rFonts w:hint="cs"/>
          <w:sz w:val="18"/>
          <w:szCs w:val="20"/>
          <w:rtl/>
        </w:rPr>
        <w:t xml:space="preserve">מז, ב </w:t>
      </w:r>
      <w:r>
        <w:rPr>
          <w:rFonts w:hint="cs"/>
          <w:rtl/>
        </w:rPr>
        <w:t xml:space="preserve">מדובר על רֵיאה "דאוושא", רש"י: "כשנופחין אותה </w:t>
      </w:r>
      <w:r>
        <w:rPr>
          <w:rFonts w:hint="cs"/>
          <w:b/>
          <w:bCs/>
          <w:rtl/>
        </w:rPr>
        <w:t>משמעת קול</w:t>
      </w:r>
      <w:r>
        <w:rPr>
          <w:rFonts w:hint="cs"/>
          <w:rtl/>
        </w:rPr>
        <w:t>". דרך אגב, מכאן המונח הרפואי</w:t>
      </w:r>
      <w:r>
        <w:rPr>
          <w:rFonts w:hint="cs"/>
          <w:color w:val="0000FF"/>
          <w:rtl/>
        </w:rPr>
        <w:t xml:space="preserve"> (בעברית החדשה) </w:t>
      </w:r>
      <w:r>
        <w:rPr>
          <w:rFonts w:hint="cs"/>
          <w:rtl/>
        </w:rPr>
        <w:t>"אִוְשָׁה", הנרדף ל"רִשרוש"</w:t>
      </w:r>
      <w:r>
        <w:rPr>
          <w:rFonts w:hint="cs"/>
          <w:color w:val="0000FF"/>
          <w:sz w:val="26"/>
          <w:rtl/>
        </w:rPr>
        <w:t>, רעש קל</w:t>
      </w:r>
      <w:r>
        <w:rPr>
          <w:rFonts w:hint="cs"/>
          <w:sz w:val="26"/>
          <w:rtl/>
        </w:rPr>
        <w:t xml:space="preserve"> </w:t>
      </w:r>
      <w:r>
        <w:rPr>
          <w:rFonts w:hint="cs"/>
          <w:rtl/>
        </w:rPr>
        <w:t>בלב.</w:t>
      </w:r>
    </w:p>
    <w:p w14:paraId="3664F123" w14:textId="77777777" w:rsidR="002B4B31" w:rsidRDefault="002B4B31" w:rsidP="002B4B31">
      <w:pPr>
        <w:rPr>
          <w:rFonts w:hint="cs"/>
          <w:rtl/>
        </w:rPr>
      </w:pPr>
      <w:r>
        <w:rPr>
          <w:rFonts w:hint="cs"/>
          <w:rtl/>
        </w:rPr>
        <w:t>בנוסף, יש ל"</w:t>
      </w:r>
      <w:r>
        <w:rPr>
          <w:b/>
          <w:bCs/>
          <w:rtl/>
        </w:rPr>
        <w:t>א</w:t>
      </w:r>
      <w:r>
        <w:rPr>
          <w:rFonts w:hint="cs"/>
          <w:b/>
          <w:bCs/>
          <w:rtl/>
        </w:rPr>
        <w:t>ֲוַושׁ</w:t>
      </w:r>
      <w:r>
        <w:rPr>
          <w:rFonts w:hint="cs"/>
          <w:rtl/>
        </w:rPr>
        <w:t xml:space="preserve">" גם משמעות מורחבת: פִּרסום, </w:t>
      </w:r>
      <w:r>
        <w:rPr>
          <w:rFonts w:hint="cs"/>
          <w:b/>
          <w:bCs/>
          <w:rtl/>
        </w:rPr>
        <w:t>גם ללא רעש</w:t>
      </w:r>
      <w:r>
        <w:rPr>
          <w:rFonts w:hint="cs"/>
          <w:rtl/>
        </w:rPr>
        <w:t xml:space="preserve">. זוהי המשמעות בסוגייה בעירובין; וכן בביצה </w:t>
      </w:r>
      <w:r>
        <w:rPr>
          <w:rFonts w:hint="cs"/>
          <w:sz w:val="18"/>
          <w:szCs w:val="20"/>
          <w:rtl/>
        </w:rPr>
        <w:t xml:space="preserve">כה, א </w:t>
      </w:r>
      <w:r>
        <w:rPr>
          <w:rFonts w:hint="cs"/>
          <w:rtl/>
        </w:rPr>
        <w:t>מפרש רש"י, שטעם המשנה האוסרת ביום טוב להביא בהמה שנשחטה מן השדה על גבי מוט הנישא ע"י שני בני אדם: "משום דאוושא מלתא היא, ומזלזל ביום טוב"</w:t>
      </w:r>
      <w:r>
        <w:rPr>
          <w:rStyle w:val="a4"/>
          <w:rtl/>
        </w:rPr>
        <w:footnoteReference w:id="437"/>
      </w:r>
      <w:r>
        <w:rPr>
          <w:rFonts w:hint="cs"/>
          <w:rtl/>
        </w:rPr>
        <w:t xml:space="preserve">. כנראה שהסיבה להרחבת משמעות זו, היא שהפרסום נעשה בעזרת "רעש" - היינו </w:t>
      </w:r>
      <w:r>
        <w:rPr>
          <w:rFonts w:hint="cs"/>
          <w:b/>
          <w:bCs/>
          <w:rtl/>
        </w:rPr>
        <w:t>הדיבור</w:t>
      </w:r>
      <w:r>
        <w:rPr>
          <w:rFonts w:hint="cs"/>
          <w:rtl/>
        </w:rPr>
        <w:t xml:space="preserve"> מפה לאוזן, הוא המפיץ את השמועה, כמאמר החכם מכל אדם (</w:t>
      </w:r>
      <w:r>
        <w:rPr>
          <w:rFonts w:hint="cs"/>
          <w:sz w:val="18"/>
          <w:szCs w:val="20"/>
          <w:rtl/>
        </w:rPr>
        <w:t>קהלת י, כ</w:t>
      </w:r>
      <w:r>
        <w:rPr>
          <w:rtl/>
        </w:rPr>
        <w:t>)</w:t>
      </w:r>
      <w:r>
        <w:rPr>
          <w:rFonts w:hint="cs"/>
          <w:rtl/>
        </w:rPr>
        <w:t xml:space="preserve">: "כִּי עוֹף הַשָּׁמַיִם יוֹלִיךְ אֶת </w:t>
      </w:r>
      <w:r>
        <w:rPr>
          <w:rFonts w:hint="cs"/>
          <w:b/>
          <w:bCs/>
          <w:rtl/>
        </w:rPr>
        <w:t>הַקּוֹל</w:t>
      </w:r>
      <w:r>
        <w:rPr>
          <w:rFonts w:hint="cs"/>
          <w:rtl/>
        </w:rPr>
        <w:t xml:space="preserve"> </w:t>
      </w:r>
      <w:r>
        <w:rPr>
          <w:rFonts w:hint="cs"/>
          <w:color w:val="0000FF"/>
          <w:sz w:val="26"/>
          <w:rtl/>
        </w:rPr>
        <w:t xml:space="preserve">וּבַעַל (ה)כְּנָפַיִם יַגֵּיד </w:t>
      </w:r>
      <w:r>
        <w:rPr>
          <w:rFonts w:hint="cs"/>
          <w:b/>
          <w:bCs/>
          <w:color w:val="0000FF"/>
          <w:sz w:val="26"/>
          <w:rtl/>
        </w:rPr>
        <w:t>דָּבָר</w:t>
      </w:r>
      <w:r>
        <w:rPr>
          <w:rFonts w:hint="cs"/>
          <w:rtl/>
        </w:rPr>
        <w:t>".</w:t>
      </w:r>
    </w:p>
    <w:p w14:paraId="5983A720" w14:textId="77777777" w:rsidR="002B4B31" w:rsidRDefault="002B4B31" w:rsidP="002B4B31">
      <w:pPr>
        <w:rPr>
          <w:rFonts w:hint="cs"/>
          <w:rtl/>
        </w:rPr>
      </w:pPr>
      <w:r>
        <w:rPr>
          <w:rFonts w:hint="cs"/>
          <w:rtl/>
        </w:rPr>
        <w:t>פירוש שלישי יש ל"</w:t>
      </w:r>
      <w:r>
        <w:rPr>
          <w:b/>
          <w:bCs/>
          <w:rtl/>
        </w:rPr>
        <w:t>א</w:t>
      </w:r>
      <w:r>
        <w:rPr>
          <w:rFonts w:hint="cs"/>
          <w:b/>
          <w:bCs/>
          <w:rtl/>
        </w:rPr>
        <w:t>ֲוַושׁ</w:t>
      </w:r>
      <w:r>
        <w:rPr>
          <w:rFonts w:hint="cs"/>
          <w:rtl/>
        </w:rPr>
        <w:t>": לשון ריבוי. כך פרש רש"י (</w:t>
      </w:r>
      <w:r>
        <w:rPr>
          <w:rFonts w:hint="cs"/>
          <w:sz w:val="18"/>
          <w:szCs w:val="20"/>
          <w:rtl/>
        </w:rPr>
        <w:t>עירובין מח, א</w:t>
      </w:r>
      <w:r>
        <w:rPr>
          <w:rFonts w:hint="cs"/>
          <w:rtl/>
        </w:rPr>
        <w:t>): "</w:t>
      </w:r>
      <w:r>
        <w:rPr>
          <w:rFonts w:hint="cs"/>
          <w:b/>
          <w:bCs/>
          <w:rtl/>
        </w:rPr>
        <w:t>אוושי</w:t>
      </w:r>
      <w:r>
        <w:rPr>
          <w:rStyle w:val="a4"/>
          <w:rtl/>
        </w:rPr>
        <w:footnoteReference w:id="438"/>
      </w:r>
      <w:r>
        <w:rPr>
          <w:rFonts w:hint="cs"/>
          <w:b/>
          <w:bCs/>
          <w:rtl/>
        </w:rPr>
        <w:t xml:space="preserve"> </w:t>
      </w:r>
      <w:r>
        <w:rPr>
          <w:rFonts w:hint="cs"/>
          <w:rtl/>
        </w:rPr>
        <w:t xml:space="preserve">דיורין. דיורי החצרות </w:t>
      </w:r>
      <w:r>
        <w:rPr>
          <w:rFonts w:hint="cs"/>
          <w:b/>
          <w:bCs/>
          <w:rtl/>
        </w:rPr>
        <w:t>רבים</w:t>
      </w:r>
      <w:r>
        <w:rPr>
          <w:rFonts w:hint="cs"/>
          <w:color w:val="0000FF"/>
          <w:rtl/>
        </w:rPr>
        <w:t>, ולא ידעי כולן להזהר ואתו לטלטולי וכו'</w:t>
      </w:r>
      <w:r>
        <w:rPr>
          <w:rFonts w:hint="cs"/>
          <w:color w:val="0000FF"/>
          <w:sz w:val="2"/>
          <w:szCs w:val="2"/>
          <w:rtl/>
        </w:rPr>
        <w:t xml:space="preserve"> </w:t>
      </w:r>
      <w:r>
        <w:rPr>
          <w:rFonts w:hint="cs"/>
          <w:rtl/>
        </w:rPr>
        <w:t>". וכן כתב הר"ן בנדרים (</w:t>
      </w:r>
      <w:r>
        <w:rPr>
          <w:rFonts w:hint="cs"/>
          <w:sz w:val="18"/>
          <w:szCs w:val="20"/>
          <w:rtl/>
        </w:rPr>
        <w:t>ג, א ד"ה משום דאוושן</w:t>
      </w:r>
      <w:r>
        <w:rPr>
          <w:rFonts w:hint="cs"/>
          <w:rtl/>
        </w:rPr>
        <w:t>): "</w:t>
      </w:r>
      <w:r>
        <w:rPr>
          <w:rFonts w:hint="cs"/>
          <w:b/>
          <w:bCs/>
          <w:rtl/>
        </w:rPr>
        <w:t>אוושן</w:t>
      </w:r>
      <w:r>
        <w:rPr>
          <w:rFonts w:hint="cs"/>
          <w:rtl/>
        </w:rPr>
        <w:t xml:space="preserve"> - כלומר שדיניהן </w:t>
      </w:r>
      <w:r>
        <w:rPr>
          <w:rFonts w:hint="cs"/>
          <w:b/>
          <w:bCs/>
          <w:rtl/>
        </w:rPr>
        <w:t>מרובין</w:t>
      </w:r>
      <w:r>
        <w:rPr>
          <w:rFonts w:hint="cs"/>
          <w:rtl/>
        </w:rPr>
        <w:t>, כדאמרינן בראש השנה (</w:t>
      </w:r>
      <w:r>
        <w:rPr>
          <w:rFonts w:hint="cs"/>
          <w:sz w:val="18"/>
          <w:szCs w:val="20"/>
          <w:rtl/>
        </w:rPr>
        <w:t>לה, א</w:t>
      </w:r>
      <w:r>
        <w:rPr>
          <w:rFonts w:hint="cs"/>
          <w:rtl/>
        </w:rPr>
        <w:t xml:space="preserve">) 'דְאָוְושִׁי </w:t>
      </w:r>
      <w:r>
        <w:rPr>
          <w:rFonts w:hint="cs"/>
          <w:rtl/>
        </w:rPr>
        <w:lastRenderedPageBreak/>
        <w:t xml:space="preserve">בְרָכוֹת'". על הַקשר בין רעש לריבוי, עיין ברש"י לדניאל </w:t>
      </w:r>
      <w:r>
        <w:rPr>
          <w:rFonts w:hint="cs"/>
          <w:sz w:val="18"/>
          <w:szCs w:val="20"/>
          <w:rtl/>
        </w:rPr>
        <w:t>י, ו</w:t>
      </w:r>
      <w:r>
        <w:rPr>
          <w:rFonts w:hint="cs"/>
          <w:color w:val="0000FF"/>
          <w:rtl/>
        </w:rPr>
        <w:t xml:space="preserve">: "כקול </w:t>
      </w:r>
      <w:r>
        <w:rPr>
          <w:rFonts w:hint="cs"/>
          <w:b/>
          <w:bCs/>
          <w:color w:val="0000FF"/>
          <w:rtl/>
        </w:rPr>
        <w:t>המון</w:t>
      </w:r>
      <w:r>
        <w:rPr>
          <w:rFonts w:hint="cs"/>
          <w:color w:val="0000FF"/>
          <w:rtl/>
        </w:rPr>
        <w:t>. כקול קבוצת המון רב שקולם נשמע למרחוק"</w:t>
      </w:r>
      <w:r>
        <w:rPr>
          <w:rStyle w:val="a4"/>
          <w:color w:val="0000FF"/>
          <w:rtl/>
        </w:rPr>
        <w:footnoteReference w:id="439"/>
      </w:r>
      <w:r>
        <w:rPr>
          <w:rFonts w:hint="cs"/>
          <w:rtl/>
        </w:rPr>
        <w:t>.</w:t>
      </w:r>
    </w:p>
    <w:p w14:paraId="2AAF678B" w14:textId="77777777" w:rsidR="002B4B31" w:rsidRDefault="002B4B31" w:rsidP="002B4B31">
      <w:pPr>
        <w:rPr>
          <w:rFonts w:hint="cs"/>
          <w:rtl/>
        </w:rPr>
      </w:pPr>
      <w:r>
        <w:rPr>
          <w:rFonts w:hint="cs"/>
          <w:rtl/>
        </w:rPr>
        <w:t>לסיכום, שלוש משמעויות ל"</w:t>
      </w:r>
      <w:r>
        <w:rPr>
          <w:b/>
          <w:bCs/>
          <w:rtl/>
        </w:rPr>
        <w:t>א</w:t>
      </w:r>
      <w:r>
        <w:rPr>
          <w:rFonts w:hint="cs"/>
          <w:b/>
          <w:bCs/>
          <w:rtl/>
        </w:rPr>
        <w:t>וושׁ</w:t>
      </w:r>
      <w:r>
        <w:rPr>
          <w:rFonts w:hint="cs"/>
          <w:rtl/>
        </w:rPr>
        <w:t xml:space="preserve">": </w:t>
      </w:r>
      <w:r>
        <w:rPr>
          <w:rFonts w:hint="cs"/>
          <w:b/>
          <w:bCs/>
          <w:rtl/>
        </w:rPr>
        <w:t>א.</w:t>
      </w:r>
      <w:r>
        <w:rPr>
          <w:rFonts w:hint="cs"/>
          <w:rtl/>
        </w:rPr>
        <w:t xml:space="preserve"> רוֹעֵשׁ,  </w:t>
      </w:r>
      <w:r>
        <w:rPr>
          <w:rFonts w:hint="cs"/>
          <w:b/>
          <w:bCs/>
          <w:rtl/>
        </w:rPr>
        <w:t>ב.</w:t>
      </w:r>
      <w:r>
        <w:rPr>
          <w:rFonts w:hint="cs"/>
          <w:rtl/>
        </w:rPr>
        <w:t xml:space="preserve"> מתפרסם,  </w:t>
      </w:r>
      <w:r>
        <w:rPr>
          <w:rFonts w:hint="cs"/>
          <w:b/>
          <w:bCs/>
          <w:rtl/>
        </w:rPr>
        <w:t>ג.</w:t>
      </w:r>
      <w:r>
        <w:rPr>
          <w:rFonts w:hint="cs"/>
          <w:rtl/>
        </w:rPr>
        <w:t xml:space="preserve"> לשון ריבוי. </w:t>
      </w:r>
    </w:p>
    <w:p w14:paraId="26240F12" w14:textId="77777777" w:rsidR="002B4B31" w:rsidRDefault="002B4B31" w:rsidP="002B4B31">
      <w:pPr>
        <w:rPr>
          <w:rFonts w:hint="cs"/>
          <w:rtl/>
        </w:rPr>
      </w:pPr>
      <w:r>
        <w:rPr>
          <w:rFonts w:hint="cs"/>
          <w:rtl/>
        </w:rPr>
        <w:t xml:space="preserve">לדיון לשוני זה יש נפקא מינה הלכתית: האם "איסור השמעת קול" (שמחמירים בו הנוהגים כרמ"א) נוהג בהפעלת </w:t>
      </w:r>
      <w:r>
        <w:rPr>
          <w:rtl/>
        </w:rPr>
        <w:t>מ</w:t>
      </w:r>
      <w:r>
        <w:rPr>
          <w:rFonts w:hint="cs"/>
          <w:rtl/>
        </w:rPr>
        <w:t>ַ</w:t>
      </w:r>
      <w:r>
        <w:rPr>
          <w:rtl/>
        </w:rPr>
        <w:t>מטרות</w:t>
      </w:r>
      <w:r>
        <w:rPr>
          <w:rFonts w:hint="cs"/>
          <w:rtl/>
        </w:rPr>
        <w:t xml:space="preserve"> בערב שבת אשר יַשקו את הגינה בשבת? </w:t>
      </w:r>
    </w:p>
    <w:p w14:paraId="5062FBA2" w14:textId="77777777" w:rsidR="002B4B31" w:rsidRDefault="002B4B31" w:rsidP="002B4B31">
      <w:pPr>
        <w:rPr>
          <w:rFonts w:hint="cs"/>
          <w:rtl/>
        </w:rPr>
      </w:pPr>
      <w:r>
        <w:rPr>
          <w:rFonts w:hint="cs"/>
          <w:rtl/>
        </w:rPr>
        <w:t>רש"י בסוגייתנו (</w:t>
      </w:r>
      <w:r>
        <w:rPr>
          <w:rFonts w:hint="cs"/>
          <w:color w:val="0000FF"/>
          <w:sz w:val="18"/>
          <w:szCs w:val="20"/>
          <w:rtl/>
        </w:rPr>
        <w:t xml:space="preserve">שבת </w:t>
      </w:r>
      <w:r>
        <w:rPr>
          <w:rFonts w:hint="cs"/>
          <w:sz w:val="18"/>
          <w:szCs w:val="20"/>
          <w:rtl/>
        </w:rPr>
        <w:t>יח, א</w:t>
      </w:r>
      <w:r>
        <w:rPr>
          <w:rFonts w:hint="cs"/>
          <w:rtl/>
        </w:rPr>
        <w:t>) כתב על דברי רבה ש"אין נותנין חִטין לתוך ה</w:t>
      </w:r>
      <w:r>
        <w:rPr>
          <w:rFonts w:hint="cs"/>
          <w:b/>
          <w:bCs/>
          <w:rtl/>
        </w:rPr>
        <w:t>ריחים של מים</w:t>
      </w:r>
      <w:r>
        <w:rPr>
          <w:rFonts w:hint="cs"/>
          <w:rtl/>
        </w:rPr>
        <w:t xml:space="preserve"> אלא בכדי שיטחנו מבעוד יום - מפני </w:t>
      </w:r>
      <w:r>
        <w:rPr>
          <w:rFonts w:hint="cs"/>
          <w:b/>
          <w:bCs/>
          <w:rtl/>
        </w:rPr>
        <w:t>שמשמעת קול</w:t>
      </w:r>
      <w:r>
        <w:rPr>
          <w:rFonts w:hint="cs"/>
          <w:rtl/>
        </w:rPr>
        <w:t>": "ו</w:t>
      </w:r>
      <w:r>
        <w:rPr>
          <w:rFonts w:hint="cs"/>
          <w:b/>
          <w:bCs/>
          <w:rtl/>
        </w:rPr>
        <w:t>אוושא מילתא</w:t>
      </w:r>
      <w:r>
        <w:rPr>
          <w:rFonts w:hint="cs"/>
          <w:rtl/>
        </w:rPr>
        <w:t xml:space="preserve"> בשבת ואיכא זילותא". יש המחמירים וסוברים ש</w:t>
      </w:r>
      <w:r>
        <w:rPr>
          <w:rtl/>
        </w:rPr>
        <w:t xml:space="preserve">בממטרות </w:t>
      </w:r>
      <w:r>
        <w:rPr>
          <w:rFonts w:hint="cs"/>
          <w:rtl/>
        </w:rPr>
        <w:t>יש איסור משום "</w:t>
      </w:r>
      <w:r>
        <w:rPr>
          <w:rtl/>
        </w:rPr>
        <w:t>אוושא מילתא</w:t>
      </w:r>
      <w:r>
        <w:rPr>
          <w:rFonts w:hint="cs"/>
          <w:rtl/>
        </w:rPr>
        <w:t>"</w:t>
      </w:r>
      <w:r>
        <w:rPr>
          <w:rStyle w:val="a4"/>
          <w:rtl/>
        </w:rPr>
        <w:footnoteReference w:id="440"/>
      </w:r>
      <w:r>
        <w:rPr>
          <w:rFonts w:hint="cs"/>
          <w:rtl/>
        </w:rPr>
        <w:t>, ויש מְחלקים בין רעש גדול האסור לרעש קטן המותר</w:t>
      </w:r>
      <w:r>
        <w:rPr>
          <w:rStyle w:val="a4"/>
          <w:rtl/>
        </w:rPr>
        <w:footnoteReference w:id="441"/>
      </w:r>
      <w:r>
        <w:rPr>
          <w:rFonts w:hint="cs"/>
          <w:rtl/>
        </w:rPr>
        <w:t xml:space="preserve">. </w:t>
      </w:r>
    </w:p>
    <w:p w14:paraId="005C4461" w14:textId="77777777" w:rsidR="002B4B31" w:rsidRDefault="002B4B31" w:rsidP="002B4B31">
      <w:pPr>
        <w:pStyle w:val="1"/>
        <w:rPr>
          <w:rFonts w:hint="cs"/>
          <w:rtl/>
        </w:rPr>
      </w:pPr>
    </w:p>
    <w:p w14:paraId="6EB7FE80" w14:textId="77777777" w:rsidR="002B4B31" w:rsidRDefault="002B4B31" w:rsidP="002B4B31">
      <w:pPr>
        <w:pStyle w:val="1"/>
        <w:rPr>
          <w:rFonts w:hint="cs"/>
          <w:rtl/>
        </w:rPr>
      </w:pPr>
      <w:r>
        <w:rPr>
          <w:rFonts w:hint="cs"/>
          <w:rtl/>
        </w:rPr>
        <w:t xml:space="preserve">דף יט, א: </w:t>
      </w:r>
      <w:r>
        <w:rPr>
          <w:rtl/>
        </w:rPr>
        <w:t xml:space="preserve">אין מפליגין </w:t>
      </w:r>
    </w:p>
    <w:p w14:paraId="23AB565C" w14:textId="77777777" w:rsidR="002B4B31" w:rsidRDefault="002B4B31" w:rsidP="002B4B31">
      <w:pPr>
        <w:pStyle w:val="2"/>
        <w:ind w:firstLine="284"/>
        <w:rPr>
          <w:rFonts w:hint="cs"/>
          <w:rtl/>
        </w:rPr>
      </w:pPr>
      <w:r>
        <w:rPr>
          <w:rFonts w:hint="cs"/>
          <w:rtl/>
        </w:rPr>
        <w:t>ה</w:t>
      </w:r>
      <w:r>
        <w:rPr>
          <w:rtl/>
        </w:rPr>
        <w:t>פ</w:t>
      </w:r>
      <w:r>
        <w:rPr>
          <w:rFonts w:hint="cs"/>
          <w:rtl/>
        </w:rPr>
        <w:t>ְ</w:t>
      </w:r>
      <w:r>
        <w:rPr>
          <w:rtl/>
        </w:rPr>
        <w:t>לג</w:t>
      </w:r>
      <w:r>
        <w:rPr>
          <w:rFonts w:hint="cs"/>
          <w:rtl/>
        </w:rPr>
        <w:t>ה, הפְרשה</w:t>
      </w:r>
      <w:r>
        <w:rPr>
          <w:rtl/>
        </w:rPr>
        <w:t xml:space="preserve"> </w:t>
      </w:r>
      <w:r>
        <w:rPr>
          <w:rFonts w:hint="cs"/>
          <w:rtl/>
        </w:rPr>
        <w:t>ו</w:t>
      </w:r>
      <w:r>
        <w:rPr>
          <w:rtl/>
        </w:rPr>
        <w:t>ארכיפלג</w:t>
      </w:r>
    </w:p>
    <w:p w14:paraId="7F1CD1D2" w14:textId="77777777" w:rsidR="002B4B31" w:rsidRDefault="002B4B31" w:rsidP="002B4B31">
      <w:pPr>
        <w:ind w:firstLine="284"/>
        <w:rPr>
          <w:rFonts w:hint="cs"/>
          <w:rtl/>
        </w:rPr>
      </w:pPr>
      <w:r>
        <w:rPr>
          <w:rFonts w:hint="cs"/>
          <w:rtl/>
        </w:rPr>
        <w:t>"</w:t>
      </w:r>
      <w:r>
        <w:rPr>
          <w:rtl/>
        </w:rPr>
        <w:t>תנו רבנן: אין מ</w:t>
      </w:r>
      <w:r>
        <w:rPr>
          <w:rFonts w:hint="cs"/>
          <w:rtl/>
        </w:rPr>
        <w:t>ַ</w:t>
      </w:r>
      <w:r>
        <w:rPr>
          <w:rtl/>
        </w:rPr>
        <w:t>פ</w:t>
      </w:r>
      <w:r>
        <w:rPr>
          <w:rFonts w:hint="cs"/>
          <w:rtl/>
        </w:rPr>
        <w:t>ְ</w:t>
      </w:r>
      <w:r>
        <w:rPr>
          <w:rtl/>
        </w:rPr>
        <w:t>ל</w:t>
      </w:r>
      <w:r>
        <w:rPr>
          <w:rFonts w:hint="cs"/>
          <w:rtl/>
        </w:rPr>
        <w:t>ִ</w:t>
      </w:r>
      <w:r>
        <w:rPr>
          <w:rtl/>
        </w:rPr>
        <w:t>יג</w:t>
      </w:r>
      <w:r>
        <w:rPr>
          <w:rFonts w:hint="cs"/>
          <w:rtl/>
        </w:rPr>
        <w:t>ִ</w:t>
      </w:r>
      <w:r>
        <w:rPr>
          <w:rtl/>
        </w:rPr>
        <w:t>ין בספינה פחות משלשה ימים קודם לשבת</w:t>
      </w:r>
      <w:r>
        <w:rPr>
          <w:rFonts w:hint="cs"/>
          <w:rtl/>
        </w:rPr>
        <w:t>"</w:t>
      </w:r>
      <w:r>
        <w:rPr>
          <w:rtl/>
        </w:rPr>
        <w:t xml:space="preserve">. </w:t>
      </w:r>
    </w:p>
    <w:p w14:paraId="0FAA73A8" w14:textId="77777777" w:rsidR="002B4B31" w:rsidRDefault="002B4B31" w:rsidP="002B4B31">
      <w:pPr>
        <w:autoSpaceDE w:val="0"/>
        <w:autoSpaceDN w:val="0"/>
        <w:adjustRightInd w:val="0"/>
        <w:ind w:firstLine="284"/>
        <w:rPr>
          <w:rFonts w:hint="cs"/>
          <w:rtl/>
        </w:rPr>
      </w:pPr>
      <w:r>
        <w:rPr>
          <w:rFonts w:hint="cs"/>
          <w:rtl/>
        </w:rPr>
        <w:t xml:space="preserve">בסוגיה זו נחלקו גדולי ישראל בהבנת מהותה של ההפלגה, בהגדרת המקומות הכלולים באיסור ההפלגה, ובהבנת טעם האיסור. </w:t>
      </w:r>
      <w:r>
        <w:rPr>
          <w:rFonts w:hint="cs"/>
          <w:rtl/>
        </w:rPr>
        <w:lastRenderedPageBreak/>
        <w:t xml:space="preserve">שמונה שיטות שונות (!) מצאנו בכתבי הגאונים </w:t>
      </w:r>
      <w:r>
        <w:rPr>
          <w:rtl/>
        </w:rPr>
        <w:t>והראשונים להסבר דין זה, טעמו והקפו</w:t>
      </w:r>
      <w:r>
        <w:rPr>
          <w:rStyle w:val="a4"/>
          <w:rtl/>
        </w:rPr>
        <w:footnoteReference w:id="442"/>
      </w:r>
      <w:r>
        <w:rPr>
          <w:rFonts w:hint="cs"/>
          <w:rtl/>
        </w:rPr>
        <w:t>, וחלקם לא באו אלא על מנת להצדיק את מנהג העולם, כמו שכותב ר' מנחם המאירי בפתח סוגייתנו: "שמועה זו נתבלבלו המפרשים בענינה, וכ"ש ממה שראו שלא נמנעו מעולם להפליג בים אף בערב שבת, ולא נשמע להם מי שימחה בדבר".</w:t>
      </w:r>
    </w:p>
    <w:p w14:paraId="1923AC01" w14:textId="77777777" w:rsidR="002B4B31" w:rsidRDefault="002B4B31" w:rsidP="002B4B31">
      <w:pPr>
        <w:autoSpaceDE w:val="0"/>
        <w:autoSpaceDN w:val="0"/>
        <w:adjustRightInd w:val="0"/>
        <w:ind w:firstLine="284"/>
        <w:rPr>
          <w:rFonts w:hint="cs"/>
          <w:rtl/>
        </w:rPr>
      </w:pPr>
      <w:r>
        <w:rPr>
          <w:rtl/>
        </w:rPr>
        <w:t xml:space="preserve">רש"י </w:t>
      </w:r>
      <w:r>
        <w:rPr>
          <w:rFonts w:hint="cs"/>
          <w:rtl/>
        </w:rPr>
        <w:t>לא באר לנו מהו טעם איסור ההפלגה לקראת שבת (</w:t>
      </w:r>
      <w:r>
        <w:rPr>
          <w:rFonts w:hint="cs"/>
          <w:sz w:val="18"/>
          <w:szCs w:val="20"/>
          <w:rtl/>
        </w:rPr>
        <w:t>כפי שציין הריטב"א בחידושיו</w:t>
      </w:r>
      <w:r>
        <w:rPr>
          <w:rFonts w:hint="cs"/>
          <w:rtl/>
        </w:rPr>
        <w:t>), אלא בחר לעסוק</w:t>
      </w:r>
      <w:r>
        <w:rPr>
          <w:rtl/>
        </w:rPr>
        <w:t xml:space="preserve"> </w:t>
      </w:r>
      <w:r>
        <w:rPr>
          <w:rFonts w:hint="cs"/>
          <w:rtl/>
        </w:rPr>
        <w:t>בבירור לשוני: בגיזרון (</w:t>
      </w:r>
      <w:r>
        <w:rPr>
          <w:rFonts w:hint="cs"/>
          <w:sz w:val="18"/>
          <w:szCs w:val="20"/>
          <w:rtl/>
        </w:rPr>
        <w:t>אטימולוגיה בלעז</w:t>
      </w:r>
      <w:r>
        <w:rPr>
          <w:rFonts w:hint="cs"/>
          <w:rtl/>
        </w:rPr>
        <w:t xml:space="preserve">) של המִלה "הפלגה". </w:t>
      </w:r>
      <w:r>
        <w:rPr>
          <w:rtl/>
        </w:rPr>
        <w:t xml:space="preserve">רש"י </w:t>
      </w:r>
      <w:r>
        <w:rPr>
          <w:rFonts w:hint="cs"/>
          <w:rtl/>
        </w:rPr>
        <w:t>(</w:t>
      </w:r>
      <w:r>
        <w:rPr>
          <w:sz w:val="18"/>
          <w:szCs w:val="20"/>
          <w:rtl/>
        </w:rPr>
        <w:t>ד"ה מפליגין</w:t>
      </w:r>
      <w:r>
        <w:rPr>
          <w:rFonts w:hint="cs"/>
          <w:rtl/>
        </w:rPr>
        <w:t>) מפרט שתי הצעות לבאר את שורשו ומקורו של הפֹעַל</w:t>
      </w:r>
      <w:r>
        <w:rPr>
          <w:rtl/>
        </w:rPr>
        <w:t xml:space="preserve"> </w:t>
      </w:r>
      <w:r>
        <w:rPr>
          <w:rFonts w:hint="cs"/>
          <w:rtl/>
        </w:rPr>
        <w:t>"</w:t>
      </w:r>
      <w:r>
        <w:rPr>
          <w:rtl/>
        </w:rPr>
        <w:t>מפליגין</w:t>
      </w:r>
      <w:r>
        <w:rPr>
          <w:rFonts w:hint="cs"/>
          <w:rtl/>
        </w:rPr>
        <w:t xml:space="preserve">" במובן של יציאה לים בספינה: </w:t>
      </w:r>
    </w:p>
    <w:p w14:paraId="088A7024" w14:textId="77777777" w:rsidR="002B4B31" w:rsidRDefault="002B4B31" w:rsidP="002B4B31">
      <w:pPr>
        <w:ind w:firstLine="284"/>
        <w:rPr>
          <w:rFonts w:hint="cs"/>
          <w:rtl/>
        </w:rPr>
      </w:pPr>
      <w:r>
        <w:rPr>
          <w:rFonts w:hint="cs"/>
          <w:b/>
          <w:bCs/>
          <w:rtl/>
        </w:rPr>
        <w:t xml:space="preserve">א. </w:t>
      </w:r>
      <w:r>
        <w:rPr>
          <w:rFonts w:hint="cs"/>
          <w:rtl/>
        </w:rPr>
        <w:t>"</w:t>
      </w:r>
      <w:r>
        <w:rPr>
          <w:rtl/>
        </w:rPr>
        <w:t>מפרישׁין מן היבשה לים</w:t>
      </w:r>
      <w:r>
        <w:rPr>
          <w:rStyle w:val="a4"/>
          <w:rtl/>
        </w:rPr>
        <w:footnoteReference w:id="443"/>
      </w:r>
      <w:r>
        <w:rPr>
          <w:rtl/>
        </w:rPr>
        <w:t>, וזהו לשון [הפלגת</w:t>
      </w:r>
      <w:r>
        <w:rPr>
          <w:rStyle w:val="a4"/>
          <w:rtl/>
        </w:rPr>
        <w:footnoteReference w:id="444"/>
      </w:r>
      <w:r>
        <w:rPr>
          <w:rtl/>
        </w:rPr>
        <w:t>] ספינה על שם שמפליג עצמו מן היישוב".</w:t>
      </w:r>
    </w:p>
    <w:p w14:paraId="41FCDD62" w14:textId="77777777" w:rsidR="002B4B31" w:rsidRDefault="002B4B31" w:rsidP="002B4B31">
      <w:pPr>
        <w:ind w:firstLine="284"/>
        <w:rPr>
          <w:rFonts w:hint="cs"/>
          <w:rtl/>
        </w:rPr>
      </w:pPr>
      <w:r>
        <w:rPr>
          <w:rFonts w:hint="cs"/>
          <w:rtl/>
        </w:rPr>
        <w:t>לפי הצעה זו, גזור הפֹעַל "מפליג" מן השורש העברי פל"ג (</w:t>
      </w:r>
      <w:r>
        <w:rPr>
          <w:rFonts w:hint="cs"/>
          <w:sz w:val="18"/>
          <w:szCs w:val="20"/>
          <w:rtl/>
        </w:rPr>
        <w:t>המוזכר כבר</w:t>
      </w:r>
      <w:r>
        <w:rPr>
          <w:sz w:val="18"/>
          <w:szCs w:val="20"/>
          <w:rtl/>
        </w:rPr>
        <w:t xml:space="preserve"> בתורה, בענין "דור הַפַּלָּגָה"</w:t>
      </w:r>
      <w:r>
        <w:rPr>
          <w:rStyle w:val="a4"/>
          <w:szCs w:val="20"/>
          <w:rtl/>
        </w:rPr>
        <w:footnoteReference w:id="445"/>
      </w:r>
      <w:r>
        <w:rPr>
          <w:rFonts w:hint="cs"/>
          <w:rtl/>
        </w:rPr>
        <w:t>). רש"י הִשוָה את הפֹעַל "</w:t>
      </w:r>
      <w:r>
        <w:rPr>
          <w:rtl/>
        </w:rPr>
        <w:t>מפליגין</w:t>
      </w:r>
      <w:r>
        <w:rPr>
          <w:rFonts w:hint="cs"/>
          <w:rtl/>
        </w:rPr>
        <w:t>"</w:t>
      </w:r>
      <w:r>
        <w:rPr>
          <w:rtl/>
        </w:rPr>
        <w:t xml:space="preserve"> </w:t>
      </w:r>
      <w:r>
        <w:rPr>
          <w:rtl/>
        </w:rPr>
        <w:lastRenderedPageBreak/>
        <w:t>לפֹעַל "מפרישין" הדומה לו מבחינת צורתו</w:t>
      </w:r>
      <w:r>
        <w:rPr>
          <w:rStyle w:val="a4"/>
          <w:rtl/>
        </w:rPr>
        <w:footnoteReference w:id="446"/>
      </w:r>
      <w:r>
        <w:rPr>
          <w:rFonts w:hint="cs"/>
          <w:rtl/>
        </w:rPr>
        <w:t xml:space="preserve"> וגם מבחינת משמעותו: כשם שהפוֹרֵשׁ הרי הוא מתרחק, כך גם המפליג הרי הוא מתרחק ממקום מוצאו.</w:t>
      </w:r>
      <w:r>
        <w:rPr>
          <w:rtl/>
        </w:rPr>
        <w:t xml:space="preserve"> פעלים משורש פל"ג מופיעים במקרא בבנין נִפעל</w:t>
      </w:r>
      <w:r>
        <w:rPr>
          <w:rStyle w:val="a4"/>
          <w:rtl/>
        </w:rPr>
        <w:footnoteReference w:id="447"/>
      </w:r>
      <w:r>
        <w:rPr>
          <w:rtl/>
        </w:rPr>
        <w:t xml:space="preserve"> ופִעֵל</w:t>
      </w:r>
      <w:r>
        <w:rPr>
          <w:rStyle w:val="a4"/>
          <w:rtl/>
        </w:rPr>
        <w:footnoteReference w:id="448"/>
      </w:r>
      <w:r>
        <w:rPr>
          <w:rFonts w:hint="cs"/>
          <w:rtl/>
        </w:rPr>
        <w:t xml:space="preserve"> בלבד (במשמעות של פיזור, הפרדה וחילוק), אך רק בלשון חכמים הוחל השימוש בפעלים מבנין הפעיל והֻפעל (במשמעות של הרחקה או התרחקות). </w:t>
      </w:r>
    </w:p>
    <w:p w14:paraId="1CC5DD4F" w14:textId="77777777" w:rsidR="002B4B31" w:rsidRDefault="002B4B31" w:rsidP="002B4B31">
      <w:pPr>
        <w:ind w:firstLine="284"/>
        <w:rPr>
          <w:rFonts w:hint="cs"/>
          <w:rtl/>
        </w:rPr>
      </w:pPr>
      <w:r>
        <w:rPr>
          <w:rFonts w:hint="cs"/>
          <w:b/>
          <w:bCs/>
          <w:rtl/>
        </w:rPr>
        <w:t xml:space="preserve">ב. </w:t>
      </w:r>
      <w:r>
        <w:rPr>
          <w:rFonts w:hint="cs"/>
          <w:rtl/>
        </w:rPr>
        <w:t>הצעה אחרת מוסיף רש"י בשם רבו, ר"</w:t>
      </w:r>
      <w:r>
        <w:rPr>
          <w:rtl/>
        </w:rPr>
        <w:t>י ב</w:t>
      </w:r>
      <w:r>
        <w:rPr>
          <w:rFonts w:hint="cs"/>
          <w:rtl/>
        </w:rPr>
        <w:t>ר</w:t>
      </w:r>
      <w:r>
        <w:rPr>
          <w:rtl/>
        </w:rPr>
        <w:t xml:space="preserve"> יקר</w:t>
      </w:r>
      <w:r>
        <w:rPr>
          <w:rFonts w:hint="cs"/>
          <w:rtl/>
        </w:rPr>
        <w:t xml:space="preserve">, מהתקופה שלמד אצלו מסכת </w:t>
      </w:r>
      <w:r>
        <w:rPr>
          <w:rtl/>
        </w:rPr>
        <w:t>עירובין</w:t>
      </w:r>
      <w:r>
        <w:rPr>
          <w:rFonts w:hint="cs"/>
          <w:rtl/>
        </w:rPr>
        <w:t>: "</w:t>
      </w:r>
      <w:r>
        <w:rPr>
          <w:rtl/>
        </w:rPr>
        <w:t>ומרבינו יעקב שמעתי בעירובין</w:t>
      </w:r>
      <w:r>
        <w:rPr>
          <w:rFonts w:hint="cs"/>
          <w:rtl/>
        </w:rPr>
        <w:t>,</w:t>
      </w:r>
      <w:r>
        <w:rPr>
          <w:rtl/>
        </w:rPr>
        <w:t xml:space="preserve"> שאמצעיתו של ים נקרא פילגוס, ואף בלשון לעז פילגס</w:t>
      </w:r>
      <w:r>
        <w:rPr>
          <w:rFonts w:hint="cs"/>
          <w:rtl/>
        </w:rPr>
        <w:t>"</w:t>
      </w:r>
      <w:r>
        <w:rPr>
          <w:rtl/>
        </w:rPr>
        <w:t>.</w:t>
      </w:r>
      <w:r>
        <w:rPr>
          <w:rFonts w:hint="cs"/>
          <w:rtl/>
        </w:rPr>
        <w:t xml:space="preserve"> כוונתו </w:t>
      </w:r>
      <w:r>
        <w:rPr>
          <w:rFonts w:hint="cs"/>
          <w:rtl/>
        </w:rPr>
        <w:lastRenderedPageBreak/>
        <w:t>למשנה במסכת</w:t>
      </w:r>
      <w:r>
        <w:rPr>
          <w:rtl/>
        </w:rPr>
        <w:t xml:space="preserve"> ערובין (פ"ד מ"א; דף מא, ב): "מעשה שבאו מפרנדיסין</w:t>
      </w:r>
      <w:r>
        <w:rPr>
          <w:rStyle w:val="a4"/>
          <w:rtl/>
        </w:rPr>
        <w:footnoteReference w:id="449"/>
      </w:r>
      <w:r>
        <w:rPr>
          <w:b/>
          <w:bCs/>
          <w:rtl/>
        </w:rPr>
        <w:t xml:space="preserve"> והפליגה</w:t>
      </w:r>
      <w:r>
        <w:rPr>
          <w:rFonts w:hint="cs"/>
          <w:rtl/>
        </w:rPr>
        <w:t xml:space="preserve"> </w:t>
      </w:r>
      <w:r>
        <w:rPr>
          <w:rtl/>
        </w:rPr>
        <w:t>ספינתם בים</w:t>
      </w:r>
      <w:r>
        <w:rPr>
          <w:rFonts w:hint="cs"/>
          <w:rtl/>
        </w:rPr>
        <w:t>". שם הביא</w:t>
      </w:r>
      <w:r>
        <w:rPr>
          <w:rtl/>
        </w:rPr>
        <w:t xml:space="preserve"> רש"י רק את פירוש רבו</w:t>
      </w:r>
      <w:r>
        <w:rPr>
          <w:rStyle w:val="a4"/>
          <w:rtl/>
        </w:rPr>
        <w:footnoteReference w:id="450"/>
      </w:r>
      <w:r>
        <w:rPr>
          <w:rtl/>
        </w:rPr>
        <w:t>, אך ללא ציון שמו</w:t>
      </w:r>
      <w:r>
        <w:rPr>
          <w:rStyle w:val="a4"/>
          <w:rtl/>
        </w:rPr>
        <w:footnoteReference w:id="451"/>
      </w:r>
      <w:r>
        <w:rPr>
          <w:rtl/>
        </w:rPr>
        <w:t>: "והפליגה - כשהיא מתרחקת משפת הים ונכנסת לאמצעי</w:t>
      </w:r>
      <w:r>
        <w:rPr>
          <w:rStyle w:val="a4"/>
          <w:rtl/>
        </w:rPr>
        <w:footnoteReference w:id="452"/>
      </w:r>
      <w:r>
        <w:rPr>
          <w:rtl/>
        </w:rPr>
        <w:t xml:space="preserve"> קרי ליה </w:t>
      </w:r>
      <w:r>
        <w:rPr>
          <w:rFonts w:hint="cs"/>
          <w:rtl/>
        </w:rPr>
        <w:t>הַפְלָגָה.</w:t>
      </w:r>
      <w:r>
        <w:rPr>
          <w:rtl/>
        </w:rPr>
        <w:t xml:space="preserve"> ולשון לעז הוא, שקורין לשלולית הים פילג</w:t>
      </w:r>
      <w:r>
        <w:rPr>
          <w:rFonts w:hint="cs"/>
          <w:rtl/>
        </w:rPr>
        <w:t>"</w:t>
      </w:r>
      <w:r>
        <w:rPr>
          <w:rtl/>
        </w:rPr>
        <w:t>.</w:t>
      </w:r>
    </w:p>
    <w:p w14:paraId="6DC7D7F8" w14:textId="77777777" w:rsidR="002B4B31" w:rsidRDefault="002B4B31" w:rsidP="002B4B31">
      <w:pPr>
        <w:ind w:firstLine="284"/>
        <w:rPr>
          <w:rFonts w:hint="cs"/>
          <w:rtl/>
        </w:rPr>
      </w:pPr>
      <w:r>
        <w:rPr>
          <w:rFonts w:hint="cs"/>
          <w:rtl/>
        </w:rPr>
        <w:t>הצעה זו גוזרת את הפְעלים</w:t>
      </w:r>
      <w:r>
        <w:rPr>
          <w:rtl/>
        </w:rPr>
        <w:t xml:space="preserve"> </w:t>
      </w:r>
      <w:r>
        <w:rPr>
          <w:rFonts w:hint="cs"/>
          <w:rtl/>
        </w:rPr>
        <w:t>"</w:t>
      </w:r>
      <w:r>
        <w:rPr>
          <w:rtl/>
        </w:rPr>
        <w:t>מ</w:t>
      </w:r>
      <w:r>
        <w:rPr>
          <w:rFonts w:hint="cs"/>
          <w:rtl/>
        </w:rPr>
        <w:t>ַ</w:t>
      </w:r>
      <w:r>
        <w:rPr>
          <w:rtl/>
        </w:rPr>
        <w:t>פ</w:t>
      </w:r>
      <w:r>
        <w:rPr>
          <w:rFonts w:hint="cs"/>
          <w:rtl/>
        </w:rPr>
        <w:t>ְ</w:t>
      </w:r>
      <w:r>
        <w:rPr>
          <w:rtl/>
        </w:rPr>
        <w:t>ל</w:t>
      </w:r>
      <w:r>
        <w:rPr>
          <w:rFonts w:hint="cs"/>
          <w:rtl/>
        </w:rPr>
        <w:t>ִ</w:t>
      </w:r>
      <w:r>
        <w:rPr>
          <w:rtl/>
        </w:rPr>
        <w:t>יג</w:t>
      </w:r>
      <w:r>
        <w:rPr>
          <w:rFonts w:hint="cs"/>
          <w:rtl/>
        </w:rPr>
        <w:t>ִ</w:t>
      </w:r>
      <w:r>
        <w:rPr>
          <w:rtl/>
        </w:rPr>
        <w:t>ין</w:t>
      </w:r>
      <w:r>
        <w:rPr>
          <w:rFonts w:hint="cs"/>
          <w:rtl/>
        </w:rPr>
        <w:t>"</w:t>
      </w:r>
      <w:r>
        <w:rPr>
          <w:rtl/>
        </w:rPr>
        <w:t xml:space="preserve"> </w:t>
      </w:r>
      <w:r>
        <w:rPr>
          <w:rFonts w:hint="cs"/>
          <w:rtl/>
        </w:rPr>
        <w:t>ו"</w:t>
      </w:r>
      <w:r>
        <w:rPr>
          <w:rtl/>
        </w:rPr>
        <w:t>ה</w:t>
      </w:r>
      <w:r>
        <w:rPr>
          <w:rFonts w:hint="cs"/>
          <w:rtl/>
        </w:rPr>
        <w:t>ִ</w:t>
      </w:r>
      <w:r>
        <w:rPr>
          <w:rtl/>
        </w:rPr>
        <w:t>פ</w:t>
      </w:r>
      <w:r>
        <w:rPr>
          <w:rFonts w:hint="cs"/>
          <w:rtl/>
        </w:rPr>
        <w:t>ְ</w:t>
      </w:r>
      <w:r>
        <w:rPr>
          <w:rtl/>
        </w:rPr>
        <w:t>ל</w:t>
      </w:r>
      <w:r>
        <w:rPr>
          <w:rFonts w:hint="cs"/>
          <w:rtl/>
        </w:rPr>
        <w:t>ִ</w:t>
      </w:r>
      <w:r>
        <w:rPr>
          <w:rtl/>
        </w:rPr>
        <w:t>יג</w:t>
      </w:r>
      <w:r>
        <w:rPr>
          <w:rFonts w:hint="cs"/>
          <w:rtl/>
        </w:rPr>
        <w:t>ָ</w:t>
      </w:r>
      <w:r>
        <w:rPr>
          <w:rtl/>
        </w:rPr>
        <w:t>ה</w:t>
      </w:r>
      <w:r>
        <w:rPr>
          <w:rFonts w:hint="cs"/>
          <w:rtl/>
        </w:rPr>
        <w:t>" מהשֵם "</w:t>
      </w:r>
      <w:r>
        <w:rPr>
          <w:rtl/>
        </w:rPr>
        <w:t>פ</w:t>
      </w:r>
      <w:r>
        <w:rPr>
          <w:rFonts w:hint="cs"/>
          <w:rtl/>
        </w:rPr>
        <w:t>ֶּ</w:t>
      </w:r>
      <w:r>
        <w:rPr>
          <w:rtl/>
        </w:rPr>
        <w:t>יל</w:t>
      </w:r>
      <w:r>
        <w:rPr>
          <w:rFonts w:hint="cs"/>
          <w:rtl/>
        </w:rPr>
        <w:t>ַ</w:t>
      </w:r>
      <w:r>
        <w:rPr>
          <w:rtl/>
        </w:rPr>
        <w:t>גו</w:t>
      </w:r>
      <w:r>
        <w:rPr>
          <w:rFonts w:hint="cs"/>
          <w:rtl/>
        </w:rPr>
        <w:t>ֹ</w:t>
      </w:r>
      <w:r>
        <w:rPr>
          <w:rtl/>
        </w:rPr>
        <w:t>ס</w:t>
      </w:r>
      <w:r>
        <w:rPr>
          <w:rFonts w:hint="cs"/>
          <w:rtl/>
        </w:rPr>
        <w:t>", המצוי</w:t>
      </w:r>
      <w:r>
        <w:rPr>
          <w:rtl/>
        </w:rPr>
        <w:t xml:space="preserve"> בארמית של חז"ל (במדרשים</w:t>
      </w:r>
      <w:r>
        <w:rPr>
          <w:rStyle w:val="a4"/>
          <w:rtl/>
        </w:rPr>
        <w:footnoteReference w:id="453"/>
      </w:r>
      <w:r>
        <w:rPr>
          <w:rtl/>
        </w:rPr>
        <w:t xml:space="preserve"> ובתרגומי המקרא לצירופי </w:t>
      </w:r>
      <w:r>
        <w:rPr>
          <w:rtl/>
        </w:rPr>
        <w:lastRenderedPageBreak/>
        <w:t>המִלים "לֶב יָם"</w:t>
      </w:r>
      <w:r>
        <w:rPr>
          <w:rStyle w:val="a4"/>
          <w:rtl/>
        </w:rPr>
        <w:footnoteReference w:id="454"/>
      </w:r>
      <w:r>
        <w:rPr>
          <w:rtl/>
        </w:rPr>
        <w:t xml:space="preserve"> ו"לֵב יַמִּים"</w:t>
      </w:r>
      <w:r>
        <w:rPr>
          <w:rStyle w:val="a4"/>
          <w:rtl/>
        </w:rPr>
        <w:footnoteReference w:id="455"/>
      </w:r>
      <w:r>
        <w:rPr>
          <w:rtl/>
        </w:rPr>
        <w:t>),</w:t>
      </w:r>
      <w:r>
        <w:rPr>
          <w:rFonts w:hint="cs"/>
          <w:rtl/>
        </w:rPr>
        <w:t xml:space="preserve"> שפירושו: </w:t>
      </w:r>
      <w:r>
        <w:rPr>
          <w:rtl/>
        </w:rPr>
        <w:t>אמצע</w:t>
      </w:r>
      <w:r>
        <w:rPr>
          <w:rFonts w:hint="cs"/>
          <w:rtl/>
        </w:rPr>
        <w:t xml:space="preserve"> ה</w:t>
      </w:r>
      <w:r>
        <w:rPr>
          <w:rtl/>
        </w:rPr>
        <w:t>ים</w:t>
      </w:r>
      <w:r>
        <w:rPr>
          <w:rFonts w:hint="cs"/>
          <w:rtl/>
        </w:rPr>
        <w:t>. כפי שניתן להסיק מהסיומת "-וס",</w:t>
      </w:r>
      <w:r>
        <w:rPr>
          <w:rtl/>
        </w:rPr>
        <w:t xml:space="preserve"> מקור מִלה זו מן היוונית</w:t>
      </w:r>
      <w:r>
        <w:rPr>
          <w:rStyle w:val="a4"/>
          <w:rtl/>
        </w:rPr>
        <w:footnoteReference w:id="456"/>
      </w:r>
      <w:r>
        <w:rPr>
          <w:rtl/>
        </w:rPr>
        <w:t>, וכמו מִלים יווניות נוספות ש"נתגיירו" הושמטה סיומת זו</w:t>
      </w:r>
      <w:r>
        <w:rPr>
          <w:rStyle w:val="a4"/>
          <w:rtl/>
        </w:rPr>
        <w:footnoteReference w:id="457"/>
      </w:r>
      <w:r>
        <w:rPr>
          <w:rFonts w:hint="cs"/>
          <w:rtl/>
        </w:rPr>
        <w:t>. לדעת ר"</w:t>
      </w:r>
      <w:r>
        <w:rPr>
          <w:rtl/>
        </w:rPr>
        <w:t>י ב</w:t>
      </w:r>
      <w:r>
        <w:rPr>
          <w:rFonts w:hint="cs"/>
          <w:rtl/>
        </w:rPr>
        <w:t>ר</w:t>
      </w:r>
      <w:r>
        <w:rPr>
          <w:rtl/>
        </w:rPr>
        <w:t xml:space="preserve"> יקר</w:t>
      </w:r>
      <w:r>
        <w:rPr>
          <w:rFonts w:hint="cs"/>
          <w:rtl/>
        </w:rPr>
        <w:t xml:space="preserve">, </w:t>
      </w:r>
      <w:r>
        <w:rPr>
          <w:rFonts w:hint="cs"/>
          <w:rtl/>
        </w:rPr>
        <w:lastRenderedPageBreak/>
        <w:t>ממקור יווני זה גזרו חז"ל את השורש פל"ג וחִדשו את ה"הפלגה" אל לב הים. את פירוש רבו מחזק רש"י בעזרת מִלה בעלת צליל</w:t>
      </w:r>
      <w:r>
        <w:rPr>
          <w:rtl/>
        </w:rPr>
        <w:t xml:space="preserve"> דומה ומשמעות דומה שהכיר בלעז</w:t>
      </w:r>
      <w:r>
        <w:rPr>
          <w:rStyle w:val="a4"/>
          <w:rtl/>
        </w:rPr>
        <w:footnoteReference w:id="458"/>
      </w:r>
      <w:r>
        <w:rPr>
          <w:rtl/>
        </w:rPr>
        <w:t xml:space="preserve"> (בצרפתית</w:t>
      </w:r>
      <w:r>
        <w:rPr>
          <w:rStyle w:val="a4"/>
          <w:rtl/>
        </w:rPr>
        <w:footnoteReference w:id="459"/>
      </w:r>
      <w:r>
        <w:rPr>
          <w:rtl/>
        </w:rPr>
        <w:t xml:space="preserve"> או באיטלקית</w:t>
      </w:r>
      <w:r>
        <w:rPr>
          <w:rStyle w:val="a4"/>
          <w:rtl/>
        </w:rPr>
        <w:footnoteReference w:id="460"/>
      </w:r>
      <w:r>
        <w:rPr>
          <w:rtl/>
        </w:rPr>
        <w:t>).</w:t>
      </w:r>
    </w:p>
    <w:p w14:paraId="26B52EBF" w14:textId="77777777" w:rsidR="002B4B31" w:rsidRDefault="002B4B31" w:rsidP="002B4B31">
      <w:pPr>
        <w:autoSpaceDE w:val="0"/>
        <w:autoSpaceDN w:val="0"/>
        <w:adjustRightInd w:val="0"/>
        <w:ind w:firstLine="284"/>
        <w:rPr>
          <w:rFonts w:hint="cs"/>
          <w:rtl/>
        </w:rPr>
      </w:pPr>
      <w:r>
        <w:rPr>
          <w:rFonts w:hint="cs"/>
          <w:rtl/>
        </w:rPr>
        <w:t xml:space="preserve">אמנם, מדברי </w:t>
      </w:r>
      <w:r>
        <w:rPr>
          <w:rtl/>
        </w:rPr>
        <w:t>הריב"ש</w:t>
      </w:r>
      <w:r>
        <w:rPr>
          <w:rFonts w:hint="cs"/>
          <w:rtl/>
        </w:rPr>
        <w:t xml:space="preserve"> (</w:t>
      </w:r>
      <w:r>
        <w:rPr>
          <w:rFonts w:hint="cs"/>
          <w:sz w:val="18"/>
          <w:szCs w:val="20"/>
          <w:rtl/>
        </w:rPr>
        <w:t>בתשובה</w:t>
      </w:r>
      <w:r>
        <w:rPr>
          <w:sz w:val="18"/>
          <w:szCs w:val="20"/>
          <w:rtl/>
        </w:rPr>
        <w:t xml:space="preserve"> תמ</w:t>
      </w:r>
      <w:r>
        <w:rPr>
          <w:rFonts w:hint="cs"/>
          <w:sz w:val="18"/>
          <w:szCs w:val="20"/>
          <w:rtl/>
        </w:rPr>
        <w:t>"</w:t>
      </w:r>
      <w:r>
        <w:rPr>
          <w:sz w:val="18"/>
          <w:szCs w:val="20"/>
          <w:rtl/>
        </w:rPr>
        <w:t>ב</w:t>
      </w:r>
      <w:r>
        <w:rPr>
          <w:rFonts w:hint="cs"/>
          <w:rtl/>
        </w:rPr>
        <w:t>) ניתן ללמוד שהמִלה "</w:t>
      </w:r>
      <w:r>
        <w:rPr>
          <w:rtl/>
        </w:rPr>
        <w:t>פ</w:t>
      </w:r>
      <w:r>
        <w:rPr>
          <w:rFonts w:hint="cs"/>
          <w:rtl/>
        </w:rPr>
        <w:t>י</w:t>
      </w:r>
      <w:r>
        <w:rPr>
          <w:rtl/>
        </w:rPr>
        <w:t>לגו</w:t>
      </w:r>
      <w:r>
        <w:rPr>
          <w:rFonts w:hint="cs"/>
          <w:rtl/>
        </w:rPr>
        <w:t>ס"</w:t>
      </w:r>
      <w:r>
        <w:rPr>
          <w:rtl/>
        </w:rPr>
        <w:t xml:space="preserve"> היוונית יָנקה מהמִלה המקראית "פֶּלֶג" היוונית יָנקה מהמִלה המקראית "פֶּלֶג"</w:t>
      </w:r>
      <w:r>
        <w:rPr>
          <w:rStyle w:val="a4"/>
          <w:rtl/>
        </w:rPr>
        <w:footnoteReference w:id="461"/>
      </w:r>
      <w:r>
        <w:rPr>
          <w:rFonts w:hint="cs"/>
          <w:rtl/>
        </w:rPr>
        <w:t>: "</w:t>
      </w:r>
      <w:r>
        <w:rPr>
          <w:rtl/>
        </w:rPr>
        <w:t xml:space="preserve">פלגוס </w:t>
      </w:r>
      <w:r>
        <w:rPr>
          <w:rFonts w:hint="cs"/>
          <w:rtl/>
        </w:rPr>
        <w:t xml:space="preserve">- </w:t>
      </w:r>
      <w:r>
        <w:rPr>
          <w:rtl/>
        </w:rPr>
        <w:t>לב ים</w:t>
      </w:r>
      <w:r>
        <w:rPr>
          <w:rFonts w:hint="cs"/>
          <w:rtl/>
        </w:rPr>
        <w:t xml:space="preserve">, </w:t>
      </w:r>
      <w:r>
        <w:rPr>
          <w:rtl/>
        </w:rPr>
        <w:t>ששם המים עמוקים. והוא מלשון: פַּלְגֵי מָיִם</w:t>
      </w:r>
      <w:r>
        <w:rPr>
          <w:rFonts w:hint="cs"/>
          <w:rtl/>
        </w:rPr>
        <w:t xml:space="preserve"> (</w:t>
      </w:r>
      <w:r>
        <w:rPr>
          <w:sz w:val="18"/>
          <w:szCs w:val="20"/>
          <w:rtl/>
        </w:rPr>
        <w:t>תהלים א</w:t>
      </w:r>
      <w:r>
        <w:rPr>
          <w:rFonts w:hint="cs"/>
          <w:sz w:val="18"/>
          <w:szCs w:val="20"/>
          <w:rtl/>
        </w:rPr>
        <w:t>,</w:t>
      </w:r>
      <w:r>
        <w:rPr>
          <w:sz w:val="18"/>
          <w:szCs w:val="20"/>
          <w:rtl/>
        </w:rPr>
        <w:t xml:space="preserve"> ג</w:t>
      </w:r>
      <w:r>
        <w:rPr>
          <w:rFonts w:hint="cs"/>
          <w:rtl/>
        </w:rPr>
        <w:t>),</w:t>
      </w:r>
      <w:r>
        <w:rPr>
          <w:rtl/>
        </w:rPr>
        <w:t xml:space="preserve"> ותרגום ירושלמי: בלב ים</w:t>
      </w:r>
      <w:r>
        <w:rPr>
          <w:rFonts w:hint="cs"/>
          <w:rtl/>
        </w:rPr>
        <w:t xml:space="preserve"> - </w:t>
      </w:r>
      <w:r>
        <w:rPr>
          <w:rtl/>
        </w:rPr>
        <w:t>בפלגוש ד</w:t>
      </w:r>
      <w:r>
        <w:rPr>
          <w:rFonts w:hint="cs"/>
          <w:rtl/>
        </w:rPr>
        <w:t>ְ</w:t>
      </w:r>
      <w:r>
        <w:rPr>
          <w:rtl/>
        </w:rPr>
        <w:t>ימא רבא</w:t>
      </w:r>
      <w:r>
        <w:rPr>
          <w:rFonts w:hint="cs"/>
          <w:rtl/>
        </w:rPr>
        <w:t xml:space="preserve">". יתכן גם ש"זה וזה גורם", וחלה בלשון חז"ל </w:t>
      </w:r>
      <w:r>
        <w:rPr>
          <w:rtl/>
        </w:rPr>
        <w:t>"שאילת משמעות"</w:t>
      </w:r>
      <w:r>
        <w:rPr>
          <w:rFonts w:hint="cs"/>
          <w:rtl/>
        </w:rPr>
        <w:t xml:space="preserve">: </w:t>
      </w:r>
      <w:r>
        <w:rPr>
          <w:rtl/>
        </w:rPr>
        <w:t>חז"ל גזרו משורש פל"ג המקראי פעלים בבנין ה</w:t>
      </w:r>
      <w:r>
        <w:rPr>
          <w:rFonts w:hint="cs"/>
          <w:rtl/>
        </w:rPr>
        <w:t>ִ</w:t>
      </w:r>
      <w:r>
        <w:rPr>
          <w:rtl/>
        </w:rPr>
        <w:t xml:space="preserve">פעיל שמשמעותם יונקת </w:t>
      </w:r>
      <w:r>
        <w:rPr>
          <w:rFonts w:hint="cs"/>
          <w:rtl/>
        </w:rPr>
        <w:t xml:space="preserve">גם </w:t>
      </w:r>
      <w:r>
        <w:rPr>
          <w:rtl/>
        </w:rPr>
        <w:t xml:space="preserve">מהמילה היוונית "פילגוס" (הנמצאת בתודעתם), וכך יצרו את ה"הפלגה" בספינה בלב ים. </w:t>
      </w:r>
    </w:p>
    <w:p w14:paraId="0FCF0D5D" w14:textId="77777777" w:rsidR="002B4B31" w:rsidRDefault="002B4B31" w:rsidP="002B4B31">
      <w:pPr>
        <w:autoSpaceDE w:val="0"/>
        <w:autoSpaceDN w:val="0"/>
        <w:adjustRightInd w:val="0"/>
        <w:ind w:firstLine="284"/>
        <w:rPr>
          <w:rFonts w:hint="cs"/>
          <w:rtl/>
        </w:rPr>
      </w:pPr>
      <w:r>
        <w:rPr>
          <w:rFonts w:hint="cs"/>
          <w:rtl/>
        </w:rPr>
        <w:t>עכ"פ, רש"י הציג שני פירושים: או שהמפליג הוא הפוֹרֵשׁ והמתרחק, או שהמפליג הוא השט לעומק הים ו</w:t>
      </w:r>
      <w:r>
        <w:rPr>
          <w:rtl/>
        </w:rPr>
        <w:t>אמצעיתו</w:t>
      </w:r>
      <w:r>
        <w:rPr>
          <w:rFonts w:hint="cs"/>
          <w:rtl/>
        </w:rPr>
        <w:t xml:space="preserve">, ופועל זה מקורו יווני. נראה שרש"י העדיף את הפירוש הראשון, ועל כן הקדימו בסוגייתנו, וניתן למנות כמה השערות מה יתרון מצא בפירוש זה: </w:t>
      </w:r>
    </w:p>
    <w:p w14:paraId="15405033" w14:textId="77777777" w:rsidR="002B4B31" w:rsidRDefault="002B4B31" w:rsidP="002B4B31">
      <w:pPr>
        <w:autoSpaceDE w:val="0"/>
        <w:autoSpaceDN w:val="0"/>
        <w:adjustRightInd w:val="0"/>
        <w:ind w:firstLine="284"/>
        <w:rPr>
          <w:rFonts w:hint="cs"/>
          <w:rtl/>
        </w:rPr>
      </w:pPr>
      <w:r>
        <w:rPr>
          <w:rFonts w:hint="cs"/>
          <w:b/>
          <w:bCs/>
          <w:rtl/>
        </w:rPr>
        <w:lastRenderedPageBreak/>
        <w:t xml:space="preserve">א) </w:t>
      </w:r>
      <w:r>
        <w:rPr>
          <w:rFonts w:hint="cs"/>
          <w:rtl/>
        </w:rPr>
        <w:t xml:space="preserve">נוח יותר (אף שאין הכרח) לפרש על פי שורש עברי, ולא על פי מִלה לועזית. </w:t>
      </w:r>
    </w:p>
    <w:p w14:paraId="5F517CD5" w14:textId="77777777" w:rsidR="002B4B31" w:rsidRDefault="002B4B31" w:rsidP="002B4B31">
      <w:pPr>
        <w:autoSpaceDE w:val="0"/>
        <w:autoSpaceDN w:val="0"/>
        <w:adjustRightInd w:val="0"/>
        <w:ind w:firstLine="284"/>
        <w:rPr>
          <w:rFonts w:hint="cs"/>
          <w:rtl/>
        </w:rPr>
      </w:pPr>
      <w:r>
        <w:rPr>
          <w:rFonts w:hint="cs"/>
          <w:b/>
          <w:bCs/>
          <w:rtl/>
        </w:rPr>
        <w:t xml:space="preserve">ב) </w:t>
      </w:r>
      <w:r>
        <w:rPr>
          <w:rFonts w:hint="cs"/>
          <w:rtl/>
        </w:rPr>
        <w:t>מסתבר יותר לפרש כאן על פי שורש עברי, משום שמצאנו "הפלגות" רבות בלשון חכמים שאינן קשורות כלל ל"פילגוס" של הים: הן במובן המוחשי של הרחקת מקום, כגון: "</w:t>
      </w:r>
      <w:r>
        <w:rPr>
          <w:rtl/>
        </w:rPr>
        <w:t xml:space="preserve">הודיעו שהוא </w:t>
      </w:r>
      <w:r>
        <w:rPr>
          <w:b/>
          <w:bCs/>
          <w:rtl/>
        </w:rPr>
        <w:t>מפליג</w:t>
      </w:r>
      <w:r>
        <w:rPr>
          <w:rFonts w:hint="cs"/>
          <w:rtl/>
        </w:rPr>
        <w:t>" (</w:t>
      </w:r>
      <w:r>
        <w:rPr>
          <w:sz w:val="18"/>
          <w:szCs w:val="20"/>
          <w:rtl/>
        </w:rPr>
        <w:t>ע</w:t>
      </w:r>
      <w:r>
        <w:rPr>
          <w:rFonts w:hint="cs"/>
          <w:sz w:val="18"/>
          <w:szCs w:val="20"/>
          <w:rtl/>
        </w:rPr>
        <w:t xml:space="preserve">"ז </w:t>
      </w:r>
      <w:r>
        <w:rPr>
          <w:sz w:val="18"/>
          <w:szCs w:val="20"/>
          <w:rtl/>
        </w:rPr>
        <w:t>פ</w:t>
      </w:r>
      <w:r>
        <w:rPr>
          <w:rFonts w:hint="cs"/>
          <w:sz w:val="18"/>
          <w:szCs w:val="20"/>
          <w:rtl/>
        </w:rPr>
        <w:t>"</w:t>
      </w:r>
      <w:r>
        <w:rPr>
          <w:sz w:val="18"/>
          <w:szCs w:val="20"/>
          <w:rtl/>
        </w:rPr>
        <w:t>ה מ</w:t>
      </w:r>
      <w:r>
        <w:rPr>
          <w:rFonts w:hint="cs"/>
          <w:sz w:val="18"/>
          <w:szCs w:val="20"/>
          <w:rtl/>
        </w:rPr>
        <w:t>"</w:t>
      </w:r>
      <w:r>
        <w:rPr>
          <w:sz w:val="18"/>
          <w:szCs w:val="20"/>
          <w:rtl/>
        </w:rPr>
        <w:t>ג</w:t>
      </w:r>
      <w:r>
        <w:rPr>
          <w:rFonts w:hint="cs"/>
          <w:rtl/>
        </w:rPr>
        <w:t>), והן במובן של הרחקת זמן, כגון: "</w:t>
      </w:r>
      <w:r>
        <w:rPr>
          <w:rtl/>
        </w:rPr>
        <w:t xml:space="preserve">דיבר עם חבירו </w:t>
      </w:r>
      <w:r>
        <w:rPr>
          <w:b/>
          <w:bCs/>
          <w:rtl/>
        </w:rPr>
        <w:t>והפליג</w:t>
      </w:r>
      <w:r>
        <w:rPr>
          <w:rFonts w:hint="cs"/>
          <w:rtl/>
        </w:rPr>
        <w:t>" (</w:t>
      </w:r>
      <w:r>
        <w:rPr>
          <w:sz w:val="18"/>
          <w:szCs w:val="20"/>
          <w:rtl/>
        </w:rPr>
        <w:t>יומא ל</w:t>
      </w:r>
      <w:r>
        <w:rPr>
          <w:rFonts w:hint="cs"/>
          <w:sz w:val="18"/>
          <w:szCs w:val="20"/>
          <w:rtl/>
        </w:rPr>
        <w:t xml:space="preserve">, </w:t>
      </w:r>
      <w:r>
        <w:rPr>
          <w:sz w:val="18"/>
          <w:szCs w:val="20"/>
          <w:rtl/>
        </w:rPr>
        <w:t xml:space="preserve">א </w:t>
      </w:r>
      <w:r>
        <w:rPr>
          <w:rFonts w:hint="cs"/>
          <w:sz w:val="18"/>
          <w:szCs w:val="20"/>
          <w:rtl/>
        </w:rPr>
        <w:t>ו</w:t>
      </w:r>
      <w:r>
        <w:rPr>
          <w:sz w:val="18"/>
          <w:szCs w:val="20"/>
          <w:rtl/>
        </w:rPr>
        <w:t xml:space="preserve">רש"י </w:t>
      </w:r>
      <w:r>
        <w:rPr>
          <w:rFonts w:hint="cs"/>
          <w:sz w:val="18"/>
          <w:szCs w:val="20"/>
          <w:rtl/>
        </w:rPr>
        <w:t>שם</w:t>
      </w:r>
      <w:r>
        <w:rPr>
          <w:rFonts w:hint="cs"/>
          <w:rtl/>
        </w:rPr>
        <w:t>); וכיו"ב: "</w:t>
      </w:r>
      <w:r>
        <w:rPr>
          <w:rtl/>
        </w:rPr>
        <w:t xml:space="preserve">מצינו בבראשית רבה </w:t>
      </w:r>
      <w:r>
        <w:rPr>
          <w:rFonts w:hint="cs"/>
          <w:rtl/>
        </w:rPr>
        <w:t>(</w:t>
      </w:r>
      <w:r>
        <w:rPr>
          <w:sz w:val="18"/>
          <w:szCs w:val="20"/>
          <w:rtl/>
        </w:rPr>
        <w:t>פרשה מד</w:t>
      </w:r>
      <w:r>
        <w:rPr>
          <w:rFonts w:hint="cs"/>
          <w:rtl/>
        </w:rPr>
        <w:t xml:space="preserve">) </w:t>
      </w:r>
      <w:r>
        <w:rPr>
          <w:rtl/>
        </w:rPr>
        <w:t xml:space="preserve">כל מקום שנאמר </w:t>
      </w:r>
      <w:r>
        <w:rPr>
          <w:rFonts w:hint="cs"/>
          <w:rtl/>
        </w:rPr>
        <w:t>'</w:t>
      </w:r>
      <w:r>
        <w:rPr>
          <w:rtl/>
        </w:rPr>
        <w:t>אחרי</w:t>
      </w:r>
      <w:r>
        <w:rPr>
          <w:rFonts w:hint="cs"/>
          <w:rtl/>
        </w:rPr>
        <w:t>' -</w:t>
      </w:r>
      <w:r>
        <w:rPr>
          <w:rtl/>
        </w:rPr>
        <w:t xml:space="preserve"> </w:t>
      </w:r>
      <w:r>
        <w:rPr>
          <w:b/>
          <w:bCs/>
          <w:rtl/>
        </w:rPr>
        <w:t>מופלג</w:t>
      </w:r>
      <w:r>
        <w:rPr>
          <w:rFonts w:hint="cs"/>
          <w:rtl/>
        </w:rPr>
        <w:t>" (</w:t>
      </w:r>
      <w:r>
        <w:rPr>
          <w:sz w:val="18"/>
          <w:szCs w:val="20"/>
          <w:rtl/>
        </w:rPr>
        <w:t>רש"י סוטה לג</w:t>
      </w:r>
      <w:r>
        <w:rPr>
          <w:rFonts w:hint="cs"/>
          <w:sz w:val="18"/>
          <w:szCs w:val="20"/>
          <w:rtl/>
        </w:rPr>
        <w:t xml:space="preserve">, </w:t>
      </w:r>
      <w:r>
        <w:rPr>
          <w:sz w:val="18"/>
          <w:szCs w:val="20"/>
          <w:rtl/>
        </w:rPr>
        <w:t>ב ד"ה אחרי</w:t>
      </w:r>
      <w:r>
        <w:rPr>
          <w:rFonts w:hint="cs"/>
          <w:rtl/>
        </w:rPr>
        <w:t>). וכך כותב תלמיד רש"י, ר' שמחה מוִיטרי (</w:t>
      </w:r>
      <w:r>
        <w:rPr>
          <w:sz w:val="18"/>
          <w:szCs w:val="20"/>
          <w:rtl/>
        </w:rPr>
        <w:t>מחזור ויטרי סימן תכ</w:t>
      </w:r>
      <w:r>
        <w:rPr>
          <w:rFonts w:hint="cs"/>
          <w:sz w:val="18"/>
          <w:szCs w:val="20"/>
          <w:rtl/>
        </w:rPr>
        <w:t>"</w:t>
      </w:r>
      <w:r>
        <w:rPr>
          <w:sz w:val="18"/>
          <w:szCs w:val="20"/>
          <w:rtl/>
        </w:rPr>
        <w:t>ז</w:t>
      </w:r>
      <w:r>
        <w:rPr>
          <w:rFonts w:hint="cs"/>
          <w:rtl/>
        </w:rPr>
        <w:t>)</w:t>
      </w:r>
      <w:r>
        <w:rPr>
          <w:rtl/>
        </w:rPr>
        <w:t xml:space="preserve"> בפירושו למשנה בפרקי אבות (</w:t>
      </w:r>
      <w:r>
        <w:rPr>
          <w:sz w:val="18"/>
          <w:szCs w:val="20"/>
          <w:rtl/>
        </w:rPr>
        <w:t>פ"ד מ"ג</w:t>
      </w:r>
      <w:r>
        <w:rPr>
          <w:rStyle w:val="a4"/>
          <w:rtl/>
        </w:rPr>
        <w:footnoteReference w:id="462"/>
      </w:r>
      <w:r>
        <w:rPr>
          <w:rFonts w:hint="cs"/>
          <w:rtl/>
        </w:rPr>
        <w:t>): "</w:t>
      </w:r>
      <w:r>
        <w:rPr>
          <w:rtl/>
        </w:rPr>
        <w:t xml:space="preserve">ואל תהי </w:t>
      </w:r>
      <w:r>
        <w:rPr>
          <w:b/>
          <w:bCs/>
          <w:rtl/>
        </w:rPr>
        <w:t>מפליג</w:t>
      </w:r>
      <w:r>
        <w:rPr>
          <w:rtl/>
        </w:rPr>
        <w:t xml:space="preserve"> לכל דבר</w:t>
      </w:r>
      <w:r>
        <w:rPr>
          <w:rFonts w:hint="cs"/>
          <w:rtl/>
        </w:rPr>
        <w:t xml:space="preserve"> -</w:t>
      </w:r>
      <w:r>
        <w:rPr>
          <w:rtl/>
        </w:rPr>
        <w:t xml:space="preserve"> אל תהי דוח</w:t>
      </w:r>
      <w:r>
        <w:rPr>
          <w:rFonts w:hint="cs"/>
          <w:rtl/>
        </w:rPr>
        <w:t>ֶ</w:t>
      </w:r>
      <w:r>
        <w:rPr>
          <w:rtl/>
        </w:rPr>
        <w:t>ה ואומר על דבר הלכה למחר אשמענה</w:t>
      </w:r>
      <w:r>
        <w:rPr>
          <w:rFonts w:hint="cs"/>
          <w:rtl/>
        </w:rPr>
        <w:t>..</w:t>
      </w:r>
      <w:r>
        <w:rPr>
          <w:rtl/>
        </w:rPr>
        <w:t>. מפליג</w:t>
      </w:r>
      <w:r>
        <w:rPr>
          <w:rFonts w:hint="cs"/>
          <w:rtl/>
        </w:rPr>
        <w:t xml:space="preserve"> - </w:t>
      </w:r>
      <w:r>
        <w:rPr>
          <w:rtl/>
        </w:rPr>
        <w:t>כמו הפליגו בדברים</w:t>
      </w:r>
      <w:r>
        <w:rPr>
          <w:rFonts w:hint="cs"/>
          <w:rtl/>
        </w:rPr>
        <w:t xml:space="preserve"> (</w:t>
      </w:r>
      <w:r>
        <w:rPr>
          <w:sz w:val="18"/>
          <w:szCs w:val="20"/>
          <w:rtl/>
        </w:rPr>
        <w:t>יומא סו</w:t>
      </w:r>
      <w:r>
        <w:rPr>
          <w:rFonts w:hint="cs"/>
          <w:sz w:val="18"/>
          <w:szCs w:val="20"/>
          <w:rtl/>
        </w:rPr>
        <w:t xml:space="preserve">, </w:t>
      </w:r>
      <w:r>
        <w:rPr>
          <w:sz w:val="18"/>
          <w:szCs w:val="20"/>
          <w:rtl/>
        </w:rPr>
        <w:t xml:space="preserve">ב </w:t>
      </w:r>
      <w:r>
        <w:rPr>
          <w:rFonts w:hint="cs"/>
          <w:sz w:val="18"/>
          <w:szCs w:val="20"/>
          <w:rtl/>
        </w:rPr>
        <w:t>ו</w:t>
      </w:r>
      <w:r>
        <w:rPr>
          <w:sz w:val="18"/>
          <w:szCs w:val="20"/>
          <w:rtl/>
        </w:rPr>
        <w:t>סוכה כז</w:t>
      </w:r>
      <w:r>
        <w:rPr>
          <w:rFonts w:hint="cs"/>
          <w:sz w:val="18"/>
          <w:szCs w:val="20"/>
          <w:rtl/>
        </w:rPr>
        <w:t xml:space="preserve">, </w:t>
      </w:r>
      <w:r>
        <w:rPr>
          <w:sz w:val="18"/>
          <w:szCs w:val="20"/>
          <w:rtl/>
        </w:rPr>
        <w:t xml:space="preserve">ב </w:t>
      </w:r>
      <w:r>
        <w:rPr>
          <w:rFonts w:hint="cs"/>
          <w:sz w:val="18"/>
          <w:szCs w:val="20"/>
          <w:rtl/>
        </w:rPr>
        <w:t>עי"ש ברש"י</w:t>
      </w:r>
      <w:r>
        <w:rPr>
          <w:rFonts w:hint="cs"/>
          <w:rtl/>
        </w:rPr>
        <w:t xml:space="preserve">), </w:t>
      </w:r>
      <w:r>
        <w:rPr>
          <w:rtl/>
        </w:rPr>
        <w:t>לשון הבדלה וחילוק</w:t>
      </w:r>
      <w:r>
        <w:rPr>
          <w:rFonts w:hint="cs"/>
          <w:rtl/>
        </w:rPr>
        <w:t xml:space="preserve">, </w:t>
      </w:r>
      <w:r>
        <w:rPr>
          <w:rtl/>
        </w:rPr>
        <w:t>ולשון מפליגין בספינה</w:t>
      </w:r>
      <w:r>
        <w:rPr>
          <w:rFonts w:hint="cs"/>
          <w:rtl/>
        </w:rPr>
        <w:t xml:space="preserve"> </w:t>
      </w:r>
      <w:r>
        <w:rPr>
          <w:rtl/>
        </w:rPr>
        <w:t>בשבת</w:t>
      </w:r>
      <w:r>
        <w:rPr>
          <w:rFonts w:hint="cs"/>
          <w:rtl/>
        </w:rPr>
        <w:t xml:space="preserve">". </w:t>
      </w:r>
    </w:p>
    <w:p w14:paraId="542EDC15" w14:textId="77777777" w:rsidR="002B4B31" w:rsidRDefault="002B4B31" w:rsidP="002B4B31">
      <w:pPr>
        <w:autoSpaceDE w:val="0"/>
        <w:autoSpaceDN w:val="0"/>
        <w:adjustRightInd w:val="0"/>
        <w:ind w:firstLine="284"/>
        <w:rPr>
          <w:rFonts w:hint="cs"/>
          <w:rtl/>
        </w:rPr>
      </w:pPr>
      <w:r>
        <w:rPr>
          <w:rFonts w:hint="cs"/>
          <w:b/>
          <w:bCs/>
          <w:rtl/>
        </w:rPr>
        <w:t xml:space="preserve">ג) </w:t>
      </w:r>
      <w:r>
        <w:rPr>
          <w:rFonts w:hint="cs"/>
          <w:rtl/>
        </w:rPr>
        <w:t>יתכן שרש"י הסיק ש"הפלגה" קשורה ל"פרישה" מתוך השימוש המסורג של שם הפֹעַל</w:t>
      </w:r>
      <w:r>
        <w:rPr>
          <w:rtl/>
        </w:rPr>
        <w:t xml:space="preserve"> </w:t>
      </w:r>
      <w:r>
        <w:rPr>
          <w:rFonts w:hint="cs"/>
          <w:rtl/>
        </w:rPr>
        <w:t>"</w:t>
      </w:r>
      <w:r>
        <w:rPr>
          <w:rtl/>
        </w:rPr>
        <w:t>ל</w:t>
      </w:r>
      <w:r>
        <w:rPr>
          <w:rFonts w:hint="cs"/>
          <w:rtl/>
        </w:rPr>
        <w:t>ִ</w:t>
      </w:r>
      <w:r>
        <w:rPr>
          <w:rtl/>
        </w:rPr>
        <w:t>פרוש</w:t>
      </w:r>
      <w:r>
        <w:rPr>
          <w:rFonts w:hint="cs"/>
          <w:rtl/>
        </w:rPr>
        <w:t>ׁ" יחד עם הפֹעַל</w:t>
      </w:r>
      <w:r>
        <w:rPr>
          <w:rtl/>
        </w:rPr>
        <w:t xml:space="preserve"> </w:t>
      </w:r>
      <w:r>
        <w:rPr>
          <w:rFonts w:hint="cs"/>
          <w:rtl/>
        </w:rPr>
        <w:t>"מפליגין" בלשון המדרשים המזכירים את סוגייתנו (</w:t>
      </w:r>
      <w:r>
        <w:rPr>
          <w:sz w:val="18"/>
          <w:szCs w:val="20"/>
          <w:rtl/>
        </w:rPr>
        <w:t>במדבר רבה</w:t>
      </w:r>
      <w:r>
        <w:rPr>
          <w:rFonts w:hint="cs"/>
          <w:sz w:val="18"/>
          <w:szCs w:val="20"/>
          <w:rtl/>
        </w:rPr>
        <w:t>,</w:t>
      </w:r>
      <w:r>
        <w:rPr>
          <w:sz w:val="18"/>
          <w:szCs w:val="20"/>
          <w:rtl/>
        </w:rPr>
        <w:t xml:space="preserve"> פרשה טז</w:t>
      </w:r>
      <w:r>
        <w:rPr>
          <w:rFonts w:hint="cs"/>
          <w:sz w:val="18"/>
          <w:szCs w:val="20"/>
          <w:rtl/>
        </w:rPr>
        <w:t>;</w:t>
      </w:r>
      <w:r>
        <w:rPr>
          <w:sz w:val="18"/>
          <w:szCs w:val="20"/>
          <w:rtl/>
        </w:rPr>
        <w:t xml:space="preserve"> מדרש תנחומא</w:t>
      </w:r>
      <w:r>
        <w:rPr>
          <w:rFonts w:hint="cs"/>
          <w:sz w:val="18"/>
          <w:szCs w:val="20"/>
          <w:rtl/>
        </w:rPr>
        <w:t xml:space="preserve">, </w:t>
      </w:r>
      <w:r>
        <w:rPr>
          <w:sz w:val="18"/>
          <w:szCs w:val="20"/>
          <w:rtl/>
        </w:rPr>
        <w:t>בובר</w:t>
      </w:r>
      <w:r>
        <w:rPr>
          <w:rFonts w:hint="cs"/>
          <w:sz w:val="18"/>
          <w:szCs w:val="20"/>
          <w:rtl/>
        </w:rPr>
        <w:t>,</w:t>
      </w:r>
      <w:r>
        <w:rPr>
          <w:sz w:val="18"/>
          <w:szCs w:val="20"/>
          <w:rtl/>
        </w:rPr>
        <w:t xml:space="preserve"> שלח</w:t>
      </w:r>
      <w:r>
        <w:rPr>
          <w:rFonts w:hint="cs"/>
          <w:sz w:val="18"/>
          <w:szCs w:val="20"/>
          <w:rtl/>
        </w:rPr>
        <w:t xml:space="preserve">, </w:t>
      </w:r>
      <w:r>
        <w:rPr>
          <w:sz w:val="18"/>
          <w:szCs w:val="20"/>
          <w:rtl/>
        </w:rPr>
        <w:t>א</w:t>
      </w:r>
      <w:r>
        <w:rPr>
          <w:rFonts w:hint="cs"/>
          <w:sz w:val="18"/>
          <w:szCs w:val="20"/>
          <w:rtl/>
        </w:rPr>
        <w:t xml:space="preserve">'; </w:t>
      </w:r>
      <w:r>
        <w:rPr>
          <w:sz w:val="18"/>
          <w:szCs w:val="20"/>
          <w:rtl/>
        </w:rPr>
        <w:t>ילקוט שמעוני</w:t>
      </w:r>
      <w:r>
        <w:rPr>
          <w:rFonts w:hint="cs"/>
          <w:sz w:val="18"/>
          <w:szCs w:val="20"/>
          <w:rtl/>
        </w:rPr>
        <w:t xml:space="preserve">, </w:t>
      </w:r>
      <w:r>
        <w:rPr>
          <w:sz w:val="18"/>
          <w:szCs w:val="20"/>
          <w:rtl/>
        </w:rPr>
        <w:t>שלח</w:t>
      </w:r>
      <w:r>
        <w:rPr>
          <w:rFonts w:hint="cs"/>
          <w:sz w:val="18"/>
          <w:szCs w:val="20"/>
          <w:rtl/>
        </w:rPr>
        <w:t>,</w:t>
      </w:r>
      <w:r>
        <w:rPr>
          <w:sz w:val="18"/>
          <w:szCs w:val="20"/>
          <w:rtl/>
        </w:rPr>
        <w:t xml:space="preserve"> רמז תשמ</w:t>
      </w:r>
      <w:r>
        <w:rPr>
          <w:rFonts w:hint="cs"/>
          <w:sz w:val="18"/>
          <w:szCs w:val="20"/>
          <w:rtl/>
        </w:rPr>
        <w:t>"</w:t>
      </w:r>
      <w:r>
        <w:rPr>
          <w:sz w:val="18"/>
          <w:szCs w:val="20"/>
          <w:rtl/>
        </w:rPr>
        <w:t>ב</w:t>
      </w:r>
      <w:r>
        <w:rPr>
          <w:rFonts w:hint="cs"/>
          <w:rtl/>
        </w:rPr>
        <w:t>): "</w:t>
      </w:r>
      <w:r>
        <w:rPr>
          <w:rtl/>
        </w:rPr>
        <w:t>הלכה</w:t>
      </w:r>
      <w:r>
        <w:rPr>
          <w:rFonts w:hint="cs"/>
          <w:rtl/>
        </w:rPr>
        <w:t>:</w:t>
      </w:r>
      <w:r>
        <w:rPr>
          <w:rtl/>
        </w:rPr>
        <w:t xml:space="preserve"> מהו </w:t>
      </w:r>
      <w:r>
        <w:rPr>
          <w:b/>
          <w:bCs/>
          <w:rtl/>
        </w:rPr>
        <w:t>לפרוש</w:t>
      </w:r>
      <w:r>
        <w:rPr>
          <w:rtl/>
        </w:rPr>
        <w:t xml:space="preserve"> לים הגדול קודם לשבת שלשה ימים</w:t>
      </w:r>
      <w:r>
        <w:rPr>
          <w:rFonts w:hint="cs"/>
          <w:rtl/>
        </w:rPr>
        <w:t>?</w:t>
      </w:r>
      <w:r>
        <w:rPr>
          <w:rtl/>
        </w:rPr>
        <w:t xml:space="preserve"> שנו רבותינו: אין </w:t>
      </w:r>
      <w:r>
        <w:rPr>
          <w:b/>
          <w:bCs/>
          <w:rtl/>
        </w:rPr>
        <w:t>מפליגין</w:t>
      </w:r>
      <w:r>
        <w:rPr>
          <w:rtl/>
        </w:rPr>
        <w:t xml:space="preserve"> בספינה בים</w:t>
      </w:r>
      <w:r>
        <w:rPr>
          <w:rStyle w:val="a4"/>
          <w:rtl/>
        </w:rPr>
        <w:footnoteReference w:id="463"/>
      </w:r>
      <w:r>
        <w:rPr>
          <w:rtl/>
        </w:rPr>
        <w:t xml:space="preserve"> הגדול שלשה ימים קודם לשבת</w:t>
      </w:r>
      <w:r>
        <w:rPr>
          <w:rFonts w:hint="cs"/>
          <w:rtl/>
        </w:rPr>
        <w:t xml:space="preserve">, </w:t>
      </w:r>
      <w:r>
        <w:rPr>
          <w:rtl/>
        </w:rPr>
        <w:t>בזמן שהוא הולך למקום רחוק</w:t>
      </w:r>
      <w:r>
        <w:rPr>
          <w:rFonts w:hint="cs"/>
          <w:rtl/>
        </w:rPr>
        <w:t>,</w:t>
      </w:r>
      <w:r>
        <w:rPr>
          <w:rtl/>
        </w:rPr>
        <w:t xml:space="preserve"> אבל אם מבקש </w:t>
      </w:r>
      <w:r>
        <w:rPr>
          <w:b/>
          <w:bCs/>
          <w:rtl/>
        </w:rPr>
        <w:t>לפרוש</w:t>
      </w:r>
      <w:r>
        <w:rPr>
          <w:rtl/>
        </w:rPr>
        <w:t xml:space="preserve"> כמו מ</w:t>
      </w:r>
      <w:r>
        <w:rPr>
          <w:rFonts w:hint="cs"/>
          <w:rtl/>
        </w:rPr>
        <w:t>ִ</w:t>
      </w:r>
      <w:r>
        <w:rPr>
          <w:rtl/>
        </w:rPr>
        <w:t xml:space="preserve">צור לצידון מותר לו </w:t>
      </w:r>
      <w:r>
        <w:rPr>
          <w:b/>
          <w:bCs/>
          <w:rtl/>
        </w:rPr>
        <w:t>לפרוש</w:t>
      </w:r>
      <w:r>
        <w:rPr>
          <w:rtl/>
        </w:rPr>
        <w:t xml:space="preserve"> אפי' בערב שבת</w:t>
      </w:r>
      <w:r>
        <w:rPr>
          <w:rFonts w:hint="cs"/>
          <w:rtl/>
        </w:rPr>
        <w:t xml:space="preserve">". </w:t>
      </w:r>
    </w:p>
    <w:p w14:paraId="24BDF044" w14:textId="77777777" w:rsidR="002B4B31" w:rsidRDefault="002B4B31" w:rsidP="002B4B31">
      <w:pPr>
        <w:autoSpaceDE w:val="0"/>
        <w:autoSpaceDN w:val="0"/>
        <w:adjustRightInd w:val="0"/>
        <w:ind w:firstLine="284"/>
        <w:rPr>
          <w:rFonts w:hint="cs"/>
          <w:rtl/>
        </w:rPr>
      </w:pPr>
      <w:r>
        <w:rPr>
          <w:rFonts w:hint="cs"/>
          <w:b/>
          <w:bCs/>
          <w:rtl/>
        </w:rPr>
        <w:lastRenderedPageBreak/>
        <w:t xml:space="preserve">ד) </w:t>
      </w:r>
      <w:r>
        <w:rPr>
          <w:rFonts w:hint="cs"/>
          <w:rtl/>
        </w:rPr>
        <w:t xml:space="preserve">יתכן שחקירה לשונית זו שבפירוש רש"י לא נועדה רק לשם ההבנה המילולית של פעולת ההפלגה וגזרונה, כי אם לצורך הבנת איסור ההפלגה ופרטיו, הלכה למעשה, כדלהלן. </w:t>
      </w:r>
    </w:p>
    <w:p w14:paraId="25B723FE" w14:textId="77777777" w:rsidR="002B4B31" w:rsidRDefault="002B4B31" w:rsidP="002B4B31">
      <w:pPr>
        <w:autoSpaceDE w:val="0"/>
        <w:autoSpaceDN w:val="0"/>
        <w:adjustRightInd w:val="0"/>
        <w:ind w:firstLine="284"/>
        <w:rPr>
          <w:rFonts w:hint="cs"/>
          <w:rtl/>
        </w:rPr>
      </w:pPr>
    </w:p>
    <w:p w14:paraId="7DEC7F17" w14:textId="77777777" w:rsidR="002B4B31" w:rsidRDefault="002B4B31" w:rsidP="002B4B31">
      <w:pPr>
        <w:ind w:firstLine="284"/>
        <w:rPr>
          <w:rFonts w:hint="cs"/>
          <w:rtl/>
        </w:rPr>
      </w:pPr>
      <w:r>
        <w:rPr>
          <w:rFonts w:hint="cs"/>
          <w:rtl/>
        </w:rPr>
        <w:t>בלשון הברייתא מצאנו כמה נוסחאות. הנוסח הקצר ביותר הוא</w:t>
      </w:r>
      <w:r>
        <w:rPr>
          <w:rtl/>
        </w:rPr>
        <w:t xml:space="preserve">: </w:t>
      </w:r>
      <w:r>
        <w:rPr>
          <w:rFonts w:hint="cs"/>
          <w:rtl/>
        </w:rPr>
        <w:t>"</w:t>
      </w:r>
      <w:r>
        <w:rPr>
          <w:rtl/>
        </w:rPr>
        <w:t xml:space="preserve">אין </w:t>
      </w:r>
      <w:r>
        <w:rPr>
          <w:b/>
          <w:bCs/>
          <w:rtl/>
        </w:rPr>
        <w:t xml:space="preserve">מפליגין </w:t>
      </w:r>
      <w:r>
        <w:rPr>
          <w:rtl/>
        </w:rPr>
        <w:t>פחות מג' ימים קודם השבת"</w:t>
      </w:r>
      <w:r>
        <w:rPr>
          <w:rStyle w:val="a4"/>
          <w:rtl/>
        </w:rPr>
        <w:footnoteReference w:id="464"/>
      </w:r>
      <w:r>
        <w:rPr>
          <w:rtl/>
        </w:rPr>
        <w:t>. מניסוח כוללני זה ניתן אף להבין שהברייתא אוסרת כל יציאה לדרך רחוקה ומופלגת, ואפילו ביבשה</w:t>
      </w:r>
      <w:r>
        <w:rPr>
          <w:rStyle w:val="a4"/>
          <w:rtl/>
        </w:rPr>
        <w:footnoteReference w:id="465"/>
      </w:r>
      <w:r>
        <w:rPr>
          <w:rtl/>
        </w:rPr>
        <w:t xml:space="preserve">. בנוסח שבתוספתא מפורט מעט יותר: "אין מפליגין </w:t>
      </w:r>
      <w:r>
        <w:rPr>
          <w:b/>
          <w:bCs/>
          <w:rtl/>
        </w:rPr>
        <w:t>בים</w:t>
      </w:r>
      <w:r>
        <w:rPr>
          <w:rtl/>
        </w:rPr>
        <w:t xml:space="preserve"> </w:t>
      </w:r>
      <w:r>
        <w:rPr>
          <w:b/>
          <w:bCs/>
          <w:rtl/>
        </w:rPr>
        <w:t>הגדול</w:t>
      </w:r>
      <w:r>
        <w:rPr>
          <w:rtl/>
        </w:rPr>
        <w:t>"</w:t>
      </w:r>
      <w:r>
        <w:rPr>
          <w:rStyle w:val="a4"/>
          <w:rtl/>
        </w:rPr>
        <w:footnoteReference w:id="466"/>
      </w:r>
      <w:r>
        <w:rPr>
          <w:rtl/>
        </w:rPr>
        <w:t>. גם ניסוח זה פתוח לפרשנויות שונות: האם חז"ל אסרו שייט בסירה לאורך חוף הים (בלבד), או (גם/רק) הפלגה בספינה בלב ים?</w:t>
      </w:r>
    </w:p>
    <w:p w14:paraId="74D4A1EB" w14:textId="77777777" w:rsidR="002B4B31" w:rsidRDefault="002B4B31" w:rsidP="002B4B31">
      <w:pPr>
        <w:autoSpaceDE w:val="0"/>
        <w:autoSpaceDN w:val="0"/>
        <w:adjustRightInd w:val="0"/>
        <w:ind w:firstLine="284"/>
        <w:rPr>
          <w:rFonts w:hint="cs"/>
          <w:rtl/>
        </w:rPr>
      </w:pPr>
      <w:r>
        <w:rPr>
          <w:rFonts w:hint="cs"/>
          <w:rtl/>
        </w:rPr>
        <w:t>ה</w:t>
      </w:r>
      <w:r>
        <w:rPr>
          <w:rtl/>
        </w:rPr>
        <w:t xml:space="preserve">רי"ף </w:t>
      </w:r>
      <w:r>
        <w:rPr>
          <w:rFonts w:hint="cs"/>
          <w:rtl/>
        </w:rPr>
        <w:t>בהלכותיו כותב (</w:t>
      </w:r>
      <w:r>
        <w:rPr>
          <w:sz w:val="20"/>
          <w:szCs w:val="20"/>
          <w:rtl/>
        </w:rPr>
        <w:t>ז</w:t>
      </w:r>
      <w:r>
        <w:rPr>
          <w:rFonts w:hint="cs"/>
          <w:sz w:val="20"/>
          <w:szCs w:val="20"/>
          <w:rtl/>
        </w:rPr>
        <w:t xml:space="preserve">, </w:t>
      </w:r>
      <w:r>
        <w:rPr>
          <w:sz w:val="20"/>
          <w:szCs w:val="20"/>
          <w:rtl/>
        </w:rPr>
        <w:t>ב</w:t>
      </w:r>
      <w:r>
        <w:rPr>
          <w:rFonts w:hint="cs"/>
          <w:rtl/>
        </w:rPr>
        <w:t>) בשם רבנו חננאל: "</w:t>
      </w:r>
      <w:r>
        <w:rPr>
          <w:rtl/>
        </w:rPr>
        <w:t xml:space="preserve">יש מי שאומר הא דתניא </w:t>
      </w:r>
      <w:r>
        <w:rPr>
          <w:rFonts w:hint="cs"/>
          <w:rtl/>
        </w:rPr>
        <w:t>'</w:t>
      </w:r>
      <w:r>
        <w:rPr>
          <w:rtl/>
        </w:rPr>
        <w:t>אין מפליגין בספינה פחות מג' ימים קודם השבת</w:t>
      </w:r>
      <w:r>
        <w:rPr>
          <w:rFonts w:hint="cs"/>
          <w:rtl/>
        </w:rPr>
        <w:t>' -</w:t>
      </w:r>
      <w:r>
        <w:rPr>
          <w:rtl/>
        </w:rPr>
        <w:t xml:space="preserve"> בזמן שהספינה גוששת ואין במים עשרה טפחים ומשום גזירת תחומין גזרו בה</w:t>
      </w:r>
      <w:r>
        <w:rPr>
          <w:rFonts w:hint="cs"/>
          <w:rtl/>
        </w:rPr>
        <w:t>,</w:t>
      </w:r>
      <w:r>
        <w:rPr>
          <w:rtl/>
        </w:rPr>
        <w:t xml:space="preserve"> אבל למעלה מ</w:t>
      </w:r>
      <w:r>
        <w:rPr>
          <w:rFonts w:hint="cs"/>
          <w:rtl/>
        </w:rPr>
        <w:t>עשרה</w:t>
      </w:r>
      <w:r>
        <w:rPr>
          <w:rtl/>
        </w:rPr>
        <w:t xml:space="preserve"> טפחים לא גזרו</w:t>
      </w:r>
      <w:r>
        <w:rPr>
          <w:rFonts w:hint="cs"/>
          <w:rtl/>
        </w:rPr>
        <w:t>,</w:t>
      </w:r>
      <w:r>
        <w:rPr>
          <w:rtl/>
        </w:rPr>
        <w:t xml:space="preserve"> ומשום הכי נהגו העם להפליג בים הגדול</w:t>
      </w:r>
      <w:r>
        <w:rPr>
          <w:rFonts w:hint="cs"/>
          <w:rtl/>
        </w:rPr>
        <w:t>". מנוסח הברייתא שבסוגייתנו "</w:t>
      </w:r>
      <w:r>
        <w:rPr>
          <w:rtl/>
        </w:rPr>
        <w:t xml:space="preserve">אין מפליגין </w:t>
      </w:r>
      <w:r>
        <w:rPr>
          <w:b/>
          <w:bCs/>
          <w:rtl/>
        </w:rPr>
        <w:t>בספינה</w:t>
      </w:r>
      <w:r>
        <w:rPr>
          <w:rFonts w:hint="cs"/>
          <w:rtl/>
        </w:rPr>
        <w:t>" הוכיח ה</w:t>
      </w:r>
      <w:r>
        <w:rPr>
          <w:rtl/>
        </w:rPr>
        <w:t xml:space="preserve">רי"ף </w:t>
      </w:r>
      <w:r>
        <w:rPr>
          <w:rFonts w:hint="cs"/>
          <w:rtl/>
        </w:rPr>
        <w:t>(</w:t>
      </w:r>
      <w:r>
        <w:rPr>
          <w:rFonts w:hint="cs"/>
          <w:sz w:val="18"/>
          <w:szCs w:val="20"/>
          <w:rtl/>
        </w:rPr>
        <w:t xml:space="preserve">במהדורה האחרונה של הלכות רב אלפס, וכמודפס </w:t>
      </w:r>
      <w:r>
        <w:rPr>
          <w:rFonts w:hint="cs"/>
          <w:sz w:val="18"/>
          <w:szCs w:val="20"/>
          <w:rtl/>
        </w:rPr>
        <w:lastRenderedPageBreak/>
        <w:t>לפנינו</w:t>
      </w:r>
      <w:r>
        <w:rPr>
          <w:rFonts w:hint="cs"/>
          <w:rtl/>
        </w:rPr>
        <w:t>) שהאיסור כולל כל שייט בים: "</w:t>
      </w:r>
      <w:r>
        <w:rPr>
          <w:rtl/>
        </w:rPr>
        <w:t>והאי טעמא פריכא הוא</w:t>
      </w:r>
      <w:r>
        <w:rPr>
          <w:rFonts w:hint="cs"/>
          <w:rtl/>
        </w:rPr>
        <w:t>!</w:t>
      </w:r>
      <w:r>
        <w:rPr>
          <w:rtl/>
        </w:rPr>
        <w:t xml:space="preserve"> דאי מהאי טעמא הוא דאין מפליגין</w:t>
      </w:r>
      <w:r>
        <w:rPr>
          <w:rFonts w:hint="cs"/>
          <w:rtl/>
        </w:rPr>
        <w:t>,</w:t>
      </w:r>
      <w:r>
        <w:rPr>
          <w:rtl/>
        </w:rPr>
        <w:t xml:space="preserve"> הוה ליה למיתנא </w:t>
      </w:r>
      <w:r>
        <w:rPr>
          <w:rFonts w:hint="cs"/>
          <w:rtl/>
        </w:rPr>
        <w:t>'</w:t>
      </w:r>
      <w:r>
        <w:rPr>
          <w:rtl/>
        </w:rPr>
        <w:t xml:space="preserve">אין מפליגין בספינה </w:t>
      </w:r>
      <w:r>
        <w:rPr>
          <w:b/>
          <w:bCs/>
          <w:rtl/>
        </w:rPr>
        <w:t>קטנה</w:t>
      </w:r>
      <w:r>
        <w:rPr>
          <w:rFonts w:hint="cs"/>
          <w:b/>
          <w:bCs/>
          <w:rtl/>
        </w:rPr>
        <w:t>'</w:t>
      </w:r>
      <w:r>
        <w:rPr>
          <w:rFonts w:hint="cs"/>
          <w:rtl/>
        </w:rPr>
        <w:t>!</w:t>
      </w:r>
      <w:r>
        <w:rPr>
          <w:rtl/>
        </w:rPr>
        <w:t xml:space="preserve"> אמאי תני </w:t>
      </w:r>
      <w:r>
        <w:rPr>
          <w:rFonts w:hint="cs"/>
          <w:rtl/>
        </w:rPr>
        <w:t>'</w:t>
      </w:r>
      <w:r>
        <w:rPr>
          <w:rtl/>
        </w:rPr>
        <w:t>ספינה</w:t>
      </w:r>
      <w:r>
        <w:rPr>
          <w:rFonts w:hint="cs"/>
          <w:rtl/>
        </w:rPr>
        <w:t>'</w:t>
      </w:r>
      <w:r>
        <w:rPr>
          <w:rtl/>
        </w:rPr>
        <w:t xml:space="preserve"> סתם דמשמע בין קטנה בין גדולה</w:t>
      </w:r>
      <w:r>
        <w:rPr>
          <w:rFonts w:hint="cs"/>
          <w:rtl/>
        </w:rPr>
        <w:t>".</w:t>
      </w:r>
    </w:p>
    <w:p w14:paraId="1C54AB49" w14:textId="77777777" w:rsidR="002B4B31" w:rsidRDefault="002B4B31" w:rsidP="002B4B31">
      <w:pPr>
        <w:autoSpaceDE w:val="0"/>
        <w:autoSpaceDN w:val="0"/>
        <w:adjustRightInd w:val="0"/>
        <w:ind w:firstLine="284"/>
        <w:rPr>
          <w:rFonts w:hint="cs"/>
          <w:rtl/>
        </w:rPr>
      </w:pPr>
      <w:r>
        <w:rPr>
          <w:rFonts w:hint="cs"/>
          <w:rtl/>
        </w:rPr>
        <w:t>גם נוסח הברייתא שבסוגייתנו פתוח לפרשנויות שונות: האם האיסור הוא בספינה המפליגה בים או בנהר? הניסוח המפורט ביותר מופיע</w:t>
      </w:r>
      <w:r>
        <w:rPr>
          <w:rtl/>
        </w:rPr>
        <w:t xml:space="preserve"> במדרש תנאים לדברים</w:t>
      </w:r>
      <w:r>
        <w:rPr>
          <w:rStyle w:val="a4"/>
          <w:rtl/>
        </w:rPr>
        <w:footnoteReference w:id="467"/>
      </w:r>
      <w:r>
        <w:rPr>
          <w:rtl/>
        </w:rPr>
        <w:t>: "רבי אומר: זה אחד מן הדברים שדרש שמאי הזקן</w:t>
      </w:r>
      <w:r>
        <w:rPr>
          <w:rStyle w:val="a4"/>
          <w:rtl/>
        </w:rPr>
        <w:footnoteReference w:id="468"/>
      </w:r>
      <w:r>
        <w:rPr>
          <w:rFonts w:hint="cs"/>
          <w:rtl/>
        </w:rPr>
        <w:t>:</w:t>
      </w:r>
      <w:r>
        <w:rPr>
          <w:rtl/>
        </w:rPr>
        <w:t xml:space="preserve"> אין מפליגין </w:t>
      </w:r>
      <w:r>
        <w:rPr>
          <w:b/>
          <w:bCs/>
          <w:rtl/>
        </w:rPr>
        <w:t>את הספינה בים הגדול</w:t>
      </w:r>
      <w:r>
        <w:rPr>
          <w:rFonts w:hint="cs"/>
          <w:rtl/>
        </w:rPr>
        <w:t>". האמנם ניתן לדייק מכאן שהפלגה נאסרה רק בים, אך בנהרות מותרת? ואולי אדרבה! העובדה שהבבלי הביא ברייתא זו ללא הגבלת מקום, מוכיחה שהאיסור כולל גם את הנהרות.</w:t>
      </w:r>
    </w:p>
    <w:p w14:paraId="773BCD2F" w14:textId="77777777" w:rsidR="002B4B31" w:rsidRDefault="002B4B31" w:rsidP="002B4B31">
      <w:pPr>
        <w:autoSpaceDE w:val="0"/>
        <w:autoSpaceDN w:val="0"/>
        <w:adjustRightInd w:val="0"/>
        <w:ind w:firstLine="284"/>
        <w:rPr>
          <w:rFonts w:hint="cs"/>
          <w:rtl/>
        </w:rPr>
      </w:pPr>
      <w:r>
        <w:rPr>
          <w:rFonts w:hint="cs"/>
          <w:rtl/>
        </w:rPr>
        <w:t>לדעת הרי"ף (</w:t>
      </w:r>
      <w:r>
        <w:rPr>
          <w:rFonts w:hint="cs"/>
          <w:sz w:val="18"/>
          <w:szCs w:val="20"/>
          <w:rtl/>
        </w:rPr>
        <w:t>שם, וכ"כ בתשובה שי"ז</w:t>
      </w:r>
      <w:r>
        <w:rPr>
          <w:rFonts w:hint="cs"/>
          <w:rtl/>
        </w:rPr>
        <w:t>), טעם האיסור הוא: "</w:t>
      </w:r>
      <w:r>
        <w:rPr>
          <w:rtl/>
        </w:rPr>
        <w:t>משום ב</w:t>
      </w:r>
      <w:r>
        <w:rPr>
          <w:rFonts w:hint="cs"/>
          <w:rtl/>
        </w:rPr>
        <w:t>ִ</w:t>
      </w:r>
      <w:r>
        <w:rPr>
          <w:rtl/>
        </w:rPr>
        <w:t>טול מצות עונג שבת</w:t>
      </w:r>
      <w:r>
        <w:rPr>
          <w:rFonts w:hint="cs"/>
          <w:rtl/>
        </w:rPr>
        <w:t>,</w:t>
      </w:r>
      <w:r>
        <w:rPr>
          <w:rtl/>
        </w:rPr>
        <w:t xml:space="preserve"> דכל ג' ימים הויא להו שינוי וסת משום נענוע הספינה</w:t>
      </w:r>
      <w:r>
        <w:rPr>
          <w:rFonts w:hint="cs"/>
          <w:rtl/>
        </w:rPr>
        <w:t>,</w:t>
      </w:r>
      <w:r>
        <w:rPr>
          <w:rtl/>
        </w:rPr>
        <w:t xml:space="preserve"> כדכתיב בהו </w:t>
      </w:r>
      <w:r>
        <w:rPr>
          <w:rFonts w:hint="cs"/>
          <w:rtl/>
        </w:rPr>
        <w:t>(</w:t>
      </w:r>
      <w:r>
        <w:rPr>
          <w:sz w:val="18"/>
          <w:szCs w:val="20"/>
          <w:rtl/>
        </w:rPr>
        <w:t>תהלים קז</w:t>
      </w:r>
      <w:r>
        <w:rPr>
          <w:rFonts w:hint="cs"/>
          <w:sz w:val="18"/>
          <w:szCs w:val="20"/>
          <w:rtl/>
        </w:rPr>
        <w:t xml:space="preserve">, </w:t>
      </w:r>
      <w:r>
        <w:rPr>
          <w:sz w:val="18"/>
          <w:szCs w:val="20"/>
          <w:rtl/>
        </w:rPr>
        <w:t>כז</w:t>
      </w:r>
      <w:r>
        <w:rPr>
          <w:rFonts w:hint="cs"/>
          <w:rtl/>
        </w:rPr>
        <w:t>): '</w:t>
      </w:r>
      <w:r>
        <w:rPr>
          <w:rtl/>
        </w:rPr>
        <w:t>יָחוֹגּוּ וְיָנוּעוּ כַּשִּׁכּוֹר</w:t>
      </w:r>
      <w:r>
        <w:rPr>
          <w:rFonts w:hint="cs"/>
          <w:rtl/>
        </w:rPr>
        <w:t xml:space="preserve">' </w:t>
      </w:r>
      <w:r>
        <w:rPr>
          <w:rtl/>
        </w:rPr>
        <w:t>וגו' ולא יכלי למעבד עונג שבת</w:t>
      </w:r>
      <w:r>
        <w:rPr>
          <w:rFonts w:hint="cs"/>
          <w:rtl/>
        </w:rPr>
        <w:t>". הרמב"ם (</w:t>
      </w:r>
      <w:r>
        <w:rPr>
          <w:rFonts w:hint="cs"/>
          <w:sz w:val="18"/>
          <w:szCs w:val="20"/>
          <w:rtl/>
        </w:rPr>
        <w:t xml:space="preserve">הל' </w:t>
      </w:r>
      <w:r>
        <w:rPr>
          <w:rFonts w:hint="eastAsia"/>
          <w:sz w:val="18"/>
          <w:szCs w:val="20"/>
          <w:rtl/>
        </w:rPr>
        <w:t>שבת</w:t>
      </w:r>
      <w:r>
        <w:rPr>
          <w:sz w:val="18"/>
          <w:szCs w:val="20"/>
          <w:rtl/>
        </w:rPr>
        <w:t xml:space="preserve"> </w:t>
      </w:r>
      <w:r>
        <w:rPr>
          <w:rFonts w:hint="cs"/>
          <w:sz w:val="18"/>
          <w:szCs w:val="20"/>
          <w:rtl/>
        </w:rPr>
        <w:t xml:space="preserve">כ"ד, ו'; </w:t>
      </w:r>
      <w:r>
        <w:rPr>
          <w:rFonts w:hint="eastAsia"/>
          <w:sz w:val="18"/>
          <w:szCs w:val="20"/>
          <w:rtl/>
        </w:rPr>
        <w:t>ל</w:t>
      </w:r>
      <w:r>
        <w:rPr>
          <w:sz w:val="18"/>
          <w:szCs w:val="20"/>
          <w:rtl/>
        </w:rPr>
        <w:t xml:space="preserve">', </w:t>
      </w:r>
      <w:r>
        <w:rPr>
          <w:rFonts w:hint="eastAsia"/>
          <w:sz w:val="18"/>
          <w:szCs w:val="20"/>
          <w:rtl/>
        </w:rPr>
        <w:t>י</w:t>
      </w:r>
      <w:r>
        <w:rPr>
          <w:sz w:val="18"/>
          <w:szCs w:val="20"/>
          <w:rtl/>
        </w:rPr>
        <w:t>"</w:t>
      </w:r>
      <w:r>
        <w:rPr>
          <w:rFonts w:hint="eastAsia"/>
          <w:sz w:val="18"/>
          <w:szCs w:val="20"/>
          <w:rtl/>
        </w:rPr>
        <w:t>ג</w:t>
      </w:r>
      <w:r>
        <w:rPr>
          <w:rFonts w:hint="cs"/>
          <w:rtl/>
        </w:rPr>
        <w:t xml:space="preserve">) פסק כשיטת </w:t>
      </w:r>
      <w:r>
        <w:rPr>
          <w:rFonts w:hint="cs"/>
          <w:rtl/>
        </w:rPr>
        <w:lastRenderedPageBreak/>
        <w:t>הרי"ף, והוסיף בתשובה (</w:t>
      </w:r>
      <w:r>
        <w:rPr>
          <w:rFonts w:hint="cs"/>
          <w:sz w:val="18"/>
          <w:szCs w:val="20"/>
          <w:rtl/>
        </w:rPr>
        <w:t>כמובא</w:t>
      </w:r>
      <w:r>
        <w:rPr>
          <w:rFonts w:hint="eastAsia"/>
          <w:sz w:val="18"/>
          <w:szCs w:val="20"/>
          <w:rtl/>
        </w:rPr>
        <w:t xml:space="preserve"> במגיד</w:t>
      </w:r>
      <w:r>
        <w:rPr>
          <w:sz w:val="18"/>
          <w:szCs w:val="20"/>
          <w:rtl/>
        </w:rPr>
        <w:t xml:space="preserve"> </w:t>
      </w:r>
      <w:r>
        <w:rPr>
          <w:rFonts w:hint="eastAsia"/>
          <w:sz w:val="18"/>
          <w:szCs w:val="20"/>
          <w:rtl/>
        </w:rPr>
        <w:t>משנה</w:t>
      </w:r>
      <w:r>
        <w:rPr>
          <w:sz w:val="18"/>
          <w:szCs w:val="20"/>
          <w:rtl/>
        </w:rPr>
        <w:t xml:space="preserve"> </w:t>
      </w:r>
      <w:r>
        <w:rPr>
          <w:rFonts w:hint="eastAsia"/>
          <w:sz w:val="18"/>
          <w:szCs w:val="20"/>
          <w:rtl/>
        </w:rPr>
        <w:t>ובכסף</w:t>
      </w:r>
      <w:r>
        <w:rPr>
          <w:sz w:val="18"/>
          <w:szCs w:val="20"/>
          <w:rtl/>
        </w:rPr>
        <w:t xml:space="preserve"> </w:t>
      </w:r>
      <w:r>
        <w:rPr>
          <w:rFonts w:hint="eastAsia"/>
          <w:sz w:val="18"/>
          <w:szCs w:val="20"/>
          <w:rtl/>
        </w:rPr>
        <w:t>משנה</w:t>
      </w:r>
      <w:r>
        <w:rPr>
          <w:rFonts w:hint="cs"/>
          <w:sz w:val="18"/>
          <w:szCs w:val="20"/>
          <w:rtl/>
        </w:rPr>
        <w:t xml:space="preserve">; </w:t>
      </w:r>
      <w:r>
        <w:rPr>
          <w:sz w:val="18"/>
          <w:szCs w:val="20"/>
          <w:rtl/>
        </w:rPr>
        <w:t>סימן ש</w:t>
      </w:r>
      <w:r>
        <w:rPr>
          <w:rFonts w:hint="cs"/>
          <w:sz w:val="18"/>
          <w:szCs w:val="20"/>
          <w:rtl/>
        </w:rPr>
        <w:t>"</w:t>
      </w:r>
      <w:r>
        <w:rPr>
          <w:sz w:val="18"/>
          <w:szCs w:val="20"/>
          <w:rtl/>
        </w:rPr>
        <w:t>ח</w:t>
      </w:r>
      <w:r>
        <w:rPr>
          <w:rFonts w:hint="cs"/>
          <w:sz w:val="18"/>
          <w:szCs w:val="20"/>
          <w:rtl/>
        </w:rPr>
        <w:t xml:space="preserve"> במהדורת בלאו</w:t>
      </w:r>
      <w:r>
        <w:rPr>
          <w:rFonts w:hint="cs"/>
          <w:rtl/>
        </w:rPr>
        <w:t xml:space="preserve">) שלטעם זה האיסור הוא רק בשייט </w:t>
      </w:r>
      <w:r>
        <w:rPr>
          <w:rtl/>
        </w:rPr>
        <w:t>בימים המלוחים</w:t>
      </w:r>
      <w:r>
        <w:rPr>
          <w:rFonts w:hint="cs"/>
          <w:rtl/>
        </w:rPr>
        <w:t xml:space="preserve">, כי המלח מעכיר את רוח האדם, וגורם לבחילות וכיו"ב תופעות מצערות שעלולים לבטלו ממצות עונג שבת, אך </w:t>
      </w:r>
      <w:r>
        <w:rPr>
          <w:rFonts w:hint="eastAsia"/>
          <w:rtl/>
        </w:rPr>
        <w:t>במי</w:t>
      </w:r>
      <w:r>
        <w:rPr>
          <w:rtl/>
        </w:rPr>
        <w:t xml:space="preserve"> </w:t>
      </w:r>
      <w:r>
        <w:rPr>
          <w:rFonts w:hint="eastAsia"/>
          <w:rtl/>
        </w:rPr>
        <w:t>נהרות</w:t>
      </w:r>
      <w:r>
        <w:rPr>
          <w:rtl/>
        </w:rPr>
        <w:t xml:space="preserve"> </w:t>
      </w:r>
      <w:r>
        <w:rPr>
          <w:rFonts w:hint="cs"/>
          <w:rtl/>
        </w:rPr>
        <w:t>ש</w:t>
      </w:r>
      <w:r>
        <w:rPr>
          <w:rFonts w:hint="eastAsia"/>
          <w:rtl/>
        </w:rPr>
        <w:t>השייט</w:t>
      </w:r>
      <w:r>
        <w:rPr>
          <w:rtl/>
        </w:rPr>
        <w:t xml:space="preserve"> </w:t>
      </w:r>
      <w:r>
        <w:rPr>
          <w:rFonts w:hint="cs"/>
          <w:rtl/>
        </w:rPr>
        <w:t xml:space="preserve">הוא על מֵי מנוחות - </w:t>
      </w:r>
      <w:r>
        <w:rPr>
          <w:rFonts w:hint="eastAsia"/>
          <w:rtl/>
        </w:rPr>
        <w:t>מותר</w:t>
      </w:r>
      <w:r>
        <w:rPr>
          <w:rtl/>
        </w:rPr>
        <w:t xml:space="preserve"> </w:t>
      </w:r>
      <w:r>
        <w:rPr>
          <w:rFonts w:hint="eastAsia"/>
          <w:rtl/>
        </w:rPr>
        <w:t>להפליג</w:t>
      </w:r>
      <w:r>
        <w:rPr>
          <w:rtl/>
        </w:rPr>
        <w:t xml:space="preserve"> </w:t>
      </w:r>
      <w:r>
        <w:rPr>
          <w:rFonts w:hint="eastAsia"/>
          <w:rtl/>
        </w:rPr>
        <w:t>גם</w:t>
      </w:r>
      <w:r>
        <w:rPr>
          <w:rtl/>
        </w:rPr>
        <w:t xml:space="preserve"> </w:t>
      </w:r>
      <w:r>
        <w:rPr>
          <w:rFonts w:hint="eastAsia"/>
          <w:rtl/>
        </w:rPr>
        <w:t>סמוך</w:t>
      </w:r>
      <w:r>
        <w:rPr>
          <w:rtl/>
        </w:rPr>
        <w:t xml:space="preserve"> </w:t>
      </w:r>
      <w:r>
        <w:rPr>
          <w:rFonts w:hint="eastAsia"/>
          <w:rtl/>
        </w:rPr>
        <w:t>לשבת</w:t>
      </w:r>
      <w:r>
        <w:rPr>
          <w:rtl/>
        </w:rPr>
        <w:t>.</w:t>
      </w:r>
      <w:r>
        <w:rPr>
          <w:rFonts w:hint="cs"/>
          <w:rtl/>
        </w:rPr>
        <w:t xml:space="preserve"> וכן פסק המחבר (</w:t>
      </w:r>
      <w:r>
        <w:rPr>
          <w:rFonts w:hint="cs"/>
          <w:sz w:val="18"/>
          <w:szCs w:val="20"/>
          <w:rtl/>
        </w:rPr>
        <w:t xml:space="preserve">ראה </w:t>
      </w:r>
      <w:r>
        <w:rPr>
          <w:sz w:val="18"/>
          <w:szCs w:val="20"/>
          <w:rtl/>
        </w:rPr>
        <w:t>שו</w:t>
      </w:r>
      <w:r>
        <w:rPr>
          <w:rFonts w:hint="cs"/>
          <w:sz w:val="18"/>
          <w:szCs w:val="20"/>
          <w:rtl/>
        </w:rPr>
        <w:t>"</w:t>
      </w:r>
      <w:r>
        <w:rPr>
          <w:sz w:val="18"/>
          <w:szCs w:val="20"/>
          <w:rtl/>
        </w:rPr>
        <w:t>ע</w:t>
      </w:r>
      <w:r>
        <w:rPr>
          <w:rFonts w:hint="cs"/>
          <w:sz w:val="18"/>
          <w:szCs w:val="20"/>
          <w:rtl/>
        </w:rPr>
        <w:t xml:space="preserve"> </w:t>
      </w:r>
      <w:r>
        <w:rPr>
          <w:sz w:val="18"/>
          <w:szCs w:val="20"/>
          <w:rtl/>
        </w:rPr>
        <w:t>או</w:t>
      </w:r>
      <w:r>
        <w:rPr>
          <w:rFonts w:hint="cs"/>
          <w:sz w:val="18"/>
          <w:szCs w:val="20"/>
          <w:rtl/>
        </w:rPr>
        <w:t>"</w:t>
      </w:r>
      <w:r>
        <w:rPr>
          <w:sz w:val="18"/>
          <w:szCs w:val="20"/>
          <w:rtl/>
        </w:rPr>
        <w:t>ח רמ</w:t>
      </w:r>
      <w:r>
        <w:rPr>
          <w:rFonts w:hint="cs"/>
          <w:sz w:val="18"/>
          <w:szCs w:val="20"/>
          <w:rtl/>
        </w:rPr>
        <w:t>"</w:t>
      </w:r>
      <w:r>
        <w:rPr>
          <w:sz w:val="18"/>
          <w:szCs w:val="20"/>
          <w:rtl/>
        </w:rPr>
        <w:t>ח</w:t>
      </w:r>
      <w:r>
        <w:rPr>
          <w:rFonts w:hint="cs"/>
          <w:sz w:val="18"/>
          <w:szCs w:val="20"/>
          <w:rtl/>
        </w:rPr>
        <w:t xml:space="preserve">, </w:t>
      </w:r>
      <w:r>
        <w:rPr>
          <w:sz w:val="18"/>
          <w:szCs w:val="20"/>
          <w:rtl/>
        </w:rPr>
        <w:t>ב</w:t>
      </w:r>
      <w:r>
        <w:rPr>
          <w:rFonts w:hint="cs"/>
          <w:sz w:val="18"/>
          <w:szCs w:val="20"/>
          <w:rtl/>
        </w:rPr>
        <w:t>'</w:t>
      </w:r>
      <w:r>
        <w:rPr>
          <w:rFonts w:hint="cs"/>
          <w:rtl/>
        </w:rPr>
        <w:t>).</w:t>
      </w:r>
    </w:p>
    <w:p w14:paraId="4C3B70B8" w14:textId="77777777" w:rsidR="002B4B31" w:rsidRDefault="002B4B31" w:rsidP="002B4B31">
      <w:pPr>
        <w:autoSpaceDE w:val="0"/>
        <w:autoSpaceDN w:val="0"/>
        <w:adjustRightInd w:val="0"/>
        <w:ind w:firstLine="284"/>
        <w:rPr>
          <w:rFonts w:hint="cs"/>
          <w:rtl/>
        </w:rPr>
      </w:pPr>
      <w:r>
        <w:rPr>
          <w:rFonts w:hint="cs"/>
          <w:rtl/>
        </w:rPr>
        <w:t>חילוק זה בין נהר לים, אף שמסתבר הוא, יש לעיין אם עולה הוא בקנה אחד עם לשון הברייתא שנקטה "</w:t>
      </w:r>
      <w:r>
        <w:rPr>
          <w:rtl/>
        </w:rPr>
        <w:t>מפליגין</w:t>
      </w:r>
      <w:r>
        <w:rPr>
          <w:rFonts w:hint="cs"/>
          <w:rtl/>
        </w:rPr>
        <w:t xml:space="preserve">". מצד אחד </w:t>
      </w:r>
      <w:r>
        <w:rPr>
          <w:rtl/>
        </w:rPr>
        <w:t xml:space="preserve">יש </w:t>
      </w:r>
      <w:r>
        <w:rPr>
          <w:rFonts w:hint="cs"/>
          <w:rtl/>
        </w:rPr>
        <w:t>שהוכיחו חילוק זה מלשון ה</w:t>
      </w:r>
      <w:r>
        <w:rPr>
          <w:rtl/>
        </w:rPr>
        <w:t xml:space="preserve">ברייתא </w:t>
      </w:r>
      <w:r>
        <w:rPr>
          <w:rFonts w:hint="cs"/>
          <w:rtl/>
        </w:rPr>
        <w:t>"</w:t>
      </w:r>
      <w:r>
        <w:rPr>
          <w:rtl/>
        </w:rPr>
        <w:t>מדקתני</w:t>
      </w:r>
      <w:r>
        <w:rPr>
          <w:rFonts w:hint="cs"/>
          <w:rtl/>
        </w:rPr>
        <w:t xml:space="preserve"> '</w:t>
      </w:r>
      <w:r>
        <w:rPr>
          <w:rtl/>
        </w:rPr>
        <w:t>אין</w:t>
      </w:r>
      <w:r>
        <w:rPr>
          <w:rFonts w:hint="cs"/>
          <w:rtl/>
        </w:rPr>
        <w:t xml:space="preserve"> </w:t>
      </w:r>
      <w:r>
        <w:rPr>
          <w:rtl/>
        </w:rPr>
        <w:t>מפליגין</w:t>
      </w:r>
      <w:r>
        <w:rPr>
          <w:rFonts w:hint="cs"/>
          <w:rtl/>
        </w:rPr>
        <w:t>'</w:t>
      </w:r>
      <w:r>
        <w:rPr>
          <w:rtl/>
        </w:rPr>
        <w:t xml:space="preserve"> ובים הוא דאיכא הפלגה אבל בנהרות לא"</w:t>
      </w:r>
      <w:r>
        <w:rPr>
          <w:rStyle w:val="a4"/>
          <w:rtl/>
        </w:rPr>
        <w:footnoteReference w:id="469"/>
      </w:r>
      <w:r>
        <w:rPr>
          <w:rFonts w:hint="cs"/>
          <w:rtl/>
        </w:rPr>
        <w:t>, ומצד שני דייק רב האי גאון את ההפך: "</w:t>
      </w:r>
      <w:r>
        <w:rPr>
          <w:rtl/>
        </w:rPr>
        <w:t xml:space="preserve">וכשאתה מעיין </w:t>
      </w:r>
      <w:r>
        <w:rPr>
          <w:rFonts w:hint="cs"/>
          <w:rtl/>
        </w:rPr>
        <w:t>[ב]</w:t>
      </w:r>
      <w:r>
        <w:rPr>
          <w:rtl/>
        </w:rPr>
        <w:t>דברי חכמים כולם אי אתה מוצא דבר זה בים לבד</w:t>
      </w:r>
      <w:r>
        <w:rPr>
          <w:rFonts w:hint="cs"/>
          <w:rtl/>
        </w:rPr>
        <w:t>,</w:t>
      </w:r>
      <w:r>
        <w:rPr>
          <w:rtl/>
        </w:rPr>
        <w:t xml:space="preserve"> והפלגה היא שאמרו </w:t>
      </w:r>
      <w:r>
        <w:rPr>
          <w:rFonts w:hint="cs"/>
          <w:rtl/>
        </w:rPr>
        <w:t>'</w:t>
      </w:r>
      <w:r>
        <w:rPr>
          <w:rtl/>
        </w:rPr>
        <w:t>אין מפליגין</w:t>
      </w:r>
      <w:r>
        <w:rPr>
          <w:rFonts w:hint="cs"/>
          <w:rtl/>
        </w:rPr>
        <w:t>'</w:t>
      </w:r>
      <w:r>
        <w:rPr>
          <w:rtl/>
        </w:rPr>
        <w:t xml:space="preserve"> ומופלג הוא בנהרות כדרך שהוא מופלג כשהוא בים"</w:t>
      </w:r>
      <w:r>
        <w:rPr>
          <w:rStyle w:val="a4"/>
          <w:rtl/>
        </w:rPr>
        <w:footnoteReference w:id="470"/>
      </w:r>
      <w:r>
        <w:rPr>
          <w:rFonts w:hint="cs"/>
          <w:rtl/>
        </w:rPr>
        <w:t xml:space="preserve">. מה פשר מחלוקת זו? כיצד ניתן להוכיח אם הפלגה היא בים או גם בנהר? </w:t>
      </w:r>
    </w:p>
    <w:p w14:paraId="1F602B5F" w14:textId="77777777" w:rsidR="002B4B31" w:rsidRDefault="002B4B31" w:rsidP="002B4B31">
      <w:pPr>
        <w:autoSpaceDE w:val="0"/>
        <w:autoSpaceDN w:val="0"/>
        <w:adjustRightInd w:val="0"/>
        <w:ind w:firstLine="284"/>
        <w:rPr>
          <w:rFonts w:hint="cs"/>
          <w:rtl/>
        </w:rPr>
      </w:pPr>
      <w:r>
        <w:rPr>
          <w:rFonts w:hint="cs"/>
          <w:rtl/>
        </w:rPr>
        <w:t>נראה שהדבר תלוי בשני הפירושים שכתב רש"י בסוגייתנו. פירוש רבו, ר"</w:t>
      </w:r>
      <w:r>
        <w:rPr>
          <w:rtl/>
        </w:rPr>
        <w:t>י ב</w:t>
      </w:r>
      <w:r>
        <w:rPr>
          <w:rFonts w:hint="cs"/>
          <w:rtl/>
        </w:rPr>
        <w:t>ר</w:t>
      </w:r>
      <w:r>
        <w:rPr>
          <w:rtl/>
        </w:rPr>
        <w:t xml:space="preserve"> יקר</w:t>
      </w:r>
      <w:r>
        <w:rPr>
          <w:rFonts w:hint="cs"/>
          <w:rtl/>
        </w:rPr>
        <w:t>, קושר את ההפלגה ל"פילגוס", לב הים, וזה מסביר את שיטת הרמב"ם שאין השייט</w:t>
      </w:r>
      <w:r>
        <w:rPr>
          <w:rtl/>
        </w:rPr>
        <w:t xml:space="preserve"> בנהרות בכלל איסור </w:t>
      </w:r>
      <w:r>
        <w:rPr>
          <w:rtl/>
        </w:rPr>
        <w:lastRenderedPageBreak/>
        <w:t>"הפלגה"</w:t>
      </w:r>
      <w:r>
        <w:rPr>
          <w:rStyle w:val="a4"/>
          <w:rtl/>
        </w:rPr>
        <w:footnoteReference w:id="471"/>
      </w:r>
      <w:r>
        <w:rPr>
          <w:rFonts w:hint="cs"/>
          <w:rtl/>
        </w:rPr>
        <w:t>. לעומת זאת, דברי רב האי גאון שדין ההפלגה בנהר כדין ההפלגה בים, יובנו לפי הסברו</w:t>
      </w:r>
      <w:r>
        <w:rPr>
          <w:rtl/>
        </w:rPr>
        <w:t xml:space="preserve"> הראשון של רש"י, שהפלגה היא פרישה והתרחקות</w:t>
      </w:r>
      <w:r>
        <w:rPr>
          <w:rStyle w:val="a4"/>
          <w:rtl/>
        </w:rPr>
        <w:footnoteReference w:id="472"/>
      </w:r>
      <w:r>
        <w:rPr>
          <w:rFonts w:hint="cs"/>
          <w:rtl/>
        </w:rPr>
        <w:t>.</w:t>
      </w:r>
    </w:p>
    <w:p w14:paraId="476C9DE6" w14:textId="77777777" w:rsidR="002B4B31" w:rsidRDefault="002B4B31" w:rsidP="002B4B31">
      <w:pPr>
        <w:autoSpaceDE w:val="0"/>
        <w:autoSpaceDN w:val="0"/>
        <w:adjustRightInd w:val="0"/>
        <w:ind w:firstLine="284"/>
        <w:rPr>
          <w:rFonts w:hint="cs"/>
          <w:rtl/>
        </w:rPr>
      </w:pPr>
    </w:p>
    <w:p w14:paraId="2CF257D9" w14:textId="77777777" w:rsidR="002B4B31" w:rsidRDefault="002B4B31" w:rsidP="002B4B31">
      <w:pPr>
        <w:autoSpaceDE w:val="0"/>
        <w:autoSpaceDN w:val="0"/>
        <w:adjustRightInd w:val="0"/>
        <w:spacing w:line="240" w:lineRule="auto"/>
        <w:ind w:firstLine="284"/>
        <w:jc w:val="left"/>
        <w:rPr>
          <w:rFonts w:hint="cs"/>
          <w:szCs w:val="22"/>
        </w:rPr>
      </w:pPr>
      <w:r>
        <w:rPr>
          <w:rFonts w:hint="cs"/>
          <w:rtl/>
        </w:rPr>
        <w:t xml:space="preserve"> </w:t>
      </w:r>
    </w:p>
    <w:p w14:paraId="6820EAC2" w14:textId="77777777" w:rsidR="002B4B31" w:rsidRDefault="002B4B31" w:rsidP="002B4B31">
      <w:pPr>
        <w:autoSpaceDE w:val="0"/>
        <w:autoSpaceDN w:val="0"/>
        <w:adjustRightInd w:val="0"/>
        <w:ind w:firstLine="284"/>
        <w:rPr>
          <w:rFonts w:hint="cs"/>
          <w:rtl/>
        </w:rPr>
      </w:pPr>
    </w:p>
    <w:p w14:paraId="51DB06E4" w14:textId="77777777" w:rsidR="00E57D75" w:rsidRDefault="00E57D75"/>
    <w:sectPr w:rsidR="00E57D75">
      <w:footerReference w:type="even" r:id="rId10"/>
      <w:footerReference w:type="default" r:id="rId11"/>
      <w:pgSz w:w="11340" w:h="14175"/>
      <w:pgMar w:top="1134" w:right="1361" w:bottom="1134" w:left="1361" w:header="709" w:footer="709" w:gutter="0"/>
      <w:cols w:space="708"/>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8430B1" w14:textId="77777777" w:rsidR="003F253F" w:rsidRDefault="003F253F">
      <w:r>
        <w:separator/>
      </w:r>
    </w:p>
  </w:endnote>
  <w:endnote w:type="continuationSeparator" w:id="0">
    <w:p w14:paraId="054ABB43" w14:textId="77777777" w:rsidR="003F253F" w:rsidRDefault="003F2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uttman Drogolin">
    <w:panose1 w:val="02010401010101010101"/>
    <w:charset w:val="B1"/>
    <w:family w:val="auto"/>
    <w:pitch w:val="variable"/>
    <w:sig w:usb0="00000801" w:usb1="40000000" w:usb2="00000000" w:usb3="00000000" w:csb0="00000020" w:csb1="00000000"/>
  </w:font>
  <w:font w:name="Miriam Transparent">
    <w:panose1 w:val="020B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opType Toledo">
    <w:charset w:val="B1"/>
    <w:family w:val="auto"/>
    <w:pitch w:val="variable"/>
    <w:sig w:usb0="00000801" w:usb1="00000000" w:usb2="00000000" w:usb3="00000000" w:csb0="00000020" w:csb1="00000000"/>
  </w:font>
  <w:font w:name="David">
    <w:panose1 w:val="020E0502060401010101"/>
    <w:charset w:val="00"/>
    <w:family w:val="swiss"/>
    <w:pitch w:val="variable"/>
    <w:sig w:usb0="00000803" w:usb1="00000000" w:usb2="00000000" w:usb3="00000000" w:csb0="00000021" w:csb1="00000000"/>
  </w:font>
  <w:font w:name="Arial Unicode MS">
    <w:altName w:val="Arial"/>
    <w:panose1 w:val="020B0604020202020204"/>
    <w:charset w:val="00"/>
    <w:family w:val="roman"/>
    <w:pitch w:val="variable"/>
    <w:sig w:usb0="00000003" w:usb1="00000000" w:usb2="00000000" w:usb3="00000000" w:csb0="00000001" w:csb1="00000000"/>
  </w:font>
  <w:font w:name="Ezra SIL">
    <w:altName w:val="Courier New"/>
    <w:charset w:val="00"/>
    <w:family w:val="auto"/>
    <w:pitch w:val="variable"/>
    <w:sig w:usb0="00001803" w:usb1="00000000" w:usb2="00000000" w:usb3="00000000" w:csb0="00000021" w:csb1="00000000"/>
  </w:font>
  <w:font w:name="Levenim MT">
    <w:panose1 w:val="02010502060101010101"/>
    <w:charset w:val="00"/>
    <w:family w:val="auto"/>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Vilna">
    <w:charset w:val="B1"/>
    <w:family w:val="auto"/>
    <w:pitch w:val="variable"/>
    <w:sig w:usb0="00001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Monotype Corsiva">
    <w:panose1 w:val="03010101010201010101"/>
    <w:charset w:val="00"/>
    <w:family w:val="script"/>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YerushalmyD">
    <w:altName w:val="Symbol"/>
    <w:charset w:val="02"/>
    <w:family w:val="auto"/>
    <w:pitch w:val="variable"/>
    <w:sig w:usb0="00000000" w:usb1="10000000" w:usb2="00000000" w:usb3="00000000" w:csb0="80000000" w:csb1="00000000"/>
  </w:font>
  <w:font w:name="FrankShem">
    <w:charset w:val="B1"/>
    <w:family w:val="auto"/>
    <w:pitch w:val="variable"/>
    <w:sig w:usb0="00001801" w:usb1="00000000" w:usb2="00000000" w:usb3="00000000" w:csb0="00000020" w:csb1="00000000"/>
  </w:font>
  <w:font w:name="Ezra SIL SR">
    <w:altName w:val="Courier New"/>
    <w:charset w:val="00"/>
    <w:family w:val="auto"/>
    <w:pitch w:val="variable"/>
    <w:sig w:usb0="00001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E39FB" w14:textId="77777777" w:rsidR="00940290" w:rsidRDefault="00940290">
    <w:pPr>
      <w:pStyle w:val="a5"/>
      <w:rPr>
        <w:rFonts w:hint="cs"/>
        <w:rtl/>
      </w:rPr>
    </w:pPr>
    <w:r>
      <w:rPr>
        <w:rFonts w:hint="cs"/>
        <w:b/>
        <w:bCs/>
        <w:rtl/>
      </w:rPr>
      <w:t>ליגין</w:t>
    </w:r>
    <w:r>
      <w:rPr>
        <w:rFonts w:hint="cs"/>
        <w:rtl/>
      </w:rPr>
      <w:t>".</w:t>
    </w:r>
  </w:p>
  <w:p w14:paraId="56332846" w14:textId="77777777" w:rsidR="00940290" w:rsidRDefault="00940290">
    <w:pPr>
      <w:rPr>
        <w:szCs w:val="22"/>
      </w:rPr>
    </w:pPr>
  </w:p>
  <w:p w14:paraId="039CFA52" w14:textId="77777777" w:rsidR="00940290" w:rsidRDefault="00940290">
    <w:pPr>
      <w:pStyle w:val="a3"/>
      <w:framePr w:wrap="around" w:vAnchor="text" w:hAnchor="margin" w:xAlign="center" w:y="1"/>
      <w:rPr>
        <w:rStyle w:val="a6"/>
        <w:rtl/>
      </w:rPr>
    </w:pPr>
    <w:r>
      <w:rPr>
        <w:rStyle w:val="a6"/>
        <w:rtl/>
      </w:rPr>
      <w:fldChar w:fldCharType="begin"/>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CFA52" w14:textId="77777777" w:rsidR="00940290" w:rsidRDefault="00940290">
    <w:pPr>
      <w:pStyle w:val="a3"/>
      <w:framePr w:wrap="around" w:vAnchor="text" w:hAnchor="margin" w:xAlign="center" w:y="1"/>
      <w:rPr>
        <w:rStyle w:val="a6"/>
        <w:rtl/>
      </w:rPr>
    </w:pPr>
    <w:r>
      <w:rPr>
        <w:rStyle w:val="a6"/>
        <w:szCs w:val="22"/>
      </w:rPr>
      <w:t xml:space="preserve">AGE  </w:t>
    </w:r>
  </w:p>
  <w:p w14:paraId="383BDD0D" w14:textId="77777777" w:rsidR="00940290" w:rsidRDefault="00940290">
    <w:pPr>
      <w:pStyle w:val="a3"/>
      <w:rPr>
        <w:rtl/>
      </w:rPr>
    </w:pPr>
  </w:p>
  <w:p w14:paraId="6B9C1D94" w14:textId="237646CF" w:rsidR="003F253F" w:rsidRDefault="003E3DE1">
    <w:r>
      <w:rPr>
        <w:rStyle w:val="a6"/>
        <w:noProof/>
        <w:szCs w:val="22"/>
        <w:rtl/>
      </w:rPr>
      <w:t>155</w:t>
    </w:r>
    <w:r w:rsidR="00940290">
      <w:rPr>
        <w:rStyle w:val="a6"/>
        <w:szCs w:val="22"/>
      </w:rPr>
      <w:t>PAG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52239B" w14:textId="77777777" w:rsidR="003F253F" w:rsidRDefault="003F253F">
      <w:r>
        <w:separator/>
      </w:r>
    </w:p>
  </w:footnote>
  <w:footnote w:type="continuationSeparator" w:id="0">
    <w:p w14:paraId="12A766DC" w14:textId="77777777" w:rsidR="003F253F" w:rsidRDefault="003F253F">
      <w:r>
        <w:continuationSeparator/>
      </w:r>
    </w:p>
  </w:footnote>
  <w:footnote w:id="1">
    <w:p w14:paraId="5F279925" w14:textId="77777777" w:rsidR="00940290" w:rsidRDefault="00940290" w:rsidP="00940290">
      <w:pPr>
        <w:pStyle w:val="a5"/>
        <w:rPr>
          <w:rtl/>
        </w:rPr>
      </w:pPr>
      <w:r>
        <w:rPr>
          <w:rStyle w:val="a4"/>
        </w:rPr>
        <w:footnoteRef/>
      </w:r>
      <w:r>
        <w:rPr>
          <w:rFonts w:hint="cs"/>
          <w:rtl/>
        </w:rPr>
        <w:t xml:space="preserve"> </w:t>
      </w:r>
      <w:r>
        <w:rPr>
          <w:rFonts w:ascii="Arial" w:hAnsi="Arial" w:hint="cs"/>
          <w:rtl/>
        </w:rPr>
        <w:t>אמנם, פרק זה נקרא בד"כ "</w:t>
      </w:r>
      <w:r>
        <w:rPr>
          <w:rFonts w:ascii="Arial" w:hAnsi="Arial"/>
          <w:rtl/>
        </w:rPr>
        <w:t>קנין תורה</w:t>
      </w:r>
      <w:r>
        <w:rPr>
          <w:rFonts w:ascii="Arial" w:hAnsi="Arial" w:hint="cs"/>
          <w:rtl/>
        </w:rPr>
        <w:t>"</w:t>
      </w:r>
      <w:r>
        <w:rPr>
          <w:rFonts w:ascii="Arial" w:hAnsi="Arial"/>
          <w:rtl/>
        </w:rPr>
        <w:t xml:space="preserve"> </w:t>
      </w:r>
      <w:r>
        <w:rPr>
          <w:rFonts w:ascii="Arial" w:hAnsi="Arial" w:hint="cs"/>
          <w:rtl/>
        </w:rPr>
        <w:t>(</w:t>
      </w:r>
      <w:r>
        <w:rPr>
          <w:rFonts w:ascii="Arial" w:hAnsi="Arial" w:hint="cs"/>
          <w:sz w:val="18"/>
          <w:szCs w:val="20"/>
          <w:rtl/>
        </w:rPr>
        <w:t xml:space="preserve">כגון בפירוש </w:t>
      </w:r>
      <w:r>
        <w:rPr>
          <w:rFonts w:ascii="Arial" w:hAnsi="Arial"/>
          <w:sz w:val="18"/>
          <w:szCs w:val="20"/>
          <w:rtl/>
        </w:rPr>
        <w:t xml:space="preserve">מרכבת המשנה לר"י אלאשקר </w:t>
      </w:r>
      <w:r>
        <w:rPr>
          <w:rFonts w:ascii="Arial" w:hAnsi="Arial" w:hint="cs"/>
          <w:sz w:val="18"/>
          <w:szCs w:val="20"/>
          <w:rtl/>
        </w:rPr>
        <w:t>בתחילת פרק זה</w:t>
      </w:r>
      <w:r>
        <w:rPr>
          <w:rFonts w:ascii="Arial" w:hAnsi="Arial" w:hint="cs"/>
          <w:rtl/>
        </w:rPr>
        <w:t>), אך לאור האמור להלן, מסתבר יותר השם המיודע, "</w:t>
      </w:r>
      <w:r>
        <w:rPr>
          <w:rFonts w:ascii="Arial" w:hAnsi="Arial"/>
          <w:rtl/>
        </w:rPr>
        <w:t>קנין</w:t>
      </w:r>
      <w:r>
        <w:rPr>
          <w:rFonts w:ascii="Arial" w:hAnsi="Arial"/>
          <w:b/>
          <w:bCs/>
          <w:rtl/>
        </w:rPr>
        <w:t xml:space="preserve"> ה</w:t>
      </w:r>
      <w:r>
        <w:rPr>
          <w:rFonts w:ascii="Arial" w:hAnsi="Arial"/>
          <w:rtl/>
        </w:rPr>
        <w:t>תורה</w:t>
      </w:r>
      <w:r>
        <w:rPr>
          <w:rFonts w:ascii="Arial" w:hAnsi="Arial" w:hint="cs"/>
          <w:rtl/>
        </w:rPr>
        <w:t>" (</w:t>
      </w:r>
      <w:r>
        <w:rPr>
          <w:rFonts w:ascii="Arial" w:hAnsi="Arial" w:hint="cs"/>
          <w:sz w:val="18"/>
          <w:szCs w:val="20"/>
          <w:rtl/>
        </w:rPr>
        <w:t xml:space="preserve">המצוי למשל בדברי </w:t>
      </w:r>
      <w:r>
        <w:rPr>
          <w:rFonts w:ascii="Arial" w:hAnsi="Arial"/>
          <w:sz w:val="18"/>
          <w:szCs w:val="20"/>
          <w:rtl/>
        </w:rPr>
        <w:t xml:space="preserve">רשב"ץ </w:t>
      </w:r>
      <w:r>
        <w:rPr>
          <w:rFonts w:ascii="Arial" w:hAnsi="Arial" w:hint="cs"/>
          <w:sz w:val="18"/>
          <w:szCs w:val="20"/>
          <w:rtl/>
        </w:rPr>
        <w:t xml:space="preserve">בפירושו </w:t>
      </w:r>
      <w:r>
        <w:rPr>
          <w:rFonts w:ascii="Arial" w:hAnsi="Arial"/>
          <w:sz w:val="18"/>
          <w:szCs w:val="20"/>
          <w:rtl/>
        </w:rPr>
        <w:t>מגן אבות לאבות פ</w:t>
      </w:r>
      <w:r>
        <w:rPr>
          <w:rFonts w:ascii="Arial" w:hAnsi="Arial" w:hint="cs"/>
          <w:sz w:val="18"/>
          <w:szCs w:val="20"/>
          <w:rtl/>
        </w:rPr>
        <w:t>"</w:t>
      </w:r>
      <w:r>
        <w:rPr>
          <w:rFonts w:ascii="Arial" w:hAnsi="Arial"/>
          <w:sz w:val="18"/>
          <w:szCs w:val="20"/>
          <w:rtl/>
        </w:rPr>
        <w:t>ד מ</w:t>
      </w:r>
      <w:r>
        <w:rPr>
          <w:rFonts w:ascii="Arial" w:hAnsi="Arial" w:hint="cs"/>
          <w:sz w:val="18"/>
          <w:szCs w:val="20"/>
          <w:rtl/>
        </w:rPr>
        <w:t>"</w:t>
      </w:r>
      <w:r>
        <w:rPr>
          <w:rFonts w:ascii="Arial" w:hAnsi="Arial"/>
          <w:sz w:val="18"/>
          <w:szCs w:val="20"/>
          <w:rtl/>
        </w:rPr>
        <w:t>ד</w:t>
      </w:r>
      <w:r>
        <w:rPr>
          <w:rFonts w:ascii="Arial" w:hAnsi="Arial" w:hint="cs"/>
          <w:rtl/>
        </w:rPr>
        <w:t>).</w:t>
      </w:r>
    </w:p>
  </w:footnote>
  <w:footnote w:id="2">
    <w:p w14:paraId="0D2B0D51"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הֶעדר המִלית "שֶׁל" מהמקרא גרמה למתקני לשון התפִלה למחוק אותה לפעמים מן הסידור (</w:t>
      </w:r>
      <w:r>
        <w:rPr>
          <w:rFonts w:ascii="Arial" w:hAnsi="Arial" w:hint="cs"/>
          <w:sz w:val="18"/>
          <w:szCs w:val="20"/>
          <w:rtl/>
        </w:rPr>
        <w:t xml:space="preserve">ראה הקדמת ר"ד יצחקי לספר </w:t>
      </w:r>
      <w:r>
        <w:rPr>
          <w:rFonts w:ascii="Arial" w:hAnsi="Arial"/>
          <w:sz w:val="18"/>
          <w:szCs w:val="20"/>
          <w:rtl/>
        </w:rPr>
        <w:t xml:space="preserve">לוח </w:t>
      </w:r>
      <w:r>
        <w:rPr>
          <w:rFonts w:ascii="Arial" w:hAnsi="Arial" w:hint="cs"/>
          <w:sz w:val="18"/>
          <w:szCs w:val="20"/>
          <w:rtl/>
        </w:rPr>
        <w:t>א</w:t>
      </w:r>
      <w:r>
        <w:rPr>
          <w:rFonts w:ascii="Arial" w:hAnsi="Arial"/>
          <w:sz w:val="18"/>
          <w:szCs w:val="20"/>
          <w:rtl/>
        </w:rPr>
        <w:t>רש</w:t>
      </w:r>
      <w:r>
        <w:rPr>
          <w:rFonts w:ascii="Arial" w:hAnsi="Arial" w:hint="cs"/>
          <w:sz w:val="18"/>
          <w:szCs w:val="20"/>
          <w:rtl/>
        </w:rPr>
        <w:t xml:space="preserve">ׁ, תשס"א, עמ' 45, ולהלן דף </w:t>
      </w:r>
      <w:r>
        <w:rPr>
          <w:rFonts w:ascii="Arial" w:hAnsi="Arial"/>
          <w:sz w:val="18"/>
          <w:szCs w:val="20"/>
          <w:rtl/>
        </w:rPr>
        <w:t>קלז</w:t>
      </w:r>
      <w:r>
        <w:rPr>
          <w:rFonts w:ascii="Arial" w:hAnsi="Arial" w:hint="cs"/>
          <w:sz w:val="18"/>
          <w:szCs w:val="20"/>
          <w:rtl/>
        </w:rPr>
        <w:t xml:space="preserve">, </w:t>
      </w:r>
      <w:r>
        <w:rPr>
          <w:rFonts w:ascii="Arial" w:hAnsi="Arial"/>
          <w:sz w:val="18"/>
          <w:szCs w:val="20"/>
          <w:rtl/>
        </w:rPr>
        <w:t>ב</w:t>
      </w:r>
      <w:r>
        <w:rPr>
          <w:rFonts w:ascii="Arial" w:hAnsi="Arial" w:hint="cs"/>
          <w:sz w:val="26"/>
          <w:rtl/>
        </w:rPr>
        <w:t xml:space="preserve">). </w:t>
      </w:r>
      <w:r>
        <w:rPr>
          <w:rFonts w:ascii="Arial" w:hAnsi="Arial" w:hint="cs"/>
          <w:rtl/>
        </w:rPr>
        <w:t>חיפוש ממוחשב בתנ"ך יעלה שלוש תוצאות שאינן ענין לכאן: "</w:t>
      </w:r>
      <w:r>
        <w:rPr>
          <w:rFonts w:ascii="Arial" w:hAnsi="Arial"/>
          <w:rtl/>
        </w:rPr>
        <w:t>שַׁל</w:t>
      </w:r>
      <w:r>
        <w:rPr>
          <w:rFonts w:ascii="Arial" w:hAnsi="Arial" w:hint="cs"/>
          <w:rtl/>
        </w:rPr>
        <w:t>" (</w:t>
      </w:r>
      <w:r>
        <w:rPr>
          <w:rFonts w:ascii="Arial" w:hAnsi="Arial"/>
          <w:sz w:val="18"/>
          <w:szCs w:val="20"/>
          <w:rtl/>
        </w:rPr>
        <w:t>שמות ג</w:t>
      </w:r>
      <w:r>
        <w:rPr>
          <w:rFonts w:ascii="Arial" w:hAnsi="Arial" w:hint="cs"/>
          <w:sz w:val="18"/>
          <w:szCs w:val="20"/>
          <w:rtl/>
        </w:rPr>
        <w:t>,</w:t>
      </w:r>
      <w:r>
        <w:rPr>
          <w:rFonts w:ascii="Arial" w:hAnsi="Arial"/>
          <w:sz w:val="18"/>
          <w:szCs w:val="20"/>
          <w:rtl/>
        </w:rPr>
        <w:t xml:space="preserve"> ה</w:t>
      </w:r>
      <w:r>
        <w:rPr>
          <w:rFonts w:ascii="Arial" w:hAnsi="Arial" w:hint="cs"/>
          <w:sz w:val="18"/>
          <w:szCs w:val="20"/>
          <w:rtl/>
        </w:rPr>
        <w:t xml:space="preserve">; </w:t>
      </w:r>
      <w:r>
        <w:rPr>
          <w:rFonts w:ascii="Arial" w:hAnsi="Arial"/>
          <w:sz w:val="18"/>
          <w:szCs w:val="20"/>
          <w:rtl/>
        </w:rPr>
        <w:t>יהושע ה</w:t>
      </w:r>
      <w:r>
        <w:rPr>
          <w:rFonts w:ascii="Arial" w:hAnsi="Arial" w:hint="cs"/>
          <w:sz w:val="18"/>
          <w:szCs w:val="20"/>
          <w:rtl/>
        </w:rPr>
        <w:t>,</w:t>
      </w:r>
      <w:r>
        <w:rPr>
          <w:rFonts w:ascii="Arial" w:hAnsi="Arial"/>
          <w:sz w:val="18"/>
          <w:szCs w:val="20"/>
          <w:rtl/>
        </w:rPr>
        <w:t xml:space="preserve"> טו</w:t>
      </w:r>
      <w:r>
        <w:rPr>
          <w:rFonts w:ascii="Arial" w:hAnsi="Arial" w:hint="cs"/>
          <w:rtl/>
        </w:rPr>
        <w:t>) ו"</w:t>
      </w:r>
      <w:r>
        <w:rPr>
          <w:rFonts w:ascii="Arial" w:hAnsi="Arial"/>
          <w:rtl/>
        </w:rPr>
        <w:t>שֹׁל</w:t>
      </w:r>
      <w:r>
        <w:rPr>
          <w:rFonts w:ascii="Arial" w:hAnsi="Arial" w:hint="cs"/>
          <w:rtl/>
        </w:rPr>
        <w:t>" (</w:t>
      </w:r>
      <w:r>
        <w:rPr>
          <w:rFonts w:ascii="Arial" w:hAnsi="Arial"/>
          <w:sz w:val="18"/>
          <w:szCs w:val="20"/>
          <w:rtl/>
        </w:rPr>
        <w:t>רות ב</w:t>
      </w:r>
      <w:r>
        <w:rPr>
          <w:rFonts w:ascii="Arial" w:hAnsi="Arial" w:hint="cs"/>
          <w:sz w:val="18"/>
          <w:szCs w:val="20"/>
          <w:rtl/>
        </w:rPr>
        <w:t>,</w:t>
      </w:r>
      <w:r>
        <w:rPr>
          <w:rFonts w:ascii="Arial" w:hAnsi="Arial"/>
          <w:sz w:val="18"/>
          <w:szCs w:val="20"/>
          <w:rtl/>
        </w:rPr>
        <w:t xml:space="preserve"> טז</w:t>
      </w:r>
      <w:r>
        <w:rPr>
          <w:rFonts w:ascii="Arial" w:hAnsi="Arial" w:hint="cs"/>
          <w:rtl/>
        </w:rPr>
        <w:t>).</w:t>
      </w:r>
    </w:p>
  </w:footnote>
  <w:footnote w:id="3">
    <w:p w14:paraId="47AA8CFB" w14:textId="77777777" w:rsidR="00940290" w:rsidRDefault="00940290" w:rsidP="00940290">
      <w:pPr>
        <w:pStyle w:val="a5"/>
        <w:rPr>
          <w:rFonts w:ascii="Arial" w:hAnsi="Arial" w:hint="cs"/>
          <w:sz w:val="18"/>
          <w:szCs w:val="20"/>
          <w:rtl/>
        </w:rPr>
      </w:pPr>
      <w:r>
        <w:rPr>
          <w:rStyle w:val="a4"/>
        </w:rPr>
        <w:footnoteRef/>
      </w:r>
      <w:r>
        <w:rPr>
          <w:rFonts w:hint="cs"/>
          <w:rtl/>
        </w:rPr>
        <w:t xml:space="preserve"> </w:t>
      </w:r>
      <w:r>
        <w:rPr>
          <w:rFonts w:ascii="Arial" w:hAnsi="Arial" w:hint="cs"/>
          <w:rtl/>
        </w:rPr>
        <w:t>לעומת</w:t>
      </w:r>
      <w:r>
        <w:rPr>
          <w:rFonts w:hint="cs"/>
          <w:rtl/>
        </w:rPr>
        <w:t xml:space="preserve"> הרצף</w:t>
      </w:r>
      <w:r>
        <w:rPr>
          <w:rFonts w:ascii="Arial" w:hAnsi="Arial" w:hint="cs"/>
          <w:rtl/>
        </w:rPr>
        <w:t xml:space="preserve"> "</w:t>
      </w:r>
      <w:r>
        <w:rPr>
          <w:rFonts w:ascii="Arial" w:hAnsi="Arial"/>
          <w:rtl/>
        </w:rPr>
        <w:t>בְּשֶׁל</w:t>
      </w:r>
      <w:r>
        <w:rPr>
          <w:rFonts w:ascii="Arial" w:hAnsi="Arial" w:hint="cs"/>
          <w:rtl/>
        </w:rPr>
        <w:t>-" (הרכבה של שלוש אותיות השימוש: "</w:t>
      </w:r>
      <w:r>
        <w:rPr>
          <w:rFonts w:ascii="Arial" w:hAnsi="Arial"/>
          <w:rtl/>
        </w:rPr>
        <w:t>בְּ</w:t>
      </w:r>
      <w:r>
        <w:rPr>
          <w:rFonts w:ascii="Arial" w:hAnsi="Arial" w:hint="cs"/>
          <w:rtl/>
        </w:rPr>
        <w:t>+</w:t>
      </w:r>
      <w:r>
        <w:rPr>
          <w:rFonts w:ascii="Arial" w:hAnsi="Arial"/>
          <w:rtl/>
        </w:rPr>
        <w:t>שֶׁ</w:t>
      </w:r>
      <w:r>
        <w:rPr>
          <w:rFonts w:ascii="Arial" w:hAnsi="Arial" w:hint="cs"/>
          <w:rtl/>
        </w:rPr>
        <w:t>+</w:t>
      </w:r>
      <w:r>
        <w:rPr>
          <w:rFonts w:ascii="Arial" w:hAnsi="Arial"/>
          <w:rtl/>
        </w:rPr>
        <w:t>ל</w:t>
      </w:r>
      <w:r>
        <w:rPr>
          <w:rFonts w:ascii="Arial" w:hAnsi="Arial" w:hint="cs"/>
          <w:rtl/>
        </w:rPr>
        <w:t>ְ") שמְּשַמֵּש כמילת קישור לתיאור סיבה (בספר יונה</w:t>
      </w:r>
      <w:r>
        <w:rPr>
          <w:rFonts w:ascii="Arial" w:hAnsi="Arial" w:hint="cs"/>
          <w:sz w:val="18"/>
          <w:szCs w:val="20"/>
          <w:rtl/>
        </w:rPr>
        <w:t>, כמובא בהערה הבאה</w:t>
      </w:r>
      <w:r>
        <w:rPr>
          <w:rFonts w:ascii="Arial" w:hAnsi="Arial" w:hint="cs"/>
          <w:rtl/>
        </w:rPr>
        <w:t>) ואולי לתיאור ויתור (בקהלת</w:t>
      </w:r>
      <w:r>
        <w:rPr>
          <w:rFonts w:ascii="Arial" w:hAnsi="Arial" w:hint="cs"/>
          <w:sz w:val="18"/>
          <w:szCs w:val="20"/>
          <w:rtl/>
        </w:rPr>
        <w:t>; עי"ש בפירוש דעת מקרא, הערה 57</w:t>
      </w:r>
      <w:r>
        <w:rPr>
          <w:rFonts w:ascii="Arial" w:hAnsi="Arial" w:hint="cs"/>
          <w:rtl/>
        </w:rPr>
        <w:t>). השוה למקבילה הארמית "בְּדִיל" - תרגום אונקלוס למלים העבריות "</w:t>
      </w:r>
      <w:r>
        <w:rPr>
          <w:rFonts w:ascii="Arial" w:hAnsi="Arial"/>
          <w:rtl/>
        </w:rPr>
        <w:t>בַּעֲבוּר</w:t>
      </w:r>
      <w:r>
        <w:rPr>
          <w:rFonts w:ascii="Arial" w:hAnsi="Arial" w:hint="cs"/>
          <w:rtl/>
        </w:rPr>
        <w:t>"</w:t>
      </w:r>
      <w:r>
        <w:rPr>
          <w:rFonts w:ascii="Arial" w:hAnsi="Arial"/>
          <w:rtl/>
        </w:rPr>
        <w:t xml:space="preserve"> </w:t>
      </w:r>
      <w:r>
        <w:rPr>
          <w:rFonts w:ascii="Arial" w:hAnsi="Arial" w:hint="cs"/>
          <w:rtl/>
        </w:rPr>
        <w:t>(</w:t>
      </w:r>
      <w:r>
        <w:rPr>
          <w:rFonts w:ascii="Arial" w:hAnsi="Arial"/>
          <w:sz w:val="18"/>
          <w:szCs w:val="20"/>
          <w:rtl/>
        </w:rPr>
        <w:t>בראשית ח</w:t>
      </w:r>
      <w:r>
        <w:rPr>
          <w:rFonts w:ascii="Arial" w:hAnsi="Arial" w:hint="cs"/>
          <w:sz w:val="18"/>
          <w:szCs w:val="20"/>
          <w:rtl/>
        </w:rPr>
        <w:t xml:space="preserve">, </w:t>
      </w:r>
      <w:r>
        <w:rPr>
          <w:rFonts w:ascii="Arial" w:hAnsi="Arial"/>
          <w:sz w:val="18"/>
          <w:szCs w:val="20"/>
          <w:rtl/>
        </w:rPr>
        <w:t>כא</w:t>
      </w:r>
      <w:r>
        <w:rPr>
          <w:rFonts w:ascii="Arial" w:hAnsi="Arial" w:hint="cs"/>
          <w:rtl/>
        </w:rPr>
        <w:t>); "</w:t>
      </w:r>
      <w:r>
        <w:rPr>
          <w:rFonts w:ascii="Arial" w:hAnsi="Arial"/>
          <w:rtl/>
        </w:rPr>
        <w:t>לְמַעַן</w:t>
      </w:r>
      <w:r>
        <w:rPr>
          <w:rFonts w:ascii="Arial" w:hAnsi="Arial" w:hint="cs"/>
          <w:rtl/>
        </w:rPr>
        <w:t>" (</w:t>
      </w:r>
      <w:r>
        <w:rPr>
          <w:rFonts w:ascii="Arial" w:hAnsi="Arial" w:hint="cs"/>
          <w:sz w:val="18"/>
          <w:szCs w:val="20"/>
          <w:rtl/>
        </w:rPr>
        <w:t xml:space="preserve">שם </w:t>
      </w:r>
      <w:r>
        <w:rPr>
          <w:rFonts w:ascii="Arial" w:hAnsi="Arial"/>
          <w:sz w:val="18"/>
          <w:szCs w:val="20"/>
          <w:rtl/>
        </w:rPr>
        <w:t>יח</w:t>
      </w:r>
      <w:r>
        <w:rPr>
          <w:rFonts w:ascii="Arial" w:hAnsi="Arial" w:hint="cs"/>
          <w:sz w:val="18"/>
          <w:szCs w:val="20"/>
          <w:rtl/>
        </w:rPr>
        <w:t xml:space="preserve">, </w:t>
      </w:r>
      <w:r>
        <w:rPr>
          <w:rFonts w:ascii="Arial" w:hAnsi="Arial"/>
          <w:sz w:val="18"/>
          <w:szCs w:val="20"/>
          <w:rtl/>
        </w:rPr>
        <w:t>יט</w:t>
      </w:r>
      <w:r>
        <w:rPr>
          <w:rFonts w:ascii="Arial" w:hAnsi="Arial" w:hint="cs"/>
          <w:sz w:val="18"/>
          <w:szCs w:val="20"/>
          <w:rtl/>
        </w:rPr>
        <w:t>; עי"ש פעמיים!</w:t>
      </w:r>
      <w:r>
        <w:rPr>
          <w:rFonts w:ascii="Arial" w:hAnsi="Arial" w:hint="cs"/>
          <w:rtl/>
        </w:rPr>
        <w:t>); "</w:t>
      </w:r>
      <w:r>
        <w:rPr>
          <w:rFonts w:ascii="Arial" w:hAnsi="Arial"/>
          <w:rtl/>
        </w:rPr>
        <w:t>בַּאֲשֶׁר</w:t>
      </w:r>
      <w:r>
        <w:rPr>
          <w:rFonts w:ascii="Arial" w:hAnsi="Arial" w:hint="cs"/>
          <w:rtl/>
        </w:rPr>
        <w:t>" (</w:t>
      </w:r>
      <w:r>
        <w:rPr>
          <w:rFonts w:ascii="Arial" w:hAnsi="Arial" w:hint="cs"/>
          <w:sz w:val="18"/>
          <w:szCs w:val="20"/>
          <w:rtl/>
        </w:rPr>
        <w:t xml:space="preserve">שם </w:t>
      </w:r>
      <w:r>
        <w:rPr>
          <w:rFonts w:ascii="Arial" w:hAnsi="Arial"/>
          <w:sz w:val="18"/>
          <w:szCs w:val="20"/>
          <w:rtl/>
        </w:rPr>
        <w:t>לט</w:t>
      </w:r>
      <w:r>
        <w:rPr>
          <w:rFonts w:ascii="Arial" w:hAnsi="Arial" w:hint="cs"/>
          <w:sz w:val="18"/>
          <w:szCs w:val="20"/>
          <w:rtl/>
        </w:rPr>
        <w:t xml:space="preserve">, </w:t>
      </w:r>
      <w:r>
        <w:rPr>
          <w:rFonts w:ascii="Arial" w:hAnsi="Arial"/>
          <w:sz w:val="18"/>
          <w:szCs w:val="20"/>
          <w:rtl/>
        </w:rPr>
        <w:t>ט</w:t>
      </w:r>
      <w:r>
        <w:rPr>
          <w:rFonts w:ascii="Arial" w:hAnsi="Arial" w:hint="cs"/>
          <w:rtl/>
        </w:rPr>
        <w:t>); "</w:t>
      </w:r>
      <w:r>
        <w:rPr>
          <w:rFonts w:ascii="Arial" w:hAnsi="Arial"/>
          <w:rtl/>
        </w:rPr>
        <w:t>בְּשַׁ</w:t>
      </w:r>
      <w:r>
        <w:rPr>
          <w:rFonts w:ascii="Arial" w:hAnsi="Arial" w:hint="cs"/>
          <w:sz w:val="18"/>
          <w:szCs w:val="20"/>
          <w:rtl/>
        </w:rPr>
        <w:t>(</w:t>
      </w:r>
      <w:r>
        <w:rPr>
          <w:rFonts w:ascii="Arial" w:hAnsi="Arial"/>
          <w:sz w:val="18"/>
          <w:szCs w:val="20"/>
          <w:rtl/>
        </w:rPr>
        <w:t>גַּם</w:t>
      </w:r>
      <w:r>
        <w:rPr>
          <w:rFonts w:ascii="Arial" w:hAnsi="Arial" w:hint="cs"/>
          <w:sz w:val="18"/>
          <w:szCs w:val="20"/>
          <w:rtl/>
        </w:rPr>
        <w:t>)</w:t>
      </w:r>
      <w:r>
        <w:rPr>
          <w:rFonts w:ascii="Arial" w:hAnsi="Arial" w:hint="cs"/>
          <w:rtl/>
        </w:rPr>
        <w:t>" (</w:t>
      </w:r>
      <w:r>
        <w:rPr>
          <w:rFonts w:ascii="Arial" w:hAnsi="Arial" w:hint="cs"/>
          <w:sz w:val="18"/>
          <w:szCs w:val="20"/>
          <w:rtl/>
        </w:rPr>
        <w:t xml:space="preserve">שם </w:t>
      </w:r>
      <w:r>
        <w:rPr>
          <w:rFonts w:ascii="Arial" w:hAnsi="Arial"/>
          <w:sz w:val="18"/>
          <w:szCs w:val="20"/>
          <w:rtl/>
        </w:rPr>
        <w:t>ו</w:t>
      </w:r>
      <w:r>
        <w:rPr>
          <w:rFonts w:ascii="Arial" w:hAnsi="Arial" w:hint="cs"/>
          <w:sz w:val="18"/>
          <w:szCs w:val="20"/>
          <w:rtl/>
        </w:rPr>
        <w:t xml:space="preserve">, </w:t>
      </w:r>
      <w:r>
        <w:rPr>
          <w:rFonts w:ascii="Arial" w:hAnsi="Arial"/>
          <w:sz w:val="18"/>
          <w:szCs w:val="20"/>
          <w:rtl/>
        </w:rPr>
        <w:t>ג</w:t>
      </w:r>
      <w:r>
        <w:rPr>
          <w:rFonts w:ascii="Arial" w:hAnsi="Arial" w:hint="cs"/>
          <w:rtl/>
        </w:rPr>
        <w:t xml:space="preserve">). </w:t>
      </w:r>
    </w:p>
  </w:footnote>
  <w:footnote w:id="4">
    <w:p w14:paraId="74EF47A1" w14:textId="77777777" w:rsidR="00940290" w:rsidRDefault="00940290" w:rsidP="00940290">
      <w:pPr>
        <w:pStyle w:val="a5"/>
        <w:rPr>
          <w:rFonts w:hint="cs"/>
          <w:rtl/>
        </w:rPr>
      </w:pPr>
      <w:r>
        <w:rPr>
          <w:rStyle w:val="a4"/>
          <w:rtl/>
        </w:rPr>
        <w:footnoteRef/>
      </w:r>
      <w:r>
        <w:t xml:space="preserve"> </w:t>
      </w:r>
      <w:r>
        <w:rPr>
          <w:rFonts w:hint="cs"/>
          <w:rtl/>
        </w:rPr>
        <w:t xml:space="preserve">וכן שאלת </w:t>
      </w:r>
      <w:r>
        <w:rPr>
          <w:rtl/>
        </w:rPr>
        <w:t xml:space="preserve">הַמַּלָּחִים </w:t>
      </w:r>
      <w:r>
        <w:rPr>
          <w:rFonts w:hint="cs"/>
          <w:rtl/>
        </w:rPr>
        <w:t>"</w:t>
      </w:r>
      <w:r>
        <w:rPr>
          <w:rtl/>
        </w:rPr>
        <w:t>בְּ</w:t>
      </w:r>
      <w:r>
        <w:rPr>
          <w:b/>
          <w:bCs/>
          <w:rtl/>
        </w:rPr>
        <w:t>שֶׁ</w:t>
      </w:r>
      <w:r>
        <w:rPr>
          <w:rtl/>
        </w:rPr>
        <w:t xml:space="preserve">לְּמִי </w:t>
      </w:r>
      <w:r>
        <w:rPr>
          <w:sz w:val="18"/>
          <w:szCs w:val="20"/>
          <w:rtl/>
        </w:rPr>
        <w:t>הָרָעָה הַזֹּאת לָנוּ</w:t>
      </w:r>
      <w:r>
        <w:rPr>
          <w:rFonts w:hint="cs"/>
          <w:rtl/>
        </w:rPr>
        <w:t>" (</w:t>
      </w:r>
      <w:r>
        <w:rPr>
          <w:sz w:val="18"/>
          <w:szCs w:val="20"/>
          <w:rtl/>
        </w:rPr>
        <w:t>יונה א</w:t>
      </w:r>
      <w:r>
        <w:rPr>
          <w:rFonts w:hint="cs"/>
          <w:sz w:val="18"/>
          <w:szCs w:val="20"/>
          <w:rtl/>
        </w:rPr>
        <w:t>,</w:t>
      </w:r>
      <w:r>
        <w:rPr>
          <w:sz w:val="18"/>
          <w:szCs w:val="20"/>
          <w:rtl/>
        </w:rPr>
        <w:t xml:space="preserve"> ז</w:t>
      </w:r>
      <w:r>
        <w:rPr>
          <w:rFonts w:hint="cs"/>
          <w:rtl/>
        </w:rPr>
        <w:t>), זהה לשאלתם הארוכה יותר "</w:t>
      </w:r>
      <w:r>
        <w:rPr>
          <w:rtl/>
        </w:rPr>
        <w:t>בַּ</w:t>
      </w:r>
      <w:r>
        <w:rPr>
          <w:b/>
          <w:bCs/>
          <w:rtl/>
        </w:rPr>
        <w:t xml:space="preserve">אֲשֶׁר </w:t>
      </w:r>
      <w:r>
        <w:rPr>
          <w:rtl/>
        </w:rPr>
        <w:t xml:space="preserve">לְמִי </w:t>
      </w:r>
      <w:r>
        <w:rPr>
          <w:sz w:val="18"/>
          <w:szCs w:val="20"/>
          <w:rtl/>
        </w:rPr>
        <w:t>הָרָעָה הַזֹּאת לָנוּ</w:t>
      </w:r>
      <w:r>
        <w:rPr>
          <w:rFonts w:hint="cs"/>
          <w:rtl/>
        </w:rPr>
        <w:t>" (</w:t>
      </w:r>
      <w:r>
        <w:rPr>
          <w:rFonts w:hint="cs"/>
          <w:sz w:val="18"/>
          <w:szCs w:val="20"/>
          <w:rtl/>
        </w:rPr>
        <w:t>שם ח</w:t>
      </w:r>
      <w:r>
        <w:rPr>
          <w:rFonts w:hint="cs"/>
          <w:rtl/>
        </w:rPr>
        <w:t>).</w:t>
      </w:r>
    </w:p>
  </w:footnote>
  <w:footnote w:id="5">
    <w:p w14:paraId="1A9BF283" w14:textId="77777777" w:rsidR="00940290" w:rsidRDefault="00940290" w:rsidP="00940290">
      <w:pPr>
        <w:pStyle w:val="a5"/>
        <w:rPr>
          <w:rFonts w:hint="cs"/>
          <w:rtl/>
        </w:rPr>
      </w:pPr>
      <w:r>
        <w:rPr>
          <w:rStyle w:val="a4"/>
        </w:rPr>
        <w:footnoteRef/>
      </w:r>
      <w:r>
        <w:rPr>
          <w:rFonts w:hint="cs"/>
          <w:rtl/>
        </w:rPr>
        <w:t xml:space="preserve"> שינוי זה בולט במיוחד בצירופי מִלים במשנה אשר מקורם בלשון התורה. השוה "[</w:t>
      </w:r>
      <w:r>
        <w:rPr>
          <w:rtl/>
        </w:rPr>
        <w:t>הַשָּׂעִיר</w:t>
      </w:r>
      <w:r>
        <w:rPr>
          <w:rFonts w:hint="cs"/>
          <w:rtl/>
        </w:rPr>
        <w:t>]</w:t>
      </w:r>
      <w:r>
        <w:rPr>
          <w:rtl/>
        </w:rPr>
        <w:t xml:space="preserve"> </w:t>
      </w:r>
      <w:r>
        <w:rPr>
          <w:b/>
          <w:bCs/>
          <w:rtl/>
        </w:rPr>
        <w:t>אֲשֶׁר</w:t>
      </w:r>
      <w:r>
        <w:rPr>
          <w:rtl/>
        </w:rPr>
        <w:t xml:space="preserve"> עָלָה עָלָיו הַגּוֹרָל</w:t>
      </w:r>
      <w:r>
        <w:rPr>
          <w:rFonts w:hint="cs"/>
          <w:rtl/>
        </w:rPr>
        <w:t>" (</w:t>
      </w:r>
      <w:r>
        <w:rPr>
          <w:sz w:val="18"/>
          <w:szCs w:val="20"/>
          <w:rtl/>
        </w:rPr>
        <w:t>ויקרא טז</w:t>
      </w:r>
      <w:r>
        <w:rPr>
          <w:rFonts w:hint="cs"/>
          <w:sz w:val="18"/>
          <w:szCs w:val="20"/>
          <w:rtl/>
        </w:rPr>
        <w:t xml:space="preserve">, </w:t>
      </w:r>
      <w:r>
        <w:rPr>
          <w:sz w:val="18"/>
          <w:szCs w:val="20"/>
          <w:rtl/>
        </w:rPr>
        <w:t>ט</w:t>
      </w:r>
      <w:r>
        <w:rPr>
          <w:rFonts w:hint="cs"/>
          <w:sz w:val="18"/>
          <w:szCs w:val="20"/>
          <w:rtl/>
        </w:rPr>
        <w:t>-י</w:t>
      </w:r>
      <w:r>
        <w:rPr>
          <w:rFonts w:hint="cs"/>
          <w:rtl/>
        </w:rPr>
        <w:t>)</w:t>
      </w:r>
      <w:r>
        <w:rPr>
          <w:rtl/>
        </w:rPr>
        <w:t xml:space="preserve"> </w:t>
      </w:r>
      <w:r>
        <w:rPr>
          <w:rFonts w:hint="cs"/>
          <w:rtl/>
        </w:rPr>
        <w:t>ל</w:t>
      </w:r>
      <w:r>
        <w:rPr>
          <w:rtl/>
        </w:rPr>
        <w:t xml:space="preserve">משנה </w:t>
      </w:r>
      <w:r>
        <w:rPr>
          <w:rFonts w:hint="cs"/>
          <w:rtl/>
        </w:rPr>
        <w:t xml:space="preserve">בראש </w:t>
      </w:r>
      <w:r>
        <w:rPr>
          <w:rtl/>
        </w:rPr>
        <w:t>פ</w:t>
      </w:r>
      <w:r>
        <w:rPr>
          <w:rFonts w:hint="cs"/>
          <w:rtl/>
        </w:rPr>
        <w:t>"</w:t>
      </w:r>
      <w:r>
        <w:rPr>
          <w:rtl/>
        </w:rPr>
        <w:t xml:space="preserve">ו </w:t>
      </w:r>
      <w:r>
        <w:rPr>
          <w:rFonts w:hint="cs"/>
          <w:rtl/>
        </w:rPr>
        <w:t>ב</w:t>
      </w:r>
      <w:r>
        <w:rPr>
          <w:rtl/>
        </w:rPr>
        <w:t xml:space="preserve">מסכת יומא </w:t>
      </w:r>
      <w:r>
        <w:rPr>
          <w:rFonts w:hint="cs"/>
          <w:rtl/>
        </w:rPr>
        <w:t>"[</w:t>
      </w:r>
      <w:r>
        <w:rPr>
          <w:rtl/>
        </w:rPr>
        <w:t>זה</w:t>
      </w:r>
      <w:r>
        <w:rPr>
          <w:rFonts w:hint="cs"/>
          <w:rtl/>
        </w:rPr>
        <w:t>]</w:t>
      </w:r>
      <w:r>
        <w:rPr>
          <w:rtl/>
        </w:rPr>
        <w:t xml:space="preserve"> </w:t>
      </w:r>
      <w:r>
        <w:rPr>
          <w:b/>
          <w:bCs/>
          <w:rtl/>
        </w:rPr>
        <w:t>ש</w:t>
      </w:r>
      <w:r>
        <w:rPr>
          <w:rtl/>
        </w:rPr>
        <w:t>עלה עליו הגורל</w:t>
      </w:r>
      <w:r>
        <w:rPr>
          <w:rFonts w:hint="cs"/>
          <w:rtl/>
        </w:rPr>
        <w:t>" (ראה: יצחק גלוסקא, "לשונה של מסכת יומא"</w:t>
      </w:r>
      <w:r>
        <w:rPr>
          <w:rFonts w:hint="cs"/>
          <w:sz w:val="18"/>
          <w:szCs w:val="20"/>
          <w:rtl/>
        </w:rPr>
        <w:t xml:space="preserve">, בתוך: </w:t>
      </w:r>
      <w:r>
        <w:rPr>
          <w:rFonts w:ascii="Monotype Corsiva" w:hAnsi="Monotype Corsiva" w:hint="cs"/>
          <w:sz w:val="18"/>
          <w:szCs w:val="20"/>
          <w:rtl/>
        </w:rPr>
        <w:t xml:space="preserve">"לשון חכמים והתחומים הנושקים לה - מבחר מאמרים לכבוד שמעון שרביט", תש"ע, </w:t>
      </w:r>
      <w:r>
        <w:rPr>
          <w:rFonts w:hint="cs"/>
          <w:sz w:val="18"/>
          <w:szCs w:val="20"/>
          <w:rtl/>
        </w:rPr>
        <w:t xml:space="preserve">עמ' 126, </w:t>
      </w:r>
      <w:r>
        <w:rPr>
          <w:rFonts w:hint="cs"/>
          <w:sz w:val="26"/>
          <w:rtl/>
        </w:rPr>
        <w:t>והמקורות שציין</w:t>
      </w:r>
      <w:r>
        <w:rPr>
          <w:rFonts w:hint="cs"/>
          <w:rtl/>
        </w:rPr>
        <w:t>).</w:t>
      </w:r>
    </w:p>
  </w:footnote>
  <w:footnote w:id="6">
    <w:p w14:paraId="6BB34B5A"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 xml:space="preserve">כדוגמת </w:t>
      </w:r>
      <w:r>
        <w:rPr>
          <w:rFonts w:ascii="Arial" w:hAnsi="Arial"/>
          <w:rtl/>
        </w:rPr>
        <w:t>משנת פאה</w:t>
      </w:r>
      <w:r>
        <w:rPr>
          <w:rFonts w:ascii="Arial" w:hAnsi="Arial"/>
          <w:sz w:val="18"/>
          <w:szCs w:val="20"/>
          <w:rtl/>
        </w:rPr>
        <w:t xml:space="preserve"> פ</w:t>
      </w:r>
      <w:r>
        <w:rPr>
          <w:rFonts w:ascii="Arial" w:hAnsi="Arial" w:hint="cs"/>
          <w:sz w:val="18"/>
          <w:szCs w:val="20"/>
          <w:rtl/>
        </w:rPr>
        <w:t>"</w:t>
      </w:r>
      <w:r>
        <w:rPr>
          <w:rFonts w:ascii="Arial" w:hAnsi="Arial"/>
          <w:sz w:val="18"/>
          <w:szCs w:val="20"/>
          <w:rtl/>
        </w:rPr>
        <w:t>ב מ</w:t>
      </w:r>
      <w:r>
        <w:rPr>
          <w:rFonts w:ascii="Arial" w:hAnsi="Arial" w:hint="cs"/>
          <w:sz w:val="18"/>
          <w:szCs w:val="20"/>
          <w:rtl/>
        </w:rPr>
        <w:t>"</w:t>
      </w:r>
      <w:r>
        <w:rPr>
          <w:rFonts w:ascii="Arial" w:hAnsi="Arial"/>
          <w:sz w:val="18"/>
          <w:szCs w:val="20"/>
          <w:rtl/>
        </w:rPr>
        <w:t>ב</w:t>
      </w:r>
      <w:r>
        <w:rPr>
          <w:rFonts w:ascii="Arial" w:hAnsi="Arial" w:hint="cs"/>
          <w:sz w:val="18"/>
          <w:szCs w:val="20"/>
          <w:rtl/>
        </w:rPr>
        <w:t xml:space="preserve"> </w:t>
      </w:r>
      <w:r>
        <w:rPr>
          <w:rFonts w:ascii="Arial" w:hAnsi="Arial" w:hint="cs"/>
          <w:rtl/>
        </w:rPr>
        <w:t>"</w:t>
      </w:r>
      <w:r>
        <w:rPr>
          <w:rFonts w:ascii="Arial" w:hAnsi="Arial"/>
          <w:rtl/>
        </w:rPr>
        <w:t xml:space="preserve">וְכֹל הֶהָרִים </w:t>
      </w:r>
      <w:r>
        <w:rPr>
          <w:rFonts w:ascii="Arial" w:hAnsi="Arial"/>
          <w:b/>
          <w:bCs/>
          <w:rtl/>
        </w:rPr>
        <w:t>אֲשֶׁר</w:t>
      </w:r>
      <w:r>
        <w:rPr>
          <w:rFonts w:ascii="Arial" w:hAnsi="Arial"/>
          <w:rtl/>
        </w:rPr>
        <w:t xml:space="preserve"> בַּמַּעְדֵּר יֵעָדֵרוּן</w:t>
      </w:r>
      <w:r>
        <w:rPr>
          <w:rFonts w:ascii="Arial" w:hAnsi="Arial" w:hint="cs"/>
          <w:rtl/>
        </w:rPr>
        <w:t xml:space="preserve">" ע"פ </w:t>
      </w:r>
      <w:r>
        <w:rPr>
          <w:rFonts w:ascii="Arial" w:hAnsi="Arial"/>
          <w:rtl/>
        </w:rPr>
        <w:t xml:space="preserve">ישעיה </w:t>
      </w:r>
      <w:r>
        <w:rPr>
          <w:rFonts w:ascii="Arial" w:hAnsi="Arial"/>
          <w:sz w:val="18"/>
          <w:szCs w:val="20"/>
          <w:rtl/>
        </w:rPr>
        <w:t>ז</w:t>
      </w:r>
      <w:r>
        <w:rPr>
          <w:rFonts w:ascii="Arial" w:hAnsi="Arial" w:hint="cs"/>
          <w:sz w:val="18"/>
          <w:szCs w:val="20"/>
          <w:rtl/>
        </w:rPr>
        <w:t xml:space="preserve">, </w:t>
      </w:r>
      <w:r>
        <w:rPr>
          <w:rFonts w:ascii="Arial" w:hAnsi="Arial"/>
          <w:sz w:val="18"/>
          <w:szCs w:val="20"/>
          <w:rtl/>
        </w:rPr>
        <w:t>כה</w:t>
      </w:r>
      <w:r>
        <w:rPr>
          <w:rFonts w:ascii="Arial" w:hAnsi="Arial" w:hint="cs"/>
          <w:rtl/>
        </w:rPr>
        <w:t>.</w:t>
      </w:r>
    </w:p>
  </w:footnote>
  <w:footnote w:id="7">
    <w:p w14:paraId="585EABA3"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את הסיומות "-</w:t>
      </w:r>
      <w:r>
        <w:rPr>
          <w:rFonts w:ascii="Arial" w:hAnsi="Arial"/>
          <w:rtl/>
        </w:rPr>
        <w:t>ָךְ</w:t>
      </w:r>
      <w:r>
        <w:rPr>
          <w:rFonts w:ascii="Arial" w:hAnsi="Arial" w:hint="cs"/>
          <w:rtl/>
        </w:rPr>
        <w:t xml:space="preserve">" בפסוק זה ובמשנה זו אין להבין (על פי העברית החדשה) כלשון נקבה המכוון לנוכחת, אלא זוהי לשון זכר לנוכח ("צורת הֶפסק"), כמוכח מן ההֶקשר (וראה להלן </w:t>
      </w:r>
      <w:r>
        <w:rPr>
          <w:rFonts w:hint="cs"/>
          <w:rtl/>
        </w:rPr>
        <w:t xml:space="preserve">דף ב, ב </w:t>
      </w:r>
      <w:r>
        <w:rPr>
          <w:rFonts w:ascii="Arial" w:hAnsi="Arial" w:hint="cs"/>
          <w:rtl/>
        </w:rPr>
        <w:t>הערה 1).</w:t>
      </w:r>
    </w:p>
  </w:footnote>
  <w:footnote w:id="8">
    <w:p w14:paraId="42EB7471"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על טעותו של מחבר סידור עבודת ישראל (</w:t>
      </w:r>
      <w:r>
        <w:rPr>
          <w:rFonts w:ascii="Arial" w:hAnsi="Arial" w:hint="cs"/>
          <w:sz w:val="18"/>
          <w:szCs w:val="20"/>
          <w:rtl/>
        </w:rPr>
        <w:t>עמ' 50 ד"ה שלזבחים</w:t>
      </w:r>
      <w:r>
        <w:rPr>
          <w:rFonts w:ascii="Arial" w:hAnsi="Arial" w:hint="cs"/>
          <w:rtl/>
        </w:rPr>
        <w:t>) אשר ייחס מנהג זה ללשון המקרא בלבד וסבר שלשון חכמים מאופיינת בהפרדת "של", ניתן ללמֵד זכות (</w:t>
      </w:r>
      <w:r>
        <w:rPr>
          <w:rFonts w:ascii="Arial" w:hAnsi="Arial" w:hint="cs"/>
          <w:sz w:val="18"/>
          <w:szCs w:val="20"/>
          <w:rtl/>
        </w:rPr>
        <w:t>כפי שכתב רד"צ הילמן, קובץ בית אהרן וישראל, כסלו תשנ"ב, עמ' קכ"ה</w:t>
      </w:r>
      <w:r>
        <w:rPr>
          <w:rFonts w:ascii="Arial" w:hAnsi="Arial" w:hint="cs"/>
          <w:rtl/>
        </w:rPr>
        <w:t>) שבזמנו טרם נתפרסמו הממצאים שלהלן; זכות זו אינה עומדת למי שבימינו מחזיק בטעותו (</w:t>
      </w:r>
      <w:r>
        <w:rPr>
          <w:rFonts w:ascii="Arial" w:hAnsi="Arial" w:hint="cs"/>
          <w:sz w:val="18"/>
          <w:szCs w:val="20"/>
          <w:rtl/>
        </w:rPr>
        <w:t xml:space="preserve">כגון סידור אזור אליהו, </w:t>
      </w:r>
      <w:r>
        <w:rPr>
          <w:rFonts w:hint="cs"/>
          <w:sz w:val="18"/>
          <w:szCs w:val="20"/>
          <w:rtl/>
        </w:rPr>
        <w:t>תשס"ו</w:t>
      </w:r>
      <w:r>
        <w:rPr>
          <w:rFonts w:ascii="Arial" w:hAnsi="Arial" w:hint="cs"/>
          <w:sz w:val="18"/>
          <w:szCs w:val="20"/>
          <w:rtl/>
        </w:rPr>
        <w:t>, עמ' 226; אגב, בסידור זה הופרדה בקנאות כל "של", אף אותן שמחוברות בסידור עבודת ישראל, כגון: "מעונשו שֶלָזֶה", שם עמ' 226</w:t>
      </w:r>
      <w:r>
        <w:rPr>
          <w:rFonts w:ascii="Arial" w:hAnsi="Arial" w:hint="cs"/>
          <w:rtl/>
        </w:rPr>
        <w:t>).</w:t>
      </w:r>
    </w:p>
  </w:footnote>
  <w:footnote w:id="9">
    <w:p w14:paraId="5DDEDFED"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כגון "</w:t>
      </w:r>
      <w:r>
        <w:rPr>
          <w:rFonts w:ascii="Arial" w:hAnsi="Arial" w:hint="cs"/>
          <w:b/>
          <w:bCs/>
          <w:rtl/>
        </w:rPr>
        <w:t>של</w:t>
      </w:r>
      <w:r>
        <w:rPr>
          <w:rFonts w:ascii="Arial" w:hAnsi="Arial" w:hint="cs"/>
          <w:rtl/>
        </w:rPr>
        <w:t>שבוע" בכתוֹבת ההקדשה ברצפת הפסיפס שנחשפה בבית הכנסת בסוסיה (</w:t>
      </w:r>
      <w:r>
        <w:rPr>
          <w:rFonts w:ascii="Arial" w:hAnsi="Arial" w:hint="cs"/>
          <w:sz w:val="18"/>
          <w:szCs w:val="20"/>
          <w:rtl/>
        </w:rPr>
        <w:t>י' נוה, על פסיפס ואבן - הכתובות הארמיות והעבריות מבתי הכנסת העתיקים, תשל"ח, עמ' 117</w:t>
      </w:r>
      <w:r>
        <w:rPr>
          <w:rFonts w:ascii="Arial" w:hAnsi="Arial" w:hint="cs"/>
          <w:rtl/>
        </w:rPr>
        <w:t xml:space="preserve">), וכגון משקוף הבּזלת שנמצא בכפר דבּוּרה שברמת הגולן ובו חקוק: "זה בית מדרשו </w:t>
      </w:r>
      <w:r>
        <w:rPr>
          <w:rFonts w:ascii="Arial" w:hAnsi="Arial" w:hint="cs"/>
          <w:b/>
          <w:bCs/>
          <w:rtl/>
        </w:rPr>
        <w:t>שהל</w:t>
      </w:r>
      <w:r>
        <w:rPr>
          <w:rFonts w:ascii="Arial" w:hAnsi="Arial" w:hint="cs"/>
          <w:rtl/>
        </w:rPr>
        <w:t>רבי אליעזר הקפר" (</w:t>
      </w:r>
      <w:r>
        <w:rPr>
          <w:rFonts w:ascii="Arial" w:hAnsi="Arial" w:hint="cs"/>
          <w:sz w:val="18"/>
          <w:szCs w:val="20"/>
          <w:rtl/>
        </w:rPr>
        <w:t>שם, עמ' 25</w:t>
      </w:r>
      <w:r>
        <w:rPr>
          <w:rFonts w:ascii="Arial" w:hAnsi="Arial" w:hint="cs"/>
          <w:rtl/>
        </w:rPr>
        <w:t>). חלוקים החוקרים בשאלה מהי התנועה שאותה באה לבטא האות ה' ("אֵם הקריאה") שלאחר ש' הזיקה: "שַׁה" או "שֶׁה" (</w:t>
      </w:r>
      <w:r>
        <w:rPr>
          <w:rFonts w:ascii="Arial" w:hAnsi="Arial" w:hint="cs"/>
          <w:sz w:val="18"/>
          <w:szCs w:val="20"/>
          <w:rtl/>
        </w:rPr>
        <w:t xml:space="preserve">עי"ש ובמאמר של מורי פרופ' </w:t>
      </w:r>
      <w:r>
        <w:rPr>
          <w:rFonts w:ascii="Arial" w:hAnsi="Arial" w:hint="eastAsia"/>
          <w:sz w:val="18"/>
          <w:szCs w:val="20"/>
          <w:rtl/>
        </w:rPr>
        <w:t>משה</w:t>
      </w:r>
      <w:r>
        <w:rPr>
          <w:rFonts w:ascii="Arial" w:hAnsi="Arial"/>
          <w:sz w:val="18"/>
          <w:szCs w:val="20"/>
          <w:rtl/>
        </w:rPr>
        <w:t xml:space="preserve"> בר אשר</w:t>
      </w:r>
      <w:r>
        <w:rPr>
          <w:rFonts w:ascii="Arial" w:hAnsi="Arial" w:hint="cs"/>
          <w:sz w:val="18"/>
          <w:szCs w:val="20"/>
          <w:rtl/>
        </w:rPr>
        <w:t xml:space="preserve">, </w:t>
      </w:r>
      <w:r>
        <w:rPr>
          <w:rFonts w:ascii="Arial" w:hAnsi="Arial" w:hint="eastAsia"/>
          <w:sz w:val="18"/>
          <w:szCs w:val="20"/>
          <w:rtl/>
        </w:rPr>
        <w:t>על</w:t>
      </w:r>
      <w:r>
        <w:rPr>
          <w:rFonts w:ascii="Arial" w:hAnsi="Arial"/>
          <w:sz w:val="18"/>
          <w:szCs w:val="20"/>
          <w:rtl/>
        </w:rPr>
        <w:t xml:space="preserve"> </w:t>
      </w:r>
      <w:r>
        <w:rPr>
          <w:rFonts w:ascii="Arial" w:hAnsi="Arial" w:hint="eastAsia"/>
          <w:sz w:val="18"/>
          <w:szCs w:val="20"/>
          <w:rtl/>
        </w:rPr>
        <w:t>הלשון</w:t>
      </w:r>
      <w:r>
        <w:rPr>
          <w:rFonts w:ascii="Arial" w:hAnsi="Arial" w:hint="cs"/>
          <w:sz w:val="18"/>
          <w:szCs w:val="20"/>
          <w:rtl/>
        </w:rPr>
        <w:t xml:space="preserve"> </w:t>
      </w:r>
      <w:r>
        <w:rPr>
          <w:rFonts w:ascii="Arial" w:hAnsi="Arial" w:hint="eastAsia"/>
          <w:sz w:val="18"/>
          <w:szCs w:val="20"/>
          <w:rtl/>
        </w:rPr>
        <w:t>בשטר</w:t>
      </w:r>
      <w:r>
        <w:rPr>
          <w:rFonts w:ascii="Arial" w:hAnsi="Arial"/>
          <w:sz w:val="18"/>
          <w:szCs w:val="20"/>
          <w:rtl/>
        </w:rPr>
        <w:t xml:space="preserve"> </w:t>
      </w:r>
      <w:r>
        <w:rPr>
          <w:rFonts w:ascii="Arial" w:hAnsi="Arial" w:hint="eastAsia"/>
          <w:sz w:val="18"/>
          <w:szCs w:val="20"/>
          <w:rtl/>
        </w:rPr>
        <w:t>מבית</w:t>
      </w:r>
      <w:r>
        <w:rPr>
          <w:rFonts w:ascii="Arial" w:hAnsi="Arial" w:hint="cs"/>
          <w:sz w:val="18"/>
          <w:szCs w:val="20"/>
          <w:rtl/>
        </w:rPr>
        <w:t xml:space="preserve"> </w:t>
      </w:r>
      <w:r>
        <w:rPr>
          <w:rFonts w:ascii="Arial" w:hAnsi="Arial" w:hint="eastAsia"/>
          <w:sz w:val="18"/>
          <w:szCs w:val="20"/>
          <w:rtl/>
        </w:rPr>
        <w:t>עמר</w:t>
      </w:r>
      <w:r>
        <w:rPr>
          <w:rFonts w:ascii="Arial" w:hAnsi="Arial" w:hint="cs"/>
          <w:sz w:val="18"/>
          <w:szCs w:val="20"/>
          <w:rtl/>
        </w:rPr>
        <w:t xml:space="preserve">, </w:t>
      </w:r>
      <w:r>
        <w:rPr>
          <w:rFonts w:ascii="Arial" w:hAnsi="Arial" w:hint="eastAsia"/>
          <w:sz w:val="18"/>
          <w:szCs w:val="20"/>
          <w:rtl/>
        </w:rPr>
        <w:t>קתדרה</w:t>
      </w:r>
      <w:r>
        <w:rPr>
          <w:rFonts w:ascii="Arial" w:hAnsi="Arial"/>
          <w:sz w:val="18"/>
          <w:szCs w:val="20"/>
          <w:rtl/>
        </w:rPr>
        <w:t xml:space="preserve"> 132, </w:t>
      </w:r>
      <w:r>
        <w:rPr>
          <w:rFonts w:ascii="Arial" w:hAnsi="Arial" w:hint="eastAsia"/>
          <w:sz w:val="18"/>
          <w:szCs w:val="20"/>
          <w:rtl/>
        </w:rPr>
        <w:t>תמוז</w:t>
      </w:r>
      <w:r>
        <w:rPr>
          <w:rFonts w:ascii="Arial" w:hAnsi="Arial"/>
          <w:sz w:val="18"/>
          <w:szCs w:val="20"/>
          <w:rtl/>
        </w:rPr>
        <w:t xml:space="preserve"> </w:t>
      </w:r>
      <w:r>
        <w:rPr>
          <w:rFonts w:ascii="Arial" w:hAnsi="Arial" w:hint="eastAsia"/>
          <w:sz w:val="18"/>
          <w:szCs w:val="20"/>
          <w:rtl/>
        </w:rPr>
        <w:t>תשס</w:t>
      </w:r>
      <w:r>
        <w:rPr>
          <w:rFonts w:ascii="Arial" w:hAnsi="Arial"/>
          <w:sz w:val="18"/>
          <w:szCs w:val="20"/>
          <w:rtl/>
        </w:rPr>
        <w:t>"</w:t>
      </w:r>
      <w:r>
        <w:rPr>
          <w:rFonts w:ascii="Arial" w:hAnsi="Arial" w:hint="eastAsia"/>
          <w:sz w:val="18"/>
          <w:szCs w:val="20"/>
          <w:rtl/>
        </w:rPr>
        <w:t>ט</w:t>
      </w:r>
      <w:r>
        <w:rPr>
          <w:rFonts w:ascii="Arial" w:hAnsi="Arial" w:hint="cs"/>
          <w:sz w:val="18"/>
          <w:szCs w:val="20"/>
          <w:rtl/>
        </w:rPr>
        <w:t>,</w:t>
      </w:r>
      <w:r>
        <w:rPr>
          <w:rFonts w:ascii="Arial" w:hAnsi="Arial"/>
          <w:sz w:val="18"/>
          <w:szCs w:val="20"/>
          <w:rtl/>
        </w:rPr>
        <w:t xml:space="preserve"> </w:t>
      </w:r>
      <w:r>
        <w:rPr>
          <w:rFonts w:ascii="Arial" w:hAnsi="Arial" w:hint="eastAsia"/>
          <w:sz w:val="18"/>
          <w:szCs w:val="20"/>
          <w:rtl/>
        </w:rPr>
        <w:t>עמ</w:t>
      </w:r>
      <w:r>
        <w:rPr>
          <w:rFonts w:ascii="Arial" w:hAnsi="Arial"/>
          <w:sz w:val="18"/>
          <w:szCs w:val="20"/>
          <w:rtl/>
        </w:rPr>
        <w:t>' 30</w:t>
      </w:r>
      <w:r>
        <w:rPr>
          <w:rFonts w:ascii="Arial" w:hAnsi="Arial" w:hint="cs"/>
          <w:sz w:val="18"/>
          <w:szCs w:val="20"/>
          <w:rtl/>
        </w:rPr>
        <w:t>).</w:t>
      </w:r>
    </w:p>
  </w:footnote>
  <w:footnote w:id="10">
    <w:p w14:paraId="4A416EDF"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לדוגמה, ב</w:t>
      </w:r>
      <w:r>
        <w:rPr>
          <w:rFonts w:ascii="Arial" w:hAnsi="Arial"/>
          <w:rtl/>
        </w:rPr>
        <w:t>נגע</w:t>
      </w:r>
      <w:r>
        <w:rPr>
          <w:rFonts w:ascii="Arial" w:hAnsi="Arial" w:hint="cs"/>
          <w:rtl/>
        </w:rPr>
        <w:t>ים</w:t>
      </w:r>
      <w:r>
        <w:rPr>
          <w:rFonts w:ascii="Arial" w:hAnsi="Arial"/>
          <w:rtl/>
        </w:rPr>
        <w:t xml:space="preserve"> </w:t>
      </w:r>
      <w:r>
        <w:rPr>
          <w:rFonts w:ascii="Arial" w:hAnsi="Arial" w:hint="cs"/>
          <w:sz w:val="18"/>
          <w:szCs w:val="20"/>
          <w:rtl/>
        </w:rPr>
        <w:t>פ</w:t>
      </w:r>
      <w:r>
        <w:rPr>
          <w:rFonts w:ascii="Arial" w:hAnsi="Arial"/>
          <w:sz w:val="18"/>
          <w:szCs w:val="20"/>
          <w:rtl/>
        </w:rPr>
        <w:t>י</w:t>
      </w:r>
      <w:r>
        <w:rPr>
          <w:rFonts w:ascii="Arial" w:hAnsi="Arial" w:hint="cs"/>
          <w:sz w:val="18"/>
          <w:szCs w:val="20"/>
          <w:rtl/>
        </w:rPr>
        <w:t>"</w:t>
      </w:r>
      <w:r>
        <w:rPr>
          <w:rFonts w:ascii="Arial" w:hAnsi="Arial"/>
          <w:sz w:val="18"/>
          <w:szCs w:val="20"/>
          <w:rtl/>
        </w:rPr>
        <w:t xml:space="preserve">א </w:t>
      </w:r>
      <w:r>
        <w:rPr>
          <w:rFonts w:ascii="Arial" w:hAnsi="Arial" w:hint="cs"/>
          <w:sz w:val="18"/>
          <w:szCs w:val="20"/>
          <w:rtl/>
        </w:rPr>
        <w:t>מ</w:t>
      </w:r>
      <w:r>
        <w:rPr>
          <w:rFonts w:ascii="Arial" w:hAnsi="Arial"/>
          <w:sz w:val="18"/>
          <w:szCs w:val="20"/>
          <w:rtl/>
        </w:rPr>
        <w:t>י</w:t>
      </w:r>
      <w:r>
        <w:rPr>
          <w:rFonts w:ascii="Arial" w:hAnsi="Arial" w:hint="cs"/>
          <w:sz w:val="18"/>
          <w:szCs w:val="20"/>
          <w:rtl/>
        </w:rPr>
        <w:t>"</w:t>
      </w:r>
      <w:r>
        <w:rPr>
          <w:rFonts w:ascii="Arial" w:hAnsi="Arial"/>
          <w:sz w:val="18"/>
          <w:szCs w:val="20"/>
          <w:rtl/>
        </w:rPr>
        <w:t>א</w:t>
      </w:r>
      <w:r>
        <w:rPr>
          <w:rFonts w:ascii="Arial" w:hAnsi="Arial" w:hint="cs"/>
          <w:sz w:val="18"/>
          <w:szCs w:val="20"/>
          <w:rtl/>
        </w:rPr>
        <w:t xml:space="preserve"> </w:t>
      </w:r>
      <w:r>
        <w:rPr>
          <w:rFonts w:ascii="Arial" w:hAnsi="Arial" w:hint="cs"/>
          <w:rtl/>
        </w:rPr>
        <w:t>נוסח</w:t>
      </w:r>
      <w:r>
        <w:rPr>
          <w:rFonts w:ascii="Arial" w:hAnsi="Arial" w:hint="cs"/>
          <w:sz w:val="20"/>
          <w:rtl/>
        </w:rPr>
        <w:t xml:space="preserve"> הדפוס הוא: "וְשָׁבִיס </w:t>
      </w:r>
      <w:r>
        <w:rPr>
          <w:rFonts w:ascii="Arial" w:hAnsi="Arial" w:hint="cs"/>
          <w:b/>
          <w:bCs/>
          <w:sz w:val="20"/>
          <w:rtl/>
        </w:rPr>
        <w:t>שֶׁל</w:t>
      </w:r>
      <w:r>
        <w:rPr>
          <w:rFonts w:ascii="Arial" w:hAnsi="Arial" w:hint="cs"/>
          <w:sz w:val="20"/>
          <w:rtl/>
        </w:rPr>
        <w:t xml:space="preserve"> סְבָכָה", ואילו בכתבי היד "של" צמודה: "</w:t>
      </w:r>
      <w:r>
        <w:rPr>
          <w:rFonts w:ascii="Arial" w:hAnsi="Arial" w:hint="cs"/>
          <w:b/>
          <w:bCs/>
          <w:sz w:val="20"/>
          <w:rtl/>
        </w:rPr>
        <w:t>שֶׁלִּ</w:t>
      </w:r>
      <w:r>
        <w:rPr>
          <w:rFonts w:ascii="Arial" w:hAnsi="Arial" w:hint="cs"/>
          <w:sz w:val="20"/>
          <w:rtl/>
        </w:rPr>
        <w:t>סְבָכָה" (</w:t>
      </w:r>
      <w:r>
        <w:rPr>
          <w:rFonts w:ascii="Arial" w:hAnsi="Arial" w:hint="cs"/>
          <w:sz w:val="18"/>
          <w:szCs w:val="20"/>
          <w:rtl/>
        </w:rPr>
        <w:t xml:space="preserve">כתב יד </w:t>
      </w:r>
      <w:r>
        <w:rPr>
          <w:rFonts w:ascii="Arial" w:hAnsi="Arial"/>
          <w:sz w:val="18"/>
          <w:szCs w:val="20"/>
          <w:rtl/>
        </w:rPr>
        <w:t>קאופמן</w:t>
      </w:r>
      <w:r>
        <w:rPr>
          <w:rFonts w:ascii="Arial" w:hAnsi="Arial" w:hint="cs"/>
          <w:sz w:val="18"/>
          <w:szCs w:val="20"/>
          <w:rtl/>
        </w:rPr>
        <w:t xml:space="preserve"> ופרמה א'</w:t>
      </w:r>
      <w:r>
        <w:rPr>
          <w:rFonts w:ascii="Arial" w:hAnsi="Arial" w:hint="cs"/>
          <w:sz w:val="20"/>
          <w:rtl/>
        </w:rPr>
        <w:t>), או "</w:t>
      </w:r>
      <w:r>
        <w:rPr>
          <w:rFonts w:ascii="Arial" w:hAnsi="Arial" w:hint="cs"/>
          <w:b/>
          <w:bCs/>
          <w:sz w:val="20"/>
          <w:rtl/>
        </w:rPr>
        <w:t>שֶׁלַּ</w:t>
      </w:r>
      <w:r>
        <w:rPr>
          <w:rFonts w:ascii="Arial" w:hAnsi="Arial" w:hint="cs"/>
          <w:sz w:val="20"/>
          <w:rtl/>
        </w:rPr>
        <w:t>שְׂבַכָה" (</w:t>
      </w:r>
      <w:r>
        <w:rPr>
          <w:rFonts w:ascii="Arial" w:hAnsi="Arial" w:hint="cs"/>
          <w:sz w:val="18"/>
          <w:szCs w:val="20"/>
          <w:rtl/>
        </w:rPr>
        <w:t>כתב יד פריז</w:t>
      </w:r>
      <w:r>
        <w:rPr>
          <w:rFonts w:ascii="Arial" w:hAnsi="Arial" w:hint="cs"/>
          <w:sz w:val="20"/>
          <w:rtl/>
        </w:rPr>
        <w:t xml:space="preserve">). ישנם הבדלים בנושא זה בין כתבי היד השונים. למשל, בכתב יד </w:t>
      </w:r>
      <w:r>
        <w:rPr>
          <w:rFonts w:ascii="Arial" w:hAnsi="Arial"/>
          <w:sz w:val="20"/>
          <w:rtl/>
        </w:rPr>
        <w:t>קאופמן</w:t>
      </w:r>
      <w:r>
        <w:rPr>
          <w:rFonts w:ascii="Arial" w:hAnsi="Arial" w:hint="cs"/>
          <w:sz w:val="20"/>
          <w:rtl/>
        </w:rPr>
        <w:t xml:space="preserve"> מופיעה "של" פרודה בשיעור של 40%, ואילו סופר כתב יד לייד</w:t>
      </w:r>
      <w:r>
        <w:rPr>
          <w:rFonts w:ascii="Arial" w:hAnsi="Arial"/>
          <w:sz w:val="20"/>
          <w:rtl/>
        </w:rPr>
        <w:t>ן</w:t>
      </w:r>
      <w:r>
        <w:rPr>
          <w:rFonts w:ascii="Arial" w:hAnsi="Arial" w:hint="cs"/>
          <w:sz w:val="20"/>
          <w:rtl/>
        </w:rPr>
        <w:t xml:space="preserve"> של התלמוד הירושלמי הצמיד כל "של" למִלה הבאה (</w:t>
      </w:r>
      <w:r>
        <w:rPr>
          <w:rFonts w:ascii="Arial" w:hAnsi="Arial" w:hint="cs"/>
          <w:sz w:val="18"/>
          <w:szCs w:val="20"/>
          <w:rtl/>
        </w:rPr>
        <w:t>ע"פ פרופ' ישראל בן דוד</w:t>
      </w:r>
      <w:r>
        <w:rPr>
          <w:rFonts w:ascii="Arial" w:hAnsi="Arial" w:hint="cs"/>
          <w:sz w:val="20"/>
          <w:rtl/>
        </w:rPr>
        <w:t>).</w:t>
      </w:r>
    </w:p>
  </w:footnote>
  <w:footnote w:id="11">
    <w:p w14:paraId="4B4750CE"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כך היא מסורת קריאתם של-יהודי תימן (</w:t>
      </w:r>
      <w:r>
        <w:rPr>
          <w:rFonts w:ascii="Arial" w:hAnsi="Arial" w:hint="cs"/>
          <w:sz w:val="18"/>
          <w:szCs w:val="20"/>
          <w:rtl/>
        </w:rPr>
        <w:t xml:space="preserve">כמתועד, למשל, </w:t>
      </w:r>
      <w:r>
        <w:rPr>
          <w:rFonts w:ascii="Arial" w:hAnsi="Arial" w:hint="eastAsia"/>
          <w:sz w:val="18"/>
          <w:szCs w:val="20"/>
          <w:rtl/>
        </w:rPr>
        <w:t>בסידור</w:t>
      </w:r>
      <w:r>
        <w:rPr>
          <w:rFonts w:ascii="Arial" w:hAnsi="Arial"/>
          <w:sz w:val="18"/>
          <w:szCs w:val="20"/>
          <w:rtl/>
        </w:rPr>
        <w:t xml:space="preserve"> </w:t>
      </w:r>
      <w:r>
        <w:rPr>
          <w:rFonts w:ascii="Arial" w:hAnsi="Arial" w:hint="cs"/>
          <w:sz w:val="18"/>
          <w:szCs w:val="20"/>
          <w:rtl/>
        </w:rPr>
        <w:t xml:space="preserve">"תכלאל" </w:t>
      </w:r>
      <w:r>
        <w:rPr>
          <w:rFonts w:ascii="Arial" w:hAnsi="Arial"/>
          <w:sz w:val="18"/>
          <w:szCs w:val="20"/>
          <w:rtl/>
        </w:rPr>
        <w:t xml:space="preserve">כנסת הגדולה השלם, </w:t>
      </w:r>
      <w:r>
        <w:rPr>
          <w:rFonts w:ascii="Arial" w:hAnsi="Arial" w:hint="cs"/>
          <w:sz w:val="18"/>
          <w:szCs w:val="20"/>
          <w:rtl/>
        </w:rPr>
        <w:t>נוסח</w:t>
      </w:r>
      <w:r>
        <w:rPr>
          <w:rFonts w:ascii="Arial" w:hAnsi="Arial"/>
          <w:sz w:val="18"/>
          <w:szCs w:val="20"/>
          <w:rtl/>
        </w:rPr>
        <w:t xml:space="preserve"> שאמי</w:t>
      </w:r>
      <w:r>
        <w:rPr>
          <w:rFonts w:ascii="Arial" w:hAnsi="Arial" w:hint="cs"/>
          <w:sz w:val="18"/>
          <w:szCs w:val="20"/>
          <w:rtl/>
        </w:rPr>
        <w:t>,</w:t>
      </w:r>
      <w:r>
        <w:rPr>
          <w:rFonts w:ascii="Arial" w:hAnsi="Arial"/>
          <w:sz w:val="18"/>
          <w:szCs w:val="20"/>
          <w:rtl/>
        </w:rPr>
        <w:t xml:space="preserve"> ב"ב</w:t>
      </w:r>
      <w:r>
        <w:rPr>
          <w:rFonts w:ascii="Arial" w:hAnsi="Arial" w:hint="cs"/>
          <w:sz w:val="18"/>
          <w:szCs w:val="20"/>
          <w:rtl/>
        </w:rPr>
        <w:t>,</w:t>
      </w:r>
      <w:r>
        <w:rPr>
          <w:rFonts w:ascii="Arial" w:hAnsi="Arial"/>
          <w:sz w:val="18"/>
          <w:szCs w:val="20"/>
          <w:rtl/>
        </w:rPr>
        <w:t xml:space="preserve"> תשס"ח, </w:t>
      </w:r>
      <w:r>
        <w:rPr>
          <w:rFonts w:ascii="Arial" w:hAnsi="Arial" w:hint="cs"/>
          <w:sz w:val="18"/>
          <w:szCs w:val="20"/>
          <w:rtl/>
        </w:rPr>
        <w:t>עמ' 206; וע"ע בנספח למאמרו של יוסף טובי, "הגיית השווא הנע במסורת תימן הקדומה", בתוך: "לשון חכמים והתחומים הנושקים לה", הנ"ל בהערה 5, עמ' 263, הערה 91</w:t>
      </w:r>
      <w:r>
        <w:rPr>
          <w:rFonts w:ascii="Arial" w:hAnsi="Arial" w:hint="cs"/>
          <w:rtl/>
        </w:rPr>
        <w:t>), וראה להלן הערה 18. הקו המפריד המסומן בתוך המִלה נועד להקל על קוראים שאינם רגילים לראות "שֶׁל" מוצמדת למִלה הבאה. מכיוון ש"שֶׁל" מוצמדת והשווא שבאות ל' הוא נע (עקב הדגש</w:t>
      </w:r>
      <w:r>
        <w:rPr>
          <w:rFonts w:ascii="Arial" w:hAnsi="Arial" w:hint="cs"/>
          <w:sz w:val="18"/>
          <w:szCs w:val="20"/>
          <w:rtl/>
        </w:rPr>
        <w:t>, כדלהלן הערה 14</w:t>
      </w:r>
      <w:r>
        <w:rPr>
          <w:rFonts w:ascii="Arial" w:hAnsi="Arial" w:hint="cs"/>
          <w:rtl/>
        </w:rPr>
        <w:t>), רפויה האות ב' של "</w:t>
      </w:r>
      <w:r>
        <w:rPr>
          <w:rFonts w:ascii="Arial" w:hAnsi="Arial" w:hint="cs"/>
          <w:b/>
          <w:bCs/>
          <w:rtl/>
        </w:rPr>
        <w:t>ב</w:t>
      </w:r>
      <w:r>
        <w:rPr>
          <w:rFonts w:ascii="Arial" w:hAnsi="Arial" w:hint="cs"/>
          <w:rtl/>
        </w:rPr>
        <w:t>יצָה" (כלומר, ללא דגש קל). לגבי ניקוד "</w:t>
      </w:r>
      <w:r>
        <w:rPr>
          <w:rFonts w:ascii="Arial" w:hAnsi="Arial"/>
          <w:b/>
          <w:bCs/>
          <w:rtl/>
        </w:rPr>
        <w:t>בי</w:t>
      </w:r>
      <w:r>
        <w:rPr>
          <w:rFonts w:ascii="Arial" w:hAnsi="Arial"/>
          <w:rtl/>
        </w:rPr>
        <w:t>צה</w:t>
      </w:r>
      <w:r>
        <w:rPr>
          <w:rFonts w:ascii="Arial" w:hAnsi="Arial" w:hint="cs"/>
          <w:rtl/>
        </w:rPr>
        <w:t>" זו ראה להלן דף כט, ב.</w:t>
      </w:r>
    </w:p>
  </w:footnote>
  <w:footnote w:id="12">
    <w:p w14:paraId="09F3C8FA"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כך מנהג יהודי תימן (</w:t>
      </w:r>
      <w:r>
        <w:rPr>
          <w:rFonts w:ascii="Arial" w:hAnsi="Arial" w:hint="cs"/>
          <w:sz w:val="18"/>
          <w:szCs w:val="20"/>
          <w:rtl/>
        </w:rPr>
        <w:t xml:space="preserve">כמובא </w:t>
      </w:r>
      <w:r>
        <w:rPr>
          <w:rFonts w:ascii="Arial" w:hAnsi="Arial" w:hint="eastAsia"/>
          <w:sz w:val="18"/>
          <w:szCs w:val="20"/>
          <w:rtl/>
        </w:rPr>
        <w:t>בסידור</w:t>
      </w:r>
      <w:r>
        <w:rPr>
          <w:rFonts w:ascii="Arial" w:hAnsi="Arial" w:hint="cs"/>
          <w:sz w:val="18"/>
          <w:szCs w:val="20"/>
          <w:rtl/>
        </w:rPr>
        <w:t xml:space="preserve"> הנ"ל</w:t>
      </w:r>
      <w:r>
        <w:rPr>
          <w:rFonts w:ascii="Arial" w:hAnsi="Arial"/>
          <w:sz w:val="18"/>
          <w:szCs w:val="20"/>
          <w:rtl/>
        </w:rPr>
        <w:t xml:space="preserve">, </w:t>
      </w:r>
      <w:r>
        <w:rPr>
          <w:rFonts w:ascii="Arial" w:hAnsi="Arial" w:hint="cs"/>
          <w:sz w:val="18"/>
          <w:szCs w:val="20"/>
          <w:rtl/>
        </w:rPr>
        <w:t>עמ' 59; 578</w:t>
      </w:r>
      <w:r>
        <w:rPr>
          <w:rFonts w:ascii="Arial" w:hAnsi="Arial" w:hint="cs"/>
          <w:sz w:val="20"/>
          <w:rtl/>
        </w:rPr>
        <w:t>).</w:t>
      </w:r>
    </w:p>
  </w:footnote>
  <w:footnote w:id="13">
    <w:p w14:paraId="6871E600"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 xml:space="preserve">ככל הנראה, החל תהליך זה בתקופת התַנאים: </w:t>
      </w:r>
      <w:r>
        <w:rPr>
          <w:rFonts w:ascii="Arial" w:hAnsi="Arial"/>
          <w:rtl/>
        </w:rPr>
        <w:t>בא</w:t>
      </w:r>
      <w:r>
        <w:rPr>
          <w:rFonts w:ascii="Arial" w:hAnsi="Arial" w:hint="cs"/>
          <w:rtl/>
        </w:rPr>
        <w:t>ִ</w:t>
      </w:r>
      <w:r>
        <w:rPr>
          <w:rFonts w:ascii="Arial" w:hAnsi="Arial"/>
          <w:rtl/>
        </w:rPr>
        <w:t>גרות בר כוכבא נמצאות שתי הצורות זו לצד זו</w:t>
      </w:r>
      <w:r>
        <w:rPr>
          <w:rFonts w:ascii="Arial" w:hAnsi="Arial" w:hint="cs"/>
          <w:rtl/>
        </w:rPr>
        <w:t xml:space="preserve"> (</w:t>
      </w:r>
      <w:r>
        <w:rPr>
          <w:rFonts w:ascii="Arial" w:hAnsi="Arial" w:hint="cs"/>
          <w:sz w:val="18"/>
          <w:szCs w:val="20"/>
          <w:rtl/>
        </w:rPr>
        <w:t>והשוה ל</w:t>
      </w:r>
      <w:r>
        <w:rPr>
          <w:rFonts w:ascii="Arial" w:hAnsi="Arial"/>
          <w:sz w:val="18"/>
          <w:szCs w:val="20"/>
          <w:rtl/>
        </w:rPr>
        <w:t>קהלת ח</w:t>
      </w:r>
      <w:r>
        <w:rPr>
          <w:rFonts w:ascii="Arial" w:hAnsi="Arial" w:hint="cs"/>
          <w:sz w:val="18"/>
          <w:szCs w:val="20"/>
          <w:rtl/>
        </w:rPr>
        <w:t xml:space="preserve">, </w:t>
      </w:r>
      <w:r>
        <w:rPr>
          <w:rFonts w:ascii="Arial" w:hAnsi="Arial"/>
          <w:sz w:val="18"/>
          <w:szCs w:val="20"/>
          <w:rtl/>
        </w:rPr>
        <w:t>יז</w:t>
      </w:r>
      <w:r>
        <w:rPr>
          <w:rFonts w:ascii="Arial" w:hAnsi="Arial" w:hint="cs"/>
          <w:sz w:val="18"/>
          <w:szCs w:val="20"/>
          <w:rtl/>
        </w:rPr>
        <w:t xml:space="preserve">; וראה בספרו של מורי פרופ' </w:t>
      </w:r>
      <w:r>
        <w:rPr>
          <w:rFonts w:ascii="Arial" w:hAnsi="Arial" w:hint="eastAsia"/>
          <w:sz w:val="18"/>
          <w:szCs w:val="20"/>
          <w:rtl/>
        </w:rPr>
        <w:t>משה</w:t>
      </w:r>
      <w:r>
        <w:rPr>
          <w:rFonts w:ascii="Arial" w:hAnsi="Arial"/>
          <w:sz w:val="18"/>
          <w:szCs w:val="20"/>
          <w:rtl/>
        </w:rPr>
        <w:t xml:space="preserve"> בר אשר</w:t>
      </w:r>
      <w:r>
        <w:rPr>
          <w:rFonts w:ascii="Arial" w:hAnsi="Arial" w:hint="cs"/>
          <w:sz w:val="18"/>
          <w:szCs w:val="20"/>
          <w:rtl/>
        </w:rPr>
        <w:t xml:space="preserve">, </w:t>
      </w:r>
      <w:r w:rsidRPr="00024A19">
        <w:rPr>
          <w:rFonts w:ascii="Arial" w:hAnsi="Arial" w:hint="cs"/>
          <w:sz w:val="18"/>
          <w:szCs w:val="20"/>
          <w:rtl/>
        </w:rPr>
        <w:t>מחקרים בלשון חכמים</w:t>
      </w:r>
      <w:r>
        <w:rPr>
          <w:rFonts w:ascii="Arial" w:hAnsi="Arial" w:hint="cs"/>
          <w:sz w:val="18"/>
          <w:szCs w:val="20"/>
          <w:rtl/>
        </w:rPr>
        <w:t xml:space="preserve">, </w:t>
      </w:r>
      <w:r w:rsidRPr="00024A19">
        <w:rPr>
          <w:rFonts w:ascii="Arial" w:hAnsi="Arial" w:hint="cs"/>
          <w:sz w:val="18"/>
          <w:szCs w:val="20"/>
          <w:rtl/>
        </w:rPr>
        <w:t>ירושלים</w:t>
      </w:r>
      <w:r>
        <w:rPr>
          <w:rFonts w:ascii="Arial" w:hAnsi="Arial" w:hint="cs"/>
          <w:sz w:val="18"/>
          <w:szCs w:val="20"/>
          <w:rtl/>
        </w:rPr>
        <w:t xml:space="preserve"> </w:t>
      </w:r>
      <w:r w:rsidRPr="00024A19">
        <w:rPr>
          <w:rFonts w:ascii="Arial" w:hAnsi="Arial" w:hint="cs"/>
          <w:sz w:val="18"/>
          <w:szCs w:val="20"/>
          <w:rtl/>
        </w:rPr>
        <w:t>תשס"ט</w:t>
      </w:r>
      <w:r>
        <w:rPr>
          <w:rFonts w:ascii="Arial" w:hAnsi="Arial" w:hint="cs"/>
          <w:sz w:val="18"/>
          <w:szCs w:val="20"/>
          <w:rtl/>
        </w:rPr>
        <w:t>,</w:t>
      </w:r>
      <w:r w:rsidRPr="00D04C44">
        <w:rPr>
          <w:rFonts w:ascii="Arial" w:hAnsi="Arial" w:hint="cs"/>
          <w:sz w:val="18"/>
          <w:szCs w:val="20"/>
          <w:rtl/>
        </w:rPr>
        <w:t xml:space="preserve"> </w:t>
      </w:r>
      <w:r>
        <w:rPr>
          <w:rFonts w:ascii="Arial" w:hAnsi="Arial" w:hint="cs"/>
          <w:sz w:val="18"/>
          <w:szCs w:val="20"/>
          <w:rtl/>
        </w:rPr>
        <w:t>א, עמ' 13</w:t>
      </w:r>
      <w:r>
        <w:rPr>
          <w:rFonts w:ascii="Arial" w:hAnsi="Arial" w:hint="cs"/>
          <w:rtl/>
        </w:rPr>
        <w:t>).</w:t>
      </w:r>
    </w:p>
  </w:footnote>
  <w:footnote w:id="14">
    <w:p w14:paraId="74917D44"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sz w:val="24"/>
          <w:rtl/>
        </w:rPr>
        <w:t xml:space="preserve">הפרדת "של" באה לידי ביטוי לא רק בכתיבה - ע"י הוספת רֶוַח בינה לבין המִלה הבאה - אלא גם בדיבור: אם עד עתה הודגשה האות ל' (ככל אות </w:t>
      </w:r>
      <w:r>
        <w:rPr>
          <w:rFonts w:ascii="Arial" w:hAnsi="Arial" w:hint="cs"/>
          <w:sz w:val="18"/>
          <w:szCs w:val="20"/>
          <w:rtl/>
        </w:rPr>
        <w:t xml:space="preserve">שאינה גרונית </w:t>
      </w:r>
      <w:r>
        <w:rPr>
          <w:rFonts w:ascii="Arial" w:hAnsi="Arial" w:hint="cs"/>
          <w:sz w:val="24"/>
          <w:rtl/>
        </w:rPr>
        <w:t xml:space="preserve">הבאה לאחר ש' הזיקה), מכאן ואילך נהייתה ל' זו רפויה (היינו ללא דגש) וחסרת כל תנועה (שווא נח לא סומן בה, מפני שהיא בסוף מִלה): </w:t>
      </w:r>
      <w:r>
        <w:rPr>
          <w:rFonts w:hint="cs"/>
          <w:rtl/>
        </w:rPr>
        <w:t>"</w:t>
      </w:r>
      <w:r>
        <w:rPr>
          <w:rtl/>
        </w:rPr>
        <w:t>שֶׁלִּשְׁלֹמֹה</w:t>
      </w:r>
      <w:r>
        <w:rPr>
          <w:rFonts w:hint="cs"/>
          <w:rtl/>
        </w:rPr>
        <w:t>" &gt;</w:t>
      </w:r>
      <w:r>
        <w:rPr>
          <w:rFonts w:hint="cs"/>
          <w:sz w:val="24"/>
          <w:rtl/>
        </w:rPr>
        <w:t xml:space="preserve"> </w:t>
      </w:r>
      <w:r>
        <w:rPr>
          <w:rFonts w:hint="cs"/>
          <w:rtl/>
        </w:rPr>
        <w:t>"</w:t>
      </w:r>
      <w:r>
        <w:rPr>
          <w:rtl/>
        </w:rPr>
        <w:t>שֶׁל</w:t>
      </w:r>
      <w:r>
        <w:rPr>
          <w:rFonts w:hint="cs"/>
          <w:rtl/>
        </w:rPr>
        <w:t xml:space="preserve"> </w:t>
      </w:r>
      <w:r>
        <w:rPr>
          <w:rtl/>
        </w:rPr>
        <w:t>שְׁלֹמֹה</w:t>
      </w:r>
      <w:r>
        <w:rPr>
          <w:rFonts w:hint="cs"/>
          <w:rtl/>
        </w:rPr>
        <w:t>"</w:t>
      </w:r>
      <w:r>
        <w:rPr>
          <w:rFonts w:ascii="Arial" w:hAnsi="Arial" w:hint="cs"/>
          <w:sz w:val="24"/>
          <w:rtl/>
        </w:rPr>
        <w:t>. על שינויים נוספים שחלו בעטייה של הפרדת "של" ראה להלן וכן לעיל הערה 11.</w:t>
      </w:r>
    </w:p>
  </w:footnote>
  <w:footnote w:id="15">
    <w:p w14:paraId="0C7F8FCB"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sz w:val="24"/>
          <w:rtl/>
        </w:rPr>
        <w:t xml:space="preserve">השוה לצורה החבוּרה הקדומה שלעיל, </w:t>
      </w:r>
      <w:r>
        <w:rPr>
          <w:rFonts w:ascii="Arial" w:hAnsi="Arial"/>
          <w:sz w:val="24"/>
          <w:rtl/>
        </w:rPr>
        <w:t>שֶׁלִּשְׁלֹמֹה</w:t>
      </w:r>
      <w:r>
        <w:rPr>
          <w:rFonts w:ascii="Arial" w:hAnsi="Arial" w:hint="cs"/>
          <w:sz w:val="24"/>
          <w:rtl/>
        </w:rPr>
        <w:t>, שניתן למצוא דוגמתה בכתבי יד כאן. אגב, בצירוף זה השתמש ר'</w:t>
      </w:r>
      <w:r>
        <w:rPr>
          <w:rFonts w:ascii="Arial" w:hAnsi="Arial"/>
          <w:sz w:val="24"/>
          <w:rtl/>
        </w:rPr>
        <w:t xml:space="preserve"> רפאל שלמה לניאדו</w:t>
      </w:r>
      <w:r>
        <w:rPr>
          <w:rFonts w:ascii="Arial" w:hAnsi="Arial" w:hint="cs"/>
          <w:sz w:val="24"/>
          <w:rtl/>
        </w:rPr>
        <w:t xml:space="preserve"> (אב"ד </w:t>
      </w:r>
      <w:r>
        <w:rPr>
          <w:rFonts w:ascii="Arial" w:hAnsi="Arial"/>
          <w:sz w:val="24"/>
          <w:rtl/>
        </w:rPr>
        <w:t xml:space="preserve">ארם צובה </w:t>
      </w:r>
      <w:r>
        <w:rPr>
          <w:rFonts w:ascii="Arial" w:hAnsi="Arial" w:hint="cs"/>
          <w:sz w:val="24"/>
          <w:rtl/>
        </w:rPr>
        <w:t>לפני כמאתים וחמשים שנה) כשם לאחד מספרי תשובותיו.</w:t>
      </w:r>
    </w:p>
  </w:footnote>
  <w:footnote w:id="16">
    <w:p w14:paraId="14BC1C6A"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עתה שהועמדה "שֶׁל</w:t>
      </w:r>
      <w:r>
        <w:rPr>
          <w:rFonts w:ascii="Arial" w:hAnsi="Arial" w:hint="cs"/>
          <w:sz w:val="20"/>
          <w:rtl/>
        </w:rPr>
        <w:t>" לעצמה, הודגשה האות ב' של "</w:t>
      </w:r>
      <w:r>
        <w:rPr>
          <w:rFonts w:ascii="Arial" w:hAnsi="Arial" w:hint="cs"/>
          <w:b/>
          <w:bCs/>
          <w:rtl/>
        </w:rPr>
        <w:t>בּ</w:t>
      </w:r>
      <w:r>
        <w:rPr>
          <w:rFonts w:ascii="Arial" w:hAnsi="Arial" w:hint="cs"/>
          <w:rtl/>
        </w:rPr>
        <w:t>יצָה" ב</w:t>
      </w:r>
      <w:r>
        <w:rPr>
          <w:rFonts w:ascii="Arial" w:hAnsi="Arial" w:hint="cs"/>
          <w:sz w:val="20"/>
          <w:rtl/>
        </w:rPr>
        <w:t>דגש קל הואיל וכעת היא בראש מִלה</w:t>
      </w:r>
      <w:r>
        <w:rPr>
          <w:rFonts w:ascii="Arial" w:hAnsi="Arial" w:hint="cs"/>
          <w:rtl/>
        </w:rPr>
        <w:t xml:space="preserve"> (</w:t>
      </w:r>
      <w:r>
        <w:rPr>
          <w:rFonts w:ascii="Arial" w:hAnsi="Arial" w:hint="cs"/>
          <w:sz w:val="18"/>
          <w:szCs w:val="20"/>
          <w:rtl/>
        </w:rPr>
        <w:t>השוה להערה 11</w:t>
      </w:r>
      <w:r>
        <w:rPr>
          <w:rFonts w:ascii="Arial" w:hAnsi="Arial" w:hint="cs"/>
          <w:rtl/>
        </w:rPr>
        <w:t>).</w:t>
      </w:r>
    </w:p>
  </w:footnote>
  <w:footnote w:id="17">
    <w:p w14:paraId="0F9AD4CB"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 xml:space="preserve">על השמטת "של" משתי ברכות אלו, ראה להלן </w:t>
      </w:r>
      <w:r>
        <w:rPr>
          <w:rFonts w:ascii="Arial" w:hAnsi="Arial" w:hint="cs"/>
          <w:sz w:val="26"/>
          <w:rtl/>
        </w:rPr>
        <w:t xml:space="preserve">דף </w:t>
      </w:r>
      <w:r>
        <w:rPr>
          <w:rFonts w:ascii="Arial" w:hAnsi="Arial"/>
          <w:sz w:val="26"/>
          <w:rtl/>
        </w:rPr>
        <w:t>קלז</w:t>
      </w:r>
      <w:r>
        <w:rPr>
          <w:rFonts w:ascii="Arial" w:hAnsi="Arial" w:hint="cs"/>
          <w:sz w:val="26"/>
          <w:rtl/>
        </w:rPr>
        <w:t xml:space="preserve">, </w:t>
      </w:r>
      <w:r>
        <w:rPr>
          <w:rFonts w:ascii="Arial" w:hAnsi="Arial"/>
          <w:sz w:val="26"/>
          <w:rtl/>
        </w:rPr>
        <w:t>ב</w:t>
      </w:r>
      <w:r>
        <w:rPr>
          <w:rFonts w:ascii="Arial" w:hAnsi="Arial" w:hint="cs"/>
          <w:rtl/>
        </w:rPr>
        <w:t>.</w:t>
      </w:r>
    </w:p>
  </w:footnote>
  <w:footnote w:id="18">
    <w:p w14:paraId="41E231C2"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המשותף למקרים אלו הוא שלמִלה הבאה אי אפשר להוסיף ה' היידוע, בהיותה מיודעת מעצם טבעה: "</w:t>
      </w:r>
      <w:r>
        <w:rPr>
          <w:rFonts w:ascii="Arial" w:hAnsi="Arial"/>
          <w:rtl/>
        </w:rPr>
        <w:t>אברהם</w:t>
      </w:r>
      <w:r>
        <w:rPr>
          <w:rFonts w:ascii="Arial" w:hAnsi="Arial" w:hint="cs"/>
          <w:rtl/>
        </w:rPr>
        <w:t>", "אהרן" ו"</w:t>
      </w:r>
      <w:r>
        <w:rPr>
          <w:rFonts w:ascii="Arial" w:hAnsi="Arial"/>
          <w:rtl/>
        </w:rPr>
        <w:t>שלמה</w:t>
      </w:r>
      <w:r>
        <w:rPr>
          <w:rFonts w:ascii="Arial" w:hAnsi="Arial" w:hint="cs"/>
          <w:rtl/>
        </w:rPr>
        <w:t>" הם שמות עצם פרטיים, ו"</w:t>
      </w:r>
      <w:r>
        <w:rPr>
          <w:rFonts w:ascii="Arial" w:hAnsi="Arial"/>
          <w:rtl/>
        </w:rPr>
        <w:t>אבותי</w:t>
      </w:r>
      <w:r>
        <w:rPr>
          <w:rFonts w:ascii="Arial" w:hAnsi="Arial" w:hint="cs"/>
          <w:rtl/>
        </w:rPr>
        <w:t>"</w:t>
      </w:r>
      <w:r>
        <w:rPr>
          <w:rFonts w:ascii="Arial" w:hAnsi="Arial"/>
          <w:rtl/>
        </w:rPr>
        <w:t xml:space="preserve"> </w:t>
      </w:r>
      <w:r>
        <w:rPr>
          <w:rFonts w:ascii="Arial" w:hAnsi="Arial" w:hint="cs"/>
          <w:rtl/>
        </w:rPr>
        <w:t>היא בעלת כינוי שייכות חבור (הסיומת "-י"</w:t>
      </w:r>
      <w:r>
        <w:rPr>
          <w:rFonts w:ascii="Arial" w:hAnsi="Arial" w:hint="cs"/>
          <w:sz w:val="18"/>
          <w:szCs w:val="20"/>
          <w:rtl/>
        </w:rPr>
        <w:t>; היוצא מן הכלל ב</w:t>
      </w:r>
      <w:r>
        <w:rPr>
          <w:rFonts w:ascii="Arial" w:hAnsi="Arial"/>
          <w:sz w:val="18"/>
          <w:szCs w:val="20"/>
          <w:rtl/>
        </w:rPr>
        <w:t>יהושע ח</w:t>
      </w:r>
      <w:r>
        <w:rPr>
          <w:rFonts w:ascii="Arial" w:hAnsi="Arial" w:hint="cs"/>
          <w:sz w:val="18"/>
          <w:szCs w:val="20"/>
          <w:rtl/>
        </w:rPr>
        <w:t xml:space="preserve">, </w:t>
      </w:r>
      <w:r>
        <w:rPr>
          <w:rFonts w:ascii="Arial" w:hAnsi="Arial"/>
          <w:sz w:val="18"/>
          <w:szCs w:val="20"/>
          <w:rtl/>
        </w:rPr>
        <w:t>לג</w:t>
      </w:r>
      <w:r>
        <w:rPr>
          <w:rFonts w:ascii="Arial" w:hAnsi="Arial" w:hint="cs"/>
          <w:sz w:val="18"/>
          <w:szCs w:val="20"/>
          <w:rtl/>
        </w:rPr>
        <w:t xml:space="preserve"> מלמד על הכלל כולו כמבואר ב</w:t>
      </w:r>
      <w:r>
        <w:rPr>
          <w:rFonts w:ascii="Arial" w:hAnsi="Arial"/>
          <w:sz w:val="18"/>
          <w:szCs w:val="20"/>
          <w:rtl/>
        </w:rPr>
        <w:t>רד"ק</w:t>
      </w:r>
      <w:r>
        <w:rPr>
          <w:rFonts w:ascii="Arial" w:hAnsi="Arial" w:hint="cs"/>
          <w:sz w:val="18"/>
          <w:szCs w:val="20"/>
          <w:rtl/>
        </w:rPr>
        <w:t xml:space="preserve"> שם ועי' </w:t>
      </w:r>
      <w:r>
        <w:rPr>
          <w:rFonts w:ascii="Arial" w:hAnsi="Arial"/>
          <w:sz w:val="18"/>
          <w:szCs w:val="20"/>
          <w:rtl/>
        </w:rPr>
        <w:t>סוטה לו</w:t>
      </w:r>
      <w:r>
        <w:rPr>
          <w:rFonts w:ascii="Arial" w:hAnsi="Arial" w:hint="cs"/>
          <w:sz w:val="18"/>
          <w:szCs w:val="20"/>
          <w:rtl/>
        </w:rPr>
        <w:t xml:space="preserve">, </w:t>
      </w:r>
      <w:r>
        <w:rPr>
          <w:rFonts w:ascii="Arial" w:hAnsi="Arial"/>
          <w:sz w:val="18"/>
          <w:szCs w:val="20"/>
          <w:rtl/>
        </w:rPr>
        <w:t xml:space="preserve">א </w:t>
      </w:r>
      <w:r>
        <w:rPr>
          <w:rFonts w:ascii="Arial" w:hAnsi="Arial" w:hint="cs"/>
          <w:sz w:val="18"/>
          <w:szCs w:val="20"/>
          <w:rtl/>
        </w:rPr>
        <w:t>ו</w:t>
      </w:r>
      <w:r>
        <w:rPr>
          <w:rFonts w:ascii="Arial" w:hAnsi="Arial"/>
          <w:sz w:val="18"/>
          <w:szCs w:val="20"/>
          <w:rtl/>
        </w:rPr>
        <w:t xml:space="preserve">רש"י </w:t>
      </w:r>
      <w:r>
        <w:rPr>
          <w:rFonts w:ascii="Arial" w:hAnsi="Arial" w:hint="cs"/>
          <w:sz w:val="18"/>
          <w:szCs w:val="20"/>
          <w:rtl/>
        </w:rPr>
        <w:t xml:space="preserve">ד"ה </w:t>
      </w:r>
      <w:r>
        <w:rPr>
          <w:rFonts w:ascii="Arial" w:hAnsi="Arial"/>
          <w:sz w:val="18"/>
          <w:szCs w:val="20"/>
          <w:rtl/>
        </w:rPr>
        <w:t>מאי והחציו</w:t>
      </w:r>
      <w:r>
        <w:rPr>
          <w:rFonts w:ascii="Arial" w:hAnsi="Arial" w:hint="cs"/>
          <w:rtl/>
        </w:rPr>
        <w:t>). במִלים "</w:t>
      </w:r>
      <w:r>
        <w:rPr>
          <w:rFonts w:ascii="Arial" w:hAnsi="Arial"/>
          <w:b/>
          <w:bCs/>
          <w:rtl/>
        </w:rPr>
        <w:t>שֶלּ</w:t>
      </w:r>
      <w:r>
        <w:rPr>
          <w:rFonts w:ascii="Arial" w:hAnsi="Arial" w:hint="cs"/>
          <w:b/>
          <w:bCs/>
          <w:rtl/>
        </w:rPr>
        <w:t>ְבֵ</w:t>
      </w:r>
      <w:r>
        <w:rPr>
          <w:rFonts w:ascii="Arial" w:hAnsi="Arial" w:hint="cs"/>
          <w:rtl/>
        </w:rPr>
        <w:t xml:space="preserve">יצָה... </w:t>
      </w:r>
      <w:r>
        <w:rPr>
          <w:rFonts w:ascii="Arial" w:hAnsi="Arial"/>
          <w:b/>
          <w:bCs/>
          <w:rtl/>
        </w:rPr>
        <w:t>שֶלּ</w:t>
      </w:r>
      <w:r>
        <w:rPr>
          <w:rFonts w:ascii="Arial" w:hAnsi="Arial" w:hint="cs"/>
          <w:b/>
          <w:bCs/>
          <w:rtl/>
        </w:rPr>
        <w:t>ְ</w:t>
      </w:r>
      <w:r>
        <w:rPr>
          <w:rFonts w:ascii="Arial" w:hAnsi="Arial" w:hint="cs"/>
          <w:rtl/>
        </w:rPr>
        <w:t xml:space="preserve">חֶרֶס" אין נראה צורך ביידוע, כי מדובר בשמות עצם סתמיים, אך בכתב יד </w:t>
      </w:r>
      <w:r>
        <w:rPr>
          <w:rFonts w:ascii="Arial" w:hAnsi="Arial"/>
          <w:sz w:val="24"/>
          <w:rtl/>
        </w:rPr>
        <w:t>קאופמן</w:t>
      </w:r>
      <w:r>
        <w:rPr>
          <w:rFonts w:ascii="Arial" w:hAnsi="Arial" w:hint="cs"/>
          <w:sz w:val="24"/>
          <w:rtl/>
        </w:rPr>
        <w:t xml:space="preserve"> (</w:t>
      </w:r>
      <w:r>
        <w:rPr>
          <w:rFonts w:ascii="Arial" w:hAnsi="Arial"/>
          <w:sz w:val="18"/>
          <w:szCs w:val="20"/>
          <w:rtl/>
        </w:rPr>
        <w:t xml:space="preserve">כתב יד </w:t>
      </w:r>
      <w:r>
        <w:rPr>
          <w:rFonts w:ascii="Arial" w:hAnsi="Arial" w:hint="cs"/>
          <w:sz w:val="18"/>
          <w:szCs w:val="20"/>
          <w:rtl/>
        </w:rPr>
        <w:t xml:space="preserve">מנוקד </w:t>
      </w:r>
      <w:r>
        <w:rPr>
          <w:rFonts w:ascii="Arial" w:hAnsi="Arial"/>
          <w:sz w:val="18"/>
          <w:szCs w:val="20"/>
          <w:rtl/>
        </w:rPr>
        <w:t>של</w:t>
      </w:r>
      <w:r>
        <w:rPr>
          <w:rFonts w:ascii="Arial" w:hAnsi="Arial" w:hint="cs"/>
          <w:sz w:val="18"/>
          <w:szCs w:val="20"/>
          <w:rtl/>
        </w:rPr>
        <w:t xml:space="preserve"> כ</w:t>
      </w:r>
      <w:r>
        <w:rPr>
          <w:rFonts w:ascii="Arial" w:hAnsi="Arial"/>
          <w:sz w:val="18"/>
          <w:szCs w:val="20"/>
          <w:rtl/>
        </w:rPr>
        <w:t>ל המשנה</w:t>
      </w:r>
      <w:r>
        <w:rPr>
          <w:rFonts w:ascii="Arial" w:hAnsi="Arial" w:hint="cs"/>
          <w:sz w:val="18"/>
          <w:szCs w:val="20"/>
          <w:rtl/>
        </w:rPr>
        <w:t>, בן שמונה מאות שנה לערך, החשוב בי</w:t>
      </w:r>
      <w:r>
        <w:rPr>
          <w:rFonts w:ascii="Arial" w:hAnsi="Arial"/>
          <w:sz w:val="18"/>
          <w:szCs w:val="20"/>
          <w:rtl/>
        </w:rPr>
        <w:t>ו</w:t>
      </w:r>
      <w:r>
        <w:rPr>
          <w:rFonts w:ascii="Arial" w:hAnsi="Arial" w:hint="cs"/>
          <w:sz w:val="18"/>
          <w:szCs w:val="20"/>
          <w:rtl/>
        </w:rPr>
        <w:t>ת</w:t>
      </w:r>
      <w:r>
        <w:rPr>
          <w:rFonts w:ascii="Arial" w:hAnsi="Arial"/>
          <w:sz w:val="18"/>
          <w:szCs w:val="20"/>
          <w:rtl/>
        </w:rPr>
        <w:t xml:space="preserve">ר </w:t>
      </w:r>
      <w:r>
        <w:rPr>
          <w:rFonts w:ascii="Arial" w:hAnsi="Arial" w:hint="cs"/>
          <w:sz w:val="18"/>
          <w:szCs w:val="20"/>
          <w:rtl/>
        </w:rPr>
        <w:t xml:space="preserve">להכרת </w:t>
      </w:r>
      <w:r>
        <w:rPr>
          <w:rFonts w:ascii="Arial" w:hAnsi="Arial"/>
          <w:sz w:val="18"/>
          <w:szCs w:val="20"/>
          <w:rtl/>
        </w:rPr>
        <w:t>לשון ח</w:t>
      </w:r>
      <w:r>
        <w:rPr>
          <w:rFonts w:ascii="Arial" w:hAnsi="Arial" w:hint="cs"/>
          <w:sz w:val="18"/>
          <w:szCs w:val="20"/>
          <w:rtl/>
        </w:rPr>
        <w:t>ז"ל</w:t>
      </w:r>
      <w:r>
        <w:rPr>
          <w:rFonts w:ascii="Arial" w:hAnsi="Arial" w:hint="cs"/>
          <w:sz w:val="24"/>
          <w:rtl/>
        </w:rPr>
        <w:t>) ובכתב יד פרמה א' מיודעים שמות עצם אלו:</w:t>
      </w:r>
      <w:r>
        <w:rPr>
          <w:rFonts w:ascii="Arial" w:hAnsi="Arial" w:hint="eastAsia"/>
          <w:rtl/>
        </w:rPr>
        <w:t xml:space="preserve"> </w:t>
      </w:r>
      <w:r>
        <w:rPr>
          <w:rFonts w:ascii="Arial" w:hAnsi="Arial"/>
          <w:rtl/>
        </w:rPr>
        <w:t>"שֶלַּבֵּיצָה... שֶלַּחֶרֶס"</w:t>
      </w:r>
      <w:r>
        <w:rPr>
          <w:rFonts w:ascii="Arial" w:hAnsi="Arial" w:hint="cs"/>
          <w:rtl/>
        </w:rPr>
        <w:t>.</w:t>
      </w:r>
    </w:p>
  </w:footnote>
  <w:footnote w:id="19">
    <w:p w14:paraId="1D9BBA4B"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 xml:space="preserve">כך כתב </w:t>
      </w:r>
      <w:r>
        <w:rPr>
          <w:rFonts w:ascii="Arial" w:hAnsi="Arial" w:hint="eastAsia"/>
          <w:rtl/>
        </w:rPr>
        <w:t>רד</w:t>
      </w:r>
      <w:r>
        <w:rPr>
          <w:rFonts w:ascii="Arial" w:hAnsi="Arial"/>
          <w:rtl/>
        </w:rPr>
        <w:t>"ק</w:t>
      </w:r>
      <w:r>
        <w:rPr>
          <w:rFonts w:ascii="Arial" w:hAnsi="Arial" w:hint="cs"/>
          <w:rtl/>
        </w:rPr>
        <w:t xml:space="preserve"> (</w:t>
      </w:r>
      <w:r>
        <w:rPr>
          <w:rFonts w:ascii="Arial" w:hAnsi="Arial"/>
          <w:sz w:val="18"/>
          <w:szCs w:val="20"/>
          <w:rtl/>
        </w:rPr>
        <w:t>שמואל ב</w:t>
      </w:r>
      <w:r>
        <w:rPr>
          <w:rFonts w:ascii="Arial" w:hAnsi="Arial" w:hint="cs"/>
          <w:sz w:val="18"/>
          <w:szCs w:val="20"/>
          <w:rtl/>
        </w:rPr>
        <w:t xml:space="preserve">' </w:t>
      </w:r>
      <w:r>
        <w:rPr>
          <w:rFonts w:ascii="Arial" w:hAnsi="Arial"/>
          <w:sz w:val="18"/>
          <w:szCs w:val="20"/>
          <w:rtl/>
        </w:rPr>
        <w:t>כא</w:t>
      </w:r>
      <w:r>
        <w:rPr>
          <w:rFonts w:ascii="Arial" w:hAnsi="Arial" w:hint="cs"/>
          <w:sz w:val="18"/>
          <w:szCs w:val="20"/>
          <w:rtl/>
        </w:rPr>
        <w:t xml:space="preserve">, </w:t>
      </w:r>
      <w:r>
        <w:rPr>
          <w:rFonts w:ascii="Arial" w:hAnsi="Arial"/>
          <w:sz w:val="18"/>
          <w:szCs w:val="20"/>
          <w:rtl/>
        </w:rPr>
        <w:t>כ</w:t>
      </w:r>
      <w:r>
        <w:rPr>
          <w:rFonts w:ascii="Arial" w:hAnsi="Arial" w:hint="cs"/>
          <w:rtl/>
        </w:rPr>
        <w:t>) על אחד מן החריגים בלשון המקרא: "</w:t>
      </w:r>
      <w:r>
        <w:rPr>
          <w:rFonts w:ascii="Arial" w:hAnsi="Arial"/>
          <w:rtl/>
        </w:rPr>
        <w:t>לְהָרָפָה - לענק</w:t>
      </w:r>
      <w:r>
        <w:rPr>
          <w:rFonts w:ascii="Arial" w:hAnsi="Arial" w:hint="cs"/>
          <w:rtl/>
        </w:rPr>
        <w:t>.</w:t>
      </w:r>
      <w:r>
        <w:rPr>
          <w:rFonts w:ascii="Arial" w:hAnsi="Arial"/>
          <w:rtl/>
        </w:rPr>
        <w:t xml:space="preserve"> </w:t>
      </w:r>
      <w:r>
        <w:rPr>
          <w:rFonts w:ascii="Arial" w:hAnsi="Arial" w:hint="eastAsia"/>
          <w:rtl/>
        </w:rPr>
        <w:t>ובא</w:t>
      </w:r>
      <w:r>
        <w:rPr>
          <w:rFonts w:ascii="Arial" w:hAnsi="Arial"/>
          <w:rtl/>
        </w:rPr>
        <w:t xml:space="preserve"> בה"א הידיעה עם למ"ד הש</w:t>
      </w:r>
      <w:r>
        <w:rPr>
          <w:rFonts w:ascii="Arial" w:hAnsi="Arial" w:hint="cs"/>
          <w:rtl/>
        </w:rPr>
        <w:t>ִ</w:t>
      </w:r>
      <w:r>
        <w:rPr>
          <w:rFonts w:ascii="Arial" w:hAnsi="Arial"/>
          <w:rtl/>
        </w:rPr>
        <w:t xml:space="preserve">מוש </w:t>
      </w:r>
      <w:r>
        <w:rPr>
          <w:rFonts w:ascii="Arial" w:hAnsi="Arial" w:hint="eastAsia"/>
          <w:rtl/>
        </w:rPr>
        <w:t>כמשפט</w:t>
      </w:r>
      <w:r>
        <w:rPr>
          <w:rFonts w:ascii="Arial" w:hAnsi="Arial" w:hint="cs"/>
          <w:rtl/>
        </w:rPr>
        <w:t>,</w:t>
      </w:r>
      <w:r>
        <w:rPr>
          <w:rFonts w:ascii="Arial" w:hAnsi="Arial"/>
          <w:rtl/>
        </w:rPr>
        <w:t xml:space="preserve"> אלא שברוב נפלה ה"א הידיעה להק</w:t>
      </w:r>
      <w:r>
        <w:rPr>
          <w:rFonts w:ascii="Arial" w:hAnsi="Arial" w:hint="cs"/>
          <w:rtl/>
        </w:rPr>
        <w:t>ֵ</w:t>
      </w:r>
      <w:r>
        <w:rPr>
          <w:rFonts w:ascii="Arial" w:hAnsi="Arial"/>
          <w:rtl/>
        </w:rPr>
        <w:t>ל</w:t>
      </w:r>
      <w:r>
        <w:rPr>
          <w:rFonts w:ascii="Arial" w:hAnsi="Arial" w:hint="cs"/>
          <w:rtl/>
        </w:rPr>
        <w:t>;</w:t>
      </w:r>
      <w:r>
        <w:rPr>
          <w:rFonts w:ascii="Arial" w:hAnsi="Arial"/>
          <w:rtl/>
        </w:rPr>
        <w:t xml:space="preserve"> וכמוה</w:t>
      </w:r>
      <w:r>
        <w:rPr>
          <w:rFonts w:ascii="Arial" w:hAnsi="Arial" w:hint="cs"/>
          <w:rtl/>
        </w:rPr>
        <w:t>:</w:t>
      </w:r>
      <w:r>
        <w:rPr>
          <w:rFonts w:ascii="Arial" w:hAnsi="Arial"/>
          <w:rtl/>
        </w:rPr>
        <w:t xml:space="preserve"> </w:t>
      </w:r>
      <w:r>
        <w:rPr>
          <w:rFonts w:ascii="Arial" w:hAnsi="Arial" w:hint="cs"/>
          <w:rtl/>
        </w:rPr>
        <w:t>'</w:t>
      </w:r>
      <w:r>
        <w:rPr>
          <w:rFonts w:ascii="Arial" w:hAnsi="Arial" w:hint="eastAsia"/>
          <w:rtl/>
        </w:rPr>
        <w:t>לְהָעָם</w:t>
      </w:r>
      <w:r>
        <w:rPr>
          <w:rFonts w:ascii="Arial" w:hAnsi="Arial"/>
          <w:rtl/>
        </w:rPr>
        <w:t xml:space="preserve"> </w:t>
      </w:r>
      <w:r>
        <w:rPr>
          <w:rFonts w:ascii="Arial" w:hAnsi="Arial" w:hint="eastAsia"/>
          <w:rtl/>
        </w:rPr>
        <w:t>הַזֶּה</w:t>
      </w:r>
      <w:r>
        <w:rPr>
          <w:rFonts w:ascii="Arial" w:hAnsi="Arial" w:hint="cs"/>
          <w:rtl/>
        </w:rPr>
        <w:t>' (</w:t>
      </w:r>
      <w:r>
        <w:rPr>
          <w:rFonts w:ascii="Arial" w:hAnsi="Arial" w:hint="eastAsia"/>
          <w:sz w:val="18"/>
          <w:szCs w:val="20"/>
          <w:rtl/>
        </w:rPr>
        <w:t>דברי</w:t>
      </w:r>
      <w:r>
        <w:rPr>
          <w:rFonts w:ascii="Arial" w:hAnsi="Arial"/>
          <w:sz w:val="18"/>
          <w:szCs w:val="20"/>
          <w:rtl/>
        </w:rPr>
        <w:t xml:space="preserve"> הימים ב</w:t>
      </w:r>
      <w:r>
        <w:rPr>
          <w:rFonts w:ascii="Arial" w:hAnsi="Arial" w:hint="cs"/>
          <w:sz w:val="18"/>
          <w:szCs w:val="20"/>
          <w:rtl/>
        </w:rPr>
        <w:t xml:space="preserve">' </w:t>
      </w:r>
      <w:r>
        <w:rPr>
          <w:rFonts w:ascii="Arial" w:hAnsi="Arial"/>
          <w:sz w:val="18"/>
          <w:szCs w:val="20"/>
          <w:rtl/>
        </w:rPr>
        <w:t>י</w:t>
      </w:r>
      <w:r>
        <w:rPr>
          <w:rFonts w:ascii="Arial" w:hAnsi="Arial" w:hint="cs"/>
          <w:sz w:val="18"/>
          <w:szCs w:val="20"/>
          <w:rtl/>
        </w:rPr>
        <w:t xml:space="preserve">, </w:t>
      </w:r>
      <w:r>
        <w:rPr>
          <w:rFonts w:ascii="Arial" w:hAnsi="Arial"/>
          <w:sz w:val="18"/>
          <w:szCs w:val="20"/>
          <w:rtl/>
        </w:rPr>
        <w:t>ז</w:t>
      </w:r>
      <w:r>
        <w:rPr>
          <w:rFonts w:ascii="Arial" w:hAnsi="Arial" w:hint="cs"/>
          <w:rtl/>
        </w:rPr>
        <w:t>),</w:t>
      </w:r>
      <w:r>
        <w:rPr>
          <w:rFonts w:ascii="Arial" w:hAnsi="Arial"/>
          <w:rtl/>
        </w:rPr>
        <w:t xml:space="preserve"> </w:t>
      </w:r>
      <w:r>
        <w:rPr>
          <w:rFonts w:ascii="Arial" w:hAnsi="Arial" w:hint="cs"/>
          <w:rtl/>
        </w:rPr>
        <w:t>'</w:t>
      </w:r>
      <w:r>
        <w:rPr>
          <w:rFonts w:ascii="Arial" w:hAnsi="Arial" w:hint="eastAsia"/>
          <w:rtl/>
        </w:rPr>
        <w:t>לְהַגְּדוּד</w:t>
      </w:r>
      <w:r>
        <w:rPr>
          <w:rFonts w:ascii="Arial" w:hAnsi="Arial"/>
          <w:rtl/>
        </w:rPr>
        <w:t xml:space="preserve"> </w:t>
      </w:r>
      <w:r>
        <w:rPr>
          <w:rFonts w:ascii="Arial" w:hAnsi="Arial" w:hint="eastAsia"/>
          <w:rtl/>
        </w:rPr>
        <w:t>הבא</w:t>
      </w:r>
      <w:r>
        <w:rPr>
          <w:rFonts w:ascii="Arial" w:hAnsi="Arial"/>
          <w:rtl/>
        </w:rPr>
        <w:t xml:space="preserve"> אֵלָיו</w:t>
      </w:r>
      <w:r>
        <w:rPr>
          <w:rFonts w:ascii="Arial" w:hAnsi="Arial" w:hint="cs"/>
          <w:rtl/>
        </w:rPr>
        <w:t>' (</w:t>
      </w:r>
      <w:r>
        <w:rPr>
          <w:rFonts w:ascii="Arial" w:hAnsi="Arial" w:hint="cs"/>
          <w:sz w:val="18"/>
          <w:szCs w:val="20"/>
          <w:rtl/>
        </w:rPr>
        <w:t>שם</w:t>
      </w:r>
      <w:r>
        <w:rPr>
          <w:rFonts w:ascii="Arial" w:hAnsi="Arial"/>
          <w:sz w:val="18"/>
          <w:szCs w:val="20"/>
          <w:rtl/>
        </w:rPr>
        <w:t xml:space="preserve"> כה</w:t>
      </w:r>
      <w:r>
        <w:rPr>
          <w:rFonts w:ascii="Arial" w:hAnsi="Arial" w:hint="cs"/>
          <w:sz w:val="18"/>
          <w:szCs w:val="20"/>
          <w:rtl/>
        </w:rPr>
        <w:t>,</w:t>
      </w:r>
      <w:r>
        <w:rPr>
          <w:rFonts w:ascii="Arial" w:hAnsi="Arial"/>
          <w:sz w:val="18"/>
          <w:szCs w:val="20"/>
          <w:rtl/>
        </w:rPr>
        <w:t xml:space="preserve"> י</w:t>
      </w:r>
      <w:r>
        <w:rPr>
          <w:rFonts w:ascii="Arial" w:hAnsi="Arial" w:hint="cs"/>
          <w:sz w:val="18"/>
          <w:szCs w:val="20"/>
          <w:rtl/>
        </w:rPr>
        <w:t>; לפנינו: '</w:t>
      </w:r>
      <w:r>
        <w:rPr>
          <w:rFonts w:ascii="Arial" w:hAnsi="Arial" w:hint="eastAsia"/>
          <w:sz w:val="18"/>
          <w:szCs w:val="20"/>
          <w:rtl/>
        </w:rPr>
        <w:t>אֲשֶׁר</w:t>
      </w:r>
      <w:r>
        <w:rPr>
          <w:rFonts w:ascii="Arial" w:hAnsi="Arial"/>
          <w:sz w:val="18"/>
          <w:szCs w:val="20"/>
          <w:rtl/>
        </w:rPr>
        <w:t xml:space="preserve"> בָּא אֵלָיו</w:t>
      </w:r>
      <w:r>
        <w:rPr>
          <w:rFonts w:ascii="Arial" w:hAnsi="Arial" w:hint="cs"/>
          <w:sz w:val="18"/>
          <w:szCs w:val="20"/>
          <w:rtl/>
        </w:rPr>
        <w:t>'</w:t>
      </w:r>
      <w:r>
        <w:rPr>
          <w:rFonts w:ascii="Arial" w:hAnsi="Arial" w:hint="cs"/>
          <w:rtl/>
        </w:rPr>
        <w:t xml:space="preserve">)". בספר </w:t>
      </w:r>
      <w:r>
        <w:rPr>
          <w:rFonts w:ascii="Arial" w:hAnsi="Arial" w:hint="eastAsia"/>
          <w:rtl/>
        </w:rPr>
        <w:t>מלכים</w:t>
      </w:r>
      <w:r>
        <w:rPr>
          <w:rFonts w:ascii="Arial" w:hAnsi="Arial"/>
          <w:rtl/>
        </w:rPr>
        <w:t xml:space="preserve"> </w:t>
      </w:r>
      <w:r>
        <w:rPr>
          <w:rFonts w:ascii="Arial" w:hAnsi="Arial" w:hint="cs"/>
          <w:rtl/>
        </w:rPr>
        <w:t>(</w:t>
      </w:r>
      <w:r>
        <w:rPr>
          <w:rFonts w:ascii="Arial" w:hAnsi="Arial"/>
          <w:sz w:val="18"/>
          <w:szCs w:val="20"/>
          <w:rtl/>
        </w:rPr>
        <w:t>ב</w:t>
      </w:r>
      <w:r>
        <w:rPr>
          <w:rFonts w:ascii="Arial" w:hAnsi="Arial" w:hint="cs"/>
          <w:sz w:val="18"/>
          <w:szCs w:val="20"/>
          <w:rtl/>
        </w:rPr>
        <w:t>'</w:t>
      </w:r>
      <w:r>
        <w:rPr>
          <w:rFonts w:ascii="Arial" w:hAnsi="Arial"/>
          <w:sz w:val="18"/>
          <w:szCs w:val="20"/>
          <w:rtl/>
        </w:rPr>
        <w:t xml:space="preserve"> ז</w:t>
      </w:r>
      <w:r>
        <w:rPr>
          <w:rFonts w:ascii="Arial" w:hAnsi="Arial" w:hint="cs"/>
          <w:sz w:val="18"/>
          <w:szCs w:val="20"/>
          <w:rtl/>
        </w:rPr>
        <w:t xml:space="preserve">, </w:t>
      </w:r>
      <w:r>
        <w:rPr>
          <w:rFonts w:ascii="Arial" w:hAnsi="Arial"/>
          <w:sz w:val="18"/>
          <w:szCs w:val="20"/>
          <w:rtl/>
        </w:rPr>
        <w:t>יב</w:t>
      </w:r>
      <w:r>
        <w:rPr>
          <w:rFonts w:ascii="Arial" w:hAnsi="Arial" w:hint="cs"/>
          <w:rtl/>
        </w:rPr>
        <w:t>) נבדלים בנושא זה הקרי ("</w:t>
      </w:r>
      <w:r>
        <w:rPr>
          <w:rFonts w:ascii="Arial" w:hAnsi="Arial" w:hint="eastAsia"/>
          <w:rtl/>
        </w:rPr>
        <w:t>בהשדה</w:t>
      </w:r>
      <w:r>
        <w:rPr>
          <w:rFonts w:ascii="Arial" w:hAnsi="Arial" w:hint="cs"/>
          <w:rtl/>
        </w:rPr>
        <w:t>") והכתיב ("</w:t>
      </w:r>
      <w:r>
        <w:rPr>
          <w:rFonts w:ascii="Arial" w:hAnsi="Arial" w:hint="eastAsia"/>
          <w:rtl/>
        </w:rPr>
        <w:t>בַשָּׂדֶה</w:t>
      </w:r>
      <w:r>
        <w:rPr>
          <w:rFonts w:ascii="Arial" w:hAnsi="Arial" w:hint="cs"/>
          <w:rtl/>
        </w:rPr>
        <w:t>"), וחז"ל דרשו מקראות חריגים מסוג זה (</w:t>
      </w:r>
      <w:r>
        <w:rPr>
          <w:rFonts w:ascii="Arial" w:hAnsi="Arial" w:hint="cs"/>
          <w:sz w:val="18"/>
          <w:szCs w:val="20"/>
          <w:rtl/>
        </w:rPr>
        <w:t xml:space="preserve">ראה למשל </w:t>
      </w:r>
      <w:r>
        <w:rPr>
          <w:rFonts w:ascii="Arial" w:hAnsi="Arial" w:hint="eastAsia"/>
          <w:sz w:val="18"/>
          <w:szCs w:val="20"/>
          <w:rtl/>
        </w:rPr>
        <w:t>רד</w:t>
      </w:r>
      <w:r>
        <w:rPr>
          <w:rFonts w:ascii="Arial" w:hAnsi="Arial"/>
          <w:sz w:val="18"/>
          <w:szCs w:val="20"/>
          <w:rtl/>
        </w:rPr>
        <w:t xml:space="preserve">"ק </w:t>
      </w:r>
      <w:r>
        <w:rPr>
          <w:rFonts w:ascii="Arial" w:hAnsi="Arial" w:hint="cs"/>
          <w:sz w:val="18"/>
          <w:szCs w:val="20"/>
          <w:rtl/>
        </w:rPr>
        <w:t>ל</w:t>
      </w:r>
      <w:r>
        <w:rPr>
          <w:rFonts w:ascii="Arial" w:hAnsi="Arial"/>
          <w:sz w:val="18"/>
          <w:szCs w:val="20"/>
          <w:rtl/>
        </w:rPr>
        <w:t>יחזקאל מ</w:t>
      </w:r>
      <w:r>
        <w:rPr>
          <w:rFonts w:ascii="Arial" w:hAnsi="Arial" w:hint="cs"/>
          <w:sz w:val="18"/>
          <w:szCs w:val="20"/>
          <w:rtl/>
        </w:rPr>
        <w:t xml:space="preserve">, </w:t>
      </w:r>
      <w:r>
        <w:rPr>
          <w:rFonts w:ascii="Arial" w:hAnsi="Arial"/>
          <w:sz w:val="18"/>
          <w:szCs w:val="20"/>
          <w:rtl/>
        </w:rPr>
        <w:t>כה ד"ה</w:t>
      </w:r>
      <w:r>
        <w:rPr>
          <w:rFonts w:ascii="Arial" w:hAnsi="Arial" w:hint="cs"/>
          <w:sz w:val="18"/>
          <w:szCs w:val="20"/>
          <w:rtl/>
        </w:rPr>
        <w:t xml:space="preserve"> </w:t>
      </w:r>
      <w:r>
        <w:rPr>
          <w:rFonts w:ascii="Arial" w:hAnsi="Arial" w:hint="eastAsia"/>
          <w:sz w:val="18"/>
          <w:szCs w:val="20"/>
          <w:rtl/>
        </w:rPr>
        <w:t>כהחלונות</w:t>
      </w:r>
      <w:r>
        <w:rPr>
          <w:rFonts w:ascii="Arial" w:hAnsi="Arial" w:hint="cs"/>
          <w:rtl/>
        </w:rPr>
        <w:t xml:space="preserve">). אף בתפילה אנו אוחזים בזה ובזה: בפסוקי דזמרא משבחים אנו בלשונו של </w:t>
      </w:r>
      <w:r>
        <w:rPr>
          <w:rFonts w:ascii="Arial" w:hAnsi="Arial"/>
          <w:rtl/>
        </w:rPr>
        <w:t xml:space="preserve">נחמיה </w:t>
      </w:r>
      <w:r>
        <w:rPr>
          <w:rFonts w:ascii="Arial" w:hAnsi="Arial" w:hint="cs"/>
          <w:rtl/>
        </w:rPr>
        <w:t>(</w:t>
      </w:r>
      <w:r>
        <w:rPr>
          <w:rFonts w:ascii="Arial" w:hAnsi="Arial"/>
          <w:sz w:val="18"/>
          <w:szCs w:val="20"/>
          <w:rtl/>
        </w:rPr>
        <w:t>ט</w:t>
      </w:r>
      <w:r>
        <w:rPr>
          <w:rFonts w:ascii="Arial" w:hAnsi="Arial" w:hint="cs"/>
          <w:sz w:val="18"/>
          <w:szCs w:val="20"/>
          <w:rtl/>
        </w:rPr>
        <w:t xml:space="preserve">, </w:t>
      </w:r>
      <w:r>
        <w:rPr>
          <w:rFonts w:ascii="Arial" w:hAnsi="Arial"/>
          <w:sz w:val="18"/>
          <w:szCs w:val="20"/>
          <w:rtl/>
        </w:rPr>
        <w:t>י</w:t>
      </w:r>
      <w:r>
        <w:rPr>
          <w:rFonts w:ascii="Arial" w:hAnsi="Arial"/>
          <w:rtl/>
        </w:rPr>
        <w:t>)</w:t>
      </w:r>
      <w:r>
        <w:rPr>
          <w:rFonts w:ascii="Arial" w:hAnsi="Arial" w:hint="cs"/>
          <w:rtl/>
        </w:rPr>
        <w:t xml:space="preserve"> "</w:t>
      </w:r>
      <w:r>
        <w:rPr>
          <w:rFonts w:ascii="Arial" w:hAnsi="Arial"/>
          <w:rtl/>
        </w:rPr>
        <w:t>וַתִּתֵּן אֹתֹת וּמֹפְתִים</w:t>
      </w:r>
      <w:r>
        <w:rPr>
          <w:rFonts w:ascii="Arial" w:hAnsi="Arial" w:hint="cs"/>
          <w:rtl/>
        </w:rPr>
        <w:t xml:space="preserve">... </w:t>
      </w:r>
      <w:r>
        <w:rPr>
          <w:rFonts w:ascii="Arial" w:hAnsi="Arial"/>
          <w:rtl/>
        </w:rPr>
        <w:t>וַתַּעַשׂ לְךָ שֵׁם כְּ</w:t>
      </w:r>
      <w:r>
        <w:rPr>
          <w:rFonts w:ascii="Arial" w:hAnsi="Arial"/>
          <w:b/>
          <w:bCs/>
          <w:rtl/>
        </w:rPr>
        <w:t>הַ</w:t>
      </w:r>
      <w:r>
        <w:rPr>
          <w:rFonts w:ascii="Arial" w:hAnsi="Arial"/>
          <w:rtl/>
        </w:rPr>
        <w:t>יּוֹם הַזֶּה</w:t>
      </w:r>
      <w:r>
        <w:rPr>
          <w:rFonts w:ascii="Arial" w:hAnsi="Arial" w:hint="cs"/>
          <w:rtl/>
        </w:rPr>
        <w:t>", וכן בשלהי מוסף של ימים נוראים: "</w:t>
      </w:r>
      <w:r>
        <w:rPr>
          <w:rFonts w:ascii="Arial" w:hAnsi="Arial"/>
          <w:rtl/>
        </w:rPr>
        <w:t>וַיְצַוֵּנוּ</w:t>
      </w:r>
      <w:r>
        <w:rPr>
          <w:rFonts w:ascii="Arial" w:hAnsi="Arial" w:hint="cs"/>
          <w:rtl/>
        </w:rPr>
        <w:t xml:space="preserve"> ה' </w:t>
      </w:r>
      <w:r>
        <w:rPr>
          <w:rFonts w:ascii="Arial" w:hAnsi="Arial"/>
          <w:rtl/>
        </w:rPr>
        <w:t>לַעֲשׂוֹת אֶת כָּל הַחֻקִּים הָאֵלֶּה</w:t>
      </w:r>
      <w:r>
        <w:rPr>
          <w:rFonts w:ascii="Arial" w:hAnsi="Arial" w:hint="cs"/>
          <w:rtl/>
        </w:rPr>
        <w:t>...</w:t>
      </w:r>
      <w:r>
        <w:rPr>
          <w:rFonts w:ascii="Arial" w:hAnsi="Arial"/>
          <w:rtl/>
        </w:rPr>
        <w:t xml:space="preserve"> לְחַיֹּתֵנוּ כְּ</w:t>
      </w:r>
      <w:r>
        <w:rPr>
          <w:rFonts w:ascii="Arial" w:hAnsi="Arial"/>
          <w:b/>
          <w:bCs/>
          <w:rtl/>
        </w:rPr>
        <w:t>הַ</w:t>
      </w:r>
      <w:r>
        <w:rPr>
          <w:rFonts w:ascii="Arial" w:hAnsi="Arial"/>
          <w:rtl/>
        </w:rPr>
        <w:t>יּוֹם הַזֶּה</w:t>
      </w:r>
      <w:r>
        <w:rPr>
          <w:rFonts w:ascii="Arial" w:hAnsi="Arial" w:hint="cs"/>
          <w:rtl/>
        </w:rPr>
        <w:t>" (</w:t>
      </w:r>
      <w:r>
        <w:rPr>
          <w:rFonts w:ascii="Arial" w:hAnsi="Arial"/>
          <w:sz w:val="18"/>
          <w:szCs w:val="20"/>
          <w:rtl/>
        </w:rPr>
        <w:t>דברים ו</w:t>
      </w:r>
      <w:r>
        <w:rPr>
          <w:rFonts w:ascii="Arial" w:hAnsi="Arial" w:hint="cs"/>
          <w:sz w:val="18"/>
          <w:szCs w:val="20"/>
          <w:rtl/>
        </w:rPr>
        <w:t xml:space="preserve">, </w:t>
      </w:r>
      <w:r>
        <w:rPr>
          <w:rFonts w:ascii="Arial" w:hAnsi="Arial"/>
          <w:sz w:val="18"/>
          <w:szCs w:val="20"/>
          <w:rtl/>
        </w:rPr>
        <w:t>כד</w:t>
      </w:r>
      <w:r>
        <w:rPr>
          <w:rFonts w:ascii="Arial" w:hAnsi="Arial" w:hint="cs"/>
          <w:rtl/>
        </w:rPr>
        <w:t>)</w:t>
      </w:r>
      <w:r>
        <w:rPr>
          <w:rFonts w:ascii="Arial" w:hAnsi="Arial"/>
          <w:rtl/>
        </w:rPr>
        <w:t xml:space="preserve"> </w:t>
      </w:r>
      <w:r>
        <w:rPr>
          <w:rFonts w:ascii="Arial" w:hAnsi="Arial" w:hint="cs"/>
          <w:rtl/>
        </w:rPr>
        <w:t>- "</w:t>
      </w:r>
      <w:r>
        <w:rPr>
          <w:rFonts w:ascii="Arial" w:hAnsi="Arial" w:hint="eastAsia"/>
          <w:rtl/>
        </w:rPr>
        <w:t>כמשפט</w:t>
      </w:r>
      <w:r>
        <w:rPr>
          <w:rFonts w:ascii="Arial" w:hAnsi="Arial" w:hint="cs"/>
          <w:rtl/>
        </w:rPr>
        <w:t xml:space="preserve">", ובצורה ה"קלה", חסרת האות ה', אנו מתחננים בשני ובחמישי בלשונו של </w:t>
      </w:r>
      <w:r>
        <w:rPr>
          <w:rFonts w:ascii="Arial" w:hAnsi="Arial"/>
          <w:rtl/>
        </w:rPr>
        <w:t xml:space="preserve">דניאל </w:t>
      </w:r>
      <w:r>
        <w:rPr>
          <w:rFonts w:ascii="Arial" w:hAnsi="Arial" w:hint="cs"/>
          <w:rtl/>
        </w:rPr>
        <w:t>(</w:t>
      </w:r>
      <w:r>
        <w:rPr>
          <w:rFonts w:ascii="Arial" w:hAnsi="Arial"/>
          <w:sz w:val="18"/>
          <w:szCs w:val="20"/>
          <w:rtl/>
        </w:rPr>
        <w:t>ט</w:t>
      </w:r>
      <w:r>
        <w:rPr>
          <w:rFonts w:ascii="Arial" w:hAnsi="Arial" w:hint="cs"/>
          <w:sz w:val="18"/>
          <w:szCs w:val="20"/>
          <w:rtl/>
        </w:rPr>
        <w:t xml:space="preserve">, </w:t>
      </w:r>
      <w:r>
        <w:rPr>
          <w:rFonts w:ascii="Arial" w:hAnsi="Arial"/>
          <w:sz w:val="18"/>
          <w:szCs w:val="20"/>
          <w:rtl/>
        </w:rPr>
        <w:t>טו</w:t>
      </w:r>
      <w:r>
        <w:rPr>
          <w:rFonts w:ascii="Arial" w:hAnsi="Arial"/>
          <w:rtl/>
        </w:rPr>
        <w:t>)</w:t>
      </w:r>
      <w:r>
        <w:rPr>
          <w:rFonts w:ascii="Arial" w:hAnsi="Arial" w:hint="cs"/>
          <w:rtl/>
        </w:rPr>
        <w:t>: "</w:t>
      </w:r>
      <w:r>
        <w:rPr>
          <w:rFonts w:ascii="Arial" w:hAnsi="Arial"/>
          <w:rtl/>
        </w:rPr>
        <w:t>וְעַתָּה אֲדֹנָי</w:t>
      </w:r>
      <w:r>
        <w:rPr>
          <w:rFonts w:ascii="Arial" w:hAnsi="Arial" w:hint="cs"/>
          <w:rtl/>
        </w:rPr>
        <w:t>...</w:t>
      </w:r>
      <w:r>
        <w:rPr>
          <w:rFonts w:ascii="Arial" w:hAnsi="Arial"/>
          <w:rtl/>
        </w:rPr>
        <w:t xml:space="preserve"> וַתַּעַשׂ לְךָ שֵׁם </w:t>
      </w:r>
      <w:r>
        <w:rPr>
          <w:rFonts w:ascii="Arial" w:hAnsi="Arial"/>
          <w:b/>
          <w:bCs/>
          <w:rtl/>
        </w:rPr>
        <w:t>כַּיּ</w:t>
      </w:r>
      <w:r>
        <w:rPr>
          <w:rFonts w:ascii="Arial" w:hAnsi="Arial"/>
          <w:rtl/>
        </w:rPr>
        <w:t>וֹם הַזֶּה</w:t>
      </w:r>
      <w:r>
        <w:rPr>
          <w:rFonts w:ascii="Arial" w:hAnsi="Arial" w:hint="cs"/>
          <w:rtl/>
        </w:rPr>
        <w:t>".</w:t>
      </w:r>
    </w:p>
  </w:footnote>
  <w:footnote w:id="20">
    <w:p w14:paraId="7A46886A"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כך מנוקד במהדורות שלמסכת אבות כמסורת תימן: "</w:t>
      </w:r>
      <w:r>
        <w:rPr>
          <w:rFonts w:ascii="Arial" w:hAnsi="Arial"/>
          <w:sz w:val="26"/>
          <w:rtl/>
        </w:rPr>
        <w:t>ש</w:t>
      </w:r>
      <w:r>
        <w:rPr>
          <w:rFonts w:ascii="Arial" w:hAnsi="Arial" w:hint="cs"/>
          <w:sz w:val="26"/>
          <w:rtl/>
        </w:rPr>
        <w:t>ֶ</w:t>
      </w:r>
      <w:r>
        <w:rPr>
          <w:rFonts w:ascii="Arial" w:hAnsi="Arial"/>
          <w:sz w:val="26"/>
          <w:rtl/>
        </w:rPr>
        <w:t>ל</w:t>
      </w:r>
      <w:r>
        <w:rPr>
          <w:rFonts w:ascii="Arial" w:hAnsi="Arial" w:hint="cs"/>
          <w:sz w:val="26"/>
          <w:rtl/>
        </w:rPr>
        <w:t>ַּ-</w:t>
      </w:r>
      <w:r>
        <w:rPr>
          <w:rFonts w:ascii="Arial" w:hAnsi="Arial"/>
          <w:sz w:val="26"/>
          <w:rtl/>
        </w:rPr>
        <w:t>ת</w:t>
      </w:r>
      <w:r>
        <w:rPr>
          <w:rFonts w:ascii="Arial" w:hAnsi="Arial" w:hint="cs"/>
          <w:sz w:val="26"/>
          <w:rtl/>
        </w:rPr>
        <w:t>ּ</w:t>
      </w:r>
      <w:r>
        <w:rPr>
          <w:rFonts w:ascii="Arial" w:hAnsi="Arial"/>
          <w:sz w:val="26"/>
          <w:rtl/>
        </w:rPr>
        <w:t>ו</w:t>
      </w:r>
      <w:r>
        <w:rPr>
          <w:rFonts w:ascii="Arial" w:hAnsi="Arial" w:hint="cs"/>
          <w:sz w:val="26"/>
          <w:rtl/>
        </w:rPr>
        <w:t>ֹ</w:t>
      </w:r>
      <w:r>
        <w:rPr>
          <w:rFonts w:ascii="Arial" w:hAnsi="Arial"/>
          <w:sz w:val="26"/>
          <w:rtl/>
        </w:rPr>
        <w:t>ר</w:t>
      </w:r>
      <w:r>
        <w:rPr>
          <w:rFonts w:ascii="Arial" w:hAnsi="Arial" w:hint="cs"/>
          <w:sz w:val="26"/>
          <w:rtl/>
        </w:rPr>
        <w:t>ָ</w:t>
      </w:r>
      <w:r>
        <w:rPr>
          <w:rFonts w:ascii="Arial" w:hAnsi="Arial"/>
          <w:sz w:val="26"/>
          <w:rtl/>
        </w:rPr>
        <w:t>ה</w:t>
      </w:r>
      <w:r>
        <w:rPr>
          <w:rFonts w:ascii="Arial" w:hAnsi="Arial" w:hint="cs"/>
          <w:rtl/>
        </w:rPr>
        <w:t>".</w:t>
      </w:r>
    </w:p>
  </w:footnote>
  <w:footnote w:id="21">
    <w:p w14:paraId="7EEC3B0C"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sz w:val="24"/>
          <w:rtl/>
        </w:rPr>
        <w:t xml:space="preserve">כתב יד </w:t>
      </w:r>
      <w:r>
        <w:rPr>
          <w:rFonts w:ascii="Arial" w:hAnsi="Arial"/>
          <w:sz w:val="24"/>
          <w:rtl/>
        </w:rPr>
        <w:t>קאופמן</w:t>
      </w:r>
      <w:r>
        <w:rPr>
          <w:rFonts w:ascii="Arial" w:hAnsi="Arial" w:hint="cs"/>
          <w:sz w:val="24"/>
          <w:rtl/>
        </w:rPr>
        <w:t xml:space="preserve"> וכתב יד פרמה א'. יש לציין כי </w:t>
      </w:r>
      <w:r>
        <w:rPr>
          <w:rFonts w:ascii="Arial" w:hAnsi="Arial" w:hint="eastAsia"/>
          <w:sz w:val="20"/>
          <w:rtl/>
        </w:rPr>
        <w:t>בסידור</w:t>
      </w:r>
      <w:r>
        <w:rPr>
          <w:rFonts w:ascii="Arial" w:hAnsi="Arial" w:hint="cs"/>
          <w:sz w:val="20"/>
          <w:rtl/>
        </w:rPr>
        <w:t xml:space="preserve"> התימני הנ"ל (</w:t>
      </w:r>
      <w:r>
        <w:rPr>
          <w:rFonts w:ascii="Arial" w:hAnsi="Arial" w:hint="cs"/>
          <w:sz w:val="18"/>
          <w:szCs w:val="20"/>
          <w:rtl/>
        </w:rPr>
        <w:t>עמ' 237</w:t>
      </w:r>
      <w:r>
        <w:rPr>
          <w:rFonts w:ascii="Arial" w:hAnsi="Arial" w:hint="cs"/>
          <w:sz w:val="20"/>
          <w:rtl/>
        </w:rPr>
        <w:t>) מופיע "</w:t>
      </w:r>
      <w:r>
        <w:rPr>
          <w:rFonts w:ascii="Arial" w:hAnsi="Arial"/>
          <w:sz w:val="20"/>
          <w:rtl/>
        </w:rPr>
        <w:t>שֶלּ</w:t>
      </w:r>
      <w:r>
        <w:rPr>
          <w:rFonts w:ascii="Arial" w:hAnsi="Arial" w:hint="cs"/>
          <w:sz w:val="20"/>
          <w:rtl/>
        </w:rPr>
        <w:t xml:space="preserve">ַ-עָנִי" וצ"ל ל' בסגול. מסתבר שטעות זו נעוצה בעובדה </w:t>
      </w:r>
      <w:r>
        <w:rPr>
          <w:rFonts w:ascii="Arial" w:hAnsi="Arial" w:hint="cs"/>
          <w:rtl/>
        </w:rPr>
        <w:t>שבמבטא תימני (ובניקוד בבלי) הפתח וה</w:t>
      </w:r>
      <w:r>
        <w:rPr>
          <w:rFonts w:ascii="Arial" w:hAnsi="Arial" w:hint="cs"/>
          <w:sz w:val="20"/>
          <w:rtl/>
        </w:rPr>
        <w:t xml:space="preserve">סגול </w:t>
      </w:r>
      <w:r>
        <w:rPr>
          <w:rFonts w:ascii="Arial" w:hAnsi="Arial" w:hint="cs"/>
          <w:rtl/>
        </w:rPr>
        <w:t>זהות.</w:t>
      </w:r>
    </w:p>
  </w:footnote>
  <w:footnote w:id="22">
    <w:p w14:paraId="47A234F8"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ל' השימוש מנוקדת כאן בסגול כי זהו ניקוד ה' היידוע כשהיא באה לפני ע' קמוצה (כגון: "</w:t>
      </w:r>
      <w:r>
        <w:rPr>
          <w:rFonts w:ascii="Arial" w:hAnsi="Arial"/>
          <w:rtl/>
        </w:rPr>
        <w:t xml:space="preserve">אֶת </w:t>
      </w:r>
      <w:r>
        <w:rPr>
          <w:rFonts w:ascii="Arial" w:hAnsi="Arial"/>
          <w:b/>
          <w:bCs/>
          <w:rtl/>
        </w:rPr>
        <w:t>הֶ</w:t>
      </w:r>
      <w:r>
        <w:rPr>
          <w:rFonts w:ascii="Arial" w:hAnsi="Arial"/>
          <w:rtl/>
        </w:rPr>
        <w:t>עָנִי עִמָּךְ</w:t>
      </w:r>
      <w:r>
        <w:rPr>
          <w:rFonts w:ascii="Arial" w:hAnsi="Arial" w:hint="cs"/>
          <w:rtl/>
        </w:rPr>
        <w:t xml:space="preserve">" </w:t>
      </w:r>
      <w:r>
        <w:rPr>
          <w:rFonts w:ascii="Arial" w:hAnsi="Arial" w:hint="cs"/>
          <w:sz w:val="18"/>
          <w:szCs w:val="20"/>
          <w:rtl/>
        </w:rPr>
        <w:t>ב</w:t>
      </w:r>
      <w:r>
        <w:rPr>
          <w:rFonts w:ascii="Arial" w:hAnsi="Arial"/>
          <w:sz w:val="18"/>
          <w:szCs w:val="20"/>
          <w:rtl/>
        </w:rPr>
        <w:t>שמות כב</w:t>
      </w:r>
      <w:r>
        <w:rPr>
          <w:rFonts w:ascii="Arial" w:hAnsi="Arial" w:hint="cs"/>
          <w:sz w:val="18"/>
          <w:szCs w:val="20"/>
          <w:rtl/>
        </w:rPr>
        <w:t xml:space="preserve">, </w:t>
      </w:r>
      <w:r>
        <w:rPr>
          <w:rFonts w:ascii="Arial" w:hAnsi="Arial"/>
          <w:sz w:val="18"/>
          <w:szCs w:val="20"/>
          <w:rtl/>
        </w:rPr>
        <w:t>כד</w:t>
      </w:r>
      <w:r>
        <w:rPr>
          <w:rFonts w:ascii="Arial" w:hAnsi="Arial" w:hint="cs"/>
          <w:rtl/>
        </w:rPr>
        <w:t>). לכן יש להבדיל בין "</w:t>
      </w:r>
      <w:r>
        <w:rPr>
          <w:rFonts w:ascii="Arial" w:hAnsi="Arial"/>
          <w:rtl/>
        </w:rPr>
        <w:t xml:space="preserve">תְּפִלָּה </w:t>
      </w:r>
      <w:r>
        <w:rPr>
          <w:rFonts w:ascii="Arial" w:hAnsi="Arial"/>
          <w:b/>
          <w:bCs/>
          <w:rtl/>
        </w:rPr>
        <w:t>לְ</w:t>
      </w:r>
      <w:r>
        <w:rPr>
          <w:rFonts w:ascii="Arial" w:hAnsi="Arial"/>
          <w:rtl/>
        </w:rPr>
        <w:t>עָנִי כִי יַעֲטֹף</w:t>
      </w:r>
      <w:r>
        <w:rPr>
          <w:rFonts w:ascii="Arial" w:hAnsi="Arial" w:hint="cs"/>
          <w:rtl/>
        </w:rPr>
        <w:t>"</w:t>
      </w:r>
      <w:r>
        <w:rPr>
          <w:rFonts w:ascii="Arial" w:hAnsi="Arial"/>
          <w:rtl/>
        </w:rPr>
        <w:t xml:space="preserve"> </w:t>
      </w:r>
      <w:r>
        <w:rPr>
          <w:rFonts w:ascii="Arial" w:hAnsi="Arial" w:hint="cs"/>
          <w:rtl/>
        </w:rPr>
        <w:t>(</w:t>
      </w:r>
      <w:r>
        <w:rPr>
          <w:rFonts w:ascii="Arial" w:hAnsi="Arial"/>
          <w:sz w:val="18"/>
          <w:szCs w:val="20"/>
          <w:rtl/>
        </w:rPr>
        <w:t>תהלים קב</w:t>
      </w:r>
      <w:r>
        <w:rPr>
          <w:rFonts w:ascii="Arial" w:hAnsi="Arial" w:hint="cs"/>
          <w:sz w:val="18"/>
          <w:szCs w:val="20"/>
          <w:rtl/>
        </w:rPr>
        <w:t xml:space="preserve">, </w:t>
      </w:r>
      <w:r>
        <w:rPr>
          <w:rFonts w:ascii="Arial" w:hAnsi="Arial"/>
          <w:sz w:val="18"/>
          <w:szCs w:val="20"/>
          <w:rtl/>
        </w:rPr>
        <w:t>א</w:t>
      </w:r>
      <w:r>
        <w:rPr>
          <w:rFonts w:ascii="Arial" w:hAnsi="Arial" w:hint="cs"/>
          <w:rtl/>
        </w:rPr>
        <w:t>) שהוא סתמי, לבין</w:t>
      </w:r>
      <w:r>
        <w:rPr>
          <w:rFonts w:ascii="Arial" w:hAnsi="Arial"/>
          <w:rtl/>
        </w:rPr>
        <w:t xml:space="preserve"> </w:t>
      </w:r>
      <w:r>
        <w:rPr>
          <w:rFonts w:ascii="Arial" w:hAnsi="Arial" w:hint="cs"/>
          <w:rtl/>
        </w:rPr>
        <w:t>"</w:t>
      </w:r>
      <w:r>
        <w:rPr>
          <w:rFonts w:ascii="Arial" w:hAnsi="Arial"/>
          <w:rtl/>
        </w:rPr>
        <w:t>לֶעָנִי</w:t>
      </w:r>
      <w:r>
        <w:rPr>
          <w:rFonts w:ascii="Arial" w:hAnsi="Arial" w:hint="cs"/>
          <w:rtl/>
        </w:rPr>
        <w:t>" שהוא מיודע (</w:t>
      </w:r>
      <w:r>
        <w:rPr>
          <w:rFonts w:ascii="Arial" w:hAnsi="Arial" w:hint="cs"/>
          <w:sz w:val="18"/>
          <w:szCs w:val="20"/>
          <w:rtl/>
        </w:rPr>
        <w:t>ויש להאריך בקריאת הסגול מעט יותר מהשווא</w:t>
      </w:r>
      <w:r>
        <w:rPr>
          <w:rFonts w:ascii="Arial" w:hAnsi="Arial" w:hint="cs"/>
          <w:rtl/>
        </w:rPr>
        <w:t>), כגון: "</w:t>
      </w:r>
      <w:r>
        <w:rPr>
          <w:rFonts w:ascii="Arial" w:hAnsi="Arial"/>
          <w:b/>
          <w:bCs/>
          <w:rtl/>
        </w:rPr>
        <w:t>לֶ</w:t>
      </w:r>
      <w:r>
        <w:rPr>
          <w:rFonts w:ascii="Arial" w:hAnsi="Arial"/>
          <w:rtl/>
        </w:rPr>
        <w:t>עָנִי וְ</w:t>
      </w:r>
      <w:r>
        <w:rPr>
          <w:rFonts w:ascii="Arial" w:hAnsi="Arial"/>
          <w:b/>
          <w:bCs/>
          <w:rtl/>
        </w:rPr>
        <w:t>לַ</w:t>
      </w:r>
      <w:r>
        <w:rPr>
          <w:rFonts w:ascii="Arial" w:hAnsi="Arial"/>
          <w:rtl/>
        </w:rPr>
        <w:t>גֵּר</w:t>
      </w:r>
      <w:r>
        <w:rPr>
          <w:rFonts w:ascii="Arial" w:hAnsi="Arial" w:hint="cs"/>
          <w:rtl/>
        </w:rPr>
        <w:t>" (</w:t>
      </w:r>
      <w:r>
        <w:rPr>
          <w:rFonts w:ascii="Arial" w:hAnsi="Arial"/>
          <w:sz w:val="18"/>
          <w:szCs w:val="20"/>
          <w:rtl/>
        </w:rPr>
        <w:t>ויקרא יט</w:t>
      </w:r>
      <w:r>
        <w:rPr>
          <w:rFonts w:ascii="Arial" w:hAnsi="Arial" w:hint="cs"/>
          <w:sz w:val="18"/>
          <w:szCs w:val="20"/>
          <w:rtl/>
        </w:rPr>
        <w:t xml:space="preserve">, </w:t>
      </w:r>
      <w:r>
        <w:rPr>
          <w:rFonts w:ascii="Arial" w:hAnsi="Arial"/>
          <w:sz w:val="18"/>
          <w:szCs w:val="20"/>
          <w:rtl/>
        </w:rPr>
        <w:t>י</w:t>
      </w:r>
      <w:r>
        <w:rPr>
          <w:rFonts w:ascii="Arial" w:hAnsi="Arial" w:hint="cs"/>
          <w:sz w:val="18"/>
          <w:szCs w:val="20"/>
          <w:rtl/>
        </w:rPr>
        <w:t xml:space="preserve">; </w:t>
      </w:r>
      <w:r>
        <w:rPr>
          <w:rFonts w:ascii="Arial" w:hAnsi="Arial"/>
          <w:sz w:val="18"/>
          <w:szCs w:val="20"/>
          <w:rtl/>
        </w:rPr>
        <w:t>כג</w:t>
      </w:r>
      <w:r>
        <w:rPr>
          <w:rFonts w:ascii="Arial" w:hAnsi="Arial" w:hint="cs"/>
          <w:sz w:val="18"/>
          <w:szCs w:val="20"/>
          <w:rtl/>
        </w:rPr>
        <w:t xml:space="preserve">, </w:t>
      </w:r>
      <w:r>
        <w:rPr>
          <w:rFonts w:ascii="Arial" w:hAnsi="Arial"/>
          <w:sz w:val="18"/>
          <w:szCs w:val="20"/>
          <w:rtl/>
        </w:rPr>
        <w:t>כב</w:t>
      </w:r>
      <w:r>
        <w:rPr>
          <w:rFonts w:ascii="Arial" w:hAnsi="Arial" w:hint="cs"/>
          <w:rtl/>
        </w:rPr>
        <w:t>)</w:t>
      </w:r>
      <w:r>
        <w:rPr>
          <w:rFonts w:ascii="Arial" w:hAnsi="Arial"/>
          <w:rtl/>
        </w:rPr>
        <w:t xml:space="preserve"> </w:t>
      </w:r>
      <w:r>
        <w:rPr>
          <w:rFonts w:ascii="Arial" w:hAnsi="Arial" w:hint="cs"/>
          <w:rtl/>
        </w:rPr>
        <w:t>"</w:t>
      </w:r>
      <w:r>
        <w:rPr>
          <w:rFonts w:ascii="Arial" w:hAnsi="Arial"/>
          <w:rtl/>
        </w:rPr>
        <w:t xml:space="preserve">כַּפָּהּ פָּרְשָׂה </w:t>
      </w:r>
      <w:r>
        <w:rPr>
          <w:rFonts w:ascii="Arial" w:hAnsi="Arial"/>
          <w:b/>
          <w:bCs/>
          <w:rtl/>
        </w:rPr>
        <w:t>לֶ</w:t>
      </w:r>
      <w:r>
        <w:rPr>
          <w:rFonts w:ascii="Arial" w:hAnsi="Arial"/>
          <w:rtl/>
        </w:rPr>
        <w:t>עָנִי</w:t>
      </w:r>
      <w:r>
        <w:rPr>
          <w:rFonts w:ascii="Arial" w:hAnsi="Arial" w:hint="cs"/>
          <w:rtl/>
        </w:rPr>
        <w:t>,</w:t>
      </w:r>
      <w:r>
        <w:rPr>
          <w:rFonts w:ascii="Arial" w:hAnsi="Arial"/>
          <w:rtl/>
        </w:rPr>
        <w:t xml:space="preserve"> וְיָדֶיהָ יָדֶיהָ שִׁלְּחָה </w:t>
      </w:r>
      <w:r>
        <w:rPr>
          <w:rFonts w:ascii="Arial" w:hAnsi="Arial"/>
          <w:b/>
          <w:bCs/>
          <w:rtl/>
        </w:rPr>
        <w:t>לָ</w:t>
      </w:r>
      <w:r>
        <w:rPr>
          <w:rFonts w:ascii="Arial" w:hAnsi="Arial"/>
          <w:rtl/>
        </w:rPr>
        <w:t>אֶבְיוֹן</w:t>
      </w:r>
      <w:r>
        <w:rPr>
          <w:rFonts w:ascii="Arial" w:hAnsi="Arial" w:hint="cs"/>
          <w:rtl/>
        </w:rPr>
        <w:t>" (</w:t>
      </w:r>
      <w:r>
        <w:rPr>
          <w:rFonts w:ascii="Arial" w:hAnsi="Arial"/>
          <w:sz w:val="18"/>
          <w:szCs w:val="20"/>
          <w:rtl/>
        </w:rPr>
        <w:t>משלי לא</w:t>
      </w:r>
      <w:r>
        <w:rPr>
          <w:rFonts w:ascii="Arial" w:hAnsi="Arial" w:hint="cs"/>
          <w:sz w:val="18"/>
          <w:szCs w:val="20"/>
          <w:rtl/>
        </w:rPr>
        <w:t>,</w:t>
      </w:r>
      <w:r>
        <w:rPr>
          <w:rFonts w:ascii="Arial" w:hAnsi="Arial"/>
          <w:sz w:val="18"/>
          <w:szCs w:val="20"/>
          <w:rtl/>
        </w:rPr>
        <w:t xml:space="preserve"> כ</w:t>
      </w:r>
      <w:r>
        <w:rPr>
          <w:rFonts w:ascii="Arial" w:hAnsi="Arial" w:hint="cs"/>
          <w:rtl/>
        </w:rPr>
        <w:t>).</w:t>
      </w:r>
    </w:p>
  </w:footnote>
  <w:footnote w:id="23">
    <w:p w14:paraId="34D6E071"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"ואם לא הוסיף את הההי"ן - לא קרא את המשנה כתיקנה" (</w:t>
      </w:r>
      <w:r>
        <w:rPr>
          <w:rFonts w:ascii="Arial" w:hAnsi="Arial" w:hint="cs"/>
          <w:sz w:val="18"/>
          <w:szCs w:val="20"/>
          <w:rtl/>
        </w:rPr>
        <w:t xml:space="preserve">רד"צ הילמן, הנ"ל </w:t>
      </w:r>
      <w:r>
        <w:rPr>
          <w:rFonts w:ascii="Arial" w:hAnsi="Arial"/>
          <w:sz w:val="18"/>
          <w:szCs w:val="20"/>
          <w:rtl/>
        </w:rPr>
        <w:t xml:space="preserve">בהערה </w:t>
      </w:r>
      <w:r>
        <w:rPr>
          <w:rFonts w:ascii="Arial" w:hAnsi="Arial" w:hint="cs"/>
          <w:sz w:val="18"/>
          <w:szCs w:val="20"/>
          <w:rtl/>
        </w:rPr>
        <w:t>8</w:t>
      </w:r>
      <w:r>
        <w:rPr>
          <w:rFonts w:ascii="Arial" w:hAnsi="Arial"/>
          <w:sz w:val="18"/>
          <w:szCs w:val="20"/>
          <w:rtl/>
        </w:rPr>
        <w:t>).</w:t>
      </w:r>
    </w:p>
  </w:footnote>
  <w:footnote w:id="24">
    <w:p w14:paraId="326D1A6E" w14:textId="77777777" w:rsidR="00940290" w:rsidRDefault="00940290" w:rsidP="00940290">
      <w:pPr>
        <w:pStyle w:val="a5"/>
        <w:rPr>
          <w:rFonts w:ascii="Arial" w:hAnsi="Arial" w:hint="cs"/>
          <w:rtl/>
        </w:rPr>
      </w:pPr>
      <w:r>
        <w:rPr>
          <w:rStyle w:val="a4"/>
        </w:rPr>
        <w:footnoteRef/>
      </w:r>
      <w:r>
        <w:rPr>
          <w:rFonts w:hint="cs"/>
          <w:rtl/>
        </w:rPr>
        <w:t xml:space="preserve"> למשל, </w:t>
      </w:r>
      <w:r>
        <w:rPr>
          <w:rFonts w:ascii="Arial" w:hAnsi="Arial" w:hint="cs"/>
          <w:rtl/>
        </w:rPr>
        <w:t>במאמר זה: "</w:t>
      </w:r>
      <w:r>
        <w:rPr>
          <w:rFonts w:ascii="Arial" w:eastAsia="MS Mincho" w:hAnsi="Arial"/>
          <w:rtl/>
        </w:rPr>
        <w:t xml:space="preserve">תרגום של </w:t>
      </w:r>
      <w:r>
        <w:rPr>
          <w:rFonts w:ascii="Arial" w:eastAsia="MS Mincho" w:hAnsi="Arial" w:hint="cs"/>
          <w:rtl/>
        </w:rPr>
        <w:t>[ה]</w:t>
      </w:r>
      <w:r>
        <w:rPr>
          <w:rFonts w:ascii="Arial" w:eastAsia="MS Mincho" w:hAnsi="Arial"/>
          <w:rtl/>
        </w:rPr>
        <w:t xml:space="preserve">תורה </w:t>
      </w:r>
      <w:r>
        <w:rPr>
          <w:rFonts w:ascii="Arial" w:eastAsia="MS Mincho" w:hAnsi="Arial"/>
          <w:sz w:val="18"/>
          <w:szCs w:val="20"/>
          <w:rtl/>
        </w:rPr>
        <w:t>אונקלוס הגר אמרו</w:t>
      </w:r>
      <w:r>
        <w:rPr>
          <w:rFonts w:ascii="Arial" w:eastAsia="MS Mincho" w:hAnsi="Arial" w:hint="cs"/>
          <w:sz w:val="18"/>
          <w:szCs w:val="20"/>
          <w:rtl/>
        </w:rPr>
        <w:t>..</w:t>
      </w:r>
      <w:r>
        <w:rPr>
          <w:rFonts w:ascii="Arial" w:eastAsia="MS Mincho" w:hAnsi="Arial"/>
          <w:sz w:val="18"/>
          <w:szCs w:val="20"/>
          <w:rtl/>
        </w:rPr>
        <w:t xml:space="preserve">. </w:t>
      </w:r>
      <w:r>
        <w:rPr>
          <w:rFonts w:ascii="Arial" w:eastAsia="MS Mincho" w:hAnsi="Arial"/>
          <w:rtl/>
        </w:rPr>
        <w:t xml:space="preserve">תרגום של </w:t>
      </w:r>
      <w:r>
        <w:rPr>
          <w:rFonts w:ascii="Arial" w:eastAsia="MS Mincho" w:hAnsi="Arial" w:hint="cs"/>
          <w:rtl/>
        </w:rPr>
        <w:t>[ה]</w:t>
      </w:r>
      <w:r>
        <w:rPr>
          <w:rFonts w:ascii="Arial" w:eastAsia="MS Mincho" w:hAnsi="Arial"/>
          <w:rtl/>
        </w:rPr>
        <w:t xml:space="preserve">נביאים </w:t>
      </w:r>
      <w:r>
        <w:rPr>
          <w:rFonts w:ascii="Arial" w:eastAsia="MS Mincho" w:hAnsi="Arial"/>
          <w:sz w:val="18"/>
          <w:szCs w:val="20"/>
          <w:rtl/>
        </w:rPr>
        <w:t>יונתן בן עוזיאל אמרו</w:t>
      </w:r>
      <w:r>
        <w:rPr>
          <w:rFonts w:ascii="Arial" w:eastAsia="MS Mincho" w:hAnsi="Arial" w:hint="cs"/>
          <w:sz w:val="18"/>
          <w:szCs w:val="20"/>
          <w:rtl/>
        </w:rPr>
        <w:t>...</w:t>
      </w:r>
      <w:r>
        <w:rPr>
          <w:rFonts w:ascii="Arial" w:eastAsia="MS Mincho" w:hAnsi="Arial" w:hint="cs"/>
          <w:rtl/>
        </w:rPr>
        <w:t>"</w:t>
      </w:r>
      <w:r>
        <w:rPr>
          <w:rFonts w:ascii="Arial" w:eastAsia="MS Mincho" w:hAnsi="Arial"/>
          <w:rtl/>
        </w:rPr>
        <w:t xml:space="preserve"> </w:t>
      </w:r>
      <w:r>
        <w:rPr>
          <w:rFonts w:ascii="Arial" w:eastAsia="MS Mincho" w:hAnsi="Arial" w:hint="cs"/>
          <w:rtl/>
        </w:rPr>
        <w:t>(</w:t>
      </w:r>
      <w:r>
        <w:rPr>
          <w:rFonts w:ascii="Arial" w:eastAsia="MS Mincho" w:hAnsi="Arial"/>
          <w:sz w:val="18"/>
          <w:szCs w:val="20"/>
          <w:rtl/>
        </w:rPr>
        <w:t>מגילה ג</w:t>
      </w:r>
      <w:r>
        <w:rPr>
          <w:rFonts w:ascii="Arial" w:eastAsia="MS Mincho" w:hAnsi="Arial" w:hint="cs"/>
          <w:sz w:val="18"/>
          <w:szCs w:val="20"/>
          <w:rtl/>
        </w:rPr>
        <w:t xml:space="preserve">, </w:t>
      </w:r>
      <w:r>
        <w:rPr>
          <w:rFonts w:ascii="Arial" w:eastAsia="MS Mincho" w:hAnsi="Arial"/>
          <w:sz w:val="18"/>
          <w:szCs w:val="20"/>
          <w:rtl/>
        </w:rPr>
        <w:t>א</w:t>
      </w:r>
      <w:r>
        <w:rPr>
          <w:rFonts w:ascii="Arial" w:eastAsia="MS Mincho" w:hAnsi="Arial" w:hint="cs"/>
          <w:rtl/>
        </w:rPr>
        <w:t xml:space="preserve">), </w:t>
      </w:r>
      <w:r>
        <w:rPr>
          <w:rFonts w:ascii="Arial" w:hAnsi="Arial"/>
          <w:rtl/>
        </w:rPr>
        <w:t xml:space="preserve">בארבעה קטעי גניזה: </w:t>
      </w:r>
      <w:r>
        <w:rPr>
          <w:rFonts w:ascii="Arial" w:hAnsi="Arial" w:hint="cs"/>
          <w:rtl/>
        </w:rPr>
        <w:t>"</w:t>
      </w:r>
      <w:r>
        <w:rPr>
          <w:rFonts w:ascii="Arial" w:hAnsi="Arial"/>
          <w:rtl/>
        </w:rPr>
        <w:t>שלתורה</w:t>
      </w:r>
      <w:r>
        <w:rPr>
          <w:rFonts w:ascii="Arial" w:hAnsi="Arial" w:hint="cs"/>
          <w:rtl/>
        </w:rPr>
        <w:t>", ו</w:t>
      </w:r>
      <w:r>
        <w:rPr>
          <w:rFonts w:ascii="Arial" w:hAnsi="Arial"/>
          <w:rtl/>
        </w:rPr>
        <w:t xml:space="preserve">בקטע גניזה אחד: </w:t>
      </w:r>
      <w:r>
        <w:rPr>
          <w:rFonts w:ascii="Arial" w:hAnsi="Arial" w:hint="cs"/>
          <w:rtl/>
        </w:rPr>
        <w:t>"</w:t>
      </w:r>
      <w:r>
        <w:rPr>
          <w:rFonts w:ascii="Arial" w:hAnsi="Arial"/>
          <w:rtl/>
        </w:rPr>
        <w:t>ושלנביאים</w:t>
      </w:r>
      <w:r>
        <w:rPr>
          <w:rFonts w:ascii="Arial" w:hAnsi="Arial" w:hint="cs"/>
          <w:rtl/>
        </w:rPr>
        <w:t xml:space="preserve">", </w:t>
      </w:r>
      <w:r>
        <w:rPr>
          <w:rFonts w:ascii="Arial" w:hAnsi="Arial"/>
          <w:rtl/>
        </w:rPr>
        <w:t xml:space="preserve">ובכל </w:t>
      </w:r>
      <w:r>
        <w:rPr>
          <w:rFonts w:ascii="Arial" w:hAnsi="Arial" w:hint="cs"/>
          <w:rtl/>
        </w:rPr>
        <w:t>ה</w:t>
      </w:r>
      <w:r>
        <w:rPr>
          <w:rFonts w:ascii="Arial" w:hAnsi="Arial"/>
          <w:rtl/>
        </w:rPr>
        <w:t>שאר</w:t>
      </w:r>
      <w:r>
        <w:rPr>
          <w:rFonts w:ascii="Arial" w:hAnsi="Arial" w:hint="cs"/>
          <w:rtl/>
        </w:rPr>
        <w:t xml:space="preserve"> "</w:t>
      </w:r>
      <w:r>
        <w:rPr>
          <w:rFonts w:ascii="Arial" w:hAnsi="Arial"/>
          <w:rtl/>
        </w:rPr>
        <w:t>של</w:t>
      </w:r>
      <w:r>
        <w:rPr>
          <w:rFonts w:ascii="Arial" w:hAnsi="Arial" w:hint="cs"/>
          <w:rtl/>
        </w:rPr>
        <w:t>" פרודה. וכן במאמר זה:</w:t>
      </w:r>
      <w:r>
        <w:rPr>
          <w:rFonts w:ascii="Arial" w:eastAsia="MS Mincho" w:hAnsi="Arial" w:hint="cs"/>
          <w:rtl/>
        </w:rPr>
        <w:t xml:space="preserve"> "</w:t>
      </w:r>
      <w:r>
        <w:rPr>
          <w:rFonts w:ascii="Arial" w:eastAsia="MS Mincho" w:hAnsi="Arial"/>
          <w:rtl/>
        </w:rPr>
        <w:t xml:space="preserve">כאמיתה של </w:t>
      </w:r>
      <w:r>
        <w:rPr>
          <w:rFonts w:ascii="Arial" w:eastAsia="MS Mincho" w:hAnsi="Arial" w:hint="cs"/>
          <w:rtl/>
        </w:rPr>
        <w:t>[ה]</w:t>
      </w:r>
      <w:r>
        <w:rPr>
          <w:rFonts w:ascii="Arial" w:eastAsia="MS Mincho" w:hAnsi="Arial"/>
          <w:rtl/>
        </w:rPr>
        <w:t>תורה</w:t>
      </w:r>
      <w:r>
        <w:rPr>
          <w:rFonts w:ascii="Arial" w:eastAsia="MS Mincho" w:hAnsi="Arial" w:hint="cs"/>
          <w:rtl/>
        </w:rPr>
        <w:t>" (</w:t>
      </w:r>
      <w:r>
        <w:rPr>
          <w:rFonts w:ascii="Arial" w:eastAsia="MS Mincho" w:hAnsi="Arial" w:hint="cs"/>
          <w:sz w:val="18"/>
          <w:szCs w:val="20"/>
          <w:rtl/>
        </w:rPr>
        <w:t xml:space="preserve">שם </w:t>
      </w:r>
      <w:r>
        <w:rPr>
          <w:rFonts w:ascii="Arial" w:eastAsia="MS Mincho" w:hAnsi="Arial"/>
          <w:sz w:val="18"/>
          <w:szCs w:val="20"/>
          <w:rtl/>
        </w:rPr>
        <w:t>טז</w:t>
      </w:r>
      <w:r>
        <w:rPr>
          <w:rFonts w:ascii="Arial" w:eastAsia="MS Mincho" w:hAnsi="Arial" w:hint="cs"/>
          <w:sz w:val="18"/>
          <w:szCs w:val="20"/>
          <w:rtl/>
        </w:rPr>
        <w:t xml:space="preserve">, </w:t>
      </w:r>
      <w:r>
        <w:rPr>
          <w:rFonts w:ascii="Arial" w:eastAsia="MS Mincho" w:hAnsi="Arial"/>
          <w:sz w:val="18"/>
          <w:szCs w:val="20"/>
          <w:rtl/>
        </w:rPr>
        <w:t>ב</w:t>
      </w:r>
      <w:r>
        <w:rPr>
          <w:rFonts w:ascii="Arial" w:eastAsia="MS Mincho" w:hAnsi="Arial" w:hint="cs"/>
          <w:rtl/>
        </w:rPr>
        <w:t>); לפי הדפוסים וכתבי יד רבים: "</w:t>
      </w:r>
      <w:r>
        <w:rPr>
          <w:rFonts w:ascii="Arial" w:eastAsia="MS Mincho" w:hAnsi="Arial"/>
          <w:rtl/>
        </w:rPr>
        <w:t>של תורה</w:t>
      </w:r>
      <w:r>
        <w:rPr>
          <w:rFonts w:ascii="Arial" w:eastAsia="MS Mincho" w:hAnsi="Arial" w:hint="cs"/>
          <w:rtl/>
        </w:rPr>
        <w:t>", אך בשני כתבי יד: "</w:t>
      </w:r>
      <w:r>
        <w:rPr>
          <w:rFonts w:ascii="Arial" w:eastAsia="MS Mincho" w:hAnsi="Arial"/>
          <w:rtl/>
        </w:rPr>
        <w:t>שלתורה</w:t>
      </w:r>
      <w:r>
        <w:rPr>
          <w:rFonts w:ascii="Arial" w:eastAsia="MS Mincho" w:hAnsi="Arial" w:hint="cs"/>
          <w:rtl/>
        </w:rPr>
        <w:t>" (</w:t>
      </w:r>
      <w:r>
        <w:rPr>
          <w:rFonts w:ascii="Arial" w:eastAsia="MS Mincho" w:hAnsi="Arial"/>
          <w:sz w:val="18"/>
          <w:szCs w:val="20"/>
          <w:rtl/>
        </w:rPr>
        <w:t>כ"י בר"מ 406 וכ"י אגדות הש"ס פארמה 2414</w:t>
      </w:r>
      <w:r>
        <w:rPr>
          <w:rFonts w:ascii="Arial" w:eastAsia="MS Mincho" w:hAnsi="Arial" w:hint="cs"/>
          <w:sz w:val="18"/>
          <w:szCs w:val="20"/>
          <w:rtl/>
        </w:rPr>
        <w:t>; תודה ל</w:t>
      </w:r>
      <w:r>
        <w:rPr>
          <w:rFonts w:ascii="Arial" w:eastAsia="MS Mincho" w:hAnsi="Arial"/>
          <w:sz w:val="18"/>
          <w:szCs w:val="20"/>
          <w:rtl/>
        </w:rPr>
        <w:t xml:space="preserve">ר' דוד ארונובסקי </w:t>
      </w:r>
      <w:r>
        <w:rPr>
          <w:rFonts w:ascii="Arial" w:eastAsia="MS Mincho" w:hAnsi="Arial" w:hint="cs"/>
          <w:sz w:val="18"/>
          <w:szCs w:val="20"/>
          <w:rtl/>
        </w:rPr>
        <w:t>על הבדיקה</w:t>
      </w:r>
      <w:r>
        <w:rPr>
          <w:rFonts w:ascii="Arial" w:eastAsia="MS Mincho" w:hAnsi="Arial" w:hint="cs"/>
          <w:rtl/>
        </w:rPr>
        <w:t>)</w:t>
      </w:r>
      <w:r>
        <w:rPr>
          <w:rFonts w:ascii="Arial" w:eastAsia="MS Mincho" w:hAnsi="Arial"/>
          <w:rtl/>
        </w:rPr>
        <w:t>.</w:t>
      </w:r>
      <w:r>
        <w:rPr>
          <w:rFonts w:ascii="Arial" w:eastAsia="MS Mincho" w:hAnsi="Arial" w:hint="cs"/>
          <w:rtl/>
        </w:rPr>
        <w:t xml:space="preserve"> </w:t>
      </w:r>
      <w:r>
        <w:rPr>
          <w:rFonts w:hint="cs"/>
          <w:sz w:val="26"/>
          <w:rtl/>
        </w:rPr>
        <w:t xml:space="preserve">וראה להלן דף ל, א </w:t>
      </w:r>
      <w:r>
        <w:rPr>
          <w:rFonts w:hint="cs"/>
          <w:sz w:val="18"/>
          <w:szCs w:val="20"/>
          <w:rtl/>
        </w:rPr>
        <w:t>ד"ה "</w:t>
      </w:r>
      <w:r>
        <w:rPr>
          <w:sz w:val="18"/>
          <w:szCs w:val="20"/>
          <w:rtl/>
        </w:rPr>
        <w:t>רבונו של עולם</w:t>
      </w:r>
      <w:r>
        <w:rPr>
          <w:rFonts w:hint="cs"/>
          <w:sz w:val="18"/>
          <w:szCs w:val="20"/>
          <w:rtl/>
        </w:rPr>
        <w:t>";</w:t>
      </w:r>
      <w:r>
        <w:rPr>
          <w:rFonts w:hint="cs"/>
          <w:sz w:val="26"/>
          <w:rtl/>
        </w:rPr>
        <w:t xml:space="preserve"> כב, א </w:t>
      </w:r>
      <w:r>
        <w:rPr>
          <w:rFonts w:hint="cs"/>
          <w:sz w:val="18"/>
          <w:szCs w:val="20"/>
          <w:rtl/>
        </w:rPr>
        <w:t>ד"ה "</w:t>
      </w:r>
      <w:r>
        <w:rPr>
          <w:sz w:val="18"/>
          <w:szCs w:val="20"/>
          <w:rtl/>
        </w:rPr>
        <w:t>עד מוצאי יום טוב האחרון של חג</w:t>
      </w:r>
      <w:r>
        <w:rPr>
          <w:rFonts w:hint="cs"/>
          <w:sz w:val="18"/>
          <w:szCs w:val="20"/>
          <w:rtl/>
        </w:rPr>
        <w:t xml:space="preserve">"; </w:t>
      </w:r>
      <w:r>
        <w:rPr>
          <w:rFonts w:hint="cs"/>
          <w:sz w:val="26"/>
          <w:rtl/>
        </w:rPr>
        <w:t xml:space="preserve">כג, א </w:t>
      </w:r>
      <w:r>
        <w:rPr>
          <w:rFonts w:hint="cs"/>
          <w:sz w:val="18"/>
          <w:szCs w:val="20"/>
          <w:rtl/>
        </w:rPr>
        <w:t>ד"ה "</w:t>
      </w:r>
      <w:r>
        <w:rPr>
          <w:sz w:val="18"/>
          <w:szCs w:val="20"/>
          <w:rtl/>
        </w:rPr>
        <w:t>להדליק נר של חנוכה</w:t>
      </w:r>
      <w:r>
        <w:rPr>
          <w:rFonts w:hint="cs"/>
          <w:sz w:val="18"/>
          <w:szCs w:val="20"/>
          <w:rtl/>
        </w:rPr>
        <w:t xml:space="preserve">"; </w:t>
      </w:r>
      <w:r>
        <w:rPr>
          <w:sz w:val="26"/>
          <w:rtl/>
        </w:rPr>
        <w:t>קיג</w:t>
      </w:r>
      <w:r>
        <w:rPr>
          <w:rFonts w:hint="cs"/>
          <w:sz w:val="26"/>
          <w:rtl/>
        </w:rPr>
        <w:t xml:space="preserve">, א </w:t>
      </w:r>
      <w:r>
        <w:rPr>
          <w:rFonts w:hint="cs"/>
          <w:sz w:val="18"/>
          <w:szCs w:val="20"/>
          <w:rtl/>
        </w:rPr>
        <w:t xml:space="preserve">ד"ה "לא </w:t>
      </w:r>
      <w:r>
        <w:rPr>
          <w:sz w:val="18"/>
          <w:szCs w:val="20"/>
          <w:rtl/>
        </w:rPr>
        <w:t>של שבת</w:t>
      </w:r>
      <w:r>
        <w:rPr>
          <w:rFonts w:hint="cs"/>
          <w:sz w:val="18"/>
          <w:szCs w:val="20"/>
          <w:rtl/>
        </w:rPr>
        <w:t xml:space="preserve">"; </w:t>
      </w:r>
      <w:r>
        <w:rPr>
          <w:sz w:val="26"/>
          <w:rtl/>
        </w:rPr>
        <w:t>קלז</w:t>
      </w:r>
      <w:r>
        <w:rPr>
          <w:rFonts w:hint="cs"/>
          <w:sz w:val="26"/>
          <w:rtl/>
        </w:rPr>
        <w:t xml:space="preserve">, </w:t>
      </w:r>
      <w:r>
        <w:rPr>
          <w:sz w:val="26"/>
          <w:rtl/>
        </w:rPr>
        <w:t>ב</w:t>
      </w:r>
      <w:r>
        <w:rPr>
          <w:rFonts w:hint="cs"/>
          <w:sz w:val="26"/>
          <w:rtl/>
        </w:rPr>
        <w:t xml:space="preserve"> </w:t>
      </w:r>
      <w:r>
        <w:rPr>
          <w:rFonts w:hint="cs"/>
          <w:sz w:val="18"/>
          <w:szCs w:val="20"/>
          <w:rtl/>
        </w:rPr>
        <w:t>ד"ה "</w:t>
      </w:r>
      <w:r>
        <w:rPr>
          <w:sz w:val="18"/>
          <w:szCs w:val="20"/>
          <w:rtl/>
        </w:rPr>
        <w:t xml:space="preserve">בבריתו </w:t>
      </w:r>
      <w:r>
        <w:rPr>
          <w:rFonts w:hint="cs"/>
          <w:sz w:val="18"/>
          <w:szCs w:val="20"/>
          <w:rtl/>
        </w:rPr>
        <w:t>של</w:t>
      </w:r>
      <w:r>
        <w:rPr>
          <w:sz w:val="18"/>
          <w:szCs w:val="20"/>
          <w:rtl/>
        </w:rPr>
        <w:t xml:space="preserve"> אברהם אבינו</w:t>
      </w:r>
      <w:r>
        <w:rPr>
          <w:rFonts w:hint="cs"/>
          <w:sz w:val="18"/>
          <w:szCs w:val="20"/>
          <w:rtl/>
        </w:rPr>
        <w:t>"</w:t>
      </w:r>
      <w:r>
        <w:rPr>
          <w:rFonts w:hint="cs"/>
          <w:sz w:val="18"/>
          <w:rtl/>
        </w:rPr>
        <w:t>. וע"ע: יצחק אבינרי, היכל רש"י, ח"א, עמ' תתתעט-תתתפג.</w:t>
      </w:r>
    </w:p>
  </w:footnote>
  <w:footnote w:id="25">
    <w:p w14:paraId="1E9BBD76" w14:textId="77777777" w:rsidR="00940290" w:rsidRDefault="00940290" w:rsidP="00940290">
      <w:pPr>
        <w:pStyle w:val="a5"/>
        <w:rPr>
          <w:rFonts w:ascii="Arial" w:hAnsi="Arial" w:hint="cs"/>
          <w:rtl/>
        </w:rPr>
      </w:pPr>
      <w:r>
        <w:rPr>
          <w:rStyle w:val="a4"/>
        </w:rPr>
        <w:footnoteRef/>
      </w:r>
      <w:r>
        <w:rPr>
          <w:rFonts w:hint="cs"/>
          <w:rtl/>
        </w:rPr>
        <w:t xml:space="preserve"> </w:t>
      </w:r>
      <w:r>
        <w:rPr>
          <w:rFonts w:ascii="Arial" w:hAnsi="Arial" w:hint="cs"/>
          <w:rtl/>
        </w:rPr>
        <w:t xml:space="preserve">על כלל זה ראה </w:t>
      </w:r>
      <w:r>
        <w:rPr>
          <w:rFonts w:ascii="Arial" w:hAnsi="Arial" w:hint="cs"/>
          <w:color w:val="FF0000"/>
          <w:rtl/>
        </w:rPr>
        <w:t>להלן</w:t>
      </w:r>
      <w:r>
        <w:rPr>
          <w:rFonts w:ascii="Arial" w:hAnsi="Arial" w:hint="cs"/>
          <w:rtl/>
        </w:rPr>
        <w:t xml:space="preserve"> נב, ב.</w:t>
      </w:r>
    </w:p>
  </w:footnote>
  <w:footnote w:id="26">
    <w:p w14:paraId="57C026FE" w14:textId="77777777" w:rsidR="00940290" w:rsidRDefault="00940290" w:rsidP="00940290">
      <w:pPr>
        <w:pStyle w:val="a5"/>
        <w:rPr>
          <w:rFonts w:ascii="Arial" w:hAnsi="Arial" w:hint="cs"/>
          <w:rtl/>
        </w:rPr>
      </w:pPr>
      <w:r>
        <w:rPr>
          <w:rStyle w:val="a4"/>
        </w:rPr>
        <w:footnoteRef/>
      </w:r>
      <w:r>
        <w:rPr>
          <w:rFonts w:hint="cs"/>
          <w:rtl/>
        </w:rPr>
        <w:t xml:space="preserve"> הלשון לא נוצרה </w:t>
      </w:r>
      <w:r>
        <w:rPr>
          <w:rFonts w:ascii="Arial" w:hAnsi="Arial" w:hint="cs"/>
          <w:rtl/>
        </w:rPr>
        <w:t>באופן מלאכותי לפי כללים קבועים, אלא כל כללי הדקדוק הם ניסיונות להגדיר את התופעות הלשוניות שכבר נוצרו (בדומה לחוקי הפיזיקה, שמטרתם לתאר מֵרב התופעות הפיזיקאליות, אך אין הטבע כפוף להם). הגדרת כללי הלשון היא ניסיון להבין את הלשון, והבנה זו מאפשרת למשתמשים בלשון לדעת כיצד ללכת בדרכה ולשמֵר את צורתה. ראויים לציון דברים שנכתבו אגב דיון בשאלת ההיתר לשַנות ממבטא לשון הקודש של אבותינו (</w:t>
      </w:r>
      <w:r>
        <w:rPr>
          <w:rFonts w:ascii="Arial" w:hAnsi="Arial" w:hint="cs"/>
          <w:szCs w:val="20"/>
          <w:rtl/>
        </w:rPr>
        <w:t xml:space="preserve">מתוך </w:t>
      </w:r>
      <w:r>
        <w:rPr>
          <w:rFonts w:ascii="Arial" w:hAnsi="Arial"/>
          <w:sz w:val="18"/>
          <w:szCs w:val="20"/>
          <w:rtl/>
        </w:rPr>
        <w:t>שו"ת ישכיל עבדי ח</w:t>
      </w:r>
      <w:r>
        <w:rPr>
          <w:rFonts w:ascii="Arial" w:hAnsi="Arial" w:hint="cs"/>
          <w:sz w:val="18"/>
          <w:szCs w:val="20"/>
          <w:rtl/>
        </w:rPr>
        <w:t>"</w:t>
      </w:r>
      <w:r>
        <w:rPr>
          <w:rFonts w:ascii="Arial" w:hAnsi="Arial"/>
          <w:sz w:val="18"/>
          <w:szCs w:val="20"/>
          <w:rtl/>
        </w:rPr>
        <w:t>ב או"ח</w:t>
      </w:r>
      <w:r>
        <w:rPr>
          <w:rFonts w:ascii="Arial" w:hAnsi="Arial" w:hint="cs"/>
          <w:sz w:val="18"/>
          <w:szCs w:val="20"/>
          <w:rtl/>
        </w:rPr>
        <w:t xml:space="preserve">, </w:t>
      </w:r>
      <w:r>
        <w:rPr>
          <w:rFonts w:ascii="Arial" w:hAnsi="Arial"/>
          <w:sz w:val="18"/>
          <w:szCs w:val="20"/>
          <w:rtl/>
        </w:rPr>
        <w:t>ג</w:t>
      </w:r>
      <w:r>
        <w:rPr>
          <w:rFonts w:ascii="Arial" w:hAnsi="Arial" w:hint="cs"/>
          <w:sz w:val="18"/>
          <w:szCs w:val="20"/>
          <w:rtl/>
        </w:rPr>
        <w:t>'</w:t>
      </w:r>
      <w:r>
        <w:rPr>
          <w:rFonts w:ascii="Arial" w:hAnsi="Arial"/>
          <w:rtl/>
        </w:rPr>
        <w:t>)</w:t>
      </w:r>
      <w:r>
        <w:rPr>
          <w:rFonts w:ascii="Arial" w:hAnsi="Arial" w:hint="cs"/>
          <w:rtl/>
        </w:rPr>
        <w:t xml:space="preserve">: </w:t>
      </w:r>
    </w:p>
    <w:p w14:paraId="01A4B0EC" w14:textId="77777777" w:rsidR="00940290" w:rsidRDefault="00940290" w:rsidP="00940290">
      <w:pPr>
        <w:pStyle w:val="a5"/>
        <w:ind w:left="720"/>
        <w:rPr>
          <w:rFonts w:hint="cs"/>
          <w:rtl/>
        </w:rPr>
      </w:pPr>
      <w:r>
        <w:rPr>
          <w:rFonts w:ascii="Arial" w:hAnsi="Arial" w:hint="cs"/>
          <w:rtl/>
        </w:rPr>
        <w:t>"</w:t>
      </w:r>
      <w:r>
        <w:rPr>
          <w:rFonts w:ascii="Arial" w:hAnsi="Arial"/>
          <w:rtl/>
        </w:rPr>
        <w:t>ידוע כי</w:t>
      </w:r>
      <w:r>
        <w:rPr>
          <w:rFonts w:ascii="Arial" w:hAnsi="Arial" w:hint="cs"/>
          <w:rtl/>
        </w:rPr>
        <w:t>...</w:t>
      </w:r>
      <w:r>
        <w:rPr>
          <w:rFonts w:ascii="Arial" w:hAnsi="Arial"/>
          <w:rtl/>
        </w:rPr>
        <w:t xml:space="preserve"> </w:t>
      </w:r>
      <w:r>
        <w:rPr>
          <w:rFonts w:ascii="Arial" w:hAnsi="Arial"/>
          <w:b/>
          <w:bCs/>
          <w:rtl/>
        </w:rPr>
        <w:t>השפה קדמה לדקדוק</w:t>
      </w:r>
      <w:r>
        <w:rPr>
          <w:rFonts w:ascii="Arial" w:hAnsi="Arial"/>
          <w:rtl/>
        </w:rPr>
        <w:t xml:space="preserve"> וע</w:t>
      </w:r>
      <w:r>
        <w:rPr>
          <w:rFonts w:ascii="Arial" w:hAnsi="Arial" w:hint="cs"/>
          <w:rtl/>
        </w:rPr>
        <w:t xml:space="preserve">ל </w:t>
      </w:r>
      <w:r>
        <w:rPr>
          <w:rFonts w:ascii="Arial" w:hAnsi="Arial"/>
          <w:rtl/>
        </w:rPr>
        <w:t>פי השפה ב</w:t>
      </w:r>
      <w:r>
        <w:rPr>
          <w:rFonts w:ascii="Arial" w:hAnsi="Arial" w:hint="cs"/>
          <w:rtl/>
        </w:rPr>
        <w:t>ִ</w:t>
      </w:r>
      <w:r>
        <w:rPr>
          <w:rFonts w:ascii="Arial" w:hAnsi="Arial"/>
          <w:rtl/>
        </w:rPr>
        <w:t>צרו את חומת הדקדוק. ולכן יש הרבה דברים יוצאים מן הכלל ואינם מתאימים לחוקי הדקדוק</w:t>
      </w:r>
      <w:r>
        <w:rPr>
          <w:rFonts w:ascii="Arial" w:hAnsi="Arial" w:hint="cs"/>
          <w:rtl/>
        </w:rPr>
        <w:t>,</w:t>
      </w:r>
      <w:r>
        <w:rPr>
          <w:rFonts w:ascii="Arial" w:hAnsi="Arial"/>
          <w:rtl/>
        </w:rPr>
        <w:t xml:space="preserve"> ולא נוכל חלילה לשלוח יד לתקן כאשר מעיר בזה הראב"ע בכמה מקומות עי' במגלת רות כמה פסוקים בין לשון זכר ללשון נקבה</w:t>
      </w:r>
      <w:r>
        <w:rPr>
          <w:rFonts w:ascii="Arial" w:hAnsi="Arial" w:hint="cs"/>
          <w:rtl/>
        </w:rPr>
        <w:t>,</w:t>
      </w:r>
      <w:r>
        <w:rPr>
          <w:rFonts w:ascii="Arial" w:hAnsi="Arial"/>
          <w:rtl/>
        </w:rPr>
        <w:t xml:space="preserve"> ועלינו לשמור על המסורת. וא"כ במלת נקדיש</w:t>
      </w:r>
      <w:r>
        <w:rPr>
          <w:rFonts w:ascii="Arial" w:hAnsi="Arial" w:hint="cs"/>
          <w:rtl/>
        </w:rPr>
        <w:t>ָ</w:t>
      </w:r>
      <w:r>
        <w:rPr>
          <w:rFonts w:ascii="Arial" w:hAnsi="Arial"/>
          <w:rtl/>
        </w:rPr>
        <w:t>ך</w:t>
      </w:r>
      <w:r>
        <w:rPr>
          <w:rFonts w:ascii="Arial" w:hAnsi="Arial" w:hint="cs"/>
          <w:rtl/>
        </w:rPr>
        <w:t>ְ</w:t>
      </w:r>
      <w:r>
        <w:rPr>
          <w:rFonts w:ascii="Arial" w:hAnsi="Arial"/>
          <w:rtl/>
        </w:rPr>
        <w:t xml:space="preserve"> וכו' אחרי כי כל המון ישראל שגור בלשונם הך' בשו"א לא נוכל לומר שיש איזה שגיאה</w:t>
      </w:r>
      <w:r>
        <w:rPr>
          <w:rFonts w:ascii="Arial" w:hAnsi="Arial" w:hint="cs"/>
          <w:rtl/>
        </w:rPr>
        <w:t>:</w:t>
      </w:r>
      <w:r>
        <w:rPr>
          <w:rFonts w:ascii="Arial" w:hAnsi="Arial"/>
          <w:rtl/>
        </w:rPr>
        <w:t xml:space="preserve"> אם מצד קובעי התפלה </w:t>
      </w:r>
      <w:r>
        <w:rPr>
          <w:rFonts w:ascii="Arial" w:hAnsi="Arial" w:hint="cs"/>
          <w:rtl/>
        </w:rPr>
        <w:t xml:space="preserve">- </w:t>
      </w:r>
      <w:r>
        <w:rPr>
          <w:rFonts w:ascii="Arial" w:hAnsi="Arial"/>
          <w:rtl/>
        </w:rPr>
        <w:t>בודאי שדעתם גדולה מדעתינו</w:t>
      </w:r>
      <w:r>
        <w:rPr>
          <w:rFonts w:ascii="Arial" w:hAnsi="Arial" w:hint="cs"/>
          <w:rtl/>
        </w:rPr>
        <w:t xml:space="preserve"> </w:t>
      </w:r>
      <w:r>
        <w:rPr>
          <w:rFonts w:ascii="Arial" w:hAnsi="Arial"/>
          <w:rtl/>
        </w:rPr>
        <w:t>והחסרון תלוי בנו</w:t>
      </w:r>
      <w:r>
        <w:rPr>
          <w:rFonts w:ascii="Arial" w:hAnsi="Arial" w:hint="cs"/>
          <w:rtl/>
        </w:rPr>
        <w:t>,</w:t>
      </w:r>
      <w:r>
        <w:rPr>
          <w:rFonts w:ascii="Arial" w:hAnsi="Arial"/>
          <w:rtl/>
        </w:rPr>
        <w:t xml:space="preserve"> והל</w:t>
      </w:r>
      <w:r>
        <w:rPr>
          <w:rFonts w:ascii="Arial" w:hAnsi="Arial" w:hint="cs"/>
          <w:rtl/>
        </w:rPr>
        <w:t>ֹ</w:t>
      </w:r>
      <w:r>
        <w:rPr>
          <w:rFonts w:ascii="Arial" w:hAnsi="Arial"/>
          <w:rtl/>
        </w:rPr>
        <w:t>א גם בתורה מצינו בלשון</w:t>
      </w:r>
      <w:r>
        <w:rPr>
          <w:rFonts w:ascii="Arial" w:hAnsi="Arial" w:hint="cs"/>
          <w:rtl/>
        </w:rPr>
        <w:t xml:space="preserve"> </w:t>
      </w:r>
      <w:r>
        <w:rPr>
          <w:rFonts w:ascii="Arial" w:hAnsi="Arial"/>
          <w:rtl/>
        </w:rPr>
        <w:t>נקבה ואם ככה את</w:t>
      </w:r>
      <w:r>
        <w:rPr>
          <w:rFonts w:ascii="Arial" w:hAnsi="Arial" w:hint="cs"/>
          <w:rtl/>
        </w:rPr>
        <w:t>ְ</w:t>
      </w:r>
      <w:r>
        <w:rPr>
          <w:rFonts w:ascii="Arial" w:hAnsi="Arial"/>
          <w:rtl/>
        </w:rPr>
        <w:t xml:space="preserve"> עוש</w:t>
      </w:r>
      <w:r>
        <w:rPr>
          <w:rFonts w:ascii="Arial" w:hAnsi="Arial" w:hint="cs"/>
          <w:rtl/>
        </w:rPr>
        <w:t>ֶ</w:t>
      </w:r>
      <w:r>
        <w:rPr>
          <w:rFonts w:ascii="Arial" w:hAnsi="Arial"/>
          <w:rtl/>
        </w:rPr>
        <w:t>ה לי עפרש"י</w:t>
      </w:r>
      <w:r>
        <w:rPr>
          <w:rFonts w:ascii="Arial" w:hAnsi="Arial" w:hint="cs"/>
          <w:rtl/>
        </w:rPr>
        <w:t xml:space="preserve">. </w:t>
      </w:r>
      <w:r>
        <w:rPr>
          <w:rFonts w:ascii="Arial" w:hAnsi="Arial"/>
          <w:rtl/>
        </w:rPr>
        <w:t xml:space="preserve">ואם נאמר במשך הזמן נשתבש </w:t>
      </w:r>
      <w:r>
        <w:rPr>
          <w:rFonts w:ascii="Arial" w:hAnsi="Arial" w:hint="cs"/>
          <w:rtl/>
        </w:rPr>
        <w:t xml:space="preserve">- </w:t>
      </w:r>
      <w:r>
        <w:rPr>
          <w:rFonts w:ascii="Arial" w:hAnsi="Arial"/>
          <w:rtl/>
        </w:rPr>
        <w:t>גם זה אי אפשר כי הש</w:t>
      </w:r>
      <w:r>
        <w:rPr>
          <w:rFonts w:ascii="Arial" w:hAnsi="Arial" w:hint="cs"/>
          <w:rtl/>
        </w:rPr>
        <w:t>ִ</w:t>
      </w:r>
      <w:r>
        <w:rPr>
          <w:rFonts w:ascii="Arial" w:hAnsi="Arial"/>
          <w:rtl/>
        </w:rPr>
        <w:t>בוש יפול רק באיזה חלק מהעם, או באיזה מדינה</w:t>
      </w:r>
      <w:r>
        <w:rPr>
          <w:rFonts w:ascii="Arial" w:hAnsi="Arial" w:hint="cs"/>
          <w:rtl/>
        </w:rPr>
        <w:t>,</w:t>
      </w:r>
      <w:r>
        <w:rPr>
          <w:rFonts w:ascii="Arial" w:hAnsi="Arial"/>
          <w:rtl/>
        </w:rPr>
        <w:t xml:space="preserve"> לא בכל המון ישראל</w:t>
      </w:r>
      <w:r>
        <w:rPr>
          <w:rFonts w:ascii="Arial" w:hAnsi="Arial" w:hint="cs"/>
          <w:rtl/>
        </w:rPr>
        <w:t xml:space="preserve">. </w:t>
      </w:r>
      <w:r>
        <w:rPr>
          <w:rFonts w:ascii="Arial" w:hAnsi="Arial"/>
          <w:rtl/>
        </w:rPr>
        <w:t>אך בלי ספק אם אחרוני זמננו יקבעו איז</w:t>
      </w:r>
      <w:r>
        <w:rPr>
          <w:rFonts w:ascii="Arial" w:hAnsi="Arial" w:hint="cs"/>
          <w:rtl/>
        </w:rPr>
        <w:t>ֹ</w:t>
      </w:r>
      <w:r>
        <w:rPr>
          <w:rFonts w:ascii="Arial" w:hAnsi="Arial"/>
          <w:rtl/>
        </w:rPr>
        <w:t xml:space="preserve">ה תפלה שאינה מתאמת לחוקי הדקדוק </w:t>
      </w:r>
      <w:r>
        <w:rPr>
          <w:rFonts w:ascii="Arial" w:hAnsi="Arial" w:hint="cs"/>
          <w:rtl/>
        </w:rPr>
        <w:t xml:space="preserve">- </w:t>
      </w:r>
      <w:r>
        <w:rPr>
          <w:rFonts w:ascii="Arial" w:hAnsi="Arial"/>
          <w:rtl/>
        </w:rPr>
        <w:t>אז רשאים אנו לתקן</w:t>
      </w:r>
      <w:r>
        <w:rPr>
          <w:rFonts w:ascii="Arial" w:hAnsi="Arial" w:hint="cs"/>
          <w:rtl/>
        </w:rPr>
        <w:t>".</w:t>
      </w:r>
    </w:p>
  </w:footnote>
  <w:footnote w:id="27">
    <w:p w14:paraId="26240EA0" w14:textId="77777777" w:rsidR="00940290" w:rsidRDefault="00940290" w:rsidP="00940290">
      <w:pPr>
        <w:pStyle w:val="a5"/>
        <w:rPr>
          <w:rFonts w:hint="cs"/>
          <w:rtl/>
        </w:rPr>
      </w:pPr>
      <w:r>
        <w:rPr>
          <w:rStyle w:val="a4"/>
        </w:rPr>
        <w:footnoteRef/>
      </w:r>
      <w:r>
        <w:rPr>
          <w:rFonts w:hint="cs"/>
          <w:rtl/>
        </w:rPr>
        <w:t xml:space="preserve"> הבחנה "מִגדרית", בפי החדשים (והחדשות)...</w:t>
      </w:r>
    </w:p>
  </w:footnote>
  <w:footnote w:id="28">
    <w:p w14:paraId="5051CF24" w14:textId="77777777" w:rsidR="00940290" w:rsidRDefault="00940290" w:rsidP="00940290">
      <w:pPr>
        <w:pStyle w:val="a5"/>
        <w:rPr>
          <w:rFonts w:hint="cs"/>
          <w:sz w:val="26"/>
          <w:rtl/>
        </w:rPr>
      </w:pPr>
      <w:r>
        <w:rPr>
          <w:rStyle w:val="a4"/>
        </w:rPr>
        <w:footnoteRef/>
      </w:r>
      <w:r>
        <w:rPr>
          <w:rFonts w:hint="cs"/>
          <w:rtl/>
        </w:rPr>
        <w:t xml:space="preserve"> גם בלשון המקרא אין תמיד </w:t>
      </w:r>
      <w:r>
        <w:rPr>
          <w:rFonts w:ascii="Arial" w:hAnsi="Arial" w:hint="cs"/>
          <w:rtl/>
        </w:rPr>
        <w:t>התאמה מבחינת המין הדקדוקי (זכר / נקבה), כגון בדברי נעמי (</w:t>
      </w:r>
      <w:r>
        <w:rPr>
          <w:rFonts w:ascii="Arial" w:hAnsi="Arial"/>
          <w:sz w:val="18"/>
          <w:szCs w:val="20"/>
          <w:rtl/>
        </w:rPr>
        <w:t>רות א</w:t>
      </w:r>
      <w:r>
        <w:rPr>
          <w:rFonts w:ascii="Arial" w:hAnsi="Arial" w:hint="cs"/>
          <w:sz w:val="18"/>
          <w:szCs w:val="20"/>
          <w:rtl/>
        </w:rPr>
        <w:t xml:space="preserve">, </w:t>
      </w:r>
      <w:r>
        <w:rPr>
          <w:rFonts w:ascii="Arial" w:hAnsi="Arial"/>
          <w:sz w:val="18"/>
          <w:szCs w:val="20"/>
          <w:rtl/>
        </w:rPr>
        <w:t>יג</w:t>
      </w:r>
      <w:r>
        <w:rPr>
          <w:rFonts w:ascii="Arial" w:hAnsi="Arial" w:hint="cs"/>
          <w:rtl/>
        </w:rPr>
        <w:t>):</w:t>
      </w:r>
      <w:r>
        <w:rPr>
          <w:rFonts w:ascii="Arial" w:hAnsi="Arial"/>
          <w:rtl/>
        </w:rPr>
        <w:t xml:space="preserve"> </w:t>
      </w:r>
      <w:r>
        <w:rPr>
          <w:rFonts w:ascii="Arial" w:hAnsi="Arial" w:hint="cs"/>
          <w:rtl/>
        </w:rPr>
        <w:t>"</w:t>
      </w:r>
      <w:r>
        <w:rPr>
          <w:rFonts w:ascii="Arial" w:hAnsi="Arial"/>
          <w:rtl/>
        </w:rPr>
        <w:t>הֲלָהֵ</w:t>
      </w:r>
      <w:r>
        <w:rPr>
          <w:rFonts w:ascii="Arial" w:hAnsi="Arial"/>
          <w:b/>
          <w:bCs/>
          <w:rtl/>
        </w:rPr>
        <w:t>ן</w:t>
      </w:r>
      <w:r>
        <w:rPr>
          <w:rFonts w:ascii="Arial" w:hAnsi="Arial"/>
          <w:rtl/>
        </w:rPr>
        <w:t xml:space="preserve"> תְּשַׂבֵּרְנָה עַד אֲשֶׁר יִגְדָּלוּ הֲלָהֵ</w:t>
      </w:r>
      <w:r>
        <w:rPr>
          <w:rFonts w:ascii="Arial" w:hAnsi="Arial"/>
          <w:b/>
          <w:bCs/>
          <w:rtl/>
        </w:rPr>
        <w:t>ן</w:t>
      </w:r>
      <w:r>
        <w:rPr>
          <w:rFonts w:ascii="Arial" w:hAnsi="Arial"/>
          <w:rtl/>
        </w:rPr>
        <w:t xml:space="preserve"> תֵּעָגֵנָה לְבִלְתִּי הֱיוֹת לְאִישׁ אַל בְּנֹתַי כִּי מַר לִי מְאֹד מִכֶּ</w:t>
      </w:r>
      <w:r>
        <w:rPr>
          <w:rFonts w:ascii="Arial" w:hAnsi="Arial" w:hint="cs"/>
          <w:b/>
          <w:bCs/>
          <w:rtl/>
        </w:rPr>
        <w:t>ם</w:t>
      </w:r>
      <w:r>
        <w:rPr>
          <w:rFonts w:ascii="Arial" w:hAnsi="Arial" w:hint="cs"/>
          <w:rtl/>
        </w:rPr>
        <w:t>" - במקום: "</w:t>
      </w:r>
      <w:r>
        <w:rPr>
          <w:rFonts w:ascii="Arial" w:hAnsi="Arial"/>
          <w:rtl/>
        </w:rPr>
        <w:t>הֲלָהֵ</w:t>
      </w:r>
      <w:r>
        <w:rPr>
          <w:rFonts w:ascii="Arial" w:hAnsi="Arial" w:hint="cs"/>
          <w:b/>
          <w:bCs/>
          <w:rtl/>
        </w:rPr>
        <w:t>ם</w:t>
      </w:r>
      <w:r>
        <w:rPr>
          <w:rFonts w:ascii="Arial" w:hAnsi="Arial" w:hint="cs"/>
          <w:rtl/>
        </w:rPr>
        <w:t>...</w:t>
      </w:r>
      <w:r>
        <w:rPr>
          <w:rFonts w:ascii="Arial" w:hAnsi="Arial"/>
          <w:rtl/>
        </w:rPr>
        <w:t xml:space="preserve"> הֲלָהֵ</w:t>
      </w:r>
      <w:r>
        <w:rPr>
          <w:rFonts w:ascii="Arial" w:hAnsi="Arial" w:hint="cs"/>
          <w:b/>
          <w:bCs/>
          <w:rtl/>
        </w:rPr>
        <w:t>ם</w:t>
      </w:r>
      <w:r>
        <w:rPr>
          <w:rFonts w:ascii="Arial" w:hAnsi="Arial" w:hint="cs"/>
          <w:rtl/>
        </w:rPr>
        <w:t xml:space="preserve">... </w:t>
      </w:r>
      <w:r>
        <w:rPr>
          <w:rFonts w:ascii="Arial" w:hAnsi="Arial"/>
          <w:rtl/>
        </w:rPr>
        <w:t>מִכֶּ</w:t>
      </w:r>
      <w:r>
        <w:rPr>
          <w:rFonts w:ascii="Arial" w:hAnsi="Arial" w:hint="cs"/>
          <w:b/>
          <w:bCs/>
          <w:rtl/>
        </w:rPr>
        <w:t>ן</w:t>
      </w:r>
      <w:r>
        <w:rPr>
          <w:rFonts w:ascii="Arial" w:hAnsi="Arial" w:hint="cs"/>
          <w:rtl/>
        </w:rPr>
        <w:t>" (</w:t>
      </w:r>
      <w:r>
        <w:rPr>
          <w:rFonts w:ascii="Arial" w:hAnsi="Arial" w:hint="cs"/>
          <w:sz w:val="18"/>
          <w:szCs w:val="20"/>
          <w:rtl/>
        </w:rPr>
        <w:t xml:space="preserve">ראה ר"א </w:t>
      </w:r>
      <w:r>
        <w:rPr>
          <w:rFonts w:ascii="Arial" w:hAnsi="Arial"/>
          <w:sz w:val="18"/>
          <w:szCs w:val="20"/>
          <w:rtl/>
        </w:rPr>
        <w:t xml:space="preserve">אבן עזרא </w:t>
      </w:r>
      <w:r>
        <w:rPr>
          <w:rFonts w:ascii="Arial" w:hAnsi="Arial" w:hint="cs"/>
          <w:sz w:val="18"/>
          <w:szCs w:val="20"/>
          <w:rtl/>
        </w:rPr>
        <w:t>שם וי' אבינרי, יד הלשון, עמ' 303</w:t>
      </w:r>
      <w:r>
        <w:rPr>
          <w:rFonts w:ascii="Arial" w:hAnsi="Arial" w:hint="cs"/>
          <w:rtl/>
        </w:rPr>
        <w:t xml:space="preserve">). </w:t>
      </w:r>
      <w:r>
        <w:rPr>
          <w:rFonts w:hint="cs"/>
          <w:rtl/>
        </w:rPr>
        <w:t>והשוה לדברי ה</w:t>
      </w:r>
      <w:r>
        <w:rPr>
          <w:rFonts w:hint="eastAsia"/>
          <w:rtl/>
        </w:rPr>
        <w:t>חזקוני</w:t>
      </w:r>
      <w:r>
        <w:rPr>
          <w:rtl/>
        </w:rPr>
        <w:t xml:space="preserve"> </w:t>
      </w:r>
      <w:r>
        <w:rPr>
          <w:sz w:val="18"/>
          <w:szCs w:val="20"/>
          <w:rtl/>
        </w:rPr>
        <w:t>דברים לב</w:t>
      </w:r>
      <w:r>
        <w:rPr>
          <w:rFonts w:hint="cs"/>
          <w:sz w:val="18"/>
          <w:szCs w:val="20"/>
          <w:rtl/>
        </w:rPr>
        <w:t xml:space="preserve">, </w:t>
      </w:r>
      <w:r>
        <w:rPr>
          <w:sz w:val="18"/>
          <w:szCs w:val="20"/>
          <w:rtl/>
        </w:rPr>
        <w:t>לה</w:t>
      </w:r>
      <w:r>
        <w:rPr>
          <w:rtl/>
        </w:rPr>
        <w:t xml:space="preserve">: </w:t>
      </w:r>
      <w:r>
        <w:rPr>
          <w:rFonts w:hint="cs"/>
          <w:rtl/>
        </w:rPr>
        <w:t>"</w:t>
      </w:r>
      <w:r>
        <w:rPr>
          <w:rtl/>
        </w:rPr>
        <w:t>מצינו לשון זכר נופל על לשון נקבה</w:t>
      </w:r>
      <w:r>
        <w:rPr>
          <w:rFonts w:hint="cs"/>
          <w:rtl/>
        </w:rPr>
        <w:t xml:space="preserve">", ולדברי </w:t>
      </w:r>
      <w:r>
        <w:rPr>
          <w:rtl/>
        </w:rPr>
        <w:t>ר</w:t>
      </w:r>
      <w:r>
        <w:rPr>
          <w:rFonts w:hint="cs"/>
          <w:rtl/>
        </w:rPr>
        <w:t xml:space="preserve">' </w:t>
      </w:r>
      <w:r>
        <w:rPr>
          <w:rtl/>
        </w:rPr>
        <w:t xml:space="preserve">יוסף </w:t>
      </w:r>
      <w:r>
        <w:rPr>
          <w:rFonts w:hint="cs"/>
          <w:rtl/>
        </w:rPr>
        <w:t xml:space="preserve">אבן </w:t>
      </w:r>
      <w:r>
        <w:rPr>
          <w:rtl/>
        </w:rPr>
        <w:t>כספי</w:t>
      </w:r>
      <w:r>
        <w:rPr>
          <w:rFonts w:hint="cs"/>
          <w:rtl/>
        </w:rPr>
        <w:t>,</w:t>
      </w:r>
      <w:r>
        <w:rPr>
          <w:rtl/>
        </w:rPr>
        <w:t xml:space="preserve"> </w:t>
      </w:r>
      <w:r>
        <w:rPr>
          <w:rFonts w:hint="cs"/>
          <w:rtl/>
        </w:rPr>
        <w:t>שחילופי זכר ונקבה (</w:t>
      </w:r>
      <w:r>
        <w:rPr>
          <w:rFonts w:hint="cs"/>
          <w:sz w:val="18"/>
          <w:szCs w:val="20"/>
          <w:rtl/>
        </w:rPr>
        <w:t>וכן יחיד ורבים</w:t>
      </w:r>
      <w:r>
        <w:rPr>
          <w:rFonts w:hint="cs"/>
          <w:rtl/>
        </w:rPr>
        <w:t>) במקרא אינם מוקשים מעיקרא, שכן ניתן לתאר כל עצם בתיאור מייחֵד (ספציפי) או כוללני, ואם יש תיאור מייחֵד זהו "חסד" עבור הקורא. לכן, הייחוד של צורת נקבה לנקבה וכדו' אינם הכרח אלא רוב סטטיסטי (</w:t>
      </w:r>
      <w:r>
        <w:rPr>
          <w:rFonts w:hint="cs"/>
          <w:sz w:val="18"/>
          <w:szCs w:val="20"/>
          <w:rtl/>
        </w:rPr>
        <w:t>פרק יז-יח ב</w:t>
      </w:r>
      <w:r>
        <w:rPr>
          <w:rFonts w:hint="cs"/>
          <w:rtl/>
        </w:rPr>
        <w:t>ספר הדקדוק שלו,</w:t>
      </w:r>
      <w:r>
        <w:rPr>
          <w:rtl/>
        </w:rPr>
        <w:t xml:space="preserve"> "רתוקות כסף"</w:t>
      </w:r>
      <w:r>
        <w:rPr>
          <w:rFonts w:hint="cs"/>
          <w:rtl/>
        </w:rPr>
        <w:t>,</w:t>
      </w:r>
      <w:r>
        <w:rPr>
          <w:rtl/>
        </w:rPr>
        <w:t xml:space="preserve"> </w:t>
      </w:r>
      <w:r>
        <w:rPr>
          <w:rFonts w:hint="cs"/>
          <w:sz w:val="18"/>
          <w:szCs w:val="20"/>
          <w:rtl/>
        </w:rPr>
        <w:t>כתב יד</w:t>
      </w:r>
      <w:r>
        <w:rPr>
          <w:sz w:val="18"/>
          <w:szCs w:val="20"/>
          <w:rtl/>
        </w:rPr>
        <w:t xml:space="preserve"> רומא - אנג’ליקה 60</w:t>
      </w:r>
      <w:r>
        <w:rPr>
          <w:rFonts w:hint="cs"/>
          <w:sz w:val="18"/>
          <w:szCs w:val="20"/>
          <w:rtl/>
        </w:rPr>
        <w:t>;</w:t>
      </w:r>
      <w:r>
        <w:rPr>
          <w:sz w:val="18"/>
          <w:szCs w:val="20"/>
          <w:rtl/>
        </w:rPr>
        <w:t xml:space="preserve"> מספר</w:t>
      </w:r>
      <w:r>
        <w:rPr>
          <w:rFonts w:hint="cs"/>
          <w:sz w:val="18"/>
          <w:szCs w:val="20"/>
          <w:rtl/>
        </w:rPr>
        <w:t xml:space="preserve"> </w:t>
      </w:r>
      <w:r>
        <w:rPr>
          <w:sz w:val="18"/>
          <w:szCs w:val="20"/>
          <w:rtl/>
        </w:rPr>
        <w:t>11708</w:t>
      </w:r>
      <w:r>
        <w:rPr>
          <w:rFonts w:hint="cs"/>
          <w:sz w:val="18"/>
          <w:szCs w:val="20"/>
          <w:rtl/>
        </w:rPr>
        <w:t xml:space="preserve"> </w:t>
      </w:r>
      <w:r>
        <w:rPr>
          <w:sz w:val="18"/>
          <w:szCs w:val="20"/>
          <w:rtl/>
        </w:rPr>
        <w:t>במכון כת</w:t>
      </w:r>
      <w:r>
        <w:rPr>
          <w:rFonts w:hint="cs"/>
          <w:sz w:val="18"/>
          <w:szCs w:val="20"/>
          <w:rtl/>
        </w:rPr>
        <w:t>ב</w:t>
      </w:r>
      <w:r>
        <w:rPr>
          <w:sz w:val="18"/>
          <w:szCs w:val="20"/>
          <w:rtl/>
        </w:rPr>
        <w:t>י</w:t>
      </w:r>
      <w:r>
        <w:rPr>
          <w:rFonts w:hint="cs"/>
          <w:sz w:val="18"/>
          <w:szCs w:val="20"/>
          <w:rtl/>
        </w:rPr>
        <w:t xml:space="preserve"> </w:t>
      </w:r>
      <w:r>
        <w:rPr>
          <w:sz w:val="18"/>
          <w:szCs w:val="20"/>
          <w:rtl/>
        </w:rPr>
        <w:t>י</w:t>
      </w:r>
      <w:r>
        <w:rPr>
          <w:rFonts w:hint="cs"/>
          <w:sz w:val="18"/>
          <w:szCs w:val="20"/>
          <w:rtl/>
        </w:rPr>
        <w:t>ד</w:t>
      </w:r>
      <w:r>
        <w:rPr>
          <w:sz w:val="18"/>
          <w:szCs w:val="20"/>
          <w:rtl/>
        </w:rPr>
        <w:t xml:space="preserve"> בספרייה הלאומית</w:t>
      </w:r>
      <w:r>
        <w:rPr>
          <w:rFonts w:hint="cs"/>
          <w:sz w:val="18"/>
          <w:szCs w:val="20"/>
          <w:rtl/>
        </w:rPr>
        <w:t xml:space="preserve"> בירושלים</w:t>
      </w:r>
      <w:r>
        <w:rPr>
          <w:rFonts w:hint="cs"/>
          <w:rtl/>
        </w:rPr>
        <w:t xml:space="preserve">). וע"ע בפירושו </w:t>
      </w:r>
      <w:r>
        <w:rPr>
          <w:rFonts w:hint="cs"/>
          <w:sz w:val="26"/>
          <w:rtl/>
        </w:rPr>
        <w:t>ל</w:t>
      </w:r>
      <w:r>
        <w:rPr>
          <w:sz w:val="26"/>
          <w:rtl/>
        </w:rPr>
        <w:t>מלכים</w:t>
      </w:r>
      <w:r>
        <w:rPr>
          <w:sz w:val="18"/>
          <w:szCs w:val="20"/>
          <w:rtl/>
        </w:rPr>
        <w:t xml:space="preserve"> א</w:t>
      </w:r>
      <w:r>
        <w:rPr>
          <w:rFonts w:hint="cs"/>
          <w:sz w:val="18"/>
          <w:szCs w:val="20"/>
          <w:rtl/>
        </w:rPr>
        <w:t>'</w:t>
      </w:r>
      <w:r>
        <w:rPr>
          <w:sz w:val="18"/>
          <w:szCs w:val="20"/>
          <w:rtl/>
        </w:rPr>
        <w:t xml:space="preserve"> יז</w:t>
      </w:r>
      <w:r>
        <w:rPr>
          <w:rFonts w:hint="cs"/>
          <w:sz w:val="18"/>
          <w:szCs w:val="20"/>
          <w:rtl/>
        </w:rPr>
        <w:t>,</w:t>
      </w:r>
      <w:r>
        <w:rPr>
          <w:sz w:val="18"/>
          <w:szCs w:val="20"/>
          <w:rtl/>
        </w:rPr>
        <w:t xml:space="preserve"> </w:t>
      </w:r>
      <w:r>
        <w:rPr>
          <w:rFonts w:hint="cs"/>
          <w:sz w:val="18"/>
          <w:szCs w:val="20"/>
          <w:rtl/>
        </w:rPr>
        <w:t>טו-</w:t>
      </w:r>
      <w:r>
        <w:rPr>
          <w:sz w:val="18"/>
          <w:szCs w:val="20"/>
          <w:rtl/>
        </w:rPr>
        <w:t>טז</w:t>
      </w:r>
      <w:r>
        <w:rPr>
          <w:rFonts w:hint="cs"/>
          <w:sz w:val="26"/>
          <w:rtl/>
        </w:rPr>
        <w:t>.</w:t>
      </w:r>
    </w:p>
  </w:footnote>
  <w:footnote w:id="29">
    <w:p w14:paraId="6D847433"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 xml:space="preserve">לשון הרמב"ם בהקדמתו למשנה, </w:t>
      </w:r>
      <w:r>
        <w:rPr>
          <w:rFonts w:ascii="Arial" w:hAnsi="Arial" w:hint="cs"/>
          <w:sz w:val="18"/>
          <w:szCs w:val="20"/>
          <w:rtl/>
        </w:rPr>
        <w:t>עמ' ט' במהדורת הר"י קאפח</w:t>
      </w:r>
      <w:r>
        <w:rPr>
          <w:rFonts w:ascii="Arial" w:hAnsi="Arial" w:hint="cs"/>
          <w:rtl/>
        </w:rPr>
        <w:t>.</w:t>
      </w:r>
    </w:p>
  </w:footnote>
  <w:footnote w:id="30">
    <w:p w14:paraId="0D6AC211"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 xml:space="preserve">זהו הנוסח בכתב יד </w:t>
      </w:r>
      <w:r>
        <w:rPr>
          <w:rFonts w:ascii="Arial" w:hAnsi="Arial"/>
          <w:sz w:val="24"/>
          <w:rtl/>
        </w:rPr>
        <w:t>קאופמן</w:t>
      </w:r>
      <w:r>
        <w:rPr>
          <w:rFonts w:ascii="Arial" w:hAnsi="Arial" w:hint="cs"/>
          <w:sz w:val="24"/>
          <w:rtl/>
        </w:rPr>
        <w:t xml:space="preserve"> ובכתב יד פרמה א' וב</w:t>
      </w:r>
      <w:r>
        <w:rPr>
          <w:rFonts w:ascii="Arial" w:hAnsi="Arial"/>
          <w:sz w:val="24"/>
          <w:rtl/>
        </w:rPr>
        <w:t>כתב יד קדשו</w:t>
      </w:r>
      <w:r>
        <w:rPr>
          <w:rFonts w:ascii="Arial" w:hAnsi="Arial" w:hint="cs"/>
          <w:sz w:val="24"/>
          <w:rtl/>
        </w:rPr>
        <w:t xml:space="preserve"> של הרמב"ם הן במסכת שבועות והן במסכת נגעים. </w:t>
      </w:r>
      <w:r>
        <w:rPr>
          <w:rFonts w:ascii="Arial" w:hAnsi="Arial" w:hint="cs"/>
          <w:rtl/>
        </w:rPr>
        <w:t>יש גורסים "</w:t>
      </w:r>
      <w:r>
        <w:rPr>
          <w:rFonts w:ascii="Arial" w:hAnsi="Arial"/>
          <w:rtl/>
        </w:rPr>
        <w:t xml:space="preserve">שנים </w:t>
      </w:r>
      <w:r>
        <w:rPr>
          <w:rFonts w:ascii="Arial" w:hAnsi="Arial" w:hint="cs"/>
          <w:rtl/>
        </w:rPr>
        <w:t>שה</w:t>
      </w:r>
      <w:r>
        <w:rPr>
          <w:rFonts w:ascii="Arial" w:hAnsi="Arial" w:hint="cs"/>
          <w:b/>
          <w:bCs/>
          <w:rtl/>
        </w:rPr>
        <w:t>ם</w:t>
      </w:r>
      <w:r>
        <w:rPr>
          <w:rFonts w:ascii="Arial" w:hAnsi="Arial" w:hint="cs"/>
          <w:rtl/>
        </w:rPr>
        <w:t>" לשון זכר (</w:t>
      </w:r>
      <w:r>
        <w:rPr>
          <w:rFonts w:ascii="Arial" w:hAnsi="Arial" w:hint="cs"/>
          <w:sz w:val="20"/>
          <w:szCs w:val="20"/>
          <w:rtl/>
        </w:rPr>
        <w:t>ראה בריש שבועות שינויי נוסחאות, וב</w:t>
      </w:r>
      <w:r>
        <w:rPr>
          <w:rFonts w:ascii="Arial" w:hAnsi="Arial"/>
          <w:sz w:val="20"/>
          <w:szCs w:val="20"/>
          <w:rtl/>
        </w:rPr>
        <w:t>תוספות</w:t>
      </w:r>
      <w:r>
        <w:rPr>
          <w:rFonts w:ascii="Arial" w:hAnsi="Arial" w:hint="cs"/>
          <w:sz w:val="20"/>
          <w:szCs w:val="20"/>
          <w:rtl/>
        </w:rPr>
        <w:t xml:space="preserve"> יום טוב שם</w:t>
      </w:r>
      <w:r>
        <w:rPr>
          <w:rFonts w:ascii="Arial" w:hAnsi="Arial" w:hint="cs"/>
          <w:rtl/>
        </w:rPr>
        <w:t>). השוה לחריגים ממגילת רות שלעיל (</w:t>
      </w:r>
      <w:r>
        <w:rPr>
          <w:rFonts w:ascii="Arial" w:hAnsi="Arial" w:hint="cs"/>
          <w:sz w:val="18"/>
          <w:szCs w:val="20"/>
          <w:rtl/>
        </w:rPr>
        <w:t>בהערה 4</w:t>
      </w:r>
      <w:r>
        <w:rPr>
          <w:rFonts w:ascii="Arial" w:hAnsi="Arial" w:hint="cs"/>
          <w:rtl/>
        </w:rPr>
        <w:t xml:space="preserve">), והשוה לחילופי </w:t>
      </w:r>
      <w:r>
        <w:rPr>
          <w:rFonts w:ascii="Arial" w:hAnsi="Arial" w:hint="cs"/>
          <w:sz w:val="26"/>
          <w:rtl/>
        </w:rPr>
        <w:t>הנוסחאות בברכת האילנות (</w:t>
      </w:r>
      <w:r>
        <w:rPr>
          <w:rFonts w:ascii="Arial" w:hAnsi="Arial"/>
          <w:sz w:val="18"/>
          <w:szCs w:val="20"/>
          <w:rtl/>
        </w:rPr>
        <w:t>ברכות מג</w:t>
      </w:r>
      <w:r>
        <w:rPr>
          <w:rFonts w:ascii="Arial" w:hAnsi="Arial" w:hint="cs"/>
          <w:sz w:val="18"/>
          <w:szCs w:val="20"/>
          <w:rtl/>
        </w:rPr>
        <w:t xml:space="preserve">, </w:t>
      </w:r>
      <w:r>
        <w:rPr>
          <w:rFonts w:ascii="Arial" w:hAnsi="Arial"/>
          <w:sz w:val="18"/>
          <w:szCs w:val="20"/>
          <w:rtl/>
        </w:rPr>
        <w:t>ב</w:t>
      </w:r>
      <w:r>
        <w:rPr>
          <w:rFonts w:ascii="Arial" w:hAnsi="Arial" w:hint="cs"/>
          <w:sz w:val="26"/>
          <w:rtl/>
        </w:rPr>
        <w:t>) "</w:t>
      </w:r>
      <w:r>
        <w:rPr>
          <w:rFonts w:ascii="Arial" w:hAnsi="Arial"/>
          <w:sz w:val="26"/>
          <w:rtl/>
        </w:rPr>
        <w:t xml:space="preserve">להתנאות </w:t>
      </w:r>
      <w:r>
        <w:rPr>
          <w:rFonts w:ascii="Arial" w:hAnsi="Arial"/>
          <w:b/>
          <w:bCs/>
          <w:sz w:val="26"/>
          <w:rtl/>
        </w:rPr>
        <w:t>בהן</w:t>
      </w:r>
      <w:r>
        <w:rPr>
          <w:rFonts w:ascii="Arial" w:hAnsi="Arial"/>
          <w:sz w:val="26"/>
          <w:rtl/>
        </w:rPr>
        <w:t xml:space="preserve"> </w:t>
      </w:r>
      <w:r>
        <w:rPr>
          <w:rFonts w:ascii="Arial" w:hAnsi="Arial" w:hint="cs"/>
          <w:sz w:val="26"/>
          <w:rtl/>
        </w:rPr>
        <w:t xml:space="preserve">/ </w:t>
      </w:r>
      <w:r>
        <w:rPr>
          <w:rFonts w:ascii="Arial" w:hAnsi="Arial"/>
          <w:b/>
          <w:bCs/>
          <w:sz w:val="26"/>
          <w:rtl/>
        </w:rPr>
        <w:t>בה</w:t>
      </w:r>
      <w:r>
        <w:rPr>
          <w:rFonts w:ascii="Arial" w:hAnsi="Arial" w:hint="cs"/>
          <w:b/>
          <w:bCs/>
          <w:sz w:val="26"/>
          <w:rtl/>
        </w:rPr>
        <w:t>ם</w:t>
      </w:r>
      <w:r>
        <w:rPr>
          <w:rFonts w:ascii="Arial" w:hAnsi="Arial"/>
          <w:sz w:val="26"/>
          <w:rtl/>
        </w:rPr>
        <w:t xml:space="preserve"> בני אדם</w:t>
      </w:r>
      <w:r>
        <w:rPr>
          <w:rFonts w:ascii="Arial" w:hAnsi="Arial" w:hint="cs"/>
          <w:sz w:val="26"/>
          <w:rtl/>
        </w:rPr>
        <w:t>", ובקצירת האומר לר"ד יצחקי (</w:t>
      </w:r>
      <w:r>
        <w:rPr>
          <w:rFonts w:ascii="Arial" w:hAnsi="Arial" w:hint="cs"/>
          <w:sz w:val="18"/>
          <w:szCs w:val="20"/>
          <w:rtl/>
        </w:rPr>
        <w:t xml:space="preserve">בסוף ספר </w:t>
      </w:r>
      <w:r>
        <w:rPr>
          <w:rFonts w:ascii="Arial" w:hAnsi="Arial"/>
          <w:sz w:val="18"/>
          <w:szCs w:val="20"/>
          <w:rtl/>
        </w:rPr>
        <w:t xml:space="preserve">לוח </w:t>
      </w:r>
      <w:r>
        <w:rPr>
          <w:rFonts w:ascii="Arial" w:hAnsi="Arial" w:hint="cs"/>
          <w:sz w:val="18"/>
          <w:szCs w:val="20"/>
          <w:rtl/>
        </w:rPr>
        <w:t>א</w:t>
      </w:r>
      <w:r>
        <w:rPr>
          <w:rFonts w:ascii="Arial" w:hAnsi="Arial"/>
          <w:sz w:val="18"/>
          <w:szCs w:val="20"/>
          <w:rtl/>
        </w:rPr>
        <w:t>רש</w:t>
      </w:r>
      <w:r>
        <w:rPr>
          <w:rFonts w:ascii="Arial" w:hAnsi="Arial" w:hint="cs"/>
          <w:sz w:val="18"/>
          <w:szCs w:val="20"/>
          <w:rtl/>
        </w:rPr>
        <w:t>ׁ, תשס"א, עמ' תצ"ו</w:t>
      </w:r>
      <w:r>
        <w:rPr>
          <w:rFonts w:ascii="Arial" w:hAnsi="Arial" w:hint="cs"/>
          <w:rtl/>
        </w:rPr>
        <w:t>). לגבי סדר הבבות ראה להלן בהערה 8.</w:t>
      </w:r>
    </w:p>
  </w:footnote>
  <w:footnote w:id="31">
    <w:p w14:paraId="53A3AB44"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בהמשך דן רשב"ץ במין הדקדוקי של "</w:t>
      </w:r>
      <w:r>
        <w:rPr>
          <w:rFonts w:ascii="Arial" w:hAnsi="Arial"/>
          <w:rtl/>
        </w:rPr>
        <w:t>נסיונות</w:t>
      </w:r>
      <w:r>
        <w:rPr>
          <w:rFonts w:ascii="Arial" w:hAnsi="Arial" w:hint="cs"/>
          <w:rtl/>
        </w:rPr>
        <w:t xml:space="preserve">" </w:t>
      </w:r>
      <w:r>
        <w:rPr>
          <w:rFonts w:ascii="Arial" w:hAnsi="Arial"/>
          <w:rtl/>
        </w:rPr>
        <w:t>ו</w:t>
      </w:r>
      <w:r>
        <w:rPr>
          <w:rFonts w:ascii="Arial" w:hAnsi="Arial" w:hint="cs"/>
          <w:rtl/>
        </w:rPr>
        <w:t>"</w:t>
      </w:r>
      <w:r>
        <w:rPr>
          <w:rFonts w:ascii="Arial" w:hAnsi="Arial"/>
          <w:rtl/>
        </w:rPr>
        <w:t>מאמרות</w:t>
      </w:r>
      <w:r>
        <w:rPr>
          <w:rFonts w:ascii="Arial" w:hAnsi="Arial" w:hint="cs"/>
          <w:rtl/>
        </w:rPr>
        <w:t>": "</w:t>
      </w:r>
      <w:r>
        <w:rPr>
          <w:rFonts w:ascii="Arial" w:hAnsi="Arial"/>
          <w:rtl/>
        </w:rPr>
        <w:t xml:space="preserve">וראיתי במשניות קדומות </w:t>
      </w:r>
      <w:r>
        <w:rPr>
          <w:rFonts w:ascii="Arial" w:hAnsi="Arial" w:hint="cs"/>
          <w:rtl/>
        </w:rPr>
        <w:t>'</w:t>
      </w:r>
      <w:r>
        <w:rPr>
          <w:rFonts w:ascii="Arial" w:hAnsi="Arial"/>
          <w:rtl/>
        </w:rPr>
        <w:t>עשר נסיונות</w:t>
      </w:r>
      <w:r>
        <w:rPr>
          <w:rFonts w:ascii="Arial" w:hAnsi="Arial" w:hint="cs"/>
          <w:rtl/>
        </w:rPr>
        <w:t>' (ולא 'עשרה' כראוי ל'ניסיון' שהוא לשון זכר; אפ"ר)</w:t>
      </w:r>
      <w:r>
        <w:rPr>
          <w:rFonts w:ascii="Arial" w:hAnsi="Arial"/>
          <w:rtl/>
        </w:rPr>
        <w:t>, ושמא מפני שהוא תרגום</w:t>
      </w:r>
      <w:r>
        <w:rPr>
          <w:rFonts w:ascii="Arial" w:hAnsi="Arial" w:hint="cs"/>
          <w:rtl/>
        </w:rPr>
        <w:t xml:space="preserve"> '</w:t>
      </w:r>
      <w:r>
        <w:rPr>
          <w:rFonts w:ascii="Arial" w:hAnsi="Arial"/>
          <w:rtl/>
        </w:rPr>
        <w:t>הַמַּס</w:t>
      </w:r>
      <w:r>
        <w:rPr>
          <w:rFonts w:ascii="Arial" w:hAnsi="Arial" w:hint="cs"/>
          <w:rtl/>
        </w:rPr>
        <w:t>ּ</w:t>
      </w:r>
      <w:r>
        <w:rPr>
          <w:rFonts w:ascii="Arial" w:hAnsi="Arial"/>
          <w:rtl/>
        </w:rPr>
        <w:t>ות הגדולות</w:t>
      </w:r>
      <w:r>
        <w:rPr>
          <w:rFonts w:ascii="Arial" w:hAnsi="Arial" w:hint="cs"/>
          <w:rtl/>
        </w:rPr>
        <w:t>'</w:t>
      </w:r>
      <w:r>
        <w:rPr>
          <w:rFonts w:ascii="Arial" w:hAnsi="Arial"/>
          <w:rtl/>
        </w:rPr>
        <w:t xml:space="preserve"> </w:t>
      </w:r>
      <w:r>
        <w:rPr>
          <w:rFonts w:ascii="Arial" w:hAnsi="Arial" w:hint="cs"/>
          <w:rtl/>
        </w:rPr>
        <w:t>(</w:t>
      </w:r>
      <w:r>
        <w:rPr>
          <w:rFonts w:ascii="Arial" w:hAnsi="Arial"/>
          <w:sz w:val="18"/>
          <w:szCs w:val="20"/>
          <w:rtl/>
        </w:rPr>
        <w:t>דברים ז</w:t>
      </w:r>
      <w:r>
        <w:rPr>
          <w:rFonts w:ascii="Arial" w:hAnsi="Arial" w:hint="cs"/>
          <w:sz w:val="18"/>
          <w:szCs w:val="20"/>
          <w:rtl/>
        </w:rPr>
        <w:t>,</w:t>
      </w:r>
      <w:r>
        <w:rPr>
          <w:rFonts w:ascii="Arial" w:hAnsi="Arial"/>
          <w:sz w:val="18"/>
          <w:szCs w:val="20"/>
          <w:rtl/>
        </w:rPr>
        <w:t xml:space="preserve"> יט</w:t>
      </w:r>
      <w:r>
        <w:rPr>
          <w:rFonts w:ascii="Arial" w:hAnsi="Arial" w:hint="cs"/>
          <w:sz w:val="18"/>
          <w:szCs w:val="20"/>
          <w:rtl/>
        </w:rPr>
        <w:t>;</w:t>
      </w:r>
      <w:r>
        <w:rPr>
          <w:rFonts w:ascii="Arial" w:hAnsi="Arial"/>
          <w:sz w:val="18"/>
          <w:szCs w:val="20"/>
          <w:rtl/>
        </w:rPr>
        <w:t xml:space="preserve"> אונקלוס</w:t>
      </w:r>
      <w:r>
        <w:rPr>
          <w:rFonts w:ascii="Arial" w:hAnsi="Arial" w:hint="cs"/>
          <w:sz w:val="18"/>
          <w:szCs w:val="20"/>
          <w:rtl/>
        </w:rPr>
        <w:t>: "</w:t>
      </w:r>
      <w:r>
        <w:rPr>
          <w:rFonts w:ascii="Arial" w:hAnsi="Arial"/>
          <w:sz w:val="18"/>
          <w:szCs w:val="20"/>
          <w:rtl/>
        </w:rPr>
        <w:t>נסין רברבן</w:t>
      </w:r>
      <w:r>
        <w:rPr>
          <w:rFonts w:ascii="Arial" w:hAnsi="Arial" w:hint="cs"/>
          <w:sz w:val="18"/>
          <w:szCs w:val="20"/>
          <w:rtl/>
        </w:rPr>
        <w:t>"</w:t>
      </w:r>
      <w:r>
        <w:rPr>
          <w:rFonts w:ascii="Arial" w:hAnsi="Arial" w:hint="cs"/>
          <w:rtl/>
        </w:rPr>
        <w:t>)</w:t>
      </w:r>
      <w:r>
        <w:rPr>
          <w:rFonts w:ascii="Arial" w:hAnsi="Arial"/>
          <w:rtl/>
        </w:rPr>
        <w:t xml:space="preserve"> הניחוהו בלשון נקבה, ו</w:t>
      </w:r>
      <w:r>
        <w:rPr>
          <w:rFonts w:ascii="Arial" w:hAnsi="Arial"/>
          <w:b/>
          <w:bCs/>
          <w:rtl/>
        </w:rPr>
        <w:t>הם היו בקיאין בלשון</w:t>
      </w:r>
      <w:r>
        <w:rPr>
          <w:rFonts w:ascii="Arial" w:hAnsi="Arial"/>
          <w:rtl/>
        </w:rPr>
        <w:t>. ו</w:t>
      </w:r>
      <w:r>
        <w:rPr>
          <w:rFonts w:ascii="Arial" w:hAnsi="Arial" w:hint="cs"/>
          <w:rtl/>
        </w:rPr>
        <w:t>'</w:t>
      </w:r>
      <w:r>
        <w:rPr>
          <w:rFonts w:ascii="Arial" w:hAnsi="Arial"/>
          <w:rtl/>
        </w:rPr>
        <w:t>מאמרות</w:t>
      </w:r>
      <w:r>
        <w:rPr>
          <w:rFonts w:ascii="Arial" w:hAnsi="Arial" w:hint="cs"/>
          <w:rtl/>
        </w:rPr>
        <w:t>'</w:t>
      </w:r>
      <w:r>
        <w:rPr>
          <w:rFonts w:ascii="Arial" w:hAnsi="Arial"/>
          <w:rtl/>
        </w:rPr>
        <w:t>, אע</w:t>
      </w:r>
      <w:r>
        <w:rPr>
          <w:rFonts w:ascii="Arial" w:hAnsi="Arial" w:hint="cs"/>
          <w:rtl/>
        </w:rPr>
        <w:t>"</w:t>
      </w:r>
      <w:r>
        <w:rPr>
          <w:rFonts w:ascii="Arial" w:hAnsi="Arial"/>
          <w:rtl/>
        </w:rPr>
        <w:t xml:space="preserve">פ שהוא נקבות, לשון זכרים הוא, שהיחיד הוא </w:t>
      </w:r>
      <w:r>
        <w:rPr>
          <w:rFonts w:ascii="Arial" w:hAnsi="Arial" w:hint="cs"/>
          <w:rtl/>
        </w:rPr>
        <w:t>'</w:t>
      </w:r>
      <w:r>
        <w:rPr>
          <w:rFonts w:ascii="Arial" w:hAnsi="Arial"/>
          <w:rtl/>
        </w:rPr>
        <w:t>מאמר</w:t>
      </w:r>
      <w:r>
        <w:rPr>
          <w:rFonts w:ascii="Arial" w:hAnsi="Arial" w:hint="cs"/>
          <w:rtl/>
        </w:rPr>
        <w:t>'</w:t>
      </w:r>
      <w:r>
        <w:rPr>
          <w:rFonts w:ascii="Arial" w:hAnsi="Arial"/>
          <w:rtl/>
        </w:rPr>
        <w:t>, דומה ל</w:t>
      </w:r>
      <w:r>
        <w:rPr>
          <w:rFonts w:ascii="Arial" w:hAnsi="Arial" w:hint="cs"/>
          <w:rtl/>
        </w:rPr>
        <w:t>'</w:t>
      </w:r>
      <w:r>
        <w:rPr>
          <w:rFonts w:ascii="Arial" w:hAnsi="Arial"/>
          <w:rtl/>
        </w:rPr>
        <w:t>מקומות</w:t>
      </w:r>
      <w:r>
        <w:rPr>
          <w:rFonts w:ascii="Arial" w:hAnsi="Arial" w:hint="cs"/>
          <w:rtl/>
        </w:rPr>
        <w:t>'</w:t>
      </w:r>
      <w:r>
        <w:rPr>
          <w:rFonts w:ascii="Arial" w:hAnsi="Arial"/>
          <w:rtl/>
        </w:rPr>
        <w:t xml:space="preserve"> ו</w:t>
      </w:r>
      <w:r>
        <w:rPr>
          <w:rFonts w:ascii="Arial" w:hAnsi="Arial" w:hint="cs"/>
          <w:rtl/>
        </w:rPr>
        <w:t>'</w:t>
      </w:r>
      <w:r>
        <w:rPr>
          <w:rFonts w:ascii="Arial" w:hAnsi="Arial"/>
          <w:rtl/>
        </w:rPr>
        <w:t>שמות</w:t>
      </w:r>
      <w:r>
        <w:rPr>
          <w:rFonts w:ascii="Arial" w:hAnsi="Arial" w:hint="cs"/>
          <w:rtl/>
        </w:rPr>
        <w:t>'</w:t>
      </w:r>
      <w:r>
        <w:rPr>
          <w:rFonts w:ascii="Arial" w:hAnsi="Arial"/>
          <w:rtl/>
        </w:rPr>
        <w:t xml:space="preserve"> ו</w:t>
      </w:r>
      <w:r>
        <w:rPr>
          <w:rFonts w:ascii="Arial" w:hAnsi="Arial" w:hint="cs"/>
          <w:rtl/>
        </w:rPr>
        <w:t>'</w:t>
      </w:r>
      <w:r>
        <w:rPr>
          <w:rFonts w:ascii="Arial" w:hAnsi="Arial"/>
          <w:rtl/>
        </w:rPr>
        <w:t>אבות</w:t>
      </w:r>
      <w:r>
        <w:rPr>
          <w:rFonts w:ascii="Arial" w:hAnsi="Arial" w:hint="cs"/>
          <w:rtl/>
        </w:rPr>
        <w:t>'</w:t>
      </w:r>
      <w:r>
        <w:rPr>
          <w:rFonts w:ascii="Arial" w:hAnsi="Arial"/>
          <w:rtl/>
        </w:rPr>
        <w:t xml:space="preserve">, וכן </w:t>
      </w:r>
      <w:r>
        <w:rPr>
          <w:rFonts w:ascii="Arial" w:hAnsi="Arial" w:hint="cs"/>
          <w:rtl/>
        </w:rPr>
        <w:t>'</w:t>
      </w:r>
      <w:r>
        <w:rPr>
          <w:rFonts w:ascii="Arial" w:hAnsi="Arial"/>
          <w:rtl/>
        </w:rPr>
        <w:t>דורות</w:t>
      </w:r>
      <w:r>
        <w:rPr>
          <w:rFonts w:ascii="Arial" w:hAnsi="Arial" w:hint="cs"/>
          <w:rtl/>
        </w:rPr>
        <w:t>'</w:t>
      </w:r>
      <w:r>
        <w:rPr>
          <w:rFonts w:ascii="Arial" w:hAnsi="Arial"/>
          <w:rtl/>
        </w:rPr>
        <w:t xml:space="preserve"> הנזכר אחר זה, כמו שדקדק החכם רבי אברהם ז"ל </w:t>
      </w:r>
      <w:r>
        <w:rPr>
          <w:rFonts w:ascii="Arial" w:hAnsi="Arial" w:hint="cs"/>
          <w:rtl/>
        </w:rPr>
        <w:t xml:space="preserve">(אבן עזרא) </w:t>
      </w:r>
      <w:r>
        <w:rPr>
          <w:rFonts w:ascii="Arial" w:hAnsi="Arial"/>
          <w:rtl/>
        </w:rPr>
        <w:t xml:space="preserve">בתחילת פרשת ואלה שמות </w:t>
      </w:r>
      <w:r>
        <w:rPr>
          <w:rFonts w:ascii="Arial" w:hAnsi="Arial" w:hint="cs"/>
          <w:rtl/>
        </w:rPr>
        <w:t>(</w:t>
      </w:r>
      <w:r>
        <w:rPr>
          <w:rFonts w:ascii="Arial" w:hAnsi="Arial"/>
          <w:sz w:val="18"/>
          <w:szCs w:val="20"/>
          <w:rtl/>
        </w:rPr>
        <w:t>ג</w:t>
      </w:r>
      <w:r>
        <w:rPr>
          <w:rFonts w:ascii="Arial" w:hAnsi="Arial" w:hint="cs"/>
          <w:sz w:val="18"/>
          <w:szCs w:val="20"/>
          <w:rtl/>
        </w:rPr>
        <w:t xml:space="preserve">, </w:t>
      </w:r>
      <w:r>
        <w:rPr>
          <w:rFonts w:ascii="Arial" w:hAnsi="Arial"/>
          <w:sz w:val="18"/>
          <w:szCs w:val="20"/>
          <w:rtl/>
        </w:rPr>
        <w:t>טו</w:t>
      </w:r>
      <w:r>
        <w:rPr>
          <w:rFonts w:ascii="Arial" w:hAnsi="Arial" w:hint="cs"/>
          <w:rtl/>
        </w:rPr>
        <w:t>)"</w:t>
      </w:r>
      <w:r>
        <w:rPr>
          <w:rFonts w:ascii="Arial" w:hAnsi="Arial"/>
          <w:rtl/>
        </w:rPr>
        <w:t>.</w:t>
      </w:r>
    </w:p>
  </w:footnote>
  <w:footnote w:id="32">
    <w:p w14:paraId="48EE262C"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אף לצורה החיצונית ולמִבנה נאה (שגם מקל על הזכירה) שָׂם לב, ופתח בשלושה משפטים המנויים בלשון נקבה, וחתם בלשון זכר (</w:t>
      </w:r>
      <w:r>
        <w:rPr>
          <w:rFonts w:ascii="Arial" w:hAnsi="Arial" w:hint="cs"/>
          <w:sz w:val="18"/>
          <w:szCs w:val="20"/>
          <w:rtl/>
        </w:rPr>
        <w:t>וכן הגיה הב"ח את סדר המשנה שבסוגייתנו, וכ"ה בפירוש ר"ח במהדורת מכון לב שמח ע"פ כתבי יד</w:t>
      </w:r>
      <w:r>
        <w:rPr>
          <w:rFonts w:ascii="Arial" w:hAnsi="Arial" w:hint="cs"/>
          <w:rtl/>
        </w:rPr>
        <w:t>). על מבנה זה, שבו נחתמת סִדרה בדבר מיוחד ושונה, מעין "</w:t>
      </w:r>
      <w:r>
        <w:rPr>
          <w:rFonts w:ascii="Arial" w:hAnsi="Arial"/>
          <w:rtl/>
        </w:rPr>
        <w:t>עַל שְׁלֹשָׁה</w:t>
      </w:r>
      <w:r>
        <w:rPr>
          <w:rFonts w:ascii="Arial" w:hAnsi="Arial" w:hint="cs"/>
          <w:rtl/>
        </w:rPr>
        <w:t xml:space="preserve">... </w:t>
      </w:r>
      <w:r>
        <w:rPr>
          <w:rFonts w:ascii="Arial" w:hAnsi="Arial"/>
          <w:rtl/>
        </w:rPr>
        <w:t>וְעַל אַרְבָּעָה</w:t>
      </w:r>
      <w:r>
        <w:rPr>
          <w:rFonts w:ascii="Arial" w:hAnsi="Arial" w:hint="cs"/>
          <w:rtl/>
        </w:rPr>
        <w:t xml:space="preserve">" שבנבואת </w:t>
      </w:r>
      <w:r>
        <w:rPr>
          <w:rFonts w:ascii="Arial" w:hAnsi="Arial"/>
          <w:rtl/>
        </w:rPr>
        <w:t>עמוס</w:t>
      </w:r>
      <w:r>
        <w:rPr>
          <w:rFonts w:ascii="Arial" w:hAnsi="Arial" w:hint="cs"/>
          <w:rtl/>
        </w:rPr>
        <w:t xml:space="preserve">, כתב </w:t>
      </w:r>
      <w:r>
        <w:rPr>
          <w:rFonts w:ascii="Arial" w:hAnsi="Arial" w:hint="cs"/>
          <w:color w:val="FF0000"/>
          <w:rtl/>
        </w:rPr>
        <w:t>פרופ'</w:t>
      </w:r>
      <w:r>
        <w:rPr>
          <w:rFonts w:ascii="Arial" w:hAnsi="Arial" w:hint="cs"/>
          <w:rtl/>
        </w:rPr>
        <w:t xml:space="preserve"> אהרן מירסקי בחוברת "סגנון עברי".</w:t>
      </w:r>
    </w:p>
  </w:footnote>
  <w:footnote w:id="33">
    <w:p w14:paraId="733B30FC" w14:textId="77777777" w:rsidR="00940290" w:rsidRDefault="00940290" w:rsidP="00940290">
      <w:pPr>
        <w:pStyle w:val="a5"/>
        <w:rPr>
          <w:rFonts w:hint="cs"/>
          <w:rtl/>
        </w:rPr>
      </w:pPr>
      <w:r>
        <w:rPr>
          <w:rStyle w:val="a4"/>
        </w:rPr>
        <w:footnoteRef/>
      </w:r>
      <w:r>
        <w:rPr>
          <w:rFonts w:hint="cs"/>
          <w:rtl/>
        </w:rPr>
        <w:t xml:space="preserve"> דף ב, ב </w:t>
      </w:r>
      <w:r>
        <w:rPr>
          <w:rtl/>
        </w:rPr>
        <w:t xml:space="preserve">ד"ה </w:t>
      </w:r>
      <w:r>
        <w:rPr>
          <w:rFonts w:hint="cs"/>
          <w:rtl/>
        </w:rPr>
        <w:t>"</w:t>
      </w:r>
      <w:r>
        <w:rPr>
          <w:rtl/>
        </w:rPr>
        <w:t>שהן ארבע</w:t>
      </w:r>
      <w:r>
        <w:rPr>
          <w:rFonts w:hint="cs"/>
          <w:rtl/>
        </w:rPr>
        <w:t xml:space="preserve">ה", ובדפוסים  (ובשני כתבי יד) הוא </w:t>
      </w:r>
      <w:r>
        <w:rPr>
          <w:rtl/>
        </w:rPr>
        <w:t xml:space="preserve">ד"ה </w:t>
      </w:r>
      <w:r>
        <w:rPr>
          <w:rFonts w:hint="cs"/>
          <w:rtl/>
        </w:rPr>
        <w:t>"</w:t>
      </w:r>
      <w:r>
        <w:rPr>
          <w:rtl/>
        </w:rPr>
        <w:t>שהן ארבע</w:t>
      </w:r>
      <w:r>
        <w:rPr>
          <w:rFonts w:hint="cs"/>
          <w:rtl/>
        </w:rPr>
        <w:t xml:space="preserve">" השני. נראה ששיבוש זה הוא תולדת פענוח מוטעה של נוסח קדום שבו </w:t>
      </w:r>
      <w:r>
        <w:rPr>
          <w:rtl/>
        </w:rPr>
        <w:t>נכתב בקיצור</w:t>
      </w:r>
      <w:r>
        <w:rPr>
          <w:rFonts w:hint="cs"/>
          <w:rtl/>
        </w:rPr>
        <w:t xml:space="preserve"> "</w:t>
      </w:r>
      <w:r>
        <w:rPr>
          <w:rtl/>
        </w:rPr>
        <w:t>שהן ד'</w:t>
      </w:r>
      <w:r>
        <w:rPr>
          <w:rFonts w:hint="cs"/>
          <w:rtl/>
        </w:rPr>
        <w:t>" (כמתועד ב</w:t>
      </w:r>
      <w:r>
        <w:rPr>
          <w:rtl/>
        </w:rPr>
        <w:t>כ</w:t>
      </w:r>
      <w:r>
        <w:rPr>
          <w:rFonts w:hint="cs"/>
          <w:rtl/>
        </w:rPr>
        <w:t xml:space="preserve">תב </w:t>
      </w:r>
      <w:r>
        <w:rPr>
          <w:rtl/>
        </w:rPr>
        <w:t>י</w:t>
      </w:r>
      <w:r>
        <w:rPr>
          <w:rFonts w:hint="cs"/>
          <w:rtl/>
        </w:rPr>
        <w:t>ד</w:t>
      </w:r>
      <w:r>
        <w:rPr>
          <w:rtl/>
        </w:rPr>
        <w:t xml:space="preserve"> וטיקן</w:t>
      </w:r>
      <w:r>
        <w:rPr>
          <w:rFonts w:hint="cs"/>
          <w:rtl/>
        </w:rPr>
        <w:t xml:space="preserve">). ואכן, </w:t>
      </w:r>
      <w:r>
        <w:rPr>
          <w:rtl/>
        </w:rPr>
        <w:t>בשל</w:t>
      </w:r>
      <w:r>
        <w:rPr>
          <w:rFonts w:hint="cs"/>
          <w:rtl/>
        </w:rPr>
        <w:t>ו</w:t>
      </w:r>
      <w:r>
        <w:rPr>
          <w:rtl/>
        </w:rPr>
        <w:t xml:space="preserve">שה </w:t>
      </w:r>
      <w:r>
        <w:rPr>
          <w:rFonts w:hint="cs"/>
          <w:rtl/>
        </w:rPr>
        <w:t xml:space="preserve">כתבי יד </w:t>
      </w:r>
      <w:r>
        <w:rPr>
          <w:rtl/>
        </w:rPr>
        <w:t>של רש"י ובדפוס ו</w:t>
      </w:r>
      <w:r>
        <w:rPr>
          <w:rFonts w:hint="cs"/>
          <w:rtl/>
        </w:rPr>
        <w:t>נ</w:t>
      </w:r>
      <w:r>
        <w:rPr>
          <w:rtl/>
        </w:rPr>
        <w:t xml:space="preserve">ציה </w:t>
      </w:r>
      <w:r>
        <w:rPr>
          <w:rFonts w:hint="cs"/>
          <w:rtl/>
        </w:rPr>
        <w:t>מופיעה הלשון המדויקת</w:t>
      </w:r>
      <w:r>
        <w:rPr>
          <w:rtl/>
        </w:rPr>
        <w:t xml:space="preserve">: </w:t>
      </w:r>
      <w:r>
        <w:rPr>
          <w:rFonts w:hint="cs"/>
          <w:rtl/>
        </w:rPr>
        <w:t>"</w:t>
      </w:r>
      <w:r>
        <w:rPr>
          <w:rtl/>
        </w:rPr>
        <w:t>שהן ארבעה</w:t>
      </w:r>
      <w:r>
        <w:rPr>
          <w:rFonts w:hint="cs"/>
          <w:rtl/>
        </w:rPr>
        <w:t>" (תודה ל</w:t>
      </w:r>
      <w:r>
        <w:rPr>
          <w:rtl/>
        </w:rPr>
        <w:t>ר' דוד ארונובסקי על הבדיקה</w:t>
      </w:r>
      <w:r>
        <w:rPr>
          <w:rFonts w:hint="cs"/>
          <w:rtl/>
        </w:rPr>
        <w:t>)</w:t>
      </w:r>
      <w:r>
        <w:rPr>
          <w:rtl/>
        </w:rPr>
        <w:t>.</w:t>
      </w:r>
    </w:p>
  </w:footnote>
  <w:footnote w:id="34">
    <w:p w14:paraId="40D32CEE"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כצ"ל (וכ"ה בכמה כתבי יד וב</w:t>
      </w:r>
      <w:r>
        <w:rPr>
          <w:rFonts w:ascii="Arial" w:hAnsi="Arial"/>
          <w:rtl/>
        </w:rPr>
        <w:t>דפוס ונציה</w:t>
      </w:r>
      <w:r>
        <w:rPr>
          <w:rFonts w:ascii="Arial" w:hAnsi="Arial" w:hint="cs"/>
          <w:sz w:val="18"/>
          <w:szCs w:val="20"/>
          <w:rtl/>
        </w:rPr>
        <w:t>; ב</w:t>
      </w:r>
      <w:r>
        <w:rPr>
          <w:rFonts w:ascii="Arial" w:hAnsi="Arial"/>
          <w:sz w:val="18"/>
          <w:szCs w:val="20"/>
          <w:rtl/>
        </w:rPr>
        <w:t>כ</w:t>
      </w:r>
      <w:r>
        <w:rPr>
          <w:rFonts w:ascii="Arial" w:hAnsi="Arial" w:hint="cs"/>
          <w:sz w:val="18"/>
          <w:szCs w:val="20"/>
          <w:rtl/>
        </w:rPr>
        <w:t xml:space="preserve">תב </w:t>
      </w:r>
      <w:r>
        <w:rPr>
          <w:rFonts w:ascii="Arial" w:hAnsi="Arial"/>
          <w:sz w:val="18"/>
          <w:szCs w:val="20"/>
          <w:rtl/>
        </w:rPr>
        <w:t>י</w:t>
      </w:r>
      <w:r>
        <w:rPr>
          <w:rFonts w:ascii="Arial" w:hAnsi="Arial" w:hint="cs"/>
          <w:sz w:val="18"/>
          <w:szCs w:val="20"/>
          <w:rtl/>
        </w:rPr>
        <w:t>ד</w:t>
      </w:r>
      <w:r>
        <w:rPr>
          <w:rFonts w:ascii="Arial" w:hAnsi="Arial"/>
          <w:sz w:val="18"/>
          <w:szCs w:val="20"/>
          <w:rtl/>
        </w:rPr>
        <w:t xml:space="preserve"> פריס: </w:t>
      </w:r>
      <w:r>
        <w:rPr>
          <w:rFonts w:ascii="Arial" w:hAnsi="Arial" w:hint="cs"/>
          <w:sz w:val="18"/>
          <w:szCs w:val="20"/>
          <w:rtl/>
        </w:rPr>
        <w:t>"</w:t>
      </w:r>
      <w:r>
        <w:rPr>
          <w:rFonts w:ascii="Arial" w:hAnsi="Arial"/>
          <w:sz w:val="18"/>
          <w:szCs w:val="20"/>
          <w:rtl/>
        </w:rPr>
        <w:t>שה</w:t>
      </w:r>
      <w:r>
        <w:rPr>
          <w:rFonts w:ascii="Arial" w:hAnsi="Arial"/>
          <w:b/>
          <w:bCs/>
          <w:sz w:val="18"/>
          <w:szCs w:val="20"/>
          <w:rtl/>
        </w:rPr>
        <w:t>ם</w:t>
      </w:r>
      <w:r>
        <w:rPr>
          <w:rFonts w:ascii="Arial" w:hAnsi="Arial"/>
          <w:sz w:val="18"/>
          <w:szCs w:val="20"/>
          <w:rtl/>
        </w:rPr>
        <w:t xml:space="preserve"> ארבעה</w:t>
      </w:r>
      <w:r>
        <w:rPr>
          <w:rFonts w:ascii="Arial" w:hAnsi="Arial" w:hint="cs"/>
          <w:sz w:val="18"/>
          <w:szCs w:val="20"/>
          <w:rtl/>
        </w:rPr>
        <w:t>"</w:t>
      </w:r>
      <w:r>
        <w:rPr>
          <w:rFonts w:ascii="Arial" w:hAnsi="Arial" w:hint="cs"/>
          <w:rtl/>
        </w:rPr>
        <w:t xml:space="preserve">). </w:t>
      </w:r>
      <w:r>
        <w:rPr>
          <w:rFonts w:ascii="Arial" w:hAnsi="Arial"/>
          <w:rtl/>
        </w:rPr>
        <w:t xml:space="preserve">את הקיצור </w:t>
      </w:r>
      <w:r>
        <w:rPr>
          <w:rFonts w:ascii="Arial" w:hAnsi="Arial" w:hint="cs"/>
          <w:rtl/>
        </w:rPr>
        <w:t>"</w:t>
      </w:r>
      <w:r>
        <w:rPr>
          <w:rFonts w:ascii="Arial" w:hAnsi="Arial"/>
          <w:rtl/>
        </w:rPr>
        <w:t>ד'</w:t>
      </w:r>
      <w:r>
        <w:rPr>
          <w:rFonts w:ascii="Arial" w:hAnsi="Arial" w:hint="cs"/>
          <w:rtl/>
        </w:rPr>
        <w:t>"</w:t>
      </w:r>
      <w:r>
        <w:rPr>
          <w:rFonts w:ascii="Arial" w:hAnsi="Arial"/>
          <w:rtl/>
        </w:rPr>
        <w:t xml:space="preserve"> שבדפוס</w:t>
      </w:r>
      <w:r>
        <w:rPr>
          <w:rFonts w:ascii="Arial" w:hAnsi="Arial" w:hint="cs"/>
          <w:rtl/>
        </w:rPr>
        <w:t xml:space="preserve"> (וכ"ה ב</w:t>
      </w:r>
      <w:r>
        <w:rPr>
          <w:rFonts w:ascii="Arial" w:hAnsi="Arial"/>
          <w:rtl/>
        </w:rPr>
        <w:t>כ</w:t>
      </w:r>
      <w:r>
        <w:rPr>
          <w:rFonts w:ascii="Arial" w:hAnsi="Arial" w:hint="cs"/>
          <w:rtl/>
        </w:rPr>
        <w:t xml:space="preserve">תב </w:t>
      </w:r>
      <w:r>
        <w:rPr>
          <w:rFonts w:ascii="Arial" w:hAnsi="Arial"/>
          <w:rtl/>
        </w:rPr>
        <w:t>י</w:t>
      </w:r>
      <w:r>
        <w:rPr>
          <w:rFonts w:ascii="Arial" w:hAnsi="Arial" w:hint="cs"/>
          <w:rtl/>
        </w:rPr>
        <w:t>ד</w:t>
      </w:r>
      <w:r>
        <w:rPr>
          <w:rFonts w:ascii="Arial" w:hAnsi="Arial"/>
          <w:rtl/>
        </w:rPr>
        <w:t xml:space="preserve"> וטיקן</w:t>
      </w:r>
      <w:r>
        <w:rPr>
          <w:rFonts w:ascii="Arial" w:hAnsi="Arial" w:hint="cs"/>
          <w:rtl/>
        </w:rPr>
        <w:t>) יש שטעו לפענח: "</w:t>
      </w:r>
      <w:r>
        <w:rPr>
          <w:rFonts w:ascii="Arial" w:hAnsi="Arial"/>
          <w:rtl/>
        </w:rPr>
        <w:t>ארבע</w:t>
      </w:r>
      <w:r>
        <w:rPr>
          <w:rFonts w:ascii="Arial" w:hAnsi="Arial" w:hint="cs"/>
          <w:rtl/>
        </w:rPr>
        <w:t xml:space="preserve">". </w:t>
      </w:r>
      <w:r>
        <w:rPr>
          <w:rFonts w:ascii="Arial" w:hAnsi="Arial" w:hint="cs"/>
          <w:sz w:val="18"/>
          <w:szCs w:val="20"/>
          <w:rtl/>
        </w:rPr>
        <w:t>כך ארע גם לפירוש ר"ח: על הדף הודפס "</w:t>
      </w:r>
      <w:r>
        <w:rPr>
          <w:rFonts w:ascii="Arial" w:hAnsi="Arial"/>
          <w:sz w:val="18"/>
          <w:szCs w:val="20"/>
          <w:rtl/>
        </w:rPr>
        <w:t xml:space="preserve">שתים שהן ארבע", ובמהדורת מכון לב שמח תיקנו ע"פ כתבי יד </w:t>
      </w:r>
      <w:r>
        <w:rPr>
          <w:rFonts w:ascii="Arial" w:hAnsi="Arial" w:hint="cs"/>
          <w:sz w:val="18"/>
          <w:szCs w:val="20"/>
          <w:rtl/>
        </w:rPr>
        <w:t>ל</w:t>
      </w:r>
      <w:r>
        <w:rPr>
          <w:rFonts w:ascii="Arial" w:hAnsi="Arial"/>
          <w:sz w:val="18"/>
          <w:szCs w:val="20"/>
          <w:rtl/>
        </w:rPr>
        <w:t>"</w:t>
      </w:r>
      <w:r>
        <w:rPr>
          <w:rFonts w:ascii="Arial" w:hAnsi="Arial"/>
          <w:b/>
          <w:bCs/>
          <w:sz w:val="18"/>
          <w:szCs w:val="20"/>
          <w:rtl/>
        </w:rPr>
        <w:t>שנים</w:t>
      </w:r>
      <w:r>
        <w:rPr>
          <w:rFonts w:ascii="Arial" w:hAnsi="Arial"/>
          <w:sz w:val="18"/>
          <w:szCs w:val="20"/>
          <w:rtl/>
        </w:rPr>
        <w:t xml:space="preserve"> שהן ארבע", וצ"ל:</w:t>
      </w:r>
      <w:r>
        <w:rPr>
          <w:rFonts w:ascii="Arial" w:hAnsi="Arial" w:hint="cs"/>
          <w:rtl/>
        </w:rPr>
        <w:t xml:space="preserve"> </w:t>
      </w:r>
      <w:r>
        <w:rPr>
          <w:rFonts w:ascii="Arial" w:hAnsi="Arial"/>
          <w:sz w:val="18"/>
          <w:szCs w:val="20"/>
          <w:rtl/>
        </w:rPr>
        <w:t xml:space="preserve">"שנים שהן </w:t>
      </w:r>
      <w:r>
        <w:rPr>
          <w:rFonts w:ascii="Arial" w:hAnsi="Arial"/>
          <w:b/>
          <w:bCs/>
          <w:sz w:val="18"/>
          <w:szCs w:val="20"/>
          <w:rtl/>
        </w:rPr>
        <w:t>ארבעה</w:t>
      </w:r>
      <w:r>
        <w:rPr>
          <w:rFonts w:ascii="Arial" w:hAnsi="Arial"/>
          <w:sz w:val="18"/>
          <w:szCs w:val="20"/>
          <w:rtl/>
        </w:rPr>
        <w:t>"</w:t>
      </w:r>
      <w:r>
        <w:rPr>
          <w:rFonts w:ascii="Arial" w:hAnsi="Arial" w:hint="cs"/>
          <w:rtl/>
        </w:rPr>
        <w:t>.</w:t>
      </w:r>
    </w:p>
  </w:footnote>
  <w:footnote w:id="35">
    <w:p w14:paraId="006F8A32"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פעמים שאותו דבר בעצמו ("המסומן") ידובר בו במין אחד כשיִקָּרֵא בשם אחד ("מסַמֵּן"), וכשייקרא בשם אחר יתייחסו אליו בלשון המין השני, כגון: "אבנים"</w:t>
      </w:r>
      <w:r>
        <w:rPr>
          <w:rFonts w:ascii="Arial" w:hAnsi="Arial" w:hint="cs"/>
          <w:sz w:val="18"/>
          <w:szCs w:val="20"/>
          <w:rtl/>
        </w:rPr>
        <w:t xml:space="preserve">(נ') </w:t>
      </w:r>
      <w:r>
        <w:rPr>
          <w:rFonts w:ascii="Arial" w:hAnsi="Arial" w:hint="cs"/>
          <w:rtl/>
        </w:rPr>
        <w:t>ו"סלעים"</w:t>
      </w:r>
      <w:r>
        <w:rPr>
          <w:rFonts w:ascii="Arial" w:hAnsi="Arial" w:hint="cs"/>
          <w:sz w:val="18"/>
          <w:szCs w:val="20"/>
          <w:rtl/>
        </w:rPr>
        <w:t>(ז')</w:t>
      </w:r>
      <w:r>
        <w:rPr>
          <w:rFonts w:ascii="Arial" w:hAnsi="Arial" w:hint="cs"/>
          <w:rtl/>
        </w:rPr>
        <w:t>, וכגון שמות ממינים שונים לאותה ערימת אבנים, כמובא בהערה 14. כיו"ב על אותו יום שנאמר עליו "</w:t>
      </w:r>
      <w:r>
        <w:rPr>
          <w:rFonts w:ascii="Arial" w:hAnsi="Arial"/>
          <w:rtl/>
        </w:rPr>
        <w:t>שָׁמוֹר אֶת יוֹם הַשַּׁבָּת לְקַדְּשׁוֹ</w:t>
      </w:r>
      <w:r>
        <w:rPr>
          <w:rFonts w:ascii="Arial" w:hAnsi="Arial" w:hint="cs"/>
          <w:sz w:val="18"/>
          <w:szCs w:val="20"/>
          <w:rtl/>
        </w:rPr>
        <w:t>(ז')</w:t>
      </w:r>
      <w:r>
        <w:rPr>
          <w:rFonts w:ascii="Arial" w:hAnsi="Arial" w:hint="cs"/>
          <w:rtl/>
        </w:rPr>
        <w:t>" (</w:t>
      </w:r>
      <w:r>
        <w:rPr>
          <w:rFonts w:ascii="Arial" w:hAnsi="Arial"/>
          <w:sz w:val="18"/>
          <w:szCs w:val="20"/>
          <w:rtl/>
        </w:rPr>
        <w:t>דברים ה</w:t>
      </w:r>
      <w:r>
        <w:rPr>
          <w:rFonts w:ascii="Arial" w:hAnsi="Arial" w:hint="cs"/>
          <w:sz w:val="18"/>
          <w:szCs w:val="20"/>
          <w:rtl/>
        </w:rPr>
        <w:t xml:space="preserve">, </w:t>
      </w:r>
      <w:r>
        <w:rPr>
          <w:rFonts w:ascii="Arial" w:hAnsi="Arial"/>
          <w:sz w:val="18"/>
          <w:szCs w:val="20"/>
          <w:rtl/>
        </w:rPr>
        <w:t>יא</w:t>
      </w:r>
      <w:r>
        <w:rPr>
          <w:rFonts w:ascii="Arial" w:hAnsi="Arial" w:hint="cs"/>
          <w:sz w:val="18"/>
          <w:szCs w:val="20"/>
          <w:rtl/>
        </w:rPr>
        <w:t>; והשוה ל</w:t>
      </w:r>
      <w:r>
        <w:rPr>
          <w:rFonts w:ascii="Arial" w:hAnsi="Arial"/>
          <w:sz w:val="18"/>
          <w:szCs w:val="20"/>
          <w:rtl/>
        </w:rPr>
        <w:t>ישעיהו נו</w:t>
      </w:r>
      <w:r>
        <w:rPr>
          <w:rFonts w:ascii="Arial" w:hAnsi="Arial" w:hint="cs"/>
          <w:sz w:val="18"/>
          <w:szCs w:val="20"/>
          <w:rtl/>
        </w:rPr>
        <w:t xml:space="preserve">, </w:t>
      </w:r>
      <w:r>
        <w:rPr>
          <w:rFonts w:ascii="Arial" w:hAnsi="Arial"/>
          <w:sz w:val="18"/>
          <w:szCs w:val="20"/>
          <w:rtl/>
        </w:rPr>
        <w:t>ו</w:t>
      </w:r>
      <w:r>
        <w:rPr>
          <w:rFonts w:ascii="Arial" w:hAnsi="Arial" w:hint="cs"/>
          <w:rtl/>
        </w:rPr>
        <w:t>) נאמר: "</w:t>
      </w:r>
      <w:r>
        <w:rPr>
          <w:rFonts w:ascii="Arial" w:hAnsi="Arial"/>
          <w:rtl/>
        </w:rPr>
        <w:t>וּשְׁמַרְתֶּם אֶת הַשַּׁבָּת כִּי קֹדֶשׁ הִוא</w:t>
      </w:r>
      <w:r>
        <w:rPr>
          <w:rFonts w:ascii="Arial" w:hAnsi="Arial" w:hint="cs"/>
          <w:sz w:val="18"/>
          <w:szCs w:val="20"/>
          <w:rtl/>
        </w:rPr>
        <w:t>(נ')</w:t>
      </w:r>
      <w:r>
        <w:rPr>
          <w:rFonts w:ascii="Arial" w:hAnsi="Arial"/>
          <w:rtl/>
        </w:rPr>
        <w:t xml:space="preserve"> לָכֶם מְחַלְלֶיהָ</w:t>
      </w:r>
      <w:r>
        <w:rPr>
          <w:rFonts w:ascii="Arial" w:hAnsi="Arial" w:hint="cs"/>
          <w:sz w:val="18"/>
          <w:szCs w:val="20"/>
          <w:rtl/>
        </w:rPr>
        <w:t>(נ')</w:t>
      </w:r>
      <w:r>
        <w:rPr>
          <w:rFonts w:ascii="Arial" w:hAnsi="Arial" w:hint="cs"/>
          <w:rtl/>
        </w:rPr>
        <w:t>..." (</w:t>
      </w:r>
      <w:r>
        <w:rPr>
          <w:rFonts w:ascii="Arial" w:hAnsi="Arial"/>
          <w:sz w:val="18"/>
          <w:szCs w:val="20"/>
          <w:rtl/>
        </w:rPr>
        <w:t>שמות לא</w:t>
      </w:r>
      <w:r>
        <w:rPr>
          <w:rFonts w:ascii="Arial" w:hAnsi="Arial" w:hint="cs"/>
          <w:sz w:val="18"/>
          <w:szCs w:val="20"/>
          <w:rtl/>
        </w:rPr>
        <w:t xml:space="preserve">, </w:t>
      </w:r>
      <w:r>
        <w:rPr>
          <w:rFonts w:ascii="Arial" w:hAnsi="Arial"/>
          <w:sz w:val="18"/>
          <w:szCs w:val="20"/>
          <w:rtl/>
        </w:rPr>
        <w:t>יד</w:t>
      </w:r>
      <w:r>
        <w:rPr>
          <w:rFonts w:ascii="Arial" w:hAnsi="Arial" w:hint="cs"/>
          <w:rtl/>
        </w:rPr>
        <w:t>). וראה להלן דף קיח, ב.</w:t>
      </w:r>
    </w:p>
  </w:footnote>
  <w:footnote w:id="36">
    <w:p w14:paraId="52154A93" w14:textId="77777777" w:rsidR="00940290" w:rsidRDefault="00940290" w:rsidP="00940290">
      <w:pPr>
        <w:pStyle w:val="a5"/>
        <w:rPr>
          <w:rtl/>
        </w:rPr>
      </w:pPr>
      <w:r>
        <w:rPr>
          <w:rStyle w:val="a4"/>
        </w:rPr>
        <w:footnoteRef/>
      </w:r>
      <w:r>
        <w:rPr>
          <w:rFonts w:hint="cs"/>
          <w:rtl/>
        </w:rPr>
        <w:t xml:space="preserve"> ראה להלן בהערה 38.</w:t>
      </w:r>
    </w:p>
  </w:footnote>
  <w:footnote w:id="37">
    <w:p w14:paraId="15DABBE7" w14:textId="77777777" w:rsidR="00940290" w:rsidRDefault="00940290" w:rsidP="00940290">
      <w:pPr>
        <w:pStyle w:val="a5"/>
        <w:rPr>
          <w:rFonts w:hint="cs"/>
          <w:rtl/>
        </w:rPr>
      </w:pPr>
      <w:r>
        <w:rPr>
          <w:rStyle w:val="a4"/>
        </w:rPr>
        <w:footnoteRef/>
      </w:r>
      <w:r>
        <w:rPr>
          <w:rFonts w:hint="cs"/>
          <w:rtl/>
        </w:rPr>
        <w:t xml:space="preserve"> סיומת צורת היחיד (כגון "-ָה") או הרבים (כגון "-ות") איננה סימן </w:t>
      </w:r>
      <w:r>
        <w:rPr>
          <w:rtl/>
        </w:rPr>
        <w:t>מובהק</w:t>
      </w:r>
      <w:r>
        <w:rPr>
          <w:rFonts w:hint="cs"/>
          <w:rtl/>
        </w:rPr>
        <w:t xml:space="preserve"> למין הדקדוקי, כמובא להלן (הערה 25). </w:t>
      </w:r>
      <w:r>
        <w:rPr>
          <w:rFonts w:hint="cs"/>
          <w:color w:val="FF0000"/>
          <w:rtl/>
        </w:rPr>
        <w:t>וע"ע: לובה חרל"פ@</w:t>
      </w:r>
    </w:p>
  </w:footnote>
  <w:footnote w:id="38">
    <w:p w14:paraId="03674B56"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כגון: "</w:t>
      </w:r>
      <w:r>
        <w:rPr>
          <w:rFonts w:ascii="Arial" w:hAnsi="Arial"/>
          <w:rtl/>
        </w:rPr>
        <w:t>הוּא</w:t>
      </w:r>
      <w:r>
        <w:rPr>
          <w:rFonts w:ascii="Arial" w:hAnsi="Arial" w:hint="cs"/>
          <w:rtl/>
        </w:rPr>
        <w:t xml:space="preserve"> </w:t>
      </w:r>
      <w:r>
        <w:rPr>
          <w:rFonts w:ascii="Arial" w:hAnsi="Arial"/>
          <w:rtl/>
        </w:rPr>
        <w:t>אָמַר</w:t>
      </w:r>
      <w:r>
        <w:rPr>
          <w:rFonts w:ascii="Arial" w:hAnsi="Arial" w:hint="cs"/>
          <w:sz w:val="18"/>
          <w:szCs w:val="20"/>
          <w:rtl/>
        </w:rPr>
        <w:t>(פֹעל ז')</w:t>
      </w:r>
      <w:r>
        <w:rPr>
          <w:rFonts w:ascii="Arial" w:hAnsi="Arial"/>
          <w:rtl/>
        </w:rPr>
        <w:t xml:space="preserve"> לִי אֲחֹתִי הִוא</w:t>
      </w:r>
      <w:r>
        <w:rPr>
          <w:rFonts w:ascii="Arial" w:hAnsi="Arial" w:hint="cs"/>
          <w:sz w:val="18"/>
          <w:szCs w:val="20"/>
          <w:rtl/>
        </w:rPr>
        <w:t>(כינוי גוף</w:t>
      </w:r>
      <w:r>
        <w:rPr>
          <w:rFonts w:ascii="Arial" w:hAnsi="Arial" w:hint="cs"/>
          <w:sz w:val="14"/>
          <w:szCs w:val="16"/>
          <w:rtl/>
        </w:rPr>
        <w:t xml:space="preserve"> </w:t>
      </w:r>
      <w:r>
        <w:rPr>
          <w:rFonts w:ascii="Arial" w:hAnsi="Arial" w:hint="cs"/>
          <w:sz w:val="18"/>
          <w:szCs w:val="20"/>
          <w:rtl/>
        </w:rPr>
        <w:t>נ')</w:t>
      </w:r>
      <w:r>
        <w:rPr>
          <w:rFonts w:ascii="Arial" w:hAnsi="Arial" w:hint="cs"/>
          <w:rtl/>
        </w:rPr>
        <w:t>,</w:t>
      </w:r>
      <w:r>
        <w:rPr>
          <w:rFonts w:ascii="Arial" w:hAnsi="Arial"/>
          <w:rtl/>
        </w:rPr>
        <w:t xml:space="preserve"> וְהִיא</w:t>
      </w:r>
      <w:r>
        <w:rPr>
          <w:rFonts w:ascii="Arial" w:hAnsi="Arial" w:hint="cs"/>
          <w:sz w:val="18"/>
          <w:szCs w:val="20"/>
          <w:rtl/>
        </w:rPr>
        <w:t>...</w:t>
      </w:r>
      <w:r>
        <w:rPr>
          <w:rFonts w:ascii="Arial" w:hAnsi="Arial"/>
          <w:rtl/>
        </w:rPr>
        <w:t xml:space="preserve"> אָמְרָה</w:t>
      </w:r>
      <w:r>
        <w:rPr>
          <w:rFonts w:ascii="Arial" w:hAnsi="Arial" w:hint="cs"/>
          <w:sz w:val="18"/>
          <w:szCs w:val="20"/>
          <w:rtl/>
        </w:rPr>
        <w:t>(פֹעל נ')</w:t>
      </w:r>
      <w:r>
        <w:rPr>
          <w:rFonts w:ascii="Arial" w:hAnsi="Arial"/>
          <w:rtl/>
        </w:rPr>
        <w:t xml:space="preserve"> אָחִי</w:t>
      </w:r>
      <w:r>
        <w:rPr>
          <w:rFonts w:ascii="Arial" w:hAnsi="Arial" w:hint="cs"/>
          <w:sz w:val="18"/>
          <w:szCs w:val="20"/>
          <w:rtl/>
        </w:rPr>
        <w:t xml:space="preserve"> </w:t>
      </w:r>
      <w:r>
        <w:rPr>
          <w:rFonts w:ascii="Arial" w:hAnsi="Arial"/>
          <w:rtl/>
        </w:rPr>
        <w:t>הוּא</w:t>
      </w:r>
      <w:r>
        <w:rPr>
          <w:rFonts w:ascii="Arial" w:hAnsi="Arial" w:hint="cs"/>
          <w:sz w:val="18"/>
          <w:szCs w:val="20"/>
          <w:rtl/>
        </w:rPr>
        <w:t>(כינוי גוף</w:t>
      </w:r>
      <w:r>
        <w:rPr>
          <w:rFonts w:ascii="Arial" w:hAnsi="Arial" w:hint="cs"/>
          <w:sz w:val="14"/>
          <w:szCs w:val="16"/>
          <w:rtl/>
        </w:rPr>
        <w:t xml:space="preserve"> </w:t>
      </w:r>
      <w:r>
        <w:rPr>
          <w:rFonts w:ascii="Arial" w:hAnsi="Arial" w:hint="cs"/>
          <w:sz w:val="18"/>
          <w:szCs w:val="20"/>
          <w:rtl/>
        </w:rPr>
        <w:t>ז')</w:t>
      </w:r>
      <w:r>
        <w:rPr>
          <w:rFonts w:ascii="Arial" w:hAnsi="Arial" w:hint="cs"/>
          <w:rtl/>
        </w:rPr>
        <w:t>"</w:t>
      </w:r>
      <w:r>
        <w:rPr>
          <w:rFonts w:ascii="Arial" w:hAnsi="Arial"/>
          <w:rtl/>
        </w:rPr>
        <w:t xml:space="preserve"> </w:t>
      </w:r>
      <w:r>
        <w:rPr>
          <w:rFonts w:ascii="Arial" w:hAnsi="Arial" w:hint="cs"/>
          <w:rtl/>
        </w:rPr>
        <w:t>(</w:t>
      </w:r>
      <w:r>
        <w:rPr>
          <w:rFonts w:ascii="Arial" w:hAnsi="Arial"/>
          <w:sz w:val="18"/>
          <w:szCs w:val="20"/>
          <w:rtl/>
        </w:rPr>
        <w:t>בראשית כ</w:t>
      </w:r>
      <w:r>
        <w:rPr>
          <w:rFonts w:ascii="Arial" w:hAnsi="Arial" w:hint="cs"/>
          <w:sz w:val="18"/>
          <w:szCs w:val="20"/>
          <w:rtl/>
        </w:rPr>
        <w:t xml:space="preserve">, </w:t>
      </w:r>
      <w:r>
        <w:rPr>
          <w:rFonts w:ascii="Arial" w:hAnsi="Arial"/>
          <w:sz w:val="18"/>
          <w:szCs w:val="20"/>
          <w:rtl/>
        </w:rPr>
        <w:t>ה</w:t>
      </w:r>
      <w:r>
        <w:rPr>
          <w:rFonts w:ascii="Arial" w:hAnsi="Arial" w:hint="cs"/>
          <w:rtl/>
        </w:rPr>
        <w:t>); "</w:t>
      </w:r>
      <w:r>
        <w:rPr>
          <w:rFonts w:ascii="Arial" w:hAnsi="Arial"/>
          <w:rtl/>
        </w:rPr>
        <w:t>וַיְהִי כַּאֲשֶׁר רָאָה</w:t>
      </w:r>
      <w:r>
        <w:rPr>
          <w:rFonts w:ascii="Arial" w:hAnsi="Arial" w:hint="cs"/>
          <w:sz w:val="18"/>
          <w:szCs w:val="20"/>
          <w:rtl/>
        </w:rPr>
        <w:t>(פֹעל ז')</w:t>
      </w:r>
      <w:r>
        <w:rPr>
          <w:rFonts w:ascii="Arial" w:hAnsi="Arial"/>
          <w:rtl/>
        </w:rPr>
        <w:t xml:space="preserve"> יַעֲקֹב אֶת רָחֵל בַּת לָבָן אֲחִי אִמּוֹ</w:t>
      </w:r>
      <w:r>
        <w:rPr>
          <w:rFonts w:ascii="Arial" w:hAnsi="Arial" w:hint="cs"/>
          <w:sz w:val="18"/>
          <w:szCs w:val="20"/>
          <w:rtl/>
        </w:rPr>
        <w:t>(כינוי שייכות חָבור ז')</w:t>
      </w:r>
      <w:r>
        <w:rPr>
          <w:rFonts w:ascii="Arial" w:hAnsi="Arial" w:hint="cs"/>
          <w:rtl/>
        </w:rPr>
        <w:t>" (</w:t>
      </w:r>
      <w:r>
        <w:rPr>
          <w:rFonts w:ascii="Arial" w:hAnsi="Arial"/>
          <w:sz w:val="18"/>
          <w:szCs w:val="20"/>
          <w:rtl/>
        </w:rPr>
        <w:t>בראשית כט</w:t>
      </w:r>
      <w:r>
        <w:rPr>
          <w:rFonts w:ascii="Arial" w:hAnsi="Arial" w:hint="cs"/>
          <w:sz w:val="18"/>
          <w:szCs w:val="20"/>
          <w:rtl/>
        </w:rPr>
        <w:t xml:space="preserve">, </w:t>
      </w:r>
      <w:r>
        <w:rPr>
          <w:rFonts w:ascii="Arial" w:hAnsi="Arial"/>
          <w:sz w:val="18"/>
          <w:szCs w:val="20"/>
          <w:rtl/>
        </w:rPr>
        <w:t>י</w:t>
      </w:r>
      <w:r>
        <w:rPr>
          <w:rFonts w:ascii="Arial" w:hAnsi="Arial" w:hint="cs"/>
          <w:rtl/>
        </w:rPr>
        <w:t>); "</w:t>
      </w:r>
      <w:r>
        <w:rPr>
          <w:rFonts w:ascii="Arial" w:hAnsi="Arial"/>
          <w:rtl/>
        </w:rPr>
        <w:t>כִּי רָאֲתָה</w:t>
      </w:r>
      <w:r>
        <w:rPr>
          <w:rFonts w:ascii="Arial" w:hAnsi="Arial" w:hint="cs"/>
          <w:sz w:val="18"/>
          <w:szCs w:val="20"/>
          <w:rtl/>
        </w:rPr>
        <w:t xml:space="preserve">(פֹעל נ' - על </w:t>
      </w:r>
      <w:r>
        <w:rPr>
          <w:rFonts w:ascii="Arial" w:hAnsi="Arial"/>
          <w:sz w:val="18"/>
          <w:szCs w:val="20"/>
          <w:rtl/>
        </w:rPr>
        <w:t>תָמָר</w:t>
      </w:r>
      <w:r>
        <w:rPr>
          <w:rFonts w:ascii="Arial" w:hAnsi="Arial" w:hint="cs"/>
          <w:sz w:val="18"/>
          <w:szCs w:val="20"/>
          <w:rtl/>
        </w:rPr>
        <w:t>)</w:t>
      </w:r>
      <w:r>
        <w:rPr>
          <w:rFonts w:ascii="Arial" w:hAnsi="Arial"/>
          <w:rtl/>
        </w:rPr>
        <w:t xml:space="preserve"> כִּי גָדַל</w:t>
      </w:r>
      <w:r>
        <w:rPr>
          <w:rFonts w:ascii="Arial" w:hAnsi="Arial" w:hint="cs"/>
          <w:sz w:val="18"/>
          <w:szCs w:val="20"/>
          <w:rtl/>
        </w:rPr>
        <w:t>(פֹעל ז')</w:t>
      </w:r>
      <w:r>
        <w:rPr>
          <w:rFonts w:ascii="Arial" w:hAnsi="Arial"/>
          <w:rtl/>
        </w:rPr>
        <w:t xml:space="preserve"> שֵׁלָה וְהִוא</w:t>
      </w:r>
      <w:r>
        <w:rPr>
          <w:rFonts w:ascii="Arial" w:hAnsi="Arial" w:hint="cs"/>
          <w:sz w:val="18"/>
          <w:szCs w:val="20"/>
          <w:rtl/>
        </w:rPr>
        <w:t>(כינוי גוף</w:t>
      </w:r>
      <w:r>
        <w:rPr>
          <w:rFonts w:ascii="Arial" w:hAnsi="Arial" w:hint="cs"/>
          <w:sz w:val="14"/>
          <w:szCs w:val="16"/>
          <w:rtl/>
        </w:rPr>
        <w:t xml:space="preserve"> </w:t>
      </w:r>
      <w:r>
        <w:rPr>
          <w:rFonts w:ascii="Arial" w:hAnsi="Arial" w:hint="cs"/>
          <w:sz w:val="18"/>
          <w:szCs w:val="20"/>
          <w:rtl/>
        </w:rPr>
        <w:t>נ')</w:t>
      </w:r>
      <w:r>
        <w:rPr>
          <w:rFonts w:ascii="Arial" w:hAnsi="Arial"/>
          <w:rtl/>
        </w:rPr>
        <w:t xml:space="preserve"> לֹא נִתְּנָה</w:t>
      </w:r>
      <w:r>
        <w:rPr>
          <w:rFonts w:ascii="Arial" w:hAnsi="Arial" w:hint="cs"/>
          <w:sz w:val="18"/>
          <w:szCs w:val="20"/>
          <w:rtl/>
        </w:rPr>
        <w:t>(פֹעל נ')</w:t>
      </w:r>
      <w:r>
        <w:rPr>
          <w:rFonts w:ascii="Arial" w:hAnsi="Arial"/>
          <w:rtl/>
        </w:rPr>
        <w:t xml:space="preserve"> לוֹ</w:t>
      </w:r>
      <w:r>
        <w:rPr>
          <w:rFonts w:ascii="Arial" w:hAnsi="Arial" w:hint="cs"/>
          <w:sz w:val="18"/>
          <w:szCs w:val="20"/>
          <w:rtl/>
        </w:rPr>
        <w:t>(מלת יחס ז')</w:t>
      </w:r>
      <w:r>
        <w:rPr>
          <w:rFonts w:ascii="Arial" w:hAnsi="Arial"/>
          <w:rtl/>
        </w:rPr>
        <w:t xml:space="preserve"> לְאִשָּׁה</w:t>
      </w:r>
      <w:r>
        <w:rPr>
          <w:rFonts w:ascii="Arial" w:hAnsi="Arial" w:hint="cs"/>
          <w:rtl/>
        </w:rPr>
        <w:t>" (</w:t>
      </w:r>
      <w:r>
        <w:rPr>
          <w:rFonts w:ascii="Arial" w:hAnsi="Arial"/>
          <w:sz w:val="18"/>
          <w:szCs w:val="20"/>
          <w:rtl/>
        </w:rPr>
        <w:t>בראשית לח</w:t>
      </w:r>
      <w:r>
        <w:rPr>
          <w:rFonts w:ascii="Arial" w:hAnsi="Arial" w:hint="cs"/>
          <w:sz w:val="18"/>
          <w:szCs w:val="20"/>
          <w:rtl/>
        </w:rPr>
        <w:t xml:space="preserve">, </w:t>
      </w:r>
      <w:r>
        <w:rPr>
          <w:rFonts w:ascii="Arial" w:hAnsi="Arial"/>
          <w:sz w:val="18"/>
          <w:szCs w:val="20"/>
          <w:rtl/>
        </w:rPr>
        <w:t>יד</w:t>
      </w:r>
      <w:r>
        <w:rPr>
          <w:rFonts w:ascii="Arial" w:hAnsi="Arial"/>
          <w:rtl/>
        </w:rPr>
        <w:t>)</w:t>
      </w:r>
      <w:r>
        <w:rPr>
          <w:rFonts w:ascii="Arial" w:hAnsi="Arial" w:hint="cs"/>
          <w:rtl/>
        </w:rPr>
        <w:t>; "</w:t>
      </w:r>
      <w:r>
        <w:rPr>
          <w:rFonts w:ascii="Arial" w:hAnsi="Arial"/>
          <w:rtl/>
        </w:rPr>
        <w:t>אַתָּה</w:t>
      </w:r>
      <w:r>
        <w:rPr>
          <w:rFonts w:ascii="Arial" w:hAnsi="Arial" w:hint="cs"/>
          <w:sz w:val="18"/>
          <w:szCs w:val="20"/>
          <w:rtl/>
        </w:rPr>
        <w:t>(כינוי גוף</w:t>
      </w:r>
      <w:r>
        <w:rPr>
          <w:rFonts w:ascii="Arial" w:hAnsi="Arial" w:hint="cs"/>
          <w:sz w:val="14"/>
          <w:szCs w:val="16"/>
          <w:rtl/>
        </w:rPr>
        <w:t xml:space="preserve"> </w:t>
      </w:r>
      <w:r>
        <w:rPr>
          <w:rFonts w:ascii="Arial" w:hAnsi="Arial" w:hint="cs"/>
          <w:sz w:val="18"/>
          <w:szCs w:val="20"/>
          <w:rtl/>
        </w:rPr>
        <w:t>ז')</w:t>
      </w:r>
      <w:r>
        <w:rPr>
          <w:rFonts w:ascii="Arial" w:hAnsi="Arial"/>
          <w:rtl/>
        </w:rPr>
        <w:t xml:space="preserve"> לֹא תַעֲבֹר</w:t>
      </w:r>
      <w:r>
        <w:rPr>
          <w:rFonts w:ascii="Arial" w:hAnsi="Arial" w:hint="cs"/>
          <w:rtl/>
        </w:rPr>
        <w:t xml:space="preserve"> </w:t>
      </w:r>
      <w:r>
        <w:rPr>
          <w:rFonts w:ascii="Arial" w:hAnsi="Arial"/>
          <w:rtl/>
        </w:rPr>
        <w:t>אֵלַי אֶת הַגַּל הַזֶּה</w:t>
      </w:r>
      <w:r>
        <w:rPr>
          <w:rFonts w:ascii="Arial" w:hAnsi="Arial" w:hint="cs"/>
          <w:sz w:val="18"/>
          <w:szCs w:val="20"/>
          <w:rtl/>
        </w:rPr>
        <w:t>(כינוי רמז ז')</w:t>
      </w:r>
      <w:r>
        <w:rPr>
          <w:rFonts w:ascii="Arial" w:hAnsi="Arial"/>
          <w:rtl/>
        </w:rPr>
        <w:t xml:space="preserve"> וְאֶת הַמַּצֵּבָה הַזֹּאת</w:t>
      </w:r>
      <w:r>
        <w:rPr>
          <w:rFonts w:ascii="Arial" w:hAnsi="Arial" w:hint="cs"/>
          <w:sz w:val="18"/>
          <w:szCs w:val="20"/>
          <w:rtl/>
        </w:rPr>
        <w:t>(כינוי רמז נ')</w:t>
      </w:r>
      <w:r>
        <w:rPr>
          <w:rFonts w:ascii="Arial" w:hAnsi="Arial" w:hint="cs"/>
          <w:rtl/>
        </w:rPr>
        <w:t>" (</w:t>
      </w:r>
      <w:r>
        <w:rPr>
          <w:rFonts w:ascii="Arial" w:hAnsi="Arial"/>
          <w:sz w:val="18"/>
          <w:szCs w:val="20"/>
          <w:rtl/>
        </w:rPr>
        <w:t>בראשית לא</w:t>
      </w:r>
      <w:r>
        <w:rPr>
          <w:rFonts w:ascii="Arial" w:hAnsi="Arial" w:hint="cs"/>
          <w:sz w:val="18"/>
          <w:szCs w:val="20"/>
          <w:rtl/>
        </w:rPr>
        <w:t xml:space="preserve">, </w:t>
      </w:r>
      <w:r>
        <w:rPr>
          <w:rFonts w:ascii="Arial" w:hAnsi="Arial"/>
          <w:sz w:val="18"/>
          <w:szCs w:val="20"/>
          <w:rtl/>
        </w:rPr>
        <w:t>נב</w:t>
      </w:r>
      <w:r>
        <w:rPr>
          <w:rFonts w:ascii="Arial" w:hAnsi="Arial" w:hint="cs"/>
          <w:sz w:val="18"/>
          <w:szCs w:val="20"/>
          <w:rtl/>
        </w:rPr>
        <w:t xml:space="preserve">; וראה בר"א </w:t>
      </w:r>
      <w:r>
        <w:rPr>
          <w:rFonts w:ascii="Arial" w:hAnsi="Arial"/>
          <w:sz w:val="18"/>
          <w:szCs w:val="20"/>
          <w:rtl/>
        </w:rPr>
        <w:t xml:space="preserve">אבן עזרא </w:t>
      </w:r>
      <w:r>
        <w:rPr>
          <w:rFonts w:ascii="Arial" w:hAnsi="Arial" w:hint="cs"/>
          <w:sz w:val="18"/>
          <w:szCs w:val="20"/>
          <w:rtl/>
        </w:rPr>
        <w:t xml:space="preserve">שם, </w:t>
      </w:r>
      <w:r>
        <w:rPr>
          <w:rFonts w:ascii="Arial" w:hAnsi="Arial"/>
          <w:sz w:val="18"/>
          <w:szCs w:val="20"/>
          <w:rtl/>
        </w:rPr>
        <w:t>מו</w:t>
      </w:r>
      <w:r>
        <w:rPr>
          <w:rFonts w:ascii="Arial" w:hAnsi="Arial" w:hint="cs"/>
          <w:sz w:val="18"/>
          <w:szCs w:val="20"/>
          <w:rtl/>
        </w:rPr>
        <w:t xml:space="preserve"> שהגל והמצבה הם שני שמות לאותה ערימת אבנים</w:t>
      </w:r>
      <w:r>
        <w:rPr>
          <w:rFonts w:ascii="Arial" w:hAnsi="Arial"/>
          <w:rtl/>
        </w:rPr>
        <w:t>)</w:t>
      </w:r>
      <w:r>
        <w:rPr>
          <w:rFonts w:ascii="Arial" w:hAnsi="Arial" w:hint="cs"/>
          <w:rtl/>
        </w:rPr>
        <w:t>; "</w:t>
      </w:r>
      <w:r>
        <w:rPr>
          <w:rFonts w:ascii="Arial" w:hAnsi="Arial"/>
          <w:rtl/>
        </w:rPr>
        <w:t>שֶׁבַע</w:t>
      </w:r>
      <w:r>
        <w:rPr>
          <w:rFonts w:ascii="Arial" w:hAnsi="Arial" w:hint="cs"/>
          <w:sz w:val="18"/>
          <w:szCs w:val="20"/>
          <w:rtl/>
        </w:rPr>
        <w:t>(שם מספר</w:t>
      </w:r>
      <w:r>
        <w:rPr>
          <w:rFonts w:ascii="Arial" w:hAnsi="Arial" w:hint="cs"/>
          <w:sz w:val="14"/>
          <w:szCs w:val="16"/>
          <w:rtl/>
        </w:rPr>
        <w:t xml:space="preserve"> </w:t>
      </w:r>
      <w:r>
        <w:rPr>
          <w:rFonts w:ascii="Arial" w:hAnsi="Arial" w:hint="cs"/>
          <w:sz w:val="18"/>
          <w:szCs w:val="20"/>
          <w:rtl/>
        </w:rPr>
        <w:t>נ')</w:t>
      </w:r>
      <w:r>
        <w:rPr>
          <w:rFonts w:ascii="Arial" w:hAnsi="Arial"/>
          <w:rtl/>
        </w:rPr>
        <w:t xml:space="preserve"> שַׁבָּתוֹת תְּמִימֹת</w:t>
      </w:r>
      <w:r>
        <w:rPr>
          <w:rFonts w:ascii="Arial" w:hAnsi="Arial" w:hint="cs"/>
          <w:sz w:val="18"/>
          <w:szCs w:val="20"/>
          <w:rtl/>
        </w:rPr>
        <w:t>(שם תואר נ')</w:t>
      </w:r>
      <w:r>
        <w:rPr>
          <w:rFonts w:ascii="Arial" w:hAnsi="Arial"/>
          <w:rtl/>
        </w:rPr>
        <w:t xml:space="preserve"> תִּהְיֶינָה</w:t>
      </w:r>
      <w:r>
        <w:rPr>
          <w:rFonts w:ascii="Arial" w:hAnsi="Arial" w:hint="cs"/>
          <w:sz w:val="18"/>
          <w:szCs w:val="20"/>
          <w:rtl/>
        </w:rPr>
        <w:t xml:space="preserve">(פֹעל נ')... </w:t>
      </w:r>
      <w:r>
        <w:rPr>
          <w:rFonts w:ascii="Arial" w:hAnsi="Arial"/>
          <w:rtl/>
        </w:rPr>
        <w:t>שִׁבְעַת</w:t>
      </w:r>
      <w:r>
        <w:rPr>
          <w:rFonts w:ascii="Arial" w:hAnsi="Arial" w:hint="cs"/>
          <w:sz w:val="18"/>
          <w:szCs w:val="20"/>
          <w:rtl/>
        </w:rPr>
        <w:t>(שם מספר</w:t>
      </w:r>
      <w:r>
        <w:rPr>
          <w:rFonts w:ascii="Arial" w:hAnsi="Arial" w:hint="cs"/>
          <w:sz w:val="14"/>
          <w:szCs w:val="16"/>
          <w:rtl/>
        </w:rPr>
        <w:t xml:space="preserve"> </w:t>
      </w:r>
      <w:r>
        <w:rPr>
          <w:rFonts w:ascii="Arial" w:hAnsi="Arial" w:hint="cs"/>
          <w:sz w:val="18"/>
          <w:szCs w:val="20"/>
          <w:rtl/>
        </w:rPr>
        <w:t xml:space="preserve">ז') </w:t>
      </w:r>
      <w:r>
        <w:rPr>
          <w:rFonts w:ascii="Arial" w:hAnsi="Arial"/>
          <w:rtl/>
        </w:rPr>
        <w:t>כְּבָשִׂים תְּמִימִם</w:t>
      </w:r>
      <w:r>
        <w:rPr>
          <w:rFonts w:ascii="Arial" w:hAnsi="Arial" w:hint="cs"/>
          <w:sz w:val="18"/>
          <w:szCs w:val="20"/>
          <w:rtl/>
        </w:rPr>
        <w:t>(שם תואר ז')</w:t>
      </w:r>
      <w:r>
        <w:rPr>
          <w:rFonts w:ascii="Arial" w:hAnsi="Arial" w:hint="cs"/>
          <w:sz w:val="26"/>
          <w:rtl/>
        </w:rPr>
        <w:t>" (</w:t>
      </w:r>
      <w:r>
        <w:rPr>
          <w:rFonts w:ascii="Arial" w:hAnsi="Arial"/>
          <w:sz w:val="18"/>
          <w:szCs w:val="20"/>
          <w:rtl/>
        </w:rPr>
        <w:t>ויקרא כג</w:t>
      </w:r>
      <w:r>
        <w:rPr>
          <w:rFonts w:ascii="Arial" w:hAnsi="Arial" w:hint="cs"/>
          <w:sz w:val="18"/>
          <w:szCs w:val="20"/>
          <w:rtl/>
        </w:rPr>
        <w:t>,</w:t>
      </w:r>
      <w:r>
        <w:rPr>
          <w:rFonts w:ascii="Arial" w:hAnsi="Arial"/>
          <w:sz w:val="18"/>
          <w:szCs w:val="20"/>
          <w:rtl/>
        </w:rPr>
        <w:t xml:space="preserve"> טו</w:t>
      </w:r>
      <w:r>
        <w:rPr>
          <w:rFonts w:ascii="Arial" w:hAnsi="Arial" w:hint="cs"/>
          <w:sz w:val="18"/>
          <w:szCs w:val="20"/>
          <w:rtl/>
        </w:rPr>
        <w:t xml:space="preserve">; </w:t>
      </w:r>
      <w:r>
        <w:rPr>
          <w:rFonts w:ascii="Arial" w:hAnsi="Arial"/>
          <w:sz w:val="18"/>
          <w:szCs w:val="20"/>
          <w:rtl/>
        </w:rPr>
        <w:t>יח</w:t>
      </w:r>
      <w:r>
        <w:rPr>
          <w:rFonts w:ascii="Arial" w:hAnsi="Arial"/>
          <w:rtl/>
        </w:rPr>
        <w:t>)</w:t>
      </w:r>
      <w:r>
        <w:rPr>
          <w:rFonts w:ascii="Arial" w:hAnsi="Arial" w:hint="cs"/>
          <w:rtl/>
        </w:rPr>
        <w:t>.</w:t>
      </w:r>
      <w:r>
        <w:rPr>
          <w:rFonts w:ascii="Arial" w:hAnsi="Arial" w:hint="cs"/>
          <w:sz w:val="26"/>
          <w:rtl/>
        </w:rPr>
        <w:t xml:space="preserve"> </w:t>
      </w:r>
    </w:p>
  </w:footnote>
  <w:footnote w:id="39">
    <w:p w14:paraId="2CC1E17C" w14:textId="77777777" w:rsidR="00940290" w:rsidRDefault="00940290" w:rsidP="00940290">
      <w:pPr>
        <w:pStyle w:val="a5"/>
        <w:rPr>
          <w:rFonts w:hint="cs"/>
          <w:rtl/>
        </w:rPr>
      </w:pPr>
      <w:r>
        <w:rPr>
          <w:rStyle w:val="a4"/>
        </w:rPr>
        <w:footnoteRef/>
      </w:r>
      <w:r>
        <w:rPr>
          <w:rFonts w:hint="cs"/>
          <w:rtl/>
        </w:rPr>
        <w:t xml:space="preserve"> המינוח המקובל "גִזְרַת ל"</w:t>
      </w:r>
      <w:r>
        <w:rPr>
          <w:rFonts w:hint="cs"/>
          <w:b/>
          <w:bCs/>
          <w:rtl/>
        </w:rPr>
        <w:t>ה</w:t>
      </w:r>
      <w:r>
        <w:rPr>
          <w:rFonts w:hint="cs"/>
          <w:rtl/>
        </w:rPr>
        <w:t>" נקבע על סמך צורות</w:t>
      </w:r>
      <w:r>
        <w:rPr>
          <w:rFonts w:hint="cs"/>
          <w:sz w:val="18"/>
          <w:szCs w:val="20"/>
          <w:rtl/>
        </w:rPr>
        <w:t xml:space="preserve"> </w:t>
      </w:r>
      <w:r>
        <w:rPr>
          <w:rFonts w:hint="cs"/>
          <w:sz w:val="18"/>
          <w:rtl/>
        </w:rPr>
        <w:t>הפֹעַל</w:t>
      </w:r>
      <w:r>
        <w:rPr>
          <w:rFonts w:hint="cs"/>
          <w:rtl/>
        </w:rPr>
        <w:t xml:space="preserve"> בגוף נסתר ("הוא"): רָאָ</w:t>
      </w:r>
      <w:r>
        <w:rPr>
          <w:rFonts w:hint="cs"/>
          <w:b/>
          <w:bCs/>
          <w:rtl/>
        </w:rPr>
        <w:t>ה</w:t>
      </w:r>
      <w:r>
        <w:rPr>
          <w:rFonts w:hint="cs"/>
          <w:rtl/>
        </w:rPr>
        <w:t xml:space="preserve">, </w:t>
      </w:r>
      <w:r>
        <w:rPr>
          <w:rtl/>
        </w:rPr>
        <w:t>ר</w:t>
      </w:r>
      <w:r>
        <w:rPr>
          <w:rFonts w:hint="cs"/>
          <w:rtl/>
        </w:rPr>
        <w:t>ו</w:t>
      </w:r>
      <w:r>
        <w:rPr>
          <w:rtl/>
        </w:rPr>
        <w:t>ֹעֶ</w:t>
      </w:r>
      <w:r>
        <w:rPr>
          <w:b/>
          <w:bCs/>
          <w:rtl/>
        </w:rPr>
        <w:t>ה</w:t>
      </w:r>
      <w:r>
        <w:rPr>
          <w:rFonts w:hint="cs"/>
          <w:rtl/>
        </w:rPr>
        <w:t xml:space="preserve">, </w:t>
      </w:r>
      <w:r>
        <w:rPr>
          <w:rtl/>
        </w:rPr>
        <w:t>יִבְנֶ</w:t>
      </w:r>
      <w:r>
        <w:rPr>
          <w:b/>
          <w:bCs/>
          <w:rtl/>
        </w:rPr>
        <w:t>ה</w:t>
      </w:r>
      <w:r>
        <w:rPr>
          <w:rFonts w:hint="cs"/>
          <w:rtl/>
        </w:rPr>
        <w:t>, הִכָּ</w:t>
      </w:r>
      <w:r>
        <w:rPr>
          <w:rFonts w:hint="cs"/>
          <w:b/>
          <w:bCs/>
          <w:rtl/>
        </w:rPr>
        <w:t>ה</w:t>
      </w:r>
      <w:r>
        <w:rPr>
          <w:rFonts w:hint="cs"/>
          <w:rtl/>
        </w:rPr>
        <w:t>. ל</w:t>
      </w:r>
      <w:r>
        <w:rPr>
          <w:rFonts w:ascii="Arial" w:hAnsi="Arial" w:hint="cs"/>
          <w:rtl/>
        </w:rPr>
        <w:t>פעמים האות השלישית איננה ה' אלא י' או ו', כגון: "</w:t>
      </w:r>
      <w:r>
        <w:rPr>
          <w:rFonts w:ascii="Arial" w:hAnsi="Arial"/>
          <w:rtl/>
        </w:rPr>
        <w:t>רָא</w:t>
      </w:r>
      <w:r>
        <w:rPr>
          <w:rFonts w:ascii="Arial" w:hAnsi="Arial"/>
          <w:b/>
          <w:bCs/>
          <w:rtl/>
        </w:rPr>
        <w:t>וֹ</w:t>
      </w:r>
      <w:r>
        <w:rPr>
          <w:rFonts w:ascii="Arial" w:hAnsi="Arial"/>
          <w:rtl/>
        </w:rPr>
        <w:t xml:space="preserve"> רָאִ</w:t>
      </w:r>
      <w:r>
        <w:rPr>
          <w:rFonts w:ascii="Arial" w:hAnsi="Arial"/>
          <w:b/>
          <w:bCs/>
          <w:rtl/>
        </w:rPr>
        <w:t>י</w:t>
      </w:r>
      <w:r>
        <w:rPr>
          <w:rFonts w:ascii="Arial" w:hAnsi="Arial"/>
          <w:rtl/>
        </w:rPr>
        <w:t>נוּ</w:t>
      </w:r>
      <w:r>
        <w:rPr>
          <w:rFonts w:ascii="Arial" w:hAnsi="Arial" w:hint="cs"/>
          <w:rtl/>
        </w:rPr>
        <w:t>" (</w:t>
      </w:r>
      <w:r>
        <w:rPr>
          <w:rFonts w:ascii="Arial" w:hAnsi="Arial"/>
          <w:sz w:val="18"/>
          <w:szCs w:val="20"/>
          <w:rtl/>
        </w:rPr>
        <w:t>בראשית כו</w:t>
      </w:r>
      <w:r>
        <w:rPr>
          <w:rFonts w:ascii="Arial" w:hAnsi="Arial" w:hint="cs"/>
          <w:sz w:val="18"/>
          <w:szCs w:val="20"/>
          <w:rtl/>
        </w:rPr>
        <w:t xml:space="preserve">, </w:t>
      </w:r>
      <w:r>
        <w:rPr>
          <w:rFonts w:ascii="Arial" w:hAnsi="Arial"/>
          <w:sz w:val="18"/>
          <w:szCs w:val="20"/>
          <w:rtl/>
        </w:rPr>
        <w:t>כח</w:t>
      </w:r>
      <w:r>
        <w:rPr>
          <w:rFonts w:ascii="Arial" w:hAnsi="Arial" w:hint="cs"/>
          <w:rtl/>
        </w:rPr>
        <w:t>),  "</w:t>
      </w:r>
      <w:r>
        <w:rPr>
          <w:rFonts w:ascii="Arial" w:hAnsi="Arial"/>
          <w:rtl/>
        </w:rPr>
        <w:t>וּבְמַרְאֵ</w:t>
      </w:r>
      <w:r>
        <w:rPr>
          <w:rFonts w:ascii="Arial" w:hAnsi="Arial"/>
          <w:b/>
          <w:bCs/>
          <w:rtl/>
        </w:rPr>
        <w:t>י</w:t>
      </w:r>
      <w:r>
        <w:rPr>
          <w:rFonts w:ascii="Arial" w:hAnsi="Arial"/>
          <w:rtl/>
        </w:rPr>
        <w:t xml:space="preserve"> עֵינֶיךָ</w:t>
      </w:r>
      <w:r>
        <w:rPr>
          <w:rFonts w:ascii="Arial" w:hAnsi="Arial" w:hint="cs"/>
          <w:rtl/>
        </w:rPr>
        <w:t>"</w:t>
      </w:r>
      <w:r>
        <w:rPr>
          <w:rFonts w:ascii="Arial" w:hAnsi="Arial"/>
          <w:rtl/>
        </w:rPr>
        <w:t xml:space="preserve"> </w:t>
      </w:r>
      <w:r>
        <w:rPr>
          <w:rFonts w:ascii="Arial" w:hAnsi="Arial" w:hint="cs"/>
          <w:rtl/>
        </w:rPr>
        <w:t>(</w:t>
      </w:r>
      <w:r>
        <w:rPr>
          <w:rFonts w:ascii="Arial" w:hAnsi="Arial"/>
          <w:sz w:val="18"/>
          <w:szCs w:val="20"/>
          <w:rtl/>
        </w:rPr>
        <w:t>קהלת יא</w:t>
      </w:r>
      <w:r>
        <w:rPr>
          <w:rFonts w:ascii="Arial" w:hAnsi="Arial" w:hint="cs"/>
          <w:sz w:val="18"/>
          <w:szCs w:val="20"/>
          <w:rtl/>
        </w:rPr>
        <w:t xml:space="preserve">, </w:t>
      </w:r>
      <w:r>
        <w:rPr>
          <w:rFonts w:ascii="Arial" w:hAnsi="Arial"/>
          <w:sz w:val="18"/>
          <w:szCs w:val="20"/>
          <w:rtl/>
        </w:rPr>
        <w:t>ט</w:t>
      </w:r>
      <w:r>
        <w:rPr>
          <w:rFonts w:ascii="Arial" w:hAnsi="Arial" w:hint="cs"/>
          <w:rtl/>
        </w:rPr>
        <w:t>).</w:t>
      </w:r>
    </w:p>
  </w:footnote>
  <w:footnote w:id="40">
    <w:p w14:paraId="24F41137"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בטעות ייחס את המספר ליריעה, ואינו אלא מספר האמות ("</w:t>
      </w:r>
      <w:r>
        <w:rPr>
          <w:rFonts w:ascii="Arial" w:hAnsi="Arial"/>
          <w:rtl/>
        </w:rPr>
        <w:t>אֹרֶךְ הַיְרִיעָה הָאַחַת</w:t>
      </w:r>
      <w:r>
        <w:rPr>
          <w:rFonts w:ascii="Arial" w:hAnsi="Arial" w:hint="cs"/>
          <w:rtl/>
        </w:rPr>
        <w:t>:</w:t>
      </w:r>
      <w:r>
        <w:rPr>
          <w:rFonts w:ascii="Arial" w:hAnsi="Arial"/>
          <w:rtl/>
        </w:rPr>
        <w:t xml:space="preserve"> שְׁמֹנֶה וְעֶשְׂרִים</w:t>
      </w:r>
      <w:r>
        <w:rPr>
          <w:rFonts w:ascii="Arial" w:hAnsi="Arial" w:hint="cs"/>
          <w:rtl/>
        </w:rPr>
        <w:t xml:space="preserve"> </w:t>
      </w:r>
      <w:r>
        <w:rPr>
          <w:rFonts w:ascii="Arial" w:hAnsi="Arial"/>
          <w:rtl/>
        </w:rPr>
        <w:t>בָּאַמָּה</w:t>
      </w:r>
      <w:r>
        <w:rPr>
          <w:rFonts w:ascii="Arial" w:hAnsi="Arial" w:hint="cs"/>
          <w:rtl/>
        </w:rPr>
        <w:t xml:space="preserve">"), והיה לו לומר: </w:t>
      </w:r>
      <w:r>
        <w:rPr>
          <w:rFonts w:ascii="Arial" w:hAnsi="Arial" w:hint="cs"/>
          <w:b/>
          <w:bCs/>
          <w:rtl/>
        </w:rPr>
        <w:t>ו</w:t>
      </w:r>
      <w:r>
        <w:rPr>
          <w:rFonts w:ascii="Arial" w:hAnsi="Arial"/>
          <w:b/>
          <w:bCs/>
          <w:rtl/>
        </w:rPr>
        <w:t>אַמָּה</w:t>
      </w:r>
      <w:r>
        <w:rPr>
          <w:rFonts w:ascii="Arial" w:hAnsi="Arial" w:hint="cs"/>
          <w:rtl/>
        </w:rPr>
        <w:t xml:space="preserve"> לשון נקבה וכו'. כיו"ב יש מקום לטעות בענין קלעי החצר, שם נאמר: "</w:t>
      </w:r>
      <w:r>
        <w:rPr>
          <w:rFonts w:ascii="Arial" w:hAnsi="Arial"/>
          <w:rtl/>
        </w:rPr>
        <w:t>וְלַכָּתֵף הַשֵּׁנִית חֲמֵשׁ עֶשְׂרֵה</w:t>
      </w:r>
      <w:r>
        <w:rPr>
          <w:rFonts w:ascii="Arial" w:hAnsi="Arial" w:hint="cs"/>
          <w:rtl/>
        </w:rPr>
        <w:t xml:space="preserve"> </w:t>
      </w:r>
      <w:r>
        <w:rPr>
          <w:rFonts w:ascii="Arial" w:hAnsi="Arial"/>
          <w:rtl/>
        </w:rPr>
        <w:t>קְלָעִים</w:t>
      </w:r>
      <w:r>
        <w:rPr>
          <w:rFonts w:ascii="Arial" w:hAnsi="Arial" w:hint="cs"/>
          <w:rtl/>
        </w:rPr>
        <w:t>" (</w:t>
      </w:r>
      <w:r>
        <w:rPr>
          <w:rFonts w:ascii="Arial" w:hAnsi="Arial"/>
          <w:szCs w:val="20"/>
          <w:rtl/>
        </w:rPr>
        <w:t>שמות כז</w:t>
      </w:r>
      <w:r>
        <w:rPr>
          <w:rFonts w:ascii="Arial" w:hAnsi="Arial" w:hint="cs"/>
          <w:szCs w:val="20"/>
          <w:rtl/>
        </w:rPr>
        <w:t xml:space="preserve">, </w:t>
      </w:r>
      <w:r>
        <w:rPr>
          <w:rFonts w:ascii="Arial" w:hAnsi="Arial"/>
          <w:szCs w:val="20"/>
          <w:rtl/>
        </w:rPr>
        <w:t>טו</w:t>
      </w:r>
      <w:r>
        <w:rPr>
          <w:rFonts w:ascii="Arial" w:hAnsi="Arial" w:hint="cs"/>
          <w:rtl/>
        </w:rPr>
        <w:t xml:space="preserve">), ראה להלן </w:t>
      </w:r>
      <w:r>
        <w:rPr>
          <w:rFonts w:hint="cs"/>
          <w:rtl/>
        </w:rPr>
        <w:t>דף ז, ב.</w:t>
      </w:r>
    </w:p>
  </w:footnote>
  <w:footnote w:id="41">
    <w:p w14:paraId="4245232D"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w:t>
      </w:r>
      <w:r>
        <w:rPr>
          <w:rFonts w:ascii="Arial" w:hAnsi="Arial"/>
          <w:rtl/>
        </w:rPr>
        <w:t>אמר רבי יצחק: מכאן שהאשה צרה עיניה באורחים יותר מן האיש</w:t>
      </w:r>
      <w:r>
        <w:rPr>
          <w:rFonts w:ascii="Arial" w:hAnsi="Arial" w:hint="cs"/>
          <w:rtl/>
        </w:rPr>
        <w:t>". כאן כוונת "מְקמֵּץ" - מנוקד בקמץ.</w:t>
      </w:r>
    </w:p>
  </w:footnote>
  <w:footnote w:id="42">
    <w:p w14:paraId="71635807"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מליצת הכתוב: "</w:t>
      </w:r>
      <w:r>
        <w:rPr>
          <w:rFonts w:ascii="Arial" w:hAnsi="Arial"/>
          <w:rtl/>
        </w:rPr>
        <w:t>וְהַ</w:t>
      </w:r>
      <w:r>
        <w:rPr>
          <w:rFonts w:ascii="Arial" w:hAnsi="Arial"/>
          <w:b/>
          <w:bCs/>
          <w:rtl/>
        </w:rPr>
        <w:t>שֵּׁגַ</w:t>
      </w:r>
      <w:r>
        <w:rPr>
          <w:rFonts w:ascii="Arial" w:hAnsi="Arial"/>
          <w:rtl/>
        </w:rPr>
        <w:t>ל יוֹשֶׁבֶת אֶצְלוֹ</w:t>
      </w:r>
      <w:r>
        <w:rPr>
          <w:rFonts w:ascii="Arial" w:hAnsi="Arial" w:hint="cs"/>
          <w:rtl/>
        </w:rPr>
        <w:t>" (</w:t>
      </w:r>
      <w:r>
        <w:rPr>
          <w:rFonts w:ascii="Arial" w:hAnsi="Arial"/>
          <w:sz w:val="18"/>
          <w:szCs w:val="20"/>
          <w:rtl/>
        </w:rPr>
        <w:t>נחמיה ב</w:t>
      </w:r>
      <w:r>
        <w:rPr>
          <w:rFonts w:ascii="Arial" w:hAnsi="Arial" w:hint="cs"/>
          <w:sz w:val="18"/>
          <w:szCs w:val="20"/>
          <w:rtl/>
        </w:rPr>
        <w:t xml:space="preserve">, </w:t>
      </w:r>
      <w:r>
        <w:rPr>
          <w:rFonts w:ascii="Arial" w:hAnsi="Arial"/>
          <w:sz w:val="18"/>
          <w:szCs w:val="20"/>
          <w:rtl/>
        </w:rPr>
        <w:t>ו</w:t>
      </w:r>
      <w:r>
        <w:rPr>
          <w:rFonts w:ascii="Arial" w:hAnsi="Arial" w:hint="cs"/>
          <w:rtl/>
        </w:rPr>
        <w:t>).</w:t>
      </w:r>
    </w:p>
  </w:footnote>
  <w:footnote w:id="43">
    <w:p w14:paraId="0B34E6DA"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בבנין קל: "</w:t>
      </w:r>
      <w:r>
        <w:rPr>
          <w:rFonts w:ascii="Arial" w:hAnsi="Arial"/>
          <w:rtl/>
        </w:rPr>
        <w:t>חָמִיךְ עֹ</w:t>
      </w:r>
      <w:r>
        <w:rPr>
          <w:rFonts w:ascii="Arial" w:hAnsi="Arial"/>
          <w:b/>
          <w:bCs/>
          <w:rtl/>
        </w:rPr>
        <w:t>לֶ</w:t>
      </w:r>
      <w:r>
        <w:rPr>
          <w:rFonts w:ascii="Arial" w:hAnsi="Arial"/>
          <w:rtl/>
        </w:rPr>
        <w:t>ה</w:t>
      </w:r>
      <w:r>
        <w:rPr>
          <w:rFonts w:ascii="Arial" w:hAnsi="Arial" w:hint="cs"/>
          <w:rtl/>
        </w:rPr>
        <w:t>" (</w:t>
      </w:r>
      <w:r>
        <w:rPr>
          <w:rFonts w:ascii="Arial" w:hAnsi="Arial"/>
          <w:sz w:val="18"/>
          <w:szCs w:val="20"/>
          <w:rtl/>
        </w:rPr>
        <w:t>בראשית לח</w:t>
      </w:r>
      <w:r>
        <w:rPr>
          <w:rFonts w:ascii="Arial" w:hAnsi="Arial" w:hint="cs"/>
          <w:sz w:val="18"/>
          <w:szCs w:val="20"/>
          <w:rtl/>
        </w:rPr>
        <w:t xml:space="preserve">, </w:t>
      </w:r>
      <w:r>
        <w:rPr>
          <w:rFonts w:ascii="Arial" w:hAnsi="Arial"/>
          <w:sz w:val="18"/>
          <w:szCs w:val="20"/>
          <w:rtl/>
        </w:rPr>
        <w:t>יג</w:t>
      </w:r>
      <w:r>
        <w:rPr>
          <w:rFonts w:ascii="Arial" w:hAnsi="Arial" w:hint="cs"/>
          <w:rtl/>
        </w:rPr>
        <w:t>) - לזכר, ולנקבה: "</w:t>
      </w:r>
      <w:r>
        <w:rPr>
          <w:rFonts w:ascii="Arial" w:hAnsi="Arial"/>
          <w:rtl/>
        </w:rPr>
        <w:t>עָב קְטַנָּה כְּכַף אִישׁ</w:t>
      </w:r>
      <w:r>
        <w:rPr>
          <w:rFonts w:ascii="Arial" w:hAnsi="Arial" w:hint="cs"/>
          <w:rtl/>
        </w:rPr>
        <w:t>,</w:t>
      </w:r>
      <w:r>
        <w:rPr>
          <w:rFonts w:ascii="Arial" w:hAnsi="Arial"/>
          <w:rtl/>
        </w:rPr>
        <w:t xml:space="preserve"> עֹ</w:t>
      </w:r>
      <w:r>
        <w:rPr>
          <w:rFonts w:ascii="Arial" w:hAnsi="Arial"/>
          <w:b/>
          <w:bCs/>
          <w:rtl/>
        </w:rPr>
        <w:t>לָ</w:t>
      </w:r>
      <w:r>
        <w:rPr>
          <w:rFonts w:ascii="Arial" w:hAnsi="Arial"/>
          <w:rtl/>
        </w:rPr>
        <w:t>ה</w:t>
      </w:r>
      <w:r>
        <w:rPr>
          <w:rFonts w:ascii="Arial" w:hAnsi="Arial" w:hint="cs"/>
          <w:rtl/>
        </w:rPr>
        <w:t xml:space="preserve"> </w:t>
      </w:r>
      <w:r>
        <w:rPr>
          <w:rFonts w:ascii="Arial" w:hAnsi="Arial"/>
          <w:rtl/>
        </w:rPr>
        <w:t>מִיָּם</w:t>
      </w:r>
      <w:r>
        <w:rPr>
          <w:rFonts w:ascii="Arial" w:hAnsi="Arial" w:hint="cs"/>
          <w:rtl/>
        </w:rPr>
        <w:t>"</w:t>
      </w:r>
      <w:r>
        <w:rPr>
          <w:rFonts w:ascii="Arial" w:hAnsi="Arial"/>
          <w:rtl/>
        </w:rPr>
        <w:t xml:space="preserve"> </w:t>
      </w:r>
      <w:r>
        <w:rPr>
          <w:rFonts w:ascii="Arial" w:hAnsi="Arial" w:hint="cs"/>
          <w:rtl/>
        </w:rPr>
        <w:t>(</w:t>
      </w:r>
      <w:r>
        <w:rPr>
          <w:rFonts w:ascii="Arial" w:hAnsi="Arial"/>
          <w:sz w:val="18"/>
          <w:szCs w:val="20"/>
          <w:rtl/>
        </w:rPr>
        <w:t>מלכים א</w:t>
      </w:r>
      <w:r>
        <w:rPr>
          <w:rFonts w:ascii="Arial" w:hAnsi="Arial" w:hint="cs"/>
          <w:sz w:val="18"/>
          <w:szCs w:val="20"/>
          <w:rtl/>
        </w:rPr>
        <w:t>'</w:t>
      </w:r>
      <w:r>
        <w:rPr>
          <w:rFonts w:ascii="Arial" w:hAnsi="Arial"/>
          <w:sz w:val="18"/>
          <w:szCs w:val="20"/>
          <w:rtl/>
        </w:rPr>
        <w:t xml:space="preserve"> יח</w:t>
      </w:r>
      <w:r>
        <w:rPr>
          <w:rFonts w:ascii="Arial" w:hAnsi="Arial" w:hint="cs"/>
          <w:sz w:val="18"/>
          <w:szCs w:val="20"/>
          <w:rtl/>
        </w:rPr>
        <w:t xml:space="preserve">, </w:t>
      </w:r>
      <w:r>
        <w:rPr>
          <w:rFonts w:ascii="Arial" w:hAnsi="Arial"/>
          <w:sz w:val="18"/>
          <w:szCs w:val="20"/>
          <w:rtl/>
        </w:rPr>
        <w:t>מד</w:t>
      </w:r>
      <w:r>
        <w:rPr>
          <w:rFonts w:ascii="Arial" w:hAnsi="Arial" w:hint="cs"/>
          <w:rtl/>
        </w:rPr>
        <w:t>). ובבנין הִפעיל: "</w:t>
      </w:r>
      <w:r>
        <w:rPr>
          <w:rFonts w:ascii="Arial" w:hAnsi="Arial"/>
          <w:rtl/>
        </w:rPr>
        <w:t>מַעֲ</w:t>
      </w:r>
      <w:r>
        <w:rPr>
          <w:rFonts w:ascii="Arial" w:hAnsi="Arial"/>
          <w:b/>
          <w:bCs/>
          <w:rtl/>
        </w:rPr>
        <w:t>לֵ</w:t>
      </w:r>
      <w:r>
        <w:rPr>
          <w:rFonts w:ascii="Arial" w:hAnsi="Arial"/>
          <w:rtl/>
        </w:rPr>
        <w:t>ה גֵרָה הוּא</w:t>
      </w:r>
      <w:r>
        <w:rPr>
          <w:rFonts w:ascii="Arial" w:hAnsi="Arial" w:hint="cs"/>
          <w:rtl/>
        </w:rPr>
        <w:t>" (</w:t>
      </w:r>
      <w:r>
        <w:rPr>
          <w:rFonts w:ascii="Arial" w:hAnsi="Arial"/>
          <w:sz w:val="18"/>
          <w:szCs w:val="20"/>
          <w:rtl/>
        </w:rPr>
        <w:t>ויקרא יא</w:t>
      </w:r>
      <w:r>
        <w:rPr>
          <w:rFonts w:ascii="Arial" w:hAnsi="Arial" w:hint="cs"/>
          <w:sz w:val="18"/>
          <w:szCs w:val="20"/>
          <w:rtl/>
        </w:rPr>
        <w:t xml:space="preserve">, </w:t>
      </w:r>
      <w:r>
        <w:rPr>
          <w:rFonts w:ascii="Arial" w:hAnsi="Arial"/>
          <w:sz w:val="18"/>
          <w:szCs w:val="20"/>
          <w:rtl/>
        </w:rPr>
        <w:t>ד</w:t>
      </w:r>
      <w:r>
        <w:rPr>
          <w:rFonts w:ascii="Arial" w:hAnsi="Arial" w:hint="cs"/>
          <w:rtl/>
        </w:rPr>
        <w:t>) - לזכר, ולנקבה: "</w:t>
      </w:r>
      <w:r>
        <w:rPr>
          <w:rFonts w:ascii="Arial" w:hAnsi="Arial"/>
          <w:rtl/>
        </w:rPr>
        <w:t>וְגֵרָה אֵינֶנָּה מַעֲ</w:t>
      </w:r>
      <w:r>
        <w:rPr>
          <w:rFonts w:ascii="Arial" w:hAnsi="Arial"/>
          <w:b/>
          <w:bCs/>
          <w:rtl/>
        </w:rPr>
        <w:t>לָ</w:t>
      </w:r>
      <w:r>
        <w:rPr>
          <w:rFonts w:ascii="Arial" w:hAnsi="Arial"/>
          <w:rtl/>
        </w:rPr>
        <w:t>ה</w:t>
      </w:r>
      <w:r>
        <w:rPr>
          <w:rFonts w:ascii="Arial" w:hAnsi="Arial" w:hint="cs"/>
          <w:rtl/>
        </w:rPr>
        <w:t>" (</w:t>
      </w:r>
      <w:r>
        <w:rPr>
          <w:rFonts w:ascii="Arial" w:hAnsi="Arial" w:hint="cs"/>
          <w:sz w:val="18"/>
          <w:szCs w:val="20"/>
          <w:rtl/>
        </w:rPr>
        <w:t>שם</w:t>
      </w:r>
      <w:r>
        <w:rPr>
          <w:rFonts w:ascii="Arial" w:hAnsi="Arial"/>
          <w:sz w:val="18"/>
          <w:szCs w:val="20"/>
          <w:rtl/>
        </w:rPr>
        <w:t xml:space="preserve"> </w:t>
      </w:r>
      <w:r>
        <w:rPr>
          <w:rFonts w:ascii="Arial" w:hAnsi="Arial" w:hint="cs"/>
          <w:sz w:val="18"/>
          <w:szCs w:val="20"/>
          <w:rtl/>
        </w:rPr>
        <w:t>כו</w:t>
      </w:r>
      <w:r>
        <w:rPr>
          <w:rFonts w:ascii="Arial" w:hAnsi="Arial" w:hint="cs"/>
          <w:rtl/>
        </w:rPr>
        <w:t>).</w:t>
      </w:r>
    </w:p>
  </w:footnote>
  <w:footnote w:id="44">
    <w:p w14:paraId="0788F8AA"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בבנין פִעֵל: "</w:t>
      </w:r>
      <w:r>
        <w:rPr>
          <w:rFonts w:ascii="Arial" w:hAnsi="Arial"/>
          <w:rtl/>
        </w:rPr>
        <w:t>אֲדֹנִי מְצַ</w:t>
      </w:r>
      <w:r>
        <w:rPr>
          <w:rFonts w:ascii="Arial" w:hAnsi="Arial"/>
          <w:b/>
          <w:bCs/>
          <w:rtl/>
        </w:rPr>
        <w:t>וֶּ</w:t>
      </w:r>
      <w:r>
        <w:rPr>
          <w:rFonts w:ascii="Arial" w:hAnsi="Arial"/>
          <w:rtl/>
        </w:rPr>
        <w:t>ה</w:t>
      </w:r>
      <w:r>
        <w:rPr>
          <w:rFonts w:ascii="Arial" w:hAnsi="Arial" w:hint="cs"/>
          <w:rtl/>
        </w:rPr>
        <w:t>" (</w:t>
      </w:r>
      <w:r>
        <w:rPr>
          <w:rFonts w:ascii="Arial" w:hAnsi="Arial"/>
          <w:sz w:val="18"/>
          <w:szCs w:val="20"/>
          <w:rtl/>
        </w:rPr>
        <w:t>במדבר לב</w:t>
      </w:r>
      <w:r>
        <w:rPr>
          <w:rFonts w:ascii="Arial" w:hAnsi="Arial" w:hint="cs"/>
          <w:sz w:val="18"/>
          <w:szCs w:val="20"/>
          <w:rtl/>
        </w:rPr>
        <w:t>,</w:t>
      </w:r>
      <w:r>
        <w:rPr>
          <w:rFonts w:ascii="Arial" w:hAnsi="Arial"/>
          <w:sz w:val="18"/>
          <w:szCs w:val="20"/>
          <w:rtl/>
        </w:rPr>
        <w:t xml:space="preserve"> כה</w:t>
      </w:r>
      <w:r>
        <w:rPr>
          <w:rFonts w:ascii="Arial" w:hAnsi="Arial" w:hint="cs"/>
          <w:rtl/>
        </w:rPr>
        <w:t>) - לזכר, ולנקבה: "</w:t>
      </w:r>
      <w:r>
        <w:rPr>
          <w:rFonts w:ascii="Arial" w:hAnsi="Arial"/>
          <w:rtl/>
        </w:rPr>
        <w:t>אֲנִי מְצַ</w:t>
      </w:r>
      <w:r>
        <w:rPr>
          <w:rFonts w:ascii="Arial" w:hAnsi="Arial"/>
          <w:b/>
          <w:bCs/>
          <w:rtl/>
        </w:rPr>
        <w:t>וָּ</w:t>
      </w:r>
      <w:r>
        <w:rPr>
          <w:rFonts w:ascii="Arial" w:hAnsi="Arial"/>
          <w:rtl/>
        </w:rPr>
        <w:t>ה</w:t>
      </w:r>
      <w:r>
        <w:rPr>
          <w:rFonts w:ascii="Arial" w:hAnsi="Arial" w:hint="cs"/>
          <w:rtl/>
        </w:rPr>
        <w:t>"</w:t>
      </w:r>
      <w:r>
        <w:rPr>
          <w:rFonts w:ascii="Arial" w:hAnsi="Arial"/>
          <w:rtl/>
        </w:rPr>
        <w:t xml:space="preserve"> </w:t>
      </w:r>
      <w:r>
        <w:rPr>
          <w:rFonts w:ascii="Arial" w:hAnsi="Arial" w:hint="cs"/>
          <w:rtl/>
        </w:rPr>
        <w:t>(</w:t>
      </w:r>
      <w:r>
        <w:rPr>
          <w:rFonts w:ascii="Arial" w:hAnsi="Arial"/>
          <w:sz w:val="18"/>
          <w:szCs w:val="20"/>
          <w:rtl/>
        </w:rPr>
        <w:t>בראשית כז</w:t>
      </w:r>
      <w:r>
        <w:rPr>
          <w:rFonts w:ascii="Arial" w:hAnsi="Arial" w:hint="cs"/>
          <w:sz w:val="18"/>
          <w:szCs w:val="20"/>
          <w:rtl/>
        </w:rPr>
        <w:t xml:space="preserve">, </w:t>
      </w:r>
      <w:r>
        <w:rPr>
          <w:rFonts w:ascii="Arial" w:hAnsi="Arial"/>
          <w:sz w:val="18"/>
          <w:szCs w:val="20"/>
          <w:rtl/>
        </w:rPr>
        <w:t>ח</w:t>
      </w:r>
      <w:r>
        <w:rPr>
          <w:rFonts w:ascii="Arial" w:hAnsi="Arial" w:hint="cs"/>
          <w:rtl/>
        </w:rPr>
        <w:t>).</w:t>
      </w:r>
    </w:p>
  </w:footnote>
  <w:footnote w:id="45">
    <w:p w14:paraId="2CB83F77" w14:textId="77777777" w:rsidR="00940290" w:rsidRDefault="00940290" w:rsidP="00940290">
      <w:pPr>
        <w:pStyle w:val="a5"/>
        <w:rPr>
          <w:rFonts w:hint="cs"/>
          <w:rtl/>
          <w:lang w:eastAsia="he-IL"/>
        </w:rPr>
      </w:pPr>
      <w:r>
        <w:rPr>
          <w:rStyle w:val="a4"/>
        </w:rPr>
        <w:footnoteRef/>
      </w:r>
      <w:r>
        <w:rPr>
          <w:rFonts w:hint="cs"/>
          <w:rtl/>
        </w:rPr>
        <w:t xml:space="preserve"> </w:t>
      </w:r>
      <w:r>
        <w:rPr>
          <w:rFonts w:hint="cs"/>
          <w:rtl/>
          <w:lang w:eastAsia="he-IL"/>
        </w:rPr>
        <w:t xml:space="preserve">בלשון פסוק זה אחז רבי במאמרו במסכת </w:t>
      </w:r>
      <w:r>
        <w:rPr>
          <w:rFonts w:hint="cs"/>
          <w:sz w:val="26"/>
          <w:rtl/>
        </w:rPr>
        <w:t>אבות</w:t>
      </w:r>
      <w:r>
        <w:rPr>
          <w:rFonts w:hint="cs"/>
          <w:rtl/>
          <w:lang w:eastAsia="he-IL"/>
        </w:rPr>
        <w:t xml:space="preserve">: </w:t>
      </w:r>
      <w:r>
        <w:rPr>
          <w:rFonts w:hint="cs"/>
          <w:rtl/>
        </w:rPr>
        <w:t>"</w:t>
      </w:r>
      <w:r>
        <w:rPr>
          <w:b/>
          <w:bCs/>
          <w:rtl/>
        </w:rPr>
        <w:t>עין</w:t>
      </w:r>
      <w:r>
        <w:rPr>
          <w:rtl/>
        </w:rPr>
        <w:t xml:space="preserve"> רואה</w:t>
      </w:r>
      <w:r>
        <w:rPr>
          <w:rFonts w:hint="cs"/>
          <w:rtl/>
        </w:rPr>
        <w:t>,</w:t>
      </w:r>
      <w:r>
        <w:rPr>
          <w:rtl/>
        </w:rPr>
        <w:t xml:space="preserve"> </w:t>
      </w:r>
      <w:r>
        <w:rPr>
          <w:b/>
          <w:bCs/>
          <w:rtl/>
        </w:rPr>
        <w:t>ואוזן</w:t>
      </w:r>
      <w:r>
        <w:rPr>
          <w:rtl/>
        </w:rPr>
        <w:t xml:space="preserve"> שומעת</w:t>
      </w:r>
      <w:r>
        <w:rPr>
          <w:rFonts w:hint="cs"/>
          <w:rtl/>
        </w:rPr>
        <w:t>,</w:t>
      </w:r>
      <w:r>
        <w:rPr>
          <w:rtl/>
        </w:rPr>
        <w:t xml:space="preserve"> וכל מעשיך בספר נכתבין</w:t>
      </w:r>
      <w:r>
        <w:rPr>
          <w:rFonts w:hint="cs"/>
          <w:rtl/>
          <w:lang w:eastAsia="he-IL"/>
        </w:rPr>
        <w:t>" (</w:t>
      </w:r>
      <w:r>
        <w:rPr>
          <w:sz w:val="18"/>
          <w:szCs w:val="20"/>
          <w:rtl/>
        </w:rPr>
        <w:t>פ</w:t>
      </w:r>
      <w:r>
        <w:rPr>
          <w:rFonts w:hint="cs"/>
          <w:sz w:val="18"/>
          <w:szCs w:val="20"/>
          <w:rtl/>
        </w:rPr>
        <w:t>"</w:t>
      </w:r>
      <w:r>
        <w:rPr>
          <w:sz w:val="18"/>
          <w:szCs w:val="20"/>
          <w:rtl/>
        </w:rPr>
        <w:t>ב מ</w:t>
      </w:r>
      <w:r>
        <w:rPr>
          <w:rFonts w:hint="cs"/>
          <w:sz w:val="18"/>
          <w:szCs w:val="20"/>
          <w:rtl/>
        </w:rPr>
        <w:t>"</w:t>
      </w:r>
      <w:r>
        <w:rPr>
          <w:sz w:val="18"/>
          <w:szCs w:val="20"/>
          <w:rtl/>
        </w:rPr>
        <w:t>א</w:t>
      </w:r>
      <w:r>
        <w:rPr>
          <w:rFonts w:hint="cs"/>
          <w:sz w:val="18"/>
          <w:szCs w:val="20"/>
          <w:rtl/>
        </w:rPr>
        <w:t>; ועיין בפירוש הגר"א למשלי שם</w:t>
      </w:r>
      <w:r>
        <w:rPr>
          <w:rFonts w:hint="cs"/>
          <w:rtl/>
          <w:lang w:eastAsia="he-IL"/>
        </w:rPr>
        <w:t xml:space="preserve">), לאחר שבִצע שני שינויים: </w:t>
      </w:r>
    </w:p>
    <w:p w14:paraId="33678A6E" w14:textId="77777777" w:rsidR="00940290" w:rsidRDefault="00940290" w:rsidP="00940290">
      <w:pPr>
        <w:pStyle w:val="a5"/>
        <w:numPr>
          <w:ilvl w:val="0"/>
          <w:numId w:val="6"/>
        </w:numPr>
        <w:ind w:right="0"/>
        <w:rPr>
          <w:rFonts w:hint="cs"/>
          <w:rtl/>
        </w:rPr>
      </w:pPr>
      <w:r>
        <w:rPr>
          <w:rFonts w:hint="cs"/>
          <w:rtl/>
        </w:rPr>
        <w:t xml:space="preserve">שינוי הנושא: מעין ואוזן של בשר ודם, ל"עין" ול"אוזן" כביטוי מושאל ("האנשה"), </w:t>
      </w:r>
      <w:r>
        <w:rPr>
          <w:rFonts w:hint="cs"/>
          <w:sz w:val="26"/>
          <w:rtl/>
        </w:rPr>
        <w:t xml:space="preserve">וכדברי </w:t>
      </w:r>
      <w:r>
        <w:rPr>
          <w:sz w:val="26"/>
          <w:rtl/>
        </w:rPr>
        <w:t xml:space="preserve">רבינו יונה </w:t>
      </w:r>
      <w:r>
        <w:rPr>
          <w:rFonts w:hint="cs"/>
          <w:sz w:val="26"/>
          <w:rtl/>
        </w:rPr>
        <w:t>בפירושו לאבות: "</w:t>
      </w:r>
      <w:r>
        <w:rPr>
          <w:sz w:val="26"/>
          <w:rtl/>
        </w:rPr>
        <w:t>וח</w:t>
      </w:r>
      <w:r>
        <w:rPr>
          <w:rFonts w:hint="cs"/>
          <w:sz w:val="26"/>
          <w:rtl/>
        </w:rPr>
        <w:t xml:space="preserve">ס </w:t>
      </w:r>
      <w:r>
        <w:rPr>
          <w:sz w:val="26"/>
          <w:rtl/>
        </w:rPr>
        <w:t>ו</w:t>
      </w:r>
      <w:r>
        <w:rPr>
          <w:rFonts w:hint="cs"/>
          <w:sz w:val="26"/>
          <w:rtl/>
        </w:rPr>
        <w:t>שלום,</w:t>
      </w:r>
      <w:r>
        <w:rPr>
          <w:sz w:val="26"/>
          <w:rtl/>
        </w:rPr>
        <w:t xml:space="preserve"> לא</w:t>
      </w:r>
      <w:r>
        <w:rPr>
          <w:sz w:val="26"/>
          <w:rtl/>
          <w:lang w:eastAsia="he-IL"/>
        </w:rPr>
        <w:t xml:space="preserve"> </w:t>
      </w:r>
      <w:r>
        <w:rPr>
          <w:rFonts w:hint="cs"/>
          <w:sz w:val="26"/>
          <w:rtl/>
          <w:lang w:eastAsia="he-IL"/>
        </w:rPr>
        <w:t>'</w:t>
      </w:r>
      <w:r>
        <w:rPr>
          <w:sz w:val="26"/>
          <w:rtl/>
          <w:lang w:eastAsia="he-IL"/>
        </w:rPr>
        <w:t>עין</w:t>
      </w:r>
      <w:r>
        <w:rPr>
          <w:rFonts w:hint="cs"/>
          <w:sz w:val="26"/>
          <w:rtl/>
          <w:lang w:eastAsia="he-IL"/>
        </w:rPr>
        <w:t>'</w:t>
      </w:r>
      <w:r>
        <w:rPr>
          <w:sz w:val="26"/>
          <w:rtl/>
          <w:lang w:eastAsia="he-IL"/>
        </w:rPr>
        <w:t xml:space="preserve"> ו</w:t>
      </w:r>
      <w:r>
        <w:rPr>
          <w:rFonts w:hint="cs"/>
          <w:sz w:val="26"/>
          <w:rtl/>
          <w:lang w:eastAsia="he-IL"/>
        </w:rPr>
        <w:t>'</w:t>
      </w:r>
      <w:r>
        <w:rPr>
          <w:sz w:val="26"/>
          <w:rtl/>
          <w:lang w:eastAsia="he-IL"/>
        </w:rPr>
        <w:t>אזן</w:t>
      </w:r>
      <w:r>
        <w:rPr>
          <w:rFonts w:hint="cs"/>
          <w:sz w:val="26"/>
          <w:rtl/>
          <w:lang w:eastAsia="he-IL"/>
        </w:rPr>
        <w:t>'</w:t>
      </w:r>
      <w:r>
        <w:rPr>
          <w:sz w:val="26"/>
          <w:rtl/>
          <w:lang w:eastAsia="he-IL"/>
        </w:rPr>
        <w:t xml:space="preserve"> ממש</w:t>
      </w:r>
      <w:r>
        <w:rPr>
          <w:rFonts w:hint="cs"/>
          <w:sz w:val="26"/>
          <w:rtl/>
          <w:lang w:eastAsia="he-IL"/>
        </w:rPr>
        <w:t>,</w:t>
      </w:r>
      <w:r>
        <w:rPr>
          <w:sz w:val="26"/>
          <w:rtl/>
          <w:lang w:eastAsia="he-IL"/>
        </w:rPr>
        <w:t xml:space="preserve"> אלא ר"ל שאין מעשה נסתר מלפניו ולא נעלם ממנו</w:t>
      </w:r>
      <w:r>
        <w:rPr>
          <w:rFonts w:hint="cs"/>
          <w:sz w:val="26"/>
          <w:rtl/>
          <w:lang w:eastAsia="he-IL"/>
        </w:rPr>
        <w:t>" (</w:t>
      </w:r>
      <w:r>
        <w:rPr>
          <w:rFonts w:hint="cs"/>
          <w:sz w:val="18"/>
          <w:szCs w:val="20"/>
          <w:rtl/>
        </w:rPr>
        <w:t>וע"ע ב"דרך חיים" למהר"ל</w:t>
      </w:r>
      <w:r>
        <w:rPr>
          <w:rFonts w:hint="cs"/>
          <w:rtl/>
        </w:rPr>
        <w:t>).</w:t>
      </w:r>
    </w:p>
    <w:p w14:paraId="26365B67" w14:textId="77777777" w:rsidR="00940290" w:rsidRDefault="00940290" w:rsidP="00940290">
      <w:pPr>
        <w:pStyle w:val="a5"/>
        <w:numPr>
          <w:ilvl w:val="0"/>
          <w:numId w:val="6"/>
        </w:numPr>
        <w:ind w:right="0"/>
        <w:rPr>
          <w:rFonts w:hint="cs"/>
          <w:rtl/>
        </w:rPr>
      </w:pPr>
      <w:r>
        <w:rPr>
          <w:rFonts w:hint="cs"/>
          <w:rtl/>
        </w:rPr>
        <w:t xml:space="preserve">היפוך הסדר. בשאלה </w:t>
      </w:r>
      <w:r>
        <w:rPr>
          <w:rFonts w:hint="cs"/>
          <w:rtl/>
          <w:lang w:eastAsia="he-IL"/>
        </w:rPr>
        <w:t>מדוע הפך רבי את סדר המקרא</w:t>
      </w:r>
      <w:r>
        <w:rPr>
          <w:rFonts w:hint="cs"/>
          <w:rtl/>
        </w:rPr>
        <w:t xml:space="preserve"> עסק ר' שלמה סאגיס (</w:t>
      </w:r>
      <w:r>
        <w:rPr>
          <w:rFonts w:hint="cs"/>
          <w:sz w:val="18"/>
          <w:szCs w:val="20"/>
          <w:rtl/>
        </w:rPr>
        <w:t>מובא כאן ב"מלאכת שלמה"</w:t>
      </w:r>
      <w:r>
        <w:rPr>
          <w:rFonts w:hint="cs"/>
          <w:rtl/>
        </w:rPr>
        <w:t>)</w:t>
      </w:r>
      <w:r>
        <w:rPr>
          <w:rFonts w:hint="cs"/>
          <w:rtl/>
          <w:lang w:eastAsia="he-IL"/>
        </w:rPr>
        <w:t>.</w:t>
      </w:r>
      <w:r>
        <w:rPr>
          <w:rtl/>
          <w:lang w:eastAsia="he-IL"/>
        </w:rPr>
        <w:t xml:space="preserve"> </w:t>
      </w:r>
      <w:r>
        <w:rPr>
          <w:rFonts w:hint="cs"/>
          <w:rtl/>
          <w:lang w:eastAsia="he-IL"/>
        </w:rPr>
        <w:t>לול"ד, נראה לענ"ד כי הטעם על פי הפשט הוא סגנוני בלבד, על פי הכלל ש"כל הקצר - קודם".</w:t>
      </w:r>
    </w:p>
  </w:footnote>
  <w:footnote w:id="46">
    <w:p w14:paraId="0E5D562A"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ראה להלן דף ל, ב.</w:t>
      </w:r>
    </w:p>
  </w:footnote>
  <w:footnote w:id="47">
    <w:p w14:paraId="2DBF3145"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 xml:space="preserve">דף </w:t>
      </w:r>
      <w:r>
        <w:rPr>
          <w:rFonts w:ascii="Arial" w:hAnsi="Arial"/>
          <w:rtl/>
        </w:rPr>
        <w:t>ה</w:t>
      </w:r>
      <w:r>
        <w:rPr>
          <w:rFonts w:ascii="Arial" w:hAnsi="Arial" w:hint="cs"/>
          <w:rtl/>
        </w:rPr>
        <w:t xml:space="preserve">, </w:t>
      </w:r>
      <w:r>
        <w:rPr>
          <w:rFonts w:ascii="Arial" w:hAnsi="Arial"/>
          <w:rtl/>
        </w:rPr>
        <w:t>ב ד"ה שנים שהן ארבעה</w:t>
      </w:r>
      <w:r>
        <w:rPr>
          <w:rFonts w:ascii="Arial" w:hAnsi="Arial" w:hint="cs"/>
          <w:rtl/>
        </w:rPr>
        <w:t>.</w:t>
      </w:r>
    </w:p>
  </w:footnote>
  <w:footnote w:id="48">
    <w:p w14:paraId="1AD1FDC2"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צ"ע מדוע העדיף רש"י להוכיח מלשון הנביא ולא מלשון התורה. על כך משיב ה</w:t>
      </w:r>
      <w:r>
        <w:rPr>
          <w:rFonts w:ascii="Arial" w:hAnsi="Arial"/>
          <w:rtl/>
        </w:rPr>
        <w:t xml:space="preserve">רדב"ז </w:t>
      </w:r>
      <w:r>
        <w:rPr>
          <w:rFonts w:ascii="Arial" w:hAnsi="Arial" w:hint="cs"/>
          <w:rtl/>
        </w:rPr>
        <w:t>(</w:t>
      </w:r>
      <w:r>
        <w:rPr>
          <w:rFonts w:ascii="Arial" w:hAnsi="Arial"/>
          <w:sz w:val="18"/>
          <w:szCs w:val="20"/>
          <w:rtl/>
        </w:rPr>
        <w:t>שו"ת מכתב יד</w:t>
      </w:r>
      <w:r>
        <w:rPr>
          <w:rFonts w:ascii="Arial" w:hAnsi="Arial" w:hint="cs"/>
          <w:sz w:val="18"/>
          <w:szCs w:val="20"/>
          <w:rtl/>
        </w:rPr>
        <w:t xml:space="preserve">, </w:t>
      </w:r>
      <w:r>
        <w:rPr>
          <w:rFonts w:ascii="Arial" w:hAnsi="Arial"/>
          <w:sz w:val="18"/>
          <w:szCs w:val="20"/>
          <w:rtl/>
        </w:rPr>
        <w:t>ח</w:t>
      </w:r>
      <w:r>
        <w:rPr>
          <w:rFonts w:ascii="Arial" w:hAnsi="Arial" w:hint="cs"/>
          <w:sz w:val="18"/>
          <w:szCs w:val="20"/>
          <w:rtl/>
        </w:rPr>
        <w:t>"</w:t>
      </w:r>
      <w:r>
        <w:rPr>
          <w:rFonts w:ascii="Arial" w:hAnsi="Arial"/>
          <w:sz w:val="18"/>
          <w:szCs w:val="20"/>
          <w:rtl/>
        </w:rPr>
        <w:t>ח</w:t>
      </w:r>
      <w:r>
        <w:rPr>
          <w:rFonts w:ascii="Arial" w:hAnsi="Arial" w:hint="cs"/>
          <w:sz w:val="18"/>
          <w:szCs w:val="20"/>
          <w:rtl/>
        </w:rPr>
        <w:t xml:space="preserve">, </w:t>
      </w:r>
      <w:r>
        <w:rPr>
          <w:rFonts w:ascii="Arial" w:hAnsi="Arial"/>
          <w:sz w:val="18"/>
          <w:szCs w:val="20"/>
          <w:rtl/>
        </w:rPr>
        <w:t>סימן ר</w:t>
      </w:r>
      <w:r>
        <w:rPr>
          <w:rFonts w:ascii="Arial" w:hAnsi="Arial" w:hint="cs"/>
          <w:sz w:val="18"/>
          <w:szCs w:val="20"/>
          <w:rtl/>
        </w:rPr>
        <w:t>"</w:t>
      </w:r>
      <w:r>
        <w:rPr>
          <w:rFonts w:ascii="Arial" w:hAnsi="Arial"/>
          <w:sz w:val="18"/>
          <w:szCs w:val="20"/>
          <w:rtl/>
        </w:rPr>
        <w:t>ז</w:t>
      </w:r>
      <w:r>
        <w:rPr>
          <w:rFonts w:ascii="Arial" w:hAnsi="Arial" w:hint="cs"/>
          <w:rtl/>
        </w:rPr>
        <w:t>): "</w:t>
      </w:r>
      <w:r>
        <w:rPr>
          <w:rFonts w:ascii="Arial" w:hAnsi="Arial"/>
          <w:rtl/>
        </w:rPr>
        <w:t xml:space="preserve">ויש לומר דהוה אמינא </w:t>
      </w:r>
      <w:r>
        <w:rPr>
          <w:rFonts w:ascii="Arial" w:hAnsi="Arial" w:hint="cs"/>
          <w:rtl/>
        </w:rPr>
        <w:t>'</w:t>
      </w:r>
      <w:r>
        <w:rPr>
          <w:rFonts w:ascii="Arial" w:hAnsi="Arial"/>
          <w:rtl/>
        </w:rPr>
        <w:t>מרא</w:t>
      </w:r>
      <w:r>
        <w:rPr>
          <w:rFonts w:ascii="Arial" w:hAnsi="Arial" w:hint="cs"/>
          <w:rtl/>
        </w:rPr>
        <w:t>ֶ</w:t>
      </w:r>
      <w:r>
        <w:rPr>
          <w:rFonts w:ascii="Arial" w:hAnsi="Arial"/>
          <w:rtl/>
        </w:rPr>
        <w:t>ה</w:t>
      </w:r>
      <w:r>
        <w:rPr>
          <w:rFonts w:ascii="Arial" w:hAnsi="Arial" w:hint="cs"/>
          <w:rtl/>
        </w:rPr>
        <w:t>'</w:t>
      </w:r>
      <w:r>
        <w:rPr>
          <w:rFonts w:ascii="Arial" w:hAnsi="Arial"/>
          <w:rtl/>
        </w:rPr>
        <w:t xml:space="preserve"> הוי לשון זכר</w:t>
      </w:r>
      <w:r>
        <w:rPr>
          <w:rFonts w:ascii="Arial" w:hAnsi="Arial" w:hint="cs"/>
          <w:rtl/>
        </w:rPr>
        <w:t>,</w:t>
      </w:r>
      <w:r>
        <w:rPr>
          <w:rFonts w:ascii="Arial" w:hAnsi="Arial"/>
          <w:rtl/>
        </w:rPr>
        <w:t xml:space="preserve"> אבל </w:t>
      </w:r>
      <w:r>
        <w:rPr>
          <w:rFonts w:ascii="Arial" w:hAnsi="Arial" w:hint="cs"/>
          <w:rtl/>
        </w:rPr>
        <w:t>'</w:t>
      </w:r>
      <w:r>
        <w:rPr>
          <w:rFonts w:ascii="Arial" w:hAnsi="Arial"/>
          <w:rtl/>
        </w:rPr>
        <w:t>מראות</w:t>
      </w:r>
      <w:r>
        <w:rPr>
          <w:rFonts w:ascii="Arial" w:hAnsi="Arial" w:hint="cs"/>
          <w:rtl/>
        </w:rPr>
        <w:t>'</w:t>
      </w:r>
      <w:r>
        <w:rPr>
          <w:rFonts w:ascii="Arial" w:hAnsi="Arial"/>
          <w:rtl/>
        </w:rPr>
        <w:t xml:space="preserve"> שהוא לשון רבים הוי לשון נקבה</w:t>
      </w:r>
      <w:r>
        <w:rPr>
          <w:rFonts w:ascii="Arial" w:hAnsi="Arial"/>
          <w:sz w:val="18"/>
          <w:szCs w:val="20"/>
          <w:rtl/>
        </w:rPr>
        <w:t>, שכן מצינו ח</w:t>
      </w:r>
      <w:r>
        <w:rPr>
          <w:rFonts w:ascii="Arial" w:hAnsi="Arial" w:hint="cs"/>
          <w:sz w:val="18"/>
          <w:szCs w:val="20"/>
          <w:rtl/>
        </w:rPr>
        <w:t>ִ</w:t>
      </w:r>
      <w:r>
        <w:rPr>
          <w:rFonts w:ascii="Arial" w:hAnsi="Arial"/>
          <w:sz w:val="18"/>
          <w:szCs w:val="20"/>
          <w:rtl/>
        </w:rPr>
        <w:t xml:space="preserve">טה </w:t>
      </w:r>
      <w:r>
        <w:rPr>
          <w:rFonts w:ascii="Arial" w:hAnsi="Arial" w:hint="cs"/>
          <w:sz w:val="18"/>
          <w:szCs w:val="20"/>
          <w:rtl/>
        </w:rPr>
        <w:t xml:space="preserve">- </w:t>
      </w:r>
      <w:r>
        <w:rPr>
          <w:rFonts w:ascii="Arial" w:hAnsi="Arial"/>
          <w:sz w:val="18"/>
          <w:szCs w:val="20"/>
          <w:rtl/>
        </w:rPr>
        <w:t>ח</w:t>
      </w:r>
      <w:r>
        <w:rPr>
          <w:rFonts w:ascii="Arial" w:hAnsi="Arial" w:hint="cs"/>
          <w:sz w:val="18"/>
          <w:szCs w:val="20"/>
          <w:rtl/>
        </w:rPr>
        <w:t>ִ</w:t>
      </w:r>
      <w:r>
        <w:rPr>
          <w:rFonts w:ascii="Arial" w:hAnsi="Arial"/>
          <w:sz w:val="18"/>
          <w:szCs w:val="20"/>
          <w:rtl/>
        </w:rPr>
        <w:t>טים, ולא חטות</w:t>
      </w:r>
      <w:r>
        <w:rPr>
          <w:rFonts w:ascii="Arial" w:hAnsi="Arial" w:hint="cs"/>
          <w:sz w:val="18"/>
          <w:szCs w:val="20"/>
          <w:rtl/>
        </w:rPr>
        <w:t xml:space="preserve">; </w:t>
      </w:r>
      <w:r>
        <w:rPr>
          <w:rFonts w:ascii="Arial" w:hAnsi="Arial"/>
          <w:sz w:val="18"/>
          <w:szCs w:val="20"/>
          <w:rtl/>
        </w:rPr>
        <w:t xml:space="preserve">אשה </w:t>
      </w:r>
      <w:r>
        <w:rPr>
          <w:rFonts w:ascii="Arial" w:hAnsi="Arial" w:hint="cs"/>
          <w:sz w:val="18"/>
          <w:szCs w:val="20"/>
          <w:rtl/>
        </w:rPr>
        <w:t xml:space="preserve">- </w:t>
      </w:r>
      <w:r>
        <w:rPr>
          <w:rFonts w:ascii="Arial" w:hAnsi="Arial"/>
          <w:sz w:val="18"/>
          <w:szCs w:val="20"/>
          <w:rtl/>
        </w:rPr>
        <w:t>נשים, ולא אישו</w:t>
      </w:r>
      <w:r>
        <w:rPr>
          <w:rFonts w:ascii="Arial" w:hAnsi="Arial" w:hint="cs"/>
          <w:sz w:val="18"/>
          <w:szCs w:val="20"/>
          <w:rtl/>
        </w:rPr>
        <w:t>ֹ</w:t>
      </w:r>
      <w:r>
        <w:rPr>
          <w:rFonts w:ascii="Arial" w:hAnsi="Arial"/>
          <w:sz w:val="18"/>
          <w:szCs w:val="20"/>
          <w:rtl/>
        </w:rPr>
        <w:t>ת</w:t>
      </w:r>
      <w:r>
        <w:rPr>
          <w:rFonts w:ascii="Arial" w:hAnsi="Arial" w:hint="cs"/>
          <w:sz w:val="18"/>
          <w:szCs w:val="20"/>
          <w:rtl/>
        </w:rPr>
        <w:t xml:space="preserve">. </w:t>
      </w:r>
      <w:r>
        <w:rPr>
          <w:rFonts w:ascii="Arial" w:hAnsi="Arial"/>
          <w:rtl/>
        </w:rPr>
        <w:t>משום הכי מייתי קרא דיחזקאל</w:t>
      </w:r>
      <w:r>
        <w:rPr>
          <w:rFonts w:ascii="Arial" w:hAnsi="Arial" w:hint="cs"/>
          <w:rtl/>
        </w:rPr>
        <w:t>,</w:t>
      </w:r>
      <w:r>
        <w:rPr>
          <w:rFonts w:ascii="Arial" w:hAnsi="Arial"/>
          <w:rtl/>
        </w:rPr>
        <w:t xml:space="preserve"> דכתיב לעיל מהאי קרא </w:t>
      </w:r>
      <w:r>
        <w:rPr>
          <w:rFonts w:ascii="Arial" w:hAnsi="Arial" w:hint="cs"/>
          <w:rtl/>
        </w:rPr>
        <w:t>'</w:t>
      </w:r>
      <w:r>
        <w:rPr>
          <w:rFonts w:ascii="Arial" w:hAnsi="Arial"/>
          <w:rtl/>
        </w:rPr>
        <w:t>ואראה מראות אלקים</w:t>
      </w:r>
      <w:r>
        <w:rPr>
          <w:rFonts w:ascii="Arial" w:hAnsi="Arial" w:hint="cs"/>
          <w:rtl/>
        </w:rPr>
        <w:t>'</w:t>
      </w:r>
      <w:r>
        <w:rPr>
          <w:rFonts w:ascii="Arial" w:hAnsi="Arial"/>
          <w:rtl/>
        </w:rPr>
        <w:t xml:space="preserve"> ועלה קאי האי </w:t>
      </w:r>
      <w:r>
        <w:rPr>
          <w:rFonts w:ascii="Arial" w:hAnsi="Arial" w:hint="cs"/>
          <w:rtl/>
        </w:rPr>
        <w:t>'</w:t>
      </w:r>
      <w:r>
        <w:rPr>
          <w:rFonts w:ascii="Arial" w:hAnsi="Arial"/>
          <w:rtl/>
        </w:rPr>
        <w:t>הוא מראה דמות</w:t>
      </w:r>
      <w:r>
        <w:rPr>
          <w:rFonts w:ascii="Arial" w:hAnsi="Arial" w:hint="cs"/>
          <w:rtl/>
        </w:rPr>
        <w:t>'</w:t>
      </w:r>
      <w:r>
        <w:rPr>
          <w:rFonts w:ascii="Arial" w:hAnsi="Arial"/>
          <w:rtl/>
        </w:rPr>
        <w:t xml:space="preserve"> וגו'</w:t>
      </w:r>
      <w:r>
        <w:rPr>
          <w:rFonts w:ascii="Arial" w:hAnsi="Arial" w:hint="cs"/>
          <w:sz w:val="2"/>
          <w:szCs w:val="2"/>
          <w:rtl/>
        </w:rPr>
        <w:t xml:space="preserve"> </w:t>
      </w:r>
      <w:r>
        <w:rPr>
          <w:rFonts w:ascii="Arial" w:hAnsi="Arial" w:hint="cs"/>
          <w:rtl/>
        </w:rPr>
        <w:t>"</w:t>
      </w:r>
      <w:r>
        <w:rPr>
          <w:rFonts w:ascii="Arial" w:hAnsi="Arial"/>
          <w:rtl/>
        </w:rPr>
        <w:t>.</w:t>
      </w:r>
      <w:r>
        <w:rPr>
          <w:rFonts w:ascii="Arial" w:hAnsi="Arial" w:hint="cs"/>
          <w:rtl/>
        </w:rPr>
        <w:t xml:space="preserve"> את דברי הרדב"ז שהקטנתי (</w:t>
      </w:r>
      <w:r>
        <w:rPr>
          <w:rFonts w:ascii="Arial" w:hAnsi="Arial" w:hint="cs"/>
          <w:sz w:val="20"/>
          <w:szCs w:val="20"/>
          <w:rtl/>
        </w:rPr>
        <w:t>"</w:t>
      </w:r>
      <w:r>
        <w:rPr>
          <w:rFonts w:ascii="Arial" w:hAnsi="Arial"/>
          <w:sz w:val="20"/>
          <w:szCs w:val="20"/>
          <w:rtl/>
        </w:rPr>
        <w:t>שכן</w:t>
      </w:r>
      <w:r>
        <w:rPr>
          <w:rFonts w:ascii="Arial" w:hAnsi="Arial" w:hint="cs"/>
          <w:sz w:val="20"/>
          <w:szCs w:val="20"/>
          <w:rtl/>
        </w:rPr>
        <w:t>...</w:t>
      </w:r>
      <w:r>
        <w:rPr>
          <w:rFonts w:ascii="Arial" w:hAnsi="Arial"/>
          <w:sz w:val="20"/>
          <w:szCs w:val="20"/>
          <w:rtl/>
        </w:rPr>
        <w:t xml:space="preserve"> אישו</w:t>
      </w:r>
      <w:r>
        <w:rPr>
          <w:rFonts w:ascii="Arial" w:hAnsi="Arial" w:hint="cs"/>
          <w:sz w:val="20"/>
          <w:szCs w:val="20"/>
          <w:rtl/>
        </w:rPr>
        <w:t>ֹ</w:t>
      </w:r>
      <w:r>
        <w:rPr>
          <w:rFonts w:ascii="Arial" w:hAnsi="Arial"/>
          <w:sz w:val="20"/>
          <w:szCs w:val="20"/>
          <w:rtl/>
        </w:rPr>
        <w:t>ת</w:t>
      </w:r>
      <w:r>
        <w:rPr>
          <w:rFonts w:ascii="Arial" w:hAnsi="Arial" w:hint="cs"/>
          <w:sz w:val="20"/>
          <w:szCs w:val="20"/>
          <w:rtl/>
        </w:rPr>
        <w:t>"</w:t>
      </w:r>
      <w:r>
        <w:rPr>
          <w:rFonts w:ascii="Arial" w:hAnsi="Arial" w:hint="cs"/>
          <w:rtl/>
        </w:rPr>
        <w:t>) טרם הצלחתי להבין, ולכאורה משפט זה צ"ל המסקנה (</w:t>
      </w:r>
      <w:r>
        <w:rPr>
          <w:rFonts w:ascii="Arial" w:hAnsi="Arial" w:hint="cs"/>
          <w:sz w:val="18"/>
          <w:szCs w:val="20"/>
          <w:rtl/>
        </w:rPr>
        <w:t>וכמוסבר בהערה הבאה</w:t>
      </w:r>
      <w:r>
        <w:rPr>
          <w:rFonts w:ascii="Arial" w:hAnsi="Arial" w:hint="cs"/>
          <w:rtl/>
        </w:rPr>
        <w:t>) ולא חלק מן ההוה אמינא.</w:t>
      </w:r>
    </w:p>
  </w:footnote>
  <w:footnote w:id="49">
    <w:p w14:paraId="0500BF37"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וכן סיומת הרבים "-ים" איננה מיוחדת ללשון זכר. אין לך זכרים יותר מ"אב</w:t>
      </w:r>
      <w:r>
        <w:rPr>
          <w:rFonts w:ascii="Arial" w:hAnsi="Arial" w:hint="cs"/>
          <w:b/>
          <w:bCs/>
          <w:rtl/>
        </w:rPr>
        <w:t>ות</w:t>
      </w:r>
      <w:r>
        <w:rPr>
          <w:rFonts w:ascii="Arial" w:hAnsi="Arial" w:hint="cs"/>
          <w:rtl/>
        </w:rPr>
        <w:t>" (</w:t>
      </w:r>
      <w:r>
        <w:rPr>
          <w:rFonts w:ascii="Arial" w:hAnsi="Arial" w:hint="cs"/>
          <w:sz w:val="18"/>
          <w:szCs w:val="20"/>
          <w:rtl/>
        </w:rPr>
        <w:t>כנ"ל בהערה 7</w:t>
      </w:r>
      <w:r>
        <w:rPr>
          <w:rFonts w:ascii="Arial" w:hAnsi="Arial" w:hint="cs"/>
          <w:rtl/>
        </w:rPr>
        <w:t>), ואין לך נקבות יותר מ"נש</w:t>
      </w:r>
      <w:r>
        <w:rPr>
          <w:rFonts w:ascii="Arial" w:hAnsi="Arial" w:hint="cs"/>
          <w:b/>
          <w:bCs/>
          <w:rtl/>
        </w:rPr>
        <w:t>ים</w:t>
      </w:r>
      <w:r>
        <w:rPr>
          <w:rFonts w:ascii="Arial" w:hAnsi="Arial" w:hint="cs"/>
          <w:rtl/>
        </w:rPr>
        <w:t>". רק כאשר ישנוֹ זוג שמות של זכר ונקבה (כזוגות: ילד-ילדה, כבש-כבשה, גן-גנה וכיו"ב), תותאם סיומת "-ים" לזכרים, וסיומת "-וֹת" לנקבות (</w:t>
      </w:r>
      <w:r>
        <w:rPr>
          <w:rFonts w:ascii="Arial" w:hAnsi="Arial" w:hint="cs"/>
          <w:sz w:val="18"/>
          <w:szCs w:val="20"/>
          <w:rtl/>
        </w:rPr>
        <w:t xml:space="preserve">מפי מורי פרופ' </w:t>
      </w:r>
      <w:r>
        <w:rPr>
          <w:rFonts w:ascii="Arial" w:hAnsi="Arial" w:hint="eastAsia"/>
          <w:sz w:val="18"/>
          <w:szCs w:val="20"/>
          <w:rtl/>
        </w:rPr>
        <w:t>משה</w:t>
      </w:r>
      <w:r>
        <w:rPr>
          <w:rFonts w:ascii="Arial" w:hAnsi="Arial"/>
          <w:sz w:val="18"/>
          <w:szCs w:val="20"/>
          <w:rtl/>
        </w:rPr>
        <w:t xml:space="preserve"> בר אשר</w:t>
      </w:r>
      <w:r>
        <w:rPr>
          <w:rFonts w:ascii="Arial" w:hAnsi="Arial" w:hint="cs"/>
          <w:rtl/>
        </w:rPr>
        <w:t>), וגם לכלל זה יש חריגים (כגון "תינוקות"</w:t>
      </w:r>
      <w:r>
        <w:rPr>
          <w:rFonts w:ascii="Arial" w:hAnsi="Arial" w:hint="cs"/>
          <w:sz w:val="18"/>
          <w:szCs w:val="20"/>
          <w:rtl/>
        </w:rPr>
        <w:t>, להלן הערה 29</w:t>
      </w:r>
      <w:r>
        <w:rPr>
          <w:rFonts w:ascii="Arial" w:hAnsi="Arial" w:hint="cs"/>
          <w:rtl/>
        </w:rPr>
        <w:t>).</w:t>
      </w:r>
    </w:p>
  </w:footnote>
  <w:footnote w:id="50">
    <w:p w14:paraId="08B45C41"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צ"ע מדוע הדגימו בעלי התוספות עיקרון צודק זה (</w:t>
      </w:r>
      <w:r>
        <w:rPr>
          <w:rFonts w:ascii="Arial" w:hAnsi="Arial" w:hint="cs"/>
          <w:sz w:val="18"/>
          <w:szCs w:val="20"/>
          <w:rtl/>
        </w:rPr>
        <w:t>כמודגם בהערה הקודמת</w:t>
      </w:r>
      <w:r>
        <w:rPr>
          <w:rFonts w:ascii="Arial" w:hAnsi="Arial" w:hint="cs"/>
          <w:rtl/>
        </w:rPr>
        <w:t xml:space="preserve">) בעזרת שם עצם אשר מינו הדקדוקי אינו זכר בלבד, כפי שציינו </w:t>
      </w:r>
      <w:r>
        <w:rPr>
          <w:rFonts w:ascii="Arial" w:hAnsi="Arial"/>
          <w:rtl/>
        </w:rPr>
        <w:t xml:space="preserve">רש"י </w:t>
      </w:r>
      <w:r>
        <w:rPr>
          <w:rFonts w:ascii="Arial" w:hAnsi="Arial" w:hint="cs"/>
          <w:rtl/>
        </w:rPr>
        <w:t>(</w:t>
      </w:r>
      <w:r>
        <w:rPr>
          <w:rFonts w:ascii="Arial" w:hAnsi="Arial"/>
          <w:sz w:val="18"/>
          <w:szCs w:val="20"/>
          <w:rtl/>
        </w:rPr>
        <w:t>בראשית לב</w:t>
      </w:r>
      <w:r>
        <w:rPr>
          <w:rFonts w:ascii="Arial" w:hAnsi="Arial" w:hint="cs"/>
          <w:sz w:val="18"/>
          <w:szCs w:val="20"/>
          <w:rtl/>
        </w:rPr>
        <w:t xml:space="preserve">, </w:t>
      </w:r>
      <w:r>
        <w:rPr>
          <w:rFonts w:ascii="Arial" w:hAnsi="Arial"/>
          <w:sz w:val="18"/>
          <w:szCs w:val="20"/>
          <w:rtl/>
        </w:rPr>
        <w:t>ט</w:t>
      </w:r>
      <w:r>
        <w:rPr>
          <w:rFonts w:ascii="Arial" w:hAnsi="Arial" w:hint="cs"/>
          <w:rtl/>
        </w:rPr>
        <w:t>) ו</w:t>
      </w:r>
      <w:r>
        <w:rPr>
          <w:rFonts w:ascii="Arial" w:hAnsi="Arial"/>
          <w:rtl/>
        </w:rPr>
        <w:t xml:space="preserve">תוספות </w:t>
      </w:r>
      <w:r>
        <w:rPr>
          <w:rFonts w:ascii="Arial" w:hAnsi="Arial" w:hint="cs"/>
          <w:rtl/>
        </w:rPr>
        <w:t>(</w:t>
      </w:r>
      <w:r>
        <w:rPr>
          <w:rFonts w:ascii="Arial" w:hAnsi="Arial"/>
          <w:sz w:val="18"/>
          <w:szCs w:val="20"/>
          <w:rtl/>
        </w:rPr>
        <w:t>קידושין ב</w:t>
      </w:r>
      <w:r>
        <w:rPr>
          <w:rFonts w:ascii="Arial" w:hAnsi="Arial" w:hint="cs"/>
          <w:sz w:val="18"/>
          <w:szCs w:val="20"/>
          <w:rtl/>
        </w:rPr>
        <w:t xml:space="preserve">, </w:t>
      </w:r>
      <w:r>
        <w:rPr>
          <w:rFonts w:ascii="Arial" w:hAnsi="Arial"/>
          <w:sz w:val="18"/>
          <w:szCs w:val="20"/>
          <w:rtl/>
        </w:rPr>
        <w:t>ב</w:t>
      </w:r>
      <w:r>
        <w:rPr>
          <w:rFonts w:ascii="Arial" w:hAnsi="Arial" w:hint="cs"/>
          <w:sz w:val="18"/>
          <w:szCs w:val="20"/>
          <w:rtl/>
        </w:rPr>
        <w:t xml:space="preserve"> ד"ה </w:t>
      </w:r>
      <w:r>
        <w:rPr>
          <w:rFonts w:ascii="Arial" w:hAnsi="Arial"/>
          <w:sz w:val="18"/>
          <w:szCs w:val="20"/>
          <w:rtl/>
        </w:rPr>
        <w:t>קשו קראי</w:t>
      </w:r>
      <w:r>
        <w:rPr>
          <w:rFonts w:ascii="Arial" w:hAnsi="Arial" w:hint="cs"/>
          <w:rtl/>
        </w:rPr>
        <w:t>): "</w:t>
      </w:r>
      <w:r>
        <w:rPr>
          <w:rFonts w:ascii="Arial" w:hAnsi="Arial"/>
          <w:rtl/>
        </w:rPr>
        <w:t>דמצינו כמה דברים שנקראים בלשון זכר ונקבה</w:t>
      </w:r>
      <w:r>
        <w:rPr>
          <w:rFonts w:ascii="Arial" w:hAnsi="Arial" w:hint="cs"/>
          <w:rtl/>
        </w:rPr>
        <w:t xml:space="preserve">... </w:t>
      </w:r>
      <w:r>
        <w:rPr>
          <w:rFonts w:ascii="Arial" w:hAnsi="Arial"/>
          <w:rtl/>
        </w:rPr>
        <w:t>המחנה האח</w:t>
      </w:r>
      <w:r>
        <w:rPr>
          <w:rFonts w:ascii="Arial" w:hAnsi="Arial"/>
          <w:b/>
          <w:bCs/>
          <w:rtl/>
        </w:rPr>
        <w:t>ת</w:t>
      </w:r>
      <w:r>
        <w:rPr>
          <w:rFonts w:ascii="Arial" w:hAnsi="Arial" w:hint="cs"/>
          <w:rtl/>
        </w:rPr>
        <w:t xml:space="preserve"> </w:t>
      </w:r>
      <w:r>
        <w:rPr>
          <w:rFonts w:ascii="Arial" w:hAnsi="Arial"/>
          <w:rtl/>
        </w:rPr>
        <w:t>והכה</w:t>
      </w:r>
      <w:r>
        <w:rPr>
          <w:rFonts w:ascii="Arial" w:hAnsi="Arial"/>
          <w:b/>
          <w:bCs/>
          <w:rtl/>
        </w:rPr>
        <w:t>ו</w:t>
      </w:r>
      <w:r>
        <w:rPr>
          <w:rFonts w:ascii="Arial" w:hAnsi="Arial" w:hint="cs"/>
          <w:rtl/>
        </w:rPr>
        <w:t>".</w:t>
      </w:r>
    </w:p>
  </w:footnote>
  <w:footnote w:id="51">
    <w:p w14:paraId="0A43D0BB"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צורת הרבים "</w:t>
      </w:r>
      <w:r>
        <w:rPr>
          <w:rFonts w:ascii="Arial" w:hAnsi="Arial"/>
          <w:rtl/>
        </w:rPr>
        <w:t>מ</w:t>
      </w:r>
      <w:r>
        <w:rPr>
          <w:rFonts w:ascii="Arial" w:hAnsi="Arial" w:hint="cs"/>
          <w:rtl/>
        </w:rPr>
        <w:t>ַ</w:t>
      </w:r>
      <w:r>
        <w:rPr>
          <w:rFonts w:ascii="Arial" w:hAnsi="Arial"/>
          <w:rtl/>
        </w:rPr>
        <w:t>ר</w:t>
      </w:r>
      <w:r>
        <w:rPr>
          <w:rFonts w:ascii="Arial" w:hAnsi="Arial" w:hint="cs"/>
          <w:rtl/>
        </w:rPr>
        <w:t>ְ</w:t>
      </w:r>
      <w:r>
        <w:rPr>
          <w:rFonts w:ascii="Arial" w:hAnsi="Arial"/>
          <w:rtl/>
        </w:rPr>
        <w:t>א</w:t>
      </w:r>
      <w:r>
        <w:rPr>
          <w:rFonts w:ascii="Arial" w:hAnsi="Arial" w:hint="cs"/>
          <w:rtl/>
        </w:rPr>
        <w:t>ִים" אינה אלא פרי התרגום הישן של פיהמ"ש לרמב"ם; בתרגומו של הר"י קאפח מופיעה צורת הרבים הרגילה "מראות". כיו"ב מופיעה "</w:t>
      </w:r>
      <w:r>
        <w:rPr>
          <w:rFonts w:ascii="Arial" w:hAnsi="Arial"/>
          <w:rtl/>
        </w:rPr>
        <w:t>מראים</w:t>
      </w:r>
      <w:r>
        <w:rPr>
          <w:rFonts w:ascii="Arial" w:hAnsi="Arial" w:hint="cs"/>
          <w:rtl/>
        </w:rPr>
        <w:t>" בתרגום הישן של מורה הנבוכים (</w:t>
      </w:r>
      <w:r>
        <w:rPr>
          <w:rFonts w:ascii="Arial" w:hAnsi="Arial" w:hint="cs"/>
          <w:sz w:val="18"/>
          <w:szCs w:val="20"/>
          <w:rtl/>
        </w:rPr>
        <w:t>ג, ב, למשל</w:t>
      </w:r>
      <w:r>
        <w:rPr>
          <w:rFonts w:ascii="Arial" w:hAnsi="Arial" w:hint="cs"/>
          <w:rtl/>
        </w:rPr>
        <w:t>), לעומת "גוָנִים" שבתרגום הר"י קאפח (</w:t>
      </w:r>
      <w:r>
        <w:rPr>
          <w:rFonts w:ascii="Arial" w:hAnsi="Arial" w:hint="cs"/>
          <w:sz w:val="18"/>
          <w:szCs w:val="20"/>
          <w:rtl/>
        </w:rPr>
        <w:t xml:space="preserve">והשווה ללשון </w:t>
      </w:r>
      <w:r>
        <w:rPr>
          <w:rFonts w:ascii="Arial" w:hAnsi="Arial"/>
          <w:sz w:val="18"/>
          <w:szCs w:val="20"/>
          <w:rtl/>
        </w:rPr>
        <w:t>ספר העיקרים</w:t>
      </w:r>
      <w:r>
        <w:rPr>
          <w:rFonts w:ascii="Arial" w:hAnsi="Arial" w:hint="cs"/>
          <w:sz w:val="18"/>
          <w:szCs w:val="20"/>
          <w:rtl/>
        </w:rPr>
        <w:t xml:space="preserve">, </w:t>
      </w:r>
      <w:r>
        <w:rPr>
          <w:rFonts w:ascii="Arial" w:hAnsi="Arial"/>
          <w:sz w:val="18"/>
          <w:szCs w:val="20"/>
          <w:rtl/>
        </w:rPr>
        <w:t xml:space="preserve">מאמר </w:t>
      </w:r>
      <w:r>
        <w:rPr>
          <w:rFonts w:ascii="Arial" w:hAnsi="Arial" w:hint="cs"/>
          <w:sz w:val="18"/>
          <w:szCs w:val="20"/>
          <w:rtl/>
        </w:rPr>
        <w:t xml:space="preserve">ב' </w:t>
      </w:r>
      <w:r>
        <w:rPr>
          <w:rFonts w:ascii="Arial" w:hAnsi="Arial"/>
          <w:sz w:val="18"/>
          <w:szCs w:val="20"/>
          <w:rtl/>
        </w:rPr>
        <w:t>פרק כט</w:t>
      </w:r>
      <w:r>
        <w:rPr>
          <w:rFonts w:ascii="Arial" w:hAnsi="Arial" w:hint="cs"/>
          <w:rtl/>
        </w:rPr>
        <w:t>).</w:t>
      </w:r>
    </w:p>
  </w:footnote>
  <w:footnote w:id="52">
    <w:p w14:paraId="66AB425D"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כנלענ"ד להגיה, וכוונתו שהסיומת "-וֹת" אמנם נחשבת כ"סימן הנקבה", אך יכולה לבוא גם בשֵם זכר. במקור כתוב "ד'</w:t>
      </w:r>
      <w:r>
        <w:rPr>
          <w:rFonts w:ascii="Arial" w:hAnsi="Arial"/>
          <w:rtl/>
        </w:rPr>
        <w:t>מרא</w:t>
      </w:r>
      <w:r>
        <w:rPr>
          <w:rFonts w:ascii="Arial" w:hAnsi="Arial"/>
          <w:b/>
          <w:bCs/>
          <w:rtl/>
        </w:rPr>
        <w:t>ה</w:t>
      </w:r>
      <w:r>
        <w:rPr>
          <w:rFonts w:ascii="Arial" w:hAnsi="Arial" w:hint="cs"/>
          <w:rtl/>
        </w:rPr>
        <w:t>' שם לזכר בסימן הנקבה", ועל כך השיב ריעב"ץ בלחם שמים על אתר.</w:t>
      </w:r>
    </w:p>
  </w:footnote>
  <w:footnote w:id="53">
    <w:p w14:paraId="531DDEF9"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כשם ש"תינוק</w:t>
      </w:r>
      <w:r>
        <w:rPr>
          <w:rFonts w:ascii="Arial" w:hAnsi="Arial" w:hint="cs"/>
          <w:b/>
          <w:bCs/>
          <w:rtl/>
        </w:rPr>
        <w:t>ות</w:t>
      </w:r>
      <w:r>
        <w:rPr>
          <w:rFonts w:ascii="Arial" w:hAnsi="Arial" w:hint="cs"/>
          <w:rtl/>
        </w:rPr>
        <w:t xml:space="preserve">" היא צורת הרבים של "תינוקֶת" וגם של "תינוק"! ראה להלן </w:t>
      </w:r>
      <w:r>
        <w:rPr>
          <w:rFonts w:ascii="Arial" w:hAnsi="Arial"/>
          <w:rtl/>
        </w:rPr>
        <w:t>דף קלז</w:t>
      </w:r>
      <w:r>
        <w:rPr>
          <w:rFonts w:ascii="Arial" w:hAnsi="Arial" w:hint="cs"/>
          <w:rtl/>
        </w:rPr>
        <w:t xml:space="preserve">, </w:t>
      </w:r>
      <w:r>
        <w:rPr>
          <w:rFonts w:ascii="Arial" w:hAnsi="Arial"/>
          <w:rtl/>
        </w:rPr>
        <w:t>א</w:t>
      </w:r>
      <w:r>
        <w:rPr>
          <w:rFonts w:ascii="Arial" w:hAnsi="Arial" w:hint="cs"/>
          <w:rtl/>
        </w:rPr>
        <w:t>.</w:t>
      </w:r>
    </w:p>
  </w:footnote>
  <w:footnote w:id="54">
    <w:p w14:paraId="3BFFD398" w14:textId="77777777" w:rsidR="00940290" w:rsidRDefault="00940290" w:rsidP="00940290">
      <w:pPr>
        <w:pStyle w:val="a5"/>
        <w:rPr>
          <w:rtl/>
        </w:rPr>
      </w:pPr>
      <w:r>
        <w:rPr>
          <w:rStyle w:val="a4"/>
        </w:rPr>
        <w:footnoteRef/>
      </w:r>
      <w:r>
        <w:rPr>
          <w:rFonts w:hint="cs"/>
          <w:rtl/>
        </w:rPr>
        <w:t xml:space="preserve"> כמוכח, </w:t>
      </w:r>
      <w:r>
        <w:rPr>
          <w:rFonts w:ascii="Arial" w:hAnsi="Arial" w:hint="cs"/>
          <w:rtl/>
        </w:rPr>
        <w:t>למשל, מ</w:t>
      </w:r>
      <w:r>
        <w:rPr>
          <w:rFonts w:ascii="Arial" w:hAnsi="Arial"/>
          <w:rtl/>
        </w:rPr>
        <w:t>פרק י</w:t>
      </w:r>
      <w:r>
        <w:rPr>
          <w:rFonts w:ascii="Arial" w:hAnsi="Arial" w:hint="cs"/>
          <w:rtl/>
        </w:rPr>
        <w:t>'</w:t>
      </w:r>
      <w:r>
        <w:rPr>
          <w:rFonts w:ascii="Arial" w:hAnsi="Arial"/>
          <w:rtl/>
        </w:rPr>
        <w:t xml:space="preserve"> </w:t>
      </w:r>
      <w:r>
        <w:rPr>
          <w:rFonts w:ascii="Arial" w:hAnsi="Arial" w:hint="cs"/>
          <w:rtl/>
        </w:rPr>
        <w:t>בספר</w:t>
      </w:r>
      <w:r>
        <w:rPr>
          <w:rFonts w:ascii="Arial" w:hAnsi="Arial"/>
          <w:rtl/>
        </w:rPr>
        <w:t xml:space="preserve"> דניאל </w:t>
      </w:r>
      <w:r>
        <w:rPr>
          <w:rFonts w:ascii="Arial" w:hAnsi="Arial" w:hint="cs"/>
          <w:rtl/>
        </w:rPr>
        <w:t>שבו מוזכרות לסירוגין הצורות "</w:t>
      </w:r>
      <w:r>
        <w:rPr>
          <w:rFonts w:ascii="Arial" w:hAnsi="Arial"/>
          <w:rtl/>
        </w:rPr>
        <w:t>מַרְאֶה</w:t>
      </w:r>
      <w:r>
        <w:rPr>
          <w:rFonts w:ascii="Arial" w:hAnsi="Arial" w:hint="cs"/>
          <w:rtl/>
        </w:rPr>
        <w:t>" (</w:t>
      </w:r>
      <w:r>
        <w:rPr>
          <w:rFonts w:ascii="Arial" w:hAnsi="Arial" w:hint="cs"/>
          <w:sz w:val="18"/>
          <w:szCs w:val="20"/>
          <w:rtl/>
        </w:rPr>
        <w:t>ב</w:t>
      </w:r>
      <w:r>
        <w:rPr>
          <w:rFonts w:ascii="Arial" w:hAnsi="Arial"/>
          <w:sz w:val="18"/>
          <w:szCs w:val="20"/>
          <w:rtl/>
        </w:rPr>
        <w:t>פסוק</w:t>
      </w:r>
      <w:r>
        <w:rPr>
          <w:rFonts w:ascii="Arial" w:hAnsi="Arial" w:hint="cs"/>
          <w:sz w:val="18"/>
          <w:szCs w:val="20"/>
          <w:rtl/>
        </w:rPr>
        <w:t>ים</w:t>
      </w:r>
      <w:r>
        <w:rPr>
          <w:rFonts w:ascii="Arial" w:hAnsi="Arial"/>
          <w:sz w:val="18"/>
          <w:szCs w:val="20"/>
          <w:rtl/>
        </w:rPr>
        <w:t xml:space="preserve"> א</w:t>
      </w:r>
      <w:r>
        <w:rPr>
          <w:rFonts w:ascii="Arial" w:hAnsi="Arial" w:hint="cs"/>
          <w:sz w:val="18"/>
          <w:szCs w:val="20"/>
          <w:rtl/>
        </w:rPr>
        <w:t>, ו, יח</w:t>
      </w:r>
      <w:r>
        <w:rPr>
          <w:rFonts w:ascii="Arial" w:hAnsi="Arial" w:hint="cs"/>
          <w:rtl/>
        </w:rPr>
        <w:t>) ו"</w:t>
      </w:r>
      <w:r>
        <w:rPr>
          <w:rFonts w:ascii="Arial" w:hAnsi="Arial"/>
          <w:rtl/>
        </w:rPr>
        <w:t>מַרְא</w:t>
      </w:r>
      <w:r>
        <w:rPr>
          <w:rFonts w:ascii="Arial" w:hAnsi="Arial" w:hint="cs"/>
          <w:rtl/>
        </w:rPr>
        <w:t>ָ</w:t>
      </w:r>
      <w:r>
        <w:rPr>
          <w:rFonts w:ascii="Arial" w:hAnsi="Arial"/>
          <w:rtl/>
        </w:rPr>
        <w:t>ה</w:t>
      </w:r>
      <w:r>
        <w:rPr>
          <w:rFonts w:ascii="Arial" w:hAnsi="Arial" w:hint="cs"/>
          <w:rtl/>
        </w:rPr>
        <w:t>" (</w:t>
      </w:r>
      <w:r>
        <w:rPr>
          <w:rFonts w:ascii="Arial" w:hAnsi="Arial" w:hint="cs"/>
          <w:sz w:val="18"/>
          <w:szCs w:val="20"/>
          <w:rtl/>
        </w:rPr>
        <w:t>ב</w:t>
      </w:r>
      <w:r>
        <w:rPr>
          <w:rFonts w:ascii="Arial" w:hAnsi="Arial"/>
          <w:sz w:val="18"/>
          <w:szCs w:val="20"/>
          <w:rtl/>
        </w:rPr>
        <w:t>פסוק</w:t>
      </w:r>
      <w:r>
        <w:rPr>
          <w:rFonts w:ascii="Arial" w:hAnsi="Arial" w:hint="cs"/>
          <w:sz w:val="18"/>
          <w:szCs w:val="20"/>
          <w:rtl/>
        </w:rPr>
        <w:t>ים</w:t>
      </w:r>
      <w:r>
        <w:rPr>
          <w:rFonts w:ascii="Arial" w:hAnsi="Arial"/>
          <w:sz w:val="18"/>
          <w:szCs w:val="20"/>
          <w:rtl/>
        </w:rPr>
        <w:t xml:space="preserve"> </w:t>
      </w:r>
      <w:r>
        <w:rPr>
          <w:rFonts w:ascii="Arial" w:hAnsi="Arial" w:hint="cs"/>
          <w:sz w:val="18"/>
          <w:szCs w:val="20"/>
          <w:rtl/>
        </w:rPr>
        <w:t>ז, ח, טז</w:t>
      </w:r>
      <w:r>
        <w:rPr>
          <w:rFonts w:ascii="Arial" w:hAnsi="Arial" w:hint="cs"/>
          <w:rtl/>
        </w:rPr>
        <w:t xml:space="preserve">). </w:t>
      </w:r>
    </w:p>
  </w:footnote>
  <w:footnote w:id="55">
    <w:p w14:paraId="60653F97" w14:textId="77777777" w:rsidR="00940290" w:rsidRDefault="00940290" w:rsidP="00940290">
      <w:pPr>
        <w:pStyle w:val="a5"/>
        <w:rPr>
          <w:rFonts w:hint="cs"/>
          <w:color w:val="FF0000"/>
          <w:rtl/>
        </w:rPr>
      </w:pPr>
      <w:r>
        <w:rPr>
          <w:rStyle w:val="a4"/>
        </w:rPr>
        <w:footnoteRef/>
      </w:r>
      <w:r>
        <w:rPr>
          <w:rFonts w:hint="cs"/>
          <w:rtl/>
        </w:rPr>
        <w:t xml:space="preserve"> </w:t>
      </w:r>
      <w:r>
        <w:rPr>
          <w:rFonts w:ascii="Arial" w:hAnsi="Arial" w:hint="cs"/>
          <w:rtl/>
        </w:rPr>
        <w:t xml:space="preserve">כגון א' אבן שושן </w:t>
      </w:r>
      <w:r>
        <w:rPr>
          <w:rFonts w:ascii="Arial" w:hAnsi="Arial" w:hint="cs"/>
          <w:color w:val="FF0000"/>
          <w:rtl/>
        </w:rPr>
        <w:t>בקונקורדנציה לתנ"ך</w:t>
      </w:r>
      <w:r>
        <w:rPr>
          <w:rFonts w:ascii="Arial" w:hAnsi="Arial" w:hint="cs"/>
          <w:rtl/>
        </w:rPr>
        <w:t xml:space="preserve"> ובמילונו. </w:t>
      </w:r>
      <w:r>
        <w:rPr>
          <w:rFonts w:hint="cs"/>
          <w:color w:val="FF0000"/>
          <w:rtl/>
        </w:rPr>
        <w:t>ע"ע@ קדרי ורד"ק בסה"ש!</w:t>
      </w:r>
    </w:p>
  </w:footnote>
  <w:footnote w:id="56">
    <w:p w14:paraId="274567BD" w14:textId="77777777" w:rsidR="00940290" w:rsidRDefault="00940290" w:rsidP="00940290">
      <w:pPr>
        <w:pStyle w:val="a5"/>
        <w:rPr>
          <w:rFonts w:hint="cs"/>
          <w:rtl/>
        </w:rPr>
      </w:pPr>
      <w:r>
        <w:rPr>
          <w:rStyle w:val="a4"/>
        </w:rPr>
        <w:footnoteRef/>
      </w:r>
      <w:r>
        <w:rPr>
          <w:rFonts w:hint="cs"/>
          <w:rtl/>
        </w:rPr>
        <w:t xml:space="preserve"> כגון הצורה הקמוצה: </w:t>
      </w:r>
      <w:r>
        <w:rPr>
          <w:rFonts w:ascii="Arial" w:hAnsi="Arial" w:hint="cs"/>
          <w:rtl/>
        </w:rPr>
        <w:t>"</w:t>
      </w:r>
      <w:r>
        <w:rPr>
          <w:rFonts w:ascii="Arial" w:hAnsi="Arial"/>
          <w:sz w:val="26"/>
          <w:rtl/>
        </w:rPr>
        <w:t>בַּמַּרְ</w:t>
      </w:r>
      <w:r>
        <w:rPr>
          <w:rFonts w:ascii="Arial" w:hAnsi="Arial"/>
          <w:b/>
          <w:bCs/>
          <w:sz w:val="26"/>
          <w:rtl/>
        </w:rPr>
        <w:t>אָ</w:t>
      </w:r>
      <w:r>
        <w:rPr>
          <w:rFonts w:ascii="Arial" w:hAnsi="Arial"/>
          <w:sz w:val="26"/>
          <w:rtl/>
        </w:rPr>
        <w:t>ה אֵלָיו אֶתְוַדָּע</w:t>
      </w:r>
      <w:r>
        <w:rPr>
          <w:rFonts w:ascii="Arial" w:hAnsi="Arial" w:hint="cs"/>
          <w:sz w:val="26"/>
          <w:rtl/>
        </w:rPr>
        <w:t>"</w:t>
      </w:r>
      <w:r>
        <w:rPr>
          <w:rFonts w:ascii="Arial" w:hAnsi="Arial"/>
          <w:sz w:val="26"/>
          <w:rtl/>
        </w:rPr>
        <w:t xml:space="preserve"> </w:t>
      </w:r>
      <w:r>
        <w:rPr>
          <w:rFonts w:hint="cs"/>
          <w:rtl/>
        </w:rPr>
        <w:t>(</w:t>
      </w:r>
      <w:r>
        <w:rPr>
          <w:sz w:val="18"/>
          <w:szCs w:val="20"/>
          <w:rtl/>
        </w:rPr>
        <w:t>במדבר יב</w:t>
      </w:r>
      <w:r>
        <w:rPr>
          <w:rFonts w:hint="cs"/>
          <w:sz w:val="18"/>
          <w:szCs w:val="20"/>
          <w:rtl/>
        </w:rPr>
        <w:t xml:space="preserve">, </w:t>
      </w:r>
      <w:r>
        <w:rPr>
          <w:sz w:val="18"/>
          <w:szCs w:val="20"/>
          <w:rtl/>
        </w:rPr>
        <w:t>ו</w:t>
      </w:r>
      <w:r>
        <w:rPr>
          <w:rFonts w:hint="cs"/>
          <w:rtl/>
        </w:rPr>
        <w:t xml:space="preserve">) </w:t>
      </w:r>
      <w:r>
        <w:rPr>
          <w:rFonts w:ascii="Arial" w:hAnsi="Arial" w:hint="cs"/>
          <w:rtl/>
        </w:rPr>
        <w:t>לעומת הצורה הסגולה: "</w:t>
      </w:r>
      <w:r>
        <w:rPr>
          <w:rFonts w:ascii="Arial" w:hAnsi="Arial"/>
          <w:sz w:val="26"/>
          <w:rtl/>
        </w:rPr>
        <w:t>וּמַרְ</w:t>
      </w:r>
      <w:r>
        <w:rPr>
          <w:rFonts w:ascii="Arial" w:hAnsi="Arial"/>
          <w:b/>
          <w:bCs/>
          <w:sz w:val="26"/>
          <w:rtl/>
        </w:rPr>
        <w:t>אֶ</w:t>
      </w:r>
      <w:r>
        <w:rPr>
          <w:rFonts w:ascii="Arial" w:hAnsi="Arial"/>
          <w:sz w:val="26"/>
          <w:rtl/>
        </w:rPr>
        <w:t>ה וְלֹא בְחִידֹת</w:t>
      </w:r>
      <w:r>
        <w:rPr>
          <w:rFonts w:ascii="Arial" w:hAnsi="Arial" w:hint="cs"/>
          <w:sz w:val="26"/>
          <w:rtl/>
        </w:rPr>
        <w:t>" (</w:t>
      </w:r>
      <w:r>
        <w:rPr>
          <w:rFonts w:ascii="Arial" w:hAnsi="Arial" w:hint="cs"/>
          <w:sz w:val="18"/>
          <w:szCs w:val="20"/>
          <w:rtl/>
        </w:rPr>
        <w:t>שם ח</w:t>
      </w:r>
      <w:r>
        <w:rPr>
          <w:rFonts w:ascii="Arial" w:hAnsi="Arial"/>
          <w:sz w:val="26"/>
          <w:rtl/>
        </w:rPr>
        <w:t>)</w:t>
      </w:r>
      <w:r>
        <w:rPr>
          <w:rFonts w:ascii="Arial" w:hAnsi="Arial" w:hint="cs"/>
          <w:sz w:val="26"/>
          <w:rtl/>
        </w:rPr>
        <w:t>, הסמוכות זו לזו בסוף פרשת בהעלותך.</w:t>
      </w:r>
    </w:p>
  </w:footnote>
  <w:footnote w:id="57">
    <w:p w14:paraId="2CA97602"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sz w:val="26"/>
          <w:rtl/>
        </w:rPr>
        <w:t>ניתן להסיק זאת מצורת הרבים שבסופה כינוי שייכות ("חבור"):</w:t>
      </w:r>
      <w:r>
        <w:rPr>
          <w:rFonts w:ascii="Arial" w:hAnsi="Arial"/>
          <w:sz w:val="26"/>
          <w:rtl/>
        </w:rPr>
        <w:t xml:space="preserve"> </w:t>
      </w:r>
      <w:r>
        <w:rPr>
          <w:rFonts w:ascii="Arial" w:hAnsi="Arial" w:hint="cs"/>
          <w:sz w:val="26"/>
          <w:rtl/>
        </w:rPr>
        <w:t>"</w:t>
      </w:r>
      <w:r>
        <w:rPr>
          <w:rFonts w:ascii="Arial" w:hAnsi="Arial"/>
          <w:sz w:val="26"/>
          <w:rtl/>
        </w:rPr>
        <w:t>מַרְ</w:t>
      </w:r>
      <w:r>
        <w:rPr>
          <w:rFonts w:ascii="Arial" w:hAnsi="Arial"/>
          <w:b/>
          <w:bCs/>
          <w:sz w:val="26"/>
          <w:rtl/>
        </w:rPr>
        <w:t>אָיו</w:t>
      </w:r>
      <w:r>
        <w:rPr>
          <w:rFonts w:ascii="Arial" w:hAnsi="Arial" w:hint="cs"/>
          <w:sz w:val="26"/>
          <w:rtl/>
        </w:rPr>
        <w:t>" (</w:t>
      </w:r>
      <w:r>
        <w:rPr>
          <w:rFonts w:ascii="Arial" w:hAnsi="Arial"/>
          <w:sz w:val="18"/>
          <w:szCs w:val="20"/>
          <w:rtl/>
        </w:rPr>
        <w:t>איוב מא</w:t>
      </w:r>
      <w:r>
        <w:rPr>
          <w:rFonts w:ascii="Arial" w:hAnsi="Arial" w:hint="cs"/>
          <w:sz w:val="18"/>
          <w:szCs w:val="20"/>
          <w:rtl/>
        </w:rPr>
        <w:t xml:space="preserve">, </w:t>
      </w:r>
      <w:r>
        <w:rPr>
          <w:rFonts w:ascii="Arial" w:hAnsi="Arial"/>
          <w:sz w:val="18"/>
          <w:szCs w:val="20"/>
          <w:rtl/>
        </w:rPr>
        <w:t>א</w:t>
      </w:r>
      <w:r>
        <w:rPr>
          <w:rFonts w:ascii="Arial" w:hAnsi="Arial" w:hint="cs"/>
          <w:sz w:val="18"/>
          <w:szCs w:val="20"/>
          <w:rtl/>
        </w:rPr>
        <w:t xml:space="preserve">; וע"ע </w:t>
      </w:r>
      <w:r>
        <w:rPr>
          <w:rFonts w:ascii="Arial" w:hAnsi="Arial"/>
          <w:sz w:val="18"/>
          <w:szCs w:val="20"/>
          <w:rtl/>
        </w:rPr>
        <w:t>דניאל א</w:t>
      </w:r>
      <w:r>
        <w:rPr>
          <w:rFonts w:ascii="Arial" w:hAnsi="Arial" w:hint="cs"/>
          <w:sz w:val="18"/>
          <w:szCs w:val="20"/>
          <w:rtl/>
        </w:rPr>
        <w:t xml:space="preserve">, </w:t>
      </w:r>
      <w:r>
        <w:rPr>
          <w:rFonts w:ascii="Arial" w:hAnsi="Arial"/>
          <w:sz w:val="18"/>
          <w:szCs w:val="20"/>
          <w:rtl/>
        </w:rPr>
        <w:t xml:space="preserve">יג </w:t>
      </w:r>
      <w:r>
        <w:rPr>
          <w:rFonts w:ascii="Arial" w:hAnsi="Arial" w:hint="cs"/>
          <w:sz w:val="18"/>
          <w:szCs w:val="20"/>
          <w:rtl/>
        </w:rPr>
        <w:t>"</w:t>
      </w:r>
      <w:r>
        <w:rPr>
          <w:rFonts w:ascii="Arial" w:hAnsi="Arial"/>
          <w:sz w:val="18"/>
          <w:szCs w:val="20"/>
          <w:rtl/>
        </w:rPr>
        <w:t>וְיֵרָאוּ לְפָנֶיךָ מַרְאֵינוּ</w:t>
      </w:r>
      <w:r>
        <w:rPr>
          <w:rFonts w:ascii="Arial" w:hAnsi="Arial" w:hint="cs"/>
          <w:sz w:val="18"/>
          <w:szCs w:val="20"/>
          <w:rtl/>
        </w:rPr>
        <w:t>"</w:t>
      </w:r>
      <w:r>
        <w:rPr>
          <w:rFonts w:ascii="Arial" w:hAnsi="Arial" w:hint="cs"/>
          <w:sz w:val="26"/>
          <w:rtl/>
        </w:rPr>
        <w:t>), במקום "מראותיו". והשוה ל"</w:t>
      </w:r>
      <w:r>
        <w:rPr>
          <w:rFonts w:ascii="Arial" w:hAnsi="Arial"/>
          <w:sz w:val="26"/>
          <w:rtl/>
        </w:rPr>
        <w:t>מַרְאַיִךְ</w:t>
      </w:r>
      <w:r>
        <w:rPr>
          <w:rFonts w:ascii="Arial" w:hAnsi="Arial" w:hint="cs"/>
          <w:sz w:val="26"/>
          <w:rtl/>
        </w:rPr>
        <w:t xml:space="preserve">... </w:t>
      </w:r>
      <w:r>
        <w:rPr>
          <w:rFonts w:ascii="Arial" w:hAnsi="Arial"/>
          <w:sz w:val="26"/>
          <w:rtl/>
        </w:rPr>
        <w:t>וּמַרְאֵיךְ</w:t>
      </w:r>
      <w:r>
        <w:rPr>
          <w:rFonts w:ascii="Arial" w:hAnsi="Arial" w:hint="cs"/>
          <w:sz w:val="26"/>
          <w:rtl/>
        </w:rPr>
        <w:t>" (</w:t>
      </w:r>
      <w:r>
        <w:rPr>
          <w:rFonts w:ascii="Arial" w:hAnsi="Arial"/>
          <w:sz w:val="18"/>
          <w:szCs w:val="20"/>
          <w:rtl/>
        </w:rPr>
        <w:t>שיר השירים ב</w:t>
      </w:r>
      <w:r>
        <w:rPr>
          <w:rFonts w:ascii="Arial" w:hAnsi="Arial" w:hint="cs"/>
          <w:sz w:val="18"/>
          <w:szCs w:val="20"/>
          <w:rtl/>
        </w:rPr>
        <w:t xml:space="preserve">, </w:t>
      </w:r>
      <w:r>
        <w:rPr>
          <w:rFonts w:ascii="Arial" w:hAnsi="Arial"/>
          <w:sz w:val="18"/>
          <w:szCs w:val="20"/>
          <w:rtl/>
        </w:rPr>
        <w:t>יד</w:t>
      </w:r>
      <w:r>
        <w:rPr>
          <w:rFonts w:ascii="Arial" w:hAnsi="Arial" w:hint="cs"/>
          <w:sz w:val="26"/>
          <w:rtl/>
        </w:rPr>
        <w:t>)</w:t>
      </w:r>
      <w:r>
        <w:rPr>
          <w:rFonts w:ascii="Arial" w:hAnsi="Arial"/>
          <w:sz w:val="26"/>
          <w:rtl/>
        </w:rPr>
        <w:t xml:space="preserve"> </w:t>
      </w:r>
      <w:r>
        <w:rPr>
          <w:rFonts w:ascii="Arial" w:hAnsi="Arial" w:hint="cs"/>
          <w:sz w:val="26"/>
          <w:rtl/>
        </w:rPr>
        <w:t>ועי"ש בהערת ר' עמוס חכם (</w:t>
      </w:r>
      <w:r>
        <w:rPr>
          <w:rFonts w:ascii="Arial" w:hAnsi="Arial" w:hint="cs"/>
          <w:sz w:val="18"/>
          <w:szCs w:val="20"/>
          <w:rtl/>
        </w:rPr>
        <w:t>דעת מקרא, הערה 28</w:t>
      </w:r>
      <w:r>
        <w:rPr>
          <w:rFonts w:ascii="Arial" w:hAnsi="Arial" w:hint="cs"/>
          <w:sz w:val="26"/>
          <w:rtl/>
        </w:rPr>
        <w:t>). והשוה לאמור בהערה 27 לעיל.</w:t>
      </w:r>
    </w:p>
  </w:footnote>
  <w:footnote w:id="58">
    <w:p w14:paraId="7C20F4FA" w14:textId="77777777" w:rsidR="00940290" w:rsidRDefault="00940290" w:rsidP="00940290">
      <w:pPr>
        <w:pStyle w:val="a5"/>
        <w:rPr>
          <w:rFonts w:hint="cs"/>
          <w:rtl/>
        </w:rPr>
      </w:pPr>
      <w:r>
        <w:rPr>
          <w:rStyle w:val="a4"/>
        </w:rPr>
        <w:footnoteRef/>
      </w:r>
      <w:r>
        <w:rPr>
          <w:rFonts w:hint="cs"/>
          <w:rtl/>
        </w:rPr>
        <w:t xml:space="preserve"> </w:t>
      </w:r>
      <w:r>
        <w:rPr>
          <w:rFonts w:hint="cs"/>
          <w:sz w:val="24"/>
          <w:rtl/>
        </w:rPr>
        <w:t>בחידושיו על המשניות</w:t>
      </w:r>
      <w:r>
        <w:rPr>
          <w:rFonts w:hint="cs"/>
          <w:sz w:val="18"/>
          <w:szCs w:val="20"/>
          <w:rtl/>
        </w:rPr>
        <w:t xml:space="preserve">, שבועות פ"א מ"א, על דברי התוספות יו"ט </w:t>
      </w:r>
      <w:r>
        <w:rPr>
          <w:rFonts w:hint="cs"/>
          <w:sz w:val="24"/>
          <w:rtl/>
        </w:rPr>
        <w:t xml:space="preserve">וכן מובא בחידושיו על התלמוד </w:t>
      </w:r>
      <w:r>
        <w:rPr>
          <w:rFonts w:hint="cs"/>
          <w:sz w:val="24"/>
          <w:szCs w:val="20"/>
          <w:rtl/>
        </w:rPr>
        <w:t>בדף</w:t>
      </w:r>
      <w:r>
        <w:rPr>
          <w:rFonts w:hint="cs"/>
          <w:sz w:val="24"/>
          <w:rtl/>
        </w:rPr>
        <w:t xml:space="preserve"> </w:t>
      </w:r>
      <w:r>
        <w:rPr>
          <w:rFonts w:hint="cs"/>
          <w:sz w:val="18"/>
          <w:szCs w:val="20"/>
          <w:rtl/>
        </w:rPr>
        <w:t>ב, א, על דברי התוספות</w:t>
      </w:r>
      <w:r>
        <w:rPr>
          <w:rFonts w:hint="cs"/>
          <w:sz w:val="24"/>
          <w:rtl/>
        </w:rPr>
        <w:t>.</w:t>
      </w:r>
    </w:p>
  </w:footnote>
  <w:footnote w:id="59">
    <w:p w14:paraId="17631B40" w14:textId="77777777" w:rsidR="00940290" w:rsidRDefault="00940290" w:rsidP="00940290">
      <w:pPr>
        <w:pStyle w:val="a5"/>
        <w:rPr>
          <w:rFonts w:hint="cs"/>
          <w:sz w:val="18"/>
          <w:szCs w:val="20"/>
          <w:rtl/>
        </w:rPr>
      </w:pPr>
      <w:r>
        <w:rPr>
          <w:rStyle w:val="a4"/>
        </w:rPr>
        <w:footnoteRef/>
      </w:r>
      <w:r>
        <w:rPr>
          <w:rFonts w:hint="cs"/>
          <w:rtl/>
        </w:rPr>
        <w:t xml:space="preserve"> ריעב"ץ כנראה סובר כי על אף שמקורו של צירוף המלים "מראות נגעים" בלשון התורה, אין להקיש מדקדוק לשון המקרא ללשון חכמים, וצירוף זה הוא "בריה בפני עצמה" ומבחינה דקדוקית הוא ריבוי נִקבי של צירוף הסמיכות "מראַת נגע" (דהיינו "מראָה של נגע"). לוּ רצו חז"ל להִצמד ללשון התורה ולמין הדקדוקי של "</w:t>
      </w:r>
      <w:r>
        <w:rPr>
          <w:rtl/>
        </w:rPr>
        <w:t>מַרְאֵה הַנֶּגַע</w:t>
      </w:r>
      <w:r>
        <w:rPr>
          <w:rFonts w:hint="cs"/>
          <w:rtl/>
        </w:rPr>
        <w:t xml:space="preserve">" המקראי, הם יכלו לומר "מראֵי נגעים" (דהיינו "מראִים של נגע"), שהוא הריבוי המתאים לצירוף הסמיכות הזִכרי "מראֵה נגע" (דהיינו "מראֶה של נגע"). </w:t>
      </w:r>
      <w:r>
        <w:rPr>
          <w:rFonts w:hint="cs"/>
          <w:sz w:val="18"/>
          <w:szCs w:val="20"/>
          <w:rtl/>
        </w:rPr>
        <w:t xml:space="preserve">מחלוקת ריעב"ץ ורש"ש מזכירה מחלוקת דומה של חז"ל: ראה </w:t>
      </w:r>
      <w:r>
        <w:rPr>
          <w:sz w:val="18"/>
          <w:szCs w:val="20"/>
          <w:rtl/>
        </w:rPr>
        <w:t>רש"י שבועות לא</w:t>
      </w:r>
      <w:r>
        <w:rPr>
          <w:rFonts w:hint="cs"/>
          <w:sz w:val="18"/>
          <w:szCs w:val="20"/>
          <w:rtl/>
        </w:rPr>
        <w:t xml:space="preserve">, </w:t>
      </w:r>
      <w:r>
        <w:rPr>
          <w:sz w:val="18"/>
          <w:szCs w:val="20"/>
          <w:rtl/>
        </w:rPr>
        <w:t xml:space="preserve">א </w:t>
      </w:r>
      <w:r>
        <w:rPr>
          <w:rFonts w:hint="cs"/>
          <w:sz w:val="18"/>
          <w:szCs w:val="20"/>
          <w:rtl/>
        </w:rPr>
        <w:t>ד"ה "</w:t>
      </w:r>
      <w:r>
        <w:rPr>
          <w:sz w:val="18"/>
          <w:szCs w:val="20"/>
          <w:rtl/>
        </w:rPr>
        <w:t>בדון מינה ומינה בדון מינה ואוקי באתרה פליגי</w:t>
      </w:r>
      <w:r>
        <w:rPr>
          <w:rFonts w:hint="cs"/>
          <w:sz w:val="18"/>
          <w:szCs w:val="20"/>
          <w:rtl/>
        </w:rPr>
        <w:t>".</w:t>
      </w:r>
    </w:p>
  </w:footnote>
  <w:footnote w:id="60">
    <w:p w14:paraId="5019269D" w14:textId="77777777" w:rsidR="00940290" w:rsidRDefault="00940290" w:rsidP="00940290">
      <w:pPr>
        <w:pStyle w:val="a5"/>
        <w:rPr>
          <w:rFonts w:hint="cs"/>
          <w:rtl/>
        </w:rPr>
      </w:pPr>
      <w:r>
        <w:rPr>
          <w:rStyle w:val="a4"/>
        </w:rPr>
        <w:footnoteRef/>
      </w:r>
      <w:r>
        <w:rPr>
          <w:rFonts w:hint="cs"/>
          <w:rtl/>
        </w:rPr>
        <w:t xml:space="preserve"> המצוין לעיל בהערה 23.</w:t>
      </w:r>
    </w:p>
  </w:footnote>
  <w:footnote w:id="61">
    <w:p w14:paraId="6FEB2FFF" w14:textId="77777777" w:rsidR="00940290" w:rsidRDefault="00940290" w:rsidP="00940290">
      <w:pPr>
        <w:pStyle w:val="a5"/>
        <w:rPr>
          <w:rFonts w:hint="cs"/>
          <w:rtl/>
        </w:rPr>
      </w:pPr>
      <w:r>
        <w:rPr>
          <w:rStyle w:val="a4"/>
        </w:rPr>
        <w:footnoteRef/>
      </w:r>
      <w:r>
        <w:rPr>
          <w:rFonts w:hint="cs"/>
          <w:rtl/>
        </w:rPr>
        <w:t xml:space="preserve"> אמנם, לפי המוער במסורת הש"ס, שייך דיבור זה לפירוש רש"י על משנת שבועות בדף ב, א (</w:t>
      </w:r>
      <w:r>
        <w:rPr>
          <w:rtl/>
        </w:rPr>
        <w:t>אגב, בארבע</w:t>
      </w:r>
      <w:r>
        <w:rPr>
          <w:rFonts w:hint="cs"/>
          <w:rtl/>
        </w:rPr>
        <w:t>ה</w:t>
      </w:r>
      <w:r>
        <w:rPr>
          <w:rtl/>
        </w:rPr>
        <w:t xml:space="preserve"> כתבי יד נמצאים דברי רש"י כלפנינו</w:t>
      </w:r>
      <w:r>
        <w:rPr>
          <w:rFonts w:hint="cs"/>
          <w:sz w:val="18"/>
          <w:szCs w:val="20"/>
          <w:rtl/>
        </w:rPr>
        <w:t xml:space="preserve">, ע"פ </w:t>
      </w:r>
      <w:r>
        <w:rPr>
          <w:sz w:val="18"/>
          <w:szCs w:val="20"/>
          <w:rtl/>
        </w:rPr>
        <w:t>ר' דוד ארונובסקי</w:t>
      </w:r>
      <w:r>
        <w:rPr>
          <w:rFonts w:hint="cs"/>
          <w:rtl/>
        </w:rPr>
        <w:t>). יתכן שזהו הטעם לניסוחו המהוסס של הרדב"ז, וזו לשונו:</w:t>
      </w:r>
    </w:p>
    <w:p w14:paraId="2C9D371C" w14:textId="77777777" w:rsidR="00940290" w:rsidRDefault="00940290" w:rsidP="00940290">
      <w:pPr>
        <w:pStyle w:val="a5"/>
        <w:ind w:left="720"/>
        <w:rPr>
          <w:rFonts w:ascii="Arial" w:hAnsi="Arial" w:hint="cs"/>
          <w:rtl/>
        </w:rPr>
      </w:pPr>
      <w:r>
        <w:rPr>
          <w:rFonts w:ascii="Arial" w:hAnsi="Arial" w:hint="cs"/>
          <w:color w:val="0000FF"/>
          <w:rtl/>
        </w:rPr>
        <w:t>"</w:t>
      </w:r>
      <w:r>
        <w:rPr>
          <w:rFonts w:ascii="Arial" w:hAnsi="Arial"/>
          <w:color w:val="0000FF"/>
          <w:rtl/>
        </w:rPr>
        <w:t>שנים שהן ד'. כתב רש"י ז"ל [ד"ה מאן תנא] גרסינן וכו'. כבר קיימתי הגירסא בפירושא דמתני'. והרא"ש ז"ל [בתוספותיו ד"ה מראות] כתב דדבר שאין בו רוח חיים פעמים הוא בלשון זכר ופעמים בלשון נקבה. וכן כתב ר"ת בריש קמא. אבל קשה לי אמאי נטר לה</w:t>
      </w:r>
      <w:r>
        <w:rPr>
          <w:rFonts w:ascii="Arial" w:hAnsi="Arial"/>
          <w:rtl/>
        </w:rPr>
        <w:t xml:space="preserve"> רש"י ז"ל לפרושי אמתני' דנגעים ולא אמתני' דהכא, וי"ל דאי אמתני' דהכא הוה אמינא דשפיר תני </w:t>
      </w:r>
      <w:r>
        <w:rPr>
          <w:rFonts w:ascii="Arial" w:hAnsi="Arial" w:hint="cs"/>
          <w:rtl/>
        </w:rPr>
        <w:t>'</w:t>
      </w:r>
      <w:r>
        <w:rPr>
          <w:rFonts w:ascii="Arial" w:hAnsi="Arial"/>
          <w:rtl/>
        </w:rPr>
        <w:t>שתים שהן ד'</w:t>
      </w:r>
      <w:r>
        <w:rPr>
          <w:rFonts w:ascii="Arial" w:hAnsi="Arial" w:hint="cs"/>
          <w:rtl/>
        </w:rPr>
        <w:t>'</w:t>
      </w:r>
      <w:r>
        <w:rPr>
          <w:rFonts w:ascii="Arial" w:hAnsi="Arial"/>
          <w:rtl/>
        </w:rPr>
        <w:t xml:space="preserve"> אגב הנך כולהו דתני בהו </w:t>
      </w:r>
      <w:r>
        <w:rPr>
          <w:rFonts w:ascii="Arial" w:hAnsi="Arial" w:hint="cs"/>
          <w:rtl/>
        </w:rPr>
        <w:t>'</w:t>
      </w:r>
      <w:r>
        <w:rPr>
          <w:rFonts w:ascii="Arial" w:hAnsi="Arial"/>
          <w:rtl/>
        </w:rPr>
        <w:t>שתים שהן ארבע</w:t>
      </w:r>
      <w:r>
        <w:rPr>
          <w:rFonts w:ascii="Arial" w:hAnsi="Arial" w:hint="cs"/>
          <w:rtl/>
        </w:rPr>
        <w:t>'</w:t>
      </w:r>
      <w:r>
        <w:rPr>
          <w:rFonts w:ascii="Arial" w:hAnsi="Arial"/>
          <w:rtl/>
        </w:rPr>
        <w:t xml:space="preserve">, אבל אמתני' דנגעים קשה, </w:t>
      </w:r>
      <w:r>
        <w:rPr>
          <w:rFonts w:ascii="Arial" w:hAnsi="Arial"/>
          <w:b/>
          <w:bCs/>
          <w:rtl/>
        </w:rPr>
        <w:t>אפשר</w:t>
      </w:r>
      <w:r>
        <w:rPr>
          <w:rFonts w:ascii="Arial" w:hAnsi="Arial"/>
          <w:rtl/>
        </w:rPr>
        <w:t xml:space="preserve"> דמתני' דהתם מגיה רש"י ז"ל, אבל מתני' דהכא שביק לה מטעמא דאמרן".</w:t>
      </w:r>
    </w:p>
    <w:p w14:paraId="2657EF30" w14:textId="77777777" w:rsidR="00940290" w:rsidRDefault="00940290" w:rsidP="00940290">
      <w:pPr>
        <w:pStyle w:val="a5"/>
        <w:rPr>
          <w:rFonts w:hint="cs"/>
          <w:rtl/>
        </w:rPr>
      </w:pPr>
      <w:r>
        <w:rPr>
          <w:rFonts w:hint="cs"/>
          <w:rtl/>
        </w:rPr>
        <w:t xml:space="preserve">יש לציין שגם בחידושי הרש"ש על אתר חָלק על קביעת בעל מסורת הש"ס, וסבר שדברי רש"י נאמרו על משנת נגעים, אך שלא כרדב"ז. עיין בדבריו המתבססים על הערת </w:t>
      </w:r>
      <w:r>
        <w:rPr>
          <w:rtl/>
        </w:rPr>
        <w:t xml:space="preserve">רש"י </w:t>
      </w:r>
      <w:r>
        <w:rPr>
          <w:rFonts w:hint="cs"/>
          <w:rtl/>
        </w:rPr>
        <w:t>ל</w:t>
      </w:r>
      <w:r>
        <w:rPr>
          <w:rtl/>
        </w:rPr>
        <w:t>ויקרא יג</w:t>
      </w:r>
      <w:r>
        <w:rPr>
          <w:rFonts w:hint="cs"/>
          <w:rtl/>
        </w:rPr>
        <w:t xml:space="preserve">, </w:t>
      </w:r>
      <w:r>
        <w:rPr>
          <w:rtl/>
        </w:rPr>
        <w:t xml:space="preserve">ח </w:t>
      </w:r>
      <w:r>
        <w:rPr>
          <w:rFonts w:hint="cs"/>
          <w:rtl/>
        </w:rPr>
        <w:t>"</w:t>
      </w:r>
      <w:r>
        <w:rPr>
          <w:rtl/>
        </w:rPr>
        <w:t>צָרַעַת - לשון נקבה</w:t>
      </w:r>
      <w:r>
        <w:rPr>
          <w:rFonts w:hint="cs"/>
          <w:rtl/>
        </w:rPr>
        <w:t xml:space="preserve">. </w:t>
      </w:r>
      <w:r>
        <w:rPr>
          <w:rtl/>
        </w:rPr>
        <w:t>נֶגַע - לשון זכר</w:t>
      </w:r>
      <w:r>
        <w:rPr>
          <w:rFonts w:hint="cs"/>
          <w:rtl/>
        </w:rPr>
        <w:t>", הבאה ליישב (</w:t>
      </w:r>
      <w:r>
        <w:rPr>
          <w:rFonts w:hint="cs"/>
          <w:sz w:val="18"/>
          <w:szCs w:val="20"/>
          <w:rtl/>
        </w:rPr>
        <w:t>כמבואר ברא"ם ובשאר מפרשי רש"י</w:t>
      </w:r>
      <w:r>
        <w:rPr>
          <w:rFonts w:hint="cs"/>
          <w:rtl/>
        </w:rPr>
        <w:t>) את דקדוק לשון התורה: מחד גיסא כתוב "</w:t>
      </w:r>
      <w:r>
        <w:rPr>
          <w:rtl/>
        </w:rPr>
        <w:t xml:space="preserve">וְהִנֵּה הַנֶּגַע </w:t>
      </w:r>
      <w:r>
        <w:rPr>
          <w:b/>
          <w:bCs/>
          <w:rtl/>
        </w:rPr>
        <w:t>עָמַד בְּעֵינָיו</w:t>
      </w:r>
      <w:r>
        <w:rPr>
          <w:rFonts w:hint="cs"/>
          <w:rtl/>
        </w:rPr>
        <w:t>" (</w:t>
      </w:r>
      <w:r>
        <w:rPr>
          <w:sz w:val="18"/>
          <w:szCs w:val="20"/>
          <w:rtl/>
        </w:rPr>
        <w:t>ויקרא יג</w:t>
      </w:r>
      <w:r>
        <w:rPr>
          <w:rFonts w:hint="cs"/>
          <w:sz w:val="18"/>
          <w:szCs w:val="20"/>
          <w:rtl/>
        </w:rPr>
        <w:t>,</w:t>
      </w:r>
      <w:r>
        <w:rPr>
          <w:sz w:val="18"/>
          <w:szCs w:val="20"/>
          <w:rtl/>
        </w:rPr>
        <w:t xml:space="preserve"> </w:t>
      </w:r>
      <w:r>
        <w:rPr>
          <w:rFonts w:hint="cs"/>
          <w:sz w:val="18"/>
          <w:szCs w:val="20"/>
          <w:rtl/>
        </w:rPr>
        <w:t>ה</w:t>
      </w:r>
      <w:r>
        <w:rPr>
          <w:rFonts w:hint="cs"/>
          <w:rtl/>
        </w:rPr>
        <w:t>) בלשון זכר, ומאידך גיסא כתוב "</w:t>
      </w:r>
      <w:r>
        <w:rPr>
          <w:rtl/>
        </w:rPr>
        <w:t xml:space="preserve">נֶגַע צָרַעַת כִּי </w:t>
      </w:r>
      <w:r>
        <w:rPr>
          <w:b/>
          <w:bCs/>
          <w:rtl/>
        </w:rPr>
        <w:t>תִ</w:t>
      </w:r>
      <w:r>
        <w:rPr>
          <w:rtl/>
        </w:rPr>
        <w:t>הְיֶה</w:t>
      </w:r>
      <w:r>
        <w:rPr>
          <w:rFonts w:hint="cs"/>
          <w:rtl/>
        </w:rPr>
        <w:t>" (</w:t>
      </w:r>
      <w:r>
        <w:rPr>
          <w:rFonts w:hint="cs"/>
          <w:sz w:val="18"/>
          <w:szCs w:val="20"/>
          <w:rtl/>
        </w:rPr>
        <w:t xml:space="preserve">שם </w:t>
      </w:r>
      <w:r>
        <w:rPr>
          <w:sz w:val="18"/>
          <w:szCs w:val="20"/>
          <w:rtl/>
        </w:rPr>
        <w:t>ט</w:t>
      </w:r>
      <w:r>
        <w:rPr>
          <w:rFonts w:hint="cs"/>
          <w:rtl/>
        </w:rPr>
        <w:t>) בלשון נקבה.</w:t>
      </w:r>
    </w:p>
  </w:footnote>
  <w:footnote w:id="62">
    <w:p w14:paraId="167FB8E4" w14:textId="77777777" w:rsidR="00940290" w:rsidRDefault="00940290" w:rsidP="00940290">
      <w:pPr>
        <w:pStyle w:val="a5"/>
        <w:rPr>
          <w:rtl/>
        </w:rPr>
      </w:pPr>
      <w:r>
        <w:rPr>
          <w:rStyle w:val="a4"/>
        </w:rPr>
        <w:footnoteRef/>
      </w:r>
      <w:r>
        <w:rPr>
          <w:rFonts w:hint="cs"/>
          <w:rtl/>
        </w:rPr>
        <w:t xml:space="preserve"> "</w:t>
      </w:r>
      <w:r>
        <w:rPr>
          <w:rtl/>
        </w:rPr>
        <w:t xml:space="preserve">וכן כתב </w:t>
      </w:r>
      <w:r>
        <w:rPr>
          <w:rFonts w:hint="cs"/>
          <w:rtl/>
        </w:rPr>
        <w:t xml:space="preserve">רבינו תם </w:t>
      </w:r>
      <w:r>
        <w:rPr>
          <w:rtl/>
        </w:rPr>
        <w:t>בריש קמא</w:t>
      </w:r>
      <w:r>
        <w:rPr>
          <w:rFonts w:hint="cs"/>
          <w:rtl/>
        </w:rPr>
        <w:t>". השוה לדברי הרדב"ז: "</w:t>
      </w:r>
      <w:r>
        <w:rPr>
          <w:b/>
          <w:bCs/>
          <w:rtl/>
        </w:rPr>
        <w:t>כתב</w:t>
      </w:r>
      <w:r>
        <w:rPr>
          <w:rtl/>
        </w:rPr>
        <w:t xml:space="preserve"> </w:t>
      </w:r>
      <w:r>
        <w:rPr>
          <w:b/>
          <w:bCs/>
          <w:rtl/>
        </w:rPr>
        <w:t>ר"ת בריש קמא</w:t>
      </w:r>
      <w:r>
        <w:rPr>
          <w:rFonts w:hint="cs"/>
          <w:rtl/>
        </w:rPr>
        <w:t>:</w:t>
      </w:r>
      <w:r>
        <w:rPr>
          <w:rtl/>
        </w:rPr>
        <w:t xml:space="preserve"> דבר שאין בו רוח חיים</w:t>
      </w:r>
      <w:r>
        <w:rPr>
          <w:rFonts w:hint="cs"/>
          <w:rtl/>
        </w:rPr>
        <w:t>,</w:t>
      </w:r>
      <w:r>
        <w:rPr>
          <w:rtl/>
        </w:rPr>
        <w:t xml:space="preserve"> זכרהו או נקבהו</w:t>
      </w:r>
      <w:r>
        <w:rPr>
          <w:rFonts w:hint="cs"/>
          <w:rtl/>
        </w:rPr>
        <w:t>" (</w:t>
      </w:r>
      <w:r>
        <w:rPr>
          <w:sz w:val="18"/>
          <w:szCs w:val="20"/>
          <w:rtl/>
        </w:rPr>
        <w:t>ח</w:t>
      </w:r>
      <w:r>
        <w:rPr>
          <w:rFonts w:hint="cs"/>
          <w:sz w:val="18"/>
          <w:szCs w:val="20"/>
          <w:rtl/>
        </w:rPr>
        <w:t>"</w:t>
      </w:r>
      <w:r>
        <w:rPr>
          <w:sz w:val="18"/>
          <w:szCs w:val="20"/>
          <w:rtl/>
        </w:rPr>
        <w:t>ה סימן קמ</w:t>
      </w:r>
      <w:r>
        <w:rPr>
          <w:rFonts w:hint="cs"/>
          <w:sz w:val="18"/>
          <w:szCs w:val="20"/>
          <w:rtl/>
        </w:rPr>
        <w:t>"</w:t>
      </w:r>
      <w:r>
        <w:rPr>
          <w:sz w:val="18"/>
          <w:szCs w:val="20"/>
          <w:rtl/>
        </w:rPr>
        <w:t>ו</w:t>
      </w:r>
      <w:r>
        <w:rPr>
          <w:rFonts w:hint="cs"/>
          <w:rtl/>
        </w:rPr>
        <w:t>). מתשובה אחרת נראה כי את דברי ר"ת יתכן שלא ראה רדב"ז במקורם: "</w:t>
      </w:r>
      <w:r>
        <w:rPr>
          <w:rtl/>
        </w:rPr>
        <w:t>מצינו בכמה מקומות זכר במקום נקבה ונקבה במקום זכר</w:t>
      </w:r>
      <w:r>
        <w:rPr>
          <w:rFonts w:hint="cs"/>
          <w:rtl/>
        </w:rPr>
        <w:t>,</w:t>
      </w:r>
      <w:r>
        <w:rPr>
          <w:rtl/>
        </w:rPr>
        <w:t xml:space="preserve"> וטעמו אמרו הראשונים</w:t>
      </w:r>
      <w:r>
        <w:rPr>
          <w:rFonts w:hint="cs"/>
          <w:rtl/>
        </w:rPr>
        <w:t>:</w:t>
      </w:r>
      <w:r>
        <w:rPr>
          <w:rtl/>
        </w:rPr>
        <w:t xml:space="preserve"> כל דבר שאין בו רוח</w:t>
      </w:r>
      <w:r>
        <w:rPr>
          <w:rFonts w:hint="cs"/>
          <w:rtl/>
        </w:rPr>
        <w:t xml:space="preserve"> </w:t>
      </w:r>
      <w:r>
        <w:rPr>
          <w:rtl/>
        </w:rPr>
        <w:t>חיים</w:t>
      </w:r>
      <w:r>
        <w:rPr>
          <w:rFonts w:hint="cs"/>
          <w:rtl/>
        </w:rPr>
        <w:t>,</w:t>
      </w:r>
      <w:r>
        <w:rPr>
          <w:rtl/>
        </w:rPr>
        <w:t xml:space="preserve"> זכרהו או נקבהו</w:t>
      </w:r>
      <w:r>
        <w:rPr>
          <w:rFonts w:hint="cs"/>
          <w:rtl/>
        </w:rPr>
        <w:t>.</w:t>
      </w:r>
      <w:r>
        <w:rPr>
          <w:rtl/>
        </w:rPr>
        <w:t xml:space="preserve"> וכן היא הסכמת המדקדקים</w:t>
      </w:r>
      <w:r>
        <w:rPr>
          <w:rFonts w:hint="cs"/>
          <w:rtl/>
        </w:rPr>
        <w:t>,</w:t>
      </w:r>
      <w:r>
        <w:rPr>
          <w:rtl/>
        </w:rPr>
        <w:t xml:space="preserve"> וכן </w:t>
      </w:r>
      <w:r>
        <w:rPr>
          <w:b/>
          <w:bCs/>
          <w:rtl/>
        </w:rPr>
        <w:t>ראיתי</w:t>
      </w:r>
      <w:r>
        <w:rPr>
          <w:rtl/>
        </w:rPr>
        <w:t xml:space="preserve"> </w:t>
      </w:r>
      <w:r>
        <w:rPr>
          <w:b/>
          <w:bCs/>
          <w:rtl/>
        </w:rPr>
        <w:t>בש</w:t>
      </w:r>
      <w:r>
        <w:rPr>
          <w:rFonts w:hint="cs"/>
          <w:b/>
          <w:bCs/>
          <w:rtl/>
        </w:rPr>
        <w:t>ֵ</w:t>
      </w:r>
      <w:r>
        <w:rPr>
          <w:b/>
          <w:bCs/>
          <w:rtl/>
        </w:rPr>
        <w:t xml:space="preserve">ם ר"ת </w:t>
      </w:r>
      <w:r>
        <w:rPr>
          <w:rtl/>
        </w:rPr>
        <w:t>ז"ל</w:t>
      </w:r>
      <w:r>
        <w:rPr>
          <w:rFonts w:hint="cs"/>
          <w:rtl/>
        </w:rPr>
        <w:t>" (</w:t>
      </w:r>
      <w:r>
        <w:rPr>
          <w:szCs w:val="20"/>
          <w:rtl/>
        </w:rPr>
        <w:t>ח</w:t>
      </w:r>
      <w:r>
        <w:rPr>
          <w:rFonts w:hint="cs"/>
          <w:szCs w:val="20"/>
          <w:rtl/>
        </w:rPr>
        <w:t>"</w:t>
      </w:r>
      <w:r>
        <w:rPr>
          <w:szCs w:val="20"/>
          <w:rtl/>
        </w:rPr>
        <w:t>א סימן של</w:t>
      </w:r>
      <w:r>
        <w:rPr>
          <w:rFonts w:hint="cs"/>
          <w:sz w:val="18"/>
          <w:szCs w:val="20"/>
          <w:rtl/>
        </w:rPr>
        <w:t>"</w:t>
      </w:r>
      <w:r>
        <w:rPr>
          <w:szCs w:val="20"/>
          <w:rtl/>
        </w:rPr>
        <w:t>ו</w:t>
      </w:r>
      <w:r>
        <w:rPr>
          <w:rFonts w:hint="cs"/>
          <w:rtl/>
        </w:rPr>
        <w:t>)</w:t>
      </w:r>
      <w:r>
        <w:rPr>
          <w:rtl/>
        </w:rPr>
        <w:t>.</w:t>
      </w:r>
      <w:r>
        <w:rPr>
          <w:rFonts w:hint="cs"/>
          <w:rtl/>
        </w:rPr>
        <w:t xml:space="preserve"> מלבד עדות הרדב"ז, טרם נמצאו דברי רבינו תם אלה. "אך אני בעניי יגעתי ולא מצאתי לר"ת שכתב כן, לא ב'קמא' גם לא בשום דוכתא אחרינא" (יד מלאכי, </w:t>
      </w:r>
      <w:r>
        <w:rPr>
          <w:rFonts w:hint="cs"/>
          <w:sz w:val="18"/>
          <w:szCs w:val="20"/>
          <w:rtl/>
        </w:rPr>
        <w:t>ח"א,</w:t>
      </w:r>
      <w:r>
        <w:rPr>
          <w:sz w:val="18"/>
          <w:szCs w:val="20"/>
          <w:rtl/>
        </w:rPr>
        <w:t xml:space="preserve"> </w:t>
      </w:r>
      <w:r>
        <w:rPr>
          <w:rFonts w:hint="cs"/>
          <w:sz w:val="18"/>
          <w:szCs w:val="20"/>
          <w:rtl/>
        </w:rPr>
        <w:t>כלל</w:t>
      </w:r>
      <w:r>
        <w:rPr>
          <w:sz w:val="18"/>
          <w:szCs w:val="20"/>
          <w:rtl/>
        </w:rPr>
        <w:t xml:space="preserve"> ש</w:t>
      </w:r>
      <w:r>
        <w:rPr>
          <w:rFonts w:hint="cs"/>
          <w:sz w:val="18"/>
          <w:szCs w:val="20"/>
          <w:rtl/>
        </w:rPr>
        <w:t>"</w:t>
      </w:r>
      <w:r>
        <w:rPr>
          <w:sz w:val="18"/>
          <w:szCs w:val="20"/>
          <w:rtl/>
        </w:rPr>
        <w:t>ט</w:t>
      </w:r>
      <w:r>
        <w:rPr>
          <w:rFonts w:hint="cs"/>
          <w:rtl/>
        </w:rPr>
        <w:t xml:space="preserve">). </w:t>
      </w:r>
    </w:p>
  </w:footnote>
  <w:footnote w:id="63">
    <w:p w14:paraId="3CE4BC00" w14:textId="77777777" w:rsidR="00940290" w:rsidRDefault="00940290" w:rsidP="00940290">
      <w:pPr>
        <w:pStyle w:val="a5"/>
        <w:rPr>
          <w:rtl/>
        </w:rPr>
      </w:pPr>
      <w:r>
        <w:rPr>
          <w:rStyle w:val="a4"/>
          <w:rtl/>
        </w:rPr>
        <w:footnoteRef/>
      </w:r>
      <w:r>
        <w:t xml:space="preserve"> </w:t>
      </w:r>
      <w:r>
        <w:rPr>
          <w:rFonts w:ascii="Arial" w:hAnsi="Arial" w:hint="cs"/>
          <w:sz w:val="26"/>
          <w:rtl/>
        </w:rPr>
        <w:t>כגון: "כבר אמר החכם הרא</w:t>
      </w:r>
      <w:r>
        <w:rPr>
          <w:rFonts w:ascii="Arial" w:hAnsi="Arial"/>
          <w:sz w:val="26"/>
          <w:rtl/>
        </w:rPr>
        <w:t>ב</w:t>
      </w:r>
      <w:r>
        <w:rPr>
          <w:rFonts w:ascii="Arial" w:hAnsi="Arial" w:hint="cs"/>
          <w:sz w:val="26"/>
          <w:rtl/>
        </w:rPr>
        <w:t>"</w:t>
      </w:r>
      <w:r>
        <w:rPr>
          <w:rFonts w:ascii="Arial" w:hAnsi="Arial"/>
          <w:sz w:val="26"/>
          <w:rtl/>
        </w:rPr>
        <w:t>ע</w:t>
      </w:r>
      <w:r>
        <w:rPr>
          <w:rFonts w:ascii="Arial" w:hAnsi="Arial" w:hint="cs"/>
          <w:sz w:val="26"/>
          <w:rtl/>
        </w:rPr>
        <w:t>:</w:t>
      </w:r>
      <w:r>
        <w:rPr>
          <w:rtl/>
        </w:rPr>
        <w:t xml:space="preserve"> כל </w:t>
      </w:r>
      <w:r>
        <w:rPr>
          <w:rFonts w:hint="cs"/>
          <w:rtl/>
        </w:rPr>
        <w:t>אש</w:t>
      </w:r>
      <w:r>
        <w:rPr>
          <w:rtl/>
        </w:rPr>
        <w:t>ר אין בו רוח</w:t>
      </w:r>
      <w:r>
        <w:rPr>
          <w:rFonts w:hint="cs"/>
          <w:rtl/>
        </w:rPr>
        <w:t xml:space="preserve"> </w:t>
      </w:r>
      <w:r>
        <w:rPr>
          <w:rtl/>
        </w:rPr>
        <w:t>חיים</w:t>
      </w:r>
      <w:r>
        <w:rPr>
          <w:rFonts w:hint="cs"/>
          <w:rtl/>
        </w:rPr>
        <w:t>,</w:t>
      </w:r>
      <w:r>
        <w:rPr>
          <w:rtl/>
        </w:rPr>
        <w:t xml:space="preserve"> זכרהו ונקבהו</w:t>
      </w:r>
      <w:r>
        <w:rPr>
          <w:rFonts w:hint="cs"/>
          <w:rtl/>
        </w:rPr>
        <w:t>" (</w:t>
      </w:r>
      <w:r>
        <w:rPr>
          <w:rtl/>
        </w:rPr>
        <w:t>ת</w:t>
      </w:r>
      <w:r>
        <w:rPr>
          <w:rFonts w:hint="cs"/>
          <w:rtl/>
        </w:rPr>
        <w:t xml:space="preserve">וספות </w:t>
      </w:r>
      <w:r>
        <w:rPr>
          <w:rtl/>
        </w:rPr>
        <w:t>י</w:t>
      </w:r>
      <w:r>
        <w:rPr>
          <w:rFonts w:hint="cs"/>
          <w:rtl/>
        </w:rPr>
        <w:t>ו</w:t>
      </w:r>
      <w:r>
        <w:rPr>
          <w:rtl/>
        </w:rPr>
        <w:t xml:space="preserve">"ט </w:t>
      </w:r>
      <w:r>
        <w:rPr>
          <w:sz w:val="18"/>
          <w:szCs w:val="20"/>
          <w:rtl/>
        </w:rPr>
        <w:t>נזיר פ"ב מ"ב</w:t>
      </w:r>
      <w:r>
        <w:rPr>
          <w:rFonts w:hint="cs"/>
          <w:sz w:val="18"/>
          <w:szCs w:val="20"/>
          <w:rtl/>
        </w:rPr>
        <w:t xml:space="preserve"> וכיו"ב בתמיד פ"ה מ"ד; </w:t>
      </w:r>
      <w:r>
        <w:rPr>
          <w:sz w:val="18"/>
          <w:szCs w:val="20"/>
          <w:rtl/>
        </w:rPr>
        <w:t xml:space="preserve">שו"ת </w:t>
      </w:r>
      <w:r>
        <w:rPr>
          <w:sz w:val="26"/>
          <w:rtl/>
        </w:rPr>
        <w:t>חתם סופר</w:t>
      </w:r>
      <w:r>
        <w:rPr>
          <w:rFonts w:hint="cs"/>
          <w:sz w:val="26"/>
          <w:rtl/>
        </w:rPr>
        <w:t xml:space="preserve">, </w:t>
      </w:r>
      <w:r>
        <w:rPr>
          <w:sz w:val="18"/>
          <w:szCs w:val="20"/>
          <w:rtl/>
        </w:rPr>
        <w:t>ח</w:t>
      </w:r>
      <w:r>
        <w:rPr>
          <w:rFonts w:hint="cs"/>
          <w:sz w:val="18"/>
          <w:szCs w:val="20"/>
          <w:rtl/>
        </w:rPr>
        <w:t>"</w:t>
      </w:r>
      <w:r>
        <w:rPr>
          <w:sz w:val="18"/>
          <w:szCs w:val="20"/>
          <w:rtl/>
        </w:rPr>
        <w:t>ד</w:t>
      </w:r>
      <w:r>
        <w:rPr>
          <w:rFonts w:hint="cs"/>
          <w:sz w:val="18"/>
          <w:szCs w:val="20"/>
          <w:rtl/>
        </w:rPr>
        <w:t xml:space="preserve">, </w:t>
      </w:r>
      <w:r>
        <w:rPr>
          <w:sz w:val="18"/>
          <w:szCs w:val="20"/>
          <w:rtl/>
        </w:rPr>
        <w:t>אה"ע ב</w:t>
      </w:r>
      <w:r>
        <w:rPr>
          <w:rFonts w:hint="cs"/>
          <w:sz w:val="18"/>
          <w:szCs w:val="20"/>
          <w:rtl/>
        </w:rPr>
        <w:t>',</w:t>
      </w:r>
      <w:r>
        <w:rPr>
          <w:sz w:val="18"/>
          <w:szCs w:val="20"/>
          <w:rtl/>
        </w:rPr>
        <w:t xml:space="preserve"> סימן מ</w:t>
      </w:r>
      <w:r>
        <w:rPr>
          <w:rFonts w:hint="cs"/>
          <w:sz w:val="18"/>
          <w:szCs w:val="20"/>
          <w:rtl/>
        </w:rPr>
        <w:t>', ועוד</w:t>
      </w:r>
      <w:r>
        <w:rPr>
          <w:rFonts w:hint="cs"/>
          <w:rtl/>
        </w:rPr>
        <w:t>). אך יש שפקפקו בייחוס זה ובעצם אמיתותו (ראה יד מלאכי שבהערה הקודמת; ל"ר חרל"פ, תורת הלשון של ראב"ע</w:t>
      </w:r>
      <w:r>
        <w:rPr>
          <w:rFonts w:hint="cs"/>
          <w:color w:val="FF0000"/>
          <w:sz w:val="18"/>
          <w:szCs w:val="20"/>
          <w:rtl/>
        </w:rPr>
        <w:t>, עמ' 124 הערה @</w:t>
      </w:r>
      <w:r>
        <w:rPr>
          <w:rFonts w:hint="cs"/>
          <w:rtl/>
        </w:rPr>
        <w:t>).</w:t>
      </w:r>
    </w:p>
  </w:footnote>
  <w:footnote w:id="64">
    <w:p w14:paraId="2E0D162E" w14:textId="77777777" w:rsidR="00940290" w:rsidRDefault="00940290" w:rsidP="00940290">
      <w:pPr>
        <w:pStyle w:val="a5"/>
        <w:rPr>
          <w:rFonts w:hint="cs"/>
          <w:rtl/>
        </w:rPr>
      </w:pPr>
      <w:r>
        <w:rPr>
          <w:rStyle w:val="a4"/>
        </w:rPr>
        <w:footnoteRef/>
      </w:r>
      <w:r>
        <w:rPr>
          <w:rFonts w:hint="cs"/>
          <w:rtl/>
        </w:rPr>
        <w:t xml:space="preserve"> בהתאם לדקדוק העברית המקראית, כדברי רש"י (</w:t>
      </w:r>
      <w:r>
        <w:rPr>
          <w:rFonts w:hint="cs"/>
          <w:sz w:val="18"/>
          <w:szCs w:val="20"/>
          <w:rtl/>
        </w:rPr>
        <w:t>וכן תוספות וכן רש"ש</w:t>
      </w:r>
      <w:r>
        <w:rPr>
          <w:rFonts w:hint="cs"/>
          <w:rtl/>
        </w:rPr>
        <w:t>) הנ"ל, ובהתאם ללשון התנא ב</w:t>
      </w:r>
      <w:r>
        <w:rPr>
          <w:rFonts w:ascii="Arial" w:hAnsi="Arial" w:hint="cs"/>
          <w:sz w:val="24"/>
          <w:rtl/>
        </w:rPr>
        <w:t>המשך אותו פרק במסכת נגעים (</w:t>
      </w:r>
      <w:r>
        <w:rPr>
          <w:rFonts w:ascii="Arial" w:hAnsi="Arial" w:hint="cs"/>
          <w:sz w:val="18"/>
          <w:szCs w:val="20"/>
          <w:rtl/>
        </w:rPr>
        <w:t>וכהוכחת התוספות בשבת ובשבועות</w:t>
      </w:r>
      <w:r>
        <w:rPr>
          <w:rFonts w:ascii="Arial" w:hAnsi="Arial" w:hint="cs"/>
          <w:sz w:val="24"/>
          <w:rtl/>
        </w:rPr>
        <w:t>):</w:t>
      </w:r>
      <w:r>
        <w:rPr>
          <w:rFonts w:ascii="Arial" w:hAnsi="Arial"/>
          <w:sz w:val="24"/>
          <w:rtl/>
        </w:rPr>
        <w:t xml:space="preserve"> משנה </w:t>
      </w:r>
      <w:r>
        <w:rPr>
          <w:rFonts w:ascii="Arial" w:hAnsi="Arial" w:hint="cs"/>
          <w:sz w:val="24"/>
          <w:rtl/>
        </w:rPr>
        <w:t>ג': "</w:t>
      </w:r>
      <w:r>
        <w:rPr>
          <w:rFonts w:ascii="Arial" w:hAnsi="Arial"/>
          <w:sz w:val="24"/>
          <w:rtl/>
        </w:rPr>
        <w:t>ארבע</w:t>
      </w:r>
      <w:r>
        <w:rPr>
          <w:rFonts w:ascii="Arial" w:hAnsi="Arial"/>
          <w:b/>
          <w:bCs/>
          <w:sz w:val="24"/>
          <w:rtl/>
        </w:rPr>
        <w:t>ה</w:t>
      </w:r>
      <w:r>
        <w:rPr>
          <w:rFonts w:ascii="Arial" w:hAnsi="Arial"/>
          <w:sz w:val="24"/>
          <w:rtl/>
        </w:rPr>
        <w:t xml:space="preserve"> מראות האלו מצטרפין </w:t>
      </w:r>
      <w:r>
        <w:rPr>
          <w:rFonts w:ascii="Arial" w:hAnsi="Arial"/>
          <w:b/>
          <w:bCs/>
          <w:sz w:val="24"/>
          <w:rtl/>
        </w:rPr>
        <w:t xml:space="preserve">זה </w:t>
      </w:r>
      <w:r>
        <w:rPr>
          <w:rFonts w:ascii="Arial" w:hAnsi="Arial"/>
          <w:sz w:val="24"/>
          <w:rtl/>
        </w:rPr>
        <w:t>עם</w:t>
      </w:r>
      <w:r>
        <w:rPr>
          <w:rFonts w:ascii="Arial" w:hAnsi="Arial"/>
          <w:sz w:val="26"/>
          <w:rtl/>
        </w:rPr>
        <w:t xml:space="preserve"> </w:t>
      </w:r>
      <w:r>
        <w:rPr>
          <w:rFonts w:ascii="Arial" w:hAnsi="Arial"/>
          <w:b/>
          <w:bCs/>
          <w:sz w:val="26"/>
          <w:rtl/>
        </w:rPr>
        <w:t>זה</w:t>
      </w:r>
      <w:r>
        <w:rPr>
          <w:rFonts w:ascii="Arial" w:hAnsi="Arial" w:hint="cs"/>
          <w:sz w:val="26"/>
          <w:rtl/>
        </w:rPr>
        <w:t xml:space="preserve">", </w:t>
      </w:r>
      <w:r>
        <w:rPr>
          <w:rFonts w:ascii="Arial" w:hAnsi="Arial"/>
          <w:sz w:val="26"/>
          <w:rtl/>
        </w:rPr>
        <w:t xml:space="preserve">משנה </w:t>
      </w:r>
      <w:r>
        <w:rPr>
          <w:rFonts w:ascii="Arial" w:hAnsi="Arial" w:hint="cs"/>
          <w:sz w:val="26"/>
          <w:rtl/>
        </w:rPr>
        <w:t>ד': "</w:t>
      </w:r>
      <w:r>
        <w:rPr>
          <w:rFonts w:ascii="Arial" w:hAnsi="Arial"/>
          <w:sz w:val="26"/>
          <w:rtl/>
        </w:rPr>
        <w:t>רבי חנינה סגן הכהנים אומר</w:t>
      </w:r>
      <w:r>
        <w:rPr>
          <w:rFonts w:ascii="Arial" w:hAnsi="Arial" w:hint="cs"/>
          <w:sz w:val="26"/>
          <w:rtl/>
        </w:rPr>
        <w:t>:</w:t>
      </w:r>
      <w:r>
        <w:rPr>
          <w:rFonts w:ascii="Arial" w:hAnsi="Arial"/>
          <w:sz w:val="26"/>
          <w:rtl/>
        </w:rPr>
        <w:t xml:space="preserve"> מראות נגעים שש</w:t>
      </w:r>
      <w:r>
        <w:rPr>
          <w:rFonts w:ascii="Arial" w:hAnsi="Arial"/>
          <w:b/>
          <w:bCs/>
          <w:sz w:val="26"/>
          <w:rtl/>
        </w:rPr>
        <w:t>ה</w:t>
      </w:r>
      <w:r>
        <w:rPr>
          <w:rFonts w:ascii="Arial" w:hAnsi="Arial"/>
          <w:sz w:val="26"/>
          <w:rtl/>
        </w:rPr>
        <w:t xml:space="preserve"> </w:t>
      </w:r>
      <w:r>
        <w:rPr>
          <w:rFonts w:ascii="Arial" w:hAnsi="Arial"/>
          <w:b/>
          <w:bCs/>
          <w:sz w:val="26"/>
          <w:rtl/>
        </w:rPr>
        <w:t>עשר</w:t>
      </w:r>
      <w:r>
        <w:rPr>
          <w:rFonts w:ascii="Arial" w:hAnsi="Arial" w:hint="cs"/>
          <w:sz w:val="26"/>
          <w:rtl/>
        </w:rPr>
        <w:t>,</w:t>
      </w:r>
      <w:r>
        <w:rPr>
          <w:rFonts w:ascii="Arial" w:hAnsi="Arial"/>
          <w:sz w:val="26"/>
          <w:rtl/>
        </w:rPr>
        <w:t xml:space="preserve"> ר' דוסא בן הרכינס אומר</w:t>
      </w:r>
      <w:r>
        <w:rPr>
          <w:rFonts w:ascii="Arial" w:hAnsi="Arial" w:hint="cs"/>
          <w:sz w:val="26"/>
          <w:rtl/>
        </w:rPr>
        <w:t>:</w:t>
      </w:r>
      <w:r>
        <w:rPr>
          <w:rFonts w:ascii="Arial" w:hAnsi="Arial"/>
          <w:sz w:val="26"/>
          <w:rtl/>
        </w:rPr>
        <w:t xml:space="preserve"> מראות נגעים שלשים ושש</w:t>
      </w:r>
      <w:r>
        <w:rPr>
          <w:rFonts w:ascii="Arial" w:hAnsi="Arial"/>
          <w:b/>
          <w:bCs/>
          <w:sz w:val="26"/>
          <w:rtl/>
        </w:rPr>
        <w:t>ה</w:t>
      </w:r>
      <w:r>
        <w:rPr>
          <w:rFonts w:ascii="Arial" w:hAnsi="Arial" w:hint="cs"/>
          <w:sz w:val="26"/>
          <w:rtl/>
        </w:rPr>
        <w:t>,</w:t>
      </w:r>
      <w:r>
        <w:rPr>
          <w:rFonts w:ascii="Arial" w:hAnsi="Arial"/>
          <w:sz w:val="26"/>
          <w:rtl/>
        </w:rPr>
        <w:t xml:space="preserve"> עקביא בן מהללאל אומר שבעים </w:t>
      </w:r>
      <w:r>
        <w:rPr>
          <w:rFonts w:ascii="Arial" w:hAnsi="Arial"/>
          <w:b/>
          <w:bCs/>
          <w:sz w:val="26"/>
          <w:rtl/>
        </w:rPr>
        <w:t>ושנים</w:t>
      </w:r>
      <w:r>
        <w:rPr>
          <w:rFonts w:ascii="Arial" w:hAnsi="Arial" w:hint="cs"/>
          <w:sz w:val="26"/>
          <w:rtl/>
        </w:rPr>
        <w:t>".</w:t>
      </w:r>
    </w:p>
  </w:footnote>
  <w:footnote w:id="65">
    <w:p w14:paraId="4718B5CE" w14:textId="77777777" w:rsidR="00940290" w:rsidRDefault="00940290" w:rsidP="00940290">
      <w:pPr>
        <w:pStyle w:val="a5"/>
        <w:rPr>
          <w:rFonts w:hint="cs"/>
          <w:rtl/>
        </w:rPr>
      </w:pPr>
      <w:r>
        <w:rPr>
          <w:rStyle w:val="a4"/>
        </w:rPr>
        <w:footnoteRef/>
      </w:r>
      <w:r>
        <w:rPr>
          <w:rFonts w:hint="cs"/>
          <w:rtl/>
        </w:rPr>
        <w:t xml:space="preserve"> או באותו אופן: או תמיד בלשון זכר או תמיד בלשון נקבה. העובדה שמדובר בדבר שאין בו רוח חיים אינה </w:t>
      </w:r>
      <w:r>
        <w:rPr>
          <w:rFonts w:hint="cs"/>
          <w:b/>
          <w:bCs/>
          <w:rtl/>
        </w:rPr>
        <w:t>מחייבת</w:t>
      </w:r>
      <w:r>
        <w:rPr>
          <w:rFonts w:hint="cs"/>
          <w:rtl/>
        </w:rPr>
        <w:t xml:space="preserve"> להיות לא עקבי. אך יתכן ואם כמה דרכים כשרות בלשון, שמא מוטב שלא לדבוק באחת אלא לנקוט בכולן - למען ידעו זאת הדורות הבאים!</w:t>
      </w:r>
    </w:p>
  </w:footnote>
  <w:footnote w:id="66">
    <w:p w14:paraId="1A038A89" w14:textId="77777777" w:rsidR="00940290" w:rsidRDefault="00940290" w:rsidP="00940290">
      <w:pPr>
        <w:pStyle w:val="a5"/>
        <w:rPr>
          <w:rtl/>
        </w:rPr>
      </w:pPr>
      <w:r>
        <w:rPr>
          <w:rStyle w:val="a4"/>
          <w:rtl/>
        </w:rPr>
        <w:footnoteRef/>
      </w:r>
      <w:r>
        <w:t xml:space="preserve"> </w:t>
      </w:r>
      <w:r>
        <w:rPr>
          <w:rFonts w:hint="cs"/>
          <w:rtl/>
        </w:rPr>
        <w:t>ובלשון ה</w:t>
      </w:r>
      <w:r>
        <w:rPr>
          <w:rtl/>
        </w:rPr>
        <w:t>רדב"ז</w:t>
      </w:r>
      <w:r>
        <w:rPr>
          <w:rFonts w:hint="cs"/>
          <w:rtl/>
        </w:rPr>
        <w:t>:</w:t>
      </w:r>
      <w:r>
        <w:rPr>
          <w:rtl/>
        </w:rPr>
        <w:t xml:space="preserve"> </w:t>
      </w:r>
      <w:r>
        <w:rPr>
          <w:rFonts w:hint="cs"/>
          <w:rtl/>
        </w:rPr>
        <w:t>"</w:t>
      </w:r>
      <w:r>
        <w:rPr>
          <w:rtl/>
        </w:rPr>
        <w:t>אגב הנך כולהו דתני בהו שתים שהן ארבע</w:t>
      </w:r>
      <w:r>
        <w:rPr>
          <w:rFonts w:hint="cs"/>
          <w:rtl/>
        </w:rPr>
        <w:t>".</w:t>
      </w:r>
      <w:r>
        <w:rPr>
          <w:rFonts w:ascii="Arial" w:hAnsi="Arial" w:hint="cs"/>
          <w:rtl/>
        </w:rPr>
        <w:t xml:space="preserve"> רעיון דומה נכתב בפירוש </w:t>
      </w:r>
      <w:r>
        <w:rPr>
          <w:rFonts w:ascii="Arial" w:hAnsi="Arial" w:hint="cs"/>
          <w:sz w:val="26"/>
          <w:rtl/>
        </w:rPr>
        <w:t>דעת מקרא</w:t>
      </w:r>
      <w:r>
        <w:rPr>
          <w:rFonts w:ascii="Arial" w:hAnsi="Arial"/>
          <w:sz w:val="26"/>
          <w:rtl/>
        </w:rPr>
        <w:t xml:space="preserve"> </w:t>
      </w:r>
      <w:r>
        <w:rPr>
          <w:rFonts w:ascii="Arial" w:hAnsi="Arial" w:hint="cs"/>
          <w:sz w:val="26"/>
          <w:rtl/>
        </w:rPr>
        <w:t>ל</w:t>
      </w:r>
      <w:r>
        <w:rPr>
          <w:rFonts w:ascii="Arial" w:hAnsi="Arial"/>
          <w:sz w:val="26"/>
          <w:rtl/>
        </w:rPr>
        <w:t xml:space="preserve">שיר השירים </w:t>
      </w:r>
      <w:r>
        <w:rPr>
          <w:rFonts w:ascii="Arial" w:hAnsi="Arial"/>
          <w:sz w:val="20"/>
          <w:szCs w:val="20"/>
          <w:rtl/>
        </w:rPr>
        <w:t>ד</w:t>
      </w:r>
      <w:r>
        <w:rPr>
          <w:rFonts w:ascii="Arial" w:hAnsi="Arial" w:hint="cs"/>
          <w:sz w:val="20"/>
          <w:szCs w:val="20"/>
          <w:rtl/>
        </w:rPr>
        <w:t xml:space="preserve">, </w:t>
      </w:r>
      <w:r>
        <w:rPr>
          <w:rFonts w:ascii="Arial" w:hAnsi="Arial"/>
          <w:sz w:val="20"/>
          <w:szCs w:val="20"/>
          <w:rtl/>
        </w:rPr>
        <w:t>ט</w:t>
      </w:r>
      <w:r>
        <w:rPr>
          <w:rFonts w:ascii="Arial" w:hAnsi="Arial" w:hint="cs"/>
          <w:sz w:val="20"/>
          <w:szCs w:val="20"/>
          <w:rtl/>
        </w:rPr>
        <w:t xml:space="preserve"> </w:t>
      </w:r>
      <w:r>
        <w:rPr>
          <w:rFonts w:ascii="Arial" w:hAnsi="Arial" w:hint="cs"/>
          <w:sz w:val="26"/>
          <w:rtl/>
        </w:rPr>
        <w:t>כדי להסביר את ה</w:t>
      </w:r>
      <w:r>
        <w:rPr>
          <w:rFonts w:ascii="Arial" w:hAnsi="Arial" w:hint="cs"/>
          <w:rtl/>
        </w:rPr>
        <w:t>כתיב</w:t>
      </w:r>
      <w:r>
        <w:rPr>
          <w:rFonts w:ascii="Arial" w:hAnsi="Arial"/>
          <w:rtl/>
        </w:rPr>
        <w:t xml:space="preserve"> </w:t>
      </w:r>
      <w:r>
        <w:rPr>
          <w:rFonts w:ascii="Arial" w:hAnsi="Arial" w:hint="cs"/>
          <w:rtl/>
        </w:rPr>
        <w:t>"</w:t>
      </w:r>
      <w:r>
        <w:rPr>
          <w:rFonts w:ascii="Arial" w:hAnsi="Arial"/>
          <w:rtl/>
        </w:rPr>
        <w:t>באחד</w:t>
      </w:r>
      <w:r>
        <w:rPr>
          <w:rFonts w:ascii="Arial" w:hAnsi="Arial" w:hint="cs"/>
          <w:rtl/>
        </w:rPr>
        <w:t xml:space="preserve"> [קרי: </w:t>
      </w:r>
      <w:r>
        <w:rPr>
          <w:rFonts w:ascii="Arial" w:hAnsi="Arial"/>
          <w:rtl/>
        </w:rPr>
        <w:t>בְּאַחַת</w:t>
      </w:r>
      <w:r>
        <w:rPr>
          <w:rFonts w:ascii="Arial" w:hAnsi="Arial" w:hint="cs"/>
          <w:rtl/>
        </w:rPr>
        <w:t>]</w:t>
      </w:r>
      <w:r>
        <w:rPr>
          <w:rFonts w:ascii="Arial" w:hAnsi="Arial"/>
          <w:rtl/>
        </w:rPr>
        <w:t xml:space="preserve"> מֵעֵינַיִךְ</w:t>
      </w:r>
      <w:r>
        <w:rPr>
          <w:rFonts w:ascii="Arial" w:hAnsi="Arial" w:hint="cs"/>
          <w:rtl/>
        </w:rPr>
        <w:t>".</w:t>
      </w:r>
    </w:p>
  </w:footnote>
  <w:footnote w:id="67">
    <w:p w14:paraId="14E6766D"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 xml:space="preserve">מקובל לפרש שכינוי זה מביע את הערכתו של ר' חייא לרב. ברם, מעיון בהֶקשרים השונים שבהם מופיע כינוי זה נראה כי נלווית לכינוי זה נימת ביקורת שלילית. דוגמה ממסכת </w:t>
      </w:r>
      <w:r>
        <w:rPr>
          <w:rFonts w:ascii="Arial" w:hAnsi="Arial"/>
          <w:sz w:val="26"/>
          <w:rtl/>
        </w:rPr>
        <w:t xml:space="preserve">נזיר </w:t>
      </w:r>
      <w:r>
        <w:rPr>
          <w:rFonts w:ascii="Arial" w:hAnsi="Arial"/>
          <w:sz w:val="18"/>
          <w:szCs w:val="20"/>
          <w:rtl/>
        </w:rPr>
        <w:t>נט</w:t>
      </w:r>
      <w:r>
        <w:rPr>
          <w:rFonts w:ascii="Arial" w:hAnsi="Arial" w:hint="cs"/>
          <w:sz w:val="18"/>
          <w:szCs w:val="20"/>
          <w:rtl/>
        </w:rPr>
        <w:t xml:space="preserve">, </w:t>
      </w:r>
      <w:r>
        <w:rPr>
          <w:rFonts w:ascii="Arial" w:hAnsi="Arial"/>
          <w:sz w:val="18"/>
          <w:szCs w:val="20"/>
          <w:rtl/>
        </w:rPr>
        <w:t>א</w:t>
      </w:r>
      <w:r>
        <w:rPr>
          <w:rFonts w:ascii="Arial" w:hAnsi="Arial" w:hint="cs"/>
          <w:sz w:val="26"/>
          <w:rtl/>
        </w:rPr>
        <w:t>:</w:t>
      </w:r>
      <w:r>
        <w:rPr>
          <w:rFonts w:ascii="Arial" w:hAnsi="Arial" w:hint="cs"/>
          <w:sz w:val="30"/>
          <w:szCs w:val="28"/>
          <w:rtl/>
        </w:rPr>
        <w:t xml:space="preserve"> </w:t>
      </w:r>
      <w:r>
        <w:rPr>
          <w:rFonts w:ascii="Arial" w:hAnsi="Arial" w:hint="cs"/>
          <w:rtl/>
        </w:rPr>
        <w:t xml:space="preserve">כינוי זה אינו מופיע בתשובתו הראשונה של </w:t>
      </w:r>
      <w:r>
        <w:rPr>
          <w:rFonts w:ascii="Arial" w:hAnsi="Arial"/>
          <w:rtl/>
        </w:rPr>
        <w:t>רבי חייא</w:t>
      </w:r>
      <w:r>
        <w:rPr>
          <w:rFonts w:ascii="Arial" w:hAnsi="Arial" w:hint="cs"/>
          <w:rtl/>
        </w:rPr>
        <w:t xml:space="preserve"> לרב (</w:t>
      </w:r>
      <w:r>
        <w:rPr>
          <w:rFonts w:ascii="Arial" w:hAnsi="Arial" w:hint="cs"/>
          <w:sz w:val="18"/>
          <w:szCs w:val="20"/>
          <w:rtl/>
        </w:rPr>
        <w:t>"</w:t>
      </w:r>
      <w:r>
        <w:rPr>
          <w:rFonts w:ascii="Arial" w:hAnsi="Arial"/>
          <w:sz w:val="18"/>
          <w:szCs w:val="20"/>
          <w:rtl/>
        </w:rPr>
        <w:t>בעא מיניה רב מרבי חייא: מהו לגלח? אמר ליה: אסור</w:t>
      </w:r>
      <w:r>
        <w:rPr>
          <w:rFonts w:ascii="Arial" w:hAnsi="Arial" w:hint="cs"/>
          <w:sz w:val="18"/>
          <w:szCs w:val="20"/>
          <w:rtl/>
        </w:rPr>
        <w:t>"</w:t>
      </w:r>
      <w:r>
        <w:rPr>
          <w:rFonts w:ascii="Arial" w:hAnsi="Arial" w:hint="cs"/>
          <w:rtl/>
        </w:rPr>
        <w:t>), אלא רק במענה לקושיית רב (</w:t>
      </w:r>
      <w:r>
        <w:rPr>
          <w:rFonts w:ascii="Arial" w:hAnsi="Arial" w:hint="cs"/>
          <w:sz w:val="18"/>
          <w:szCs w:val="20"/>
          <w:rtl/>
        </w:rPr>
        <w:t>"</w:t>
      </w:r>
      <w:r>
        <w:rPr>
          <w:rFonts w:ascii="Arial" w:hAnsi="Arial"/>
          <w:sz w:val="18"/>
          <w:szCs w:val="20"/>
          <w:rtl/>
        </w:rPr>
        <w:t>אמר ליה: והא</w:t>
      </w:r>
      <w:r>
        <w:rPr>
          <w:rFonts w:ascii="Arial" w:hAnsi="Arial" w:hint="cs"/>
          <w:sz w:val="18"/>
          <w:szCs w:val="20"/>
          <w:rtl/>
        </w:rPr>
        <w:t xml:space="preserve"> </w:t>
      </w:r>
      <w:r>
        <w:rPr>
          <w:rFonts w:ascii="Arial" w:hAnsi="Arial"/>
          <w:sz w:val="18"/>
          <w:szCs w:val="20"/>
          <w:rtl/>
        </w:rPr>
        <w:t>קא גדל!</w:t>
      </w:r>
      <w:r>
        <w:rPr>
          <w:rFonts w:ascii="Arial" w:hAnsi="Arial" w:hint="cs"/>
          <w:sz w:val="18"/>
          <w:szCs w:val="20"/>
          <w:rtl/>
        </w:rPr>
        <w:t>"</w:t>
      </w:r>
      <w:r>
        <w:rPr>
          <w:rFonts w:ascii="Arial" w:hAnsi="Arial" w:hint="cs"/>
          <w:rtl/>
        </w:rPr>
        <w:t>) על פסקו של ר' חייא. כיו"ב בסוגייתנו: בכינוי זה פותח ר' חייא גערה ברב על כך ששוב נהג שלא כשורה וכמעט בייש את רבי. הלכך, יתכן שבאזכור ייחוסו הרם של רב התכוון ר' חייא לרמוז לרב שאין הוא מדבר או נוהג כראוי לבן גדולים (השוה ל"עוקצנות" ר' חייא כלפי ר"ש בר רבי ב</w:t>
      </w:r>
      <w:r>
        <w:rPr>
          <w:rFonts w:ascii="Arial" w:hAnsi="Arial"/>
          <w:rtl/>
        </w:rPr>
        <w:t xml:space="preserve">מגילה </w:t>
      </w:r>
      <w:r>
        <w:rPr>
          <w:rFonts w:ascii="Arial" w:hAnsi="Arial"/>
          <w:sz w:val="18"/>
          <w:szCs w:val="20"/>
          <w:rtl/>
        </w:rPr>
        <w:t>כד</w:t>
      </w:r>
      <w:r>
        <w:rPr>
          <w:rFonts w:ascii="Arial" w:hAnsi="Arial" w:hint="cs"/>
          <w:sz w:val="18"/>
          <w:szCs w:val="20"/>
          <w:rtl/>
        </w:rPr>
        <w:t xml:space="preserve">, </w:t>
      </w:r>
      <w:r>
        <w:rPr>
          <w:rFonts w:ascii="Arial" w:hAnsi="Arial"/>
          <w:sz w:val="18"/>
          <w:szCs w:val="20"/>
          <w:rtl/>
        </w:rPr>
        <w:t>ב</w:t>
      </w:r>
      <w:r>
        <w:rPr>
          <w:rFonts w:ascii="Arial" w:hAnsi="Arial" w:hint="cs"/>
          <w:rtl/>
        </w:rPr>
        <w:t>). ר' יהושע בוך נר"ו הציע שמא כינוי זה קשור לכינויי הגנאי המופיעים בתלמוד הירושלמי ובמדרשים: "</w:t>
      </w:r>
      <w:r>
        <w:rPr>
          <w:rFonts w:ascii="Arial" w:hAnsi="Arial"/>
          <w:rtl/>
        </w:rPr>
        <w:t xml:space="preserve">בן פיחה" </w:t>
      </w:r>
      <w:r>
        <w:rPr>
          <w:rFonts w:ascii="Arial" w:hAnsi="Arial" w:hint="cs"/>
          <w:rtl/>
        </w:rPr>
        <w:t>(</w:t>
      </w:r>
      <w:r>
        <w:rPr>
          <w:rFonts w:ascii="Arial" w:hAnsi="Arial"/>
          <w:sz w:val="18"/>
          <w:szCs w:val="20"/>
          <w:rtl/>
        </w:rPr>
        <w:t>מדרש תהלים</w:t>
      </w:r>
      <w:r>
        <w:rPr>
          <w:rFonts w:ascii="Arial" w:hAnsi="Arial" w:hint="cs"/>
          <w:sz w:val="18"/>
          <w:szCs w:val="20"/>
          <w:rtl/>
        </w:rPr>
        <w:t xml:space="preserve">, </w:t>
      </w:r>
      <w:r>
        <w:rPr>
          <w:rFonts w:ascii="Arial" w:hAnsi="Arial"/>
          <w:sz w:val="18"/>
          <w:szCs w:val="20"/>
          <w:rtl/>
        </w:rPr>
        <w:t>בובר</w:t>
      </w:r>
      <w:r>
        <w:rPr>
          <w:rFonts w:ascii="Arial" w:hAnsi="Arial" w:hint="cs"/>
          <w:sz w:val="18"/>
          <w:szCs w:val="20"/>
          <w:rtl/>
        </w:rPr>
        <w:t>,</w:t>
      </w:r>
      <w:r>
        <w:rPr>
          <w:rFonts w:ascii="Arial" w:hAnsi="Arial"/>
          <w:sz w:val="18"/>
          <w:szCs w:val="20"/>
          <w:rtl/>
        </w:rPr>
        <w:t xml:space="preserve"> מזמור ד</w:t>
      </w:r>
      <w:r>
        <w:rPr>
          <w:rFonts w:ascii="Arial" w:hAnsi="Arial" w:hint="cs"/>
          <w:sz w:val="18"/>
          <w:szCs w:val="20"/>
          <w:rtl/>
        </w:rPr>
        <w:t>'</w:t>
      </w:r>
      <w:r>
        <w:rPr>
          <w:rFonts w:ascii="Arial" w:hAnsi="Arial" w:hint="cs"/>
          <w:rtl/>
        </w:rPr>
        <w:t>) ו"</w:t>
      </w:r>
      <w:r>
        <w:rPr>
          <w:rFonts w:ascii="Arial" w:hAnsi="Arial"/>
          <w:rtl/>
        </w:rPr>
        <w:t>בר פחין"</w:t>
      </w:r>
      <w:r>
        <w:rPr>
          <w:rFonts w:ascii="Arial" w:hAnsi="Arial" w:hint="cs"/>
          <w:rtl/>
        </w:rPr>
        <w:t xml:space="preserve"> (</w:t>
      </w:r>
      <w:r>
        <w:rPr>
          <w:rFonts w:ascii="Arial" w:hAnsi="Arial"/>
          <w:sz w:val="18"/>
          <w:szCs w:val="20"/>
          <w:rtl/>
          <w:lang w:eastAsia="he-IL"/>
        </w:rPr>
        <w:t>ירושלמי ברכות פ</w:t>
      </w:r>
      <w:r>
        <w:rPr>
          <w:rFonts w:ascii="Arial" w:hAnsi="Arial" w:hint="cs"/>
          <w:sz w:val="18"/>
          <w:szCs w:val="20"/>
          <w:rtl/>
          <w:lang w:eastAsia="he-IL"/>
        </w:rPr>
        <w:t>"</w:t>
      </w:r>
      <w:r>
        <w:rPr>
          <w:rFonts w:ascii="Arial" w:hAnsi="Arial"/>
          <w:sz w:val="18"/>
          <w:szCs w:val="20"/>
          <w:rtl/>
          <w:lang w:eastAsia="he-IL"/>
        </w:rPr>
        <w:t>ב</w:t>
      </w:r>
      <w:r>
        <w:rPr>
          <w:rFonts w:ascii="Arial" w:hAnsi="Arial" w:hint="cs"/>
          <w:sz w:val="18"/>
          <w:szCs w:val="20"/>
          <w:rtl/>
          <w:lang w:eastAsia="he-IL"/>
        </w:rPr>
        <w:t xml:space="preserve"> </w:t>
      </w:r>
      <w:r>
        <w:rPr>
          <w:rFonts w:ascii="Arial" w:hAnsi="Arial"/>
          <w:sz w:val="18"/>
          <w:szCs w:val="20"/>
          <w:rtl/>
          <w:lang w:eastAsia="he-IL"/>
        </w:rPr>
        <w:t>ה"ח</w:t>
      </w:r>
      <w:r>
        <w:rPr>
          <w:rFonts w:ascii="Arial" w:hAnsi="Arial" w:hint="cs"/>
          <w:sz w:val="18"/>
          <w:szCs w:val="20"/>
          <w:rtl/>
          <w:lang w:eastAsia="he-IL"/>
        </w:rPr>
        <w:t xml:space="preserve">; עי"ש </w:t>
      </w:r>
      <w:r>
        <w:rPr>
          <w:rFonts w:ascii="Arial" w:hAnsi="Arial"/>
          <w:sz w:val="18"/>
          <w:szCs w:val="20"/>
          <w:rtl/>
        </w:rPr>
        <w:t>בעלי תמר</w:t>
      </w:r>
      <w:r>
        <w:rPr>
          <w:rFonts w:ascii="Arial" w:hAnsi="Arial" w:hint="cs"/>
          <w:sz w:val="18"/>
          <w:szCs w:val="20"/>
          <w:rtl/>
        </w:rPr>
        <w:t xml:space="preserve">, </w:t>
      </w:r>
      <w:r>
        <w:rPr>
          <w:rFonts w:ascii="Arial" w:hAnsi="Arial"/>
          <w:sz w:val="18"/>
          <w:szCs w:val="20"/>
          <w:rtl/>
        </w:rPr>
        <w:t>עמ' פ</w:t>
      </w:r>
      <w:r>
        <w:rPr>
          <w:rFonts w:ascii="Arial" w:hAnsi="Arial" w:hint="cs"/>
          <w:sz w:val="18"/>
          <w:szCs w:val="20"/>
          <w:rtl/>
        </w:rPr>
        <w:t>"</w:t>
      </w:r>
      <w:r>
        <w:rPr>
          <w:rFonts w:ascii="Arial" w:hAnsi="Arial"/>
          <w:sz w:val="18"/>
          <w:szCs w:val="20"/>
          <w:rtl/>
        </w:rPr>
        <w:t>ח</w:t>
      </w:r>
      <w:r>
        <w:rPr>
          <w:rFonts w:ascii="Arial" w:hAnsi="Arial" w:hint="cs"/>
          <w:sz w:val="18"/>
          <w:szCs w:val="20"/>
          <w:rtl/>
        </w:rPr>
        <w:t xml:space="preserve"> ובערוך השלם, ע' בר פחין, שם דחה קוהוט ד' המפרשים זאת כביטוי בר פחתי שבבבלי, כלומר: בן גדולים</w:t>
      </w:r>
      <w:r>
        <w:rPr>
          <w:rFonts w:ascii="Arial" w:hAnsi="Arial" w:hint="cs"/>
          <w:rtl/>
        </w:rPr>
        <w:t>).</w:t>
      </w:r>
    </w:p>
  </w:footnote>
  <w:footnote w:id="68">
    <w:p w14:paraId="6859E01A" w14:textId="77777777" w:rsidR="00940290" w:rsidRDefault="00940290" w:rsidP="00940290">
      <w:pPr>
        <w:pStyle w:val="a5"/>
        <w:rPr>
          <w:rFonts w:hint="cs"/>
          <w:rtl/>
        </w:rPr>
      </w:pPr>
      <w:r>
        <w:rPr>
          <w:rStyle w:val="a4"/>
          <w:rtl/>
        </w:rPr>
        <w:footnoteRef/>
      </w:r>
      <w:r>
        <w:rPr>
          <w:rFonts w:hint="cs"/>
          <w:rtl/>
        </w:rPr>
        <w:t xml:space="preserve"> כך מנוקד - לפעמים - </w:t>
      </w:r>
      <w:r>
        <w:rPr>
          <w:rtl/>
        </w:rPr>
        <w:t>במהדור</w:t>
      </w:r>
      <w:r>
        <w:rPr>
          <w:rFonts w:hint="cs"/>
          <w:rtl/>
        </w:rPr>
        <w:t>ו</w:t>
      </w:r>
      <w:r>
        <w:rPr>
          <w:rtl/>
        </w:rPr>
        <w:t xml:space="preserve">ת שטיינזלץ </w:t>
      </w:r>
      <w:r>
        <w:rPr>
          <w:rFonts w:hint="cs"/>
          <w:rtl/>
        </w:rPr>
        <w:t>ו</w:t>
      </w:r>
      <w:r>
        <w:rPr>
          <w:rtl/>
        </w:rPr>
        <w:t>ארט</w:t>
      </w:r>
      <w:r>
        <w:rPr>
          <w:rFonts w:hint="cs"/>
          <w:rtl/>
        </w:rPr>
        <w:t>-</w:t>
      </w:r>
      <w:r>
        <w:rPr>
          <w:rtl/>
        </w:rPr>
        <w:t>סקרול</w:t>
      </w:r>
      <w:r>
        <w:rPr>
          <w:rFonts w:hint="cs"/>
          <w:rtl/>
        </w:rPr>
        <w:t>. לפעמים מנוקד "</w:t>
      </w:r>
      <w:r>
        <w:rPr>
          <w:rtl/>
        </w:rPr>
        <w:t>פ</w:t>
      </w:r>
      <w:r>
        <w:rPr>
          <w:rFonts w:hint="cs"/>
          <w:rtl/>
        </w:rPr>
        <w:t>ַּ</w:t>
      </w:r>
      <w:r>
        <w:rPr>
          <w:rtl/>
        </w:rPr>
        <w:t>ח</w:t>
      </w:r>
      <w:r>
        <w:rPr>
          <w:rFonts w:hint="cs"/>
          <w:rtl/>
        </w:rPr>
        <w:t>ְ</w:t>
      </w:r>
      <w:r>
        <w:rPr>
          <w:rtl/>
        </w:rPr>
        <w:t>ת</w:t>
      </w:r>
      <w:r>
        <w:rPr>
          <w:rFonts w:hint="cs"/>
          <w:rtl/>
        </w:rPr>
        <w:t>ֵּ</w:t>
      </w:r>
      <w:r>
        <w:rPr>
          <w:rtl/>
        </w:rPr>
        <w:t>י</w:t>
      </w:r>
      <w:r>
        <w:rPr>
          <w:rFonts w:hint="cs"/>
          <w:rtl/>
        </w:rPr>
        <w:t>", וכן הוא ב</w:t>
      </w:r>
      <w:r>
        <w:rPr>
          <w:rtl/>
        </w:rPr>
        <w:t>"מילון ארמי עברי לתלמוד הבבלי" מאת הרב פרופ' ע"צ מלמד</w:t>
      </w:r>
      <w:r>
        <w:rPr>
          <w:rFonts w:hint="cs"/>
          <w:sz w:val="18"/>
          <w:szCs w:val="20"/>
          <w:rtl/>
        </w:rPr>
        <w:t xml:space="preserve">, </w:t>
      </w:r>
      <w:r>
        <w:rPr>
          <w:sz w:val="18"/>
          <w:szCs w:val="20"/>
          <w:rtl/>
        </w:rPr>
        <w:t xml:space="preserve">ירושלים תשנ"ב, עמ' </w:t>
      </w:r>
      <w:r>
        <w:rPr>
          <w:rFonts w:hint="cs"/>
          <w:sz w:val="18"/>
          <w:szCs w:val="20"/>
          <w:rtl/>
        </w:rPr>
        <w:t>89; 344</w:t>
      </w:r>
      <w:r>
        <w:rPr>
          <w:rFonts w:hint="cs"/>
          <w:rtl/>
        </w:rPr>
        <w:t xml:space="preserve">. </w:t>
      </w:r>
      <w:r>
        <w:rPr>
          <w:rFonts w:hint="cs"/>
          <w:sz w:val="26"/>
          <w:rtl/>
        </w:rPr>
        <w:t xml:space="preserve">אמו"ר </w:t>
      </w:r>
      <w:r>
        <w:rPr>
          <w:rFonts w:hint="cs"/>
          <w:rtl/>
        </w:rPr>
        <w:t>במילונו התלמודי (</w:t>
      </w:r>
      <w:hyperlink r:id="rId1" w:history="1">
        <w:r>
          <w:rPr>
            <w:rStyle w:val="Hyperlink"/>
            <w:sz w:val="18"/>
            <w:szCs w:val="20"/>
          </w:rPr>
          <w:t>http://www.daf-yomi.com/c</w:t>
        </w:r>
        <w:r>
          <w:rPr>
            <w:rStyle w:val="Hyperlink"/>
            <w:sz w:val="18"/>
            <w:szCs w:val="20"/>
          </w:rPr>
          <w:t>o</w:t>
        </w:r>
        <w:r>
          <w:rPr>
            <w:rStyle w:val="Hyperlink"/>
            <w:sz w:val="18"/>
            <w:szCs w:val="20"/>
          </w:rPr>
          <w:t>ntent.aspx?PageId=26</w:t>
        </w:r>
      </w:hyperlink>
      <w:r>
        <w:rPr>
          <w:rFonts w:hint="cs"/>
          <w:rtl/>
        </w:rPr>
        <w:t>)</w:t>
      </w:r>
      <w:r>
        <w:rPr>
          <w:rFonts w:hint="cs"/>
          <w:sz w:val="26"/>
          <w:rtl/>
        </w:rPr>
        <w:t xml:space="preserve">: </w:t>
      </w:r>
      <w:r>
        <w:rPr>
          <w:rFonts w:hint="cs"/>
          <w:rtl/>
        </w:rPr>
        <w:t>"</w:t>
      </w:r>
      <w:r>
        <w:rPr>
          <w:rtl/>
        </w:rPr>
        <w:t>פ</w:t>
      </w:r>
      <w:r>
        <w:rPr>
          <w:rFonts w:hint="cs"/>
          <w:rtl/>
        </w:rPr>
        <w:t>ַּ</w:t>
      </w:r>
      <w:r>
        <w:rPr>
          <w:rtl/>
        </w:rPr>
        <w:t>ח</w:t>
      </w:r>
      <w:r>
        <w:rPr>
          <w:rFonts w:hint="cs"/>
          <w:rtl/>
        </w:rPr>
        <w:t>ְ</w:t>
      </w:r>
      <w:r>
        <w:rPr>
          <w:rtl/>
        </w:rPr>
        <w:t>ת</w:t>
      </w:r>
      <w:r>
        <w:rPr>
          <w:rFonts w:hint="cs"/>
          <w:rtl/>
        </w:rPr>
        <w:t>ֵ</w:t>
      </w:r>
      <w:r>
        <w:rPr>
          <w:rtl/>
        </w:rPr>
        <w:t>י</w:t>
      </w:r>
      <w:r>
        <w:rPr>
          <w:rFonts w:hint="cs"/>
          <w:rtl/>
        </w:rPr>
        <w:t>", ומסורת יהודי תימן: "</w:t>
      </w:r>
      <w:r>
        <w:rPr>
          <w:rtl/>
        </w:rPr>
        <w:t>פ</w:t>
      </w:r>
      <w:r>
        <w:rPr>
          <w:rFonts w:hint="cs"/>
          <w:rtl/>
        </w:rPr>
        <w:t>ַּ</w:t>
      </w:r>
      <w:r>
        <w:rPr>
          <w:rtl/>
        </w:rPr>
        <w:t>ח</w:t>
      </w:r>
      <w:r>
        <w:rPr>
          <w:rFonts w:hint="cs"/>
          <w:rtl/>
        </w:rPr>
        <w:t>ָ</w:t>
      </w:r>
      <w:r>
        <w:rPr>
          <w:rtl/>
        </w:rPr>
        <w:t>ת</w:t>
      </w:r>
      <w:r>
        <w:rPr>
          <w:rFonts w:hint="cs"/>
          <w:rtl/>
        </w:rPr>
        <w:t>ֵ</w:t>
      </w:r>
      <w:r>
        <w:rPr>
          <w:rtl/>
        </w:rPr>
        <w:t>י</w:t>
      </w:r>
      <w:r>
        <w:rPr>
          <w:rFonts w:hint="cs"/>
          <w:rtl/>
        </w:rPr>
        <w:t>" (</w:t>
      </w:r>
      <w:r>
        <w:rPr>
          <w:rFonts w:hint="cs"/>
          <w:sz w:val="18"/>
          <w:szCs w:val="20"/>
          <w:rtl/>
        </w:rPr>
        <w:t xml:space="preserve">ע"פ פרופ' </w:t>
      </w:r>
      <w:r>
        <w:rPr>
          <w:sz w:val="18"/>
          <w:szCs w:val="20"/>
          <w:rtl/>
        </w:rPr>
        <w:t xml:space="preserve">שלמה מורג </w:t>
      </w:r>
      <w:r>
        <w:rPr>
          <w:rFonts w:hint="cs"/>
          <w:sz w:val="18"/>
          <w:szCs w:val="20"/>
          <w:rtl/>
        </w:rPr>
        <w:t>ו</w:t>
      </w:r>
      <w:r>
        <w:rPr>
          <w:sz w:val="18"/>
          <w:szCs w:val="20"/>
          <w:rtl/>
        </w:rPr>
        <w:t>ד"ר יחיאל קארה</w:t>
      </w:r>
      <w:r>
        <w:rPr>
          <w:rFonts w:hint="cs"/>
          <w:sz w:val="18"/>
          <w:szCs w:val="20"/>
          <w:rtl/>
        </w:rPr>
        <w:t xml:space="preserve">, </w:t>
      </w:r>
      <w:r>
        <w:rPr>
          <w:sz w:val="18"/>
          <w:szCs w:val="20"/>
          <w:rtl/>
        </w:rPr>
        <w:t>ארמית בבלית במסורת תימן</w:t>
      </w:r>
      <w:r>
        <w:rPr>
          <w:szCs w:val="20"/>
          <w:rtl/>
        </w:rPr>
        <w:t xml:space="preserve">, תשס"ב, עמ' </w:t>
      </w:r>
      <w:r>
        <w:rPr>
          <w:rFonts w:hint="cs"/>
          <w:szCs w:val="20"/>
          <w:rtl/>
        </w:rPr>
        <w:t>230</w:t>
      </w:r>
      <w:r>
        <w:rPr>
          <w:rFonts w:hint="cs"/>
          <w:rtl/>
        </w:rPr>
        <w:t>). וראה להלן הערה 24.</w:t>
      </w:r>
    </w:p>
  </w:footnote>
  <w:footnote w:id="69">
    <w:p w14:paraId="5AF7419A"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 xml:space="preserve">כאן ולהלן </w:t>
      </w:r>
      <w:r>
        <w:rPr>
          <w:rFonts w:ascii="Arial" w:hAnsi="Arial"/>
          <w:rtl/>
        </w:rPr>
        <w:t>כט</w:t>
      </w:r>
      <w:r>
        <w:rPr>
          <w:rFonts w:ascii="Arial" w:hAnsi="Arial" w:hint="cs"/>
          <w:rtl/>
        </w:rPr>
        <w:t xml:space="preserve">, </w:t>
      </w:r>
      <w:r>
        <w:rPr>
          <w:rFonts w:ascii="Arial" w:hAnsi="Arial"/>
          <w:rtl/>
        </w:rPr>
        <w:t>א</w:t>
      </w:r>
      <w:r>
        <w:rPr>
          <w:rFonts w:ascii="Arial" w:hAnsi="Arial" w:hint="cs"/>
          <w:rtl/>
        </w:rPr>
        <w:t xml:space="preserve">; </w:t>
      </w:r>
      <w:r>
        <w:rPr>
          <w:rFonts w:ascii="Arial" w:hAnsi="Arial"/>
          <w:rtl/>
        </w:rPr>
        <w:t>ברכות יג</w:t>
      </w:r>
      <w:r>
        <w:rPr>
          <w:rFonts w:ascii="Arial" w:hAnsi="Arial" w:hint="cs"/>
          <w:rtl/>
        </w:rPr>
        <w:t xml:space="preserve">, </w:t>
      </w:r>
      <w:r>
        <w:rPr>
          <w:rFonts w:ascii="Arial" w:hAnsi="Arial"/>
          <w:rtl/>
        </w:rPr>
        <w:t>ב</w:t>
      </w:r>
      <w:r>
        <w:rPr>
          <w:rFonts w:ascii="Arial" w:hAnsi="Arial" w:hint="cs"/>
          <w:rtl/>
        </w:rPr>
        <w:t>;</w:t>
      </w:r>
      <w:r>
        <w:rPr>
          <w:rFonts w:ascii="Arial" w:hAnsi="Arial"/>
          <w:rtl/>
        </w:rPr>
        <w:t xml:space="preserve"> </w:t>
      </w:r>
      <w:r>
        <w:rPr>
          <w:rFonts w:ascii="Arial" w:hAnsi="Arial" w:hint="cs"/>
          <w:rtl/>
        </w:rPr>
        <w:t xml:space="preserve">שם </w:t>
      </w:r>
      <w:r>
        <w:rPr>
          <w:rFonts w:ascii="Arial" w:hAnsi="Arial"/>
          <w:rtl/>
        </w:rPr>
        <w:t>מג</w:t>
      </w:r>
      <w:r>
        <w:rPr>
          <w:rFonts w:ascii="Arial" w:hAnsi="Arial" w:hint="cs"/>
          <w:rtl/>
        </w:rPr>
        <w:t xml:space="preserve">, </w:t>
      </w:r>
      <w:r>
        <w:rPr>
          <w:rFonts w:ascii="Arial" w:hAnsi="Arial"/>
          <w:rtl/>
        </w:rPr>
        <w:t>א</w:t>
      </w:r>
      <w:r>
        <w:rPr>
          <w:rFonts w:ascii="Arial" w:hAnsi="Arial" w:hint="cs"/>
          <w:rtl/>
        </w:rPr>
        <w:t xml:space="preserve"> (= שם </w:t>
      </w:r>
      <w:r>
        <w:rPr>
          <w:rFonts w:ascii="Arial" w:hAnsi="Arial"/>
          <w:rtl/>
        </w:rPr>
        <w:t>מו</w:t>
      </w:r>
      <w:r>
        <w:rPr>
          <w:rFonts w:ascii="Arial" w:hAnsi="Arial" w:hint="cs"/>
          <w:rtl/>
        </w:rPr>
        <w:t>,</w:t>
      </w:r>
      <w:r>
        <w:rPr>
          <w:rFonts w:ascii="Arial" w:hAnsi="Arial"/>
          <w:rtl/>
        </w:rPr>
        <w:t xml:space="preserve"> ב</w:t>
      </w:r>
      <w:r>
        <w:rPr>
          <w:rFonts w:ascii="Arial" w:hAnsi="Arial" w:hint="cs"/>
          <w:rtl/>
        </w:rPr>
        <w:t>);</w:t>
      </w:r>
      <w:r>
        <w:rPr>
          <w:rFonts w:ascii="Arial" w:hAnsi="Arial"/>
          <w:rtl/>
        </w:rPr>
        <w:t xml:space="preserve"> נזיר נט</w:t>
      </w:r>
      <w:r>
        <w:rPr>
          <w:rFonts w:ascii="Arial" w:hAnsi="Arial" w:hint="cs"/>
          <w:rtl/>
        </w:rPr>
        <w:t xml:space="preserve">, </w:t>
      </w:r>
      <w:r>
        <w:rPr>
          <w:rFonts w:ascii="Arial" w:hAnsi="Arial"/>
          <w:rtl/>
        </w:rPr>
        <w:t>א</w:t>
      </w:r>
      <w:r>
        <w:rPr>
          <w:rFonts w:ascii="Arial" w:hAnsi="Arial" w:hint="cs"/>
          <w:rtl/>
        </w:rPr>
        <w:t>.</w:t>
      </w:r>
    </w:p>
  </w:footnote>
  <w:footnote w:id="70">
    <w:p w14:paraId="5A9C89F5" w14:textId="77777777" w:rsidR="00940290" w:rsidRDefault="00940290" w:rsidP="00940290">
      <w:pPr>
        <w:pStyle w:val="a5"/>
        <w:rPr>
          <w:rFonts w:ascii="Arial" w:hAnsi="Arial" w:hint="cs"/>
          <w:sz w:val="18"/>
          <w:szCs w:val="20"/>
          <w:rtl/>
        </w:rPr>
      </w:pPr>
      <w:r>
        <w:rPr>
          <w:rStyle w:val="a4"/>
        </w:rPr>
        <w:footnoteRef/>
      </w:r>
      <w:r>
        <w:rPr>
          <w:rFonts w:hint="cs"/>
          <w:rtl/>
        </w:rPr>
        <w:t xml:space="preserve"> </w:t>
      </w:r>
      <w:r>
        <w:rPr>
          <w:rFonts w:ascii="Arial" w:hAnsi="Arial" w:hint="cs"/>
          <w:rtl/>
        </w:rPr>
        <w:t xml:space="preserve">ראה </w:t>
      </w:r>
      <w:r>
        <w:rPr>
          <w:rFonts w:ascii="Arial" w:hAnsi="Arial"/>
          <w:rtl/>
        </w:rPr>
        <w:t xml:space="preserve">רש"י </w:t>
      </w:r>
      <w:r>
        <w:rPr>
          <w:rFonts w:ascii="Arial" w:hAnsi="Arial" w:hint="cs"/>
          <w:rtl/>
        </w:rPr>
        <w:t>ל</w:t>
      </w:r>
      <w:r>
        <w:rPr>
          <w:rFonts w:ascii="Arial" w:hAnsi="Arial"/>
          <w:rtl/>
        </w:rPr>
        <w:t xml:space="preserve">פסחים </w:t>
      </w:r>
      <w:r>
        <w:rPr>
          <w:rFonts w:ascii="Arial" w:hAnsi="Arial"/>
          <w:sz w:val="18"/>
          <w:szCs w:val="20"/>
          <w:rtl/>
        </w:rPr>
        <w:t>ד</w:t>
      </w:r>
      <w:r>
        <w:rPr>
          <w:rFonts w:ascii="Arial" w:hAnsi="Arial" w:hint="cs"/>
          <w:sz w:val="18"/>
          <w:szCs w:val="20"/>
          <w:rtl/>
        </w:rPr>
        <w:t xml:space="preserve">, </w:t>
      </w:r>
      <w:r>
        <w:rPr>
          <w:rFonts w:ascii="Arial" w:hAnsi="Arial"/>
          <w:sz w:val="18"/>
          <w:szCs w:val="20"/>
          <w:rtl/>
        </w:rPr>
        <w:t>א ד"ה רב בר אחוה ובר אחתיה</w:t>
      </w:r>
      <w:r>
        <w:rPr>
          <w:rFonts w:ascii="Arial" w:hAnsi="Arial" w:hint="cs"/>
          <w:rtl/>
        </w:rPr>
        <w:t xml:space="preserve">. שמא כינוי זה קשור לקשר משפחתי זה, ובכינוי זה מכבד ר' חייא בעקיפין את אחותו ואת אחיו, אייבו. ואולי יש כאן לשון נופל על לשון: </w:t>
      </w:r>
      <w:r>
        <w:rPr>
          <w:rFonts w:ascii="Arial" w:hAnsi="Arial"/>
          <w:rtl/>
        </w:rPr>
        <w:t>בר פחתי</w:t>
      </w:r>
      <w:r>
        <w:rPr>
          <w:rFonts w:ascii="Arial" w:hAnsi="Arial" w:hint="cs"/>
          <w:rtl/>
        </w:rPr>
        <w:t xml:space="preserve"> -</w:t>
      </w:r>
      <w:r>
        <w:rPr>
          <w:rFonts w:ascii="Arial" w:hAnsi="Arial"/>
          <w:rtl/>
        </w:rPr>
        <w:t xml:space="preserve"> בר </w:t>
      </w:r>
      <w:r>
        <w:rPr>
          <w:rFonts w:ascii="Arial" w:hAnsi="Arial" w:hint="cs"/>
          <w:rtl/>
        </w:rPr>
        <w:t>א</w:t>
      </w:r>
      <w:r>
        <w:rPr>
          <w:rFonts w:ascii="Arial" w:hAnsi="Arial"/>
          <w:rtl/>
        </w:rPr>
        <w:t>חתי</w:t>
      </w:r>
      <w:r>
        <w:rPr>
          <w:rFonts w:ascii="Arial" w:hAnsi="Arial" w:hint="cs"/>
          <w:rtl/>
        </w:rPr>
        <w:t xml:space="preserve">. וברוך שכיוונתי לדעת רבי יוסף חיים מבגדד! עיין בספרו בן </w:t>
      </w:r>
      <w:r>
        <w:rPr>
          <w:rFonts w:ascii="Arial" w:hAnsi="Arial"/>
          <w:rtl/>
        </w:rPr>
        <w:t>יהויד</w:t>
      </w:r>
      <w:r>
        <w:rPr>
          <w:rFonts w:ascii="Arial" w:hAnsi="Arial" w:hint="cs"/>
          <w:rtl/>
        </w:rPr>
        <w:t xml:space="preserve">ע כאן. </w:t>
      </w:r>
      <w:r>
        <w:rPr>
          <w:rFonts w:ascii="Arial" w:hAnsi="Arial" w:hint="cs"/>
          <w:sz w:val="18"/>
          <w:szCs w:val="20"/>
          <w:rtl/>
        </w:rPr>
        <w:t>ועתה מצאתי כי בערוך השלם (ע' בר פחתי) דחה קוהוט את הצעתו של חוקר אחד לתקן בכל מקום "</w:t>
      </w:r>
      <w:r>
        <w:rPr>
          <w:rFonts w:ascii="Arial" w:hAnsi="Arial"/>
          <w:sz w:val="18"/>
          <w:szCs w:val="20"/>
          <w:rtl/>
        </w:rPr>
        <w:t xml:space="preserve">בר </w:t>
      </w:r>
      <w:r>
        <w:rPr>
          <w:rFonts w:ascii="Arial" w:hAnsi="Arial" w:hint="cs"/>
          <w:b/>
          <w:bCs/>
          <w:sz w:val="18"/>
          <w:szCs w:val="20"/>
          <w:rtl/>
        </w:rPr>
        <w:t>א</w:t>
      </w:r>
      <w:r>
        <w:rPr>
          <w:rFonts w:ascii="Arial" w:hAnsi="Arial"/>
          <w:sz w:val="18"/>
          <w:szCs w:val="20"/>
          <w:rtl/>
        </w:rPr>
        <w:t>חתי</w:t>
      </w:r>
      <w:r>
        <w:rPr>
          <w:rFonts w:ascii="Arial" w:hAnsi="Arial" w:hint="cs"/>
          <w:sz w:val="18"/>
          <w:szCs w:val="20"/>
          <w:rtl/>
        </w:rPr>
        <w:t>" במקום "</w:t>
      </w:r>
      <w:r>
        <w:rPr>
          <w:rFonts w:ascii="Arial" w:hAnsi="Arial"/>
          <w:sz w:val="18"/>
          <w:szCs w:val="20"/>
          <w:rtl/>
        </w:rPr>
        <w:t xml:space="preserve">בר </w:t>
      </w:r>
      <w:r>
        <w:rPr>
          <w:rFonts w:ascii="Arial" w:hAnsi="Arial"/>
          <w:b/>
          <w:bCs/>
          <w:sz w:val="18"/>
          <w:szCs w:val="20"/>
          <w:rtl/>
        </w:rPr>
        <w:t>פ</w:t>
      </w:r>
      <w:r>
        <w:rPr>
          <w:rFonts w:ascii="Arial" w:hAnsi="Arial"/>
          <w:sz w:val="18"/>
          <w:szCs w:val="20"/>
          <w:rtl/>
        </w:rPr>
        <w:t>חתי</w:t>
      </w:r>
      <w:r>
        <w:rPr>
          <w:rFonts w:ascii="Arial" w:hAnsi="Arial" w:hint="cs"/>
          <w:sz w:val="18"/>
          <w:szCs w:val="20"/>
          <w:rtl/>
        </w:rPr>
        <w:t>", ונימוקו של קוהוט עִמו: "קשה הדבר להולמו ולשבש כל הגירסאות".</w:t>
      </w:r>
    </w:p>
  </w:footnote>
  <w:footnote w:id="71">
    <w:p w14:paraId="4265741D"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אוצר הגאונים</w:t>
      </w:r>
      <w:r>
        <w:rPr>
          <w:rFonts w:ascii="Arial" w:hAnsi="Arial" w:hint="cs"/>
          <w:sz w:val="18"/>
          <w:szCs w:val="20"/>
          <w:rtl/>
        </w:rPr>
        <w:t xml:space="preserve">, שבת, הפירושים, עמ' 1; </w:t>
      </w:r>
      <w:r>
        <w:rPr>
          <w:rFonts w:ascii="Arial" w:hAnsi="Arial"/>
          <w:rtl/>
        </w:rPr>
        <w:t>תשובות רב נטרונאי גאון</w:t>
      </w:r>
      <w:r>
        <w:rPr>
          <w:rFonts w:ascii="Arial" w:hAnsi="Arial" w:hint="cs"/>
          <w:sz w:val="18"/>
          <w:szCs w:val="20"/>
          <w:rtl/>
        </w:rPr>
        <w:t xml:space="preserve">, </w:t>
      </w:r>
      <w:r>
        <w:rPr>
          <w:rFonts w:ascii="Arial" w:hAnsi="Arial"/>
          <w:sz w:val="18"/>
          <w:szCs w:val="20"/>
          <w:rtl/>
        </w:rPr>
        <w:t>תשובות פרשניות</w:t>
      </w:r>
      <w:r>
        <w:rPr>
          <w:rFonts w:ascii="Arial" w:hAnsi="Arial" w:hint="cs"/>
          <w:sz w:val="18"/>
          <w:szCs w:val="20"/>
          <w:rtl/>
        </w:rPr>
        <w:t xml:space="preserve">, </w:t>
      </w:r>
      <w:r>
        <w:rPr>
          <w:rFonts w:ascii="Arial" w:hAnsi="Arial"/>
          <w:sz w:val="18"/>
          <w:szCs w:val="20"/>
          <w:rtl/>
        </w:rPr>
        <w:t>שע</w:t>
      </w:r>
      <w:r>
        <w:rPr>
          <w:rFonts w:ascii="Arial" w:hAnsi="Arial" w:hint="cs"/>
          <w:sz w:val="18"/>
          <w:szCs w:val="20"/>
          <w:rtl/>
        </w:rPr>
        <w:t>"</w:t>
      </w:r>
      <w:r>
        <w:rPr>
          <w:rFonts w:ascii="Arial" w:hAnsi="Arial"/>
          <w:sz w:val="18"/>
          <w:szCs w:val="20"/>
          <w:rtl/>
        </w:rPr>
        <w:t>ט</w:t>
      </w:r>
      <w:r>
        <w:rPr>
          <w:rFonts w:ascii="Arial" w:hAnsi="Arial" w:hint="cs"/>
          <w:sz w:val="18"/>
          <w:szCs w:val="20"/>
          <w:rtl/>
        </w:rPr>
        <w:t xml:space="preserve">; </w:t>
      </w:r>
      <w:r>
        <w:rPr>
          <w:rFonts w:ascii="Arial" w:hAnsi="Arial" w:hint="cs"/>
          <w:sz w:val="26"/>
          <w:rtl/>
        </w:rPr>
        <w:t xml:space="preserve">וכן מובא בערוך, </w:t>
      </w:r>
      <w:r>
        <w:rPr>
          <w:rFonts w:ascii="Arial" w:hAnsi="Arial" w:hint="cs"/>
          <w:sz w:val="18"/>
          <w:szCs w:val="20"/>
          <w:rtl/>
        </w:rPr>
        <w:t>ע' בר פחתי.</w:t>
      </w:r>
    </w:p>
  </w:footnote>
  <w:footnote w:id="72">
    <w:p w14:paraId="49245CE5" w14:textId="77777777" w:rsidR="00940290" w:rsidRDefault="00940290" w:rsidP="00940290">
      <w:pPr>
        <w:pStyle w:val="a5"/>
        <w:rPr>
          <w:rFonts w:hint="cs"/>
          <w:rtl/>
        </w:rPr>
      </w:pPr>
      <w:r>
        <w:rPr>
          <w:rStyle w:val="a4"/>
        </w:rPr>
        <w:footnoteRef/>
      </w:r>
      <w:r>
        <w:rPr>
          <w:rFonts w:hint="cs"/>
          <w:rtl/>
        </w:rPr>
        <w:t xml:space="preserve"> מפירוש זה משמע ש"</w:t>
      </w:r>
      <w:r>
        <w:rPr>
          <w:rtl/>
        </w:rPr>
        <w:t>פחת</w:t>
      </w:r>
      <w:r>
        <w:rPr>
          <w:rFonts w:hint="cs"/>
          <w:rtl/>
        </w:rPr>
        <w:t>ֵ</w:t>
      </w:r>
      <w:r>
        <w:rPr>
          <w:rtl/>
        </w:rPr>
        <w:t>י</w:t>
      </w:r>
      <w:r>
        <w:rPr>
          <w:rFonts w:hint="cs"/>
          <w:rtl/>
        </w:rPr>
        <w:t>" הוא צורת רבים (וכן מפירוש רש"י שלהלן). בארמית הבבלית עשויה להתפרש צורה זו כצורת רבים נפרדת, נסמכת או מיודעת. לעומת זאת, בארמית המקראית "</w:t>
      </w:r>
      <w:r>
        <w:rPr>
          <w:rtl/>
        </w:rPr>
        <w:t>פחת</w:t>
      </w:r>
      <w:r>
        <w:rPr>
          <w:rFonts w:hint="cs"/>
          <w:rtl/>
        </w:rPr>
        <w:t>ֵ</w:t>
      </w:r>
      <w:r>
        <w:rPr>
          <w:rtl/>
        </w:rPr>
        <w:t>י</w:t>
      </w:r>
      <w:r>
        <w:rPr>
          <w:rFonts w:hint="cs"/>
          <w:rtl/>
        </w:rPr>
        <w:t>" לחוד (צורת רבים נסמכת) ו"</w:t>
      </w:r>
      <w:r>
        <w:rPr>
          <w:rFonts w:ascii="Arial" w:hAnsi="Arial"/>
          <w:rtl/>
        </w:rPr>
        <w:t>פַחֲוָתָא</w:t>
      </w:r>
      <w:r>
        <w:rPr>
          <w:rFonts w:ascii="Arial" w:hAnsi="Arial" w:hint="cs"/>
          <w:rtl/>
        </w:rPr>
        <w:t xml:space="preserve">" לחוד </w:t>
      </w:r>
      <w:r>
        <w:rPr>
          <w:rFonts w:hint="cs"/>
          <w:rtl/>
        </w:rPr>
        <w:t>(צורת רבים מיודעת</w:t>
      </w:r>
      <w:r>
        <w:rPr>
          <w:rFonts w:hint="cs"/>
          <w:sz w:val="18"/>
          <w:szCs w:val="20"/>
          <w:rtl/>
        </w:rPr>
        <w:t xml:space="preserve">; </w:t>
      </w:r>
      <w:r>
        <w:rPr>
          <w:rFonts w:ascii="Arial" w:hAnsi="Arial" w:hint="cs"/>
          <w:sz w:val="18"/>
          <w:szCs w:val="20"/>
          <w:rtl/>
        </w:rPr>
        <w:t>ראה להלן הערה 15; וראה דברי אמו"ר בפרק הששי של "דיקא נמי - דקדוק לתלמוד בבלי ולתרגום אונקלוס"</w:t>
      </w:r>
      <w:r>
        <w:rPr>
          <w:rFonts w:ascii="Arial" w:hAnsi="Arial" w:hint="cs"/>
          <w:sz w:val="26"/>
          <w:rtl/>
        </w:rPr>
        <w:t>).</w:t>
      </w:r>
    </w:p>
  </w:footnote>
  <w:footnote w:id="73">
    <w:p w14:paraId="130C874C" w14:textId="77777777" w:rsidR="00940290" w:rsidRDefault="00940290" w:rsidP="00940290">
      <w:pPr>
        <w:pStyle w:val="a5"/>
        <w:rPr>
          <w:rFonts w:hint="cs"/>
          <w:rtl/>
        </w:rPr>
      </w:pPr>
      <w:r>
        <w:rPr>
          <w:rStyle w:val="a4"/>
        </w:rPr>
        <w:footnoteRef/>
      </w:r>
      <w:r>
        <w:rPr>
          <w:rFonts w:hint="cs"/>
          <w:rtl/>
        </w:rPr>
        <w:t xml:space="preserve"> </w:t>
      </w:r>
      <w:r>
        <w:rPr>
          <w:rFonts w:ascii="Arial" w:hAnsi="Arial"/>
          <w:rtl/>
        </w:rPr>
        <w:t>רבנן</w:t>
      </w:r>
      <w:r>
        <w:rPr>
          <w:rFonts w:ascii="Arial" w:hAnsi="Arial" w:hint="cs"/>
          <w:rtl/>
        </w:rPr>
        <w:t xml:space="preserve"> דפומבדיתא (</w:t>
      </w:r>
      <w:r>
        <w:rPr>
          <w:rFonts w:ascii="Arial" w:hAnsi="Arial" w:hint="cs"/>
          <w:sz w:val="18"/>
          <w:szCs w:val="20"/>
          <w:rtl/>
        </w:rPr>
        <w:t>הערת רב"מ לוין באוצה"ג</w:t>
      </w:r>
      <w:r>
        <w:rPr>
          <w:rFonts w:ascii="Arial" w:hAnsi="Arial" w:hint="cs"/>
          <w:rtl/>
        </w:rPr>
        <w:t>).</w:t>
      </w:r>
    </w:p>
  </w:footnote>
  <w:footnote w:id="74">
    <w:p w14:paraId="62AF3ABC"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 xml:space="preserve">ר"ל: גם לגרסה זו הפירוש הוא </w:t>
      </w:r>
      <w:r>
        <w:rPr>
          <w:rFonts w:ascii="Arial" w:hAnsi="Arial"/>
          <w:rtl/>
        </w:rPr>
        <w:t>בר רברבני</w:t>
      </w:r>
      <w:r>
        <w:rPr>
          <w:rFonts w:ascii="Arial" w:hAnsi="Arial" w:hint="cs"/>
          <w:rtl/>
        </w:rPr>
        <w:t>. יתכן שנו"ן סופית התקצרה לוי"ו, וצ"ל: "הֵן".</w:t>
      </w:r>
    </w:p>
  </w:footnote>
  <w:footnote w:id="75">
    <w:p w14:paraId="776D2D1D"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בספרים שלנו כתוב: "</w:t>
      </w:r>
      <w:r>
        <w:rPr>
          <w:rFonts w:ascii="Arial" w:hAnsi="Arial"/>
          <w:rtl/>
        </w:rPr>
        <w:t>וּמָחַץ פַּ</w:t>
      </w:r>
      <w:r>
        <w:rPr>
          <w:rFonts w:ascii="Arial" w:hAnsi="Arial"/>
          <w:b/>
          <w:bCs/>
          <w:rtl/>
        </w:rPr>
        <w:t>אֲ</w:t>
      </w:r>
      <w:r>
        <w:rPr>
          <w:rFonts w:ascii="Arial" w:hAnsi="Arial"/>
          <w:rtl/>
        </w:rPr>
        <w:t>תֵי מוֹאָב</w:t>
      </w:r>
      <w:r>
        <w:rPr>
          <w:rFonts w:ascii="Arial" w:hAnsi="Arial" w:hint="cs"/>
          <w:rtl/>
        </w:rPr>
        <w:t xml:space="preserve">", ותִרגם </w:t>
      </w:r>
      <w:r>
        <w:rPr>
          <w:rFonts w:ascii="Arial" w:hAnsi="Arial"/>
          <w:rtl/>
        </w:rPr>
        <w:t>אונקלוס</w:t>
      </w:r>
      <w:r>
        <w:rPr>
          <w:rFonts w:ascii="Arial" w:hAnsi="Arial" w:hint="cs"/>
          <w:rtl/>
        </w:rPr>
        <w:t>: "</w:t>
      </w:r>
      <w:r>
        <w:rPr>
          <w:rFonts w:ascii="Arial" w:hAnsi="Arial"/>
          <w:rtl/>
        </w:rPr>
        <w:t xml:space="preserve">ויקטיל </w:t>
      </w:r>
      <w:r>
        <w:rPr>
          <w:rFonts w:ascii="Arial" w:hAnsi="Arial"/>
          <w:b/>
          <w:bCs/>
          <w:rtl/>
        </w:rPr>
        <w:t>רברבי</w:t>
      </w:r>
      <w:r>
        <w:rPr>
          <w:rFonts w:ascii="Arial" w:hAnsi="Arial"/>
          <w:rtl/>
        </w:rPr>
        <w:t xml:space="preserve"> מואב</w:t>
      </w:r>
      <w:r>
        <w:rPr>
          <w:rFonts w:ascii="Arial" w:hAnsi="Arial" w:hint="cs"/>
          <w:rtl/>
        </w:rPr>
        <w:t>".</w:t>
      </w:r>
    </w:p>
  </w:footnote>
  <w:footnote w:id="76">
    <w:p w14:paraId="3268A42D" w14:textId="77777777" w:rsidR="00940290" w:rsidRDefault="00940290" w:rsidP="00940290">
      <w:pPr>
        <w:pStyle w:val="a5"/>
        <w:rPr>
          <w:rFonts w:hint="cs"/>
          <w:rtl/>
        </w:rPr>
      </w:pPr>
      <w:r>
        <w:rPr>
          <w:rStyle w:val="a4"/>
          <w:rtl/>
        </w:rPr>
        <w:footnoteRef/>
      </w:r>
      <w:r>
        <w:t xml:space="preserve"> </w:t>
      </w:r>
      <w:r>
        <w:rPr>
          <w:rFonts w:ascii="Arial" w:hAnsi="Arial" w:hint="cs"/>
          <w:sz w:val="18"/>
          <w:rtl/>
        </w:rPr>
        <w:t>"</w:t>
      </w:r>
      <w:r>
        <w:rPr>
          <w:rFonts w:ascii="Arial" w:hAnsi="Arial"/>
          <w:sz w:val="18"/>
          <w:rtl/>
        </w:rPr>
        <w:t>שהיה קורא לחיתי"ן היהי"ן</w:t>
      </w:r>
      <w:r>
        <w:rPr>
          <w:rFonts w:ascii="Arial" w:hAnsi="Arial" w:hint="cs"/>
          <w:sz w:val="18"/>
          <w:rtl/>
        </w:rPr>
        <w:t>" (</w:t>
      </w:r>
      <w:r>
        <w:rPr>
          <w:rFonts w:ascii="Arial" w:hAnsi="Arial"/>
          <w:sz w:val="18"/>
          <w:rtl/>
        </w:rPr>
        <w:t>רש"י</w:t>
      </w:r>
      <w:r>
        <w:rPr>
          <w:rFonts w:ascii="Arial" w:hAnsi="Arial" w:hint="cs"/>
          <w:sz w:val="18"/>
          <w:szCs w:val="20"/>
          <w:rtl/>
        </w:rPr>
        <w:t xml:space="preserve">, </w:t>
      </w:r>
      <w:r>
        <w:rPr>
          <w:rFonts w:ascii="Arial" w:hAnsi="Arial"/>
          <w:sz w:val="18"/>
          <w:szCs w:val="20"/>
          <w:rtl/>
        </w:rPr>
        <w:t>מגילה כד</w:t>
      </w:r>
      <w:r>
        <w:rPr>
          <w:rFonts w:ascii="Arial" w:hAnsi="Arial" w:hint="cs"/>
          <w:sz w:val="18"/>
          <w:szCs w:val="20"/>
          <w:rtl/>
        </w:rPr>
        <w:t xml:space="preserve">, </w:t>
      </w:r>
      <w:r>
        <w:rPr>
          <w:rFonts w:ascii="Arial" w:hAnsi="Arial"/>
          <w:sz w:val="18"/>
          <w:szCs w:val="20"/>
          <w:rtl/>
        </w:rPr>
        <w:t>ב</w:t>
      </w:r>
      <w:r>
        <w:rPr>
          <w:rFonts w:ascii="Arial" w:hAnsi="Arial" w:hint="cs"/>
          <w:sz w:val="18"/>
          <w:szCs w:val="20"/>
          <w:rtl/>
        </w:rPr>
        <w:t xml:space="preserve"> </w:t>
      </w:r>
      <w:r>
        <w:rPr>
          <w:rFonts w:ascii="Arial" w:hAnsi="Arial"/>
          <w:sz w:val="18"/>
          <w:szCs w:val="20"/>
          <w:rtl/>
        </w:rPr>
        <w:t>ד"ה לא נמצאת מחרף ומגדף</w:t>
      </w:r>
      <w:r>
        <w:rPr>
          <w:rFonts w:ascii="Arial" w:hAnsi="Arial" w:hint="cs"/>
          <w:sz w:val="18"/>
          <w:rtl/>
        </w:rPr>
        <w:t>).</w:t>
      </w:r>
    </w:p>
  </w:footnote>
  <w:footnote w:id="77">
    <w:p w14:paraId="736F28E3"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צ"ע מדוע פרש זאת רש"י במסכת שבת פעמיים, ואילו בברכות לא פרש כלום. ב</w:t>
      </w:r>
      <w:r>
        <w:rPr>
          <w:rFonts w:ascii="Arial" w:hAnsi="Arial"/>
          <w:rtl/>
        </w:rPr>
        <w:t xml:space="preserve">נזיר </w:t>
      </w:r>
      <w:r>
        <w:rPr>
          <w:rFonts w:ascii="Arial" w:hAnsi="Arial" w:hint="cs"/>
          <w:rtl/>
        </w:rPr>
        <w:t>פרש המפרש (המיוחס ל</w:t>
      </w:r>
      <w:r>
        <w:rPr>
          <w:rFonts w:ascii="Arial" w:hAnsi="Arial"/>
          <w:rtl/>
        </w:rPr>
        <w:t>רש"י</w:t>
      </w:r>
      <w:r>
        <w:rPr>
          <w:rFonts w:ascii="Arial" w:hAnsi="Arial" w:hint="cs"/>
          <w:rtl/>
        </w:rPr>
        <w:t>): "</w:t>
      </w:r>
      <w:r>
        <w:rPr>
          <w:rFonts w:ascii="Arial" w:hAnsi="Arial"/>
          <w:rtl/>
        </w:rPr>
        <w:t>בנו של תלמיד חכם</w:t>
      </w:r>
      <w:r>
        <w:rPr>
          <w:rFonts w:ascii="Arial" w:hAnsi="Arial" w:hint="cs"/>
          <w:rtl/>
        </w:rPr>
        <w:t>"</w:t>
      </w:r>
      <w:r>
        <w:rPr>
          <w:rFonts w:ascii="Arial" w:hAnsi="Arial"/>
          <w:rtl/>
        </w:rPr>
        <w:t>.</w:t>
      </w:r>
      <w:r>
        <w:rPr>
          <w:rFonts w:ascii="Arial" w:hAnsi="Arial" w:hint="cs"/>
          <w:rtl/>
        </w:rPr>
        <w:t xml:space="preserve"> </w:t>
      </w:r>
      <w:r>
        <w:rPr>
          <w:rFonts w:ascii="Arial" w:hAnsi="Arial" w:hint="cs"/>
          <w:sz w:val="18"/>
          <w:szCs w:val="20"/>
          <w:rtl/>
        </w:rPr>
        <w:t>קוהוט (שם) סבור שרש"י קִבֵּל פירוש זה מן הערוך, ולכן פרש כן רק במסכת שבת, שבזמן כתיבת פירושה היה הערוך למראה עיניו, "כמוכח מהרבה דוגמאות".</w:t>
      </w:r>
    </w:p>
  </w:footnote>
  <w:footnote w:id="78">
    <w:p w14:paraId="0A8084CE"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כך שנינו שם בתיאור קבלת הפנים למביאי הביכורים בכניסתם לירושלים: "</w:t>
      </w:r>
      <w:r>
        <w:rPr>
          <w:rFonts w:ascii="Arial" w:hAnsi="Arial"/>
          <w:rtl/>
        </w:rPr>
        <w:t>הפחות הסגנים והגזברים יוצאים לקראתם</w:t>
      </w:r>
      <w:r>
        <w:rPr>
          <w:rFonts w:ascii="Arial" w:hAnsi="Arial" w:hint="cs"/>
          <w:rtl/>
        </w:rPr>
        <w:t>". כפי שמעיר שם רעק"א בתוספותיו, הצירוף "</w:t>
      </w:r>
      <w:r>
        <w:rPr>
          <w:rFonts w:ascii="Arial" w:hAnsi="Arial"/>
          <w:rtl/>
        </w:rPr>
        <w:t xml:space="preserve">הפחות </w:t>
      </w:r>
      <w:r>
        <w:rPr>
          <w:rFonts w:ascii="Arial" w:hAnsi="Arial" w:hint="cs"/>
          <w:rtl/>
        </w:rPr>
        <w:t>ו</w:t>
      </w:r>
      <w:r>
        <w:rPr>
          <w:rFonts w:ascii="Arial" w:hAnsi="Arial"/>
          <w:rtl/>
        </w:rPr>
        <w:t>הסגנים</w:t>
      </w:r>
      <w:r>
        <w:rPr>
          <w:rFonts w:ascii="Arial" w:hAnsi="Arial" w:hint="cs"/>
          <w:rtl/>
        </w:rPr>
        <w:t>" הוא שיבוץ לשון הכתוב ב</w:t>
      </w:r>
      <w:r>
        <w:rPr>
          <w:rFonts w:ascii="Arial" w:hAnsi="Arial"/>
          <w:rtl/>
        </w:rPr>
        <w:t>ירמיה</w:t>
      </w:r>
      <w:r>
        <w:rPr>
          <w:rFonts w:ascii="Arial" w:hAnsi="Arial" w:hint="cs"/>
          <w:rtl/>
        </w:rPr>
        <w:t xml:space="preserve"> (</w:t>
      </w:r>
      <w:r>
        <w:rPr>
          <w:rFonts w:ascii="Arial" w:hAnsi="Arial"/>
          <w:sz w:val="18"/>
          <w:szCs w:val="20"/>
          <w:rtl/>
        </w:rPr>
        <w:t>נא</w:t>
      </w:r>
      <w:r>
        <w:rPr>
          <w:rFonts w:ascii="Arial" w:hAnsi="Arial" w:hint="cs"/>
          <w:sz w:val="18"/>
          <w:szCs w:val="20"/>
          <w:rtl/>
        </w:rPr>
        <w:t xml:space="preserve">, </w:t>
      </w:r>
      <w:r>
        <w:rPr>
          <w:rFonts w:ascii="Arial" w:hAnsi="Arial"/>
          <w:sz w:val="18"/>
          <w:szCs w:val="20"/>
          <w:rtl/>
        </w:rPr>
        <w:t>כג</w:t>
      </w:r>
      <w:r>
        <w:rPr>
          <w:rFonts w:ascii="Arial" w:hAnsi="Arial" w:hint="cs"/>
          <w:sz w:val="18"/>
          <w:szCs w:val="20"/>
          <w:rtl/>
        </w:rPr>
        <w:t>; ועוד</w:t>
      </w:r>
      <w:r>
        <w:rPr>
          <w:rFonts w:ascii="Arial" w:hAnsi="Arial" w:hint="cs"/>
          <w:rtl/>
        </w:rPr>
        <w:t>). לכאורה, מנויות במשנה שלוש קבוצות:</w:t>
      </w:r>
      <w:r>
        <w:rPr>
          <w:rFonts w:ascii="Arial" w:hAnsi="Arial"/>
          <w:rtl/>
        </w:rPr>
        <w:t xml:space="preserve"> פחות</w:t>
      </w:r>
      <w:r>
        <w:rPr>
          <w:rFonts w:ascii="Arial" w:hAnsi="Arial" w:hint="cs"/>
          <w:rtl/>
        </w:rPr>
        <w:t xml:space="preserve">, </w:t>
      </w:r>
      <w:r>
        <w:rPr>
          <w:rFonts w:ascii="Arial" w:hAnsi="Arial"/>
          <w:rtl/>
        </w:rPr>
        <w:t xml:space="preserve">סגנים </w:t>
      </w:r>
      <w:r>
        <w:rPr>
          <w:rFonts w:ascii="Arial" w:hAnsi="Arial" w:hint="cs"/>
          <w:rtl/>
        </w:rPr>
        <w:t>ו</w:t>
      </w:r>
      <w:r>
        <w:rPr>
          <w:rFonts w:ascii="Arial" w:hAnsi="Arial"/>
          <w:rtl/>
        </w:rPr>
        <w:t>גזברים</w:t>
      </w:r>
      <w:r>
        <w:rPr>
          <w:rFonts w:ascii="Arial" w:hAnsi="Arial" w:hint="cs"/>
          <w:rtl/>
        </w:rPr>
        <w:t>. אך מכיון שבפיהמ"ש ל</w:t>
      </w:r>
      <w:r>
        <w:rPr>
          <w:rFonts w:ascii="Arial" w:hAnsi="Arial"/>
          <w:rtl/>
        </w:rPr>
        <w:t xml:space="preserve">רמב"ם </w:t>
      </w:r>
      <w:r>
        <w:rPr>
          <w:rFonts w:ascii="Arial" w:hAnsi="Arial" w:hint="cs"/>
          <w:rtl/>
        </w:rPr>
        <w:t>הנדפס מבואר ש"</w:t>
      </w:r>
      <w:r>
        <w:rPr>
          <w:rFonts w:ascii="Arial" w:hAnsi="Arial"/>
          <w:rtl/>
        </w:rPr>
        <w:t>פחות</w:t>
      </w:r>
      <w:r>
        <w:rPr>
          <w:rFonts w:ascii="Arial" w:hAnsi="Arial" w:hint="cs"/>
          <w:rtl/>
        </w:rPr>
        <w:t xml:space="preserve">" הם </w:t>
      </w:r>
      <w:r>
        <w:rPr>
          <w:rFonts w:ascii="Arial" w:hAnsi="Arial"/>
          <w:rtl/>
        </w:rPr>
        <w:t>סגני</w:t>
      </w:r>
      <w:r>
        <w:rPr>
          <w:rFonts w:ascii="Arial" w:hAnsi="Arial" w:hint="cs"/>
          <w:rtl/>
        </w:rPr>
        <w:t xml:space="preserve"> הכהנים, ואילו ל"סגנים" לא מופיע פירוש (וכן העתיק ר"ע מברטנורא), סבר בעל תוספות יו"ט שהרמב"ם פרש את הצירוף "</w:t>
      </w:r>
      <w:r>
        <w:rPr>
          <w:rFonts w:ascii="Arial" w:hAnsi="Arial"/>
          <w:rtl/>
        </w:rPr>
        <w:t xml:space="preserve">הפחות </w:t>
      </w:r>
      <w:r>
        <w:rPr>
          <w:rFonts w:ascii="Arial" w:hAnsi="Arial"/>
          <w:b/>
          <w:bCs/>
          <w:rtl/>
        </w:rPr>
        <w:t>ה</w:t>
      </w:r>
      <w:r>
        <w:rPr>
          <w:rFonts w:ascii="Arial" w:hAnsi="Arial"/>
          <w:rtl/>
        </w:rPr>
        <w:t>סגנים</w:t>
      </w:r>
      <w:r>
        <w:rPr>
          <w:rFonts w:ascii="Arial" w:hAnsi="Arial" w:hint="cs"/>
          <w:rtl/>
        </w:rPr>
        <w:t>" כמכוון לקבוצה אחת. פירוש זה מתאפשר (אך לא הכרחי) לפי הנוסח "</w:t>
      </w:r>
      <w:r>
        <w:rPr>
          <w:rFonts w:ascii="Arial" w:hAnsi="Arial"/>
          <w:rtl/>
        </w:rPr>
        <w:t xml:space="preserve">הפחות </w:t>
      </w:r>
      <w:r>
        <w:rPr>
          <w:rFonts w:ascii="Arial" w:hAnsi="Arial"/>
          <w:b/>
          <w:bCs/>
          <w:rtl/>
        </w:rPr>
        <w:t>ה</w:t>
      </w:r>
      <w:r>
        <w:rPr>
          <w:rFonts w:ascii="Arial" w:hAnsi="Arial"/>
          <w:rtl/>
        </w:rPr>
        <w:t>סגנים והגזברי</w:t>
      </w:r>
      <w:r>
        <w:rPr>
          <w:rFonts w:ascii="Arial" w:hAnsi="Arial" w:hint="cs"/>
          <w:rtl/>
        </w:rPr>
        <w:t xml:space="preserve">ם", ללא ו' החיבור בין </w:t>
      </w:r>
      <w:r>
        <w:rPr>
          <w:rFonts w:ascii="Arial" w:hAnsi="Arial"/>
          <w:rtl/>
        </w:rPr>
        <w:t>הפחות והסגנים</w:t>
      </w:r>
      <w:r>
        <w:rPr>
          <w:rFonts w:ascii="Arial" w:hAnsi="Arial" w:hint="cs"/>
          <w:rtl/>
        </w:rPr>
        <w:t xml:space="preserve"> (</w:t>
      </w:r>
      <w:r>
        <w:rPr>
          <w:rFonts w:ascii="Arial" w:hAnsi="Arial" w:hint="cs"/>
          <w:sz w:val="18"/>
          <w:szCs w:val="20"/>
          <w:rtl/>
        </w:rPr>
        <w:t>כ"ה בדפוסים וכ"כ מלאכת שלמה</w:t>
      </w:r>
      <w:r>
        <w:rPr>
          <w:rFonts w:ascii="Arial" w:hAnsi="Arial" w:hint="cs"/>
          <w:rtl/>
        </w:rPr>
        <w:t>). ברם, אפשרות זו נדחתה על סמך לשון הרמב"ם ב</w:t>
      </w:r>
      <w:r>
        <w:rPr>
          <w:rFonts w:ascii="Arial" w:hAnsi="Arial"/>
          <w:rtl/>
        </w:rPr>
        <w:t>הלכות ביכורים פ</w:t>
      </w:r>
      <w:r>
        <w:rPr>
          <w:rFonts w:ascii="Arial" w:hAnsi="Arial" w:hint="cs"/>
          <w:rtl/>
        </w:rPr>
        <w:t>"</w:t>
      </w:r>
      <w:r>
        <w:rPr>
          <w:rFonts w:ascii="Arial" w:hAnsi="Arial"/>
          <w:rtl/>
        </w:rPr>
        <w:t>ד הט</w:t>
      </w:r>
      <w:r>
        <w:rPr>
          <w:rFonts w:ascii="Arial" w:hAnsi="Arial" w:hint="cs"/>
          <w:rtl/>
        </w:rPr>
        <w:t>"</w:t>
      </w:r>
      <w:r>
        <w:rPr>
          <w:rFonts w:ascii="Arial" w:hAnsi="Arial"/>
          <w:rtl/>
        </w:rPr>
        <w:t>ז</w:t>
      </w:r>
      <w:r>
        <w:rPr>
          <w:rFonts w:ascii="Arial" w:hAnsi="Arial" w:hint="cs"/>
          <w:rtl/>
        </w:rPr>
        <w:t xml:space="preserve"> "</w:t>
      </w:r>
      <w:r>
        <w:rPr>
          <w:rFonts w:ascii="Arial" w:hAnsi="Arial"/>
          <w:rtl/>
        </w:rPr>
        <w:t xml:space="preserve">והפחות </w:t>
      </w:r>
      <w:r>
        <w:rPr>
          <w:rFonts w:ascii="Arial" w:hAnsi="Arial"/>
          <w:b/>
          <w:bCs/>
          <w:rtl/>
        </w:rPr>
        <w:t>ו</w:t>
      </w:r>
      <w:r>
        <w:rPr>
          <w:rFonts w:ascii="Arial" w:hAnsi="Arial"/>
          <w:rtl/>
        </w:rPr>
        <w:t>הסגנים</w:t>
      </w:r>
      <w:r>
        <w:rPr>
          <w:rFonts w:ascii="Arial" w:hAnsi="Arial" w:hint="cs"/>
          <w:rtl/>
        </w:rPr>
        <w:t>" (וכך התברר בתקופתנו עם גילוי נוסח מִשנה זו בכתב יד קדשו של הרמב"ם). הנוסח "</w:t>
      </w:r>
      <w:r>
        <w:rPr>
          <w:rFonts w:ascii="Arial" w:hAnsi="Arial"/>
          <w:rtl/>
        </w:rPr>
        <w:t xml:space="preserve">הפחות </w:t>
      </w:r>
      <w:r>
        <w:rPr>
          <w:rFonts w:ascii="Arial" w:hAnsi="Arial" w:hint="cs"/>
          <w:b/>
          <w:bCs/>
          <w:rtl/>
        </w:rPr>
        <w:t>ו</w:t>
      </w:r>
      <w:r>
        <w:rPr>
          <w:rFonts w:ascii="Arial" w:hAnsi="Arial"/>
          <w:rtl/>
        </w:rPr>
        <w:t>הסגנים והגזברי</w:t>
      </w:r>
      <w:r>
        <w:rPr>
          <w:rFonts w:ascii="Arial" w:hAnsi="Arial" w:hint="cs"/>
          <w:rtl/>
        </w:rPr>
        <w:t>ם" עם ו' (</w:t>
      </w:r>
      <w:r>
        <w:rPr>
          <w:rFonts w:ascii="Arial" w:hAnsi="Arial" w:hint="cs"/>
          <w:sz w:val="18"/>
          <w:szCs w:val="20"/>
          <w:rtl/>
        </w:rPr>
        <w:t>בדומה ללשון הכתוב</w:t>
      </w:r>
      <w:r>
        <w:rPr>
          <w:rFonts w:ascii="Arial" w:hAnsi="Arial" w:hint="cs"/>
          <w:rtl/>
        </w:rPr>
        <w:t>), מופיע גם בירושלמי (</w:t>
      </w:r>
      <w:r>
        <w:rPr>
          <w:rFonts w:ascii="Arial" w:hAnsi="Arial" w:hint="cs"/>
          <w:sz w:val="20"/>
          <w:szCs w:val="20"/>
          <w:rtl/>
        </w:rPr>
        <w:t>וכן ב</w:t>
      </w:r>
      <w:r>
        <w:rPr>
          <w:rFonts w:ascii="Arial" w:hAnsi="Arial"/>
          <w:sz w:val="20"/>
          <w:szCs w:val="20"/>
          <w:rtl/>
        </w:rPr>
        <w:t>ילקוט שמעוני</w:t>
      </w:r>
      <w:r>
        <w:rPr>
          <w:rFonts w:ascii="Arial" w:hAnsi="Arial" w:hint="cs"/>
          <w:sz w:val="20"/>
          <w:szCs w:val="20"/>
          <w:rtl/>
        </w:rPr>
        <w:t xml:space="preserve">, </w:t>
      </w:r>
      <w:r>
        <w:rPr>
          <w:rFonts w:ascii="Arial" w:hAnsi="Arial"/>
          <w:sz w:val="20"/>
          <w:szCs w:val="20"/>
          <w:rtl/>
        </w:rPr>
        <w:t>כי</w:t>
      </w:r>
      <w:r>
        <w:rPr>
          <w:rFonts w:ascii="Arial" w:hAnsi="Arial" w:hint="cs"/>
          <w:sz w:val="20"/>
          <w:szCs w:val="20"/>
          <w:rtl/>
        </w:rPr>
        <w:t xml:space="preserve"> </w:t>
      </w:r>
      <w:r>
        <w:rPr>
          <w:rFonts w:ascii="Arial" w:hAnsi="Arial"/>
          <w:sz w:val="20"/>
          <w:szCs w:val="20"/>
          <w:rtl/>
        </w:rPr>
        <w:t>תבא</w:t>
      </w:r>
      <w:r>
        <w:rPr>
          <w:rFonts w:ascii="Arial" w:hAnsi="Arial" w:hint="cs"/>
          <w:sz w:val="20"/>
          <w:szCs w:val="20"/>
          <w:rtl/>
        </w:rPr>
        <w:t>,</w:t>
      </w:r>
      <w:r>
        <w:rPr>
          <w:rFonts w:ascii="Arial" w:hAnsi="Arial"/>
          <w:sz w:val="20"/>
          <w:szCs w:val="20"/>
          <w:rtl/>
        </w:rPr>
        <w:t xml:space="preserve"> רמז תתקל</w:t>
      </w:r>
      <w:r>
        <w:rPr>
          <w:rFonts w:ascii="Arial" w:hAnsi="Arial" w:hint="cs"/>
          <w:sz w:val="20"/>
          <w:szCs w:val="20"/>
          <w:rtl/>
        </w:rPr>
        <w:t>"</w:t>
      </w:r>
      <w:r>
        <w:rPr>
          <w:rFonts w:ascii="Arial" w:hAnsi="Arial"/>
          <w:sz w:val="20"/>
          <w:szCs w:val="20"/>
          <w:rtl/>
        </w:rPr>
        <w:t>ח</w:t>
      </w:r>
      <w:r>
        <w:rPr>
          <w:rFonts w:ascii="Arial" w:hAnsi="Arial" w:hint="cs"/>
          <w:sz w:val="20"/>
          <w:szCs w:val="20"/>
          <w:rtl/>
        </w:rPr>
        <w:t>; ואילו ב</w:t>
      </w:r>
      <w:r>
        <w:rPr>
          <w:rFonts w:ascii="Arial" w:hAnsi="Arial"/>
          <w:sz w:val="20"/>
          <w:szCs w:val="20"/>
          <w:rtl/>
        </w:rPr>
        <w:t>מדרש זוטא</w:t>
      </w:r>
      <w:r>
        <w:rPr>
          <w:rFonts w:ascii="Arial" w:hAnsi="Arial" w:hint="cs"/>
          <w:sz w:val="20"/>
          <w:szCs w:val="20"/>
          <w:rtl/>
        </w:rPr>
        <w:t xml:space="preserve">, </w:t>
      </w:r>
      <w:r>
        <w:rPr>
          <w:rFonts w:ascii="Arial" w:hAnsi="Arial"/>
          <w:sz w:val="20"/>
          <w:szCs w:val="20"/>
          <w:rtl/>
        </w:rPr>
        <w:t>שיר השירים</w:t>
      </w:r>
      <w:r>
        <w:rPr>
          <w:rFonts w:ascii="Arial" w:hAnsi="Arial" w:hint="cs"/>
          <w:sz w:val="20"/>
          <w:szCs w:val="20"/>
          <w:rtl/>
        </w:rPr>
        <w:t xml:space="preserve">, </w:t>
      </w:r>
      <w:r>
        <w:rPr>
          <w:rFonts w:ascii="Arial" w:hAnsi="Arial"/>
          <w:sz w:val="20"/>
          <w:szCs w:val="20"/>
          <w:rtl/>
        </w:rPr>
        <w:t>פרשה ב</w:t>
      </w:r>
      <w:r>
        <w:rPr>
          <w:rFonts w:ascii="Arial" w:hAnsi="Arial" w:hint="cs"/>
          <w:sz w:val="20"/>
          <w:szCs w:val="20"/>
          <w:rtl/>
        </w:rPr>
        <w:t>', מופיע בשינוי הסדר: "</w:t>
      </w:r>
      <w:r>
        <w:rPr>
          <w:rFonts w:ascii="Arial" w:hAnsi="Arial"/>
          <w:sz w:val="20"/>
          <w:szCs w:val="20"/>
          <w:rtl/>
        </w:rPr>
        <w:t>הסגנים והפחות</w:t>
      </w:r>
      <w:r>
        <w:rPr>
          <w:rFonts w:ascii="Arial" w:hAnsi="Arial" w:hint="cs"/>
          <w:sz w:val="20"/>
          <w:szCs w:val="20"/>
          <w:rtl/>
        </w:rPr>
        <w:t xml:space="preserve"> </w:t>
      </w:r>
      <w:r>
        <w:rPr>
          <w:rFonts w:ascii="Arial" w:hAnsi="Arial"/>
          <w:sz w:val="20"/>
          <w:szCs w:val="20"/>
          <w:rtl/>
        </w:rPr>
        <w:t>והגזברים</w:t>
      </w:r>
      <w:r>
        <w:rPr>
          <w:rFonts w:ascii="Arial" w:hAnsi="Arial" w:hint="cs"/>
          <w:sz w:val="20"/>
          <w:szCs w:val="20"/>
          <w:rtl/>
        </w:rPr>
        <w:t>"</w:t>
      </w:r>
      <w:r>
        <w:rPr>
          <w:rFonts w:ascii="Arial" w:hAnsi="Arial" w:hint="cs"/>
          <w:rtl/>
        </w:rPr>
        <w:t>). מסתבר שלפי הנוסח עם ו' "</w:t>
      </w:r>
      <w:r>
        <w:rPr>
          <w:rFonts w:ascii="Arial" w:hAnsi="Arial"/>
          <w:rtl/>
        </w:rPr>
        <w:t>הפחות</w:t>
      </w:r>
      <w:r>
        <w:rPr>
          <w:rFonts w:ascii="Arial" w:hAnsi="Arial" w:hint="cs"/>
          <w:rtl/>
        </w:rPr>
        <w:t xml:space="preserve">" </w:t>
      </w:r>
      <w:r>
        <w:rPr>
          <w:rFonts w:ascii="Arial" w:hAnsi="Arial" w:hint="cs"/>
          <w:b/>
          <w:bCs/>
          <w:rtl/>
        </w:rPr>
        <w:t>ו</w:t>
      </w:r>
      <w:r>
        <w:rPr>
          <w:rFonts w:ascii="Arial" w:hAnsi="Arial" w:hint="cs"/>
          <w:rtl/>
        </w:rPr>
        <w:t>"</w:t>
      </w:r>
      <w:r>
        <w:rPr>
          <w:rFonts w:ascii="Arial" w:hAnsi="Arial"/>
          <w:rtl/>
        </w:rPr>
        <w:t>הסגנים</w:t>
      </w:r>
      <w:r>
        <w:rPr>
          <w:rFonts w:ascii="Arial" w:hAnsi="Arial" w:hint="cs"/>
          <w:rtl/>
        </w:rPr>
        <w:t>" הן שתי קבוצות שונות (אמנם, אפשר לדחוק שזוהי ו' הביאור). על כן, נאלץ בעל תוס' יו"ט לחדש מדעתו ש"</w:t>
      </w:r>
      <w:r>
        <w:rPr>
          <w:rFonts w:ascii="Arial" w:hAnsi="Arial"/>
          <w:rtl/>
        </w:rPr>
        <w:t>סגנים</w:t>
      </w:r>
      <w:r>
        <w:rPr>
          <w:rFonts w:ascii="Arial" w:hAnsi="Arial" w:hint="cs"/>
          <w:rtl/>
        </w:rPr>
        <w:t>" הם סגני הלויים. ברוך ה', זכינו למהדורת הר"י קאפח ע"פ כתב יד קדשו של הרמב"ם ושם מפורש: "</w:t>
      </w:r>
      <w:r>
        <w:rPr>
          <w:rFonts w:ascii="Arial" w:hAnsi="Arial"/>
          <w:rtl/>
        </w:rPr>
        <w:t>פחות</w:t>
      </w:r>
      <w:r>
        <w:rPr>
          <w:rFonts w:ascii="Arial" w:hAnsi="Arial" w:hint="cs"/>
          <w:rtl/>
        </w:rPr>
        <w:t xml:space="preserve"> - הם ראשי ישראל. </w:t>
      </w:r>
      <w:r>
        <w:rPr>
          <w:rFonts w:ascii="Arial" w:hAnsi="Arial" w:hint="cs"/>
          <w:b/>
          <w:bCs/>
          <w:rtl/>
        </w:rPr>
        <w:t>ו</w:t>
      </w:r>
      <w:r>
        <w:rPr>
          <w:rFonts w:ascii="Arial" w:hAnsi="Arial"/>
          <w:rtl/>
        </w:rPr>
        <w:t>הסגנים</w:t>
      </w:r>
      <w:r>
        <w:rPr>
          <w:rFonts w:ascii="Arial" w:hAnsi="Arial" w:hint="cs"/>
          <w:rtl/>
        </w:rPr>
        <w:t xml:space="preserve"> - ראשי הכהנים". ותו לא מידי.</w:t>
      </w:r>
    </w:p>
  </w:footnote>
  <w:footnote w:id="79">
    <w:p w14:paraId="7F737B85" w14:textId="77777777" w:rsidR="00940290" w:rsidRDefault="00940290" w:rsidP="00940290">
      <w:pPr>
        <w:pStyle w:val="a5"/>
        <w:rPr>
          <w:rFonts w:hint="cs"/>
          <w:rtl/>
        </w:rPr>
      </w:pPr>
      <w:r>
        <w:rPr>
          <w:rStyle w:val="a4"/>
          <w:rtl/>
        </w:rPr>
        <w:footnoteRef/>
      </w:r>
      <w:r>
        <w:t xml:space="preserve"> </w:t>
      </w:r>
      <w:r>
        <w:rPr>
          <w:rFonts w:hint="cs"/>
          <w:rtl/>
        </w:rPr>
        <w:t xml:space="preserve">כתיב זה הוא המוכר יותר והוא המופיע בסוף </w:t>
      </w:r>
      <w:r>
        <w:rPr>
          <w:rFonts w:hint="cs"/>
          <w:sz w:val="18"/>
          <w:rtl/>
        </w:rPr>
        <w:t>נ</w:t>
      </w:r>
      <w:r>
        <w:rPr>
          <w:sz w:val="18"/>
          <w:rtl/>
        </w:rPr>
        <w:t>חמיה</w:t>
      </w:r>
      <w:r>
        <w:rPr>
          <w:sz w:val="18"/>
          <w:szCs w:val="20"/>
          <w:rtl/>
        </w:rPr>
        <w:t xml:space="preserve"> </w:t>
      </w:r>
      <w:r>
        <w:rPr>
          <w:rFonts w:hint="cs"/>
          <w:rtl/>
        </w:rPr>
        <w:t>(</w:t>
      </w:r>
      <w:r>
        <w:rPr>
          <w:sz w:val="18"/>
          <w:szCs w:val="20"/>
          <w:rtl/>
        </w:rPr>
        <w:t>יב</w:t>
      </w:r>
      <w:r>
        <w:rPr>
          <w:rFonts w:hint="cs"/>
          <w:sz w:val="18"/>
          <w:szCs w:val="20"/>
          <w:rtl/>
        </w:rPr>
        <w:t xml:space="preserve">, </w:t>
      </w:r>
      <w:r>
        <w:rPr>
          <w:sz w:val="18"/>
          <w:szCs w:val="20"/>
          <w:rtl/>
        </w:rPr>
        <w:t>כו</w:t>
      </w:r>
      <w:r>
        <w:rPr>
          <w:rFonts w:hint="cs"/>
          <w:rtl/>
        </w:rPr>
        <w:t>). הכתיב "</w:t>
      </w:r>
      <w:r>
        <w:rPr>
          <w:rtl/>
        </w:rPr>
        <w:t>פֶּחָם</w:t>
      </w:r>
      <w:r>
        <w:rPr>
          <w:rFonts w:hint="cs"/>
          <w:rtl/>
        </w:rPr>
        <w:t>" מופיע מוקדם יותר ב</w:t>
      </w:r>
      <w:r>
        <w:rPr>
          <w:rFonts w:hint="cs"/>
          <w:sz w:val="18"/>
          <w:rtl/>
        </w:rPr>
        <w:t>נ</w:t>
      </w:r>
      <w:r>
        <w:rPr>
          <w:sz w:val="18"/>
          <w:rtl/>
        </w:rPr>
        <w:t>חמיה</w:t>
      </w:r>
      <w:r>
        <w:rPr>
          <w:rFonts w:hint="cs"/>
          <w:rtl/>
        </w:rPr>
        <w:t xml:space="preserve"> (</w:t>
      </w:r>
      <w:r>
        <w:rPr>
          <w:sz w:val="18"/>
          <w:szCs w:val="20"/>
          <w:rtl/>
        </w:rPr>
        <w:t>ה</w:t>
      </w:r>
      <w:r>
        <w:rPr>
          <w:rFonts w:hint="cs"/>
          <w:sz w:val="18"/>
          <w:szCs w:val="20"/>
          <w:rtl/>
        </w:rPr>
        <w:t xml:space="preserve">, </w:t>
      </w:r>
      <w:r>
        <w:rPr>
          <w:sz w:val="18"/>
          <w:szCs w:val="20"/>
          <w:rtl/>
        </w:rPr>
        <w:t>יד</w:t>
      </w:r>
      <w:r>
        <w:rPr>
          <w:rFonts w:hint="cs"/>
          <w:sz w:val="18"/>
          <w:szCs w:val="20"/>
          <w:rtl/>
        </w:rPr>
        <w:t>; עי"ש במפרשים</w:t>
      </w:r>
      <w:r>
        <w:rPr>
          <w:rFonts w:hint="cs"/>
          <w:rtl/>
        </w:rPr>
        <w:t>).</w:t>
      </w:r>
    </w:p>
  </w:footnote>
  <w:footnote w:id="80">
    <w:p w14:paraId="0C568F5C" w14:textId="77777777" w:rsidR="00940290" w:rsidRDefault="00940290" w:rsidP="00940290">
      <w:pPr>
        <w:pStyle w:val="a5"/>
        <w:rPr>
          <w:rFonts w:hint="cs"/>
          <w:rtl/>
        </w:rPr>
      </w:pPr>
      <w:r>
        <w:rPr>
          <w:rStyle w:val="a4"/>
          <w:rtl/>
        </w:rPr>
        <w:footnoteRef/>
      </w:r>
      <w:r>
        <w:t xml:space="preserve"> </w:t>
      </w:r>
      <w:r>
        <w:rPr>
          <w:rFonts w:hint="cs"/>
          <w:rtl/>
        </w:rPr>
        <w:t xml:space="preserve">זוהי צורת הרבים המוכרת ממגילת </w:t>
      </w:r>
      <w:r>
        <w:rPr>
          <w:rtl/>
        </w:rPr>
        <w:t xml:space="preserve">אסתר </w:t>
      </w:r>
      <w:r>
        <w:rPr>
          <w:rFonts w:hint="cs"/>
          <w:rtl/>
        </w:rPr>
        <w:t>(</w:t>
      </w:r>
      <w:r>
        <w:rPr>
          <w:sz w:val="18"/>
          <w:szCs w:val="20"/>
          <w:rtl/>
        </w:rPr>
        <w:t>ג</w:t>
      </w:r>
      <w:r>
        <w:rPr>
          <w:rFonts w:hint="cs"/>
          <w:sz w:val="18"/>
          <w:szCs w:val="20"/>
          <w:rtl/>
        </w:rPr>
        <w:t xml:space="preserve">, </w:t>
      </w:r>
      <w:r>
        <w:rPr>
          <w:sz w:val="18"/>
          <w:szCs w:val="20"/>
          <w:rtl/>
        </w:rPr>
        <w:t>יב</w:t>
      </w:r>
      <w:r>
        <w:rPr>
          <w:rFonts w:hint="cs"/>
          <w:sz w:val="18"/>
          <w:szCs w:val="20"/>
          <w:rtl/>
        </w:rPr>
        <w:t xml:space="preserve"> ועוד, ועי"ש </w:t>
      </w:r>
      <w:r>
        <w:rPr>
          <w:sz w:val="18"/>
          <w:szCs w:val="20"/>
          <w:rtl/>
        </w:rPr>
        <w:t>בר"א אבן עזרא</w:t>
      </w:r>
      <w:r>
        <w:rPr>
          <w:rFonts w:hint="cs"/>
          <w:rtl/>
        </w:rPr>
        <w:t>) והנפוצה במקרא (</w:t>
      </w:r>
      <w:r>
        <w:rPr>
          <w:rFonts w:hint="cs"/>
          <w:sz w:val="18"/>
          <w:szCs w:val="20"/>
          <w:rtl/>
        </w:rPr>
        <w:t xml:space="preserve">ראה: </w:t>
      </w:r>
      <w:r>
        <w:rPr>
          <w:sz w:val="18"/>
          <w:szCs w:val="20"/>
          <w:rtl/>
        </w:rPr>
        <w:t>מלכים א</w:t>
      </w:r>
      <w:r>
        <w:rPr>
          <w:rFonts w:hint="cs"/>
          <w:sz w:val="18"/>
          <w:szCs w:val="20"/>
          <w:rtl/>
        </w:rPr>
        <w:t xml:space="preserve">' </w:t>
      </w:r>
      <w:r>
        <w:rPr>
          <w:sz w:val="18"/>
          <w:szCs w:val="20"/>
          <w:rtl/>
        </w:rPr>
        <w:t>י</w:t>
      </w:r>
      <w:r>
        <w:rPr>
          <w:rFonts w:hint="cs"/>
          <w:sz w:val="18"/>
          <w:szCs w:val="20"/>
          <w:rtl/>
        </w:rPr>
        <w:t xml:space="preserve">, </w:t>
      </w:r>
      <w:r>
        <w:rPr>
          <w:sz w:val="18"/>
          <w:szCs w:val="20"/>
          <w:rtl/>
        </w:rPr>
        <w:t>טו</w:t>
      </w:r>
      <w:r>
        <w:rPr>
          <w:rFonts w:hint="cs"/>
          <w:sz w:val="18"/>
          <w:szCs w:val="20"/>
          <w:rtl/>
        </w:rPr>
        <w:t xml:space="preserve">; כ, כד; </w:t>
      </w:r>
      <w:r>
        <w:rPr>
          <w:sz w:val="18"/>
          <w:szCs w:val="20"/>
          <w:rtl/>
        </w:rPr>
        <w:t>ירמיהו נא</w:t>
      </w:r>
      <w:r>
        <w:rPr>
          <w:rFonts w:hint="cs"/>
          <w:sz w:val="18"/>
          <w:szCs w:val="20"/>
          <w:rtl/>
        </w:rPr>
        <w:t xml:space="preserve">, </w:t>
      </w:r>
      <w:r>
        <w:rPr>
          <w:sz w:val="18"/>
          <w:szCs w:val="20"/>
          <w:rtl/>
        </w:rPr>
        <w:t>כג</w:t>
      </w:r>
      <w:r>
        <w:rPr>
          <w:rFonts w:hint="cs"/>
          <w:sz w:val="18"/>
          <w:szCs w:val="20"/>
          <w:rtl/>
        </w:rPr>
        <w:t xml:space="preserve">; </w:t>
      </w:r>
      <w:r>
        <w:rPr>
          <w:sz w:val="18"/>
          <w:szCs w:val="20"/>
          <w:rtl/>
        </w:rPr>
        <w:t>יחזקאל כג</w:t>
      </w:r>
      <w:r>
        <w:rPr>
          <w:rFonts w:hint="cs"/>
          <w:sz w:val="18"/>
          <w:szCs w:val="20"/>
          <w:rtl/>
        </w:rPr>
        <w:t xml:space="preserve">, </w:t>
      </w:r>
      <w:r>
        <w:rPr>
          <w:sz w:val="18"/>
          <w:szCs w:val="20"/>
          <w:rtl/>
        </w:rPr>
        <w:t>ו</w:t>
      </w:r>
      <w:r>
        <w:rPr>
          <w:rFonts w:hint="cs"/>
          <w:sz w:val="18"/>
          <w:szCs w:val="20"/>
          <w:rtl/>
        </w:rPr>
        <w:t xml:space="preserve">; </w:t>
      </w:r>
      <w:r>
        <w:rPr>
          <w:sz w:val="18"/>
          <w:szCs w:val="20"/>
          <w:rtl/>
        </w:rPr>
        <w:t>נחמיה ה</w:t>
      </w:r>
      <w:r>
        <w:rPr>
          <w:rFonts w:hint="cs"/>
          <w:sz w:val="18"/>
          <w:szCs w:val="20"/>
          <w:rtl/>
        </w:rPr>
        <w:t xml:space="preserve">, </w:t>
      </w:r>
      <w:r>
        <w:rPr>
          <w:sz w:val="18"/>
          <w:szCs w:val="20"/>
          <w:rtl/>
        </w:rPr>
        <w:t>טו</w:t>
      </w:r>
      <w:r>
        <w:rPr>
          <w:rFonts w:hint="cs"/>
          <w:sz w:val="18"/>
          <w:szCs w:val="20"/>
          <w:rtl/>
        </w:rPr>
        <w:t xml:space="preserve">; </w:t>
      </w:r>
      <w:r>
        <w:rPr>
          <w:sz w:val="18"/>
          <w:szCs w:val="20"/>
          <w:rtl/>
        </w:rPr>
        <w:t>דברי הימים ב</w:t>
      </w:r>
      <w:r>
        <w:rPr>
          <w:rFonts w:hint="cs"/>
          <w:sz w:val="18"/>
          <w:szCs w:val="20"/>
          <w:rtl/>
        </w:rPr>
        <w:t>'</w:t>
      </w:r>
      <w:r>
        <w:rPr>
          <w:sz w:val="18"/>
          <w:szCs w:val="20"/>
          <w:rtl/>
        </w:rPr>
        <w:t xml:space="preserve"> ט</w:t>
      </w:r>
      <w:r>
        <w:rPr>
          <w:rFonts w:hint="cs"/>
          <w:sz w:val="18"/>
          <w:szCs w:val="20"/>
          <w:rtl/>
        </w:rPr>
        <w:t xml:space="preserve">, </w:t>
      </w:r>
      <w:r>
        <w:rPr>
          <w:sz w:val="18"/>
          <w:szCs w:val="20"/>
          <w:rtl/>
        </w:rPr>
        <w:t>יד</w:t>
      </w:r>
      <w:r>
        <w:rPr>
          <w:rtl/>
        </w:rPr>
        <w:t>).</w:t>
      </w:r>
      <w:r>
        <w:rPr>
          <w:rFonts w:hint="cs"/>
          <w:rtl/>
        </w:rPr>
        <w:t xml:space="preserve"> הצורה "</w:t>
      </w:r>
      <w:r>
        <w:rPr>
          <w:rtl/>
        </w:rPr>
        <w:t>פ</w:t>
      </w:r>
      <w:r>
        <w:rPr>
          <w:rFonts w:hint="cs"/>
          <w:rtl/>
        </w:rPr>
        <w:t>ּ</w:t>
      </w:r>
      <w:r>
        <w:rPr>
          <w:rtl/>
        </w:rPr>
        <w:t>ַחֲווֹת</w:t>
      </w:r>
      <w:r>
        <w:rPr>
          <w:rFonts w:hint="cs"/>
          <w:rtl/>
        </w:rPr>
        <w:t xml:space="preserve">" מופיעה שלוש פעמים בלבד (בספר </w:t>
      </w:r>
      <w:r>
        <w:rPr>
          <w:rtl/>
        </w:rPr>
        <w:t xml:space="preserve">עזרא </w:t>
      </w:r>
      <w:r>
        <w:rPr>
          <w:sz w:val="18"/>
          <w:szCs w:val="20"/>
          <w:rtl/>
        </w:rPr>
        <w:t>ח</w:t>
      </w:r>
      <w:r>
        <w:rPr>
          <w:rFonts w:hint="cs"/>
          <w:sz w:val="18"/>
          <w:szCs w:val="20"/>
          <w:rtl/>
        </w:rPr>
        <w:t>,</w:t>
      </w:r>
      <w:r>
        <w:rPr>
          <w:sz w:val="18"/>
          <w:szCs w:val="20"/>
          <w:rtl/>
        </w:rPr>
        <w:t xml:space="preserve"> לו </w:t>
      </w:r>
      <w:r>
        <w:rPr>
          <w:rFonts w:hint="cs"/>
          <w:rtl/>
        </w:rPr>
        <w:t>ו</w:t>
      </w:r>
      <w:r>
        <w:rPr>
          <w:rtl/>
        </w:rPr>
        <w:t xml:space="preserve">נחמיה </w:t>
      </w:r>
      <w:r>
        <w:rPr>
          <w:sz w:val="18"/>
          <w:szCs w:val="20"/>
          <w:rtl/>
        </w:rPr>
        <w:t>ב</w:t>
      </w:r>
      <w:r>
        <w:rPr>
          <w:rFonts w:hint="cs"/>
          <w:sz w:val="18"/>
          <w:szCs w:val="20"/>
          <w:rtl/>
        </w:rPr>
        <w:t xml:space="preserve">, </w:t>
      </w:r>
      <w:r>
        <w:rPr>
          <w:sz w:val="18"/>
          <w:szCs w:val="20"/>
          <w:rtl/>
        </w:rPr>
        <w:t>ז</w:t>
      </w:r>
      <w:r>
        <w:rPr>
          <w:rFonts w:hint="cs"/>
          <w:sz w:val="18"/>
          <w:szCs w:val="20"/>
          <w:rtl/>
        </w:rPr>
        <w:t xml:space="preserve">; שם </w:t>
      </w:r>
      <w:r>
        <w:rPr>
          <w:sz w:val="18"/>
          <w:szCs w:val="20"/>
          <w:rtl/>
        </w:rPr>
        <w:t>ט</w:t>
      </w:r>
      <w:r>
        <w:rPr>
          <w:rFonts w:hint="cs"/>
          <w:rtl/>
        </w:rPr>
        <w:t>).</w:t>
      </w:r>
    </w:p>
  </w:footnote>
  <w:footnote w:id="81">
    <w:p w14:paraId="6FC68194" w14:textId="77777777" w:rsidR="00940290" w:rsidRDefault="00940290" w:rsidP="00940290">
      <w:pPr>
        <w:pStyle w:val="a5"/>
        <w:rPr>
          <w:rFonts w:hint="cs"/>
          <w:sz w:val="30"/>
          <w:szCs w:val="28"/>
          <w:rtl/>
        </w:rPr>
      </w:pPr>
      <w:r>
        <w:rPr>
          <w:rStyle w:val="a4"/>
          <w:rtl/>
        </w:rPr>
        <w:footnoteRef/>
      </w:r>
      <w:r>
        <w:t xml:space="preserve"> </w:t>
      </w:r>
      <w:r>
        <w:rPr>
          <w:rFonts w:ascii="Arial" w:hAnsi="Arial" w:hint="cs"/>
          <w:rtl/>
        </w:rPr>
        <w:t>כגון: "</w:t>
      </w:r>
      <w:r>
        <w:rPr>
          <w:rFonts w:ascii="Arial" w:hAnsi="Arial"/>
          <w:rtl/>
        </w:rPr>
        <w:t>לְמִכְנַשׁ לַאֲחַשְׁדַּרְפְּנַיָּא סִגְנַיָּא וּ</w:t>
      </w:r>
      <w:r>
        <w:rPr>
          <w:rFonts w:ascii="Arial" w:hAnsi="Arial"/>
          <w:b/>
          <w:bCs/>
          <w:rtl/>
        </w:rPr>
        <w:t>פַחֲוָתָא</w:t>
      </w:r>
      <w:r>
        <w:rPr>
          <w:rFonts w:ascii="Arial" w:hAnsi="Arial" w:hint="cs"/>
          <w:rtl/>
        </w:rPr>
        <w:t xml:space="preserve">... </w:t>
      </w:r>
      <w:r>
        <w:rPr>
          <w:rFonts w:ascii="Arial" w:hAnsi="Arial"/>
          <w:rtl/>
        </w:rPr>
        <w:t>וְכֹל שִׁלְטֹנֵי מְדִינָתָא</w:t>
      </w:r>
      <w:r>
        <w:rPr>
          <w:rFonts w:ascii="Arial" w:hAnsi="Arial" w:hint="cs"/>
          <w:rtl/>
        </w:rPr>
        <w:t>" (</w:t>
      </w:r>
      <w:r>
        <w:rPr>
          <w:rFonts w:ascii="Arial" w:hAnsi="Arial"/>
          <w:sz w:val="18"/>
          <w:rtl/>
        </w:rPr>
        <w:t>דניאל</w:t>
      </w:r>
      <w:r>
        <w:rPr>
          <w:rFonts w:ascii="Arial" w:hAnsi="Arial"/>
          <w:sz w:val="18"/>
          <w:szCs w:val="20"/>
          <w:rtl/>
        </w:rPr>
        <w:t xml:space="preserve"> ג</w:t>
      </w:r>
      <w:r>
        <w:rPr>
          <w:rFonts w:ascii="Arial" w:hAnsi="Arial" w:hint="cs"/>
          <w:sz w:val="18"/>
          <w:szCs w:val="20"/>
          <w:rtl/>
        </w:rPr>
        <w:t xml:space="preserve">, </w:t>
      </w:r>
      <w:r>
        <w:rPr>
          <w:rFonts w:ascii="Arial" w:hAnsi="Arial"/>
          <w:sz w:val="18"/>
          <w:szCs w:val="20"/>
          <w:rtl/>
        </w:rPr>
        <w:t>ב</w:t>
      </w:r>
      <w:r>
        <w:rPr>
          <w:rFonts w:ascii="Arial" w:hAnsi="Arial" w:hint="cs"/>
          <w:rtl/>
        </w:rPr>
        <w:t>),</w:t>
      </w:r>
      <w:r>
        <w:rPr>
          <w:rFonts w:ascii="Arial" w:hAnsi="Arial"/>
          <w:sz w:val="18"/>
          <w:szCs w:val="20"/>
          <w:rtl/>
        </w:rPr>
        <w:t xml:space="preserve"> </w:t>
      </w:r>
      <w:r>
        <w:rPr>
          <w:rFonts w:ascii="Arial" w:hAnsi="Arial"/>
          <w:sz w:val="26"/>
          <w:rtl/>
        </w:rPr>
        <w:t>רש"י</w:t>
      </w:r>
      <w:r>
        <w:rPr>
          <w:rFonts w:ascii="Arial" w:hAnsi="Arial" w:hint="cs"/>
          <w:sz w:val="26"/>
          <w:rtl/>
        </w:rPr>
        <w:t>: "</w:t>
      </w:r>
      <w:r>
        <w:rPr>
          <w:rFonts w:ascii="Arial" w:hAnsi="Arial"/>
          <w:sz w:val="26"/>
          <w:rtl/>
        </w:rPr>
        <w:t>פחותא - שלטונין</w:t>
      </w:r>
      <w:r>
        <w:rPr>
          <w:rFonts w:ascii="Arial" w:hAnsi="Arial" w:hint="cs"/>
          <w:sz w:val="26"/>
          <w:rtl/>
        </w:rPr>
        <w:t>". וכן: "</w:t>
      </w:r>
      <w:r>
        <w:rPr>
          <w:rFonts w:ascii="Arial" w:hAnsi="Arial" w:hint="cs"/>
          <w:rtl/>
        </w:rPr>
        <w:t>...</w:t>
      </w:r>
      <w:r>
        <w:rPr>
          <w:rFonts w:ascii="Arial" w:hAnsi="Arial"/>
          <w:rtl/>
        </w:rPr>
        <w:t>שֵׁשְׁבַּצַּר שְׁמֵהּ</w:t>
      </w:r>
      <w:r>
        <w:rPr>
          <w:rFonts w:ascii="Arial" w:hAnsi="Arial" w:hint="cs"/>
          <w:rtl/>
        </w:rPr>
        <w:t>,</w:t>
      </w:r>
      <w:r>
        <w:rPr>
          <w:rFonts w:ascii="Arial" w:hAnsi="Arial"/>
          <w:rtl/>
        </w:rPr>
        <w:t xml:space="preserve"> דִּי פֶחָה שָׂמֵהּ</w:t>
      </w:r>
      <w:r>
        <w:rPr>
          <w:rFonts w:ascii="Arial" w:hAnsi="Arial" w:hint="cs"/>
          <w:rtl/>
        </w:rPr>
        <w:t>" (</w:t>
      </w:r>
      <w:r>
        <w:rPr>
          <w:rFonts w:ascii="Arial" w:hAnsi="Arial"/>
          <w:rtl/>
        </w:rPr>
        <w:t xml:space="preserve">עזרא </w:t>
      </w:r>
      <w:r>
        <w:rPr>
          <w:rFonts w:ascii="Arial" w:hAnsi="Arial"/>
          <w:sz w:val="18"/>
          <w:szCs w:val="20"/>
          <w:rtl/>
        </w:rPr>
        <w:t>ה</w:t>
      </w:r>
      <w:r>
        <w:rPr>
          <w:rFonts w:ascii="Arial" w:hAnsi="Arial" w:hint="cs"/>
          <w:sz w:val="18"/>
          <w:szCs w:val="20"/>
          <w:rtl/>
        </w:rPr>
        <w:t xml:space="preserve">, </w:t>
      </w:r>
      <w:r>
        <w:rPr>
          <w:rFonts w:ascii="Arial" w:hAnsi="Arial"/>
          <w:sz w:val="18"/>
          <w:szCs w:val="20"/>
          <w:rtl/>
        </w:rPr>
        <w:t>יד</w:t>
      </w:r>
      <w:r>
        <w:rPr>
          <w:rFonts w:ascii="Arial" w:hAnsi="Arial" w:hint="cs"/>
          <w:rtl/>
        </w:rPr>
        <w:t>).</w:t>
      </w:r>
      <w:r>
        <w:rPr>
          <w:rFonts w:ascii="Arial" w:hAnsi="Arial"/>
          <w:rtl/>
        </w:rPr>
        <w:t xml:space="preserve"> </w:t>
      </w:r>
    </w:p>
  </w:footnote>
  <w:footnote w:id="82">
    <w:p w14:paraId="2D65FDB5" w14:textId="77777777" w:rsidR="00940290" w:rsidRDefault="00940290" w:rsidP="00940290">
      <w:pPr>
        <w:pStyle w:val="a5"/>
        <w:rPr>
          <w:rFonts w:hint="cs"/>
          <w:rtl/>
        </w:rPr>
      </w:pPr>
      <w:r>
        <w:rPr>
          <w:rStyle w:val="a4"/>
        </w:rPr>
        <w:footnoteRef/>
      </w:r>
      <w:r>
        <w:rPr>
          <w:rFonts w:hint="cs"/>
          <w:rtl/>
        </w:rPr>
        <w:t xml:space="preserve"> "</w:t>
      </w:r>
      <w:r>
        <w:rPr>
          <w:rFonts w:ascii="Arial" w:hAnsi="Arial"/>
          <w:rtl/>
        </w:rPr>
        <w:t>פַּח</w:t>
      </w:r>
      <w:r>
        <w:rPr>
          <w:rFonts w:ascii="Arial" w:hAnsi="Arial" w:hint="cs"/>
          <w:rtl/>
        </w:rPr>
        <w:t>ָ</w:t>
      </w:r>
      <w:r>
        <w:rPr>
          <w:rFonts w:ascii="Arial" w:hAnsi="Arial"/>
          <w:rtl/>
        </w:rPr>
        <w:t>ת</w:t>
      </w:r>
      <w:r>
        <w:rPr>
          <w:rFonts w:ascii="Arial" w:hAnsi="Arial" w:hint="cs"/>
          <w:rtl/>
        </w:rPr>
        <w:t xml:space="preserve">ֻ" משמעו "מחוז" באשורית </w:t>
      </w:r>
      <w:r>
        <w:rPr>
          <w:rFonts w:hint="cs"/>
          <w:rtl/>
        </w:rPr>
        <w:t>(מילון אבן שושן</w:t>
      </w:r>
      <w:r>
        <w:rPr>
          <w:rFonts w:hint="cs"/>
          <w:sz w:val="18"/>
          <w:szCs w:val="20"/>
          <w:rtl/>
        </w:rPr>
        <w:t>, ערך פחה</w:t>
      </w:r>
      <w:r>
        <w:rPr>
          <w:rFonts w:hint="cs"/>
          <w:rtl/>
        </w:rPr>
        <w:t xml:space="preserve">). </w:t>
      </w:r>
    </w:p>
  </w:footnote>
  <w:footnote w:id="83">
    <w:p w14:paraId="3CC2D4CF" w14:textId="77777777" w:rsidR="00940290" w:rsidRDefault="00940290" w:rsidP="00940290">
      <w:pPr>
        <w:pStyle w:val="a5"/>
        <w:rPr>
          <w:rFonts w:hint="cs"/>
          <w:rtl/>
        </w:rPr>
      </w:pPr>
      <w:r>
        <w:rPr>
          <w:rStyle w:val="a4"/>
          <w:rtl/>
        </w:rPr>
        <w:footnoteRef/>
      </w:r>
      <w:r>
        <w:t xml:space="preserve"> </w:t>
      </w:r>
      <w:r>
        <w:rPr>
          <w:rFonts w:ascii="Arial" w:hAnsi="Arial" w:hint="cs"/>
          <w:rtl/>
        </w:rPr>
        <w:t>רד"ק שם כותב: "</w:t>
      </w:r>
      <w:r>
        <w:rPr>
          <w:rFonts w:ascii="Arial" w:hAnsi="Arial"/>
          <w:rtl/>
        </w:rPr>
        <w:t>פַּחַת</w:t>
      </w:r>
      <w:r>
        <w:rPr>
          <w:rFonts w:ascii="Arial" w:hAnsi="Arial" w:hint="cs"/>
          <w:rtl/>
        </w:rPr>
        <w:t xml:space="preserve"> </w:t>
      </w:r>
      <w:r>
        <w:rPr>
          <w:rFonts w:ascii="Arial" w:hAnsi="Arial"/>
          <w:rtl/>
        </w:rPr>
        <w:t>יהודה - מלרע</w:t>
      </w:r>
      <w:r>
        <w:rPr>
          <w:rFonts w:ascii="Arial" w:hAnsi="Arial" w:hint="cs"/>
          <w:rtl/>
        </w:rPr>
        <w:t>,</w:t>
      </w:r>
      <w:r>
        <w:rPr>
          <w:rFonts w:ascii="Arial" w:hAnsi="Arial"/>
          <w:rtl/>
        </w:rPr>
        <w:t xml:space="preserve"> והוא סמוך מן פחה</w:t>
      </w:r>
      <w:r>
        <w:rPr>
          <w:rFonts w:ascii="Arial" w:hAnsi="Arial" w:hint="cs"/>
          <w:rtl/>
        </w:rPr>
        <w:t>,</w:t>
      </w:r>
      <w:r>
        <w:rPr>
          <w:rFonts w:ascii="Arial" w:hAnsi="Arial"/>
          <w:rtl/>
        </w:rPr>
        <w:t xml:space="preserve"> ופי' שליט או מושל</w:t>
      </w:r>
      <w:r>
        <w:rPr>
          <w:rFonts w:ascii="Arial" w:hAnsi="Arial" w:hint="cs"/>
          <w:rtl/>
        </w:rPr>
        <w:t>,</w:t>
      </w:r>
      <w:r>
        <w:rPr>
          <w:rFonts w:ascii="Arial" w:hAnsi="Arial"/>
          <w:rtl/>
        </w:rPr>
        <w:t xml:space="preserve"> כי לא נקראו מושלי בית שני </w:t>
      </w:r>
      <w:r>
        <w:rPr>
          <w:rFonts w:ascii="Arial" w:hAnsi="Arial" w:hint="cs"/>
          <w:rtl/>
        </w:rPr>
        <w:t>'</w:t>
      </w:r>
      <w:r>
        <w:rPr>
          <w:rFonts w:ascii="Arial" w:hAnsi="Arial"/>
          <w:rtl/>
        </w:rPr>
        <w:t>מלכים</w:t>
      </w:r>
      <w:r>
        <w:rPr>
          <w:rFonts w:ascii="Arial" w:hAnsi="Arial" w:hint="cs"/>
          <w:rtl/>
        </w:rPr>
        <w:t>'</w:t>
      </w:r>
      <w:r>
        <w:rPr>
          <w:rFonts w:ascii="Arial" w:hAnsi="Arial"/>
          <w:rtl/>
        </w:rPr>
        <w:t xml:space="preserve"> לפי שהיו ברשות אומות העולם רובם</w:t>
      </w:r>
      <w:r>
        <w:rPr>
          <w:rFonts w:ascii="Arial" w:hAnsi="Arial" w:hint="cs"/>
          <w:rtl/>
        </w:rPr>
        <w:t>,</w:t>
      </w:r>
      <w:r>
        <w:rPr>
          <w:rFonts w:ascii="Arial" w:hAnsi="Arial"/>
          <w:rtl/>
        </w:rPr>
        <w:t xml:space="preserve"> ובית חשמונאי והורדוס שמשלו לא </w:t>
      </w:r>
      <w:r>
        <w:rPr>
          <w:rFonts w:ascii="Arial" w:hAnsi="Arial"/>
          <w:b/>
          <w:bCs/>
          <w:rtl/>
        </w:rPr>
        <w:t>הי</w:t>
      </w:r>
      <w:r>
        <w:rPr>
          <w:rFonts w:ascii="Arial" w:hAnsi="Arial" w:hint="cs"/>
          <w:b/>
          <w:bCs/>
          <w:rtl/>
        </w:rPr>
        <w:t>ו</w:t>
      </w:r>
      <w:r>
        <w:rPr>
          <w:rFonts w:ascii="Arial" w:hAnsi="Arial" w:hint="cs"/>
          <w:rtl/>
        </w:rPr>
        <w:t xml:space="preserve"> </w:t>
      </w:r>
      <w:r>
        <w:rPr>
          <w:rFonts w:ascii="Arial" w:hAnsi="Arial"/>
          <w:rtl/>
        </w:rPr>
        <w:t>משבט יהודה</w:t>
      </w:r>
      <w:r>
        <w:rPr>
          <w:rFonts w:ascii="Arial" w:hAnsi="Arial" w:hint="cs"/>
          <w:rtl/>
        </w:rPr>
        <w:t>". אגב, במקום המִלה המודגשת מצוי בדפוסים נוסח מוקשה: "הי</w:t>
      </w:r>
      <w:r>
        <w:rPr>
          <w:rFonts w:ascii="Arial" w:hAnsi="Arial" w:hint="cs"/>
          <w:b/>
          <w:bCs/>
          <w:rtl/>
        </w:rPr>
        <w:t>ה</w:t>
      </w:r>
      <w:r>
        <w:rPr>
          <w:rFonts w:ascii="Arial" w:hAnsi="Arial" w:hint="cs"/>
          <w:rtl/>
        </w:rPr>
        <w:t>" (שאולי פוענח מנוסח מקוצר: הי'). מן ההֶקשר מסתבר יותר הנוסח "</w:t>
      </w:r>
      <w:r>
        <w:rPr>
          <w:rFonts w:ascii="Arial" w:hAnsi="Arial"/>
          <w:rtl/>
        </w:rPr>
        <w:t>הי</w:t>
      </w:r>
      <w:r>
        <w:rPr>
          <w:rFonts w:ascii="Arial" w:hAnsi="Arial" w:hint="cs"/>
          <w:rtl/>
        </w:rPr>
        <w:t>ו" המופיע בכת"י (</w:t>
      </w:r>
      <w:r>
        <w:rPr>
          <w:rFonts w:ascii="Arial" w:hAnsi="Arial" w:hint="cs"/>
          <w:sz w:val="18"/>
          <w:szCs w:val="20"/>
          <w:rtl/>
        </w:rPr>
        <w:t xml:space="preserve">כפי שנמסר לי </w:t>
      </w:r>
      <w:r>
        <w:rPr>
          <w:sz w:val="18"/>
          <w:szCs w:val="20"/>
          <w:rtl/>
        </w:rPr>
        <w:t>ממפעל מקראות גדולות הכתר</w:t>
      </w:r>
      <w:r>
        <w:rPr>
          <w:rFonts w:hint="cs"/>
          <w:sz w:val="18"/>
          <w:szCs w:val="20"/>
          <w:rtl/>
        </w:rPr>
        <w:t xml:space="preserve"> של </w:t>
      </w:r>
      <w:r>
        <w:rPr>
          <w:sz w:val="18"/>
          <w:szCs w:val="20"/>
          <w:rtl/>
        </w:rPr>
        <w:t>אוניברסיטת בר אילן</w:t>
      </w:r>
      <w:r>
        <w:rPr>
          <w:rFonts w:ascii="Arial" w:hAnsi="Arial" w:hint="cs"/>
          <w:rtl/>
        </w:rPr>
        <w:t>).</w:t>
      </w:r>
    </w:p>
  </w:footnote>
  <w:footnote w:id="84">
    <w:p w14:paraId="196ACAB0" w14:textId="77777777" w:rsidR="00940290" w:rsidRDefault="00940290" w:rsidP="00940290">
      <w:pPr>
        <w:pStyle w:val="a5"/>
        <w:rPr>
          <w:sz w:val="30"/>
          <w:szCs w:val="28"/>
          <w:rtl/>
        </w:rPr>
      </w:pPr>
      <w:r>
        <w:rPr>
          <w:rStyle w:val="a4"/>
          <w:rtl/>
        </w:rPr>
        <w:footnoteRef/>
      </w:r>
      <w:r>
        <w:rPr>
          <w:sz w:val="26"/>
          <w:szCs w:val="28"/>
        </w:rPr>
        <w:t xml:space="preserve"> </w:t>
      </w:r>
      <w:r>
        <w:rPr>
          <w:rFonts w:ascii="Arial" w:hAnsi="Arial" w:hint="cs"/>
          <w:sz w:val="26"/>
          <w:rtl/>
        </w:rPr>
        <w:t>ר"ל שהצורה ה"צפויה" היא "</w:t>
      </w:r>
      <w:r>
        <w:rPr>
          <w:rFonts w:ascii="Arial" w:hAnsi="Arial"/>
          <w:sz w:val="26"/>
          <w:rtl/>
        </w:rPr>
        <w:t>פ</w:t>
      </w:r>
      <w:r>
        <w:rPr>
          <w:rFonts w:ascii="Arial" w:hAnsi="Arial" w:hint="cs"/>
          <w:sz w:val="26"/>
          <w:rtl/>
        </w:rPr>
        <w:t>ַ</w:t>
      </w:r>
      <w:r>
        <w:rPr>
          <w:rFonts w:ascii="Arial" w:hAnsi="Arial"/>
          <w:sz w:val="26"/>
          <w:rtl/>
        </w:rPr>
        <w:t>חתך</w:t>
      </w:r>
      <w:r>
        <w:rPr>
          <w:rFonts w:ascii="Arial" w:hAnsi="Arial" w:hint="cs"/>
          <w:sz w:val="26"/>
          <w:rtl/>
        </w:rPr>
        <w:t>".</w:t>
      </w:r>
    </w:p>
  </w:footnote>
  <w:footnote w:id="85">
    <w:p w14:paraId="30EE9256" w14:textId="77777777" w:rsidR="00940290" w:rsidRDefault="00940290" w:rsidP="00940290">
      <w:pPr>
        <w:pStyle w:val="a5"/>
        <w:rPr>
          <w:rFonts w:hint="cs"/>
          <w:sz w:val="8"/>
          <w:szCs w:val="10"/>
          <w:rtl/>
        </w:rPr>
      </w:pPr>
      <w:r>
        <w:rPr>
          <w:rStyle w:val="a4"/>
          <w:rtl/>
        </w:rPr>
        <w:footnoteRef/>
      </w:r>
      <w:r>
        <w:t xml:space="preserve"> </w:t>
      </w:r>
      <w:r>
        <w:rPr>
          <w:rFonts w:hint="cs"/>
          <w:rtl/>
        </w:rPr>
        <w:t>מן הסמיכות לשם "</w:t>
      </w:r>
      <w:r>
        <w:rPr>
          <w:rtl/>
        </w:rPr>
        <w:t>מו</w:t>
      </w:r>
      <w:r>
        <w:rPr>
          <w:rFonts w:hint="cs"/>
          <w:rtl/>
        </w:rPr>
        <w:t>ֹ</w:t>
      </w:r>
      <w:r>
        <w:rPr>
          <w:rtl/>
        </w:rPr>
        <w:t>ש</w:t>
      </w:r>
      <w:r>
        <w:rPr>
          <w:rFonts w:hint="cs"/>
          <w:rtl/>
        </w:rPr>
        <w:t>ֵ</w:t>
      </w:r>
      <w:r>
        <w:rPr>
          <w:rtl/>
        </w:rPr>
        <w:t>ל</w:t>
      </w:r>
      <w:r>
        <w:rPr>
          <w:rFonts w:hint="cs"/>
          <w:rtl/>
        </w:rPr>
        <w:t>"</w:t>
      </w:r>
      <w:r>
        <w:rPr>
          <w:rtl/>
        </w:rPr>
        <w:t xml:space="preserve"> </w:t>
      </w:r>
      <w:r>
        <w:rPr>
          <w:rFonts w:hint="cs"/>
          <w:rtl/>
        </w:rPr>
        <w:t>ברור שכוונתו לשם המוחשי (שם תואר מועצם) "</w:t>
      </w:r>
      <w:r>
        <w:rPr>
          <w:rtl/>
        </w:rPr>
        <w:t>שלטון</w:t>
      </w:r>
      <w:r>
        <w:rPr>
          <w:rFonts w:hint="cs"/>
          <w:rtl/>
        </w:rPr>
        <w:t>", הנרדף לשם "</w:t>
      </w:r>
      <w:r>
        <w:rPr>
          <w:rtl/>
        </w:rPr>
        <w:t>שַׁלִּיט</w:t>
      </w:r>
      <w:r>
        <w:rPr>
          <w:rFonts w:hint="cs"/>
          <w:rtl/>
        </w:rPr>
        <w:t>", האדם בעל השׂררה (</w:t>
      </w:r>
      <w:r>
        <w:rPr>
          <w:rFonts w:hint="cs"/>
          <w:sz w:val="18"/>
          <w:szCs w:val="20"/>
          <w:rtl/>
        </w:rPr>
        <w:t>כמו ב</w:t>
      </w:r>
      <w:r>
        <w:rPr>
          <w:sz w:val="18"/>
          <w:szCs w:val="20"/>
          <w:rtl/>
        </w:rPr>
        <w:t>קידושין פ</w:t>
      </w:r>
      <w:r>
        <w:rPr>
          <w:rFonts w:hint="cs"/>
          <w:sz w:val="18"/>
          <w:szCs w:val="20"/>
          <w:rtl/>
        </w:rPr>
        <w:t>"</w:t>
      </w:r>
      <w:r>
        <w:rPr>
          <w:sz w:val="18"/>
          <w:szCs w:val="20"/>
          <w:rtl/>
        </w:rPr>
        <w:t>ג מ</w:t>
      </w:r>
      <w:r>
        <w:rPr>
          <w:rFonts w:hint="cs"/>
          <w:sz w:val="18"/>
          <w:szCs w:val="20"/>
          <w:rtl/>
        </w:rPr>
        <w:t>"</w:t>
      </w:r>
      <w:r>
        <w:rPr>
          <w:sz w:val="18"/>
          <w:szCs w:val="20"/>
          <w:rtl/>
        </w:rPr>
        <w:t xml:space="preserve">ו </w:t>
      </w:r>
      <w:r>
        <w:rPr>
          <w:rFonts w:hint="cs"/>
          <w:sz w:val="18"/>
          <w:szCs w:val="20"/>
          <w:rtl/>
        </w:rPr>
        <w:t>"</w:t>
      </w:r>
      <w:r>
        <w:rPr>
          <w:sz w:val="18"/>
          <w:szCs w:val="20"/>
          <w:rtl/>
        </w:rPr>
        <w:t>אדבר עליך לשלטון</w:t>
      </w:r>
      <w:r>
        <w:rPr>
          <w:rFonts w:hint="cs"/>
          <w:sz w:val="18"/>
          <w:szCs w:val="20"/>
          <w:rtl/>
        </w:rPr>
        <w:t xml:space="preserve">" וכלשון </w:t>
      </w:r>
      <w:r>
        <w:rPr>
          <w:sz w:val="18"/>
          <w:szCs w:val="20"/>
          <w:rtl/>
        </w:rPr>
        <w:t>רש"י</w:t>
      </w:r>
      <w:r>
        <w:rPr>
          <w:rFonts w:hint="cs"/>
          <w:sz w:val="18"/>
          <w:szCs w:val="20"/>
          <w:rtl/>
        </w:rPr>
        <w:t xml:space="preserve">, </w:t>
      </w:r>
      <w:r>
        <w:rPr>
          <w:sz w:val="18"/>
          <w:szCs w:val="20"/>
          <w:rtl/>
        </w:rPr>
        <w:t>עזרא ה</w:t>
      </w:r>
      <w:r>
        <w:rPr>
          <w:rFonts w:hint="cs"/>
          <w:sz w:val="18"/>
          <w:szCs w:val="20"/>
          <w:rtl/>
        </w:rPr>
        <w:t xml:space="preserve">, </w:t>
      </w:r>
      <w:r>
        <w:rPr>
          <w:sz w:val="18"/>
          <w:szCs w:val="20"/>
          <w:rtl/>
        </w:rPr>
        <w:t>ג</w:t>
      </w:r>
      <w:r>
        <w:rPr>
          <w:rFonts w:hint="cs"/>
          <w:sz w:val="18"/>
          <w:szCs w:val="20"/>
          <w:rtl/>
        </w:rPr>
        <w:t>: "</w:t>
      </w:r>
      <w:r>
        <w:rPr>
          <w:sz w:val="18"/>
          <w:szCs w:val="20"/>
          <w:rtl/>
        </w:rPr>
        <w:t>פחת עבר נהרא - שלטון</w:t>
      </w:r>
      <w:r>
        <w:rPr>
          <w:rFonts w:hint="cs"/>
          <w:sz w:val="18"/>
          <w:szCs w:val="20"/>
          <w:rtl/>
        </w:rPr>
        <w:t xml:space="preserve"> </w:t>
      </w:r>
      <w:r>
        <w:rPr>
          <w:sz w:val="18"/>
          <w:szCs w:val="20"/>
          <w:rtl/>
        </w:rPr>
        <w:t>של עבר הנהר</w:t>
      </w:r>
      <w:r>
        <w:rPr>
          <w:rFonts w:hint="cs"/>
          <w:sz w:val="18"/>
          <w:szCs w:val="20"/>
          <w:rtl/>
        </w:rPr>
        <w:t>"; בלשון ימינו משמש שם זה בהוראה זו רק בריבוי: "השלטונות"</w:t>
      </w:r>
      <w:r>
        <w:rPr>
          <w:rFonts w:hint="cs"/>
          <w:rtl/>
        </w:rPr>
        <w:t>), ולא לשם המופשט "</w:t>
      </w:r>
      <w:r>
        <w:rPr>
          <w:rtl/>
        </w:rPr>
        <w:t>שלטון</w:t>
      </w:r>
      <w:r>
        <w:rPr>
          <w:rFonts w:hint="cs"/>
          <w:rtl/>
        </w:rPr>
        <w:t>", הנרדף לשם "שְליטה" או "ממשלה" (</w:t>
      </w:r>
      <w:r>
        <w:rPr>
          <w:rFonts w:hint="cs"/>
          <w:sz w:val="18"/>
          <w:szCs w:val="20"/>
          <w:rtl/>
        </w:rPr>
        <w:t>כמו בתפִלת הימים הנוראים: "...</w:t>
      </w:r>
      <w:r>
        <w:rPr>
          <w:sz w:val="18"/>
          <w:szCs w:val="20"/>
          <w:rtl/>
        </w:rPr>
        <w:t>שידענו ה' אלהינו שהש</w:t>
      </w:r>
      <w:r>
        <w:rPr>
          <w:rFonts w:hint="cs"/>
          <w:sz w:val="18"/>
          <w:szCs w:val="20"/>
          <w:rtl/>
        </w:rPr>
        <w:t>ִ</w:t>
      </w:r>
      <w:r>
        <w:rPr>
          <w:sz w:val="18"/>
          <w:szCs w:val="20"/>
          <w:rtl/>
        </w:rPr>
        <w:t>לטו</w:t>
      </w:r>
      <w:r>
        <w:rPr>
          <w:rFonts w:hint="cs"/>
          <w:sz w:val="18"/>
          <w:szCs w:val="20"/>
          <w:rtl/>
        </w:rPr>
        <w:t>ֹ</w:t>
      </w:r>
      <w:r>
        <w:rPr>
          <w:sz w:val="18"/>
          <w:szCs w:val="20"/>
          <w:rtl/>
        </w:rPr>
        <w:t xml:space="preserve">ן </w:t>
      </w:r>
      <w:r>
        <w:rPr>
          <w:rFonts w:hint="cs"/>
          <w:sz w:val="18"/>
          <w:szCs w:val="20"/>
          <w:rtl/>
        </w:rPr>
        <w:t>[מ]</w:t>
      </w:r>
      <w:r>
        <w:rPr>
          <w:sz w:val="18"/>
          <w:szCs w:val="20"/>
          <w:rtl/>
        </w:rPr>
        <w:t>לפניך</w:t>
      </w:r>
      <w:r>
        <w:rPr>
          <w:rFonts w:hint="cs"/>
          <w:sz w:val="18"/>
          <w:szCs w:val="20"/>
          <w:rtl/>
        </w:rPr>
        <w:t>", לפי נוסח ראשונים רבים; כיום מקובל יותר נוסח ה</w:t>
      </w:r>
      <w:r>
        <w:rPr>
          <w:sz w:val="18"/>
          <w:szCs w:val="20"/>
          <w:rtl/>
        </w:rPr>
        <w:t xml:space="preserve">מהרי"ל </w:t>
      </w:r>
      <w:r>
        <w:rPr>
          <w:rFonts w:hint="cs"/>
          <w:sz w:val="18"/>
          <w:szCs w:val="20"/>
          <w:rtl/>
        </w:rPr>
        <w:t>"שהשֳלטָן", שהובא ב</w:t>
      </w:r>
      <w:r>
        <w:rPr>
          <w:sz w:val="18"/>
          <w:szCs w:val="20"/>
          <w:rtl/>
        </w:rPr>
        <w:t>מגן אברהם או</w:t>
      </w:r>
      <w:r>
        <w:rPr>
          <w:rFonts w:hint="cs"/>
          <w:sz w:val="18"/>
          <w:szCs w:val="20"/>
          <w:rtl/>
        </w:rPr>
        <w:t>"</w:t>
      </w:r>
      <w:r>
        <w:rPr>
          <w:sz w:val="18"/>
          <w:szCs w:val="20"/>
          <w:rtl/>
        </w:rPr>
        <w:t>ח תקפ</w:t>
      </w:r>
      <w:r>
        <w:rPr>
          <w:rFonts w:hint="cs"/>
          <w:sz w:val="18"/>
          <w:szCs w:val="20"/>
          <w:rtl/>
        </w:rPr>
        <w:t>"</w:t>
      </w:r>
      <w:r>
        <w:rPr>
          <w:sz w:val="18"/>
          <w:szCs w:val="20"/>
          <w:rtl/>
        </w:rPr>
        <w:t>ב</w:t>
      </w:r>
      <w:r>
        <w:rPr>
          <w:rFonts w:hint="cs"/>
          <w:sz w:val="18"/>
          <w:szCs w:val="20"/>
          <w:rtl/>
        </w:rPr>
        <w:t>, סק"</w:t>
      </w:r>
      <w:r>
        <w:rPr>
          <w:sz w:val="18"/>
          <w:szCs w:val="20"/>
          <w:rtl/>
        </w:rPr>
        <w:t>ד</w:t>
      </w:r>
      <w:r>
        <w:rPr>
          <w:rFonts w:hint="cs"/>
          <w:sz w:val="18"/>
          <w:szCs w:val="20"/>
          <w:rtl/>
        </w:rPr>
        <w:t xml:space="preserve">. וע"ע: דעת מקרא על </w:t>
      </w:r>
      <w:r>
        <w:rPr>
          <w:sz w:val="18"/>
          <w:szCs w:val="20"/>
          <w:rtl/>
        </w:rPr>
        <w:t>קהלת ח</w:t>
      </w:r>
      <w:r>
        <w:rPr>
          <w:rFonts w:hint="cs"/>
          <w:sz w:val="18"/>
          <w:szCs w:val="20"/>
          <w:rtl/>
        </w:rPr>
        <w:t xml:space="preserve">, </w:t>
      </w:r>
      <w:r>
        <w:rPr>
          <w:sz w:val="18"/>
          <w:szCs w:val="20"/>
          <w:rtl/>
        </w:rPr>
        <w:t>ד</w:t>
      </w:r>
      <w:r>
        <w:rPr>
          <w:rFonts w:hint="cs"/>
          <w:sz w:val="18"/>
          <w:szCs w:val="20"/>
          <w:rtl/>
        </w:rPr>
        <w:t xml:space="preserve">, הערה 15, ו"שערי דמעות" סי' רנ"ד, </w:t>
      </w:r>
      <w:r>
        <w:rPr>
          <w:sz w:val="18"/>
          <w:szCs w:val="20"/>
          <w:rtl/>
        </w:rPr>
        <w:t>ב</w:t>
      </w:r>
      <w:r>
        <w:rPr>
          <w:rFonts w:hint="cs"/>
          <w:sz w:val="18"/>
          <w:szCs w:val="20"/>
          <w:rtl/>
        </w:rPr>
        <w:t>ת</w:t>
      </w:r>
      <w:r>
        <w:rPr>
          <w:sz w:val="18"/>
          <w:szCs w:val="20"/>
          <w:rtl/>
        </w:rPr>
        <w:t>ו</w:t>
      </w:r>
      <w:r>
        <w:rPr>
          <w:rFonts w:hint="cs"/>
          <w:sz w:val="18"/>
          <w:szCs w:val="20"/>
          <w:rtl/>
        </w:rPr>
        <w:t>ך</w:t>
      </w:r>
      <w:r>
        <w:rPr>
          <w:sz w:val="18"/>
          <w:szCs w:val="20"/>
          <w:rtl/>
        </w:rPr>
        <w:t xml:space="preserve"> לוח ארש</w:t>
      </w:r>
      <w:r>
        <w:rPr>
          <w:rFonts w:hint="cs"/>
          <w:sz w:val="18"/>
          <w:szCs w:val="20"/>
          <w:rtl/>
        </w:rPr>
        <w:t xml:space="preserve">, מהדורת ר"ד </w:t>
      </w:r>
      <w:r>
        <w:rPr>
          <w:sz w:val="18"/>
          <w:szCs w:val="20"/>
          <w:rtl/>
        </w:rPr>
        <w:t>יצחקי</w:t>
      </w:r>
      <w:r>
        <w:rPr>
          <w:rFonts w:hint="cs"/>
          <w:sz w:val="18"/>
          <w:szCs w:val="20"/>
          <w:rtl/>
        </w:rPr>
        <w:t>, עמ' רפא, הערה 210</w:t>
      </w:r>
      <w:r>
        <w:rPr>
          <w:rFonts w:hint="cs"/>
          <w:rtl/>
        </w:rPr>
        <w:t>). השוה ללשון רד"ק בתחילת חגי (</w:t>
      </w:r>
      <w:r>
        <w:rPr>
          <w:rFonts w:hint="cs"/>
          <w:sz w:val="18"/>
          <w:szCs w:val="20"/>
          <w:rtl/>
        </w:rPr>
        <w:t>הנ"ל בהערה 17</w:t>
      </w:r>
      <w:r>
        <w:rPr>
          <w:rFonts w:hint="cs"/>
          <w:rtl/>
        </w:rPr>
        <w:t>).</w:t>
      </w:r>
      <w:r>
        <w:rPr>
          <w:sz w:val="8"/>
          <w:szCs w:val="10"/>
          <w:rtl/>
          <w:lang w:eastAsia="he-IL"/>
        </w:rPr>
        <w:t xml:space="preserve"> </w:t>
      </w:r>
    </w:p>
  </w:footnote>
  <w:footnote w:id="86">
    <w:p w14:paraId="4B70C342" w14:textId="77777777" w:rsidR="00940290" w:rsidRDefault="00940290" w:rsidP="00940290">
      <w:pPr>
        <w:pStyle w:val="a5"/>
        <w:rPr>
          <w:rtl/>
        </w:rPr>
      </w:pPr>
      <w:r>
        <w:rPr>
          <w:rStyle w:val="a4"/>
          <w:rtl/>
        </w:rPr>
        <w:footnoteRef/>
      </w:r>
      <w:r>
        <w:t xml:space="preserve"> </w:t>
      </w:r>
      <w:r>
        <w:rPr>
          <w:rFonts w:ascii="Arial" w:hAnsi="Arial" w:hint="cs"/>
          <w:rtl/>
        </w:rPr>
        <w:t>מעניין להשוות תרגום זה של יונתן בן עוזיאל לתרגומו לכתוב בתחילת חגי "</w:t>
      </w:r>
      <w:r>
        <w:rPr>
          <w:rFonts w:ascii="Arial" w:hAnsi="Arial"/>
          <w:rtl/>
        </w:rPr>
        <w:t>פַּחַת יְהוּדָה</w:t>
      </w:r>
      <w:r>
        <w:rPr>
          <w:rFonts w:ascii="Arial" w:hAnsi="Arial" w:hint="cs"/>
          <w:rtl/>
        </w:rPr>
        <w:t>" - "רבא", בדומה ל"</w:t>
      </w:r>
      <w:r>
        <w:rPr>
          <w:rFonts w:ascii="Arial" w:hAnsi="Arial"/>
          <w:b/>
          <w:bCs/>
          <w:rtl/>
        </w:rPr>
        <w:t>רברבי</w:t>
      </w:r>
      <w:r>
        <w:rPr>
          <w:rFonts w:ascii="Arial" w:hAnsi="Arial" w:hint="cs"/>
          <w:rtl/>
        </w:rPr>
        <w:t xml:space="preserve">" שבתרגום </w:t>
      </w:r>
      <w:r>
        <w:rPr>
          <w:rFonts w:ascii="Arial" w:hAnsi="Arial"/>
          <w:rtl/>
        </w:rPr>
        <w:t>אונקלוס</w:t>
      </w:r>
      <w:r>
        <w:rPr>
          <w:rFonts w:ascii="Arial" w:hAnsi="Arial" w:hint="cs"/>
          <w:rtl/>
        </w:rPr>
        <w:t xml:space="preserve"> ל"</w:t>
      </w:r>
      <w:r>
        <w:rPr>
          <w:rFonts w:ascii="Arial" w:hAnsi="Arial"/>
          <w:rtl/>
        </w:rPr>
        <w:t>פַּ</w:t>
      </w:r>
      <w:r>
        <w:rPr>
          <w:rFonts w:ascii="Arial" w:hAnsi="Arial"/>
          <w:b/>
          <w:bCs/>
          <w:rtl/>
        </w:rPr>
        <w:t>אֲ</w:t>
      </w:r>
      <w:r>
        <w:rPr>
          <w:rFonts w:ascii="Arial" w:hAnsi="Arial"/>
          <w:rtl/>
        </w:rPr>
        <w:t>תֵי</w:t>
      </w:r>
      <w:r>
        <w:rPr>
          <w:rFonts w:ascii="Arial" w:hAnsi="Arial" w:hint="cs"/>
          <w:rtl/>
        </w:rPr>
        <w:t>" (</w:t>
      </w:r>
      <w:r>
        <w:rPr>
          <w:rFonts w:ascii="Arial" w:hAnsi="Arial" w:hint="cs"/>
          <w:sz w:val="26"/>
          <w:rtl/>
        </w:rPr>
        <w:t xml:space="preserve">כנ"ל </w:t>
      </w:r>
      <w:r>
        <w:rPr>
          <w:rFonts w:ascii="Arial" w:hAnsi="Arial" w:hint="cs"/>
          <w:sz w:val="18"/>
          <w:szCs w:val="20"/>
          <w:rtl/>
        </w:rPr>
        <w:t>בהערה 9</w:t>
      </w:r>
      <w:r>
        <w:rPr>
          <w:rFonts w:ascii="Arial" w:hAnsi="Arial" w:hint="cs"/>
          <w:rtl/>
        </w:rPr>
        <w:t>).</w:t>
      </w:r>
    </w:p>
  </w:footnote>
  <w:footnote w:id="87">
    <w:p w14:paraId="3FFFA8E6" w14:textId="77777777" w:rsidR="00940290" w:rsidRDefault="00940290" w:rsidP="00940290">
      <w:pPr>
        <w:pStyle w:val="a5"/>
        <w:rPr>
          <w:rFonts w:hint="cs"/>
          <w:rtl/>
        </w:rPr>
      </w:pPr>
      <w:r>
        <w:rPr>
          <w:rStyle w:val="a4"/>
          <w:rtl/>
        </w:rPr>
        <w:footnoteRef/>
      </w:r>
      <w:r>
        <w:t xml:space="preserve"> </w:t>
      </w:r>
      <w:r>
        <w:rPr>
          <w:rFonts w:hint="cs"/>
          <w:rtl/>
        </w:rPr>
        <w:t xml:space="preserve">ראה חריגים: </w:t>
      </w:r>
      <w:r>
        <w:rPr>
          <w:sz w:val="24"/>
          <w:rtl/>
          <w:lang w:eastAsia="he-IL"/>
        </w:rPr>
        <w:t>במדבר רבה</w:t>
      </w:r>
      <w:r>
        <w:rPr>
          <w:rFonts w:hint="cs"/>
          <w:sz w:val="24"/>
          <w:rtl/>
          <w:lang w:eastAsia="he-IL"/>
        </w:rPr>
        <w:t xml:space="preserve">, </w:t>
      </w:r>
      <w:r>
        <w:rPr>
          <w:sz w:val="18"/>
          <w:szCs w:val="20"/>
          <w:rtl/>
          <w:lang w:eastAsia="he-IL"/>
        </w:rPr>
        <w:t>וילנא</w:t>
      </w:r>
      <w:r>
        <w:rPr>
          <w:rFonts w:hint="cs"/>
          <w:sz w:val="18"/>
          <w:szCs w:val="20"/>
          <w:rtl/>
          <w:lang w:eastAsia="he-IL"/>
        </w:rPr>
        <w:t>,</w:t>
      </w:r>
      <w:r>
        <w:rPr>
          <w:sz w:val="18"/>
          <w:szCs w:val="20"/>
          <w:rtl/>
          <w:lang w:eastAsia="he-IL"/>
        </w:rPr>
        <w:t xml:space="preserve"> פרשה כא</w:t>
      </w:r>
      <w:r>
        <w:rPr>
          <w:rFonts w:hint="cs"/>
          <w:sz w:val="18"/>
          <w:szCs w:val="20"/>
          <w:rtl/>
          <w:lang w:eastAsia="he-IL"/>
        </w:rPr>
        <w:t xml:space="preserve">, </w:t>
      </w:r>
      <w:r>
        <w:rPr>
          <w:sz w:val="18"/>
          <w:szCs w:val="20"/>
          <w:rtl/>
          <w:lang w:eastAsia="he-IL"/>
        </w:rPr>
        <w:t>יט</w:t>
      </w:r>
      <w:r>
        <w:rPr>
          <w:rFonts w:hint="cs"/>
          <w:sz w:val="24"/>
          <w:rtl/>
          <w:lang w:eastAsia="he-IL"/>
        </w:rPr>
        <w:t>, ו</w:t>
      </w:r>
      <w:r>
        <w:rPr>
          <w:sz w:val="24"/>
          <w:rtl/>
          <w:lang w:eastAsia="he-IL"/>
        </w:rPr>
        <w:t>תנחומא</w:t>
      </w:r>
      <w:r>
        <w:rPr>
          <w:rFonts w:hint="cs"/>
          <w:sz w:val="18"/>
          <w:szCs w:val="20"/>
          <w:rtl/>
          <w:lang w:eastAsia="he-IL"/>
        </w:rPr>
        <w:t xml:space="preserve">, </w:t>
      </w:r>
      <w:r>
        <w:rPr>
          <w:sz w:val="18"/>
          <w:szCs w:val="20"/>
          <w:rtl/>
          <w:lang w:eastAsia="he-IL"/>
        </w:rPr>
        <w:t>ורשא</w:t>
      </w:r>
      <w:r>
        <w:rPr>
          <w:rFonts w:hint="cs"/>
          <w:sz w:val="18"/>
          <w:szCs w:val="20"/>
          <w:rtl/>
          <w:lang w:eastAsia="he-IL"/>
        </w:rPr>
        <w:t xml:space="preserve">, </w:t>
      </w:r>
      <w:r>
        <w:rPr>
          <w:sz w:val="18"/>
          <w:szCs w:val="20"/>
          <w:rtl/>
          <w:lang w:eastAsia="he-IL"/>
        </w:rPr>
        <w:t>פנחס</w:t>
      </w:r>
      <w:r>
        <w:rPr>
          <w:rFonts w:hint="cs"/>
          <w:sz w:val="18"/>
          <w:szCs w:val="20"/>
          <w:rtl/>
          <w:lang w:eastAsia="he-IL"/>
        </w:rPr>
        <w:t xml:space="preserve">, </w:t>
      </w:r>
      <w:r>
        <w:rPr>
          <w:sz w:val="18"/>
          <w:szCs w:val="20"/>
          <w:rtl/>
          <w:lang w:eastAsia="he-IL"/>
        </w:rPr>
        <w:t>י</w:t>
      </w:r>
      <w:r>
        <w:rPr>
          <w:rFonts w:hint="cs"/>
          <w:sz w:val="18"/>
          <w:szCs w:val="20"/>
          <w:rtl/>
          <w:lang w:eastAsia="he-IL"/>
        </w:rPr>
        <w:t>"</w:t>
      </w:r>
      <w:r>
        <w:rPr>
          <w:sz w:val="18"/>
          <w:szCs w:val="20"/>
          <w:rtl/>
          <w:lang w:eastAsia="he-IL"/>
        </w:rPr>
        <w:t>ב</w:t>
      </w:r>
      <w:r>
        <w:rPr>
          <w:rFonts w:hint="cs"/>
          <w:sz w:val="24"/>
          <w:rtl/>
          <w:lang w:eastAsia="he-IL"/>
        </w:rPr>
        <w:t>.</w:t>
      </w:r>
    </w:p>
  </w:footnote>
  <w:footnote w:id="88">
    <w:p w14:paraId="4DFF44F0" w14:textId="77777777" w:rsidR="00940290" w:rsidRDefault="00940290" w:rsidP="00940290">
      <w:pPr>
        <w:pStyle w:val="a5"/>
        <w:rPr>
          <w:rFonts w:hint="cs"/>
          <w:rtl/>
        </w:rPr>
      </w:pPr>
      <w:r>
        <w:rPr>
          <w:rStyle w:val="a4"/>
        </w:rPr>
        <w:footnoteRef/>
      </w:r>
      <w:r>
        <w:rPr>
          <w:rFonts w:hint="cs"/>
          <w:rtl/>
        </w:rPr>
        <w:t xml:space="preserve"> במובן המדיני הרגיל והפשוט. ברם, נראה כי מי שפֵ</w:t>
      </w:r>
      <w:r>
        <w:rPr>
          <w:rFonts w:ascii="Arial" w:hAnsi="Arial" w:hint="cs"/>
          <w:rtl/>
        </w:rPr>
        <w:t>רש "</w:t>
      </w:r>
      <w:r>
        <w:rPr>
          <w:rFonts w:ascii="Arial" w:hAnsi="Arial"/>
          <w:rtl/>
        </w:rPr>
        <w:t>בנו של תלמיד חכם</w:t>
      </w:r>
      <w:r>
        <w:rPr>
          <w:rFonts w:ascii="Arial" w:hAnsi="Arial" w:hint="cs"/>
          <w:rtl/>
        </w:rPr>
        <w:t>" (המיוחס ל</w:t>
      </w:r>
      <w:r>
        <w:rPr>
          <w:rFonts w:ascii="Arial" w:hAnsi="Arial"/>
          <w:rtl/>
        </w:rPr>
        <w:t>רש"י</w:t>
      </w:r>
      <w:r>
        <w:rPr>
          <w:rFonts w:ascii="Arial" w:hAnsi="Arial" w:hint="cs"/>
          <w:rtl/>
        </w:rPr>
        <w:t xml:space="preserve">, </w:t>
      </w:r>
      <w:r>
        <w:rPr>
          <w:rFonts w:ascii="Arial" w:hAnsi="Arial" w:hint="cs"/>
          <w:sz w:val="18"/>
          <w:szCs w:val="20"/>
          <w:rtl/>
        </w:rPr>
        <w:t>כנ"ל בהערה 11</w:t>
      </w:r>
      <w:r>
        <w:rPr>
          <w:rFonts w:ascii="Arial" w:hAnsi="Arial" w:hint="cs"/>
          <w:rtl/>
        </w:rPr>
        <w:t xml:space="preserve">) </w:t>
      </w:r>
      <w:r>
        <w:rPr>
          <w:rFonts w:hint="cs"/>
          <w:rtl/>
        </w:rPr>
        <w:t>סבר כי "פחתי" כאן היא לשון מליצית ומטאפורית, כמו בכינוי "שׂר התורה" למי שגדול מאוד בתורה (</w:t>
      </w:r>
      <w:r>
        <w:rPr>
          <w:rFonts w:hint="cs"/>
          <w:sz w:val="18"/>
          <w:szCs w:val="20"/>
          <w:rtl/>
        </w:rPr>
        <w:t xml:space="preserve">כגון בפניית הרב </w:t>
      </w:r>
      <w:r>
        <w:rPr>
          <w:rFonts w:ascii="Arial" w:hAnsi="Arial"/>
          <w:sz w:val="18"/>
          <w:szCs w:val="20"/>
          <w:rtl/>
        </w:rPr>
        <w:t>יעקב רוזנטל</w:t>
      </w:r>
      <w:r>
        <w:rPr>
          <w:rFonts w:hint="cs"/>
          <w:sz w:val="18"/>
          <w:szCs w:val="20"/>
          <w:rtl/>
        </w:rPr>
        <w:t xml:space="preserve"> "</w:t>
      </w:r>
      <w:r>
        <w:rPr>
          <w:rFonts w:ascii="Arial" w:hAnsi="Arial"/>
          <w:sz w:val="18"/>
          <w:szCs w:val="20"/>
          <w:rtl/>
        </w:rPr>
        <w:t>לכבוד הגאון האדיר שר התורה ציס"ע מרן יצחק אייזיק הלוי הרצוג</w:t>
      </w:r>
      <w:r>
        <w:rPr>
          <w:rFonts w:ascii="Arial" w:hAnsi="Arial" w:hint="cs"/>
          <w:sz w:val="18"/>
          <w:szCs w:val="20"/>
          <w:rtl/>
        </w:rPr>
        <w:t>"</w:t>
      </w:r>
      <w:r>
        <w:rPr>
          <w:rFonts w:hint="cs"/>
          <w:sz w:val="18"/>
          <w:szCs w:val="20"/>
          <w:rtl/>
        </w:rPr>
        <w:t xml:space="preserve">, </w:t>
      </w:r>
      <w:r>
        <w:rPr>
          <w:rFonts w:ascii="Arial" w:hAnsi="Arial"/>
          <w:sz w:val="18"/>
          <w:szCs w:val="20"/>
          <w:rtl/>
        </w:rPr>
        <w:t>שו"ת היכל יצחק אה"ע ב</w:t>
      </w:r>
      <w:r>
        <w:rPr>
          <w:rFonts w:ascii="Arial" w:hAnsi="Arial" w:hint="cs"/>
          <w:sz w:val="18"/>
          <w:szCs w:val="20"/>
          <w:rtl/>
        </w:rPr>
        <w:t>'</w:t>
      </w:r>
      <w:r>
        <w:rPr>
          <w:rFonts w:ascii="Arial" w:hAnsi="Arial"/>
          <w:sz w:val="18"/>
          <w:szCs w:val="20"/>
          <w:rtl/>
        </w:rPr>
        <w:t xml:space="preserve"> סימן ט</w:t>
      </w:r>
      <w:r>
        <w:rPr>
          <w:rFonts w:ascii="Arial" w:hAnsi="Arial" w:hint="cs"/>
          <w:sz w:val="18"/>
          <w:szCs w:val="20"/>
          <w:rtl/>
        </w:rPr>
        <w:t>'</w:t>
      </w:r>
      <w:r>
        <w:rPr>
          <w:rFonts w:hint="cs"/>
          <w:rtl/>
        </w:rPr>
        <w:t>). מטאפורה זו מקורה כבר במקרא: "</w:t>
      </w:r>
      <w:r>
        <w:rPr>
          <w:rtl/>
        </w:rPr>
        <w:t>דרבנן איקרו מלכים</w:t>
      </w:r>
      <w:r>
        <w:rPr>
          <w:rFonts w:hint="cs"/>
          <w:rtl/>
        </w:rPr>
        <w:t xml:space="preserve">... </w:t>
      </w:r>
      <w:r>
        <w:rPr>
          <w:rtl/>
        </w:rPr>
        <w:t>דכתיב</w:t>
      </w:r>
      <w:r>
        <w:rPr>
          <w:rFonts w:hint="cs"/>
          <w:rtl/>
        </w:rPr>
        <w:t xml:space="preserve"> '</w:t>
      </w:r>
      <w:r>
        <w:rPr>
          <w:rtl/>
        </w:rPr>
        <w:t>בִּי מְלָכִים יִמְלֹכוּ</w:t>
      </w:r>
      <w:r>
        <w:rPr>
          <w:rFonts w:hint="cs"/>
          <w:rtl/>
        </w:rPr>
        <w:t>'</w:t>
      </w:r>
      <w:r>
        <w:rPr>
          <w:sz w:val="18"/>
          <w:szCs w:val="20"/>
          <w:rtl/>
        </w:rPr>
        <w:t xml:space="preserve"> </w:t>
      </w:r>
      <w:r>
        <w:rPr>
          <w:rFonts w:hint="cs"/>
          <w:sz w:val="18"/>
          <w:szCs w:val="20"/>
          <w:rtl/>
        </w:rPr>
        <w:t>(</w:t>
      </w:r>
      <w:r>
        <w:rPr>
          <w:sz w:val="18"/>
          <w:szCs w:val="20"/>
          <w:rtl/>
        </w:rPr>
        <w:t>משלי ח</w:t>
      </w:r>
      <w:r>
        <w:rPr>
          <w:rFonts w:hint="cs"/>
          <w:sz w:val="18"/>
          <w:szCs w:val="20"/>
          <w:rtl/>
        </w:rPr>
        <w:t>,</w:t>
      </w:r>
      <w:r>
        <w:rPr>
          <w:sz w:val="18"/>
          <w:szCs w:val="20"/>
          <w:rtl/>
        </w:rPr>
        <w:t xml:space="preserve"> טו</w:t>
      </w:r>
      <w:r>
        <w:rPr>
          <w:rFonts w:hint="cs"/>
          <w:rtl/>
        </w:rPr>
        <w:t>)"</w:t>
      </w:r>
      <w:r>
        <w:rPr>
          <w:rFonts w:hint="cs"/>
          <w:sz w:val="26"/>
          <w:rtl/>
        </w:rPr>
        <w:t xml:space="preserve"> (</w:t>
      </w:r>
      <w:r>
        <w:rPr>
          <w:sz w:val="18"/>
          <w:szCs w:val="20"/>
          <w:rtl/>
        </w:rPr>
        <w:t>גיטין סב</w:t>
      </w:r>
      <w:r>
        <w:rPr>
          <w:rFonts w:hint="cs"/>
          <w:sz w:val="18"/>
          <w:szCs w:val="20"/>
          <w:rtl/>
        </w:rPr>
        <w:t xml:space="preserve">, </w:t>
      </w:r>
      <w:r>
        <w:rPr>
          <w:sz w:val="18"/>
          <w:szCs w:val="20"/>
          <w:rtl/>
        </w:rPr>
        <w:t>א</w:t>
      </w:r>
      <w:r>
        <w:rPr>
          <w:rFonts w:hint="cs"/>
          <w:rtl/>
        </w:rPr>
        <w:t xml:space="preserve">). בדרך זו תורגם כינוי זה </w:t>
      </w:r>
      <w:r>
        <w:rPr>
          <w:rtl/>
        </w:rPr>
        <w:t>במהדורת ארט</w:t>
      </w:r>
      <w:r>
        <w:rPr>
          <w:rFonts w:hint="cs"/>
          <w:rtl/>
        </w:rPr>
        <w:t>-</w:t>
      </w:r>
      <w:r>
        <w:rPr>
          <w:rtl/>
        </w:rPr>
        <w:t>סקרול</w:t>
      </w:r>
      <w:r>
        <w:rPr>
          <w:rFonts w:hint="cs"/>
          <w:rtl/>
        </w:rPr>
        <w:t xml:space="preserve"> של מסכת שבת: "בן של גדולי </w:t>
      </w:r>
      <w:r>
        <w:rPr>
          <w:rFonts w:hint="cs"/>
          <w:b/>
          <w:bCs/>
          <w:rtl/>
        </w:rPr>
        <w:t>תורה</w:t>
      </w:r>
      <w:r>
        <w:rPr>
          <w:rFonts w:hint="cs"/>
          <w:rtl/>
        </w:rPr>
        <w:t>" (</w:t>
      </w:r>
      <w:r>
        <w:rPr>
          <w:rFonts w:hint="cs"/>
          <w:sz w:val="18"/>
          <w:szCs w:val="20"/>
          <w:rtl/>
        </w:rPr>
        <w:t>במסכת ברכות הלכו בעקבות רש"י</w:t>
      </w:r>
      <w:r>
        <w:rPr>
          <w:rFonts w:hint="cs"/>
          <w:rtl/>
        </w:rPr>
        <w:t xml:space="preserve">). </w:t>
      </w:r>
    </w:p>
  </w:footnote>
  <w:footnote w:id="89">
    <w:p w14:paraId="55048CAB" w14:textId="77777777" w:rsidR="00940290" w:rsidRDefault="00940290" w:rsidP="00940290">
      <w:pPr>
        <w:pStyle w:val="a5"/>
        <w:rPr>
          <w:rFonts w:hint="cs"/>
          <w:rtl/>
        </w:rPr>
      </w:pPr>
      <w:r>
        <w:rPr>
          <w:rStyle w:val="a4"/>
          <w:rtl/>
        </w:rPr>
        <w:footnoteRef/>
      </w:r>
      <w:r>
        <w:t xml:space="preserve"> </w:t>
      </w:r>
      <w:r>
        <w:rPr>
          <w:rFonts w:hint="cs"/>
          <w:rtl/>
        </w:rPr>
        <w:t>ר' חייא נקרא בירושלמי "</w:t>
      </w:r>
      <w:r>
        <w:rPr>
          <w:rtl/>
        </w:rPr>
        <w:t>ר' חייה רבה</w:t>
      </w:r>
      <w:r>
        <w:rPr>
          <w:rFonts w:hint="cs"/>
          <w:rtl/>
        </w:rPr>
        <w:t>" בארמית, או בעברית "</w:t>
      </w:r>
      <w:r>
        <w:rPr>
          <w:rtl/>
        </w:rPr>
        <w:t xml:space="preserve">ר' חייה </w:t>
      </w:r>
      <w:r>
        <w:rPr>
          <w:rFonts w:hint="cs"/>
          <w:sz w:val="24"/>
          <w:rtl/>
        </w:rPr>
        <w:t>הגדול". בתלמוד הבבלי נמצא כינוי זה פעם אחת במעשה המסופר בפיו ובלשונו של תלמידו,</w:t>
      </w:r>
      <w:r>
        <w:rPr>
          <w:sz w:val="24"/>
          <w:rtl/>
        </w:rPr>
        <w:t xml:space="preserve"> רבי אושעיא</w:t>
      </w:r>
      <w:r>
        <w:rPr>
          <w:rFonts w:hint="cs"/>
          <w:sz w:val="24"/>
          <w:rtl/>
        </w:rPr>
        <w:t xml:space="preserve"> (</w:t>
      </w:r>
      <w:r>
        <w:rPr>
          <w:rFonts w:hint="cs"/>
          <w:sz w:val="18"/>
          <w:szCs w:val="20"/>
          <w:rtl/>
        </w:rPr>
        <w:t>להלן ב</w:t>
      </w:r>
      <w:r>
        <w:rPr>
          <w:sz w:val="18"/>
          <w:szCs w:val="20"/>
          <w:rtl/>
        </w:rPr>
        <w:t>דף לח</w:t>
      </w:r>
      <w:r>
        <w:rPr>
          <w:rFonts w:hint="cs"/>
          <w:sz w:val="18"/>
          <w:szCs w:val="20"/>
          <w:rtl/>
        </w:rPr>
        <w:t xml:space="preserve">, </w:t>
      </w:r>
      <w:r>
        <w:rPr>
          <w:sz w:val="18"/>
          <w:szCs w:val="20"/>
          <w:rtl/>
        </w:rPr>
        <w:t>ב</w:t>
      </w:r>
      <w:r>
        <w:rPr>
          <w:rFonts w:hint="cs"/>
          <w:sz w:val="24"/>
          <w:rtl/>
        </w:rPr>
        <w:t>): "</w:t>
      </w:r>
      <w:r>
        <w:rPr>
          <w:sz w:val="24"/>
          <w:rtl/>
        </w:rPr>
        <w:t xml:space="preserve">פעם אחת היינו עומדים לעילא מרבי חייא </w:t>
      </w:r>
      <w:r>
        <w:rPr>
          <w:b/>
          <w:bCs/>
          <w:sz w:val="24"/>
          <w:rtl/>
        </w:rPr>
        <w:t>רבה</w:t>
      </w:r>
      <w:r>
        <w:rPr>
          <w:sz w:val="24"/>
          <w:rtl/>
        </w:rPr>
        <w:t>, והעלנו לו קומקמוס של חמין</w:t>
      </w:r>
      <w:r>
        <w:rPr>
          <w:rFonts w:hint="cs"/>
          <w:sz w:val="24"/>
          <w:rtl/>
        </w:rPr>
        <w:t>". במקבילה ב</w:t>
      </w:r>
      <w:r>
        <w:rPr>
          <w:sz w:val="24"/>
          <w:rtl/>
        </w:rPr>
        <w:t xml:space="preserve">ירושלמי </w:t>
      </w:r>
      <w:r>
        <w:rPr>
          <w:rFonts w:hint="cs"/>
          <w:sz w:val="24"/>
          <w:rtl/>
        </w:rPr>
        <w:t>(</w:t>
      </w:r>
      <w:r>
        <w:rPr>
          <w:sz w:val="18"/>
          <w:szCs w:val="20"/>
          <w:rtl/>
        </w:rPr>
        <w:t>שבת פ</w:t>
      </w:r>
      <w:r>
        <w:rPr>
          <w:rFonts w:hint="cs"/>
          <w:sz w:val="18"/>
          <w:szCs w:val="20"/>
          <w:rtl/>
        </w:rPr>
        <w:t>"</w:t>
      </w:r>
      <w:r>
        <w:rPr>
          <w:sz w:val="18"/>
          <w:szCs w:val="20"/>
          <w:rtl/>
        </w:rPr>
        <w:t>ג ה"א</w:t>
      </w:r>
      <w:r>
        <w:rPr>
          <w:rFonts w:hint="cs"/>
          <w:sz w:val="24"/>
          <w:rtl/>
        </w:rPr>
        <w:t>)</w:t>
      </w:r>
      <w:r>
        <w:rPr>
          <w:sz w:val="24"/>
          <w:rtl/>
        </w:rPr>
        <w:t xml:space="preserve"> </w:t>
      </w:r>
      <w:r>
        <w:rPr>
          <w:rFonts w:hint="cs"/>
          <w:sz w:val="24"/>
          <w:rtl/>
        </w:rPr>
        <w:t>נאמר: "</w:t>
      </w:r>
      <w:r>
        <w:rPr>
          <w:sz w:val="24"/>
          <w:rtl/>
        </w:rPr>
        <w:t>בשם ר' הושעיה</w:t>
      </w:r>
      <w:r>
        <w:rPr>
          <w:rFonts w:hint="cs"/>
          <w:sz w:val="24"/>
          <w:rtl/>
        </w:rPr>
        <w:t>:</w:t>
      </w:r>
      <w:r>
        <w:rPr>
          <w:sz w:val="24"/>
          <w:rtl/>
        </w:rPr>
        <w:t xml:space="preserve"> מ</w:t>
      </w:r>
      <w:r>
        <w:rPr>
          <w:rFonts w:hint="cs"/>
          <w:sz w:val="24"/>
          <w:rtl/>
        </w:rPr>
        <w:t>ְ</w:t>
      </w:r>
      <w:r>
        <w:rPr>
          <w:sz w:val="24"/>
          <w:rtl/>
        </w:rPr>
        <w:t>שר</w:t>
      </w:r>
      <w:r>
        <w:rPr>
          <w:rFonts w:hint="cs"/>
          <w:sz w:val="24"/>
          <w:rtl/>
        </w:rPr>
        <w:t>ֵ</w:t>
      </w:r>
      <w:r>
        <w:rPr>
          <w:sz w:val="24"/>
          <w:rtl/>
        </w:rPr>
        <w:t xml:space="preserve">ת הייתי את רבי חייה </w:t>
      </w:r>
      <w:r>
        <w:rPr>
          <w:b/>
          <w:bCs/>
          <w:sz w:val="24"/>
          <w:rtl/>
        </w:rPr>
        <w:t>הגדול</w:t>
      </w:r>
      <w:r>
        <w:rPr>
          <w:rFonts w:hint="cs"/>
          <w:sz w:val="24"/>
          <w:rtl/>
        </w:rPr>
        <w:t>,</w:t>
      </w:r>
      <w:r>
        <w:rPr>
          <w:sz w:val="24"/>
          <w:rtl/>
        </w:rPr>
        <w:t xml:space="preserve"> והייתי מעלה לו חמין</w:t>
      </w:r>
      <w:r>
        <w:rPr>
          <w:rFonts w:hint="cs"/>
          <w:sz w:val="24"/>
          <w:rtl/>
        </w:rPr>
        <w:t>".</w:t>
      </w:r>
      <w:r>
        <w:rPr>
          <w:rtl/>
          <w:lang w:eastAsia="he-IL"/>
        </w:rPr>
        <w:t xml:space="preserve"> </w:t>
      </w:r>
    </w:p>
  </w:footnote>
  <w:footnote w:id="90">
    <w:p w14:paraId="2A956206" w14:textId="77777777" w:rsidR="00940290" w:rsidRDefault="00940290" w:rsidP="00940290">
      <w:pPr>
        <w:pStyle w:val="a5"/>
        <w:rPr>
          <w:rtl/>
        </w:rPr>
      </w:pPr>
      <w:r>
        <w:rPr>
          <w:rStyle w:val="a4"/>
        </w:rPr>
        <w:footnoteRef/>
      </w:r>
      <w:r>
        <w:rPr>
          <w:rFonts w:hint="cs"/>
          <w:rtl/>
        </w:rPr>
        <w:t xml:space="preserve"> הכינוי העברי שבירושלמי בלשון יחיד מעלה את השאלה על הכינוי שבבבלי, מה טעם הריבוי </w:t>
      </w:r>
      <w:r>
        <w:rPr>
          <w:rFonts w:ascii="Arial" w:hAnsi="Arial" w:hint="cs"/>
          <w:rtl/>
        </w:rPr>
        <w:t>"פחתי" - "</w:t>
      </w:r>
      <w:r>
        <w:rPr>
          <w:rtl/>
        </w:rPr>
        <w:t>גדולים</w:t>
      </w:r>
      <w:r>
        <w:rPr>
          <w:rFonts w:hint="cs"/>
          <w:rtl/>
        </w:rPr>
        <w:t>". יתכן שה"גדול" הנוסף על אביו של רב, הוא אמו, אחותו של ר' חייא (</w:t>
      </w:r>
      <w:r>
        <w:rPr>
          <w:rFonts w:hint="cs"/>
          <w:sz w:val="18"/>
          <w:szCs w:val="20"/>
          <w:rtl/>
        </w:rPr>
        <w:t>השוה להערה 4</w:t>
      </w:r>
      <w:r>
        <w:rPr>
          <w:rFonts w:hint="cs"/>
          <w:rtl/>
        </w:rPr>
        <w:t>); יתכן שלא רק אביו היה פחה, אלא גם אבות אבותיו; ויתכן שזהו ריבוי של כבוד.</w:t>
      </w:r>
    </w:p>
    <w:p w14:paraId="3FDE5B38" w14:textId="77777777" w:rsidR="00940290" w:rsidRDefault="00940290" w:rsidP="00940290">
      <w:pPr>
        <w:pStyle w:val="a5"/>
        <w:rPr>
          <w:rtl/>
        </w:rPr>
      </w:pPr>
      <w:r>
        <w:rPr>
          <w:rFonts w:ascii="Arial" w:hAnsi="Arial" w:hint="cs"/>
          <w:rtl/>
        </w:rPr>
        <w:t>אפשר גם להשוות הבבלי עם הירושלמי (</w:t>
      </w:r>
      <w:r>
        <w:rPr>
          <w:rFonts w:hint="cs"/>
          <w:sz w:val="18"/>
          <w:szCs w:val="20"/>
          <w:rtl/>
        </w:rPr>
        <w:t>השוה לסוף הערה 1</w:t>
      </w:r>
      <w:r>
        <w:rPr>
          <w:rFonts w:ascii="Arial" w:hAnsi="Arial" w:hint="cs"/>
          <w:rtl/>
        </w:rPr>
        <w:t>), ולקרוא בבבלי "</w:t>
      </w:r>
      <w:r>
        <w:rPr>
          <w:rtl/>
          <w:lang w:eastAsia="he-IL"/>
        </w:rPr>
        <w:t>בר פחת</w:t>
      </w:r>
      <w:r>
        <w:rPr>
          <w:rFonts w:hint="cs"/>
          <w:rtl/>
          <w:lang w:eastAsia="he-IL"/>
        </w:rPr>
        <w:t>ִ</w:t>
      </w:r>
      <w:r>
        <w:rPr>
          <w:rtl/>
          <w:lang w:eastAsia="he-IL"/>
        </w:rPr>
        <w:t>י</w:t>
      </w:r>
      <w:r>
        <w:rPr>
          <w:rFonts w:hint="cs"/>
          <w:rtl/>
          <w:lang w:eastAsia="he-IL"/>
        </w:rPr>
        <w:t>" (ת' חרוקה ולא צרויה</w:t>
      </w:r>
      <w:r>
        <w:rPr>
          <w:rFonts w:hint="cs"/>
          <w:sz w:val="18"/>
          <w:szCs w:val="20"/>
          <w:rtl/>
          <w:lang w:eastAsia="he-IL"/>
        </w:rPr>
        <w:t xml:space="preserve"> כבהערה 2</w:t>
      </w:r>
      <w:r>
        <w:rPr>
          <w:rFonts w:hint="cs"/>
          <w:rtl/>
          <w:lang w:eastAsia="he-IL"/>
        </w:rPr>
        <w:t xml:space="preserve">) ולפרש שאין היו"ד </w:t>
      </w:r>
      <w:r>
        <w:rPr>
          <w:rFonts w:hint="cs"/>
          <w:rtl/>
        </w:rPr>
        <w:t xml:space="preserve">סיומת רבים </w:t>
      </w:r>
      <w:r>
        <w:rPr>
          <w:rFonts w:hint="cs"/>
          <w:rtl/>
          <w:lang w:eastAsia="he-IL"/>
        </w:rPr>
        <w:t>(</w:t>
      </w:r>
      <w:r>
        <w:rPr>
          <w:rFonts w:hint="cs"/>
          <w:sz w:val="18"/>
          <w:szCs w:val="20"/>
          <w:rtl/>
          <w:lang w:eastAsia="he-IL"/>
        </w:rPr>
        <w:t>כנ"ל בהערה 6</w:t>
      </w:r>
      <w:r>
        <w:rPr>
          <w:rFonts w:hint="cs"/>
          <w:rtl/>
          <w:lang w:eastAsia="he-IL"/>
        </w:rPr>
        <w:t>)</w:t>
      </w:r>
      <w:r>
        <w:rPr>
          <w:rFonts w:hint="cs"/>
          <w:rtl/>
        </w:rPr>
        <w:t xml:space="preserve">, אלא סיומת של כינוי שייכות חבור, בלשון חיבה, לאמור: </w:t>
      </w:r>
      <w:r>
        <w:rPr>
          <w:rFonts w:hint="cs"/>
          <w:rtl/>
          <w:lang w:eastAsia="he-IL"/>
        </w:rPr>
        <w:t>"</w:t>
      </w:r>
      <w:r>
        <w:rPr>
          <w:rtl/>
          <w:lang w:eastAsia="he-IL"/>
        </w:rPr>
        <w:t>ב</w:t>
      </w:r>
      <w:r>
        <w:rPr>
          <w:rFonts w:hint="cs"/>
          <w:rtl/>
          <w:lang w:eastAsia="he-IL"/>
        </w:rPr>
        <w:t>ן</w:t>
      </w:r>
      <w:r>
        <w:rPr>
          <w:rtl/>
          <w:lang w:eastAsia="he-IL"/>
        </w:rPr>
        <w:t xml:space="preserve"> פ</w:t>
      </w:r>
      <w:r>
        <w:rPr>
          <w:rFonts w:hint="cs"/>
          <w:rtl/>
          <w:lang w:eastAsia="he-IL"/>
        </w:rPr>
        <w:t>ֶ</w:t>
      </w:r>
      <w:r>
        <w:rPr>
          <w:rtl/>
          <w:lang w:eastAsia="he-IL"/>
        </w:rPr>
        <w:t>ח</w:t>
      </w:r>
      <w:r>
        <w:rPr>
          <w:rFonts w:hint="cs"/>
          <w:rtl/>
          <w:lang w:eastAsia="he-IL"/>
        </w:rPr>
        <w:t>ה שלִ</w:t>
      </w:r>
      <w:r>
        <w:rPr>
          <w:rtl/>
          <w:lang w:eastAsia="he-IL"/>
        </w:rPr>
        <w:t>י</w:t>
      </w:r>
      <w:r>
        <w:rPr>
          <w:rFonts w:hint="cs"/>
          <w:rtl/>
          <w:lang w:eastAsia="he-IL"/>
        </w:rPr>
        <w:t xml:space="preserve">". כך </w:t>
      </w:r>
      <w:r>
        <w:rPr>
          <w:rFonts w:hint="cs"/>
          <w:rtl/>
        </w:rPr>
        <w:t>מנוקד הערך בערוך השלם ("</w:t>
      </w:r>
      <w:r>
        <w:rPr>
          <w:rtl/>
        </w:rPr>
        <w:t>פ</w:t>
      </w:r>
      <w:r>
        <w:rPr>
          <w:rFonts w:hint="cs"/>
          <w:rtl/>
        </w:rPr>
        <w:t>ַּ</w:t>
      </w:r>
      <w:r>
        <w:rPr>
          <w:rtl/>
        </w:rPr>
        <w:t>ח</w:t>
      </w:r>
      <w:r>
        <w:rPr>
          <w:rFonts w:hint="cs"/>
          <w:rtl/>
        </w:rPr>
        <w:t>ְ</w:t>
      </w:r>
      <w:r>
        <w:rPr>
          <w:rtl/>
        </w:rPr>
        <w:t>ת</w:t>
      </w:r>
      <w:r>
        <w:rPr>
          <w:rFonts w:hint="cs"/>
          <w:rtl/>
        </w:rPr>
        <w:t>ִּ</w:t>
      </w:r>
      <w:r>
        <w:rPr>
          <w:rtl/>
        </w:rPr>
        <w:t>י</w:t>
      </w:r>
      <w:r>
        <w:rPr>
          <w:rFonts w:hint="cs"/>
          <w:rtl/>
        </w:rPr>
        <w:t xml:space="preserve">"), </w:t>
      </w:r>
      <w:r>
        <w:rPr>
          <w:rFonts w:hint="cs"/>
          <w:rtl/>
          <w:lang w:eastAsia="he-IL"/>
        </w:rPr>
        <w:t>וכך נראה מהשימוש של הרב קוק בלשון זו, כמובא בהערה 26.</w:t>
      </w:r>
    </w:p>
  </w:footnote>
  <w:footnote w:id="91">
    <w:p w14:paraId="505E416B" w14:textId="77777777" w:rsidR="00940290" w:rsidRDefault="00940290" w:rsidP="00940290">
      <w:pPr>
        <w:pStyle w:val="a5"/>
        <w:rPr>
          <w:rtl/>
        </w:rPr>
      </w:pPr>
      <w:r>
        <w:rPr>
          <w:rStyle w:val="a4"/>
          <w:rtl/>
        </w:rPr>
        <w:footnoteRef/>
      </w:r>
      <w:r>
        <w:t xml:space="preserve"> </w:t>
      </w:r>
      <w:r>
        <w:rPr>
          <w:rFonts w:ascii="Arial" w:hAnsi="Arial" w:hint="cs"/>
          <w:rtl/>
        </w:rPr>
        <w:t xml:space="preserve">קוהוט </w:t>
      </w:r>
      <w:r>
        <w:rPr>
          <w:rFonts w:ascii="Arial" w:hAnsi="Arial" w:hint="cs"/>
          <w:sz w:val="18"/>
          <w:szCs w:val="20"/>
          <w:rtl/>
        </w:rPr>
        <w:t>(שם)</w:t>
      </w:r>
      <w:r>
        <w:rPr>
          <w:rFonts w:ascii="Arial" w:hAnsi="Arial" w:hint="cs"/>
          <w:rtl/>
        </w:rPr>
        <w:t xml:space="preserve"> מציע לגזור ביטוי זה ממִלה מקבילה בלשון הפרסית שמשמעותה: "בר אוריאן ומושלם בידיעתו ותלמודו" או ממִלה יוונית שמשמעותה: "חשוב ורברבן". </w:t>
      </w:r>
      <w:r>
        <w:rPr>
          <w:rFonts w:ascii="Arial" w:hAnsi="Arial" w:hint="cs"/>
          <w:sz w:val="18"/>
          <w:szCs w:val="20"/>
          <w:rtl/>
        </w:rPr>
        <w:t>והשוה לאמור בהערה 22</w:t>
      </w:r>
      <w:r>
        <w:rPr>
          <w:rFonts w:ascii="Arial" w:hAnsi="Arial" w:hint="cs"/>
          <w:rtl/>
        </w:rPr>
        <w:t>.</w:t>
      </w:r>
    </w:p>
  </w:footnote>
  <w:footnote w:id="92">
    <w:p w14:paraId="4B008A0D" w14:textId="77777777" w:rsidR="00940290" w:rsidRDefault="00940290" w:rsidP="00940290">
      <w:pPr>
        <w:pStyle w:val="a5"/>
        <w:rPr>
          <w:rtl/>
        </w:rPr>
      </w:pPr>
      <w:r>
        <w:rPr>
          <w:rStyle w:val="a4"/>
        </w:rPr>
        <w:footnoteRef/>
      </w:r>
      <w:r>
        <w:rPr>
          <w:rFonts w:hint="cs"/>
          <w:rtl/>
        </w:rPr>
        <w:t xml:space="preserve"> </w:t>
      </w:r>
      <w:r>
        <w:rPr>
          <w:rFonts w:ascii="Arial" w:hAnsi="Arial" w:hint="cs"/>
          <w:rtl/>
        </w:rPr>
        <w:t xml:space="preserve">למשל, בלשון </w:t>
      </w:r>
      <w:r>
        <w:rPr>
          <w:rFonts w:ascii="Arial" w:hAnsi="Arial"/>
          <w:rtl/>
        </w:rPr>
        <w:t>רבי יחזקאל לנדא</w:t>
      </w:r>
      <w:r>
        <w:rPr>
          <w:rFonts w:ascii="Arial" w:hAnsi="Arial" w:hint="cs"/>
          <w:rtl/>
        </w:rPr>
        <w:t xml:space="preserve"> (</w:t>
      </w:r>
      <w:r>
        <w:rPr>
          <w:rFonts w:ascii="Arial" w:hAnsi="Arial"/>
          <w:sz w:val="18"/>
          <w:szCs w:val="20"/>
          <w:rtl/>
        </w:rPr>
        <w:t>נפטר בשנת ה</w:t>
      </w:r>
      <w:r>
        <w:rPr>
          <w:rFonts w:ascii="Arial" w:hAnsi="Arial" w:hint="cs"/>
          <w:sz w:val="18"/>
          <w:szCs w:val="20"/>
          <w:rtl/>
        </w:rPr>
        <w:t>'</w:t>
      </w:r>
      <w:r>
        <w:rPr>
          <w:rFonts w:ascii="Arial" w:hAnsi="Arial"/>
          <w:sz w:val="18"/>
          <w:szCs w:val="20"/>
          <w:rtl/>
        </w:rPr>
        <w:t>תקנ"ג</w:t>
      </w:r>
      <w:r>
        <w:rPr>
          <w:rFonts w:ascii="Arial" w:hAnsi="Arial" w:hint="cs"/>
          <w:sz w:val="18"/>
          <w:szCs w:val="20"/>
          <w:rtl/>
        </w:rPr>
        <w:t xml:space="preserve">, </w:t>
      </w:r>
      <w:r>
        <w:rPr>
          <w:rFonts w:ascii="Arial" w:hAnsi="Arial"/>
          <w:sz w:val="18"/>
          <w:szCs w:val="20"/>
          <w:rtl/>
        </w:rPr>
        <w:t>1793</w:t>
      </w:r>
      <w:r>
        <w:rPr>
          <w:rFonts w:ascii="Arial" w:hAnsi="Arial"/>
          <w:rtl/>
        </w:rPr>
        <w:t>)</w:t>
      </w:r>
      <w:r>
        <w:rPr>
          <w:rFonts w:ascii="Arial" w:hAnsi="Arial" w:hint="cs"/>
          <w:rtl/>
        </w:rPr>
        <w:t>: "</w:t>
      </w:r>
      <w:r>
        <w:rPr>
          <w:rFonts w:ascii="Arial" w:hAnsi="Arial"/>
          <w:rtl/>
        </w:rPr>
        <w:t xml:space="preserve">אהובי, </w:t>
      </w:r>
      <w:r>
        <w:rPr>
          <w:rFonts w:ascii="Arial" w:hAnsi="Arial"/>
          <w:b/>
          <w:bCs/>
          <w:rtl/>
        </w:rPr>
        <w:t>בר פחתי</w:t>
      </w:r>
      <w:r>
        <w:rPr>
          <w:rFonts w:ascii="Arial" w:hAnsi="Arial"/>
          <w:rtl/>
        </w:rPr>
        <w:t xml:space="preserve"> ובריבי, ידידי וחביבי</w:t>
      </w:r>
      <w:r>
        <w:rPr>
          <w:rFonts w:ascii="Arial" w:hAnsi="Arial" w:hint="cs"/>
          <w:rtl/>
        </w:rPr>
        <w:t>" (</w:t>
      </w:r>
      <w:r>
        <w:rPr>
          <w:rFonts w:ascii="Arial" w:hAnsi="Arial"/>
          <w:sz w:val="18"/>
          <w:szCs w:val="20"/>
          <w:rtl/>
        </w:rPr>
        <w:t>שו"ת נודע ביהודה</w:t>
      </w:r>
      <w:r>
        <w:rPr>
          <w:rFonts w:ascii="Arial" w:hAnsi="Arial" w:hint="cs"/>
          <w:sz w:val="18"/>
          <w:szCs w:val="20"/>
          <w:rtl/>
        </w:rPr>
        <w:t xml:space="preserve">, </w:t>
      </w:r>
      <w:r>
        <w:rPr>
          <w:rFonts w:ascii="Arial" w:hAnsi="Arial"/>
          <w:sz w:val="18"/>
          <w:szCs w:val="20"/>
          <w:rtl/>
        </w:rPr>
        <w:t>קמא</w:t>
      </w:r>
      <w:r>
        <w:rPr>
          <w:rFonts w:ascii="Arial" w:hAnsi="Arial" w:hint="cs"/>
          <w:sz w:val="18"/>
          <w:szCs w:val="20"/>
          <w:rtl/>
        </w:rPr>
        <w:t xml:space="preserve">, </w:t>
      </w:r>
      <w:r>
        <w:rPr>
          <w:rFonts w:ascii="Arial" w:hAnsi="Arial"/>
          <w:sz w:val="18"/>
          <w:szCs w:val="20"/>
          <w:rtl/>
        </w:rPr>
        <w:t>אה"ע</w:t>
      </w:r>
      <w:r>
        <w:rPr>
          <w:rFonts w:ascii="Arial" w:hAnsi="Arial" w:hint="cs"/>
          <w:sz w:val="18"/>
          <w:szCs w:val="20"/>
          <w:rtl/>
        </w:rPr>
        <w:t>,</w:t>
      </w:r>
      <w:r>
        <w:rPr>
          <w:rFonts w:ascii="Arial" w:hAnsi="Arial"/>
          <w:sz w:val="18"/>
          <w:szCs w:val="20"/>
          <w:rtl/>
        </w:rPr>
        <w:t xml:space="preserve"> נ</w:t>
      </w:r>
      <w:r>
        <w:rPr>
          <w:rFonts w:ascii="Arial" w:hAnsi="Arial" w:hint="cs"/>
          <w:sz w:val="18"/>
          <w:szCs w:val="20"/>
          <w:rtl/>
        </w:rPr>
        <w:t>"</w:t>
      </w:r>
      <w:r>
        <w:rPr>
          <w:rFonts w:ascii="Arial" w:hAnsi="Arial"/>
          <w:sz w:val="18"/>
          <w:szCs w:val="20"/>
          <w:rtl/>
        </w:rPr>
        <w:t>ג</w:t>
      </w:r>
      <w:r>
        <w:rPr>
          <w:rFonts w:ascii="Arial" w:hAnsi="Arial" w:hint="cs"/>
          <w:sz w:val="18"/>
          <w:szCs w:val="20"/>
          <w:rtl/>
        </w:rPr>
        <w:t xml:space="preserve">; ושם ע"ג; </w:t>
      </w:r>
      <w:r>
        <w:rPr>
          <w:rFonts w:ascii="Arial" w:hAnsi="Arial"/>
          <w:sz w:val="18"/>
          <w:szCs w:val="20"/>
          <w:rtl/>
        </w:rPr>
        <w:t>תנינא</w:t>
      </w:r>
      <w:r>
        <w:rPr>
          <w:rFonts w:ascii="Arial" w:hAnsi="Arial" w:hint="cs"/>
          <w:sz w:val="18"/>
          <w:szCs w:val="20"/>
          <w:rtl/>
        </w:rPr>
        <w:t xml:space="preserve">, </w:t>
      </w:r>
      <w:r>
        <w:rPr>
          <w:rFonts w:ascii="Arial" w:hAnsi="Arial"/>
          <w:sz w:val="18"/>
          <w:szCs w:val="20"/>
          <w:rtl/>
        </w:rPr>
        <w:t>או"ח ס</w:t>
      </w:r>
      <w:r>
        <w:rPr>
          <w:rFonts w:ascii="Arial" w:hAnsi="Arial" w:hint="cs"/>
          <w:sz w:val="18"/>
          <w:szCs w:val="20"/>
          <w:rtl/>
        </w:rPr>
        <w:t>"</w:t>
      </w:r>
      <w:r>
        <w:rPr>
          <w:rFonts w:ascii="Arial" w:hAnsi="Arial"/>
          <w:sz w:val="18"/>
          <w:szCs w:val="20"/>
          <w:rtl/>
        </w:rPr>
        <w:t>ג</w:t>
      </w:r>
      <w:r>
        <w:rPr>
          <w:rFonts w:ascii="Arial" w:hAnsi="Arial" w:hint="cs"/>
          <w:sz w:val="18"/>
          <w:szCs w:val="20"/>
          <w:rtl/>
        </w:rPr>
        <w:t xml:space="preserve">; </w:t>
      </w:r>
      <w:r>
        <w:rPr>
          <w:rFonts w:ascii="Arial" w:hAnsi="Arial"/>
          <w:sz w:val="18"/>
          <w:szCs w:val="20"/>
          <w:rtl/>
        </w:rPr>
        <w:t>ק</w:t>
      </w:r>
      <w:r>
        <w:rPr>
          <w:rFonts w:ascii="Arial" w:hAnsi="Arial" w:hint="cs"/>
          <w:sz w:val="18"/>
          <w:szCs w:val="20"/>
          <w:rtl/>
        </w:rPr>
        <w:t>"</w:t>
      </w:r>
      <w:r>
        <w:rPr>
          <w:rFonts w:ascii="Arial" w:hAnsi="Arial"/>
          <w:sz w:val="18"/>
          <w:szCs w:val="20"/>
          <w:rtl/>
        </w:rPr>
        <w:t>ח</w:t>
      </w:r>
      <w:r>
        <w:rPr>
          <w:rFonts w:ascii="Arial" w:hAnsi="Arial" w:hint="cs"/>
          <w:rtl/>
        </w:rPr>
        <w:t>). גם אצל הראי"ה קוק (</w:t>
      </w:r>
      <w:r>
        <w:rPr>
          <w:rFonts w:ascii="Arial" w:hAnsi="Arial"/>
          <w:sz w:val="18"/>
          <w:szCs w:val="20"/>
          <w:rtl/>
        </w:rPr>
        <w:t>נפטר בשנת ה</w:t>
      </w:r>
      <w:r>
        <w:rPr>
          <w:rFonts w:ascii="Arial" w:hAnsi="Arial" w:hint="cs"/>
          <w:sz w:val="18"/>
          <w:szCs w:val="20"/>
          <w:rtl/>
        </w:rPr>
        <w:t>'</w:t>
      </w:r>
      <w:r>
        <w:rPr>
          <w:rFonts w:ascii="Arial" w:hAnsi="Arial"/>
          <w:sz w:val="18"/>
          <w:szCs w:val="20"/>
          <w:rtl/>
        </w:rPr>
        <w:t>תרצ"ה</w:t>
      </w:r>
      <w:r>
        <w:rPr>
          <w:rFonts w:ascii="Arial" w:hAnsi="Arial" w:hint="cs"/>
          <w:sz w:val="18"/>
          <w:szCs w:val="20"/>
          <w:rtl/>
        </w:rPr>
        <w:t xml:space="preserve">, </w:t>
      </w:r>
      <w:r>
        <w:rPr>
          <w:rFonts w:ascii="Arial" w:hAnsi="Arial"/>
          <w:sz w:val="18"/>
          <w:szCs w:val="20"/>
          <w:rtl/>
        </w:rPr>
        <w:t>1935</w:t>
      </w:r>
      <w:r>
        <w:rPr>
          <w:rFonts w:ascii="Arial" w:hAnsi="Arial" w:hint="cs"/>
          <w:rtl/>
        </w:rPr>
        <w:t>) מצאנו גם כן: "</w:t>
      </w:r>
      <w:r>
        <w:rPr>
          <w:rFonts w:ascii="Arial" w:hAnsi="Arial"/>
          <w:rtl/>
        </w:rPr>
        <w:t>ידידי וחביבי</w:t>
      </w:r>
      <w:r>
        <w:rPr>
          <w:rFonts w:ascii="Arial" w:hAnsi="Arial" w:hint="cs"/>
          <w:rtl/>
        </w:rPr>
        <w:t xml:space="preserve"> </w:t>
      </w:r>
      <w:r>
        <w:rPr>
          <w:rFonts w:ascii="Arial" w:hAnsi="Arial"/>
          <w:b/>
          <w:bCs/>
          <w:rtl/>
        </w:rPr>
        <w:t>בר פחתי</w:t>
      </w:r>
      <w:r>
        <w:rPr>
          <w:rFonts w:ascii="Arial" w:hAnsi="Arial"/>
          <w:rtl/>
        </w:rPr>
        <w:t xml:space="preserve"> ובריבי הרב הגאון המפורסם</w:t>
      </w:r>
      <w:r>
        <w:rPr>
          <w:rFonts w:ascii="Arial" w:hAnsi="Arial" w:hint="cs"/>
          <w:rtl/>
        </w:rPr>
        <w:t>"</w:t>
      </w:r>
      <w:r>
        <w:rPr>
          <w:rFonts w:ascii="Arial" w:hAnsi="Arial"/>
          <w:rtl/>
        </w:rPr>
        <w:t xml:space="preserve"> </w:t>
      </w:r>
      <w:r>
        <w:rPr>
          <w:rFonts w:ascii="Arial" w:hAnsi="Arial" w:hint="cs"/>
          <w:rtl/>
        </w:rPr>
        <w:t>(</w:t>
      </w:r>
      <w:r>
        <w:rPr>
          <w:rFonts w:ascii="Arial" w:hAnsi="Arial"/>
          <w:sz w:val="18"/>
          <w:szCs w:val="20"/>
          <w:rtl/>
        </w:rPr>
        <w:t>שו"ת עזרת כהן</w:t>
      </w:r>
      <w:r>
        <w:rPr>
          <w:rFonts w:ascii="Arial" w:hAnsi="Arial" w:hint="cs"/>
          <w:sz w:val="18"/>
          <w:szCs w:val="20"/>
          <w:rtl/>
        </w:rPr>
        <w:t xml:space="preserve">, </w:t>
      </w:r>
      <w:r>
        <w:rPr>
          <w:rFonts w:ascii="Arial" w:hAnsi="Arial"/>
          <w:sz w:val="18"/>
          <w:szCs w:val="20"/>
          <w:rtl/>
        </w:rPr>
        <w:t>אה"ע</w:t>
      </w:r>
      <w:r>
        <w:rPr>
          <w:rFonts w:ascii="Arial" w:hAnsi="Arial" w:hint="cs"/>
          <w:sz w:val="18"/>
          <w:szCs w:val="20"/>
          <w:rtl/>
        </w:rPr>
        <w:t xml:space="preserve">, </w:t>
      </w:r>
      <w:r>
        <w:rPr>
          <w:rFonts w:ascii="Arial" w:hAnsi="Arial"/>
          <w:sz w:val="18"/>
          <w:szCs w:val="20"/>
          <w:rtl/>
        </w:rPr>
        <w:t>מ</w:t>
      </w:r>
      <w:r>
        <w:rPr>
          <w:rFonts w:ascii="Arial" w:hAnsi="Arial" w:hint="cs"/>
          <w:sz w:val="18"/>
          <w:szCs w:val="20"/>
          <w:rtl/>
        </w:rPr>
        <w:t>'</w:t>
      </w:r>
      <w:r>
        <w:rPr>
          <w:rFonts w:ascii="Arial" w:hAnsi="Arial" w:hint="cs"/>
          <w:rtl/>
        </w:rPr>
        <w:t>), וגם ללא "בר" במכתבו אל עמיתו, הראשל"צ: "</w:t>
      </w:r>
      <w:r>
        <w:rPr>
          <w:rFonts w:ascii="Arial" w:hAnsi="Arial"/>
          <w:rtl/>
        </w:rPr>
        <w:t xml:space="preserve">לכבוד ידידי וחביבי </w:t>
      </w:r>
      <w:r>
        <w:rPr>
          <w:rFonts w:ascii="Arial" w:hAnsi="Arial"/>
          <w:b/>
          <w:bCs/>
          <w:rtl/>
        </w:rPr>
        <w:t>פחתי</w:t>
      </w:r>
      <w:r>
        <w:rPr>
          <w:rFonts w:ascii="Arial" w:hAnsi="Arial"/>
          <w:rtl/>
        </w:rPr>
        <w:t xml:space="preserve"> ובריבי הרב הגאון המובהק מאיר ומזהיר רב פעלים מו"ה בנציון מאיר</w:t>
      </w:r>
      <w:r>
        <w:rPr>
          <w:rFonts w:ascii="Arial" w:hAnsi="Arial" w:hint="cs"/>
          <w:rtl/>
        </w:rPr>
        <w:t xml:space="preserve"> </w:t>
      </w:r>
      <w:r>
        <w:rPr>
          <w:rFonts w:ascii="Arial" w:hAnsi="Arial"/>
          <w:rtl/>
        </w:rPr>
        <w:t>חי עוזיאל</w:t>
      </w:r>
      <w:r>
        <w:rPr>
          <w:rFonts w:ascii="Arial" w:hAnsi="Arial" w:hint="cs"/>
          <w:rtl/>
        </w:rPr>
        <w:t>" (</w:t>
      </w:r>
      <w:r>
        <w:rPr>
          <w:rFonts w:ascii="Arial" w:hAnsi="Arial"/>
          <w:sz w:val="18"/>
          <w:szCs w:val="20"/>
          <w:rtl/>
        </w:rPr>
        <w:t>שו"ת אורח משפט או"ח</w:t>
      </w:r>
      <w:r>
        <w:rPr>
          <w:rFonts w:ascii="Arial" w:hAnsi="Arial" w:hint="cs"/>
          <w:sz w:val="18"/>
          <w:szCs w:val="20"/>
          <w:rtl/>
        </w:rPr>
        <w:t xml:space="preserve">, </w:t>
      </w:r>
      <w:r>
        <w:rPr>
          <w:rFonts w:ascii="Arial" w:hAnsi="Arial"/>
          <w:sz w:val="18"/>
          <w:szCs w:val="20"/>
          <w:rtl/>
        </w:rPr>
        <w:t>י</w:t>
      </w:r>
      <w:r>
        <w:rPr>
          <w:rFonts w:ascii="Arial" w:hAnsi="Arial" w:hint="cs"/>
          <w:sz w:val="18"/>
          <w:szCs w:val="20"/>
          <w:rtl/>
        </w:rPr>
        <w:t>"</w:t>
      </w:r>
      <w:r>
        <w:rPr>
          <w:rFonts w:ascii="Arial" w:hAnsi="Arial"/>
          <w:sz w:val="18"/>
          <w:szCs w:val="20"/>
          <w:rtl/>
        </w:rPr>
        <w:t>ח</w:t>
      </w:r>
      <w:r>
        <w:rPr>
          <w:rFonts w:ascii="Arial" w:hAnsi="Arial" w:hint="cs"/>
          <w:rtl/>
        </w:rPr>
        <w:t>).</w:t>
      </w:r>
    </w:p>
  </w:footnote>
  <w:footnote w:id="93">
    <w:p w14:paraId="6EBCE8F1" w14:textId="77777777" w:rsidR="00940290" w:rsidRDefault="00940290" w:rsidP="00940290">
      <w:pPr>
        <w:pStyle w:val="a5"/>
        <w:rPr>
          <w:rFonts w:hint="cs"/>
          <w:rtl/>
        </w:rPr>
      </w:pPr>
      <w:r>
        <w:rPr>
          <w:rStyle w:val="a4"/>
        </w:rPr>
        <w:footnoteRef/>
      </w:r>
      <w:r>
        <w:rPr>
          <w:rFonts w:hint="cs"/>
          <w:rtl/>
        </w:rPr>
        <w:t xml:space="preserve"> </w:t>
      </w:r>
      <w:r>
        <w:rPr>
          <w:rFonts w:ascii="Arial" w:hAnsi="Arial"/>
          <w:rtl/>
        </w:rPr>
        <w:t>עירובין לו</w:t>
      </w:r>
      <w:r>
        <w:rPr>
          <w:rFonts w:ascii="Arial" w:hAnsi="Arial" w:hint="cs"/>
          <w:rtl/>
        </w:rPr>
        <w:t xml:space="preserve">, </w:t>
      </w:r>
      <w:r>
        <w:rPr>
          <w:rFonts w:ascii="Arial" w:hAnsi="Arial"/>
          <w:rtl/>
        </w:rPr>
        <w:t>א</w:t>
      </w:r>
      <w:r>
        <w:rPr>
          <w:rFonts w:ascii="Arial" w:hAnsi="Arial" w:hint="cs"/>
          <w:rtl/>
        </w:rPr>
        <w:t>;</w:t>
      </w:r>
      <w:r>
        <w:rPr>
          <w:rFonts w:ascii="Arial" w:hAnsi="Arial"/>
          <w:rtl/>
        </w:rPr>
        <w:t xml:space="preserve"> </w:t>
      </w:r>
      <w:r>
        <w:rPr>
          <w:rFonts w:ascii="Arial" w:hAnsi="Arial"/>
          <w:sz w:val="20"/>
          <w:rtl/>
        </w:rPr>
        <w:t xml:space="preserve">חולין </w:t>
      </w:r>
      <w:r>
        <w:rPr>
          <w:rFonts w:ascii="Arial" w:hAnsi="Arial"/>
          <w:rtl/>
        </w:rPr>
        <w:t>יב</w:t>
      </w:r>
      <w:r>
        <w:rPr>
          <w:rFonts w:ascii="Arial" w:hAnsi="Arial" w:hint="cs"/>
          <w:rtl/>
        </w:rPr>
        <w:t xml:space="preserve">, </w:t>
      </w:r>
      <w:r>
        <w:rPr>
          <w:rFonts w:ascii="Arial" w:hAnsi="Arial"/>
          <w:sz w:val="20"/>
          <w:rtl/>
        </w:rPr>
        <w:t xml:space="preserve">א </w:t>
      </w:r>
      <w:r>
        <w:rPr>
          <w:rFonts w:ascii="Arial" w:hAnsi="Arial" w:hint="cs"/>
          <w:rtl/>
        </w:rPr>
        <w:t>ו</w:t>
      </w:r>
      <w:r>
        <w:rPr>
          <w:rFonts w:ascii="Arial" w:hAnsi="Arial"/>
          <w:sz w:val="20"/>
          <w:rtl/>
        </w:rPr>
        <w:t>קיב</w:t>
      </w:r>
      <w:r>
        <w:rPr>
          <w:rFonts w:ascii="Arial" w:hAnsi="Arial" w:hint="cs"/>
          <w:rtl/>
        </w:rPr>
        <w:t>,</w:t>
      </w:r>
      <w:r>
        <w:rPr>
          <w:rFonts w:ascii="Arial" w:hAnsi="Arial"/>
          <w:sz w:val="20"/>
          <w:rtl/>
        </w:rPr>
        <w:t xml:space="preserve"> </w:t>
      </w:r>
      <w:r>
        <w:rPr>
          <w:rFonts w:ascii="Arial" w:hAnsi="Arial"/>
          <w:rtl/>
        </w:rPr>
        <w:t>א</w:t>
      </w:r>
      <w:r>
        <w:rPr>
          <w:rFonts w:ascii="Arial" w:hAnsi="Arial" w:hint="cs"/>
          <w:rtl/>
        </w:rPr>
        <w:t>.</w:t>
      </w:r>
    </w:p>
  </w:footnote>
  <w:footnote w:id="94">
    <w:p w14:paraId="604145AF"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 xml:space="preserve">"אַלְפַּיִם בַּת </w:t>
      </w:r>
      <w:r>
        <w:rPr>
          <w:rFonts w:ascii="Arial" w:hAnsi="Arial" w:hint="cs"/>
          <w:b/>
          <w:bCs/>
          <w:rtl/>
        </w:rPr>
        <w:t>יָכִיל</w:t>
      </w:r>
      <w:r>
        <w:rPr>
          <w:rFonts w:ascii="Arial" w:hAnsi="Arial" w:hint="cs"/>
          <w:rtl/>
        </w:rPr>
        <w:t>"</w:t>
      </w:r>
      <w:r>
        <w:rPr>
          <w:rFonts w:ascii="Arial" w:hAnsi="Arial"/>
          <w:rtl/>
        </w:rPr>
        <w:t xml:space="preserve"> </w:t>
      </w:r>
      <w:r>
        <w:rPr>
          <w:rFonts w:ascii="Arial" w:hAnsi="Arial" w:hint="cs"/>
          <w:rtl/>
        </w:rPr>
        <w:t>(</w:t>
      </w:r>
      <w:r>
        <w:rPr>
          <w:rFonts w:ascii="Arial" w:hAnsi="Arial"/>
          <w:sz w:val="18"/>
          <w:szCs w:val="20"/>
          <w:rtl/>
        </w:rPr>
        <w:t>מלכים א</w:t>
      </w:r>
      <w:r>
        <w:rPr>
          <w:rFonts w:ascii="Arial" w:hAnsi="Arial" w:hint="cs"/>
          <w:sz w:val="18"/>
          <w:szCs w:val="20"/>
          <w:rtl/>
        </w:rPr>
        <w:t xml:space="preserve">' </w:t>
      </w:r>
      <w:r>
        <w:rPr>
          <w:rFonts w:ascii="Arial" w:hAnsi="Arial"/>
          <w:sz w:val="18"/>
          <w:szCs w:val="20"/>
          <w:rtl/>
        </w:rPr>
        <w:t>ז</w:t>
      </w:r>
      <w:r>
        <w:rPr>
          <w:rFonts w:ascii="Arial" w:hAnsi="Arial" w:hint="cs"/>
          <w:sz w:val="18"/>
          <w:szCs w:val="20"/>
          <w:rtl/>
        </w:rPr>
        <w:t xml:space="preserve">, </w:t>
      </w:r>
      <w:r>
        <w:rPr>
          <w:rFonts w:ascii="Arial" w:hAnsi="Arial"/>
          <w:sz w:val="18"/>
          <w:szCs w:val="20"/>
          <w:rtl/>
        </w:rPr>
        <w:t>כו</w:t>
      </w:r>
      <w:r>
        <w:rPr>
          <w:rFonts w:ascii="Arial" w:hAnsi="Arial" w:hint="cs"/>
          <w:rtl/>
        </w:rPr>
        <w:t xml:space="preserve">); "מִי </w:t>
      </w:r>
      <w:r>
        <w:rPr>
          <w:rFonts w:ascii="Arial" w:hAnsi="Arial" w:hint="cs"/>
          <w:b/>
          <w:bCs/>
          <w:rtl/>
        </w:rPr>
        <w:t>מָדַד</w:t>
      </w:r>
      <w:r>
        <w:rPr>
          <w:rFonts w:ascii="Arial" w:hAnsi="Arial" w:hint="cs"/>
          <w:rtl/>
        </w:rPr>
        <w:t xml:space="preserve"> בְּשָׁעֳלוֹ מַיִם... וְ</w:t>
      </w:r>
      <w:r>
        <w:rPr>
          <w:rFonts w:ascii="Arial" w:hAnsi="Arial" w:hint="cs"/>
          <w:b/>
          <w:bCs/>
          <w:rtl/>
        </w:rPr>
        <w:t>כָל</w:t>
      </w:r>
      <w:r>
        <w:rPr>
          <w:rFonts w:ascii="Arial" w:hAnsi="Arial" w:hint="cs"/>
          <w:rtl/>
        </w:rPr>
        <w:t xml:space="preserve"> בַּשָּׁלִשׁ עֲפַר הָאָרֶץ, וְ</w:t>
      </w:r>
      <w:r>
        <w:rPr>
          <w:rFonts w:ascii="Arial" w:hAnsi="Arial" w:hint="cs"/>
          <w:b/>
          <w:bCs/>
          <w:rtl/>
        </w:rPr>
        <w:t>שָׁקַל</w:t>
      </w:r>
      <w:r>
        <w:rPr>
          <w:rFonts w:ascii="Arial" w:hAnsi="Arial" w:hint="cs"/>
          <w:rtl/>
        </w:rPr>
        <w:t xml:space="preserve"> בַּפֶּלֶס הָרִים" (</w:t>
      </w:r>
      <w:r>
        <w:rPr>
          <w:rFonts w:ascii="Arial" w:hAnsi="Arial"/>
          <w:sz w:val="18"/>
          <w:szCs w:val="20"/>
          <w:rtl/>
        </w:rPr>
        <w:t>ישעיהו מ</w:t>
      </w:r>
      <w:r>
        <w:rPr>
          <w:rFonts w:ascii="Arial" w:hAnsi="Arial" w:hint="cs"/>
          <w:sz w:val="18"/>
          <w:szCs w:val="20"/>
          <w:rtl/>
        </w:rPr>
        <w:t xml:space="preserve">, </w:t>
      </w:r>
      <w:r>
        <w:rPr>
          <w:rFonts w:ascii="Arial" w:hAnsi="Arial"/>
          <w:sz w:val="18"/>
          <w:szCs w:val="20"/>
          <w:rtl/>
        </w:rPr>
        <w:t>יב</w:t>
      </w:r>
      <w:r>
        <w:rPr>
          <w:rFonts w:ascii="Arial" w:hAnsi="Arial" w:hint="cs"/>
          <w:rtl/>
        </w:rPr>
        <w:t>). הפֹעַל "כָל" מקביל לשאר הפעלים בזמן עבר המופיעים בצלעות המקבילות בפסוק, ועניינם מדידה: "מָדַד" ו"שָׁקַל".</w:t>
      </w:r>
      <w:r>
        <w:rPr>
          <w:rFonts w:ascii="Arial" w:hAnsi="Arial"/>
          <w:rtl/>
        </w:rPr>
        <w:t xml:space="preserve"> </w:t>
      </w:r>
      <w:r>
        <w:rPr>
          <w:rFonts w:ascii="Arial" w:hAnsi="Arial" w:hint="cs"/>
          <w:rtl/>
        </w:rPr>
        <w:t>לעומת "כָל" זה, שלכל הדעות יש לקוראו בקמץ גדול (</w:t>
      </w:r>
      <w:r>
        <w:rPr>
          <w:rFonts w:ascii="Arial" w:hAnsi="Arial" w:hint="cs"/>
          <w:sz w:val="18"/>
          <w:szCs w:val="20"/>
          <w:rtl/>
        </w:rPr>
        <w:t>=</w:t>
      </w:r>
      <w:r>
        <w:rPr>
          <w:rFonts w:ascii="Arial" w:hAnsi="Arial"/>
          <w:sz w:val="16"/>
          <w:szCs w:val="16"/>
        </w:rPr>
        <w:t>VeCH</w:t>
      </w:r>
      <w:r>
        <w:rPr>
          <w:rFonts w:ascii="Arial" w:hAnsi="Arial" w:hint="cs"/>
          <w:b/>
          <w:bCs/>
          <w:sz w:val="16"/>
          <w:szCs w:val="16"/>
        </w:rPr>
        <w:t>A</w:t>
      </w:r>
      <w:r>
        <w:rPr>
          <w:rFonts w:ascii="Arial" w:hAnsi="Arial" w:hint="cs"/>
          <w:sz w:val="16"/>
          <w:szCs w:val="16"/>
        </w:rPr>
        <w:t>L</w:t>
      </w:r>
      <w:r>
        <w:rPr>
          <w:rFonts w:ascii="Arial" w:hAnsi="Arial" w:hint="cs"/>
          <w:rtl/>
        </w:rPr>
        <w:t>), בשני "כָּל" נחלקו הדעות אם הקמץ הוא גדול (</w:t>
      </w:r>
      <w:r>
        <w:rPr>
          <w:rFonts w:ascii="Arial" w:hAnsi="Arial" w:hint="cs"/>
          <w:sz w:val="18"/>
          <w:szCs w:val="20"/>
          <w:rtl/>
        </w:rPr>
        <w:t>=</w:t>
      </w:r>
      <w:r>
        <w:rPr>
          <w:rFonts w:ascii="Arial" w:hAnsi="Arial" w:hint="cs"/>
          <w:sz w:val="16"/>
          <w:szCs w:val="16"/>
        </w:rPr>
        <w:t>K</w:t>
      </w:r>
      <w:r>
        <w:rPr>
          <w:rFonts w:ascii="Arial" w:hAnsi="Arial"/>
          <w:b/>
          <w:bCs/>
          <w:sz w:val="16"/>
          <w:szCs w:val="16"/>
        </w:rPr>
        <w:t>A</w:t>
      </w:r>
      <w:r>
        <w:rPr>
          <w:rFonts w:ascii="Arial" w:hAnsi="Arial" w:hint="cs"/>
          <w:sz w:val="16"/>
          <w:szCs w:val="16"/>
        </w:rPr>
        <w:t>L</w:t>
      </w:r>
      <w:r>
        <w:rPr>
          <w:rFonts w:ascii="Arial" w:hAnsi="Arial" w:hint="cs"/>
          <w:rtl/>
        </w:rPr>
        <w:t>) או קטן (</w:t>
      </w:r>
      <w:r>
        <w:rPr>
          <w:rFonts w:ascii="Arial" w:hAnsi="Arial" w:hint="cs"/>
          <w:sz w:val="18"/>
          <w:szCs w:val="20"/>
          <w:rtl/>
        </w:rPr>
        <w:t>=</w:t>
      </w:r>
      <w:r>
        <w:rPr>
          <w:rFonts w:ascii="Arial" w:hAnsi="Arial" w:hint="cs"/>
          <w:sz w:val="16"/>
          <w:szCs w:val="16"/>
        </w:rPr>
        <w:t>K</w:t>
      </w:r>
      <w:r>
        <w:rPr>
          <w:rFonts w:ascii="Arial" w:hAnsi="Arial"/>
          <w:b/>
          <w:bCs/>
          <w:sz w:val="16"/>
          <w:szCs w:val="16"/>
        </w:rPr>
        <w:t>O</w:t>
      </w:r>
      <w:r>
        <w:rPr>
          <w:rFonts w:ascii="Arial" w:hAnsi="Arial" w:hint="cs"/>
          <w:sz w:val="16"/>
          <w:szCs w:val="16"/>
        </w:rPr>
        <w:t>L</w:t>
      </w:r>
      <w:r>
        <w:rPr>
          <w:rFonts w:ascii="Arial" w:hAnsi="Arial" w:hint="cs"/>
          <w:rtl/>
        </w:rPr>
        <w:t>): ב</w:t>
      </w:r>
      <w:r>
        <w:rPr>
          <w:rFonts w:ascii="Arial" w:hAnsi="Arial" w:hint="eastAsia"/>
          <w:rtl/>
        </w:rPr>
        <w:t>תהלים</w:t>
      </w:r>
      <w:r>
        <w:rPr>
          <w:rFonts w:ascii="Arial" w:hAnsi="Arial"/>
          <w:rtl/>
        </w:rPr>
        <w:t xml:space="preserve"> </w:t>
      </w:r>
      <w:r>
        <w:rPr>
          <w:rFonts w:ascii="Arial" w:hAnsi="Arial" w:hint="eastAsia"/>
          <w:rtl/>
        </w:rPr>
        <w:t>לה</w:t>
      </w:r>
      <w:r>
        <w:rPr>
          <w:rFonts w:ascii="Arial" w:hAnsi="Arial" w:hint="cs"/>
          <w:rtl/>
        </w:rPr>
        <w:t>,</w:t>
      </w:r>
      <w:r>
        <w:rPr>
          <w:rFonts w:ascii="Arial" w:hAnsi="Arial"/>
          <w:rtl/>
        </w:rPr>
        <w:t xml:space="preserve"> י</w:t>
      </w:r>
      <w:r>
        <w:rPr>
          <w:rFonts w:ascii="Arial" w:hAnsi="Arial" w:hint="cs"/>
          <w:rtl/>
        </w:rPr>
        <w:t xml:space="preserve"> (ה</w:t>
      </w:r>
      <w:r>
        <w:rPr>
          <w:rFonts w:ascii="Arial" w:hAnsi="Arial" w:hint="eastAsia"/>
          <w:rtl/>
        </w:rPr>
        <w:t>נאמר</w:t>
      </w:r>
      <w:r>
        <w:rPr>
          <w:rFonts w:ascii="Arial" w:hAnsi="Arial"/>
          <w:rtl/>
        </w:rPr>
        <w:t xml:space="preserve"> בסוף </w:t>
      </w:r>
      <w:r>
        <w:rPr>
          <w:rFonts w:ascii="Arial" w:hAnsi="Arial" w:hint="cs"/>
          <w:rtl/>
        </w:rPr>
        <w:t xml:space="preserve">תפִלת </w:t>
      </w:r>
      <w:r>
        <w:rPr>
          <w:rFonts w:ascii="Arial" w:hAnsi="Arial"/>
          <w:rtl/>
        </w:rPr>
        <w:t>"נשמת כל חי"</w:t>
      </w:r>
      <w:r>
        <w:rPr>
          <w:rFonts w:ascii="Arial" w:hAnsi="Arial" w:hint="cs"/>
          <w:rtl/>
        </w:rPr>
        <w:t>) וב</w:t>
      </w:r>
      <w:r>
        <w:rPr>
          <w:rFonts w:ascii="Arial" w:hAnsi="Arial"/>
          <w:rtl/>
        </w:rPr>
        <w:t>משלי יט</w:t>
      </w:r>
      <w:r>
        <w:rPr>
          <w:rFonts w:ascii="Arial" w:hAnsi="Arial" w:hint="cs"/>
          <w:rtl/>
        </w:rPr>
        <w:t>,</w:t>
      </w:r>
      <w:r>
        <w:rPr>
          <w:rFonts w:ascii="Arial" w:hAnsi="Arial"/>
          <w:rtl/>
        </w:rPr>
        <w:t xml:space="preserve"> ז</w:t>
      </w:r>
      <w:r>
        <w:rPr>
          <w:rFonts w:ascii="Arial" w:hAnsi="Arial" w:hint="cs"/>
          <w:rtl/>
        </w:rPr>
        <w:t xml:space="preserve"> (</w:t>
      </w:r>
      <w:r>
        <w:rPr>
          <w:rFonts w:ascii="Arial" w:hAnsi="Arial" w:hint="cs"/>
          <w:sz w:val="18"/>
          <w:szCs w:val="20"/>
          <w:rtl/>
        </w:rPr>
        <w:t xml:space="preserve">ראה: </w:t>
      </w:r>
      <w:r>
        <w:rPr>
          <w:rFonts w:ascii="Arial" w:hAnsi="Arial"/>
          <w:sz w:val="18"/>
          <w:szCs w:val="20"/>
          <w:rtl/>
        </w:rPr>
        <w:t>חמישה חומשי תורה</w:t>
      </w:r>
      <w:r>
        <w:rPr>
          <w:rFonts w:ascii="Arial" w:hAnsi="Arial" w:hint="cs"/>
          <w:sz w:val="18"/>
          <w:szCs w:val="20"/>
          <w:rtl/>
        </w:rPr>
        <w:t xml:space="preserve"> -</w:t>
      </w:r>
      <w:r>
        <w:rPr>
          <w:rFonts w:ascii="Arial" w:hAnsi="Arial"/>
          <w:sz w:val="18"/>
          <w:szCs w:val="20"/>
          <w:rtl/>
        </w:rPr>
        <w:t xml:space="preserve"> מהדורה חדשה בידי הרב מרדכי ברויאר, הוצאת חורב, ירושלים תשנ"ו</w:t>
      </w:r>
      <w:r>
        <w:rPr>
          <w:rFonts w:ascii="Arial" w:hAnsi="Arial" w:hint="cs"/>
          <w:sz w:val="18"/>
          <w:szCs w:val="20"/>
          <w:rtl/>
        </w:rPr>
        <w:t>, הנחיות לקורא בתורה ובהפטרה, עמ' 23 הערה 6</w:t>
      </w:r>
      <w:r>
        <w:rPr>
          <w:rFonts w:ascii="Arial" w:hAnsi="Arial" w:hint="cs"/>
          <w:rtl/>
        </w:rPr>
        <w:t>)</w:t>
      </w:r>
      <w:r>
        <w:rPr>
          <w:rFonts w:ascii="Arial" w:hAnsi="Arial"/>
          <w:rtl/>
        </w:rPr>
        <w:t>.</w:t>
      </w:r>
    </w:p>
  </w:footnote>
  <w:footnote w:id="95">
    <w:p w14:paraId="431B2636" w14:textId="77777777" w:rsidR="00940290" w:rsidRDefault="00940290" w:rsidP="00940290">
      <w:pPr>
        <w:pStyle w:val="a5"/>
        <w:rPr>
          <w:rFonts w:hint="cs"/>
          <w:rtl/>
        </w:rPr>
      </w:pPr>
      <w:r>
        <w:rPr>
          <w:rStyle w:val="a4"/>
        </w:rPr>
        <w:footnoteRef/>
      </w:r>
      <w:r>
        <w:rPr>
          <w:rFonts w:hint="cs"/>
          <w:rtl/>
        </w:rPr>
        <w:t xml:space="preserve"> </w:t>
      </w:r>
      <w:r>
        <w:rPr>
          <w:rFonts w:ascii="Arial" w:hAnsi="Arial"/>
          <w:rtl/>
        </w:rPr>
        <w:t xml:space="preserve">רש"י </w:t>
      </w:r>
      <w:r>
        <w:rPr>
          <w:rFonts w:ascii="Arial" w:hAnsi="Arial"/>
          <w:sz w:val="18"/>
          <w:szCs w:val="20"/>
          <w:rtl/>
        </w:rPr>
        <w:t>עירובין יז</w:t>
      </w:r>
      <w:r>
        <w:rPr>
          <w:rFonts w:ascii="Arial" w:hAnsi="Arial" w:hint="cs"/>
          <w:sz w:val="18"/>
          <w:szCs w:val="20"/>
          <w:rtl/>
        </w:rPr>
        <w:t xml:space="preserve">, </w:t>
      </w:r>
      <w:r>
        <w:rPr>
          <w:rFonts w:ascii="Arial" w:hAnsi="Arial"/>
          <w:sz w:val="18"/>
          <w:szCs w:val="20"/>
          <w:rtl/>
        </w:rPr>
        <w:t xml:space="preserve">ב ד"ה </w:t>
      </w:r>
      <w:r>
        <w:rPr>
          <w:rFonts w:ascii="Arial" w:hAnsi="Arial"/>
          <w:b/>
          <w:bCs/>
          <w:rtl/>
        </w:rPr>
        <w:t>כייל</w:t>
      </w:r>
      <w:r>
        <w:rPr>
          <w:rFonts w:ascii="Arial" w:hAnsi="Arial"/>
          <w:rtl/>
        </w:rPr>
        <w:t xml:space="preserve"> מלחא - </w:t>
      </w:r>
      <w:r>
        <w:rPr>
          <w:rFonts w:ascii="Arial" w:hAnsi="Arial"/>
          <w:b/>
          <w:bCs/>
          <w:rtl/>
        </w:rPr>
        <w:t>מדד</w:t>
      </w:r>
      <w:r>
        <w:rPr>
          <w:rFonts w:ascii="Arial" w:hAnsi="Arial"/>
          <w:rtl/>
        </w:rPr>
        <w:t xml:space="preserve"> מלח</w:t>
      </w:r>
      <w:r>
        <w:rPr>
          <w:rFonts w:ascii="Arial" w:hAnsi="Arial" w:hint="cs"/>
          <w:rtl/>
        </w:rPr>
        <w:t xml:space="preserve">; </w:t>
      </w:r>
      <w:r>
        <w:rPr>
          <w:rFonts w:ascii="Arial" w:hAnsi="Arial"/>
          <w:rtl/>
        </w:rPr>
        <w:t xml:space="preserve">רש"י </w:t>
      </w:r>
      <w:r>
        <w:rPr>
          <w:rFonts w:ascii="Arial" w:hAnsi="Arial"/>
          <w:sz w:val="18"/>
          <w:szCs w:val="20"/>
          <w:rtl/>
        </w:rPr>
        <w:t>ביצה כט</w:t>
      </w:r>
      <w:r>
        <w:rPr>
          <w:rFonts w:ascii="Arial" w:hAnsi="Arial" w:hint="cs"/>
          <w:sz w:val="18"/>
          <w:szCs w:val="20"/>
          <w:rtl/>
        </w:rPr>
        <w:t>,</w:t>
      </w:r>
      <w:r>
        <w:rPr>
          <w:rFonts w:ascii="Arial" w:hAnsi="Arial"/>
          <w:sz w:val="18"/>
          <w:szCs w:val="20"/>
          <w:rtl/>
        </w:rPr>
        <w:t xml:space="preserve"> א ד"ה </w:t>
      </w:r>
      <w:r>
        <w:rPr>
          <w:rFonts w:ascii="Arial" w:hAnsi="Arial"/>
          <w:rtl/>
        </w:rPr>
        <w:t>במנא ד</w:t>
      </w:r>
      <w:r>
        <w:rPr>
          <w:rFonts w:ascii="Arial" w:hAnsi="Arial"/>
          <w:b/>
          <w:bCs/>
          <w:rtl/>
        </w:rPr>
        <w:t>כילא</w:t>
      </w:r>
      <w:r>
        <w:rPr>
          <w:rFonts w:ascii="Arial" w:hAnsi="Arial"/>
          <w:rtl/>
        </w:rPr>
        <w:t xml:space="preserve"> - של </w:t>
      </w:r>
      <w:r>
        <w:rPr>
          <w:rFonts w:ascii="Arial" w:hAnsi="Arial"/>
          <w:b/>
          <w:bCs/>
          <w:rtl/>
        </w:rPr>
        <w:t>מ</w:t>
      </w:r>
      <w:r>
        <w:rPr>
          <w:rFonts w:ascii="Arial" w:hAnsi="Arial" w:hint="cs"/>
          <w:b/>
          <w:bCs/>
          <w:rtl/>
        </w:rPr>
        <w:t>ִ</w:t>
      </w:r>
      <w:r>
        <w:rPr>
          <w:rFonts w:ascii="Arial" w:hAnsi="Arial"/>
          <w:b/>
          <w:bCs/>
          <w:rtl/>
        </w:rPr>
        <w:t>דה</w:t>
      </w:r>
      <w:r>
        <w:rPr>
          <w:rFonts w:ascii="Arial" w:hAnsi="Arial"/>
          <w:rtl/>
        </w:rPr>
        <w:t xml:space="preserve">. </w:t>
      </w:r>
      <w:r>
        <w:rPr>
          <w:rFonts w:ascii="Arial" w:hAnsi="Arial" w:hint="cs"/>
          <w:rtl/>
        </w:rPr>
        <w:t>מדרש התנאים על חומש שמות נקרא "</w:t>
      </w:r>
      <w:r>
        <w:rPr>
          <w:rFonts w:ascii="Arial" w:hAnsi="Arial" w:hint="cs"/>
          <w:b/>
          <w:bCs/>
          <w:rtl/>
        </w:rPr>
        <w:t>מכילתא</w:t>
      </w:r>
      <w:r>
        <w:rPr>
          <w:rFonts w:ascii="Arial" w:hAnsi="Arial" w:hint="cs"/>
          <w:rtl/>
        </w:rPr>
        <w:t xml:space="preserve">", שפירושו </w:t>
      </w:r>
      <w:r>
        <w:rPr>
          <w:rFonts w:ascii="Arial" w:hAnsi="Arial" w:hint="cs"/>
          <w:b/>
          <w:bCs/>
          <w:rtl/>
        </w:rPr>
        <w:t>מידות</w:t>
      </w:r>
      <w:r>
        <w:rPr>
          <w:rFonts w:ascii="Arial" w:hAnsi="Arial" w:hint="cs"/>
          <w:rtl/>
        </w:rPr>
        <w:t xml:space="preserve"> [שהתורה נדרשת בהן].</w:t>
      </w:r>
    </w:p>
  </w:footnote>
  <w:footnote w:id="96">
    <w:p w14:paraId="0395C514" w14:textId="77777777" w:rsidR="00940290" w:rsidRDefault="00940290" w:rsidP="00940290">
      <w:pPr>
        <w:pStyle w:val="a5"/>
        <w:rPr>
          <w:rtl/>
        </w:rPr>
      </w:pPr>
      <w:r>
        <w:rPr>
          <w:rStyle w:val="a4"/>
        </w:rPr>
        <w:footnoteRef/>
      </w:r>
      <w:r>
        <w:rPr>
          <w:rFonts w:hint="cs"/>
          <w:rtl/>
        </w:rPr>
        <w:t xml:space="preserve"> </w:t>
      </w:r>
      <w:r>
        <w:rPr>
          <w:rFonts w:ascii="Arial" w:hAnsi="Arial" w:hint="cs"/>
          <w:rtl/>
        </w:rPr>
        <w:t xml:space="preserve">וע"ע: חידושי </w:t>
      </w:r>
      <w:r>
        <w:rPr>
          <w:rFonts w:ascii="Arial" w:hAnsi="Arial" w:hint="eastAsia"/>
          <w:color w:val="FF0000"/>
          <w:rtl/>
        </w:rPr>
        <w:t>חדש האביב</w:t>
      </w:r>
      <w:r>
        <w:rPr>
          <w:rFonts w:ascii="Arial" w:hAnsi="Arial" w:hint="cs"/>
          <w:color w:val="FF0000"/>
          <w:rtl/>
        </w:rPr>
        <w:t xml:space="preserve">; </w:t>
      </w:r>
      <w:r>
        <w:rPr>
          <w:rFonts w:ascii="Arial" w:hAnsi="Arial"/>
          <w:color w:val="FF0000"/>
          <w:rtl/>
        </w:rPr>
        <w:t>ר</w:t>
      </w:r>
      <w:r>
        <w:rPr>
          <w:rFonts w:ascii="Arial" w:hAnsi="Arial" w:hint="cs"/>
          <w:color w:val="FF0000"/>
          <w:rtl/>
        </w:rPr>
        <w:t>"</w:t>
      </w:r>
      <w:r>
        <w:rPr>
          <w:rFonts w:ascii="Arial" w:hAnsi="Arial"/>
          <w:color w:val="FF0000"/>
          <w:rtl/>
        </w:rPr>
        <w:t>ח</w:t>
      </w:r>
      <w:r>
        <w:rPr>
          <w:rFonts w:ascii="Arial" w:hAnsi="Arial" w:hint="cs"/>
          <w:color w:val="FF0000"/>
          <w:rtl/>
        </w:rPr>
        <w:t xml:space="preserve"> </w:t>
      </w:r>
      <w:r>
        <w:rPr>
          <w:rFonts w:ascii="Arial" w:hAnsi="Arial"/>
          <w:color w:val="FF0000"/>
          <w:rtl/>
        </w:rPr>
        <w:t>ארנטרוי</w:t>
      </w:r>
      <w:r>
        <w:rPr>
          <w:rFonts w:ascii="Arial" w:hAnsi="Arial" w:hint="cs"/>
          <w:color w:val="FF0000"/>
          <w:rtl/>
        </w:rPr>
        <w:t>, עיונים בדברי חז"ל</w:t>
      </w:r>
      <w:r>
        <w:rPr>
          <w:rFonts w:ascii="Arial" w:hAnsi="Arial" w:hint="cs"/>
          <w:color w:val="FF0000"/>
          <w:sz w:val="18"/>
          <w:szCs w:val="20"/>
          <w:rtl/>
        </w:rPr>
        <w:t xml:space="preserve">, עמ' </w:t>
      </w:r>
      <w:r>
        <w:rPr>
          <w:rFonts w:ascii="Arial" w:hAnsi="Arial" w:hint="eastAsia"/>
          <w:color w:val="FF0000"/>
          <w:sz w:val="18"/>
          <w:szCs w:val="20"/>
          <w:rtl/>
        </w:rPr>
        <w:t>רפה</w:t>
      </w:r>
      <w:r>
        <w:rPr>
          <w:rFonts w:ascii="Arial" w:hAnsi="Arial" w:hint="cs"/>
          <w:color w:val="FF0000"/>
          <w:rtl/>
        </w:rPr>
        <w:t xml:space="preserve">; </w:t>
      </w:r>
      <w:r>
        <w:rPr>
          <w:rFonts w:ascii="Arial" w:hAnsi="Arial" w:hint="eastAsia"/>
          <w:color w:val="FF0000"/>
          <w:rtl/>
        </w:rPr>
        <w:t>מגדים חדשים</w:t>
      </w:r>
      <w:r>
        <w:rPr>
          <w:rFonts w:ascii="Arial" w:hAnsi="Arial" w:hint="cs"/>
          <w:rtl/>
        </w:rPr>
        <w:t>.</w:t>
      </w:r>
    </w:p>
  </w:footnote>
  <w:footnote w:id="97">
    <w:p w14:paraId="23B6537A" w14:textId="77777777" w:rsidR="00940290" w:rsidRDefault="00940290" w:rsidP="00940290">
      <w:pPr>
        <w:pStyle w:val="a5"/>
        <w:rPr>
          <w:rFonts w:hint="cs"/>
          <w:sz w:val="24"/>
          <w:rtl/>
          <w:lang w:eastAsia="he-IL"/>
        </w:rPr>
      </w:pPr>
      <w:r>
        <w:rPr>
          <w:rStyle w:val="a4"/>
        </w:rPr>
        <w:footnoteRef/>
      </w:r>
      <w:r>
        <w:rPr>
          <w:rFonts w:hint="cs"/>
          <w:rtl/>
        </w:rPr>
        <w:t xml:space="preserve"> להבדיל מהציווי "</w:t>
      </w:r>
      <w:r>
        <w:rPr>
          <w:sz w:val="24"/>
          <w:rtl/>
          <w:lang w:eastAsia="he-IL"/>
        </w:rPr>
        <w:t>ח</w:t>
      </w:r>
      <w:r>
        <w:rPr>
          <w:rFonts w:hint="cs"/>
          <w:sz w:val="24"/>
          <w:rtl/>
          <w:lang w:eastAsia="he-IL"/>
        </w:rPr>
        <w:t>ַ</w:t>
      </w:r>
      <w:r>
        <w:rPr>
          <w:sz w:val="24"/>
          <w:rtl/>
          <w:lang w:eastAsia="he-IL"/>
        </w:rPr>
        <w:t>טֵּא</w:t>
      </w:r>
      <w:r>
        <w:rPr>
          <w:rFonts w:hint="cs"/>
          <w:sz w:val="24"/>
          <w:rtl/>
          <w:lang w:eastAsia="he-IL"/>
        </w:rPr>
        <w:t xml:space="preserve">!" מבנין פִעֵל, שאינו ענין לכאן. לגבי משמעות הפֹעַל בבנין פִעֵל ראה </w:t>
      </w:r>
      <w:r>
        <w:rPr>
          <w:sz w:val="24"/>
          <w:rtl/>
          <w:lang w:eastAsia="he-IL"/>
        </w:rPr>
        <w:t xml:space="preserve">רש"י </w:t>
      </w:r>
      <w:r>
        <w:rPr>
          <w:rFonts w:hint="cs"/>
          <w:sz w:val="24"/>
          <w:rtl/>
          <w:lang w:eastAsia="he-IL"/>
        </w:rPr>
        <w:t>וראב"ע על "</w:t>
      </w:r>
      <w:r>
        <w:rPr>
          <w:sz w:val="24"/>
          <w:rtl/>
          <w:lang w:eastAsia="he-IL"/>
        </w:rPr>
        <w:t>הַמְחַטֵּא</w:t>
      </w:r>
      <w:r>
        <w:rPr>
          <w:rFonts w:hint="cs"/>
          <w:sz w:val="24"/>
          <w:rtl/>
          <w:lang w:eastAsia="he-IL"/>
        </w:rPr>
        <w:t xml:space="preserve">", </w:t>
      </w:r>
      <w:r>
        <w:rPr>
          <w:sz w:val="24"/>
          <w:rtl/>
          <w:lang w:eastAsia="he-IL"/>
        </w:rPr>
        <w:t xml:space="preserve">ויקרא </w:t>
      </w:r>
      <w:r>
        <w:rPr>
          <w:sz w:val="18"/>
          <w:szCs w:val="20"/>
          <w:rtl/>
          <w:lang w:eastAsia="he-IL"/>
        </w:rPr>
        <w:t>ו</w:t>
      </w:r>
      <w:r>
        <w:rPr>
          <w:rFonts w:hint="cs"/>
          <w:sz w:val="18"/>
          <w:szCs w:val="20"/>
          <w:rtl/>
          <w:lang w:eastAsia="he-IL"/>
        </w:rPr>
        <w:t xml:space="preserve">, </w:t>
      </w:r>
      <w:r>
        <w:rPr>
          <w:sz w:val="18"/>
          <w:szCs w:val="20"/>
          <w:rtl/>
          <w:lang w:eastAsia="he-IL"/>
        </w:rPr>
        <w:t>יט</w:t>
      </w:r>
      <w:r>
        <w:rPr>
          <w:rFonts w:hint="cs"/>
          <w:sz w:val="24"/>
          <w:rtl/>
          <w:lang w:eastAsia="he-IL"/>
        </w:rPr>
        <w:t xml:space="preserve">; </w:t>
      </w:r>
      <w:r>
        <w:rPr>
          <w:sz w:val="24"/>
          <w:rtl/>
          <w:lang w:eastAsia="he-IL"/>
        </w:rPr>
        <w:t>יומא נח</w:t>
      </w:r>
      <w:r>
        <w:rPr>
          <w:rFonts w:hint="cs"/>
          <w:sz w:val="24"/>
          <w:rtl/>
          <w:lang w:eastAsia="he-IL"/>
        </w:rPr>
        <w:t xml:space="preserve">, </w:t>
      </w:r>
      <w:r>
        <w:rPr>
          <w:sz w:val="24"/>
          <w:rtl/>
          <w:lang w:eastAsia="he-IL"/>
        </w:rPr>
        <w:t xml:space="preserve">ב רש"י </w:t>
      </w:r>
      <w:r>
        <w:rPr>
          <w:rFonts w:hint="cs"/>
          <w:sz w:val="18"/>
          <w:szCs w:val="20"/>
          <w:rtl/>
          <w:lang w:eastAsia="he-IL"/>
        </w:rPr>
        <w:t xml:space="preserve">ד"ה </w:t>
      </w:r>
      <w:r>
        <w:rPr>
          <w:sz w:val="18"/>
          <w:szCs w:val="20"/>
          <w:rtl/>
          <w:lang w:eastAsia="he-IL"/>
        </w:rPr>
        <w:t>התחיל מחטא ויורד</w:t>
      </w:r>
      <w:r>
        <w:rPr>
          <w:rFonts w:hint="cs"/>
          <w:sz w:val="18"/>
          <w:szCs w:val="20"/>
          <w:rtl/>
          <w:lang w:eastAsia="he-IL"/>
        </w:rPr>
        <w:t xml:space="preserve"> </w:t>
      </w:r>
      <w:r>
        <w:rPr>
          <w:rFonts w:hint="cs"/>
          <w:sz w:val="24"/>
          <w:rtl/>
          <w:lang w:eastAsia="he-IL"/>
        </w:rPr>
        <w:t>ו</w:t>
      </w:r>
      <w:r>
        <w:rPr>
          <w:sz w:val="24"/>
          <w:rtl/>
          <w:lang w:eastAsia="he-IL"/>
        </w:rPr>
        <w:t>חידושי הריטב"א</w:t>
      </w:r>
      <w:r>
        <w:rPr>
          <w:rFonts w:hint="cs"/>
          <w:sz w:val="24"/>
          <w:rtl/>
          <w:lang w:eastAsia="he-IL"/>
        </w:rPr>
        <w:t xml:space="preserve">; </w:t>
      </w:r>
      <w:r>
        <w:rPr>
          <w:sz w:val="24"/>
          <w:rtl/>
          <w:lang w:eastAsia="he-IL"/>
        </w:rPr>
        <w:t>זבחים נג</w:t>
      </w:r>
      <w:r>
        <w:rPr>
          <w:rFonts w:hint="cs"/>
          <w:sz w:val="24"/>
          <w:rtl/>
          <w:lang w:eastAsia="he-IL"/>
        </w:rPr>
        <w:t xml:space="preserve">, </w:t>
      </w:r>
      <w:r>
        <w:rPr>
          <w:sz w:val="24"/>
          <w:rtl/>
          <w:lang w:eastAsia="he-IL"/>
        </w:rPr>
        <w:t>א</w:t>
      </w:r>
      <w:r>
        <w:rPr>
          <w:rFonts w:hint="cs"/>
          <w:sz w:val="24"/>
          <w:rtl/>
          <w:lang w:eastAsia="he-IL"/>
        </w:rPr>
        <w:t xml:space="preserve"> ו</w:t>
      </w:r>
      <w:r>
        <w:rPr>
          <w:sz w:val="24"/>
          <w:rtl/>
          <w:lang w:eastAsia="he-IL"/>
        </w:rPr>
        <w:t>רש"י</w:t>
      </w:r>
      <w:r>
        <w:rPr>
          <w:rFonts w:hint="cs"/>
          <w:sz w:val="24"/>
          <w:rtl/>
          <w:lang w:eastAsia="he-IL"/>
        </w:rPr>
        <w:t xml:space="preserve"> </w:t>
      </w:r>
      <w:r>
        <w:rPr>
          <w:rFonts w:hint="cs"/>
          <w:sz w:val="18"/>
          <w:szCs w:val="20"/>
          <w:rtl/>
          <w:lang w:eastAsia="he-IL"/>
        </w:rPr>
        <w:t>ד"ה</w:t>
      </w:r>
      <w:r>
        <w:rPr>
          <w:sz w:val="18"/>
          <w:szCs w:val="20"/>
          <w:rtl/>
          <w:lang w:eastAsia="he-IL"/>
        </w:rPr>
        <w:t xml:space="preserve"> מחטא ויורד</w:t>
      </w:r>
      <w:r>
        <w:rPr>
          <w:rFonts w:hint="cs"/>
          <w:sz w:val="24"/>
          <w:rtl/>
          <w:lang w:eastAsia="he-IL"/>
        </w:rPr>
        <w:t>;</w:t>
      </w:r>
      <w:r>
        <w:rPr>
          <w:sz w:val="24"/>
          <w:rtl/>
          <w:lang w:eastAsia="he-IL"/>
        </w:rPr>
        <w:t xml:space="preserve"> מנחות סו</w:t>
      </w:r>
      <w:r>
        <w:rPr>
          <w:rFonts w:hint="cs"/>
          <w:sz w:val="24"/>
          <w:rtl/>
          <w:lang w:eastAsia="he-IL"/>
        </w:rPr>
        <w:t>,</w:t>
      </w:r>
      <w:r>
        <w:rPr>
          <w:sz w:val="24"/>
          <w:rtl/>
          <w:lang w:eastAsia="he-IL"/>
        </w:rPr>
        <w:t xml:space="preserve"> ב </w:t>
      </w:r>
      <w:r>
        <w:rPr>
          <w:rFonts w:hint="cs"/>
          <w:sz w:val="24"/>
          <w:rtl/>
          <w:lang w:eastAsia="he-IL"/>
        </w:rPr>
        <w:t>ו</w:t>
      </w:r>
      <w:r>
        <w:rPr>
          <w:sz w:val="24"/>
          <w:rtl/>
          <w:lang w:eastAsia="he-IL"/>
        </w:rPr>
        <w:t xml:space="preserve">רש"י </w:t>
      </w:r>
      <w:r>
        <w:rPr>
          <w:rFonts w:hint="cs"/>
          <w:sz w:val="24"/>
          <w:rtl/>
          <w:lang w:eastAsia="he-IL"/>
        </w:rPr>
        <w:t>ו</w:t>
      </w:r>
      <w:r>
        <w:rPr>
          <w:sz w:val="24"/>
          <w:rtl/>
          <w:lang w:eastAsia="he-IL"/>
        </w:rPr>
        <w:t xml:space="preserve">תוספות </w:t>
      </w:r>
      <w:r>
        <w:rPr>
          <w:rFonts w:hint="cs"/>
          <w:sz w:val="18"/>
          <w:szCs w:val="20"/>
          <w:rtl/>
          <w:lang w:eastAsia="he-IL"/>
        </w:rPr>
        <w:t xml:space="preserve">ד"ה </w:t>
      </w:r>
      <w:r>
        <w:rPr>
          <w:sz w:val="18"/>
          <w:szCs w:val="20"/>
          <w:rtl/>
          <w:lang w:eastAsia="he-IL"/>
        </w:rPr>
        <w:t>כנף רננים</w:t>
      </w:r>
      <w:r>
        <w:rPr>
          <w:rFonts w:hint="cs"/>
          <w:sz w:val="24"/>
          <w:rtl/>
          <w:lang w:eastAsia="he-IL"/>
        </w:rPr>
        <w:t xml:space="preserve">; </w:t>
      </w:r>
      <w:r>
        <w:rPr>
          <w:sz w:val="24"/>
          <w:rtl/>
          <w:lang w:eastAsia="he-IL"/>
        </w:rPr>
        <w:t>חולין כז</w:t>
      </w:r>
      <w:r>
        <w:rPr>
          <w:rFonts w:hint="cs"/>
          <w:sz w:val="24"/>
          <w:rtl/>
          <w:lang w:eastAsia="he-IL"/>
        </w:rPr>
        <w:t xml:space="preserve">, </w:t>
      </w:r>
      <w:r>
        <w:rPr>
          <w:sz w:val="24"/>
          <w:rtl/>
          <w:lang w:eastAsia="he-IL"/>
        </w:rPr>
        <w:t>א</w:t>
      </w:r>
      <w:r>
        <w:rPr>
          <w:rFonts w:hint="cs"/>
          <w:sz w:val="24"/>
          <w:rtl/>
        </w:rPr>
        <w:t xml:space="preserve"> ורש"י ד"ה</w:t>
      </w:r>
      <w:r>
        <w:rPr>
          <w:sz w:val="24"/>
          <w:rtl/>
        </w:rPr>
        <w:t xml:space="preserve"> ח</w:t>
      </w:r>
      <w:r>
        <w:rPr>
          <w:rFonts w:hint="cs"/>
          <w:sz w:val="24"/>
          <w:rtl/>
        </w:rPr>
        <w:t>ַ</w:t>
      </w:r>
      <w:r>
        <w:rPr>
          <w:sz w:val="24"/>
          <w:rtl/>
        </w:rPr>
        <w:t>טֵּהו</w:t>
      </w:r>
      <w:r>
        <w:rPr>
          <w:rFonts w:hint="cs"/>
          <w:sz w:val="24"/>
          <w:rtl/>
        </w:rPr>
        <w:t>.</w:t>
      </w:r>
    </w:p>
  </w:footnote>
  <w:footnote w:id="98">
    <w:p w14:paraId="24AD468A"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כגון במהדורת התלמוד בהוצאת ארט-סקרול.</w:t>
      </w:r>
    </w:p>
  </w:footnote>
  <w:footnote w:id="99">
    <w:p w14:paraId="2677E018"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 xml:space="preserve">השוה: "לֵךְ </w:t>
      </w:r>
      <w:r>
        <w:rPr>
          <w:rFonts w:ascii="Arial" w:hAnsi="Arial" w:hint="cs"/>
          <w:b/>
          <w:bCs/>
          <w:rtl/>
        </w:rPr>
        <w:t>מְצָא</w:t>
      </w:r>
      <w:r>
        <w:rPr>
          <w:rFonts w:ascii="Arial" w:hAnsi="Arial" w:hint="cs"/>
          <w:rtl/>
        </w:rPr>
        <w:t xml:space="preserve"> אֶת הַחִצִּים" (</w:t>
      </w:r>
      <w:r>
        <w:rPr>
          <w:rFonts w:ascii="Arial" w:hAnsi="Arial" w:hint="cs"/>
          <w:sz w:val="18"/>
          <w:szCs w:val="20"/>
          <w:rtl/>
        </w:rPr>
        <w:t>שמואל א' כ, כא</w:t>
      </w:r>
      <w:r>
        <w:rPr>
          <w:rFonts w:ascii="Arial" w:hAnsi="Arial" w:hint="cs"/>
          <w:rtl/>
        </w:rPr>
        <w:t>). תודה למורי פרופ' משה בר אשר על הבהרת סוגיה זו.</w:t>
      </w:r>
    </w:p>
  </w:footnote>
  <w:footnote w:id="100">
    <w:p w14:paraId="5FDCC8E4" w14:textId="77777777" w:rsidR="00940290" w:rsidRDefault="00940290" w:rsidP="00940290">
      <w:pPr>
        <w:pStyle w:val="a5"/>
        <w:rPr>
          <w:rFonts w:hint="cs"/>
          <w:rtl/>
        </w:rPr>
      </w:pPr>
      <w:r>
        <w:rPr>
          <w:rStyle w:val="a4"/>
        </w:rPr>
        <w:footnoteRef/>
      </w:r>
      <w:r>
        <w:rPr>
          <w:rFonts w:hint="cs"/>
          <w:rtl/>
        </w:rPr>
        <w:t xml:space="preserve"> ב</w:t>
      </w:r>
      <w:r>
        <w:rPr>
          <w:rtl/>
        </w:rPr>
        <w:t xml:space="preserve">יחזקאל </w:t>
      </w:r>
      <w:r>
        <w:rPr>
          <w:rFonts w:hint="cs"/>
          <w:rtl/>
        </w:rPr>
        <w:t>(</w:t>
      </w:r>
      <w:r>
        <w:rPr>
          <w:sz w:val="18"/>
          <w:szCs w:val="20"/>
          <w:rtl/>
        </w:rPr>
        <w:t>ג</w:t>
      </w:r>
      <w:r>
        <w:rPr>
          <w:rFonts w:hint="cs"/>
          <w:sz w:val="18"/>
          <w:szCs w:val="20"/>
          <w:rtl/>
        </w:rPr>
        <w:t xml:space="preserve">, </w:t>
      </w:r>
      <w:r>
        <w:rPr>
          <w:sz w:val="18"/>
          <w:szCs w:val="20"/>
          <w:rtl/>
        </w:rPr>
        <w:t>כא</w:t>
      </w:r>
      <w:r>
        <w:rPr>
          <w:rFonts w:hint="cs"/>
          <w:rtl/>
        </w:rPr>
        <w:t>) נאמר "</w:t>
      </w:r>
      <w:r>
        <w:rPr>
          <w:rtl/>
        </w:rPr>
        <w:t>לְבִלְתִּי חֲטֹא</w:t>
      </w:r>
      <w:r>
        <w:rPr>
          <w:rFonts w:hint="cs"/>
          <w:rtl/>
        </w:rPr>
        <w:t>", אך שם אין מדובר בצורת ציווי, אלא בצורת "מקור" (בדומה ל</w:t>
      </w:r>
      <w:r>
        <w:rPr>
          <w:rFonts w:hint="cs"/>
          <w:sz w:val="26"/>
          <w:rtl/>
        </w:rPr>
        <w:t>צורת המקור</w:t>
      </w:r>
      <w:r>
        <w:rPr>
          <w:rFonts w:hint="cs"/>
          <w:sz w:val="30"/>
          <w:szCs w:val="28"/>
          <w:rtl/>
        </w:rPr>
        <w:t xml:space="preserve"> </w:t>
      </w:r>
      <w:r>
        <w:rPr>
          <w:rFonts w:hint="cs"/>
          <w:rtl/>
        </w:rPr>
        <w:t>"</w:t>
      </w:r>
      <w:r>
        <w:rPr>
          <w:rtl/>
        </w:rPr>
        <w:t>חָיוֹ</w:t>
      </w:r>
      <w:r>
        <w:rPr>
          <w:rFonts w:hint="cs"/>
          <w:rtl/>
        </w:rPr>
        <w:t xml:space="preserve">" שבהמשך הפסוק, </w:t>
      </w:r>
      <w:r>
        <w:rPr>
          <w:rFonts w:hint="cs"/>
          <w:sz w:val="18"/>
          <w:szCs w:val="20"/>
          <w:rtl/>
        </w:rPr>
        <w:t xml:space="preserve">וכמו: </w:t>
      </w:r>
      <w:r>
        <w:rPr>
          <w:rFonts w:ascii="Arial" w:hAnsi="Arial"/>
          <w:sz w:val="18"/>
          <w:szCs w:val="20"/>
          <w:rtl/>
        </w:rPr>
        <w:t>הָרֹג</w:t>
      </w:r>
      <w:r>
        <w:rPr>
          <w:rFonts w:ascii="Arial" w:hAnsi="Arial" w:hint="cs"/>
          <w:sz w:val="18"/>
          <w:szCs w:val="20"/>
          <w:rtl/>
        </w:rPr>
        <w:t xml:space="preserve">, </w:t>
      </w:r>
      <w:r>
        <w:rPr>
          <w:rFonts w:ascii="Arial" w:hAnsi="Arial"/>
          <w:sz w:val="18"/>
          <w:szCs w:val="20"/>
          <w:rtl/>
        </w:rPr>
        <w:t>שָׁחֹט</w:t>
      </w:r>
      <w:r>
        <w:rPr>
          <w:rFonts w:ascii="Arial" w:hAnsi="Arial" w:hint="cs"/>
          <w:sz w:val="18"/>
          <w:szCs w:val="20"/>
          <w:rtl/>
        </w:rPr>
        <w:t xml:space="preserve">, </w:t>
      </w:r>
      <w:r>
        <w:rPr>
          <w:rFonts w:ascii="Arial" w:hAnsi="Arial"/>
          <w:sz w:val="18"/>
          <w:szCs w:val="20"/>
          <w:rtl/>
        </w:rPr>
        <w:t>אָכוֹל</w:t>
      </w:r>
      <w:r>
        <w:rPr>
          <w:rFonts w:ascii="Arial" w:hAnsi="Arial" w:hint="cs"/>
          <w:sz w:val="18"/>
          <w:szCs w:val="20"/>
          <w:rtl/>
        </w:rPr>
        <w:t xml:space="preserve">, </w:t>
      </w:r>
      <w:r>
        <w:rPr>
          <w:rFonts w:ascii="Arial" w:hAnsi="Arial"/>
          <w:sz w:val="18"/>
          <w:szCs w:val="20"/>
          <w:rtl/>
        </w:rPr>
        <w:t>שָׁתוֹ</w:t>
      </w:r>
      <w:r>
        <w:rPr>
          <w:rFonts w:ascii="Arial" w:hAnsi="Arial" w:hint="cs"/>
          <w:sz w:val="18"/>
          <w:szCs w:val="20"/>
          <w:rtl/>
        </w:rPr>
        <w:t>/</w:t>
      </w:r>
      <w:r>
        <w:rPr>
          <w:rFonts w:ascii="Arial" w:hAnsi="Arial"/>
          <w:sz w:val="18"/>
          <w:szCs w:val="20"/>
          <w:rtl/>
        </w:rPr>
        <w:t>שָׁתוֹת</w:t>
      </w:r>
      <w:r>
        <w:rPr>
          <w:rFonts w:ascii="Arial" w:hAnsi="Arial" w:hint="cs"/>
          <w:sz w:val="18"/>
          <w:szCs w:val="20"/>
          <w:rtl/>
        </w:rPr>
        <w:t>,</w:t>
      </w:r>
      <w:r>
        <w:rPr>
          <w:rFonts w:ascii="Arial" w:hAnsi="Arial"/>
          <w:sz w:val="18"/>
          <w:szCs w:val="20"/>
          <w:rtl/>
        </w:rPr>
        <w:t xml:space="preserve"> גָנֹב</w:t>
      </w:r>
      <w:r>
        <w:rPr>
          <w:rFonts w:ascii="Arial" w:hAnsi="Arial" w:hint="cs"/>
          <w:sz w:val="18"/>
          <w:szCs w:val="20"/>
          <w:rtl/>
        </w:rPr>
        <w:t xml:space="preserve">, </w:t>
      </w:r>
      <w:r>
        <w:rPr>
          <w:rFonts w:ascii="Arial" w:hAnsi="Arial"/>
          <w:sz w:val="18"/>
          <w:szCs w:val="20"/>
          <w:rtl/>
        </w:rPr>
        <w:t>רָצֹחַ</w:t>
      </w:r>
      <w:r>
        <w:rPr>
          <w:rFonts w:ascii="Arial" w:hAnsi="Arial" w:hint="cs"/>
          <w:sz w:val="18"/>
          <w:szCs w:val="20"/>
          <w:rtl/>
        </w:rPr>
        <w:t xml:space="preserve">, </w:t>
      </w:r>
      <w:r>
        <w:rPr>
          <w:rFonts w:ascii="Arial" w:hAnsi="Arial"/>
          <w:sz w:val="18"/>
          <w:szCs w:val="20"/>
          <w:rtl/>
        </w:rPr>
        <w:t>נָאֹף</w:t>
      </w:r>
      <w:r>
        <w:rPr>
          <w:rFonts w:ascii="Arial" w:hAnsi="Arial" w:hint="cs"/>
          <w:sz w:val="18"/>
          <w:szCs w:val="20"/>
          <w:rtl/>
        </w:rPr>
        <w:t xml:space="preserve"> ו</w:t>
      </w:r>
      <w:r>
        <w:rPr>
          <w:rFonts w:ascii="Arial" w:hAnsi="Arial"/>
          <w:sz w:val="18"/>
          <w:szCs w:val="20"/>
          <w:rtl/>
        </w:rPr>
        <w:t>הָלֹךְ</w:t>
      </w:r>
      <w:r>
        <w:rPr>
          <w:rFonts w:ascii="Arial" w:hAnsi="Arial" w:hint="cs"/>
          <w:sz w:val="18"/>
          <w:szCs w:val="20"/>
          <w:rtl/>
        </w:rPr>
        <w:t xml:space="preserve">; </w:t>
      </w:r>
      <w:r>
        <w:rPr>
          <w:rFonts w:ascii="Arial" w:hAnsi="Arial"/>
          <w:sz w:val="18"/>
          <w:szCs w:val="20"/>
          <w:rtl/>
        </w:rPr>
        <w:t>ישעיה</w:t>
      </w:r>
      <w:r>
        <w:rPr>
          <w:rFonts w:ascii="Arial" w:hAnsi="Arial" w:hint="cs"/>
          <w:sz w:val="18"/>
          <w:szCs w:val="20"/>
          <w:rtl/>
        </w:rPr>
        <w:t xml:space="preserve"> </w:t>
      </w:r>
      <w:r>
        <w:rPr>
          <w:rFonts w:ascii="Arial" w:hAnsi="Arial"/>
          <w:sz w:val="18"/>
          <w:szCs w:val="20"/>
          <w:rtl/>
        </w:rPr>
        <w:t>כב</w:t>
      </w:r>
      <w:r>
        <w:rPr>
          <w:rFonts w:ascii="Arial" w:hAnsi="Arial" w:hint="cs"/>
          <w:sz w:val="18"/>
          <w:szCs w:val="20"/>
          <w:rtl/>
        </w:rPr>
        <w:t>,</w:t>
      </w:r>
      <w:r>
        <w:rPr>
          <w:rFonts w:ascii="Arial" w:hAnsi="Arial"/>
          <w:sz w:val="18"/>
          <w:szCs w:val="20"/>
          <w:rtl/>
        </w:rPr>
        <w:t xml:space="preserve"> יג</w:t>
      </w:r>
      <w:r>
        <w:rPr>
          <w:rFonts w:ascii="Arial" w:hAnsi="Arial" w:hint="cs"/>
          <w:sz w:val="18"/>
          <w:szCs w:val="20"/>
          <w:rtl/>
        </w:rPr>
        <w:t xml:space="preserve"> ו</w:t>
      </w:r>
      <w:r>
        <w:rPr>
          <w:rFonts w:ascii="Arial" w:hAnsi="Arial"/>
          <w:sz w:val="18"/>
          <w:szCs w:val="20"/>
          <w:rtl/>
        </w:rPr>
        <w:t>ירמיה ז</w:t>
      </w:r>
      <w:r>
        <w:rPr>
          <w:rFonts w:ascii="Arial" w:hAnsi="Arial" w:hint="cs"/>
          <w:sz w:val="18"/>
          <w:szCs w:val="20"/>
          <w:rtl/>
        </w:rPr>
        <w:t xml:space="preserve">, </w:t>
      </w:r>
      <w:r>
        <w:rPr>
          <w:rFonts w:ascii="Arial" w:hAnsi="Arial"/>
          <w:sz w:val="18"/>
          <w:szCs w:val="20"/>
          <w:rtl/>
        </w:rPr>
        <w:t>ט</w:t>
      </w:r>
      <w:r>
        <w:rPr>
          <w:rFonts w:ascii="Arial" w:hAnsi="Arial" w:hint="cs"/>
          <w:rtl/>
        </w:rPr>
        <w:t>).</w:t>
      </w:r>
      <w:r>
        <w:rPr>
          <w:rFonts w:ascii="Arial" w:hAnsi="Arial"/>
          <w:rtl/>
        </w:rPr>
        <w:t xml:space="preserve"> </w:t>
      </w:r>
      <w:r>
        <w:rPr>
          <w:rtl/>
        </w:rPr>
        <w:t xml:space="preserve"> </w:t>
      </w:r>
    </w:p>
  </w:footnote>
  <w:footnote w:id="101">
    <w:p w14:paraId="3413BA4E"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ע"פ ניקודו של הרב יוסף עמר במהדורת התלמוד הבבלי שלו.</w:t>
      </w:r>
    </w:p>
  </w:footnote>
  <w:footnote w:id="102">
    <w:p w14:paraId="73DF1641" w14:textId="77777777" w:rsidR="00940290" w:rsidRDefault="00940290" w:rsidP="00940290">
      <w:pPr>
        <w:pStyle w:val="a5"/>
        <w:rPr>
          <w:rFonts w:hint="cs"/>
          <w:rtl/>
        </w:rPr>
      </w:pPr>
      <w:r>
        <w:rPr>
          <w:rStyle w:val="a4"/>
        </w:rPr>
        <w:footnoteRef/>
      </w:r>
      <w:r>
        <w:rPr>
          <w:rFonts w:hint="cs"/>
          <w:rtl/>
        </w:rPr>
        <w:t xml:space="preserve"> </w:t>
      </w:r>
      <w:r>
        <w:rPr>
          <w:rFonts w:ascii="Arial" w:hAnsi="Arial" w:hint="cs"/>
          <w:rtl/>
        </w:rPr>
        <w:t xml:space="preserve">כגון: </w:t>
      </w:r>
      <w:r>
        <w:rPr>
          <w:rFonts w:ascii="Arial" w:hAnsi="Arial"/>
          <w:rtl/>
        </w:rPr>
        <w:t xml:space="preserve">שו"ת תשב"ץ </w:t>
      </w:r>
      <w:r>
        <w:rPr>
          <w:rFonts w:ascii="Arial" w:hAnsi="Arial" w:hint="cs"/>
          <w:rtl/>
        </w:rPr>
        <w:t>(</w:t>
      </w:r>
      <w:r>
        <w:rPr>
          <w:rFonts w:ascii="Arial" w:hAnsi="Arial"/>
          <w:sz w:val="18"/>
          <w:szCs w:val="20"/>
          <w:rtl/>
        </w:rPr>
        <w:t>ח</w:t>
      </w:r>
      <w:r>
        <w:rPr>
          <w:rFonts w:ascii="Arial" w:hAnsi="Arial" w:hint="cs"/>
          <w:sz w:val="18"/>
          <w:szCs w:val="20"/>
          <w:rtl/>
        </w:rPr>
        <w:t>"</w:t>
      </w:r>
      <w:r>
        <w:rPr>
          <w:rFonts w:ascii="Arial" w:hAnsi="Arial"/>
          <w:sz w:val="18"/>
          <w:szCs w:val="20"/>
          <w:rtl/>
        </w:rPr>
        <w:t>ג</w:t>
      </w:r>
      <w:r>
        <w:rPr>
          <w:rFonts w:ascii="Arial" w:hAnsi="Arial" w:hint="cs"/>
          <w:sz w:val="18"/>
          <w:szCs w:val="20"/>
          <w:rtl/>
        </w:rPr>
        <w:t>,</w:t>
      </w:r>
      <w:r>
        <w:rPr>
          <w:rFonts w:ascii="Arial" w:hAnsi="Arial"/>
          <w:sz w:val="18"/>
          <w:szCs w:val="20"/>
          <w:rtl/>
        </w:rPr>
        <w:t xml:space="preserve"> ל</w:t>
      </w:r>
      <w:r>
        <w:rPr>
          <w:rFonts w:ascii="Arial" w:hAnsi="Arial" w:hint="cs"/>
          <w:sz w:val="18"/>
          <w:szCs w:val="20"/>
          <w:rtl/>
        </w:rPr>
        <w:t>"</w:t>
      </w:r>
      <w:r>
        <w:rPr>
          <w:rFonts w:ascii="Arial" w:hAnsi="Arial"/>
          <w:sz w:val="18"/>
          <w:szCs w:val="20"/>
          <w:rtl/>
        </w:rPr>
        <w:t>ז</w:t>
      </w:r>
      <w:r>
        <w:rPr>
          <w:rFonts w:ascii="Arial" w:hAnsi="Arial" w:hint="cs"/>
          <w:rtl/>
        </w:rPr>
        <w:t xml:space="preserve">); </w:t>
      </w:r>
      <w:r>
        <w:rPr>
          <w:rFonts w:ascii="Arial" w:hAnsi="Arial"/>
          <w:rtl/>
        </w:rPr>
        <w:t xml:space="preserve">שו"ת שאילת יעבץ </w:t>
      </w:r>
      <w:r>
        <w:rPr>
          <w:rFonts w:ascii="Arial" w:hAnsi="Arial" w:hint="cs"/>
          <w:rtl/>
        </w:rPr>
        <w:t>(</w:t>
      </w:r>
      <w:r>
        <w:rPr>
          <w:rFonts w:ascii="Arial" w:hAnsi="Arial"/>
          <w:sz w:val="18"/>
          <w:szCs w:val="20"/>
          <w:rtl/>
        </w:rPr>
        <w:t>ח</w:t>
      </w:r>
      <w:r>
        <w:rPr>
          <w:rFonts w:ascii="Arial" w:hAnsi="Arial" w:hint="cs"/>
          <w:sz w:val="18"/>
          <w:szCs w:val="20"/>
          <w:rtl/>
        </w:rPr>
        <w:t>"</w:t>
      </w:r>
      <w:r>
        <w:rPr>
          <w:rFonts w:ascii="Arial" w:hAnsi="Arial"/>
          <w:sz w:val="18"/>
          <w:szCs w:val="20"/>
          <w:rtl/>
        </w:rPr>
        <w:t>א</w:t>
      </w:r>
      <w:r>
        <w:rPr>
          <w:rFonts w:ascii="Arial" w:hAnsi="Arial" w:hint="cs"/>
          <w:sz w:val="18"/>
          <w:szCs w:val="20"/>
          <w:rtl/>
        </w:rPr>
        <w:t xml:space="preserve">, </w:t>
      </w:r>
      <w:r>
        <w:rPr>
          <w:rFonts w:ascii="Arial" w:hAnsi="Arial"/>
          <w:sz w:val="18"/>
          <w:szCs w:val="20"/>
          <w:rtl/>
        </w:rPr>
        <w:t>קל</w:t>
      </w:r>
      <w:r>
        <w:rPr>
          <w:rFonts w:ascii="Arial" w:hAnsi="Arial" w:hint="cs"/>
          <w:sz w:val="18"/>
          <w:szCs w:val="20"/>
          <w:rtl/>
        </w:rPr>
        <w:t>"</w:t>
      </w:r>
      <w:r>
        <w:rPr>
          <w:rFonts w:ascii="Arial" w:hAnsi="Arial"/>
          <w:sz w:val="18"/>
          <w:szCs w:val="20"/>
          <w:rtl/>
        </w:rPr>
        <w:t>ה</w:t>
      </w:r>
      <w:r>
        <w:rPr>
          <w:rFonts w:ascii="Arial" w:hAnsi="Arial" w:hint="cs"/>
          <w:rtl/>
        </w:rPr>
        <w:t xml:space="preserve">); </w:t>
      </w:r>
      <w:r>
        <w:rPr>
          <w:rFonts w:ascii="Arial" w:hAnsi="Arial"/>
          <w:rtl/>
        </w:rPr>
        <w:t xml:space="preserve">שו"ת אבני נזר </w:t>
      </w:r>
      <w:r>
        <w:rPr>
          <w:rFonts w:ascii="Arial" w:hAnsi="Arial" w:hint="cs"/>
          <w:rtl/>
        </w:rPr>
        <w:t>(</w:t>
      </w:r>
      <w:r>
        <w:rPr>
          <w:rFonts w:ascii="Arial" w:hAnsi="Arial"/>
          <w:sz w:val="18"/>
          <w:szCs w:val="20"/>
          <w:rtl/>
        </w:rPr>
        <w:t>או"ח</w:t>
      </w:r>
      <w:r>
        <w:rPr>
          <w:rFonts w:ascii="Arial" w:hAnsi="Arial" w:hint="cs"/>
          <w:sz w:val="18"/>
          <w:szCs w:val="20"/>
          <w:rtl/>
        </w:rPr>
        <w:t xml:space="preserve">, </w:t>
      </w:r>
      <w:r>
        <w:rPr>
          <w:rFonts w:ascii="Arial" w:hAnsi="Arial"/>
          <w:sz w:val="18"/>
          <w:szCs w:val="20"/>
          <w:rtl/>
        </w:rPr>
        <w:t>תקל</w:t>
      </w:r>
      <w:r>
        <w:rPr>
          <w:rFonts w:ascii="Arial" w:hAnsi="Arial" w:hint="cs"/>
          <w:sz w:val="18"/>
          <w:szCs w:val="20"/>
          <w:rtl/>
        </w:rPr>
        <w:t>"</w:t>
      </w:r>
      <w:r>
        <w:rPr>
          <w:rFonts w:ascii="Arial" w:hAnsi="Arial"/>
          <w:sz w:val="18"/>
          <w:szCs w:val="20"/>
          <w:rtl/>
        </w:rPr>
        <w:t>ו</w:t>
      </w:r>
      <w:r>
        <w:rPr>
          <w:rFonts w:ascii="Arial" w:hAnsi="Arial" w:hint="cs"/>
          <w:rtl/>
        </w:rPr>
        <w:t>);</w:t>
      </w:r>
      <w:r>
        <w:rPr>
          <w:rFonts w:ascii="Arial" w:hAnsi="Arial"/>
          <w:rtl/>
        </w:rPr>
        <w:t xml:space="preserve"> משנה ברורה </w:t>
      </w:r>
      <w:r>
        <w:rPr>
          <w:rFonts w:ascii="Arial" w:hAnsi="Arial" w:hint="cs"/>
          <w:rtl/>
        </w:rPr>
        <w:t>(</w:t>
      </w:r>
      <w:r>
        <w:rPr>
          <w:rFonts w:ascii="Arial" w:hAnsi="Arial"/>
          <w:sz w:val="18"/>
          <w:szCs w:val="20"/>
          <w:rtl/>
        </w:rPr>
        <w:t>ש</w:t>
      </w:r>
      <w:r>
        <w:rPr>
          <w:rFonts w:ascii="Arial" w:hAnsi="Arial" w:hint="cs"/>
          <w:sz w:val="18"/>
          <w:szCs w:val="20"/>
          <w:rtl/>
        </w:rPr>
        <w:t>"</w:t>
      </w:r>
      <w:r>
        <w:rPr>
          <w:rFonts w:ascii="Arial" w:hAnsi="Arial"/>
          <w:sz w:val="18"/>
          <w:szCs w:val="20"/>
          <w:rtl/>
        </w:rPr>
        <w:t>ו ס"ק נ</w:t>
      </w:r>
      <w:r>
        <w:rPr>
          <w:rFonts w:ascii="Arial" w:hAnsi="Arial" w:hint="cs"/>
          <w:sz w:val="18"/>
          <w:szCs w:val="20"/>
          <w:rtl/>
        </w:rPr>
        <w:t>"</w:t>
      </w:r>
      <w:r>
        <w:rPr>
          <w:rFonts w:ascii="Arial" w:hAnsi="Arial"/>
          <w:sz w:val="18"/>
          <w:szCs w:val="20"/>
          <w:rtl/>
        </w:rPr>
        <w:t>ו</w:t>
      </w:r>
      <w:r>
        <w:rPr>
          <w:rFonts w:ascii="Arial" w:hAnsi="Arial" w:hint="cs"/>
          <w:rtl/>
        </w:rPr>
        <w:t xml:space="preserve">); </w:t>
      </w:r>
      <w:r>
        <w:rPr>
          <w:rFonts w:ascii="Arial" w:hAnsi="Arial"/>
          <w:rtl/>
        </w:rPr>
        <w:t xml:space="preserve">שו"ת ישכיל עבדי </w:t>
      </w:r>
      <w:r>
        <w:rPr>
          <w:rFonts w:ascii="Arial" w:hAnsi="Arial" w:hint="cs"/>
          <w:rtl/>
        </w:rPr>
        <w:t>(</w:t>
      </w:r>
      <w:r>
        <w:rPr>
          <w:rFonts w:ascii="Arial" w:hAnsi="Arial"/>
          <w:sz w:val="18"/>
          <w:szCs w:val="20"/>
          <w:rtl/>
        </w:rPr>
        <w:t>ח</w:t>
      </w:r>
      <w:r>
        <w:rPr>
          <w:rFonts w:ascii="Arial" w:hAnsi="Arial" w:hint="cs"/>
          <w:sz w:val="18"/>
          <w:szCs w:val="20"/>
          <w:rtl/>
        </w:rPr>
        <w:t>"</w:t>
      </w:r>
      <w:r>
        <w:rPr>
          <w:rFonts w:ascii="Arial" w:hAnsi="Arial"/>
          <w:sz w:val="18"/>
          <w:szCs w:val="20"/>
          <w:rtl/>
        </w:rPr>
        <w:t>א</w:t>
      </w:r>
      <w:r>
        <w:rPr>
          <w:rFonts w:ascii="Arial" w:hAnsi="Arial" w:hint="cs"/>
          <w:sz w:val="18"/>
          <w:szCs w:val="20"/>
          <w:rtl/>
        </w:rPr>
        <w:t xml:space="preserve"> </w:t>
      </w:r>
      <w:r>
        <w:rPr>
          <w:rFonts w:ascii="Arial" w:hAnsi="Arial"/>
          <w:sz w:val="18"/>
          <w:szCs w:val="20"/>
          <w:rtl/>
        </w:rPr>
        <w:t>יו"ד</w:t>
      </w:r>
      <w:r>
        <w:rPr>
          <w:rFonts w:ascii="Arial" w:hAnsi="Arial" w:hint="cs"/>
          <w:sz w:val="18"/>
          <w:szCs w:val="20"/>
          <w:rtl/>
        </w:rPr>
        <w:t xml:space="preserve">, </w:t>
      </w:r>
      <w:r>
        <w:rPr>
          <w:rFonts w:ascii="Arial" w:hAnsi="Arial"/>
          <w:sz w:val="18"/>
          <w:szCs w:val="20"/>
          <w:rtl/>
        </w:rPr>
        <w:t>ו</w:t>
      </w:r>
      <w:r>
        <w:rPr>
          <w:rFonts w:ascii="Arial" w:hAnsi="Arial" w:hint="cs"/>
          <w:sz w:val="18"/>
          <w:szCs w:val="20"/>
          <w:rtl/>
        </w:rPr>
        <w:t xml:space="preserve">', </w:t>
      </w:r>
      <w:r>
        <w:rPr>
          <w:rFonts w:ascii="Arial" w:hAnsi="Arial"/>
          <w:sz w:val="18"/>
          <w:szCs w:val="20"/>
          <w:rtl/>
        </w:rPr>
        <w:t>סעיף ח'</w:t>
      </w:r>
      <w:r>
        <w:rPr>
          <w:rFonts w:ascii="Arial" w:hAnsi="Arial" w:hint="cs"/>
          <w:rtl/>
        </w:rPr>
        <w:t xml:space="preserve">); </w:t>
      </w:r>
      <w:r>
        <w:rPr>
          <w:rFonts w:ascii="Arial" w:hAnsi="Arial"/>
          <w:rtl/>
        </w:rPr>
        <w:t xml:space="preserve">שו"ת ציץ אליעזר </w:t>
      </w:r>
      <w:r>
        <w:rPr>
          <w:rFonts w:ascii="Arial" w:hAnsi="Arial" w:hint="cs"/>
          <w:rtl/>
        </w:rPr>
        <w:t>(</w:t>
      </w:r>
      <w:r>
        <w:rPr>
          <w:rFonts w:ascii="Arial" w:hAnsi="Arial"/>
          <w:sz w:val="18"/>
          <w:szCs w:val="20"/>
          <w:rtl/>
        </w:rPr>
        <w:t>ח</w:t>
      </w:r>
      <w:r>
        <w:rPr>
          <w:rFonts w:ascii="Arial" w:hAnsi="Arial" w:hint="cs"/>
          <w:sz w:val="18"/>
          <w:szCs w:val="20"/>
          <w:rtl/>
        </w:rPr>
        <w:t>"</w:t>
      </w:r>
      <w:r>
        <w:rPr>
          <w:rFonts w:ascii="Arial" w:hAnsi="Arial"/>
          <w:sz w:val="18"/>
          <w:szCs w:val="20"/>
          <w:rtl/>
        </w:rPr>
        <w:t>ה</w:t>
      </w:r>
      <w:r>
        <w:rPr>
          <w:rFonts w:ascii="Arial" w:hAnsi="Arial" w:hint="cs"/>
          <w:sz w:val="18"/>
          <w:szCs w:val="20"/>
          <w:rtl/>
        </w:rPr>
        <w:t xml:space="preserve">, </w:t>
      </w:r>
      <w:r>
        <w:rPr>
          <w:rFonts w:ascii="Arial" w:hAnsi="Arial"/>
          <w:sz w:val="18"/>
          <w:szCs w:val="20"/>
          <w:rtl/>
        </w:rPr>
        <w:t>ט</w:t>
      </w:r>
      <w:r>
        <w:rPr>
          <w:rFonts w:ascii="Arial" w:hAnsi="Arial" w:hint="cs"/>
          <w:sz w:val="18"/>
          <w:szCs w:val="20"/>
          <w:rtl/>
        </w:rPr>
        <w:t>"</w:t>
      </w:r>
      <w:r>
        <w:rPr>
          <w:rFonts w:ascii="Arial" w:hAnsi="Arial"/>
          <w:sz w:val="18"/>
          <w:szCs w:val="20"/>
          <w:rtl/>
        </w:rPr>
        <w:t>ו</w:t>
      </w:r>
      <w:r>
        <w:rPr>
          <w:rFonts w:ascii="Arial" w:hAnsi="Arial" w:hint="cs"/>
          <w:rtl/>
        </w:rPr>
        <w:t xml:space="preserve">); </w:t>
      </w:r>
      <w:r>
        <w:rPr>
          <w:rFonts w:ascii="Arial" w:hAnsi="Arial"/>
          <w:rtl/>
        </w:rPr>
        <w:t xml:space="preserve">שו"ת יביע אומר </w:t>
      </w:r>
      <w:r>
        <w:rPr>
          <w:rFonts w:ascii="Arial" w:hAnsi="Arial" w:hint="cs"/>
          <w:rtl/>
        </w:rPr>
        <w:t>(</w:t>
      </w:r>
      <w:r>
        <w:rPr>
          <w:rFonts w:ascii="Arial" w:hAnsi="Arial"/>
          <w:sz w:val="18"/>
          <w:szCs w:val="20"/>
          <w:rtl/>
        </w:rPr>
        <w:t>ח</w:t>
      </w:r>
      <w:r>
        <w:rPr>
          <w:rFonts w:ascii="Arial" w:hAnsi="Arial" w:hint="cs"/>
          <w:sz w:val="18"/>
          <w:szCs w:val="20"/>
          <w:rtl/>
        </w:rPr>
        <w:t>"</w:t>
      </w:r>
      <w:r>
        <w:rPr>
          <w:rFonts w:ascii="Arial" w:hAnsi="Arial"/>
          <w:sz w:val="18"/>
          <w:szCs w:val="20"/>
          <w:rtl/>
        </w:rPr>
        <w:t>ד</w:t>
      </w:r>
      <w:r>
        <w:rPr>
          <w:rFonts w:ascii="Arial" w:hAnsi="Arial" w:hint="cs"/>
          <w:sz w:val="18"/>
          <w:szCs w:val="20"/>
          <w:rtl/>
        </w:rPr>
        <w:t xml:space="preserve">, </w:t>
      </w:r>
      <w:r>
        <w:rPr>
          <w:rFonts w:ascii="Arial" w:hAnsi="Arial"/>
          <w:sz w:val="18"/>
          <w:szCs w:val="20"/>
          <w:rtl/>
        </w:rPr>
        <w:t>או"ח</w:t>
      </w:r>
      <w:r>
        <w:rPr>
          <w:rFonts w:ascii="Arial" w:hAnsi="Arial" w:hint="cs"/>
          <w:sz w:val="18"/>
          <w:szCs w:val="20"/>
          <w:rtl/>
        </w:rPr>
        <w:t xml:space="preserve">, </w:t>
      </w:r>
      <w:r>
        <w:rPr>
          <w:rFonts w:ascii="Arial" w:hAnsi="Arial"/>
          <w:sz w:val="18"/>
          <w:szCs w:val="20"/>
          <w:rtl/>
        </w:rPr>
        <w:t>ט</w:t>
      </w:r>
      <w:r>
        <w:rPr>
          <w:rFonts w:ascii="Arial" w:hAnsi="Arial" w:hint="cs"/>
          <w:sz w:val="18"/>
          <w:szCs w:val="20"/>
          <w:rtl/>
        </w:rPr>
        <w:t>'</w:t>
      </w:r>
      <w:r>
        <w:rPr>
          <w:rFonts w:ascii="Arial" w:hAnsi="Arial" w:hint="cs"/>
          <w:rtl/>
        </w:rPr>
        <w:t>).</w:t>
      </w:r>
    </w:p>
  </w:footnote>
  <w:footnote w:id="103">
    <w:p w14:paraId="5065A63C" w14:textId="77777777" w:rsidR="00940290" w:rsidRDefault="00940290" w:rsidP="00940290">
      <w:pPr>
        <w:pStyle w:val="a5"/>
        <w:rPr>
          <w:rtl/>
        </w:rPr>
      </w:pPr>
      <w:r>
        <w:rPr>
          <w:rStyle w:val="a4"/>
        </w:rPr>
        <w:footnoteRef/>
      </w:r>
      <w:r>
        <w:rPr>
          <w:rFonts w:hint="cs"/>
          <w:rtl/>
        </w:rPr>
        <w:t xml:space="preserve"> </w:t>
      </w:r>
      <w:r>
        <w:rPr>
          <w:rFonts w:ascii="Arial" w:hAnsi="Arial" w:hint="cs"/>
          <w:rtl/>
        </w:rPr>
        <w:t xml:space="preserve">ואין לדחות שהיא הנותנת, ויש לקרוא את הכתיב החסר בניקוד "חֲטָא", אלא יְלַמֵּד המפורש על הסתום. והשוה למש"כ להלן </w:t>
      </w:r>
      <w:r>
        <w:rPr>
          <w:rFonts w:ascii="Arial" w:hAnsi="Arial"/>
          <w:rtl/>
        </w:rPr>
        <w:t>דף ל, א: "מְחול לי".</w:t>
      </w:r>
    </w:p>
  </w:footnote>
  <w:footnote w:id="104">
    <w:p w14:paraId="66A737EB" w14:textId="77777777" w:rsidR="00940290" w:rsidRDefault="00940290" w:rsidP="00940290">
      <w:pPr>
        <w:pStyle w:val="a5"/>
        <w:rPr>
          <w:rFonts w:hint="cs"/>
          <w:rtl/>
        </w:rPr>
      </w:pPr>
      <w:r>
        <w:rPr>
          <w:rStyle w:val="a4"/>
        </w:rPr>
        <w:footnoteRef/>
      </w:r>
      <w:r>
        <w:rPr>
          <w:rFonts w:hint="cs"/>
          <w:rtl/>
        </w:rPr>
        <w:t xml:space="preserve"> בלשון התורה אין פעולה זו נקראת "קבלה". חז"ל למדו שיש לקבל את הדם ממלים אחרות: "</w:t>
      </w:r>
      <w:r>
        <w:rPr>
          <w:rtl/>
        </w:rPr>
        <w:t>וַיִּקַּח</w:t>
      </w:r>
      <w:r>
        <w:rPr>
          <w:rFonts w:hint="cs"/>
          <w:rtl/>
        </w:rPr>
        <w:t>" (</w:t>
      </w:r>
      <w:r>
        <w:rPr>
          <w:sz w:val="18"/>
          <w:szCs w:val="20"/>
          <w:rtl/>
        </w:rPr>
        <w:t>שמות כד</w:t>
      </w:r>
      <w:r>
        <w:rPr>
          <w:rFonts w:hint="cs"/>
          <w:sz w:val="18"/>
          <w:szCs w:val="20"/>
          <w:rtl/>
        </w:rPr>
        <w:t xml:space="preserve">, </w:t>
      </w:r>
      <w:r>
        <w:rPr>
          <w:sz w:val="18"/>
          <w:szCs w:val="20"/>
          <w:rtl/>
        </w:rPr>
        <w:t>ו</w:t>
      </w:r>
      <w:r>
        <w:rPr>
          <w:rFonts w:hint="cs"/>
          <w:rtl/>
        </w:rPr>
        <w:t>), "</w:t>
      </w:r>
      <w:r>
        <w:rPr>
          <w:rtl/>
        </w:rPr>
        <w:t>וְלָקַח</w:t>
      </w:r>
      <w:r>
        <w:rPr>
          <w:rFonts w:hint="cs"/>
          <w:rtl/>
        </w:rPr>
        <w:t>" (</w:t>
      </w:r>
      <w:r>
        <w:rPr>
          <w:sz w:val="18"/>
          <w:szCs w:val="20"/>
          <w:rtl/>
        </w:rPr>
        <w:t>ויקרא ד</w:t>
      </w:r>
      <w:r>
        <w:rPr>
          <w:rFonts w:hint="cs"/>
          <w:sz w:val="18"/>
          <w:szCs w:val="20"/>
          <w:rtl/>
        </w:rPr>
        <w:t xml:space="preserve">, </w:t>
      </w:r>
      <w:r>
        <w:rPr>
          <w:sz w:val="18"/>
          <w:szCs w:val="20"/>
          <w:rtl/>
        </w:rPr>
        <w:t>כה</w:t>
      </w:r>
      <w:r>
        <w:rPr>
          <w:rFonts w:hint="cs"/>
          <w:rtl/>
        </w:rPr>
        <w:t xml:space="preserve">), </w:t>
      </w:r>
      <w:r>
        <w:rPr>
          <w:rtl/>
        </w:rPr>
        <w:t>רש"י</w:t>
      </w:r>
      <w:r>
        <w:rPr>
          <w:rFonts w:hint="cs"/>
          <w:rtl/>
        </w:rPr>
        <w:t>:</w:t>
      </w:r>
      <w:r>
        <w:rPr>
          <w:rtl/>
        </w:rPr>
        <w:t xml:space="preserve"> </w:t>
      </w:r>
      <w:r>
        <w:rPr>
          <w:rFonts w:hint="cs"/>
          <w:rtl/>
        </w:rPr>
        <w:t>"</w:t>
      </w:r>
      <w:r>
        <w:rPr>
          <w:rtl/>
        </w:rPr>
        <w:t>ולקח הכהן -  לשון קבלה הוא</w:t>
      </w:r>
      <w:r>
        <w:rPr>
          <w:rFonts w:hint="cs"/>
          <w:rtl/>
        </w:rPr>
        <w:t>" (</w:t>
      </w:r>
      <w:r>
        <w:rPr>
          <w:sz w:val="18"/>
          <w:szCs w:val="20"/>
          <w:rtl/>
        </w:rPr>
        <w:t>זבחים ח</w:t>
      </w:r>
      <w:r>
        <w:rPr>
          <w:rFonts w:hint="cs"/>
          <w:sz w:val="18"/>
          <w:szCs w:val="20"/>
          <w:rtl/>
        </w:rPr>
        <w:t xml:space="preserve">, </w:t>
      </w:r>
      <w:r>
        <w:rPr>
          <w:sz w:val="18"/>
          <w:szCs w:val="20"/>
          <w:rtl/>
        </w:rPr>
        <w:t>א</w:t>
      </w:r>
      <w:r>
        <w:rPr>
          <w:rFonts w:hint="cs"/>
          <w:sz w:val="18"/>
          <w:szCs w:val="20"/>
          <w:rtl/>
        </w:rPr>
        <w:t xml:space="preserve">; ועיין בת"א לבראשית כז, לה ולבמדבר ז, ה ששורש לק"ח תורגם לשורש קב"ל - תופעה הנפוצה יותר </w:t>
      </w:r>
      <w:r>
        <w:rPr>
          <w:sz w:val="18"/>
          <w:szCs w:val="20"/>
          <w:rtl/>
        </w:rPr>
        <w:t>בתרגום ירושלמי השלם</w:t>
      </w:r>
      <w:r>
        <w:rPr>
          <w:rFonts w:hint="cs"/>
          <w:sz w:val="18"/>
          <w:szCs w:val="20"/>
          <w:rtl/>
        </w:rPr>
        <w:t xml:space="preserve"> כתב יד רומי, "ניאופיטי", כגון ב</w:t>
      </w:r>
      <w:r>
        <w:rPr>
          <w:sz w:val="18"/>
          <w:szCs w:val="20"/>
          <w:rtl/>
        </w:rPr>
        <w:t xml:space="preserve">שמות </w:t>
      </w:r>
      <w:r>
        <w:rPr>
          <w:rFonts w:hint="cs"/>
          <w:sz w:val="20"/>
          <w:szCs w:val="20"/>
          <w:rtl/>
        </w:rPr>
        <w:t>כה, ב</w:t>
      </w:r>
      <w:r>
        <w:rPr>
          <w:rFonts w:hint="cs"/>
          <w:rtl/>
        </w:rPr>
        <w:t xml:space="preserve">), וע"ע </w:t>
      </w:r>
      <w:r>
        <w:rPr>
          <w:rtl/>
        </w:rPr>
        <w:t xml:space="preserve">רמב"ן </w:t>
      </w:r>
      <w:r>
        <w:rPr>
          <w:rFonts w:hint="cs"/>
          <w:rtl/>
        </w:rPr>
        <w:t>(</w:t>
      </w:r>
      <w:r>
        <w:rPr>
          <w:sz w:val="18"/>
          <w:szCs w:val="20"/>
          <w:rtl/>
        </w:rPr>
        <w:t>ויקרא א</w:t>
      </w:r>
      <w:r>
        <w:rPr>
          <w:rFonts w:hint="cs"/>
          <w:sz w:val="18"/>
          <w:szCs w:val="20"/>
          <w:rtl/>
        </w:rPr>
        <w:t xml:space="preserve">, </w:t>
      </w:r>
      <w:r>
        <w:rPr>
          <w:sz w:val="18"/>
          <w:szCs w:val="20"/>
          <w:rtl/>
        </w:rPr>
        <w:t>ה</w:t>
      </w:r>
      <w:r>
        <w:rPr>
          <w:rtl/>
        </w:rPr>
        <w:t>)</w:t>
      </w:r>
      <w:r>
        <w:rPr>
          <w:rFonts w:hint="cs"/>
          <w:rtl/>
        </w:rPr>
        <w:t xml:space="preserve"> החולק על רש"י שהסביר כי "</w:t>
      </w:r>
      <w:r>
        <w:rPr>
          <w:rtl/>
        </w:rPr>
        <w:t>והקריבו</w:t>
      </w:r>
      <w:r>
        <w:rPr>
          <w:rFonts w:hint="cs"/>
          <w:rtl/>
        </w:rPr>
        <w:t xml:space="preserve">" - </w:t>
      </w:r>
      <w:r>
        <w:rPr>
          <w:rtl/>
        </w:rPr>
        <w:t>זו קבל</w:t>
      </w:r>
      <w:r>
        <w:rPr>
          <w:rFonts w:hint="cs"/>
          <w:rtl/>
        </w:rPr>
        <w:t>ת הדם.</w:t>
      </w:r>
    </w:p>
    <w:p w14:paraId="38191055" w14:textId="77777777" w:rsidR="00940290" w:rsidRDefault="00940290" w:rsidP="00940290">
      <w:pPr>
        <w:pStyle w:val="a5"/>
        <w:rPr>
          <w:rFonts w:hint="cs"/>
          <w:rtl/>
        </w:rPr>
      </w:pPr>
      <w:r>
        <w:rPr>
          <w:rFonts w:hint="cs"/>
          <w:rtl/>
        </w:rPr>
        <w:t>השורש קב"ל מופיע בלשון התורה בבנין הִפעיל בלבד ("</w:t>
      </w:r>
      <w:r>
        <w:rPr>
          <w:rtl/>
        </w:rPr>
        <w:t>מַקְבִּילֹת הַלֻּלָאֹת</w:t>
      </w:r>
      <w:r>
        <w:rPr>
          <w:rFonts w:hint="cs"/>
          <w:rtl/>
        </w:rPr>
        <w:t>"</w:t>
      </w:r>
      <w:r>
        <w:rPr>
          <w:rFonts w:hint="cs"/>
          <w:sz w:val="18"/>
          <w:szCs w:val="20"/>
          <w:rtl/>
        </w:rPr>
        <w:t xml:space="preserve">, </w:t>
      </w:r>
      <w:r>
        <w:rPr>
          <w:sz w:val="18"/>
          <w:szCs w:val="20"/>
          <w:rtl/>
        </w:rPr>
        <w:t>שמות כו</w:t>
      </w:r>
      <w:r>
        <w:rPr>
          <w:rFonts w:hint="cs"/>
          <w:sz w:val="18"/>
          <w:szCs w:val="20"/>
          <w:rtl/>
        </w:rPr>
        <w:t>,</w:t>
      </w:r>
      <w:r>
        <w:rPr>
          <w:sz w:val="18"/>
          <w:szCs w:val="20"/>
          <w:rtl/>
        </w:rPr>
        <w:t xml:space="preserve"> ה</w:t>
      </w:r>
      <w:r>
        <w:rPr>
          <w:rFonts w:hint="cs"/>
          <w:sz w:val="18"/>
          <w:szCs w:val="20"/>
          <w:rtl/>
        </w:rPr>
        <w:t xml:space="preserve">; </w:t>
      </w:r>
      <w:r>
        <w:rPr>
          <w:sz w:val="26"/>
          <w:rtl/>
        </w:rPr>
        <w:t>רש"י</w:t>
      </w:r>
      <w:r>
        <w:rPr>
          <w:rFonts w:hint="cs"/>
          <w:sz w:val="26"/>
          <w:rtl/>
        </w:rPr>
        <w:t>: "</w:t>
      </w:r>
      <w:r>
        <w:rPr>
          <w:sz w:val="26"/>
          <w:rtl/>
        </w:rPr>
        <w:t>וזהו לשון מקבילות</w:t>
      </w:r>
      <w:r>
        <w:rPr>
          <w:rFonts w:hint="cs"/>
          <w:sz w:val="26"/>
          <w:rtl/>
        </w:rPr>
        <w:t xml:space="preserve"> -</w:t>
      </w:r>
      <w:r>
        <w:rPr>
          <w:sz w:val="26"/>
          <w:rtl/>
        </w:rPr>
        <w:t xml:space="preserve"> זו כנגד זו</w:t>
      </w:r>
      <w:r>
        <w:rPr>
          <w:rFonts w:hint="cs"/>
          <w:sz w:val="26"/>
          <w:rtl/>
        </w:rPr>
        <w:t>.</w:t>
      </w:r>
      <w:r>
        <w:rPr>
          <w:rFonts w:hint="cs"/>
          <w:sz w:val="18"/>
          <w:szCs w:val="20"/>
          <w:rtl/>
        </w:rPr>
        <w:t xml:space="preserve"> </w:t>
      </w:r>
      <w:r>
        <w:rPr>
          <w:sz w:val="18"/>
          <w:szCs w:val="20"/>
          <w:rtl/>
        </w:rPr>
        <w:t xml:space="preserve">תרגומו של נֶגֶד </w:t>
      </w:r>
      <w:r>
        <w:rPr>
          <w:rFonts w:hint="cs"/>
          <w:sz w:val="18"/>
          <w:szCs w:val="20"/>
          <w:rtl/>
        </w:rPr>
        <w:t xml:space="preserve">- </w:t>
      </w:r>
      <w:r>
        <w:rPr>
          <w:sz w:val="18"/>
          <w:szCs w:val="20"/>
          <w:rtl/>
        </w:rPr>
        <w:t>קביל</w:t>
      </w:r>
      <w:r>
        <w:rPr>
          <w:rFonts w:hint="cs"/>
          <w:sz w:val="18"/>
          <w:szCs w:val="20"/>
          <w:rtl/>
        </w:rPr>
        <w:t>",</w:t>
      </w:r>
      <w:r>
        <w:rPr>
          <w:sz w:val="18"/>
          <w:szCs w:val="20"/>
          <w:rtl/>
        </w:rPr>
        <w:t xml:space="preserve"> </w:t>
      </w:r>
      <w:r>
        <w:rPr>
          <w:rFonts w:hint="cs"/>
          <w:sz w:val="18"/>
          <w:szCs w:val="20"/>
          <w:rtl/>
        </w:rPr>
        <w:t>ע"פ ת"א ל</w:t>
      </w:r>
      <w:r>
        <w:rPr>
          <w:sz w:val="18"/>
          <w:szCs w:val="20"/>
          <w:rtl/>
        </w:rPr>
        <w:t>שמות י</w:t>
      </w:r>
      <w:r>
        <w:rPr>
          <w:rFonts w:hint="cs"/>
          <w:sz w:val="18"/>
          <w:szCs w:val="20"/>
          <w:rtl/>
        </w:rPr>
        <w:t xml:space="preserve">, </w:t>
      </w:r>
      <w:r>
        <w:rPr>
          <w:sz w:val="18"/>
          <w:szCs w:val="20"/>
          <w:rtl/>
        </w:rPr>
        <w:t>י</w:t>
      </w:r>
      <w:r>
        <w:rPr>
          <w:rFonts w:hint="cs"/>
          <w:rtl/>
        </w:rPr>
        <w:t>). פעלים בבנין פִעֵל מופיעים רק בספרי המקרא האחרונים (משלי, אסתר, איוב, דבה"י ועזרא), ובארמית של דניאל ועזרא. לא ברור אם ישנו קשר סימנטי (</w:t>
      </w:r>
      <w:r>
        <w:rPr>
          <w:rFonts w:hint="cs"/>
          <w:sz w:val="18"/>
          <w:szCs w:val="20"/>
          <w:rtl/>
        </w:rPr>
        <w:t>מבחינת המשמעות</w:t>
      </w:r>
      <w:r>
        <w:rPr>
          <w:rFonts w:hint="cs"/>
          <w:rtl/>
        </w:rPr>
        <w:t>) בין ה"הקְבּלה" ("</w:t>
      </w:r>
      <w:r>
        <w:rPr>
          <w:rtl/>
        </w:rPr>
        <w:t>מַקְבִּילֹת</w:t>
      </w:r>
      <w:r>
        <w:rPr>
          <w:rFonts w:hint="cs"/>
          <w:rtl/>
        </w:rPr>
        <w:t xml:space="preserve">" </w:t>
      </w:r>
      <w:r>
        <w:rPr>
          <w:rFonts w:hint="cs"/>
          <w:sz w:val="18"/>
          <w:szCs w:val="20"/>
          <w:rtl/>
        </w:rPr>
        <w:t>הנ"ל</w:t>
      </w:r>
      <w:r>
        <w:rPr>
          <w:rFonts w:hint="cs"/>
          <w:rtl/>
        </w:rPr>
        <w:t>,</w:t>
      </w:r>
      <w:r>
        <w:rPr>
          <w:rtl/>
        </w:rPr>
        <w:t xml:space="preserve"> </w:t>
      </w:r>
      <w:r>
        <w:rPr>
          <w:rFonts w:hint="cs"/>
          <w:rtl/>
        </w:rPr>
        <w:t>"</w:t>
      </w:r>
      <w:r>
        <w:rPr>
          <w:rtl/>
        </w:rPr>
        <w:t>קָבָל</w:t>
      </w:r>
      <w:r>
        <w:rPr>
          <w:rFonts w:hint="cs"/>
          <w:rtl/>
        </w:rPr>
        <w:t>-</w:t>
      </w:r>
      <w:r>
        <w:rPr>
          <w:rtl/>
        </w:rPr>
        <w:t>עָם</w:t>
      </w:r>
      <w:r>
        <w:rPr>
          <w:rFonts w:hint="cs"/>
          <w:rtl/>
        </w:rPr>
        <w:t xml:space="preserve">", </w:t>
      </w:r>
      <w:r>
        <w:rPr>
          <w:sz w:val="18"/>
          <w:szCs w:val="20"/>
          <w:rtl/>
        </w:rPr>
        <w:t>מלכים ב</w:t>
      </w:r>
      <w:r>
        <w:rPr>
          <w:rFonts w:hint="cs"/>
          <w:sz w:val="18"/>
          <w:szCs w:val="20"/>
          <w:rtl/>
        </w:rPr>
        <w:t>'</w:t>
      </w:r>
      <w:r>
        <w:rPr>
          <w:sz w:val="18"/>
          <w:szCs w:val="20"/>
          <w:rtl/>
        </w:rPr>
        <w:t xml:space="preserve"> טו</w:t>
      </w:r>
      <w:r>
        <w:rPr>
          <w:rFonts w:hint="cs"/>
          <w:sz w:val="18"/>
          <w:szCs w:val="20"/>
          <w:rtl/>
        </w:rPr>
        <w:t xml:space="preserve">, </w:t>
      </w:r>
      <w:r>
        <w:rPr>
          <w:sz w:val="18"/>
          <w:szCs w:val="20"/>
          <w:rtl/>
        </w:rPr>
        <w:t>י</w:t>
      </w:r>
      <w:r>
        <w:rPr>
          <w:rFonts w:hint="cs"/>
          <w:rtl/>
        </w:rPr>
        <w:t>) לבין "קַבּלה" ובינם לבין ה"קְבִילה" אשר מופיעה רק בעברית (ובארמית) של חז"ל (</w:t>
      </w:r>
      <w:r>
        <w:rPr>
          <w:rFonts w:hint="cs"/>
          <w:color w:val="000000"/>
          <w:rtl/>
          <w:lang w:eastAsia="he-IL"/>
        </w:rPr>
        <w:t>"</w:t>
      </w:r>
      <w:r>
        <w:rPr>
          <w:rtl/>
          <w:lang w:eastAsia="he-IL"/>
        </w:rPr>
        <w:t>קו</w:t>
      </w:r>
      <w:r>
        <w:rPr>
          <w:rFonts w:hint="cs"/>
          <w:rtl/>
          <w:lang w:eastAsia="he-IL"/>
        </w:rPr>
        <w:t>ֹ</w:t>
      </w:r>
      <w:r>
        <w:rPr>
          <w:rtl/>
          <w:lang w:eastAsia="he-IL"/>
        </w:rPr>
        <w:t>ב</w:t>
      </w:r>
      <w:r>
        <w:rPr>
          <w:rFonts w:hint="cs"/>
          <w:rtl/>
          <w:lang w:eastAsia="he-IL"/>
        </w:rPr>
        <w:t>ֵ</w:t>
      </w:r>
      <w:r>
        <w:rPr>
          <w:rtl/>
          <w:lang w:eastAsia="he-IL"/>
        </w:rPr>
        <w:t>ל</w:t>
      </w:r>
      <w:r>
        <w:rPr>
          <w:rFonts w:hint="cs"/>
          <w:rtl/>
          <w:lang w:eastAsia="he-IL"/>
        </w:rPr>
        <w:t>",</w:t>
      </w:r>
      <w:r>
        <w:rPr>
          <w:rFonts w:hint="cs"/>
          <w:sz w:val="18"/>
          <w:szCs w:val="20"/>
          <w:rtl/>
        </w:rPr>
        <w:t xml:space="preserve"> </w:t>
      </w:r>
      <w:r>
        <w:rPr>
          <w:sz w:val="18"/>
          <w:szCs w:val="20"/>
          <w:rtl/>
        </w:rPr>
        <w:t>ידים פ</w:t>
      </w:r>
      <w:r>
        <w:rPr>
          <w:rFonts w:hint="cs"/>
          <w:sz w:val="18"/>
          <w:szCs w:val="20"/>
          <w:rtl/>
        </w:rPr>
        <w:t>"</w:t>
      </w:r>
      <w:r>
        <w:rPr>
          <w:sz w:val="18"/>
          <w:szCs w:val="20"/>
          <w:rtl/>
        </w:rPr>
        <w:t xml:space="preserve">ד </w:t>
      </w:r>
      <w:r>
        <w:rPr>
          <w:rFonts w:hint="cs"/>
          <w:sz w:val="18"/>
          <w:szCs w:val="20"/>
          <w:rtl/>
        </w:rPr>
        <w:t>ו-</w:t>
      </w:r>
      <w:r>
        <w:rPr>
          <w:sz w:val="18"/>
          <w:szCs w:val="20"/>
          <w:rtl/>
        </w:rPr>
        <w:t>ח</w:t>
      </w:r>
      <w:r>
        <w:rPr>
          <w:rFonts w:hint="cs"/>
          <w:sz w:val="18"/>
          <w:szCs w:val="20"/>
          <w:rtl/>
        </w:rPr>
        <w:t>; תרגום "</w:t>
      </w:r>
      <w:r>
        <w:rPr>
          <w:sz w:val="18"/>
          <w:szCs w:val="20"/>
          <w:rtl/>
        </w:rPr>
        <w:t>זַעֲקַת</w:t>
      </w:r>
      <w:r>
        <w:rPr>
          <w:rFonts w:hint="cs"/>
          <w:sz w:val="18"/>
          <w:szCs w:val="20"/>
          <w:rtl/>
        </w:rPr>
        <w:t xml:space="preserve">" - </w:t>
      </w:r>
      <w:r>
        <w:rPr>
          <w:rFonts w:hint="cs"/>
          <w:sz w:val="26"/>
          <w:rtl/>
        </w:rPr>
        <w:t>"</w:t>
      </w:r>
      <w:r>
        <w:rPr>
          <w:sz w:val="26"/>
          <w:rtl/>
        </w:rPr>
        <w:t>קבילת</w:t>
      </w:r>
      <w:r>
        <w:rPr>
          <w:rFonts w:hint="cs"/>
          <w:sz w:val="26"/>
          <w:rtl/>
        </w:rPr>
        <w:t>"</w:t>
      </w:r>
      <w:r>
        <w:rPr>
          <w:rFonts w:hint="cs"/>
          <w:sz w:val="18"/>
          <w:szCs w:val="20"/>
          <w:rtl/>
        </w:rPr>
        <w:t xml:space="preserve">, </w:t>
      </w:r>
      <w:r>
        <w:rPr>
          <w:sz w:val="18"/>
          <w:szCs w:val="20"/>
          <w:rtl/>
        </w:rPr>
        <w:t>בראשית יח</w:t>
      </w:r>
      <w:r>
        <w:rPr>
          <w:rFonts w:hint="cs"/>
          <w:sz w:val="18"/>
          <w:szCs w:val="20"/>
          <w:rtl/>
        </w:rPr>
        <w:t xml:space="preserve">, </w:t>
      </w:r>
      <w:r>
        <w:rPr>
          <w:sz w:val="18"/>
          <w:szCs w:val="20"/>
          <w:rtl/>
        </w:rPr>
        <w:t>כ</w:t>
      </w:r>
      <w:r>
        <w:rPr>
          <w:rFonts w:hint="cs"/>
          <w:rtl/>
          <w:lang w:eastAsia="he-IL"/>
        </w:rPr>
        <w:t>).</w:t>
      </w:r>
    </w:p>
  </w:footnote>
  <w:footnote w:id="105">
    <w:p w14:paraId="34945E2D" w14:textId="77777777" w:rsidR="00940290" w:rsidRDefault="00940290" w:rsidP="00940290">
      <w:pPr>
        <w:pStyle w:val="a5"/>
        <w:rPr>
          <w:rFonts w:hint="cs"/>
          <w:rtl/>
        </w:rPr>
      </w:pPr>
      <w:r>
        <w:rPr>
          <w:rStyle w:val="a4"/>
        </w:rPr>
        <w:footnoteRef/>
      </w:r>
      <w:r>
        <w:rPr>
          <w:rFonts w:hint="cs"/>
          <w:rtl/>
        </w:rPr>
        <w:t xml:space="preserve"> להלן נוכיח שבעל פירוש זה הוא ר' זירא, תלמידו של ר' יוחנן (</w:t>
      </w:r>
      <w:r>
        <w:rPr>
          <w:rFonts w:hint="cs"/>
          <w:sz w:val="18"/>
          <w:szCs w:val="20"/>
          <w:rtl/>
        </w:rPr>
        <w:t>כב</w:t>
      </w:r>
      <w:r>
        <w:rPr>
          <w:sz w:val="18"/>
          <w:szCs w:val="20"/>
          <w:rtl/>
        </w:rPr>
        <w:t>קידושין נב</w:t>
      </w:r>
      <w:r>
        <w:rPr>
          <w:rFonts w:hint="cs"/>
          <w:sz w:val="18"/>
          <w:szCs w:val="20"/>
          <w:rtl/>
        </w:rPr>
        <w:t xml:space="preserve">, </w:t>
      </w:r>
      <w:r>
        <w:rPr>
          <w:sz w:val="18"/>
          <w:szCs w:val="20"/>
          <w:rtl/>
        </w:rPr>
        <w:t>א</w:t>
      </w:r>
      <w:r>
        <w:rPr>
          <w:rFonts w:hint="cs"/>
          <w:rtl/>
        </w:rPr>
        <w:t>).</w:t>
      </w:r>
    </w:p>
  </w:footnote>
  <w:footnote w:id="106">
    <w:p w14:paraId="3AEDC142" w14:textId="77777777" w:rsidR="00940290" w:rsidRDefault="00940290" w:rsidP="00940290">
      <w:pPr>
        <w:pStyle w:val="a5"/>
        <w:rPr>
          <w:rFonts w:hint="cs"/>
          <w:rtl/>
        </w:rPr>
      </w:pPr>
      <w:r>
        <w:rPr>
          <w:rStyle w:val="a4"/>
          <w:rtl/>
        </w:rPr>
        <w:footnoteRef/>
      </w:r>
      <w:r>
        <w:t xml:space="preserve"> </w:t>
      </w:r>
      <w:r>
        <w:rPr>
          <w:rFonts w:hint="cs"/>
          <w:rtl/>
        </w:rPr>
        <w:t>יתכן שאין כאן פרשנות, אלא תיקון נוסח (</w:t>
      </w:r>
      <w:r>
        <w:rPr>
          <w:rFonts w:hint="cs"/>
          <w:sz w:val="18"/>
          <w:szCs w:val="20"/>
          <w:rtl/>
        </w:rPr>
        <w:t xml:space="preserve">וכך בארו </w:t>
      </w:r>
      <w:r>
        <w:rPr>
          <w:sz w:val="18"/>
          <w:szCs w:val="20"/>
          <w:rtl/>
        </w:rPr>
        <w:t>במהדור</w:t>
      </w:r>
      <w:r>
        <w:rPr>
          <w:rFonts w:hint="cs"/>
          <w:sz w:val="18"/>
          <w:szCs w:val="20"/>
          <w:rtl/>
        </w:rPr>
        <w:t>ו</w:t>
      </w:r>
      <w:r>
        <w:rPr>
          <w:sz w:val="18"/>
          <w:szCs w:val="20"/>
          <w:rtl/>
        </w:rPr>
        <w:t xml:space="preserve">ת שטיינזלץ </w:t>
      </w:r>
      <w:r>
        <w:rPr>
          <w:rFonts w:hint="cs"/>
          <w:sz w:val="18"/>
          <w:szCs w:val="20"/>
          <w:rtl/>
        </w:rPr>
        <w:t>ו</w:t>
      </w:r>
      <w:r>
        <w:rPr>
          <w:sz w:val="18"/>
          <w:szCs w:val="20"/>
          <w:rtl/>
        </w:rPr>
        <w:t>ארט</w:t>
      </w:r>
      <w:r>
        <w:rPr>
          <w:rFonts w:hint="cs"/>
          <w:sz w:val="18"/>
          <w:szCs w:val="20"/>
          <w:rtl/>
        </w:rPr>
        <w:t>-</w:t>
      </w:r>
      <w:r>
        <w:rPr>
          <w:sz w:val="18"/>
          <w:szCs w:val="20"/>
          <w:rtl/>
        </w:rPr>
        <w:t>סקרול</w:t>
      </w:r>
      <w:r>
        <w:rPr>
          <w:rFonts w:hint="cs"/>
          <w:rtl/>
        </w:rPr>
        <w:t xml:space="preserve">). </w:t>
      </w:r>
    </w:p>
  </w:footnote>
  <w:footnote w:id="107">
    <w:p w14:paraId="4E1BE3CE" w14:textId="77777777" w:rsidR="00940290" w:rsidRDefault="00940290" w:rsidP="00940290">
      <w:pPr>
        <w:pStyle w:val="a5"/>
        <w:rPr>
          <w:rFonts w:hint="cs"/>
          <w:rtl/>
        </w:rPr>
      </w:pPr>
      <w:r>
        <w:rPr>
          <w:rStyle w:val="a4"/>
        </w:rPr>
        <w:footnoteRef/>
      </w:r>
      <w:r>
        <w:rPr>
          <w:rFonts w:hint="cs"/>
          <w:rtl/>
        </w:rPr>
        <w:t xml:space="preserve"> הלוא הוא "רבי זירא" שבתלמוד הבבלי, והשמטת האות ע' משמו משקפת את מבטא יהודי בבל באותה תקופה. גם בסוגיית הבבלי כאן, ר' זירא הוא שהִתקיף והִקשָה על ההבנה הראשונה של דברי ר' יוחנן, ולאור דברי הירושלמי נראה כי גם מסקנת התקפת ר' זירא, "</w:t>
      </w:r>
      <w:r>
        <w:rPr>
          <w:rtl/>
        </w:rPr>
        <w:t>לא תימא קיבל אלא קלט</w:t>
      </w:r>
      <w:r>
        <w:rPr>
          <w:rFonts w:hint="cs"/>
          <w:rtl/>
        </w:rPr>
        <w:t>", אף היא מפי ר' ז</w:t>
      </w:r>
      <w:r>
        <w:rPr>
          <w:rFonts w:hint="cs"/>
          <w:sz w:val="18"/>
          <w:szCs w:val="20"/>
          <w:rtl/>
        </w:rPr>
        <w:t>(ע)</w:t>
      </w:r>
      <w:r>
        <w:rPr>
          <w:rFonts w:hint="cs"/>
          <w:rtl/>
        </w:rPr>
        <w:t xml:space="preserve">ירא. </w:t>
      </w:r>
    </w:p>
  </w:footnote>
  <w:footnote w:id="108">
    <w:p w14:paraId="1EFF4615" w14:textId="77777777" w:rsidR="00940290" w:rsidRDefault="00940290" w:rsidP="00940290">
      <w:pPr>
        <w:pStyle w:val="a5"/>
        <w:rPr>
          <w:rFonts w:hint="cs"/>
          <w:rtl/>
        </w:rPr>
      </w:pPr>
      <w:r>
        <w:rPr>
          <w:rStyle w:val="a4"/>
          <w:rtl/>
        </w:rPr>
        <w:footnoteRef/>
      </w:r>
      <w:r>
        <w:t xml:space="preserve"> </w:t>
      </w:r>
      <w:r>
        <w:rPr>
          <w:rFonts w:hint="cs"/>
          <w:rtl/>
        </w:rPr>
        <w:t>נוסח התירוץ שלפנינו בבבלי ("</w:t>
      </w:r>
      <w:r>
        <w:rPr>
          <w:rtl/>
        </w:rPr>
        <w:t xml:space="preserve">לא תימא קיבל אלא </w:t>
      </w:r>
      <w:r>
        <w:rPr>
          <w:b/>
          <w:bCs/>
          <w:rtl/>
        </w:rPr>
        <w:t>קלט</w:t>
      </w:r>
      <w:r>
        <w:rPr>
          <w:rFonts w:hint="cs"/>
          <w:rtl/>
        </w:rPr>
        <w:t xml:space="preserve">") תמוה: תירוץ זה נועד לתקן את הלשון העמומה "קיבל", אך התיקון "קלט" אינו מועיל כלום, שהרי גם "קלט" מתפרש לשני פנים, כפי שנוכחנו לראות בסוגייה הירושלמית! </w:t>
      </w:r>
    </w:p>
    <w:p w14:paraId="42304ADA" w14:textId="77777777" w:rsidR="00940290" w:rsidRDefault="00940290" w:rsidP="00940290">
      <w:pPr>
        <w:pStyle w:val="a5"/>
        <w:rPr>
          <w:rtl/>
        </w:rPr>
      </w:pPr>
      <w:r>
        <w:rPr>
          <w:rFonts w:hint="cs"/>
          <w:rtl/>
        </w:rPr>
        <w:t xml:space="preserve">מעניינת השערתו של ר' </w:t>
      </w:r>
      <w:r>
        <w:rPr>
          <w:rtl/>
        </w:rPr>
        <w:t>יהושע בוך</w:t>
      </w:r>
      <w:r>
        <w:rPr>
          <w:rFonts w:hint="cs"/>
          <w:rtl/>
        </w:rPr>
        <w:t xml:space="preserve"> (</w:t>
      </w:r>
      <w:r>
        <w:rPr>
          <w:rFonts w:hint="cs"/>
          <w:sz w:val="18"/>
          <w:szCs w:val="20"/>
          <w:rtl/>
        </w:rPr>
        <w:t>אם כי טרם נמצא לה אישוש כתוב</w:t>
      </w:r>
      <w:r>
        <w:rPr>
          <w:rFonts w:hint="cs"/>
          <w:rtl/>
        </w:rPr>
        <w:t>), לְשַׂכֵּל את אותיות הפֹעל "קלט" המופיע ג' פעמים בסוגייתנו ולגרוס "</w:t>
      </w:r>
      <w:r>
        <w:rPr>
          <w:rtl/>
        </w:rPr>
        <w:t>לקט"</w:t>
      </w:r>
      <w:r>
        <w:rPr>
          <w:rFonts w:hint="cs"/>
          <w:rtl/>
        </w:rPr>
        <w:t>. יתרונו של הפֹעל "</w:t>
      </w:r>
      <w:r>
        <w:rPr>
          <w:rtl/>
        </w:rPr>
        <w:t>לקט"</w:t>
      </w:r>
      <w:r>
        <w:rPr>
          <w:rFonts w:hint="cs"/>
          <w:rtl/>
        </w:rPr>
        <w:t xml:space="preserve"> בהוראתו החד משמעית במובן של פעולה אקטיבית. על בסיס השערה זו, שמא ניתן להציע כי לשון מאמרו של ר' יוחנן כפי שנמסר בבית מדרשו של ר' זירא היתה </w:t>
      </w:r>
      <w:r>
        <w:rPr>
          <w:rtl/>
        </w:rPr>
        <w:t>"קלט"</w:t>
      </w:r>
      <w:r>
        <w:rPr>
          <w:rFonts w:hint="cs"/>
          <w:rtl/>
        </w:rPr>
        <w:t xml:space="preserve"> (</w:t>
      </w:r>
      <w:r>
        <w:rPr>
          <w:rFonts w:hint="cs"/>
          <w:sz w:val="18"/>
          <w:szCs w:val="20"/>
          <w:rtl/>
        </w:rPr>
        <w:t>כנוסח הירושלמי</w:t>
      </w:r>
      <w:r>
        <w:rPr>
          <w:rFonts w:hint="cs"/>
          <w:rtl/>
        </w:rPr>
        <w:t>), ור' ז</w:t>
      </w:r>
      <w:r>
        <w:rPr>
          <w:rFonts w:hint="cs"/>
          <w:sz w:val="18"/>
          <w:szCs w:val="20"/>
          <w:rtl/>
        </w:rPr>
        <w:t>(ע)</w:t>
      </w:r>
      <w:r>
        <w:rPr>
          <w:rFonts w:hint="cs"/>
          <w:rtl/>
        </w:rPr>
        <w:t>ירא תיקן תיקון נוסח, שהוא זעיר מחד ומועיל מאוד מאידך: "</w:t>
      </w:r>
      <w:r>
        <w:rPr>
          <w:rtl/>
        </w:rPr>
        <w:t>לא תימא </w:t>
      </w:r>
      <w:r>
        <w:rPr>
          <w:rFonts w:hint="cs"/>
          <w:rtl/>
        </w:rPr>
        <w:t>'</w:t>
      </w:r>
      <w:r>
        <w:rPr>
          <w:rtl/>
        </w:rPr>
        <w:t>קלט</w:t>
      </w:r>
      <w:r>
        <w:rPr>
          <w:rFonts w:hint="cs"/>
          <w:rtl/>
        </w:rPr>
        <w:t>'</w:t>
      </w:r>
      <w:r>
        <w:rPr>
          <w:rtl/>
        </w:rPr>
        <w:t xml:space="preserve"> </w:t>
      </w:r>
      <w:r>
        <w:rPr>
          <w:rFonts w:hint="cs"/>
          <w:rtl/>
        </w:rPr>
        <w:t>אלא</w:t>
      </w:r>
      <w:r>
        <w:rPr>
          <w:rtl/>
        </w:rPr>
        <w:t xml:space="preserve"> </w:t>
      </w:r>
      <w:r>
        <w:rPr>
          <w:rFonts w:hint="cs"/>
          <w:rtl/>
        </w:rPr>
        <w:t>'</w:t>
      </w:r>
      <w:r>
        <w:rPr>
          <w:rtl/>
        </w:rPr>
        <w:t>לקט</w:t>
      </w:r>
      <w:r>
        <w:rPr>
          <w:rFonts w:hint="cs"/>
          <w:rtl/>
        </w:rPr>
        <w:t>'</w:t>
      </w:r>
      <w:r>
        <w:rPr>
          <w:rtl/>
        </w:rPr>
        <w:t>"</w:t>
      </w:r>
      <w:r>
        <w:rPr>
          <w:rFonts w:hint="cs"/>
          <w:rtl/>
        </w:rPr>
        <w:t>.</w:t>
      </w:r>
    </w:p>
  </w:footnote>
  <w:footnote w:id="109">
    <w:p w14:paraId="51B46203" w14:textId="77777777" w:rsidR="00940290" w:rsidRDefault="00940290" w:rsidP="00940290">
      <w:pPr>
        <w:pStyle w:val="a5"/>
        <w:rPr>
          <w:rFonts w:hint="cs"/>
          <w:rtl/>
        </w:rPr>
      </w:pPr>
      <w:r>
        <w:rPr>
          <w:rStyle w:val="a4"/>
          <w:rtl/>
        </w:rPr>
        <w:footnoteRef/>
      </w:r>
      <w:r>
        <w:t xml:space="preserve"> </w:t>
      </w:r>
      <w:r>
        <w:rPr>
          <w:rFonts w:hint="cs"/>
          <w:rtl/>
        </w:rPr>
        <w:t>ע"פ דברי רשב"י (</w:t>
      </w:r>
      <w:r>
        <w:rPr>
          <w:rtl/>
        </w:rPr>
        <w:t xml:space="preserve">ברכות </w:t>
      </w:r>
      <w:r>
        <w:rPr>
          <w:sz w:val="18"/>
          <w:szCs w:val="20"/>
          <w:rtl/>
        </w:rPr>
        <w:t>נה</w:t>
      </w:r>
      <w:r>
        <w:rPr>
          <w:rFonts w:hint="cs"/>
          <w:sz w:val="18"/>
          <w:szCs w:val="20"/>
          <w:rtl/>
        </w:rPr>
        <w:t xml:space="preserve">, </w:t>
      </w:r>
      <w:r>
        <w:rPr>
          <w:sz w:val="18"/>
          <w:szCs w:val="20"/>
          <w:rtl/>
        </w:rPr>
        <w:t>א</w:t>
      </w:r>
      <w:r>
        <w:rPr>
          <w:rFonts w:hint="cs"/>
          <w:rtl/>
        </w:rPr>
        <w:t xml:space="preserve">) ע"פ </w:t>
      </w:r>
      <w:r>
        <w:rPr>
          <w:rtl/>
        </w:rPr>
        <w:t xml:space="preserve">ירמיה </w:t>
      </w:r>
      <w:r>
        <w:rPr>
          <w:sz w:val="18"/>
          <w:szCs w:val="20"/>
          <w:rtl/>
        </w:rPr>
        <w:t>כג</w:t>
      </w:r>
      <w:r>
        <w:rPr>
          <w:rFonts w:hint="cs"/>
          <w:sz w:val="18"/>
          <w:szCs w:val="20"/>
          <w:rtl/>
        </w:rPr>
        <w:t>,</w:t>
      </w:r>
      <w:r>
        <w:rPr>
          <w:sz w:val="18"/>
          <w:szCs w:val="20"/>
          <w:rtl/>
        </w:rPr>
        <w:t xml:space="preserve"> כח</w:t>
      </w:r>
      <w:r>
        <w:rPr>
          <w:rFonts w:hint="cs"/>
          <w:rtl/>
        </w:rPr>
        <w:t>.</w:t>
      </w:r>
    </w:p>
  </w:footnote>
  <w:footnote w:id="110">
    <w:p w14:paraId="1020FE9C" w14:textId="77777777" w:rsidR="00940290" w:rsidRDefault="00940290" w:rsidP="00940290">
      <w:pPr>
        <w:pStyle w:val="a5"/>
        <w:rPr>
          <w:rtl/>
        </w:rPr>
      </w:pPr>
      <w:r>
        <w:rPr>
          <w:rStyle w:val="a4"/>
          <w:rtl/>
        </w:rPr>
        <w:footnoteRef/>
      </w:r>
      <w:r>
        <w:t xml:space="preserve"> </w:t>
      </w:r>
      <w:r>
        <w:rPr>
          <w:rFonts w:hint="cs"/>
          <w:rtl/>
        </w:rPr>
        <w:t>לפעמים מצאנו חילופי קרי וכתיב במין שמות המספר: "</w:t>
      </w:r>
      <w:r>
        <w:rPr>
          <w:rtl/>
        </w:rPr>
        <w:t xml:space="preserve">וּבָאנוּ אֵלָיו </w:t>
      </w:r>
      <w:r>
        <w:rPr>
          <w:rFonts w:hint="cs"/>
          <w:rtl/>
        </w:rPr>
        <w:t>[</w:t>
      </w:r>
      <w:r>
        <w:rPr>
          <w:rtl/>
        </w:rPr>
        <w:t xml:space="preserve">באחת </w:t>
      </w:r>
      <w:r>
        <w:rPr>
          <w:rFonts w:hint="cs"/>
          <w:rtl/>
        </w:rPr>
        <w:t xml:space="preserve">כתיב, וקרי:] </w:t>
      </w:r>
      <w:r>
        <w:rPr>
          <w:rtl/>
        </w:rPr>
        <w:t>בְּאַחַד הַמְּקוֹמֹת</w:t>
      </w:r>
      <w:r>
        <w:rPr>
          <w:rFonts w:hint="cs"/>
          <w:rtl/>
        </w:rPr>
        <w:t>" (</w:t>
      </w:r>
      <w:r>
        <w:rPr>
          <w:sz w:val="18"/>
          <w:szCs w:val="20"/>
          <w:rtl/>
        </w:rPr>
        <w:t>שמואל ב</w:t>
      </w:r>
      <w:r>
        <w:rPr>
          <w:rFonts w:hint="cs"/>
          <w:sz w:val="18"/>
          <w:szCs w:val="20"/>
          <w:rtl/>
        </w:rPr>
        <w:t xml:space="preserve">' </w:t>
      </w:r>
      <w:r>
        <w:rPr>
          <w:sz w:val="18"/>
          <w:szCs w:val="20"/>
          <w:rtl/>
        </w:rPr>
        <w:t>יז</w:t>
      </w:r>
      <w:r>
        <w:rPr>
          <w:rFonts w:hint="cs"/>
          <w:sz w:val="18"/>
          <w:szCs w:val="20"/>
          <w:rtl/>
        </w:rPr>
        <w:t xml:space="preserve">, </w:t>
      </w:r>
      <w:r>
        <w:rPr>
          <w:sz w:val="18"/>
          <w:szCs w:val="20"/>
          <w:rtl/>
        </w:rPr>
        <w:t>יב</w:t>
      </w:r>
      <w:r>
        <w:rPr>
          <w:rFonts w:hint="cs"/>
          <w:sz w:val="18"/>
          <w:szCs w:val="20"/>
          <w:rtl/>
        </w:rPr>
        <w:t>; עי"ש בפירוש דעת מקרא</w:t>
      </w:r>
      <w:r>
        <w:rPr>
          <w:rFonts w:hint="cs"/>
          <w:rtl/>
        </w:rPr>
        <w:t>); "</w:t>
      </w:r>
      <w:r>
        <w:rPr>
          <w:rtl/>
        </w:rPr>
        <w:t xml:space="preserve">בְּפַעַם </w:t>
      </w:r>
      <w:r>
        <w:rPr>
          <w:rFonts w:hint="cs"/>
          <w:rtl/>
        </w:rPr>
        <w:t>[</w:t>
      </w:r>
      <w:r>
        <w:rPr>
          <w:rtl/>
        </w:rPr>
        <w:t>אחד</w:t>
      </w:r>
      <w:r>
        <w:rPr>
          <w:rFonts w:hint="cs"/>
          <w:rtl/>
        </w:rPr>
        <w:t xml:space="preserve"> כתיב, וקרי:] </w:t>
      </w:r>
      <w:r>
        <w:rPr>
          <w:rtl/>
        </w:rPr>
        <w:t>אֶחָת</w:t>
      </w:r>
      <w:r>
        <w:rPr>
          <w:rFonts w:hint="cs"/>
          <w:rtl/>
        </w:rPr>
        <w:t xml:space="preserve">" (שם </w:t>
      </w:r>
      <w:r>
        <w:rPr>
          <w:rtl/>
        </w:rPr>
        <w:t>כג</w:t>
      </w:r>
      <w:r>
        <w:rPr>
          <w:rFonts w:hint="cs"/>
          <w:rtl/>
        </w:rPr>
        <w:t xml:space="preserve">, </w:t>
      </w:r>
      <w:r>
        <w:rPr>
          <w:rtl/>
        </w:rPr>
        <w:t>ח</w:t>
      </w:r>
      <w:r>
        <w:rPr>
          <w:rFonts w:hint="cs"/>
          <w:sz w:val="18"/>
          <w:szCs w:val="20"/>
          <w:rtl/>
        </w:rPr>
        <w:t>; עי"ש בפירוש ר"י</w:t>
      </w:r>
      <w:r>
        <w:rPr>
          <w:sz w:val="18"/>
          <w:szCs w:val="20"/>
          <w:rtl/>
        </w:rPr>
        <w:t xml:space="preserve"> </w:t>
      </w:r>
      <w:r>
        <w:rPr>
          <w:rFonts w:hint="cs"/>
          <w:sz w:val="18"/>
          <w:szCs w:val="20"/>
          <w:rtl/>
        </w:rPr>
        <w:t>ן' כספי ובדעת מקרא הערה 11</w:t>
      </w:r>
      <w:r>
        <w:rPr>
          <w:rFonts w:hint="cs"/>
          <w:rtl/>
        </w:rPr>
        <w:t>); "</w:t>
      </w:r>
      <w:r>
        <w:rPr>
          <w:rtl/>
        </w:rPr>
        <w:t xml:space="preserve">וַיֵּשֶׁב תַּחַת רֹתֶם </w:t>
      </w:r>
      <w:r>
        <w:rPr>
          <w:rFonts w:hint="cs"/>
          <w:rtl/>
        </w:rPr>
        <w:t>[</w:t>
      </w:r>
      <w:r>
        <w:rPr>
          <w:rtl/>
        </w:rPr>
        <w:t>אחת</w:t>
      </w:r>
      <w:r>
        <w:rPr>
          <w:rFonts w:hint="cs"/>
          <w:rtl/>
        </w:rPr>
        <w:t xml:space="preserve"> כתיב, וקרי:] </w:t>
      </w:r>
      <w:r>
        <w:rPr>
          <w:rtl/>
        </w:rPr>
        <w:t>אֶחָד</w:t>
      </w:r>
      <w:r>
        <w:rPr>
          <w:rFonts w:hint="cs"/>
          <w:rtl/>
        </w:rPr>
        <w:t>" (</w:t>
      </w:r>
      <w:r>
        <w:rPr>
          <w:sz w:val="18"/>
          <w:szCs w:val="20"/>
          <w:rtl/>
        </w:rPr>
        <w:t>מלכים א</w:t>
      </w:r>
      <w:r>
        <w:rPr>
          <w:rFonts w:hint="cs"/>
          <w:sz w:val="18"/>
          <w:szCs w:val="20"/>
          <w:rtl/>
        </w:rPr>
        <w:t>'</w:t>
      </w:r>
      <w:r>
        <w:rPr>
          <w:sz w:val="18"/>
          <w:szCs w:val="20"/>
          <w:rtl/>
        </w:rPr>
        <w:t xml:space="preserve"> יט</w:t>
      </w:r>
      <w:r>
        <w:rPr>
          <w:rFonts w:hint="cs"/>
          <w:sz w:val="18"/>
          <w:szCs w:val="20"/>
          <w:rtl/>
        </w:rPr>
        <w:t xml:space="preserve">, </w:t>
      </w:r>
      <w:r>
        <w:rPr>
          <w:sz w:val="18"/>
          <w:szCs w:val="20"/>
          <w:rtl/>
        </w:rPr>
        <w:t>ד</w:t>
      </w:r>
      <w:r>
        <w:rPr>
          <w:rFonts w:hint="cs"/>
          <w:sz w:val="20"/>
          <w:szCs w:val="20"/>
          <w:rtl/>
        </w:rPr>
        <w:t xml:space="preserve">; </w:t>
      </w:r>
      <w:r>
        <w:rPr>
          <w:rFonts w:hint="cs"/>
          <w:sz w:val="18"/>
          <w:szCs w:val="20"/>
          <w:rtl/>
        </w:rPr>
        <w:t xml:space="preserve">עי"ש </w:t>
      </w:r>
      <w:r>
        <w:rPr>
          <w:sz w:val="18"/>
          <w:szCs w:val="20"/>
          <w:rtl/>
        </w:rPr>
        <w:t>רד"ק</w:t>
      </w:r>
      <w:r>
        <w:rPr>
          <w:rFonts w:hint="cs"/>
          <w:rtl/>
        </w:rPr>
        <w:t>); "</w:t>
      </w:r>
      <w:r>
        <w:rPr>
          <w:rtl/>
        </w:rPr>
        <w:t xml:space="preserve">אַחַר </w:t>
      </w:r>
      <w:r>
        <w:rPr>
          <w:rFonts w:hint="cs"/>
          <w:rtl/>
        </w:rPr>
        <w:t>[</w:t>
      </w:r>
      <w:r>
        <w:rPr>
          <w:rtl/>
        </w:rPr>
        <w:t>אחד</w:t>
      </w:r>
      <w:r>
        <w:rPr>
          <w:rFonts w:hint="cs"/>
          <w:rtl/>
        </w:rPr>
        <w:t xml:space="preserve"> כתיב, וקרי:] </w:t>
      </w:r>
      <w:r>
        <w:rPr>
          <w:rtl/>
        </w:rPr>
        <w:t>אַחַת בַּתָּוֶךְ</w:t>
      </w:r>
      <w:r>
        <w:rPr>
          <w:rFonts w:hint="cs"/>
          <w:rtl/>
        </w:rPr>
        <w:t>"</w:t>
      </w:r>
      <w:r>
        <w:rPr>
          <w:rtl/>
        </w:rPr>
        <w:t xml:space="preserve"> </w:t>
      </w:r>
      <w:r>
        <w:rPr>
          <w:rFonts w:hint="cs"/>
          <w:rtl/>
        </w:rPr>
        <w:t>(</w:t>
      </w:r>
      <w:r>
        <w:rPr>
          <w:rtl/>
        </w:rPr>
        <w:t>ישעיה</w:t>
      </w:r>
      <w:r>
        <w:rPr>
          <w:rFonts w:hint="cs"/>
          <w:rtl/>
        </w:rPr>
        <w:t xml:space="preserve"> </w:t>
      </w:r>
      <w:r>
        <w:rPr>
          <w:rtl/>
        </w:rPr>
        <w:t>סו</w:t>
      </w:r>
      <w:r>
        <w:rPr>
          <w:rFonts w:hint="cs"/>
          <w:rtl/>
        </w:rPr>
        <w:t xml:space="preserve">, </w:t>
      </w:r>
      <w:r>
        <w:rPr>
          <w:rtl/>
        </w:rPr>
        <w:t>יז</w:t>
      </w:r>
      <w:r>
        <w:rPr>
          <w:rFonts w:hint="cs"/>
          <w:sz w:val="20"/>
          <w:szCs w:val="20"/>
          <w:rtl/>
        </w:rPr>
        <w:t xml:space="preserve">; </w:t>
      </w:r>
      <w:r>
        <w:rPr>
          <w:rFonts w:hint="cs"/>
          <w:sz w:val="18"/>
          <w:szCs w:val="20"/>
          <w:rtl/>
        </w:rPr>
        <w:t>עי"ש בפירוש ר"י</w:t>
      </w:r>
      <w:r>
        <w:rPr>
          <w:sz w:val="18"/>
          <w:szCs w:val="20"/>
          <w:rtl/>
        </w:rPr>
        <w:t xml:space="preserve"> </w:t>
      </w:r>
      <w:r>
        <w:rPr>
          <w:rFonts w:hint="cs"/>
          <w:sz w:val="18"/>
          <w:szCs w:val="20"/>
          <w:rtl/>
        </w:rPr>
        <w:t>ן' כספי</w:t>
      </w:r>
      <w:r>
        <w:rPr>
          <w:sz w:val="18"/>
          <w:szCs w:val="20"/>
          <w:rtl/>
        </w:rPr>
        <w:t xml:space="preserve"> </w:t>
      </w:r>
      <w:r>
        <w:rPr>
          <w:rFonts w:hint="cs"/>
          <w:sz w:val="18"/>
          <w:szCs w:val="20"/>
          <w:rtl/>
        </w:rPr>
        <w:t>החולק על מו"נ</w:t>
      </w:r>
      <w:r>
        <w:rPr>
          <w:rFonts w:hint="cs"/>
          <w:rtl/>
        </w:rPr>
        <w:t>); "</w:t>
      </w:r>
      <w:r>
        <w:rPr>
          <w:rtl/>
        </w:rPr>
        <w:t xml:space="preserve">לִבַּבְתִּנִי </w:t>
      </w:r>
      <w:r>
        <w:rPr>
          <w:rFonts w:hint="cs"/>
          <w:rtl/>
        </w:rPr>
        <w:t>[</w:t>
      </w:r>
      <w:r>
        <w:rPr>
          <w:rtl/>
        </w:rPr>
        <w:t>באחד</w:t>
      </w:r>
      <w:r>
        <w:rPr>
          <w:rFonts w:hint="cs"/>
          <w:rtl/>
        </w:rPr>
        <w:t xml:space="preserve"> כתיב, וקרי:] </w:t>
      </w:r>
      <w:r>
        <w:rPr>
          <w:rtl/>
        </w:rPr>
        <w:t>בְּאַחַת מֵעֵינַיִךְ בְּאַחַד עֲנָק מִצַּוְּרֹנָיִךְ</w:t>
      </w:r>
      <w:r>
        <w:rPr>
          <w:rFonts w:hint="cs"/>
          <w:rtl/>
        </w:rPr>
        <w:t>" (</w:t>
      </w:r>
      <w:r>
        <w:rPr>
          <w:sz w:val="18"/>
          <w:szCs w:val="20"/>
          <w:rtl/>
        </w:rPr>
        <w:t>שיר השירים ד</w:t>
      </w:r>
      <w:r>
        <w:rPr>
          <w:rFonts w:hint="cs"/>
          <w:sz w:val="18"/>
          <w:szCs w:val="20"/>
          <w:rtl/>
        </w:rPr>
        <w:t xml:space="preserve">, </w:t>
      </w:r>
      <w:r>
        <w:rPr>
          <w:sz w:val="18"/>
          <w:szCs w:val="20"/>
          <w:rtl/>
        </w:rPr>
        <w:t>ט</w:t>
      </w:r>
      <w:r>
        <w:rPr>
          <w:rFonts w:hint="cs"/>
          <w:sz w:val="18"/>
          <w:szCs w:val="20"/>
          <w:rtl/>
        </w:rPr>
        <w:t>; עי"ש בפירוש דעת מקרא</w:t>
      </w:r>
      <w:r>
        <w:rPr>
          <w:rFonts w:hint="cs"/>
          <w:rtl/>
        </w:rPr>
        <w:t>); "</w:t>
      </w:r>
      <w:r>
        <w:rPr>
          <w:rtl/>
        </w:rPr>
        <w:t xml:space="preserve">בָּא הַקֵּץ עַל </w:t>
      </w:r>
      <w:r>
        <w:rPr>
          <w:rFonts w:hint="cs"/>
          <w:rtl/>
        </w:rPr>
        <w:t>[</w:t>
      </w:r>
      <w:r>
        <w:rPr>
          <w:rtl/>
        </w:rPr>
        <w:t>ארבעת</w:t>
      </w:r>
      <w:r>
        <w:rPr>
          <w:rFonts w:hint="cs"/>
          <w:rtl/>
        </w:rPr>
        <w:t xml:space="preserve"> כתיב, וקרי:] </w:t>
      </w:r>
      <w:r>
        <w:rPr>
          <w:rtl/>
        </w:rPr>
        <w:t>אַרְבַּע כַּנְפוֹת הָאָרֶץ</w:t>
      </w:r>
      <w:r>
        <w:rPr>
          <w:rFonts w:hint="cs"/>
          <w:rtl/>
        </w:rPr>
        <w:t>" (</w:t>
      </w:r>
      <w:r>
        <w:rPr>
          <w:sz w:val="20"/>
          <w:szCs w:val="20"/>
          <w:rtl/>
        </w:rPr>
        <w:t>יחזקאל</w:t>
      </w:r>
      <w:r>
        <w:rPr>
          <w:rFonts w:hint="cs"/>
          <w:sz w:val="20"/>
          <w:szCs w:val="20"/>
          <w:rtl/>
        </w:rPr>
        <w:t xml:space="preserve"> </w:t>
      </w:r>
      <w:r>
        <w:rPr>
          <w:sz w:val="20"/>
          <w:szCs w:val="20"/>
          <w:rtl/>
        </w:rPr>
        <w:t>ז</w:t>
      </w:r>
      <w:r>
        <w:rPr>
          <w:rFonts w:hint="cs"/>
          <w:sz w:val="20"/>
          <w:szCs w:val="20"/>
          <w:rtl/>
        </w:rPr>
        <w:t xml:space="preserve">, </w:t>
      </w:r>
      <w:r>
        <w:rPr>
          <w:sz w:val="20"/>
          <w:szCs w:val="20"/>
          <w:rtl/>
        </w:rPr>
        <w:t>ב</w:t>
      </w:r>
      <w:r>
        <w:rPr>
          <w:rFonts w:hint="cs"/>
          <w:sz w:val="20"/>
          <w:szCs w:val="20"/>
          <w:rtl/>
        </w:rPr>
        <w:t xml:space="preserve">; </w:t>
      </w:r>
      <w:r>
        <w:rPr>
          <w:rFonts w:hint="cs"/>
          <w:sz w:val="18"/>
          <w:szCs w:val="20"/>
          <w:rtl/>
        </w:rPr>
        <w:t xml:space="preserve">עי"ש </w:t>
      </w:r>
      <w:r>
        <w:rPr>
          <w:sz w:val="18"/>
          <w:szCs w:val="20"/>
          <w:rtl/>
        </w:rPr>
        <w:t>רד"ק</w:t>
      </w:r>
      <w:r>
        <w:rPr>
          <w:rFonts w:hint="cs"/>
          <w:rtl/>
        </w:rPr>
        <w:t>); "[</w:t>
      </w:r>
      <w:r>
        <w:rPr>
          <w:rtl/>
        </w:rPr>
        <w:t>חמש</w:t>
      </w:r>
      <w:r>
        <w:rPr>
          <w:rFonts w:hint="cs"/>
          <w:rtl/>
        </w:rPr>
        <w:t xml:space="preserve"> כתיב, וקרי:] </w:t>
      </w:r>
      <w:r>
        <w:rPr>
          <w:rtl/>
        </w:rPr>
        <w:t>חֲמִשָּׁה</w:t>
      </w:r>
      <w:r>
        <w:rPr>
          <w:rFonts w:hint="cs"/>
          <w:rtl/>
        </w:rPr>
        <w:t>" (</w:t>
      </w:r>
      <w:r>
        <w:rPr>
          <w:rFonts w:hint="cs"/>
          <w:sz w:val="20"/>
          <w:szCs w:val="20"/>
          <w:rtl/>
        </w:rPr>
        <w:t xml:space="preserve">שם מה, ג; </w:t>
      </w:r>
      <w:r>
        <w:rPr>
          <w:rFonts w:hint="cs"/>
          <w:sz w:val="18"/>
          <w:szCs w:val="20"/>
          <w:rtl/>
        </w:rPr>
        <w:t xml:space="preserve">עי"ש </w:t>
      </w:r>
      <w:r>
        <w:rPr>
          <w:sz w:val="18"/>
          <w:szCs w:val="20"/>
          <w:rtl/>
        </w:rPr>
        <w:t>רד"ק</w:t>
      </w:r>
      <w:r>
        <w:rPr>
          <w:rFonts w:hint="cs"/>
          <w:rtl/>
        </w:rPr>
        <w:t>); "[</w:t>
      </w:r>
      <w:r>
        <w:rPr>
          <w:rtl/>
        </w:rPr>
        <w:t>וארבע</w:t>
      </w:r>
      <w:r>
        <w:rPr>
          <w:rFonts w:hint="cs"/>
          <w:rtl/>
        </w:rPr>
        <w:t xml:space="preserve"> כתיב, וקרי:] </w:t>
      </w:r>
      <w:r>
        <w:rPr>
          <w:rtl/>
        </w:rPr>
        <w:t>וְאַרְבָּעָה</w:t>
      </w:r>
      <w:r>
        <w:rPr>
          <w:rFonts w:hint="cs"/>
          <w:rtl/>
        </w:rPr>
        <w:t>" (</w:t>
      </w:r>
      <w:r>
        <w:rPr>
          <w:sz w:val="18"/>
          <w:szCs w:val="20"/>
          <w:rtl/>
        </w:rPr>
        <w:t>משלי ל</w:t>
      </w:r>
      <w:r>
        <w:rPr>
          <w:rFonts w:hint="cs"/>
          <w:sz w:val="18"/>
          <w:szCs w:val="20"/>
          <w:rtl/>
        </w:rPr>
        <w:t xml:space="preserve">, </w:t>
      </w:r>
      <w:r>
        <w:rPr>
          <w:sz w:val="18"/>
          <w:szCs w:val="20"/>
          <w:rtl/>
        </w:rPr>
        <w:t>יח</w:t>
      </w:r>
      <w:r>
        <w:rPr>
          <w:rFonts w:hint="cs"/>
          <w:rtl/>
        </w:rPr>
        <w:t>). עכ"פ, באופן כללי נהוג להקפיד בכך הן בלשון המקרא והן בלשון חז"ל (</w:t>
      </w:r>
      <w:r>
        <w:rPr>
          <w:rFonts w:hint="cs"/>
          <w:sz w:val="18"/>
          <w:szCs w:val="20"/>
          <w:rtl/>
        </w:rPr>
        <w:t>כנ"ל בדף ב, ב "</w:t>
      </w:r>
      <w:r>
        <w:rPr>
          <w:sz w:val="18"/>
          <w:szCs w:val="20"/>
          <w:rtl/>
        </w:rPr>
        <w:t xml:space="preserve">מראות </w:t>
      </w:r>
      <w:r>
        <w:rPr>
          <w:rFonts w:cs="TopType Toledo" w:hint="cs"/>
          <w:sz w:val="18"/>
          <w:szCs w:val="20"/>
          <w:rtl/>
        </w:rPr>
        <w:t>-</w:t>
      </w:r>
      <w:r>
        <w:rPr>
          <w:rFonts w:hint="cs"/>
          <w:sz w:val="18"/>
          <w:szCs w:val="20"/>
          <w:rtl/>
        </w:rPr>
        <w:t xml:space="preserve"> זכר או נקבה", הערה 4</w:t>
      </w:r>
      <w:r>
        <w:rPr>
          <w:rFonts w:hint="cs"/>
          <w:rtl/>
        </w:rPr>
        <w:t>).</w:t>
      </w:r>
    </w:p>
  </w:footnote>
  <w:footnote w:id="111">
    <w:p w14:paraId="5CD46144" w14:textId="77777777" w:rsidR="00940290" w:rsidRDefault="00940290" w:rsidP="00940290">
      <w:pPr>
        <w:pStyle w:val="a5"/>
        <w:rPr>
          <w:rFonts w:hint="cs"/>
          <w:rtl/>
        </w:rPr>
      </w:pPr>
      <w:r>
        <w:rPr>
          <w:rStyle w:val="a4"/>
        </w:rPr>
        <w:footnoteRef/>
      </w:r>
      <w:r>
        <w:rPr>
          <w:rFonts w:hint="cs"/>
          <w:rtl/>
        </w:rPr>
        <w:t xml:space="preserve"> זהו טיבה של לשון חיה, וכמאמר הליצנים הטועים במין המספר ועונים למתקניהם הדווקניים: "</w:t>
      </w:r>
      <w:r>
        <w:rPr>
          <w:rFonts w:hint="cs"/>
          <w:b/>
          <w:bCs/>
          <w:rtl/>
        </w:rPr>
        <w:t>אני</w:t>
      </w:r>
      <w:r>
        <w:rPr>
          <w:rFonts w:hint="cs"/>
          <w:rtl/>
        </w:rPr>
        <w:t xml:space="preserve"> ספרתי!"...  </w:t>
      </w:r>
    </w:p>
  </w:footnote>
  <w:footnote w:id="112">
    <w:p w14:paraId="5AA44930" w14:textId="77777777" w:rsidR="00940290" w:rsidRDefault="00940290" w:rsidP="00940290">
      <w:pPr>
        <w:pStyle w:val="a5"/>
        <w:rPr>
          <w:rtl/>
        </w:rPr>
      </w:pPr>
      <w:r>
        <w:rPr>
          <w:rStyle w:val="a4"/>
        </w:rPr>
        <w:footnoteRef/>
      </w:r>
      <w:r>
        <w:rPr>
          <w:rFonts w:hint="cs"/>
          <w:rtl/>
        </w:rPr>
        <w:t xml:space="preserve"> כגון: "</w:t>
      </w:r>
      <w:r>
        <w:rPr>
          <w:rtl/>
        </w:rPr>
        <w:t xml:space="preserve">עַם </w:t>
      </w:r>
      <w:r>
        <w:rPr>
          <w:b/>
          <w:bCs/>
          <w:rtl/>
        </w:rPr>
        <w:t>אֶחָד</w:t>
      </w:r>
      <w:r>
        <w:rPr>
          <w:rtl/>
        </w:rPr>
        <w:t xml:space="preserve"> וְשָׂפָה </w:t>
      </w:r>
      <w:r>
        <w:rPr>
          <w:b/>
          <w:bCs/>
          <w:rtl/>
        </w:rPr>
        <w:t>אַחַת</w:t>
      </w:r>
      <w:r>
        <w:rPr>
          <w:rFonts w:hint="cs"/>
          <w:rtl/>
        </w:rPr>
        <w:t>"</w:t>
      </w:r>
      <w:r>
        <w:rPr>
          <w:rtl/>
        </w:rPr>
        <w:t xml:space="preserve"> </w:t>
      </w:r>
      <w:r>
        <w:rPr>
          <w:rFonts w:hint="cs"/>
          <w:rtl/>
        </w:rPr>
        <w:t>(</w:t>
      </w:r>
      <w:r>
        <w:rPr>
          <w:sz w:val="18"/>
          <w:szCs w:val="20"/>
          <w:rtl/>
        </w:rPr>
        <w:t>בראשית יא</w:t>
      </w:r>
      <w:r>
        <w:rPr>
          <w:rFonts w:hint="cs"/>
          <w:sz w:val="18"/>
          <w:szCs w:val="20"/>
          <w:rtl/>
        </w:rPr>
        <w:t xml:space="preserve">, </w:t>
      </w:r>
      <w:r>
        <w:rPr>
          <w:sz w:val="18"/>
          <w:szCs w:val="20"/>
          <w:rtl/>
        </w:rPr>
        <w:t>ו</w:t>
      </w:r>
      <w:r>
        <w:rPr>
          <w:rFonts w:hint="cs"/>
          <w:rtl/>
        </w:rPr>
        <w:t>); "</w:t>
      </w:r>
      <w:r>
        <w:rPr>
          <w:rtl/>
        </w:rPr>
        <w:t xml:space="preserve">תּוֹרָה </w:t>
      </w:r>
      <w:r>
        <w:rPr>
          <w:b/>
          <w:bCs/>
          <w:rtl/>
        </w:rPr>
        <w:t>אַחַת</w:t>
      </w:r>
      <w:r>
        <w:rPr>
          <w:rtl/>
        </w:rPr>
        <w:t xml:space="preserve"> וּמִשְׁפָּט </w:t>
      </w:r>
      <w:r>
        <w:rPr>
          <w:b/>
          <w:bCs/>
          <w:rtl/>
        </w:rPr>
        <w:t>אֶחָד</w:t>
      </w:r>
      <w:r>
        <w:rPr>
          <w:rFonts w:hint="cs"/>
          <w:rtl/>
        </w:rPr>
        <w:t>" (</w:t>
      </w:r>
      <w:r>
        <w:rPr>
          <w:sz w:val="18"/>
          <w:szCs w:val="20"/>
          <w:rtl/>
        </w:rPr>
        <w:t>במדבר טו</w:t>
      </w:r>
      <w:r>
        <w:rPr>
          <w:rFonts w:hint="cs"/>
          <w:sz w:val="18"/>
          <w:szCs w:val="20"/>
          <w:rtl/>
        </w:rPr>
        <w:t xml:space="preserve">, </w:t>
      </w:r>
      <w:r>
        <w:rPr>
          <w:sz w:val="18"/>
          <w:szCs w:val="20"/>
          <w:rtl/>
        </w:rPr>
        <w:t>טז</w:t>
      </w:r>
      <w:r>
        <w:rPr>
          <w:rFonts w:hint="cs"/>
          <w:rtl/>
        </w:rPr>
        <w:t>); "</w:t>
      </w:r>
      <w:r>
        <w:rPr>
          <w:rtl/>
        </w:rPr>
        <w:t>זֹאת חֲנֻכַּת הַמִּזְבֵּחַ</w:t>
      </w:r>
      <w:r>
        <w:rPr>
          <w:rFonts w:hint="cs"/>
          <w:rtl/>
        </w:rPr>
        <w:t xml:space="preserve">... </w:t>
      </w:r>
      <w:r>
        <w:rPr>
          <w:rtl/>
        </w:rPr>
        <w:t xml:space="preserve">קַעֲרֹת כֶּסֶף </w:t>
      </w:r>
      <w:r>
        <w:rPr>
          <w:b/>
          <w:bCs/>
          <w:rtl/>
        </w:rPr>
        <w:t>שְׁתֵּים</w:t>
      </w:r>
      <w:r>
        <w:rPr>
          <w:rtl/>
        </w:rPr>
        <w:t xml:space="preserve"> עֶשְׂרֵה</w:t>
      </w:r>
      <w:r>
        <w:rPr>
          <w:rFonts w:hint="cs"/>
          <w:rtl/>
        </w:rPr>
        <w:t>,</w:t>
      </w:r>
      <w:r>
        <w:rPr>
          <w:rtl/>
        </w:rPr>
        <w:t xml:space="preserve"> מִזְרְקֵי כֶסֶף </w:t>
      </w:r>
      <w:r>
        <w:rPr>
          <w:rFonts w:hint="cs"/>
          <w:rtl/>
        </w:rPr>
        <w:t xml:space="preserve">- </w:t>
      </w:r>
      <w:r>
        <w:rPr>
          <w:b/>
          <w:bCs/>
          <w:rtl/>
        </w:rPr>
        <w:t>שְׁנֵים</w:t>
      </w:r>
      <w:r>
        <w:rPr>
          <w:rtl/>
        </w:rPr>
        <w:t xml:space="preserve"> עָשָׂר</w:t>
      </w:r>
      <w:r>
        <w:rPr>
          <w:rFonts w:hint="cs"/>
          <w:rtl/>
        </w:rPr>
        <w:t>" (</w:t>
      </w:r>
      <w:r>
        <w:rPr>
          <w:rFonts w:hint="cs"/>
          <w:sz w:val="18"/>
          <w:szCs w:val="20"/>
          <w:rtl/>
        </w:rPr>
        <w:t xml:space="preserve">שם </w:t>
      </w:r>
      <w:r>
        <w:rPr>
          <w:sz w:val="18"/>
          <w:szCs w:val="20"/>
          <w:rtl/>
        </w:rPr>
        <w:t>ז</w:t>
      </w:r>
      <w:r>
        <w:rPr>
          <w:rFonts w:hint="cs"/>
          <w:sz w:val="18"/>
          <w:szCs w:val="20"/>
          <w:rtl/>
        </w:rPr>
        <w:t xml:space="preserve">, </w:t>
      </w:r>
      <w:r>
        <w:rPr>
          <w:sz w:val="18"/>
          <w:szCs w:val="20"/>
          <w:rtl/>
        </w:rPr>
        <w:t>פד</w:t>
      </w:r>
      <w:r>
        <w:rPr>
          <w:rtl/>
        </w:rPr>
        <w:t>)</w:t>
      </w:r>
      <w:r>
        <w:rPr>
          <w:rFonts w:hint="cs"/>
          <w:rtl/>
        </w:rPr>
        <w:t>;</w:t>
      </w:r>
      <w:r>
        <w:rPr>
          <w:rtl/>
        </w:rPr>
        <w:t xml:space="preserve"> </w:t>
      </w:r>
      <w:r>
        <w:rPr>
          <w:rFonts w:hint="cs"/>
          <w:rtl/>
        </w:rPr>
        <w:t>"</w:t>
      </w:r>
      <w:r>
        <w:rPr>
          <w:b/>
          <w:bCs/>
          <w:rtl/>
        </w:rPr>
        <w:t>שְׁנֵי</w:t>
      </w:r>
      <w:r>
        <w:rPr>
          <w:rtl/>
        </w:rPr>
        <w:t xml:space="preserve"> אֲנָשִׁים הָיוּ בְּעִיר </w:t>
      </w:r>
      <w:r>
        <w:rPr>
          <w:b/>
          <w:bCs/>
          <w:rtl/>
        </w:rPr>
        <w:t>אֶחָת</w:t>
      </w:r>
      <w:r>
        <w:rPr>
          <w:rFonts w:hint="cs"/>
          <w:rtl/>
        </w:rPr>
        <w:t xml:space="preserve">, </w:t>
      </w:r>
      <w:r>
        <w:rPr>
          <w:b/>
          <w:bCs/>
          <w:rtl/>
        </w:rPr>
        <w:t>אֶחָד</w:t>
      </w:r>
      <w:r>
        <w:rPr>
          <w:rtl/>
        </w:rPr>
        <w:t xml:space="preserve"> עָשִׁיר </w:t>
      </w:r>
      <w:r>
        <w:rPr>
          <w:b/>
          <w:bCs/>
          <w:rtl/>
        </w:rPr>
        <w:t>וְאֶחָד</w:t>
      </w:r>
      <w:r>
        <w:rPr>
          <w:rtl/>
        </w:rPr>
        <w:t xml:space="preserve"> רָאשׁ</w:t>
      </w:r>
      <w:r>
        <w:rPr>
          <w:rFonts w:hint="cs"/>
          <w:rtl/>
        </w:rPr>
        <w:t>"</w:t>
      </w:r>
      <w:r>
        <w:rPr>
          <w:rtl/>
        </w:rPr>
        <w:t xml:space="preserve"> </w:t>
      </w:r>
      <w:r>
        <w:rPr>
          <w:rFonts w:hint="cs"/>
          <w:rtl/>
        </w:rPr>
        <w:t>(</w:t>
      </w:r>
      <w:r>
        <w:rPr>
          <w:sz w:val="18"/>
          <w:szCs w:val="20"/>
          <w:rtl/>
        </w:rPr>
        <w:t>שמואל ב</w:t>
      </w:r>
      <w:r>
        <w:rPr>
          <w:rFonts w:hint="cs"/>
          <w:sz w:val="18"/>
          <w:szCs w:val="20"/>
          <w:rtl/>
        </w:rPr>
        <w:t>'</w:t>
      </w:r>
      <w:r>
        <w:rPr>
          <w:sz w:val="18"/>
          <w:szCs w:val="20"/>
          <w:rtl/>
        </w:rPr>
        <w:t xml:space="preserve"> יב</w:t>
      </w:r>
      <w:r>
        <w:rPr>
          <w:rFonts w:hint="cs"/>
          <w:sz w:val="18"/>
          <w:szCs w:val="20"/>
          <w:rtl/>
        </w:rPr>
        <w:t xml:space="preserve">, </w:t>
      </w:r>
      <w:r>
        <w:rPr>
          <w:sz w:val="18"/>
          <w:szCs w:val="20"/>
          <w:rtl/>
        </w:rPr>
        <w:t>א</w:t>
      </w:r>
      <w:r>
        <w:rPr>
          <w:rFonts w:hint="cs"/>
          <w:rtl/>
        </w:rPr>
        <w:t>).</w:t>
      </w:r>
    </w:p>
  </w:footnote>
  <w:footnote w:id="113">
    <w:p w14:paraId="6B98AE52" w14:textId="77777777" w:rsidR="00940290" w:rsidRDefault="00940290" w:rsidP="00940290">
      <w:pPr>
        <w:pStyle w:val="a5"/>
        <w:rPr>
          <w:rFonts w:hint="cs"/>
          <w:rtl/>
        </w:rPr>
      </w:pPr>
      <w:r>
        <w:rPr>
          <w:rStyle w:val="a4"/>
        </w:rPr>
        <w:footnoteRef/>
      </w:r>
      <w:r>
        <w:rPr>
          <w:rFonts w:hint="cs"/>
          <w:rtl/>
        </w:rPr>
        <w:t xml:space="preserve"> מובא בהסכמתו לספר "דיקא נמי - דקדוק לתלמוד בבלי ולתרגום אונקלוס" מאת אמו"ר, הרב יצחק פרנק.</w:t>
      </w:r>
    </w:p>
  </w:footnote>
  <w:footnote w:id="114">
    <w:p w14:paraId="5B64719B" w14:textId="77777777" w:rsidR="00940290" w:rsidRDefault="00940290" w:rsidP="00940290">
      <w:pPr>
        <w:pStyle w:val="a5"/>
        <w:rPr>
          <w:rFonts w:hint="cs"/>
          <w:rtl/>
        </w:rPr>
      </w:pPr>
      <w:r>
        <w:rPr>
          <w:rStyle w:val="a4"/>
        </w:rPr>
        <w:footnoteRef/>
      </w:r>
      <w:r>
        <w:rPr>
          <w:rFonts w:hint="cs"/>
          <w:rtl/>
        </w:rPr>
        <w:t xml:space="preserve"> דבריו מכוונים ללשון </w:t>
      </w:r>
      <w:r>
        <w:rPr>
          <w:rtl/>
        </w:rPr>
        <w:t>רבי אליעזר בן חסמא</w:t>
      </w:r>
      <w:r>
        <w:rPr>
          <w:rFonts w:hint="cs"/>
          <w:rtl/>
        </w:rPr>
        <w:t xml:space="preserve"> (</w:t>
      </w:r>
      <w:r>
        <w:rPr>
          <w:sz w:val="18"/>
          <w:szCs w:val="20"/>
          <w:rtl/>
        </w:rPr>
        <w:t xml:space="preserve">אבות </w:t>
      </w:r>
      <w:r>
        <w:rPr>
          <w:rFonts w:hint="cs"/>
          <w:sz w:val="18"/>
          <w:szCs w:val="20"/>
          <w:rtl/>
        </w:rPr>
        <w:t xml:space="preserve">סוף </w:t>
      </w:r>
      <w:r>
        <w:rPr>
          <w:sz w:val="18"/>
          <w:szCs w:val="20"/>
          <w:rtl/>
        </w:rPr>
        <w:t>פ</w:t>
      </w:r>
      <w:r>
        <w:rPr>
          <w:rFonts w:hint="cs"/>
          <w:sz w:val="18"/>
          <w:szCs w:val="20"/>
          <w:rtl/>
        </w:rPr>
        <w:t>"</w:t>
      </w:r>
      <w:r>
        <w:rPr>
          <w:sz w:val="18"/>
          <w:szCs w:val="20"/>
          <w:rtl/>
        </w:rPr>
        <w:t>ג</w:t>
      </w:r>
      <w:r>
        <w:rPr>
          <w:rFonts w:hint="cs"/>
          <w:rtl/>
        </w:rPr>
        <w:t>): "</w:t>
      </w:r>
      <w:r>
        <w:rPr>
          <w:rtl/>
        </w:rPr>
        <w:t>קינין ופתחי נדה הן הן גופי הלכות</w:t>
      </w:r>
      <w:r>
        <w:rPr>
          <w:rFonts w:hint="cs"/>
          <w:rtl/>
        </w:rPr>
        <w:t>;</w:t>
      </w:r>
      <w:r>
        <w:rPr>
          <w:rtl/>
        </w:rPr>
        <w:t xml:space="preserve"> תקופות וגמטריאות</w:t>
      </w:r>
      <w:r>
        <w:rPr>
          <w:rFonts w:hint="cs"/>
          <w:rtl/>
        </w:rPr>
        <w:t xml:space="preserve"> - </w:t>
      </w:r>
      <w:r>
        <w:rPr>
          <w:rtl/>
        </w:rPr>
        <w:t>פרפראות לחכמה</w:t>
      </w:r>
      <w:r>
        <w:rPr>
          <w:rFonts w:hint="cs"/>
          <w:rtl/>
        </w:rPr>
        <w:t>". מדבריו נלמד שלימוד דקדוק והסברים לשוניים לתורה (</w:t>
      </w:r>
      <w:r>
        <w:rPr>
          <w:rFonts w:hint="cs"/>
          <w:sz w:val="18"/>
          <w:szCs w:val="20"/>
          <w:rtl/>
        </w:rPr>
        <w:t>כגון הנמצאים בספר זה</w:t>
      </w:r>
      <w:r>
        <w:rPr>
          <w:rFonts w:hint="cs"/>
          <w:rtl/>
        </w:rPr>
        <w:t xml:space="preserve">) אינם - כפי שסבורים חלק מבני התורה - </w:t>
      </w:r>
      <w:r>
        <w:rPr>
          <w:rtl/>
        </w:rPr>
        <w:t xml:space="preserve">פרפראות </w:t>
      </w:r>
      <w:r>
        <w:rPr>
          <w:rFonts w:hint="cs"/>
          <w:rtl/>
        </w:rPr>
        <w:t>ומוֹתרות בלבד. ידיעת דקדוק איננה כ"גימטריאות" ושאר רמזים ה"דרושים לכל חפציהם", שכל דרשן ובעל רמז וסוד יכול לדרוש כרצונו וכחפצו, אלא היא הכרחית להבנה נכונה של התורה שבכתב ושעל פה, וממילא יש ללומדה ברצינות ובשיטתיות. יש לציין שהגר"י קמנצקי נאה דרש ואף נאה קיים, כפי שאפשר להיווכח למשל מספר עיוניו במקרא, "אמת ליעקב".</w:t>
      </w:r>
    </w:p>
  </w:footnote>
  <w:footnote w:id="115">
    <w:p w14:paraId="37671DDA" w14:textId="77777777" w:rsidR="00940290" w:rsidRDefault="00940290" w:rsidP="00940290">
      <w:pPr>
        <w:pStyle w:val="a5"/>
        <w:rPr>
          <w:rFonts w:hint="cs"/>
          <w:rtl/>
        </w:rPr>
      </w:pPr>
      <w:r>
        <w:rPr>
          <w:rStyle w:val="a4"/>
        </w:rPr>
        <w:footnoteRef/>
      </w:r>
      <w:r>
        <w:rPr>
          <w:rFonts w:hint="cs"/>
          <w:rtl/>
        </w:rPr>
        <w:t xml:space="preserve"> מִדָּה זו מנוקדת כך פעמיים במקרא (</w:t>
      </w:r>
      <w:r>
        <w:rPr>
          <w:rFonts w:hint="cs"/>
          <w:sz w:val="18"/>
          <w:szCs w:val="20"/>
          <w:rtl/>
        </w:rPr>
        <w:t xml:space="preserve">מלכים א' ז, כו; </w:t>
      </w:r>
      <w:r>
        <w:rPr>
          <w:sz w:val="18"/>
          <w:szCs w:val="20"/>
          <w:rtl/>
        </w:rPr>
        <w:t>דברי הימים ב</w:t>
      </w:r>
      <w:r>
        <w:rPr>
          <w:rFonts w:hint="cs"/>
          <w:sz w:val="18"/>
          <w:szCs w:val="20"/>
          <w:rtl/>
        </w:rPr>
        <w:t>'</w:t>
      </w:r>
      <w:r>
        <w:rPr>
          <w:sz w:val="18"/>
          <w:szCs w:val="20"/>
          <w:rtl/>
        </w:rPr>
        <w:t xml:space="preserve"> ד</w:t>
      </w:r>
      <w:r>
        <w:rPr>
          <w:rFonts w:hint="cs"/>
          <w:sz w:val="18"/>
          <w:szCs w:val="20"/>
          <w:rtl/>
        </w:rPr>
        <w:t xml:space="preserve">, </w:t>
      </w:r>
      <w:r>
        <w:rPr>
          <w:sz w:val="18"/>
          <w:szCs w:val="20"/>
          <w:rtl/>
        </w:rPr>
        <w:t>ה</w:t>
      </w:r>
      <w:r>
        <w:rPr>
          <w:rFonts w:hint="cs"/>
          <w:rtl/>
        </w:rPr>
        <w:t>).</w:t>
      </w:r>
      <w:r>
        <w:rPr>
          <w:rtl/>
        </w:rPr>
        <w:t xml:space="preserve"> </w:t>
      </w:r>
      <w:r>
        <w:rPr>
          <w:rFonts w:hint="cs"/>
          <w:rtl/>
        </w:rPr>
        <w:t>בניקוד "טֹפַח" מופיעה מִדָּה זו חמש פעמים נוספות: בחומש שמות (</w:t>
      </w:r>
      <w:r>
        <w:rPr>
          <w:rFonts w:hint="cs"/>
          <w:sz w:val="18"/>
          <w:szCs w:val="20"/>
          <w:rtl/>
        </w:rPr>
        <w:t xml:space="preserve">כה, כה; </w:t>
      </w:r>
      <w:r>
        <w:rPr>
          <w:sz w:val="18"/>
          <w:szCs w:val="20"/>
          <w:rtl/>
        </w:rPr>
        <w:t>לז</w:t>
      </w:r>
      <w:r>
        <w:rPr>
          <w:rFonts w:hint="cs"/>
          <w:sz w:val="18"/>
          <w:szCs w:val="20"/>
          <w:rtl/>
        </w:rPr>
        <w:t xml:space="preserve">, </w:t>
      </w:r>
      <w:r>
        <w:rPr>
          <w:sz w:val="18"/>
          <w:szCs w:val="20"/>
          <w:rtl/>
        </w:rPr>
        <w:t>יב</w:t>
      </w:r>
      <w:r>
        <w:rPr>
          <w:rFonts w:hint="cs"/>
          <w:rtl/>
        </w:rPr>
        <w:t>)</w:t>
      </w:r>
      <w:r>
        <w:rPr>
          <w:rtl/>
        </w:rPr>
        <w:t xml:space="preserve"> </w:t>
      </w:r>
      <w:r>
        <w:rPr>
          <w:rFonts w:hint="cs"/>
          <w:rtl/>
        </w:rPr>
        <w:t>ובספר</w:t>
      </w:r>
      <w:r>
        <w:rPr>
          <w:rtl/>
        </w:rPr>
        <w:t xml:space="preserve"> יחזקאל</w:t>
      </w:r>
      <w:r>
        <w:rPr>
          <w:rFonts w:hint="cs"/>
          <w:rtl/>
        </w:rPr>
        <w:t>, כגון: "</w:t>
      </w:r>
      <w:r>
        <w:rPr>
          <w:rtl/>
        </w:rPr>
        <w:t xml:space="preserve">טֹפַח </w:t>
      </w:r>
      <w:r>
        <w:rPr>
          <w:b/>
          <w:bCs/>
          <w:rtl/>
        </w:rPr>
        <w:t>אֶחָד</w:t>
      </w:r>
      <w:r>
        <w:rPr>
          <w:rFonts w:hint="cs"/>
          <w:rtl/>
        </w:rPr>
        <w:t>" (</w:t>
      </w:r>
      <w:r>
        <w:rPr>
          <w:sz w:val="18"/>
          <w:szCs w:val="20"/>
          <w:rtl/>
        </w:rPr>
        <w:t>מ</w:t>
      </w:r>
      <w:r>
        <w:rPr>
          <w:rFonts w:hint="cs"/>
          <w:sz w:val="18"/>
          <w:szCs w:val="20"/>
          <w:rtl/>
        </w:rPr>
        <w:t xml:space="preserve">, </w:t>
      </w:r>
      <w:r>
        <w:rPr>
          <w:sz w:val="18"/>
          <w:szCs w:val="20"/>
          <w:rtl/>
        </w:rPr>
        <w:t>מג</w:t>
      </w:r>
      <w:r>
        <w:rPr>
          <w:rFonts w:hint="cs"/>
          <w:rtl/>
        </w:rPr>
        <w:t>).</w:t>
      </w:r>
    </w:p>
  </w:footnote>
  <w:footnote w:id="116">
    <w:p w14:paraId="09F1062C" w14:textId="77777777" w:rsidR="00940290" w:rsidRDefault="00940290" w:rsidP="00940290">
      <w:pPr>
        <w:pStyle w:val="a5"/>
        <w:rPr>
          <w:rFonts w:hint="cs"/>
          <w:rtl/>
        </w:rPr>
      </w:pPr>
      <w:r>
        <w:rPr>
          <w:rStyle w:val="a4"/>
        </w:rPr>
        <w:footnoteRef/>
      </w:r>
      <w:r>
        <w:rPr>
          <w:rFonts w:hint="cs"/>
          <w:rtl/>
        </w:rPr>
        <w:t xml:space="preserve"> השוה: "</w:t>
      </w:r>
      <w:r>
        <w:rPr>
          <w:b/>
          <w:bCs/>
          <w:rtl/>
        </w:rPr>
        <w:t xml:space="preserve">חֲמֵשׁ עֶשְׂרֵה </w:t>
      </w:r>
      <w:r>
        <w:rPr>
          <w:rtl/>
        </w:rPr>
        <w:t>אַמָּה מִלְמַעְלָה גָּבְרוּ הַמָּיִם</w:t>
      </w:r>
      <w:r>
        <w:rPr>
          <w:rFonts w:hint="cs"/>
          <w:rtl/>
        </w:rPr>
        <w:t>"</w:t>
      </w:r>
      <w:r>
        <w:rPr>
          <w:rtl/>
        </w:rPr>
        <w:t xml:space="preserve"> </w:t>
      </w:r>
      <w:r>
        <w:rPr>
          <w:rFonts w:hint="cs"/>
          <w:rtl/>
        </w:rPr>
        <w:t>(</w:t>
      </w:r>
      <w:r>
        <w:rPr>
          <w:sz w:val="18"/>
          <w:szCs w:val="20"/>
          <w:rtl/>
        </w:rPr>
        <w:t>בראשית ז</w:t>
      </w:r>
      <w:r>
        <w:rPr>
          <w:rFonts w:hint="cs"/>
          <w:sz w:val="18"/>
          <w:szCs w:val="20"/>
          <w:rtl/>
        </w:rPr>
        <w:t xml:space="preserve">, </w:t>
      </w:r>
      <w:r>
        <w:rPr>
          <w:sz w:val="18"/>
          <w:szCs w:val="20"/>
          <w:rtl/>
        </w:rPr>
        <w:t>כ</w:t>
      </w:r>
      <w:r>
        <w:rPr>
          <w:rFonts w:hint="cs"/>
          <w:rtl/>
        </w:rPr>
        <w:t>). יש להקפיד להדגיש את האות מ', שהרי ל"</w:t>
      </w:r>
      <w:r>
        <w:rPr>
          <w:rtl/>
        </w:rPr>
        <w:t>אָמָה</w:t>
      </w:r>
      <w:r>
        <w:rPr>
          <w:rFonts w:hint="cs"/>
          <w:rtl/>
        </w:rPr>
        <w:t>" משמעות אחרת: שִׁפחה (</w:t>
      </w:r>
      <w:r>
        <w:rPr>
          <w:rFonts w:hint="cs"/>
          <w:sz w:val="18"/>
          <w:szCs w:val="20"/>
          <w:rtl/>
        </w:rPr>
        <w:t>ראה רש"י</w:t>
      </w:r>
      <w:r>
        <w:rPr>
          <w:sz w:val="18"/>
          <w:szCs w:val="20"/>
          <w:rtl/>
        </w:rPr>
        <w:t xml:space="preserve"> </w:t>
      </w:r>
      <w:r>
        <w:rPr>
          <w:rFonts w:hint="cs"/>
          <w:sz w:val="18"/>
          <w:szCs w:val="20"/>
          <w:rtl/>
        </w:rPr>
        <w:t>ל</w:t>
      </w:r>
      <w:r>
        <w:rPr>
          <w:sz w:val="18"/>
          <w:szCs w:val="20"/>
          <w:rtl/>
        </w:rPr>
        <w:t>שמות ב</w:t>
      </w:r>
      <w:r>
        <w:rPr>
          <w:rFonts w:hint="cs"/>
          <w:sz w:val="18"/>
          <w:szCs w:val="20"/>
          <w:rtl/>
        </w:rPr>
        <w:t xml:space="preserve">, </w:t>
      </w:r>
      <w:r>
        <w:rPr>
          <w:sz w:val="18"/>
          <w:szCs w:val="20"/>
          <w:rtl/>
        </w:rPr>
        <w:t>ה</w:t>
      </w:r>
      <w:r>
        <w:rPr>
          <w:rFonts w:hint="cs"/>
          <w:rtl/>
        </w:rPr>
        <w:t>).</w:t>
      </w:r>
    </w:p>
  </w:footnote>
  <w:footnote w:id="117">
    <w:p w14:paraId="7E866E84" w14:textId="77777777" w:rsidR="00940290" w:rsidRDefault="00940290" w:rsidP="00940290">
      <w:pPr>
        <w:pStyle w:val="a5"/>
        <w:rPr>
          <w:rFonts w:hint="cs"/>
          <w:rtl/>
        </w:rPr>
      </w:pPr>
      <w:r>
        <w:rPr>
          <w:rStyle w:val="a4"/>
        </w:rPr>
        <w:footnoteRef/>
      </w:r>
      <w:r>
        <w:rPr>
          <w:rFonts w:hint="cs"/>
          <w:rtl/>
        </w:rPr>
        <w:t xml:space="preserve"> בנוסף לתיקונים בנוסח המודפס של פירוש רש"י שנזכר לעיל (</w:t>
      </w:r>
      <w:r>
        <w:rPr>
          <w:rFonts w:hint="cs"/>
          <w:sz w:val="18"/>
          <w:szCs w:val="20"/>
          <w:rtl/>
        </w:rPr>
        <w:t>דף ב, ב, הערה 9</w:t>
      </w:r>
      <w:r>
        <w:rPr>
          <w:rFonts w:hint="cs"/>
          <w:rtl/>
        </w:rPr>
        <w:t xml:space="preserve">), נציין </w:t>
      </w:r>
      <w:r>
        <w:rPr>
          <w:rFonts w:hint="cs"/>
          <w:sz w:val="26"/>
          <w:rtl/>
        </w:rPr>
        <w:t>לדברי ר' ראובן מרגליות בנושא זה (מחקרים בדרכי התלמוד וחידותיו</w:t>
      </w:r>
      <w:r>
        <w:rPr>
          <w:rFonts w:hint="cs"/>
          <w:sz w:val="18"/>
          <w:szCs w:val="20"/>
          <w:rtl/>
        </w:rPr>
        <w:t>, פרק י, עמ' ס'</w:t>
      </w:r>
      <w:r>
        <w:rPr>
          <w:rFonts w:hint="cs"/>
          <w:sz w:val="26"/>
          <w:rtl/>
        </w:rPr>
        <w:t>), ו</w:t>
      </w:r>
      <w:r>
        <w:rPr>
          <w:rFonts w:hint="cs"/>
          <w:rtl/>
        </w:rPr>
        <w:t xml:space="preserve">כאן נציין שלוש דוגמות:  </w:t>
      </w:r>
      <w:r>
        <w:rPr>
          <w:rFonts w:hint="cs"/>
          <w:b/>
          <w:bCs/>
          <w:rtl/>
        </w:rPr>
        <w:t>א.</w:t>
      </w:r>
      <w:r>
        <w:rPr>
          <w:rFonts w:hint="cs"/>
          <w:rtl/>
        </w:rPr>
        <w:t xml:space="preserve"> להלן </w:t>
      </w:r>
      <w:r>
        <w:rPr>
          <w:rtl/>
        </w:rPr>
        <w:t>דף צט</w:t>
      </w:r>
      <w:r>
        <w:rPr>
          <w:rFonts w:hint="cs"/>
          <w:rtl/>
        </w:rPr>
        <w:t xml:space="preserve">, </w:t>
      </w:r>
      <w:r>
        <w:rPr>
          <w:rtl/>
        </w:rPr>
        <w:t>ב</w:t>
      </w:r>
      <w:r>
        <w:rPr>
          <w:rFonts w:hint="cs"/>
          <w:rtl/>
        </w:rPr>
        <w:t xml:space="preserve"> מדובר על טפחים, אך חלק מהקיצורים פוענחו בטעות בלשון נקבה: "</w:t>
      </w:r>
      <w:r>
        <w:rPr>
          <w:rtl/>
        </w:rPr>
        <w:t>בעא מיניה רב מרדכי מרבא</w:t>
      </w:r>
      <w:r>
        <w:rPr>
          <w:rFonts w:hint="cs"/>
          <w:rtl/>
        </w:rPr>
        <w:t xml:space="preserve">: </w:t>
      </w:r>
      <w:r>
        <w:rPr>
          <w:rtl/>
        </w:rPr>
        <w:t xml:space="preserve">עמוד ברשות הרבים גבוה י' </w:t>
      </w:r>
      <w:r>
        <w:rPr>
          <w:rFonts w:hint="cs"/>
          <w:rtl/>
        </w:rPr>
        <w:t>[=</w:t>
      </w:r>
      <w:r>
        <w:rPr>
          <w:rtl/>
        </w:rPr>
        <w:t>עשרה</w:t>
      </w:r>
      <w:r>
        <w:rPr>
          <w:rFonts w:hint="cs"/>
          <w:rtl/>
        </w:rPr>
        <w:t>]</w:t>
      </w:r>
      <w:r>
        <w:rPr>
          <w:rtl/>
        </w:rPr>
        <w:t xml:space="preserve"> ורחב ד'</w:t>
      </w:r>
      <w:r>
        <w:rPr>
          <w:rFonts w:hint="cs"/>
          <w:rtl/>
        </w:rPr>
        <w:t xml:space="preserve"> [=</w:t>
      </w:r>
      <w:r>
        <w:rPr>
          <w:rtl/>
        </w:rPr>
        <w:t>ארבעה</w:t>
      </w:r>
      <w:r>
        <w:rPr>
          <w:rFonts w:hint="cs"/>
          <w:rtl/>
        </w:rPr>
        <w:t xml:space="preserve">]... </w:t>
      </w:r>
      <w:r>
        <w:rPr>
          <w:rtl/>
        </w:rPr>
        <w:t>בעי רבי יוחנן: כותל ברשות הרבים גבוה י'</w:t>
      </w:r>
      <w:r>
        <w:rPr>
          <w:rFonts w:hint="cs"/>
          <w:rtl/>
        </w:rPr>
        <w:t xml:space="preserve"> [=</w:t>
      </w:r>
      <w:r>
        <w:rPr>
          <w:rtl/>
        </w:rPr>
        <w:t>עשרה</w:t>
      </w:r>
      <w:r>
        <w:rPr>
          <w:rFonts w:hint="cs"/>
          <w:rtl/>
        </w:rPr>
        <w:t>]</w:t>
      </w:r>
      <w:r>
        <w:rPr>
          <w:rtl/>
        </w:rPr>
        <w:t xml:space="preserve"> ואינו רחב ארבע</w:t>
      </w:r>
      <w:r>
        <w:rPr>
          <w:rFonts w:hint="cs"/>
          <w:rtl/>
        </w:rPr>
        <w:t xml:space="preserve"> [צ"ל:</w:t>
      </w:r>
      <w:r>
        <w:rPr>
          <w:rtl/>
        </w:rPr>
        <w:t xml:space="preserve"> ארבע</w:t>
      </w:r>
      <w:r>
        <w:rPr>
          <w:rFonts w:hint="cs"/>
          <w:rtl/>
        </w:rPr>
        <w:t xml:space="preserve">ה!]... </w:t>
      </w:r>
      <w:r>
        <w:rPr>
          <w:rtl/>
        </w:rPr>
        <w:t>דאינו רחב ד'</w:t>
      </w:r>
      <w:r>
        <w:rPr>
          <w:rFonts w:hint="cs"/>
          <w:rtl/>
        </w:rPr>
        <w:t xml:space="preserve"> [=</w:t>
      </w:r>
      <w:r>
        <w:rPr>
          <w:rtl/>
        </w:rPr>
        <w:t>ארבע</w:t>
      </w:r>
      <w:r>
        <w:rPr>
          <w:rFonts w:hint="cs"/>
          <w:rtl/>
        </w:rPr>
        <w:t xml:space="preserve">ה]... </w:t>
      </w:r>
      <w:r>
        <w:rPr>
          <w:rtl/>
        </w:rPr>
        <w:t>אמר רבי יוחנן</w:t>
      </w:r>
      <w:r>
        <w:rPr>
          <w:rFonts w:hint="cs"/>
          <w:rtl/>
        </w:rPr>
        <w:t xml:space="preserve">: </w:t>
      </w:r>
      <w:r>
        <w:rPr>
          <w:rtl/>
        </w:rPr>
        <w:t>כותל ברשות הרבים גבוה י'</w:t>
      </w:r>
      <w:r>
        <w:rPr>
          <w:rFonts w:hint="cs"/>
          <w:rtl/>
        </w:rPr>
        <w:t xml:space="preserve"> [=</w:t>
      </w:r>
      <w:r>
        <w:rPr>
          <w:rtl/>
        </w:rPr>
        <w:t>עשרה</w:t>
      </w:r>
      <w:r>
        <w:rPr>
          <w:rFonts w:hint="cs"/>
          <w:rtl/>
        </w:rPr>
        <w:t>]</w:t>
      </w:r>
      <w:r>
        <w:rPr>
          <w:rtl/>
        </w:rPr>
        <w:t xml:space="preserve"> ואינו רחב ארבע</w:t>
      </w:r>
      <w:r>
        <w:rPr>
          <w:rFonts w:hint="cs"/>
          <w:rtl/>
        </w:rPr>
        <w:t xml:space="preserve"> [צ"ל:</w:t>
      </w:r>
      <w:r>
        <w:rPr>
          <w:rtl/>
        </w:rPr>
        <w:t xml:space="preserve"> ארבע</w:t>
      </w:r>
      <w:r>
        <w:rPr>
          <w:rFonts w:hint="cs"/>
          <w:rtl/>
        </w:rPr>
        <w:t xml:space="preserve">ה!]"... </w:t>
      </w:r>
      <w:r>
        <w:rPr>
          <w:rtl/>
        </w:rPr>
        <w:t>במהדור</w:t>
      </w:r>
      <w:r>
        <w:rPr>
          <w:rFonts w:hint="cs"/>
          <w:rtl/>
        </w:rPr>
        <w:t>ו</w:t>
      </w:r>
      <w:r>
        <w:rPr>
          <w:rtl/>
        </w:rPr>
        <w:t xml:space="preserve">ת שטיינזלץ </w:t>
      </w:r>
      <w:r>
        <w:rPr>
          <w:rFonts w:hint="cs"/>
          <w:rtl/>
        </w:rPr>
        <w:t>ו</w:t>
      </w:r>
      <w:r>
        <w:rPr>
          <w:rtl/>
        </w:rPr>
        <w:t>ארט</w:t>
      </w:r>
      <w:r>
        <w:rPr>
          <w:rFonts w:hint="cs"/>
          <w:rtl/>
        </w:rPr>
        <w:t>-</w:t>
      </w:r>
      <w:r>
        <w:rPr>
          <w:rtl/>
        </w:rPr>
        <w:t>סקרול</w:t>
      </w:r>
      <w:r>
        <w:rPr>
          <w:rFonts w:hint="cs"/>
          <w:rtl/>
        </w:rPr>
        <w:t xml:space="preserve"> לא תוקן כראוי. </w:t>
      </w:r>
      <w:r>
        <w:rPr>
          <w:rFonts w:hint="cs"/>
          <w:b/>
          <w:bCs/>
          <w:rtl/>
        </w:rPr>
        <w:t xml:space="preserve"> ב. </w:t>
      </w:r>
      <w:r>
        <w:rPr>
          <w:rFonts w:hint="cs"/>
          <w:rtl/>
        </w:rPr>
        <w:t xml:space="preserve">מקרה הפוך במסכת ערובין דף ה, ב שם הודפס מספר זכר במקום נקבה: "אבל במבוי שבעה", מכיון שמדובר באַמּוֹת הגיה הרב יעב"ץ "שבע"! כיו"ב יש להגיה ברש"י שם </w:t>
      </w:r>
      <w:r>
        <w:rPr>
          <w:rFonts w:hint="eastAsia"/>
          <w:rtl/>
        </w:rPr>
        <w:t>ד</w:t>
      </w:r>
      <w:r>
        <w:rPr>
          <w:rtl/>
        </w:rPr>
        <w:t xml:space="preserve">"ה "אבל </w:t>
      </w:r>
      <w:r>
        <w:rPr>
          <w:rFonts w:hint="eastAsia"/>
          <w:rtl/>
        </w:rPr>
        <w:t>במבוי</w:t>
      </w:r>
      <w:r>
        <w:rPr>
          <w:rtl/>
        </w:rPr>
        <w:t xml:space="preserve"> שבע</w:t>
      </w:r>
      <w:r>
        <w:rPr>
          <w:rFonts w:hint="cs"/>
          <w:rtl/>
        </w:rPr>
        <w:t>(</w:t>
      </w:r>
      <w:r>
        <w:rPr>
          <w:rtl/>
        </w:rPr>
        <w:t>ה</w:t>
      </w:r>
      <w:r>
        <w:rPr>
          <w:rFonts w:hint="cs"/>
          <w:rtl/>
        </w:rPr>
        <w:t>)</w:t>
      </w:r>
      <w:r>
        <w:rPr>
          <w:rtl/>
        </w:rPr>
        <w:t>"</w:t>
      </w:r>
      <w:r>
        <w:rPr>
          <w:rFonts w:hint="cs"/>
          <w:rtl/>
        </w:rPr>
        <w:t xml:space="preserve"> ו</w:t>
      </w:r>
      <w:r>
        <w:rPr>
          <w:rtl/>
        </w:rPr>
        <w:t>ד"ה טעמא דנפשיה קאמר</w:t>
      </w:r>
      <w:r>
        <w:rPr>
          <w:rFonts w:hint="cs"/>
          <w:rtl/>
        </w:rPr>
        <w:t xml:space="preserve">, ושם יב, א בנוסח התלמוד "שפירצתו ביותר מעשר(ה), אבל עשר(ה) וכו'", וכן ברש"י שם ג"פ צ"ל: עשר(ה). בכל הדוגמות הללו מתועדת הגרסה הנכונה בכתבי יד. לפעמים מקור השיבוש בחלק מכתבי היד, אך בד"כ מקורו בדפוסים, ובעיקר </w:t>
      </w:r>
      <w:r>
        <w:rPr>
          <w:rtl/>
        </w:rPr>
        <w:t>בדפוס וילנ</w:t>
      </w:r>
      <w:r>
        <w:rPr>
          <w:rFonts w:hint="cs"/>
          <w:rtl/>
        </w:rPr>
        <w:t>ה (</w:t>
      </w:r>
      <w:r>
        <w:rPr>
          <w:rFonts w:hint="cs"/>
          <w:sz w:val="18"/>
          <w:szCs w:val="20"/>
          <w:rtl/>
        </w:rPr>
        <w:t xml:space="preserve">ע"פ בדיקת ר' </w:t>
      </w:r>
      <w:r>
        <w:rPr>
          <w:sz w:val="18"/>
          <w:szCs w:val="20"/>
          <w:rtl/>
        </w:rPr>
        <w:t>דוד ארונובסקי</w:t>
      </w:r>
      <w:r>
        <w:rPr>
          <w:rFonts w:hint="cs"/>
          <w:sz w:val="18"/>
          <w:szCs w:val="20"/>
          <w:rtl/>
        </w:rPr>
        <w:t xml:space="preserve"> מ</w:t>
      </w:r>
      <w:r>
        <w:rPr>
          <w:sz w:val="18"/>
          <w:szCs w:val="20"/>
          <w:rtl/>
        </w:rPr>
        <w:t>מכון התלמוד, יד הרב הרצוג</w:t>
      </w:r>
      <w:r>
        <w:rPr>
          <w:rFonts w:hint="cs"/>
          <w:rtl/>
        </w:rPr>
        <w:t xml:space="preserve">).  </w:t>
      </w:r>
      <w:r>
        <w:rPr>
          <w:rFonts w:hint="cs"/>
          <w:b/>
          <w:bCs/>
          <w:rtl/>
        </w:rPr>
        <w:t>ג.</w:t>
      </w:r>
      <w:r>
        <w:rPr>
          <w:rFonts w:hint="cs"/>
          <w:rtl/>
        </w:rPr>
        <w:t xml:space="preserve"> דוגמה אחרונה מנוסח השו"ע, או"ח סי' שמ"ה, י': "רחב ארבע על ארבע", וצ"ל "ארבעה" כי מדובר על טפחים!</w:t>
      </w:r>
    </w:p>
  </w:footnote>
  <w:footnote w:id="118">
    <w:p w14:paraId="064AC86D" w14:textId="77777777" w:rsidR="00940290" w:rsidRDefault="00940290" w:rsidP="00940290">
      <w:pPr>
        <w:pStyle w:val="a5"/>
        <w:rPr>
          <w:rFonts w:hint="cs"/>
          <w:rtl/>
        </w:rPr>
      </w:pPr>
      <w:r>
        <w:rPr>
          <w:rStyle w:val="a4"/>
        </w:rPr>
        <w:footnoteRef/>
      </w:r>
      <w:r>
        <w:rPr>
          <w:rFonts w:hint="cs"/>
          <w:rtl/>
        </w:rPr>
        <w:t xml:space="preserve"> כמוכח מהמשך פסוק זה: "</w:t>
      </w:r>
      <w:r>
        <w:rPr>
          <w:rtl/>
        </w:rPr>
        <w:t>עַמֻּדֵיהֶם</w:t>
      </w:r>
      <w:r>
        <w:rPr>
          <w:rFonts w:hint="cs"/>
          <w:rtl/>
        </w:rPr>
        <w:t xml:space="preserve">.. </w:t>
      </w:r>
      <w:r>
        <w:rPr>
          <w:rtl/>
        </w:rPr>
        <w:t>וְאַדְנֵיהֶם</w:t>
      </w:r>
      <w:r>
        <w:rPr>
          <w:rFonts w:hint="cs"/>
          <w:rtl/>
        </w:rPr>
        <w:t>", ולא</w:t>
      </w:r>
      <w:r>
        <w:rPr>
          <w:rtl/>
        </w:rPr>
        <w:t xml:space="preserve"> </w:t>
      </w:r>
      <w:r>
        <w:rPr>
          <w:rFonts w:hint="cs"/>
          <w:rtl/>
        </w:rPr>
        <w:t>"</w:t>
      </w:r>
      <w:r>
        <w:rPr>
          <w:rtl/>
        </w:rPr>
        <w:t>עַמֻּדֵיהֶ</w:t>
      </w:r>
      <w:r>
        <w:rPr>
          <w:rFonts w:hint="cs"/>
          <w:rtl/>
        </w:rPr>
        <w:t xml:space="preserve">ן.. </w:t>
      </w:r>
      <w:r>
        <w:rPr>
          <w:rtl/>
        </w:rPr>
        <w:t>וְאַדְנֵיהֶ</w:t>
      </w:r>
      <w:r>
        <w:rPr>
          <w:rFonts w:hint="cs"/>
          <w:rtl/>
        </w:rPr>
        <w:t xml:space="preserve">ן", וכן מוכח מספר </w:t>
      </w:r>
      <w:r>
        <w:rPr>
          <w:rFonts w:ascii="Arial" w:hAnsi="Arial"/>
          <w:sz w:val="26"/>
          <w:rtl/>
        </w:rPr>
        <w:t xml:space="preserve">מלכים </w:t>
      </w:r>
      <w:r>
        <w:rPr>
          <w:rFonts w:ascii="Arial" w:hAnsi="Arial"/>
          <w:sz w:val="18"/>
          <w:szCs w:val="20"/>
          <w:rtl/>
        </w:rPr>
        <w:t>א</w:t>
      </w:r>
      <w:r>
        <w:rPr>
          <w:rFonts w:ascii="Arial" w:hAnsi="Arial" w:hint="cs"/>
          <w:sz w:val="18"/>
          <w:szCs w:val="20"/>
          <w:rtl/>
        </w:rPr>
        <w:t>'</w:t>
      </w:r>
      <w:r>
        <w:rPr>
          <w:rFonts w:ascii="Arial" w:hAnsi="Arial"/>
          <w:sz w:val="18"/>
          <w:szCs w:val="20"/>
          <w:rtl/>
        </w:rPr>
        <w:t xml:space="preserve"> ו</w:t>
      </w:r>
      <w:r>
        <w:rPr>
          <w:rFonts w:ascii="Arial" w:hAnsi="Arial" w:hint="cs"/>
          <w:sz w:val="18"/>
          <w:szCs w:val="20"/>
          <w:rtl/>
        </w:rPr>
        <w:t xml:space="preserve">, </w:t>
      </w:r>
      <w:r>
        <w:rPr>
          <w:rFonts w:ascii="Arial" w:hAnsi="Arial"/>
          <w:sz w:val="18"/>
          <w:szCs w:val="20"/>
          <w:rtl/>
        </w:rPr>
        <w:t>לד</w:t>
      </w:r>
      <w:r>
        <w:rPr>
          <w:rFonts w:ascii="Arial" w:hAnsi="Arial" w:hint="cs"/>
          <w:sz w:val="18"/>
          <w:szCs w:val="20"/>
          <w:rtl/>
        </w:rPr>
        <w:t>.</w:t>
      </w:r>
    </w:p>
  </w:footnote>
  <w:footnote w:id="119">
    <w:p w14:paraId="7DF7A47B" w14:textId="77777777" w:rsidR="00940290" w:rsidRDefault="00940290" w:rsidP="00940290">
      <w:pPr>
        <w:pStyle w:val="a5"/>
        <w:rPr>
          <w:rFonts w:hint="cs"/>
          <w:rtl/>
        </w:rPr>
      </w:pPr>
      <w:r>
        <w:rPr>
          <w:rStyle w:val="a4"/>
        </w:rPr>
        <w:footnoteRef/>
      </w:r>
      <w:r>
        <w:rPr>
          <w:rFonts w:hint="cs"/>
          <w:rtl/>
        </w:rPr>
        <w:t xml:space="preserve"> תודה לשכֵני ר' יצחק סמואל שהפנה את תשומת לבי לכך, ולר'</w:t>
      </w:r>
      <w:r>
        <w:rPr>
          <w:rtl/>
        </w:rPr>
        <w:t xml:space="preserve"> יהושע בוך</w:t>
      </w:r>
      <w:r>
        <w:rPr>
          <w:rFonts w:hint="cs"/>
          <w:rtl/>
        </w:rPr>
        <w:t xml:space="preserve"> שהאיר את עינינו. כיו"ב מצאנו לפעמים ש"לֶחֶם" נספר בלשון נקבה (</w:t>
      </w:r>
      <w:r>
        <w:rPr>
          <w:rFonts w:hint="cs"/>
          <w:sz w:val="18"/>
          <w:szCs w:val="20"/>
          <w:rtl/>
        </w:rPr>
        <w:t xml:space="preserve">כגון: </w:t>
      </w:r>
      <w:r>
        <w:rPr>
          <w:sz w:val="18"/>
          <w:szCs w:val="20"/>
          <w:rtl/>
        </w:rPr>
        <w:t>שמואל א</w:t>
      </w:r>
      <w:r>
        <w:rPr>
          <w:rFonts w:hint="cs"/>
          <w:sz w:val="18"/>
          <w:szCs w:val="20"/>
          <w:rtl/>
        </w:rPr>
        <w:t xml:space="preserve">' </w:t>
      </w:r>
      <w:r>
        <w:rPr>
          <w:sz w:val="18"/>
          <w:szCs w:val="20"/>
          <w:rtl/>
        </w:rPr>
        <w:t>י</w:t>
      </w:r>
      <w:r>
        <w:rPr>
          <w:rFonts w:hint="cs"/>
          <w:sz w:val="18"/>
          <w:szCs w:val="20"/>
          <w:rtl/>
        </w:rPr>
        <w:t xml:space="preserve">, </w:t>
      </w:r>
      <w:r>
        <w:rPr>
          <w:sz w:val="18"/>
          <w:szCs w:val="20"/>
          <w:rtl/>
        </w:rPr>
        <w:t>ג</w:t>
      </w:r>
      <w:r>
        <w:rPr>
          <w:rFonts w:hint="cs"/>
          <w:sz w:val="18"/>
          <w:szCs w:val="20"/>
          <w:rtl/>
        </w:rPr>
        <w:t>-ד</w:t>
      </w:r>
      <w:r>
        <w:rPr>
          <w:rFonts w:hint="cs"/>
          <w:rtl/>
        </w:rPr>
        <w:t xml:space="preserve">), כי המספר מתייחס ל"כִכר". </w:t>
      </w:r>
      <w:r>
        <w:rPr>
          <w:rFonts w:hint="cs"/>
          <w:sz w:val="26"/>
          <w:rtl/>
        </w:rPr>
        <w:t>ראה: ר' מרדכי הכהן, "עניני לשון בתוספות יום טוב</w:t>
      </w:r>
      <w:r>
        <w:rPr>
          <w:rFonts w:hint="cs"/>
          <w:sz w:val="18"/>
          <w:szCs w:val="20"/>
          <w:rtl/>
        </w:rPr>
        <w:t>", בתוך: אישים ותקופות, תשל"ז, עמ' 236</w:t>
      </w:r>
      <w:r>
        <w:rPr>
          <w:rFonts w:hint="cs"/>
          <w:rtl/>
        </w:rPr>
        <w:t>.</w:t>
      </w:r>
    </w:p>
  </w:footnote>
  <w:footnote w:id="120">
    <w:p w14:paraId="206E0D4E" w14:textId="77777777" w:rsidR="00940290" w:rsidRDefault="00940290" w:rsidP="00940290">
      <w:pPr>
        <w:pStyle w:val="a5"/>
        <w:rPr>
          <w:rFonts w:hint="cs"/>
          <w:rtl/>
        </w:rPr>
      </w:pPr>
      <w:r>
        <w:rPr>
          <w:rStyle w:val="a4"/>
        </w:rPr>
        <w:footnoteRef/>
      </w:r>
      <w:r>
        <w:rPr>
          <w:rFonts w:hint="cs"/>
          <w:rtl/>
        </w:rPr>
        <w:t xml:space="preserve"> כן הוא גם ב</w:t>
      </w:r>
      <w:r>
        <w:rPr>
          <w:rtl/>
        </w:rPr>
        <w:t>דפוס ו</w:t>
      </w:r>
      <w:r>
        <w:rPr>
          <w:rFonts w:hint="cs"/>
          <w:rtl/>
        </w:rPr>
        <w:t>נ</w:t>
      </w:r>
      <w:r>
        <w:rPr>
          <w:rtl/>
        </w:rPr>
        <w:t xml:space="preserve">ציה </w:t>
      </w:r>
      <w:r>
        <w:rPr>
          <w:rFonts w:hint="cs"/>
          <w:rtl/>
        </w:rPr>
        <w:t xml:space="preserve">ובכתב </w:t>
      </w:r>
      <w:r>
        <w:rPr>
          <w:rtl/>
        </w:rPr>
        <w:t>י</w:t>
      </w:r>
      <w:r>
        <w:rPr>
          <w:rFonts w:hint="cs"/>
          <w:rtl/>
        </w:rPr>
        <w:t>ד</w:t>
      </w:r>
      <w:r>
        <w:rPr>
          <w:rtl/>
        </w:rPr>
        <w:t xml:space="preserve"> ליידן</w:t>
      </w:r>
      <w:r>
        <w:rPr>
          <w:rFonts w:hint="cs"/>
          <w:rtl/>
        </w:rPr>
        <w:t xml:space="preserve">: </w:t>
      </w:r>
      <w:r>
        <w:rPr>
          <w:rtl/>
        </w:rPr>
        <w:t xml:space="preserve">פעמיים ביומא פ"ד ה"ה; </w:t>
      </w:r>
      <w:r>
        <w:rPr>
          <w:rFonts w:hint="cs"/>
          <w:rtl/>
        </w:rPr>
        <w:t xml:space="preserve">שם </w:t>
      </w:r>
      <w:r>
        <w:rPr>
          <w:rtl/>
        </w:rPr>
        <w:t>פ"א ה"ה; מגילה פ"א הי"א</w:t>
      </w:r>
      <w:r>
        <w:rPr>
          <w:rFonts w:hint="cs"/>
          <w:rtl/>
        </w:rPr>
        <w:t>.</w:t>
      </w:r>
    </w:p>
  </w:footnote>
  <w:footnote w:id="121">
    <w:p w14:paraId="39011E50" w14:textId="77777777" w:rsidR="00940290" w:rsidRDefault="00940290" w:rsidP="00940290">
      <w:pPr>
        <w:pStyle w:val="a5"/>
        <w:rPr>
          <w:sz w:val="18"/>
          <w:rtl/>
        </w:rPr>
      </w:pPr>
      <w:r>
        <w:rPr>
          <w:rStyle w:val="a4"/>
        </w:rPr>
        <w:footnoteRef/>
      </w:r>
      <w:r>
        <w:rPr>
          <w:rFonts w:hint="cs"/>
          <w:rtl/>
        </w:rPr>
        <w:t xml:space="preserve"> לא נאריך כאן במגוון מנהגי העדות. רק נעיר כי לסדר פיטום הקטורת יש גרסה קצרה וארוכה: </w:t>
      </w:r>
      <w:r>
        <w:rPr>
          <w:rFonts w:hint="cs"/>
          <w:sz w:val="18"/>
          <w:rtl/>
        </w:rPr>
        <w:t xml:space="preserve">יש נוהגים לומר תמיד את הארוכה, ויש נוהגים לאומרה רק בחלק מן התפילות. </w:t>
      </w:r>
      <w:r>
        <w:rPr>
          <w:rFonts w:hint="cs"/>
          <w:rtl/>
        </w:rPr>
        <w:t>הקצרה כוללת רק את הברייתא התלמודית (</w:t>
      </w:r>
      <w:r>
        <w:rPr>
          <w:sz w:val="18"/>
          <w:szCs w:val="20"/>
          <w:rtl/>
        </w:rPr>
        <w:t>כריתות</w:t>
      </w:r>
      <w:r>
        <w:rPr>
          <w:rFonts w:hint="cs"/>
          <w:sz w:val="18"/>
          <w:szCs w:val="20"/>
          <w:rtl/>
        </w:rPr>
        <w:t xml:space="preserve"> ו, א</w:t>
      </w:r>
      <w:r>
        <w:rPr>
          <w:rFonts w:hint="cs"/>
          <w:rtl/>
        </w:rPr>
        <w:t xml:space="preserve">) </w:t>
      </w:r>
      <w:r>
        <w:rPr>
          <w:rFonts w:hint="cs"/>
          <w:sz w:val="18"/>
          <w:rtl/>
        </w:rPr>
        <w:t>שמפרטת מהם רכִיבֵי הקטורת (</w:t>
      </w:r>
      <w:r>
        <w:rPr>
          <w:rFonts w:hint="cs"/>
          <w:sz w:val="18"/>
          <w:szCs w:val="20"/>
          <w:rtl/>
        </w:rPr>
        <w:t xml:space="preserve">"[תנו רבנן] </w:t>
      </w:r>
      <w:r>
        <w:rPr>
          <w:sz w:val="18"/>
          <w:szCs w:val="20"/>
          <w:rtl/>
        </w:rPr>
        <w:t>פִּטּוּם הַקְּטֹרֶת</w:t>
      </w:r>
      <w:r>
        <w:rPr>
          <w:rFonts w:hint="cs"/>
          <w:sz w:val="18"/>
          <w:szCs w:val="20"/>
          <w:rtl/>
        </w:rPr>
        <w:t xml:space="preserve">... </w:t>
      </w:r>
      <w:r>
        <w:rPr>
          <w:sz w:val="18"/>
          <w:szCs w:val="20"/>
          <w:rtl/>
        </w:rPr>
        <w:t>מִפְּנֵי הַכָּבוֹד</w:t>
      </w:r>
      <w:r>
        <w:rPr>
          <w:rFonts w:hint="cs"/>
          <w:sz w:val="18"/>
          <w:szCs w:val="20"/>
          <w:rtl/>
        </w:rPr>
        <w:t>"</w:t>
      </w:r>
      <w:r>
        <w:rPr>
          <w:rFonts w:hint="cs"/>
          <w:sz w:val="18"/>
          <w:rtl/>
        </w:rPr>
        <w:t>); ה</w:t>
      </w:r>
      <w:r>
        <w:rPr>
          <w:rFonts w:hint="cs"/>
          <w:rtl/>
        </w:rPr>
        <w:t>גרסה ה</w:t>
      </w:r>
      <w:r>
        <w:rPr>
          <w:rFonts w:hint="cs"/>
          <w:sz w:val="18"/>
          <w:rtl/>
        </w:rPr>
        <w:t>ארוכה מוסיפה עוד ששה משפטים המלוקטים משני התלמודים (</w:t>
      </w:r>
      <w:r>
        <w:rPr>
          <w:rFonts w:hint="cs"/>
          <w:sz w:val="18"/>
          <w:szCs w:val="20"/>
          <w:rtl/>
        </w:rPr>
        <w:t>"</w:t>
      </w:r>
      <w:r>
        <w:rPr>
          <w:sz w:val="18"/>
          <w:szCs w:val="20"/>
          <w:rtl/>
        </w:rPr>
        <w:t>תַּנְיָא</w:t>
      </w:r>
      <w:r>
        <w:rPr>
          <w:rFonts w:hint="cs"/>
          <w:sz w:val="18"/>
          <w:szCs w:val="20"/>
          <w:rtl/>
        </w:rPr>
        <w:t>...</w:t>
      </w:r>
      <w:r>
        <w:rPr>
          <w:sz w:val="18"/>
          <w:szCs w:val="20"/>
          <w:rtl/>
        </w:rPr>
        <w:t xml:space="preserve"> כְּשֶׁהוּא שׁוֹחֵק</w:t>
      </w:r>
      <w:r>
        <w:rPr>
          <w:rFonts w:hint="cs"/>
          <w:sz w:val="18"/>
          <w:szCs w:val="20"/>
          <w:rtl/>
        </w:rPr>
        <w:t>...</w:t>
      </w:r>
      <w:r>
        <w:rPr>
          <w:sz w:val="18"/>
          <w:szCs w:val="20"/>
          <w:rtl/>
        </w:rPr>
        <w:t xml:space="preserve"> תַקְטִירוּ מִמֶּנּוּ אִשֶּׁה לַ</w:t>
      </w:r>
      <w:r>
        <w:rPr>
          <w:rFonts w:hint="cs"/>
          <w:sz w:val="18"/>
          <w:szCs w:val="20"/>
          <w:rtl/>
        </w:rPr>
        <w:t>ה'"</w:t>
      </w:r>
      <w:r>
        <w:rPr>
          <w:rFonts w:hint="cs"/>
          <w:sz w:val="18"/>
          <w:rtl/>
        </w:rPr>
        <w:t>) ועליה כתב מרן ה</w:t>
      </w:r>
      <w:r>
        <w:rPr>
          <w:sz w:val="18"/>
          <w:rtl/>
        </w:rPr>
        <w:t>בית יוסף</w:t>
      </w:r>
      <w:r>
        <w:rPr>
          <w:rFonts w:hint="cs"/>
          <w:sz w:val="18"/>
          <w:rtl/>
        </w:rPr>
        <w:t xml:space="preserve">, </w:t>
      </w:r>
      <w:r>
        <w:rPr>
          <w:sz w:val="18"/>
          <w:szCs w:val="20"/>
          <w:rtl/>
        </w:rPr>
        <w:t>או</w:t>
      </w:r>
      <w:r>
        <w:rPr>
          <w:rFonts w:hint="cs"/>
          <w:sz w:val="18"/>
          <w:szCs w:val="20"/>
          <w:rtl/>
        </w:rPr>
        <w:t>"</w:t>
      </w:r>
      <w:r>
        <w:rPr>
          <w:sz w:val="18"/>
          <w:szCs w:val="20"/>
          <w:rtl/>
        </w:rPr>
        <w:t>ח</w:t>
      </w:r>
      <w:r>
        <w:rPr>
          <w:rFonts w:hint="cs"/>
          <w:sz w:val="18"/>
          <w:szCs w:val="20"/>
          <w:rtl/>
        </w:rPr>
        <w:t>,</w:t>
      </w:r>
      <w:r>
        <w:rPr>
          <w:sz w:val="18"/>
          <w:szCs w:val="20"/>
          <w:rtl/>
        </w:rPr>
        <w:t xml:space="preserve"> </w:t>
      </w:r>
      <w:r>
        <w:rPr>
          <w:rFonts w:hint="cs"/>
          <w:sz w:val="18"/>
          <w:szCs w:val="20"/>
          <w:rtl/>
        </w:rPr>
        <w:t xml:space="preserve">סי' </w:t>
      </w:r>
      <w:r>
        <w:rPr>
          <w:sz w:val="18"/>
          <w:szCs w:val="20"/>
          <w:rtl/>
        </w:rPr>
        <w:t>קל</w:t>
      </w:r>
      <w:r>
        <w:rPr>
          <w:rFonts w:hint="cs"/>
          <w:sz w:val="18"/>
          <w:szCs w:val="20"/>
          <w:rtl/>
        </w:rPr>
        <w:t>"</w:t>
      </w:r>
      <w:r>
        <w:rPr>
          <w:sz w:val="18"/>
          <w:szCs w:val="20"/>
          <w:rtl/>
        </w:rPr>
        <w:t>ג</w:t>
      </w:r>
      <w:r>
        <w:rPr>
          <w:rFonts w:hint="cs"/>
          <w:sz w:val="18"/>
          <w:rtl/>
        </w:rPr>
        <w:t>: "</w:t>
      </w:r>
      <w:r>
        <w:rPr>
          <w:sz w:val="18"/>
          <w:rtl/>
        </w:rPr>
        <w:t>ובנוסחת קצת סידורים יש תוספת בסוף ברייתא זו</w:t>
      </w:r>
      <w:r>
        <w:rPr>
          <w:rFonts w:hint="cs"/>
          <w:sz w:val="18"/>
          <w:rtl/>
        </w:rPr>
        <w:t xml:space="preserve">... </w:t>
      </w:r>
      <w:r>
        <w:rPr>
          <w:sz w:val="18"/>
          <w:rtl/>
        </w:rPr>
        <w:t>והתוספת הזה כתבו</w:t>
      </w:r>
      <w:r>
        <w:rPr>
          <w:rFonts w:hint="cs"/>
          <w:sz w:val="18"/>
          <w:rtl/>
        </w:rPr>
        <w:t>ֹ</w:t>
      </w:r>
      <w:r>
        <w:rPr>
          <w:sz w:val="18"/>
          <w:rtl/>
        </w:rPr>
        <w:t xml:space="preserve"> הכל</w:t>
      </w:r>
      <w:r>
        <w:rPr>
          <w:rFonts w:hint="cs"/>
          <w:sz w:val="18"/>
          <w:rtl/>
        </w:rPr>
        <w:t>-</w:t>
      </w:r>
      <w:r>
        <w:rPr>
          <w:sz w:val="18"/>
          <w:rtl/>
        </w:rPr>
        <w:t>בו ופירשו</w:t>
      </w:r>
      <w:r>
        <w:rPr>
          <w:rFonts w:hint="cs"/>
          <w:sz w:val="18"/>
          <w:rtl/>
        </w:rPr>
        <w:t>ֹ (</w:t>
      </w:r>
      <w:r>
        <w:rPr>
          <w:sz w:val="18"/>
          <w:szCs w:val="20"/>
          <w:rtl/>
        </w:rPr>
        <w:t>סי</w:t>
      </w:r>
      <w:r>
        <w:rPr>
          <w:rFonts w:hint="cs"/>
          <w:sz w:val="18"/>
          <w:szCs w:val="20"/>
          <w:rtl/>
        </w:rPr>
        <w:t>' ל"ח</w:t>
      </w:r>
      <w:r>
        <w:rPr>
          <w:rFonts w:hint="cs"/>
          <w:sz w:val="18"/>
          <w:rtl/>
        </w:rPr>
        <w:t>),</w:t>
      </w:r>
      <w:r>
        <w:rPr>
          <w:sz w:val="18"/>
          <w:rtl/>
        </w:rPr>
        <w:t xml:space="preserve"> אכן ה"ר דוד אבודרהם לא כתבו</w:t>
      </w:r>
      <w:r>
        <w:rPr>
          <w:rFonts w:hint="cs"/>
          <w:sz w:val="18"/>
          <w:rtl/>
        </w:rPr>
        <w:t>,</w:t>
      </w:r>
      <w:r>
        <w:rPr>
          <w:sz w:val="18"/>
          <w:rtl/>
        </w:rPr>
        <w:t xml:space="preserve"> וגם רוב העולם לא נהגו לאמרו</w:t>
      </w:r>
      <w:r>
        <w:rPr>
          <w:rFonts w:hint="cs"/>
          <w:sz w:val="18"/>
          <w:rtl/>
        </w:rPr>
        <w:t>". מעניין היפוך מנהגים שחל כאן: כפי שעולה מדבריו, מנהג ספרד היה לומר את הקצרה; ה</w:t>
      </w:r>
      <w:r>
        <w:rPr>
          <w:rFonts w:hint="cs"/>
          <w:rtl/>
        </w:rPr>
        <w:t>גרסה ה</w:t>
      </w:r>
      <w:r>
        <w:rPr>
          <w:rFonts w:hint="cs"/>
          <w:sz w:val="18"/>
          <w:rtl/>
        </w:rPr>
        <w:t>ארוכה המוזכרת במקורות אשכנזיים (</w:t>
      </w:r>
      <w:r>
        <w:rPr>
          <w:rFonts w:hint="cs"/>
          <w:sz w:val="18"/>
          <w:szCs w:val="20"/>
          <w:rtl/>
        </w:rPr>
        <w:t>כגון במחזור ויטרי וב</w:t>
      </w:r>
      <w:r>
        <w:rPr>
          <w:sz w:val="18"/>
          <w:szCs w:val="20"/>
          <w:rtl/>
        </w:rPr>
        <w:t>תוספות שבועות י</w:t>
      </w:r>
      <w:r>
        <w:rPr>
          <w:rFonts w:hint="cs"/>
          <w:sz w:val="18"/>
          <w:szCs w:val="20"/>
          <w:rtl/>
        </w:rPr>
        <w:t>,</w:t>
      </w:r>
      <w:r>
        <w:rPr>
          <w:sz w:val="18"/>
          <w:szCs w:val="20"/>
          <w:rtl/>
        </w:rPr>
        <w:t xml:space="preserve"> ב ד"ה מותר</w:t>
      </w:r>
      <w:r>
        <w:rPr>
          <w:rFonts w:hint="cs"/>
          <w:sz w:val="18"/>
          <w:szCs w:val="20"/>
          <w:rtl/>
        </w:rPr>
        <w:t>; בנוסף לכל-בו הפרובנסלי</w:t>
      </w:r>
      <w:r>
        <w:rPr>
          <w:rFonts w:hint="cs"/>
          <w:sz w:val="18"/>
          <w:rtl/>
        </w:rPr>
        <w:t>) היתה כנראה מנהג בני אשכנז. דומני כי כיום שגורה ה</w:t>
      </w:r>
      <w:r>
        <w:rPr>
          <w:rFonts w:hint="cs"/>
          <w:rtl/>
        </w:rPr>
        <w:t xml:space="preserve">גרסה </w:t>
      </w:r>
      <w:r>
        <w:rPr>
          <w:rFonts w:hint="cs"/>
          <w:sz w:val="18"/>
          <w:rtl/>
        </w:rPr>
        <w:t>הארוכה בפיות צאצאי יהודי ספרד יותר מאשר צאצאי יהודי אשכנז (חותני אף הראני סידור אשכנזי, כמנהג אנגליה, שהגרסה הארוכה איננה מופיעה בו כלל). ה</w:t>
      </w:r>
      <w:r>
        <w:rPr>
          <w:sz w:val="18"/>
          <w:rtl/>
        </w:rPr>
        <w:t>רדב"ז</w:t>
      </w:r>
      <w:r>
        <w:rPr>
          <w:rFonts w:hint="cs"/>
          <w:sz w:val="18"/>
          <w:rtl/>
        </w:rPr>
        <w:t xml:space="preserve"> שנשאל כמה קושיות על נוסח הגרסה הארוכה הִבהיר: "</w:t>
      </w:r>
      <w:r>
        <w:rPr>
          <w:sz w:val="18"/>
          <w:rtl/>
        </w:rPr>
        <w:t>צריכין אתם לדעת כי ברייתא זו אינה שנויה בשום מקום בלשון זה</w:t>
      </w:r>
      <w:r>
        <w:rPr>
          <w:rFonts w:hint="cs"/>
          <w:sz w:val="18"/>
          <w:rtl/>
        </w:rPr>
        <w:t>,</w:t>
      </w:r>
      <w:r>
        <w:rPr>
          <w:sz w:val="18"/>
          <w:rtl/>
        </w:rPr>
        <w:t xml:space="preserve"> אלא מ</w:t>
      </w:r>
      <w:r>
        <w:rPr>
          <w:rFonts w:hint="cs"/>
          <w:sz w:val="18"/>
          <w:rtl/>
        </w:rPr>
        <w:t>ְ</w:t>
      </w:r>
      <w:r>
        <w:rPr>
          <w:sz w:val="18"/>
          <w:rtl/>
        </w:rPr>
        <w:t>ס</w:t>
      </w:r>
      <w:r>
        <w:rPr>
          <w:rFonts w:hint="cs"/>
          <w:sz w:val="18"/>
          <w:rtl/>
        </w:rPr>
        <w:t>ַ</w:t>
      </w:r>
      <w:r>
        <w:rPr>
          <w:sz w:val="18"/>
          <w:rtl/>
        </w:rPr>
        <w:t>דר</w:t>
      </w:r>
      <w:r>
        <w:rPr>
          <w:rFonts w:hint="cs"/>
          <w:sz w:val="18"/>
          <w:rtl/>
        </w:rPr>
        <w:t>ֵ</w:t>
      </w:r>
      <w:r>
        <w:rPr>
          <w:sz w:val="18"/>
          <w:rtl/>
        </w:rPr>
        <w:t>י התפלות ח</w:t>
      </w:r>
      <w:r>
        <w:rPr>
          <w:rFonts w:hint="cs"/>
          <w:sz w:val="18"/>
          <w:rtl/>
        </w:rPr>
        <w:t>ִ</w:t>
      </w:r>
      <w:r>
        <w:rPr>
          <w:sz w:val="18"/>
          <w:rtl/>
        </w:rPr>
        <w:t>ברוה מפסקי ברייתות שנויות בכריתות</w:t>
      </w:r>
      <w:r>
        <w:rPr>
          <w:rFonts w:hint="cs"/>
          <w:sz w:val="18"/>
          <w:rtl/>
        </w:rPr>
        <w:t>,</w:t>
      </w:r>
      <w:r>
        <w:rPr>
          <w:sz w:val="18"/>
          <w:rtl/>
        </w:rPr>
        <w:t xml:space="preserve"> והתם לא קשיא כלל</w:t>
      </w:r>
      <w:r>
        <w:rPr>
          <w:rFonts w:hint="cs"/>
          <w:sz w:val="18"/>
          <w:rtl/>
        </w:rPr>
        <w:t>,</w:t>
      </w:r>
      <w:r>
        <w:rPr>
          <w:sz w:val="18"/>
          <w:rtl/>
        </w:rPr>
        <w:t xml:space="preserve"> תעיינו שם</w:t>
      </w:r>
      <w:r>
        <w:rPr>
          <w:rFonts w:hint="cs"/>
          <w:sz w:val="18"/>
          <w:rtl/>
        </w:rPr>
        <w:t>" (</w:t>
      </w:r>
      <w:r>
        <w:rPr>
          <w:sz w:val="18"/>
          <w:szCs w:val="20"/>
          <w:rtl/>
        </w:rPr>
        <w:t>שו"ת ח</w:t>
      </w:r>
      <w:r>
        <w:rPr>
          <w:rFonts w:hint="cs"/>
          <w:sz w:val="18"/>
          <w:szCs w:val="20"/>
          <w:rtl/>
        </w:rPr>
        <w:t>"</w:t>
      </w:r>
      <w:r>
        <w:rPr>
          <w:sz w:val="18"/>
          <w:szCs w:val="20"/>
          <w:rtl/>
        </w:rPr>
        <w:t>ד סי</w:t>
      </w:r>
      <w:r>
        <w:rPr>
          <w:rFonts w:hint="cs"/>
          <w:sz w:val="18"/>
          <w:szCs w:val="20"/>
          <w:rtl/>
        </w:rPr>
        <w:t>'</w:t>
      </w:r>
      <w:r>
        <w:rPr>
          <w:sz w:val="18"/>
          <w:szCs w:val="20"/>
          <w:rtl/>
        </w:rPr>
        <w:t xml:space="preserve"> ל</w:t>
      </w:r>
      <w:r>
        <w:rPr>
          <w:rFonts w:hint="cs"/>
          <w:sz w:val="18"/>
          <w:szCs w:val="20"/>
          <w:rtl/>
        </w:rPr>
        <w:t>"</w:t>
      </w:r>
      <w:r>
        <w:rPr>
          <w:sz w:val="18"/>
          <w:szCs w:val="20"/>
          <w:rtl/>
        </w:rPr>
        <w:t>ה</w:t>
      </w:r>
      <w:r>
        <w:rPr>
          <w:rFonts w:hint="cs"/>
          <w:sz w:val="18"/>
          <w:rtl/>
        </w:rPr>
        <w:t>), "</w:t>
      </w:r>
      <w:r>
        <w:rPr>
          <w:sz w:val="18"/>
          <w:rtl/>
        </w:rPr>
        <w:t>ולכן אל תתמה אם באו שלא על סדר נכון</w:t>
      </w:r>
      <w:r>
        <w:rPr>
          <w:rFonts w:hint="cs"/>
          <w:sz w:val="18"/>
          <w:rtl/>
        </w:rPr>
        <w:t>" (</w:t>
      </w:r>
      <w:r>
        <w:rPr>
          <w:sz w:val="18"/>
          <w:szCs w:val="20"/>
          <w:rtl/>
        </w:rPr>
        <w:t>ח</w:t>
      </w:r>
      <w:r>
        <w:rPr>
          <w:rFonts w:hint="cs"/>
          <w:sz w:val="18"/>
          <w:szCs w:val="20"/>
          <w:rtl/>
        </w:rPr>
        <w:t>"</w:t>
      </w:r>
      <w:r>
        <w:rPr>
          <w:sz w:val="18"/>
          <w:szCs w:val="20"/>
          <w:rtl/>
        </w:rPr>
        <w:t>ב סי</w:t>
      </w:r>
      <w:r>
        <w:rPr>
          <w:rFonts w:hint="cs"/>
          <w:sz w:val="18"/>
          <w:szCs w:val="20"/>
          <w:rtl/>
        </w:rPr>
        <w:t>'</w:t>
      </w:r>
      <w:r>
        <w:rPr>
          <w:sz w:val="18"/>
          <w:szCs w:val="20"/>
          <w:rtl/>
        </w:rPr>
        <w:t xml:space="preserve"> תרנ</w:t>
      </w:r>
      <w:r>
        <w:rPr>
          <w:rFonts w:hint="cs"/>
          <w:sz w:val="18"/>
          <w:szCs w:val="20"/>
          <w:rtl/>
        </w:rPr>
        <w:t>"</w:t>
      </w:r>
      <w:r>
        <w:rPr>
          <w:sz w:val="18"/>
          <w:szCs w:val="20"/>
          <w:rtl/>
        </w:rPr>
        <w:t>ג</w:t>
      </w:r>
      <w:r>
        <w:rPr>
          <w:rFonts w:hint="cs"/>
          <w:sz w:val="18"/>
          <w:rtl/>
        </w:rPr>
        <w:t>).</w:t>
      </w:r>
    </w:p>
    <w:p w14:paraId="7AF4A6A5" w14:textId="77777777" w:rsidR="00940290" w:rsidRDefault="00940290" w:rsidP="00940290">
      <w:pPr>
        <w:pStyle w:val="a5"/>
        <w:rPr>
          <w:rFonts w:hint="cs"/>
          <w:rtl/>
        </w:rPr>
      </w:pPr>
      <w:r>
        <w:rPr>
          <w:rFonts w:hint="cs"/>
          <w:sz w:val="18"/>
          <w:rtl/>
        </w:rPr>
        <w:t>ה</w:t>
      </w:r>
      <w:r>
        <w:rPr>
          <w:rFonts w:hint="cs"/>
          <w:rtl/>
        </w:rPr>
        <w:t xml:space="preserve">הלכה שאנו דנים בה מופיעה פעמיים: גם </w:t>
      </w:r>
      <w:r>
        <w:rPr>
          <w:rFonts w:hint="cs"/>
          <w:sz w:val="18"/>
          <w:rtl/>
        </w:rPr>
        <w:t>ב</w:t>
      </w:r>
      <w:r>
        <w:rPr>
          <w:rFonts w:hint="cs"/>
          <w:rtl/>
        </w:rPr>
        <w:t xml:space="preserve">גרסה </w:t>
      </w:r>
      <w:r>
        <w:rPr>
          <w:rFonts w:hint="cs"/>
          <w:sz w:val="18"/>
          <w:rtl/>
        </w:rPr>
        <w:t>הקצרה</w:t>
      </w:r>
      <w:r>
        <w:rPr>
          <w:rFonts w:hint="cs"/>
          <w:rtl/>
        </w:rPr>
        <w:t xml:space="preserve"> וגם בתוספת המלוקטת: הפעם הראשונה בדברי </w:t>
      </w:r>
      <w:r>
        <w:rPr>
          <w:rtl/>
        </w:rPr>
        <w:t>ר</w:t>
      </w:r>
      <w:r>
        <w:rPr>
          <w:rFonts w:hint="cs"/>
          <w:rtl/>
        </w:rPr>
        <w:t>בי</w:t>
      </w:r>
      <w:r>
        <w:rPr>
          <w:rtl/>
        </w:rPr>
        <w:t xml:space="preserve"> נתן</w:t>
      </w:r>
      <w:r>
        <w:rPr>
          <w:rFonts w:hint="cs"/>
          <w:rtl/>
        </w:rPr>
        <w:t xml:space="preserve"> (הבבלי) האומר: "</w:t>
      </w:r>
      <w:r>
        <w:rPr>
          <w:rtl/>
        </w:rPr>
        <w:t>אף כיפת הירדן כל שהוא</w:t>
      </w:r>
      <w:r>
        <w:rPr>
          <w:rFonts w:hint="cs"/>
          <w:rtl/>
        </w:rPr>
        <w:t>;</w:t>
      </w:r>
      <w:r>
        <w:rPr>
          <w:rtl/>
        </w:rPr>
        <w:t xml:space="preserve"> ואם נתן בה דבש - פסלה</w:t>
      </w:r>
      <w:r>
        <w:rPr>
          <w:rFonts w:hint="cs"/>
          <w:rtl/>
        </w:rPr>
        <w:t xml:space="preserve">; </w:t>
      </w:r>
      <w:r>
        <w:rPr>
          <w:rtl/>
        </w:rPr>
        <w:t>חיסר אחת מכל סממניה - חייב מיתה</w:t>
      </w:r>
      <w:r>
        <w:rPr>
          <w:rFonts w:hint="cs"/>
          <w:rtl/>
        </w:rPr>
        <w:t>" (</w:t>
      </w:r>
      <w:r>
        <w:rPr>
          <w:rFonts w:hint="cs"/>
          <w:sz w:val="18"/>
          <w:szCs w:val="20"/>
          <w:rtl/>
        </w:rPr>
        <w:t>כך הנוסח הנדפס ב</w:t>
      </w:r>
      <w:r>
        <w:rPr>
          <w:sz w:val="18"/>
          <w:szCs w:val="20"/>
          <w:rtl/>
        </w:rPr>
        <w:t>כריתות</w:t>
      </w:r>
      <w:r>
        <w:rPr>
          <w:rFonts w:hint="cs"/>
          <w:rtl/>
        </w:rPr>
        <w:t>)</w:t>
      </w:r>
      <w:r>
        <w:rPr>
          <w:rtl/>
        </w:rPr>
        <w:t xml:space="preserve">. </w:t>
      </w:r>
      <w:r>
        <w:rPr>
          <w:rFonts w:hint="cs"/>
          <w:rtl/>
        </w:rPr>
        <w:t>הפעם השניה (</w:t>
      </w:r>
      <w:r>
        <w:rPr>
          <w:rFonts w:hint="cs"/>
          <w:sz w:val="18"/>
          <w:szCs w:val="20"/>
          <w:rtl/>
        </w:rPr>
        <w:t>בברייתא המלוקטת מתוך דברי הירושלמי</w:t>
      </w:r>
      <w:r>
        <w:rPr>
          <w:rFonts w:hint="cs"/>
          <w:rtl/>
        </w:rPr>
        <w:t xml:space="preserve">) בדברי </w:t>
      </w:r>
      <w:r>
        <w:rPr>
          <w:rtl/>
        </w:rPr>
        <w:t>ר</w:t>
      </w:r>
      <w:r>
        <w:rPr>
          <w:rFonts w:hint="cs"/>
          <w:rtl/>
        </w:rPr>
        <w:t>בי</w:t>
      </w:r>
      <w:r>
        <w:rPr>
          <w:rtl/>
        </w:rPr>
        <w:t xml:space="preserve"> </w:t>
      </w:r>
      <w:r>
        <w:rPr>
          <w:rFonts w:hint="cs"/>
          <w:rtl/>
        </w:rPr>
        <w:t>יהודה: "</w:t>
      </w:r>
      <w:r>
        <w:rPr>
          <w:rtl/>
        </w:rPr>
        <w:t>אִם כְּמִדָּתָהּ</w:t>
      </w:r>
      <w:r>
        <w:rPr>
          <w:rFonts w:hint="cs"/>
          <w:rtl/>
        </w:rPr>
        <w:t xml:space="preserve"> -</w:t>
      </w:r>
      <w:r>
        <w:rPr>
          <w:rtl/>
        </w:rPr>
        <w:t xml:space="preserve"> כְּשֵׁרָה לַחֲצָאִין</w:t>
      </w:r>
      <w:r>
        <w:rPr>
          <w:rFonts w:hint="cs"/>
          <w:rtl/>
        </w:rPr>
        <w:t xml:space="preserve">; </w:t>
      </w:r>
      <w:r>
        <w:rPr>
          <w:rtl/>
        </w:rPr>
        <w:t>וְאִם חיסר אחת</w:t>
      </w:r>
      <w:r>
        <w:rPr>
          <w:rFonts w:hint="cs"/>
          <w:rtl/>
        </w:rPr>
        <w:t xml:space="preserve"> </w:t>
      </w:r>
      <w:r>
        <w:rPr>
          <w:rtl/>
        </w:rPr>
        <w:t>מכל סמ</w:t>
      </w:r>
      <w:r>
        <w:rPr>
          <w:rFonts w:hint="cs"/>
          <w:rtl/>
        </w:rPr>
        <w:t>(</w:t>
      </w:r>
      <w:r>
        <w:rPr>
          <w:rtl/>
        </w:rPr>
        <w:t>מ</w:t>
      </w:r>
      <w:r>
        <w:rPr>
          <w:rFonts w:hint="cs"/>
          <w:rtl/>
        </w:rPr>
        <w:t>)</w:t>
      </w:r>
      <w:r>
        <w:rPr>
          <w:rtl/>
        </w:rPr>
        <w:t>ניה</w:t>
      </w:r>
      <w:r>
        <w:rPr>
          <w:rFonts w:hint="cs"/>
          <w:rtl/>
        </w:rPr>
        <w:t xml:space="preserve"> - </w:t>
      </w:r>
      <w:r>
        <w:rPr>
          <w:rtl/>
        </w:rPr>
        <w:t>חייב מיתה</w:t>
      </w:r>
      <w:r>
        <w:rPr>
          <w:rFonts w:hint="cs"/>
          <w:rtl/>
        </w:rPr>
        <w:t>" (</w:t>
      </w:r>
      <w:r>
        <w:rPr>
          <w:rFonts w:hint="cs"/>
          <w:sz w:val="18"/>
          <w:szCs w:val="20"/>
          <w:rtl/>
        </w:rPr>
        <w:t>כך היא "</w:t>
      </w:r>
      <w:r>
        <w:rPr>
          <w:sz w:val="18"/>
          <w:szCs w:val="20"/>
          <w:rtl/>
        </w:rPr>
        <w:t>הגירסא המדוייקת</w:t>
      </w:r>
      <w:r>
        <w:rPr>
          <w:rFonts w:hint="cs"/>
          <w:sz w:val="18"/>
          <w:szCs w:val="20"/>
          <w:rtl/>
        </w:rPr>
        <w:t xml:space="preserve">", לדעת החיד"א, </w:t>
      </w:r>
      <w:r>
        <w:rPr>
          <w:sz w:val="18"/>
          <w:szCs w:val="20"/>
          <w:rtl/>
        </w:rPr>
        <w:t>ברכי יוסף או</w:t>
      </w:r>
      <w:r>
        <w:rPr>
          <w:rFonts w:hint="cs"/>
          <w:sz w:val="18"/>
          <w:szCs w:val="20"/>
          <w:rtl/>
        </w:rPr>
        <w:t>"</w:t>
      </w:r>
      <w:r>
        <w:rPr>
          <w:sz w:val="18"/>
          <w:szCs w:val="20"/>
          <w:rtl/>
        </w:rPr>
        <w:t>ח</w:t>
      </w:r>
      <w:r>
        <w:rPr>
          <w:rFonts w:hint="cs"/>
          <w:sz w:val="18"/>
          <w:szCs w:val="20"/>
          <w:rtl/>
        </w:rPr>
        <w:t xml:space="preserve"> </w:t>
      </w:r>
      <w:r>
        <w:rPr>
          <w:sz w:val="18"/>
          <w:szCs w:val="20"/>
          <w:rtl/>
        </w:rPr>
        <w:t>קל</w:t>
      </w:r>
      <w:r>
        <w:rPr>
          <w:rFonts w:hint="cs"/>
          <w:sz w:val="18"/>
          <w:szCs w:val="20"/>
          <w:rtl/>
        </w:rPr>
        <w:t>"</w:t>
      </w:r>
      <w:r>
        <w:rPr>
          <w:sz w:val="18"/>
          <w:szCs w:val="20"/>
          <w:rtl/>
        </w:rPr>
        <w:t>ב סק</w:t>
      </w:r>
      <w:r>
        <w:rPr>
          <w:rFonts w:hint="cs"/>
          <w:sz w:val="18"/>
          <w:szCs w:val="20"/>
          <w:rtl/>
        </w:rPr>
        <w:t>"</w:t>
      </w:r>
      <w:r>
        <w:rPr>
          <w:sz w:val="18"/>
          <w:szCs w:val="20"/>
          <w:rtl/>
        </w:rPr>
        <w:t>ט</w:t>
      </w:r>
      <w:r>
        <w:rPr>
          <w:rFonts w:hint="cs"/>
          <w:rtl/>
        </w:rPr>
        <w:t>).</w:t>
      </w:r>
    </w:p>
  </w:footnote>
  <w:footnote w:id="122">
    <w:p w14:paraId="16AA0201" w14:textId="77777777" w:rsidR="00940290" w:rsidRDefault="00940290" w:rsidP="00940290">
      <w:pPr>
        <w:pStyle w:val="a5"/>
        <w:rPr>
          <w:rFonts w:hint="cs"/>
          <w:rtl/>
        </w:rPr>
      </w:pPr>
      <w:r>
        <w:rPr>
          <w:rStyle w:val="a4"/>
        </w:rPr>
        <w:footnoteRef/>
      </w:r>
      <w:r>
        <w:rPr>
          <w:rFonts w:hint="cs"/>
          <w:rtl/>
        </w:rPr>
        <w:t xml:space="preserve"> </w:t>
      </w:r>
      <w:r>
        <w:rPr>
          <w:rFonts w:hint="cs"/>
          <w:sz w:val="24"/>
          <w:rtl/>
        </w:rPr>
        <w:t>כמוכח מ</w:t>
      </w:r>
      <w:r>
        <w:rPr>
          <w:sz w:val="24"/>
          <w:rtl/>
        </w:rPr>
        <w:t xml:space="preserve">נדה </w:t>
      </w:r>
      <w:r>
        <w:rPr>
          <w:sz w:val="18"/>
          <w:szCs w:val="20"/>
          <w:rtl/>
        </w:rPr>
        <w:t>פ</w:t>
      </w:r>
      <w:r>
        <w:rPr>
          <w:rFonts w:hint="cs"/>
          <w:sz w:val="18"/>
          <w:szCs w:val="20"/>
          <w:rtl/>
        </w:rPr>
        <w:t>"</w:t>
      </w:r>
      <w:r>
        <w:rPr>
          <w:sz w:val="18"/>
          <w:szCs w:val="20"/>
          <w:rtl/>
        </w:rPr>
        <w:t>ט מ</w:t>
      </w:r>
      <w:r>
        <w:rPr>
          <w:rFonts w:hint="cs"/>
          <w:sz w:val="18"/>
          <w:szCs w:val="20"/>
          <w:rtl/>
        </w:rPr>
        <w:t>"</w:t>
      </w:r>
      <w:r>
        <w:rPr>
          <w:sz w:val="18"/>
          <w:szCs w:val="20"/>
          <w:rtl/>
        </w:rPr>
        <w:t>ז</w:t>
      </w:r>
      <w:r>
        <w:rPr>
          <w:rFonts w:hint="cs"/>
          <w:sz w:val="18"/>
          <w:szCs w:val="20"/>
          <w:rtl/>
        </w:rPr>
        <w:t xml:space="preserve"> </w:t>
      </w:r>
      <w:r>
        <w:rPr>
          <w:rFonts w:hint="cs"/>
          <w:sz w:val="24"/>
          <w:rtl/>
        </w:rPr>
        <w:t>"</w:t>
      </w:r>
      <w:r>
        <w:rPr>
          <w:sz w:val="24"/>
          <w:rtl/>
        </w:rPr>
        <w:t>שבע</w:t>
      </w:r>
      <w:r>
        <w:rPr>
          <w:b/>
          <w:bCs/>
          <w:sz w:val="24"/>
          <w:rtl/>
        </w:rPr>
        <w:t>ה</w:t>
      </w:r>
      <w:r>
        <w:rPr>
          <w:sz w:val="24"/>
          <w:rtl/>
        </w:rPr>
        <w:t xml:space="preserve"> סממנין</w:t>
      </w:r>
      <w:r>
        <w:rPr>
          <w:rFonts w:hint="cs"/>
          <w:sz w:val="24"/>
          <w:rtl/>
        </w:rPr>
        <w:t xml:space="preserve">", ומדברי </w:t>
      </w:r>
      <w:r>
        <w:rPr>
          <w:sz w:val="24"/>
          <w:rtl/>
        </w:rPr>
        <w:t>רב יוסף</w:t>
      </w:r>
      <w:r>
        <w:rPr>
          <w:rFonts w:hint="cs"/>
          <w:sz w:val="24"/>
          <w:rtl/>
        </w:rPr>
        <w:t xml:space="preserve"> ב</w:t>
      </w:r>
      <w:r>
        <w:rPr>
          <w:sz w:val="24"/>
          <w:rtl/>
        </w:rPr>
        <w:t xml:space="preserve">כריתות </w:t>
      </w:r>
      <w:r>
        <w:rPr>
          <w:rFonts w:hint="cs"/>
          <w:sz w:val="24"/>
          <w:rtl/>
        </w:rPr>
        <w:t>שם: "</w:t>
      </w:r>
      <w:r>
        <w:rPr>
          <w:sz w:val="24"/>
          <w:rtl/>
        </w:rPr>
        <w:t>ב</w:t>
      </w:r>
      <w:r>
        <w:rPr>
          <w:rFonts w:hint="eastAsia"/>
          <w:b/>
          <w:bCs/>
          <w:sz w:val="24"/>
          <w:rtl/>
        </w:rPr>
        <w:t>אחד</w:t>
      </w:r>
      <w:r>
        <w:rPr>
          <w:sz w:val="24"/>
          <w:rtl/>
        </w:rPr>
        <w:t xml:space="preserve"> </w:t>
      </w:r>
      <w:r>
        <w:rPr>
          <w:rFonts w:hint="eastAsia"/>
          <w:sz w:val="24"/>
          <w:rtl/>
        </w:rPr>
        <w:t>מסממני</w:t>
      </w:r>
      <w:r>
        <w:rPr>
          <w:sz w:val="24"/>
          <w:rtl/>
        </w:rPr>
        <w:t xml:space="preserve"> </w:t>
      </w:r>
      <w:r>
        <w:rPr>
          <w:rFonts w:hint="eastAsia"/>
          <w:sz w:val="24"/>
          <w:rtl/>
        </w:rPr>
        <w:t>הקטרת</w:t>
      </w:r>
      <w:r>
        <w:rPr>
          <w:rFonts w:hint="cs"/>
          <w:sz w:val="24"/>
          <w:rtl/>
        </w:rPr>
        <w:t>", ובצדק פותחת ברייתא זו במספר זכר: "</w:t>
      </w:r>
      <w:r>
        <w:rPr>
          <w:sz w:val="24"/>
          <w:rtl/>
        </w:rPr>
        <w:t>ו</w:t>
      </w:r>
      <w:r>
        <w:rPr>
          <w:b/>
          <w:bCs/>
          <w:sz w:val="24"/>
          <w:rtl/>
        </w:rPr>
        <w:t>אחד עשר</w:t>
      </w:r>
      <w:r>
        <w:rPr>
          <w:sz w:val="24"/>
          <w:rtl/>
        </w:rPr>
        <w:t xml:space="preserve"> סממנים</w:t>
      </w:r>
      <w:r>
        <w:rPr>
          <w:rFonts w:hint="cs"/>
          <w:sz w:val="24"/>
          <w:rtl/>
        </w:rPr>
        <w:t xml:space="preserve"> היו בה".</w:t>
      </w:r>
    </w:p>
  </w:footnote>
  <w:footnote w:id="123">
    <w:p w14:paraId="131B8FCC" w14:textId="77777777" w:rsidR="00940290" w:rsidRDefault="00940290" w:rsidP="00940290">
      <w:pPr>
        <w:pStyle w:val="a5"/>
        <w:rPr>
          <w:rFonts w:hint="cs"/>
          <w:rtl/>
        </w:rPr>
      </w:pPr>
      <w:r>
        <w:rPr>
          <w:rStyle w:val="a4"/>
          <w:rtl/>
        </w:rPr>
        <w:footnoteRef/>
      </w:r>
      <w:r>
        <w:t xml:space="preserve"> </w:t>
      </w:r>
      <w:r>
        <w:rPr>
          <w:rFonts w:hint="cs"/>
          <w:rtl/>
        </w:rPr>
        <w:t xml:space="preserve">וכן הוא בלשון פוסקים נוספים, כגון </w:t>
      </w:r>
      <w:r>
        <w:rPr>
          <w:sz w:val="18"/>
          <w:rtl/>
        </w:rPr>
        <w:t>הכל</w:t>
      </w:r>
      <w:r>
        <w:rPr>
          <w:rFonts w:hint="cs"/>
          <w:sz w:val="18"/>
          <w:rtl/>
        </w:rPr>
        <w:t>-</w:t>
      </w:r>
      <w:r>
        <w:rPr>
          <w:sz w:val="18"/>
          <w:rtl/>
        </w:rPr>
        <w:t>בו</w:t>
      </w:r>
      <w:r>
        <w:rPr>
          <w:sz w:val="18"/>
          <w:szCs w:val="20"/>
          <w:rtl/>
        </w:rPr>
        <w:t xml:space="preserve"> סימן ל</w:t>
      </w:r>
      <w:r>
        <w:rPr>
          <w:rFonts w:hint="cs"/>
          <w:sz w:val="18"/>
          <w:szCs w:val="20"/>
          <w:rtl/>
        </w:rPr>
        <w:t>"</w:t>
      </w:r>
      <w:r>
        <w:rPr>
          <w:sz w:val="18"/>
          <w:szCs w:val="20"/>
          <w:rtl/>
        </w:rPr>
        <w:t>ח</w:t>
      </w:r>
      <w:r>
        <w:rPr>
          <w:rFonts w:hint="cs"/>
          <w:sz w:val="18"/>
          <w:szCs w:val="20"/>
          <w:rtl/>
        </w:rPr>
        <w:t xml:space="preserve">, </w:t>
      </w:r>
      <w:r>
        <w:rPr>
          <w:rFonts w:hint="cs"/>
          <w:sz w:val="26"/>
          <w:rtl/>
        </w:rPr>
        <w:t>ר' יוסף קארו</w:t>
      </w:r>
      <w:r>
        <w:rPr>
          <w:rFonts w:hint="cs"/>
          <w:sz w:val="18"/>
          <w:rtl/>
        </w:rPr>
        <w:t xml:space="preserve"> </w:t>
      </w:r>
      <w:r>
        <w:rPr>
          <w:rFonts w:hint="cs"/>
          <w:sz w:val="18"/>
          <w:szCs w:val="20"/>
          <w:rtl/>
        </w:rPr>
        <w:t>ב</w:t>
      </w:r>
      <w:r>
        <w:rPr>
          <w:sz w:val="18"/>
          <w:szCs w:val="20"/>
          <w:rtl/>
        </w:rPr>
        <w:t>בית יוסף</w:t>
      </w:r>
      <w:r>
        <w:rPr>
          <w:rFonts w:hint="cs"/>
          <w:sz w:val="18"/>
          <w:szCs w:val="20"/>
          <w:rtl/>
        </w:rPr>
        <w:t xml:space="preserve">, </w:t>
      </w:r>
      <w:r>
        <w:rPr>
          <w:rFonts w:hint="cs"/>
          <w:sz w:val="26"/>
          <w:rtl/>
        </w:rPr>
        <w:t>ו</w:t>
      </w:r>
      <w:r>
        <w:rPr>
          <w:rFonts w:hint="cs"/>
          <w:sz w:val="18"/>
          <w:rtl/>
        </w:rPr>
        <w:t xml:space="preserve">הרמ"א </w:t>
      </w:r>
      <w:r>
        <w:rPr>
          <w:rFonts w:hint="cs"/>
          <w:sz w:val="18"/>
          <w:szCs w:val="20"/>
          <w:rtl/>
        </w:rPr>
        <w:t>ב</w:t>
      </w:r>
      <w:r>
        <w:rPr>
          <w:sz w:val="18"/>
          <w:szCs w:val="20"/>
          <w:rtl/>
        </w:rPr>
        <w:t>דרכי מ</w:t>
      </w:r>
      <w:r>
        <w:rPr>
          <w:rFonts w:hint="cs"/>
          <w:sz w:val="18"/>
          <w:szCs w:val="20"/>
          <w:rtl/>
        </w:rPr>
        <w:t>שה</w:t>
      </w:r>
      <w:r>
        <w:rPr>
          <w:rFonts w:hint="cs"/>
          <w:sz w:val="18"/>
          <w:rtl/>
        </w:rPr>
        <w:t xml:space="preserve">, </w:t>
      </w:r>
      <w:r>
        <w:rPr>
          <w:sz w:val="18"/>
          <w:szCs w:val="20"/>
          <w:rtl/>
        </w:rPr>
        <w:t>או</w:t>
      </w:r>
      <w:r>
        <w:rPr>
          <w:rFonts w:hint="cs"/>
          <w:sz w:val="18"/>
          <w:szCs w:val="20"/>
          <w:rtl/>
        </w:rPr>
        <w:t>"</w:t>
      </w:r>
      <w:r>
        <w:rPr>
          <w:sz w:val="18"/>
          <w:szCs w:val="20"/>
          <w:rtl/>
        </w:rPr>
        <w:t>ח</w:t>
      </w:r>
      <w:r>
        <w:rPr>
          <w:rFonts w:hint="cs"/>
          <w:sz w:val="18"/>
          <w:szCs w:val="20"/>
          <w:rtl/>
        </w:rPr>
        <w:t>,</w:t>
      </w:r>
      <w:r>
        <w:rPr>
          <w:sz w:val="18"/>
          <w:szCs w:val="20"/>
          <w:rtl/>
        </w:rPr>
        <w:t xml:space="preserve"> </w:t>
      </w:r>
      <w:r>
        <w:rPr>
          <w:rFonts w:hint="cs"/>
          <w:sz w:val="18"/>
          <w:szCs w:val="20"/>
          <w:rtl/>
        </w:rPr>
        <w:t xml:space="preserve">סי' </w:t>
      </w:r>
      <w:r>
        <w:rPr>
          <w:sz w:val="18"/>
          <w:szCs w:val="20"/>
          <w:rtl/>
        </w:rPr>
        <w:t>קל</w:t>
      </w:r>
      <w:r>
        <w:rPr>
          <w:rFonts w:hint="cs"/>
          <w:sz w:val="18"/>
          <w:szCs w:val="20"/>
          <w:rtl/>
        </w:rPr>
        <w:t>"</w:t>
      </w:r>
      <w:r>
        <w:rPr>
          <w:sz w:val="18"/>
          <w:szCs w:val="20"/>
          <w:rtl/>
        </w:rPr>
        <w:t>ג</w:t>
      </w:r>
      <w:r>
        <w:rPr>
          <w:rFonts w:hint="cs"/>
          <w:sz w:val="18"/>
          <w:rtl/>
        </w:rPr>
        <w:t>.</w:t>
      </w:r>
    </w:p>
  </w:footnote>
  <w:footnote w:id="124">
    <w:p w14:paraId="236837C3" w14:textId="77777777" w:rsidR="00940290" w:rsidRDefault="00940290" w:rsidP="00940290">
      <w:pPr>
        <w:pStyle w:val="a5"/>
        <w:rPr>
          <w:rFonts w:hint="cs"/>
          <w:rtl/>
        </w:rPr>
      </w:pPr>
      <w:r>
        <w:rPr>
          <w:rStyle w:val="a4"/>
        </w:rPr>
        <w:footnoteRef/>
      </w:r>
      <w:r>
        <w:rPr>
          <w:rFonts w:hint="cs"/>
          <w:rtl/>
        </w:rPr>
        <w:t xml:space="preserve"> כן מודפס בספרא ובתלמודים (</w:t>
      </w:r>
      <w:r>
        <w:rPr>
          <w:rFonts w:hint="cs"/>
          <w:sz w:val="18"/>
          <w:szCs w:val="20"/>
          <w:rtl/>
        </w:rPr>
        <w:t>כנ"ל</w:t>
      </w:r>
      <w:r>
        <w:rPr>
          <w:rFonts w:hint="cs"/>
          <w:rtl/>
        </w:rPr>
        <w:t xml:space="preserve">), במחזור ויטרי, בסידור </w:t>
      </w:r>
      <w:r>
        <w:rPr>
          <w:rtl/>
        </w:rPr>
        <w:t>התפילה לרוקח</w:t>
      </w:r>
      <w:r>
        <w:rPr>
          <w:rFonts w:hint="cs"/>
          <w:rtl/>
        </w:rPr>
        <w:t>, וב</w:t>
      </w:r>
      <w:r>
        <w:rPr>
          <w:rtl/>
        </w:rPr>
        <w:t xml:space="preserve">טור </w:t>
      </w:r>
      <w:r>
        <w:rPr>
          <w:sz w:val="18"/>
          <w:szCs w:val="20"/>
          <w:rtl/>
        </w:rPr>
        <w:t>או</w:t>
      </w:r>
      <w:r>
        <w:rPr>
          <w:rFonts w:hint="cs"/>
          <w:sz w:val="18"/>
          <w:szCs w:val="20"/>
          <w:rtl/>
        </w:rPr>
        <w:t>"</w:t>
      </w:r>
      <w:r>
        <w:rPr>
          <w:sz w:val="18"/>
          <w:szCs w:val="20"/>
          <w:rtl/>
        </w:rPr>
        <w:t>ח</w:t>
      </w:r>
      <w:r>
        <w:rPr>
          <w:rFonts w:hint="cs"/>
          <w:sz w:val="18"/>
          <w:szCs w:val="20"/>
          <w:rtl/>
        </w:rPr>
        <w:t xml:space="preserve"> </w:t>
      </w:r>
      <w:r>
        <w:rPr>
          <w:sz w:val="18"/>
          <w:szCs w:val="20"/>
          <w:rtl/>
        </w:rPr>
        <w:t>קל</w:t>
      </w:r>
      <w:r>
        <w:rPr>
          <w:rFonts w:hint="cs"/>
          <w:sz w:val="18"/>
          <w:szCs w:val="20"/>
          <w:rtl/>
        </w:rPr>
        <w:t>"</w:t>
      </w:r>
      <w:r>
        <w:rPr>
          <w:sz w:val="18"/>
          <w:szCs w:val="20"/>
          <w:rtl/>
        </w:rPr>
        <w:t>ג</w:t>
      </w:r>
      <w:r>
        <w:rPr>
          <w:rFonts w:hint="cs"/>
          <w:rtl/>
        </w:rPr>
        <w:t>, ובמרבית סידורי כל העדות בימינו.</w:t>
      </w:r>
    </w:p>
  </w:footnote>
  <w:footnote w:id="125">
    <w:p w14:paraId="70300596" w14:textId="77777777" w:rsidR="00940290" w:rsidRDefault="00940290" w:rsidP="00940290">
      <w:pPr>
        <w:pStyle w:val="a5"/>
        <w:rPr>
          <w:rFonts w:hint="cs"/>
          <w:rtl/>
        </w:rPr>
      </w:pPr>
      <w:r>
        <w:rPr>
          <w:rStyle w:val="a4"/>
        </w:rPr>
        <w:footnoteRef/>
      </w:r>
      <w:r>
        <w:rPr>
          <w:rFonts w:hint="cs"/>
          <w:rtl/>
        </w:rPr>
        <w:t xml:space="preserve"> ע"פ פירוש הסידור של </w:t>
      </w:r>
      <w:r>
        <w:rPr>
          <w:rtl/>
        </w:rPr>
        <w:t>הריעב"ץ</w:t>
      </w:r>
      <w:r>
        <w:rPr>
          <w:rFonts w:hint="cs"/>
          <w:sz w:val="18"/>
          <w:szCs w:val="20"/>
          <w:rtl/>
        </w:rPr>
        <w:t>,</w:t>
      </w:r>
      <w:r>
        <w:rPr>
          <w:sz w:val="18"/>
          <w:szCs w:val="20"/>
          <w:rtl/>
        </w:rPr>
        <w:t xml:space="preserve"> עמ' ק</w:t>
      </w:r>
      <w:r>
        <w:rPr>
          <w:rFonts w:hint="cs"/>
          <w:sz w:val="18"/>
          <w:szCs w:val="20"/>
          <w:rtl/>
        </w:rPr>
        <w:t xml:space="preserve">"ן במהדורת </w:t>
      </w:r>
      <w:r>
        <w:rPr>
          <w:sz w:val="18"/>
          <w:szCs w:val="20"/>
          <w:rtl/>
        </w:rPr>
        <w:t>אשכול</w:t>
      </w:r>
      <w:r>
        <w:rPr>
          <w:rFonts w:hint="cs"/>
          <w:sz w:val="18"/>
          <w:szCs w:val="20"/>
          <w:rtl/>
        </w:rPr>
        <w:t>,</w:t>
      </w:r>
      <w:r>
        <w:rPr>
          <w:sz w:val="18"/>
          <w:szCs w:val="20"/>
          <w:rtl/>
        </w:rPr>
        <w:t xml:space="preserve"> </w:t>
      </w:r>
      <w:r>
        <w:rPr>
          <w:rFonts w:hint="cs"/>
          <w:rtl/>
        </w:rPr>
        <w:t>ופירוש עץ יוסף שבסידור אוצר התפילות. והשוה לנוסח שב</w:t>
      </w:r>
      <w:r>
        <w:rPr>
          <w:rtl/>
        </w:rPr>
        <w:t>סדר רב עמרם גאון</w:t>
      </w:r>
      <w:r>
        <w:rPr>
          <w:rFonts w:hint="cs"/>
          <w:rtl/>
        </w:rPr>
        <w:t xml:space="preserve"> </w:t>
      </w:r>
      <w:r>
        <w:rPr>
          <w:sz w:val="18"/>
          <w:szCs w:val="20"/>
          <w:rtl/>
        </w:rPr>
        <w:t>סדר מעמדות</w:t>
      </w:r>
      <w:r>
        <w:rPr>
          <w:rFonts w:hint="cs"/>
          <w:rtl/>
        </w:rPr>
        <w:t>: "</w:t>
      </w:r>
      <w:r>
        <w:rPr>
          <w:rtl/>
        </w:rPr>
        <w:t>אמר ר' יהודה</w:t>
      </w:r>
      <w:r>
        <w:rPr>
          <w:rFonts w:hint="cs"/>
          <w:rtl/>
        </w:rPr>
        <w:t>:</w:t>
      </w:r>
      <w:r>
        <w:rPr>
          <w:rtl/>
        </w:rPr>
        <w:t xml:space="preserve"> זה הכלל כל כמדתה כשרה חצאין</w:t>
      </w:r>
      <w:r>
        <w:rPr>
          <w:rFonts w:hint="cs"/>
          <w:rtl/>
        </w:rPr>
        <w:t>;</w:t>
      </w:r>
      <w:r>
        <w:rPr>
          <w:rtl/>
        </w:rPr>
        <w:t xml:space="preserve"> </w:t>
      </w:r>
      <w:r>
        <w:rPr>
          <w:rFonts w:hint="cs"/>
          <w:rtl/>
        </w:rPr>
        <w:t>(</w:t>
      </w:r>
      <w:r>
        <w:rPr>
          <w:rtl/>
        </w:rPr>
        <w:t>ש</w:t>
      </w:r>
      <w:r>
        <w:rPr>
          <w:rFonts w:hint="cs"/>
          <w:rtl/>
        </w:rPr>
        <w:t>)</w:t>
      </w:r>
      <w:r>
        <w:rPr>
          <w:rtl/>
        </w:rPr>
        <w:t xml:space="preserve">חסר בה מכל סימן וסימן או שחסר אחת מכל סמניה או שלא נתן בתוכה מעלה עשן </w:t>
      </w:r>
      <w:r>
        <w:rPr>
          <w:rFonts w:hint="cs"/>
          <w:rtl/>
        </w:rPr>
        <w:t xml:space="preserve">- </w:t>
      </w:r>
      <w:r>
        <w:rPr>
          <w:rtl/>
        </w:rPr>
        <w:t>חייב מיתה</w:t>
      </w:r>
      <w:r>
        <w:rPr>
          <w:rFonts w:hint="cs"/>
          <w:rtl/>
        </w:rPr>
        <w:t xml:space="preserve">" (את האות ש' הקפתי </w:t>
      </w:r>
      <w:r>
        <w:rPr>
          <w:rFonts w:hint="cs"/>
          <w:sz w:val="18"/>
          <w:szCs w:val="20"/>
          <w:rtl/>
        </w:rPr>
        <w:t>מסברא, וכך הנוסח ב</w:t>
      </w:r>
      <w:r>
        <w:rPr>
          <w:sz w:val="18"/>
          <w:szCs w:val="20"/>
          <w:rtl/>
        </w:rPr>
        <w:t>מחזור ויטרי סימן ק</w:t>
      </w:r>
      <w:r>
        <w:rPr>
          <w:rFonts w:hint="cs"/>
          <w:sz w:val="18"/>
          <w:szCs w:val="20"/>
          <w:rtl/>
        </w:rPr>
        <w:t>"</w:t>
      </w:r>
      <w:r>
        <w:rPr>
          <w:sz w:val="18"/>
          <w:szCs w:val="20"/>
          <w:rtl/>
        </w:rPr>
        <w:t>א</w:t>
      </w:r>
      <w:r>
        <w:rPr>
          <w:rFonts w:hint="cs"/>
          <w:rtl/>
        </w:rPr>
        <w:t>). ופירוש "</w:t>
      </w:r>
      <w:r>
        <w:rPr>
          <w:rtl/>
        </w:rPr>
        <w:t>חיסר בה מכל סימן וסימן</w:t>
      </w:r>
      <w:r>
        <w:rPr>
          <w:rFonts w:hint="cs"/>
          <w:rtl/>
        </w:rPr>
        <w:t>": "</w:t>
      </w:r>
      <w:r>
        <w:rPr>
          <w:rtl/>
        </w:rPr>
        <w:t>מאותן אחד עשר סממנים שאמרנו למעלה</w:t>
      </w:r>
      <w:r>
        <w:rPr>
          <w:rFonts w:hint="cs"/>
          <w:rtl/>
        </w:rPr>
        <w:t>,</w:t>
      </w:r>
      <w:r>
        <w:rPr>
          <w:rtl/>
        </w:rPr>
        <w:t xml:space="preserve"> שלא נתן בה מכל אחד כמשקלו</w:t>
      </w:r>
      <w:r>
        <w:rPr>
          <w:rFonts w:hint="cs"/>
          <w:rtl/>
        </w:rPr>
        <w:t xml:space="preserve"> </w:t>
      </w:r>
      <w:r>
        <w:rPr>
          <w:rtl/>
        </w:rPr>
        <w:t>המפורש למעלה</w:t>
      </w:r>
      <w:r>
        <w:rPr>
          <w:rFonts w:hint="cs"/>
          <w:rtl/>
        </w:rPr>
        <w:t>" (</w:t>
      </w:r>
      <w:r>
        <w:rPr>
          <w:rtl/>
        </w:rPr>
        <w:t xml:space="preserve">מחזור ויטרי </w:t>
      </w:r>
      <w:r>
        <w:rPr>
          <w:sz w:val="18"/>
          <w:szCs w:val="20"/>
          <w:rtl/>
        </w:rPr>
        <w:t>סימן ע</w:t>
      </w:r>
      <w:r>
        <w:rPr>
          <w:rFonts w:hint="cs"/>
          <w:sz w:val="18"/>
          <w:szCs w:val="20"/>
          <w:rtl/>
        </w:rPr>
        <w:t>"</w:t>
      </w:r>
      <w:r>
        <w:rPr>
          <w:sz w:val="18"/>
          <w:szCs w:val="20"/>
          <w:rtl/>
        </w:rPr>
        <w:t>ז ד"ה פיטום</w:t>
      </w:r>
      <w:r>
        <w:rPr>
          <w:rFonts w:hint="cs"/>
          <w:sz w:val="18"/>
          <w:szCs w:val="20"/>
          <w:rtl/>
        </w:rPr>
        <w:t>,</w:t>
      </w:r>
      <w:r>
        <w:rPr>
          <w:rFonts w:hint="cs"/>
          <w:rtl/>
        </w:rPr>
        <w:t xml:space="preserve"> </w:t>
      </w:r>
      <w:r>
        <w:rPr>
          <w:rtl/>
        </w:rPr>
        <w:t xml:space="preserve">סידור רש"י </w:t>
      </w:r>
      <w:r>
        <w:rPr>
          <w:sz w:val="18"/>
          <w:szCs w:val="20"/>
          <w:rtl/>
        </w:rPr>
        <w:t>סימן תל</w:t>
      </w:r>
      <w:r>
        <w:rPr>
          <w:rFonts w:hint="cs"/>
          <w:sz w:val="18"/>
          <w:szCs w:val="20"/>
          <w:rtl/>
        </w:rPr>
        <w:t>"</w:t>
      </w:r>
      <w:r>
        <w:rPr>
          <w:sz w:val="18"/>
          <w:szCs w:val="20"/>
          <w:rtl/>
        </w:rPr>
        <w:t>ג</w:t>
      </w:r>
      <w:r>
        <w:rPr>
          <w:rFonts w:hint="cs"/>
          <w:sz w:val="18"/>
          <w:szCs w:val="20"/>
          <w:rtl/>
        </w:rPr>
        <w:t xml:space="preserve">, </w:t>
      </w:r>
      <w:r>
        <w:rPr>
          <w:rFonts w:hint="cs"/>
          <w:rtl/>
        </w:rPr>
        <w:t>ו</w:t>
      </w:r>
      <w:r>
        <w:rPr>
          <w:rtl/>
        </w:rPr>
        <w:t>ספר כל</w:t>
      </w:r>
      <w:r>
        <w:rPr>
          <w:rFonts w:hint="cs"/>
          <w:rtl/>
        </w:rPr>
        <w:t>-</w:t>
      </w:r>
      <w:r>
        <w:rPr>
          <w:rtl/>
        </w:rPr>
        <w:t xml:space="preserve">בו </w:t>
      </w:r>
      <w:r>
        <w:rPr>
          <w:sz w:val="18"/>
          <w:szCs w:val="20"/>
          <w:rtl/>
        </w:rPr>
        <w:t>סימן ל</w:t>
      </w:r>
      <w:r>
        <w:rPr>
          <w:rFonts w:hint="cs"/>
          <w:sz w:val="18"/>
          <w:szCs w:val="20"/>
          <w:rtl/>
        </w:rPr>
        <w:t>"</w:t>
      </w:r>
      <w:r>
        <w:rPr>
          <w:sz w:val="18"/>
          <w:szCs w:val="20"/>
          <w:rtl/>
        </w:rPr>
        <w:t>ח</w:t>
      </w:r>
      <w:r>
        <w:rPr>
          <w:rFonts w:hint="cs"/>
          <w:rtl/>
        </w:rPr>
        <w:t>). נראה שבנוסח זה כללו את שתי האפשרויות: השמטת סממן וגם הפחתתו.</w:t>
      </w:r>
    </w:p>
  </w:footnote>
  <w:footnote w:id="126">
    <w:p w14:paraId="7D532BD9" w14:textId="77777777" w:rsidR="00940290" w:rsidRDefault="00940290" w:rsidP="00940290">
      <w:pPr>
        <w:pStyle w:val="a5"/>
        <w:rPr>
          <w:rFonts w:hint="cs"/>
          <w:rtl/>
        </w:rPr>
      </w:pPr>
      <w:r>
        <w:rPr>
          <w:rStyle w:val="a4"/>
        </w:rPr>
        <w:footnoteRef/>
      </w:r>
      <w:r>
        <w:rPr>
          <w:rFonts w:hint="cs"/>
          <w:rtl/>
        </w:rPr>
        <w:t xml:space="preserve"> יתכן שמשפט זה, המופיע פעמיים בסדר פיטום הקטורת (</w:t>
      </w:r>
      <w:r>
        <w:rPr>
          <w:rFonts w:hint="cs"/>
          <w:sz w:val="18"/>
          <w:szCs w:val="20"/>
          <w:rtl/>
        </w:rPr>
        <w:t>כנ"ל בהערה 13</w:t>
      </w:r>
      <w:r>
        <w:rPr>
          <w:rFonts w:hint="cs"/>
          <w:rtl/>
        </w:rPr>
        <w:t>), סובל שני פירושים: בפסקה הראשונה בהֶקשר של "</w:t>
      </w:r>
      <w:r>
        <w:rPr>
          <w:rtl/>
        </w:rPr>
        <w:t>לא נתן בה מעלה עשן</w:t>
      </w:r>
      <w:r>
        <w:rPr>
          <w:rFonts w:hint="cs"/>
          <w:rtl/>
        </w:rPr>
        <w:t>" או "</w:t>
      </w:r>
      <w:r>
        <w:rPr>
          <w:rtl/>
        </w:rPr>
        <w:t>אם נתן בה דבש</w:t>
      </w:r>
      <w:r>
        <w:rPr>
          <w:rFonts w:hint="cs"/>
          <w:rtl/>
        </w:rPr>
        <w:t>" - מסתבר ש"</w:t>
      </w:r>
      <w:r>
        <w:rPr>
          <w:rtl/>
        </w:rPr>
        <w:t>חיסר אחת</w:t>
      </w:r>
      <w:r>
        <w:rPr>
          <w:rFonts w:hint="cs"/>
          <w:rtl/>
        </w:rPr>
        <w:t xml:space="preserve"> </w:t>
      </w:r>
      <w:r>
        <w:rPr>
          <w:rtl/>
        </w:rPr>
        <w:t>מכל סממניה</w:t>
      </w:r>
      <w:r>
        <w:rPr>
          <w:rFonts w:hint="cs"/>
          <w:rtl/>
        </w:rPr>
        <w:t>" הוא השמטת אחד הסממנים (וא"כ מסתבר מאוד לגרוס כאן "אחד"); אך בפסקה השניה מסתבר ש"</w:t>
      </w:r>
      <w:r>
        <w:rPr>
          <w:rtl/>
        </w:rPr>
        <w:t>חיסר אחת</w:t>
      </w:r>
      <w:r>
        <w:rPr>
          <w:rFonts w:hint="cs"/>
          <w:rtl/>
        </w:rPr>
        <w:t xml:space="preserve"> </w:t>
      </w:r>
      <w:r>
        <w:rPr>
          <w:rtl/>
        </w:rPr>
        <w:t>מכל סממניה</w:t>
      </w:r>
      <w:r>
        <w:rPr>
          <w:rFonts w:hint="cs"/>
          <w:rtl/>
        </w:rPr>
        <w:t>" הוא הניגוד של תחילת המשפט: "</w:t>
      </w:r>
      <w:r>
        <w:rPr>
          <w:rtl/>
        </w:rPr>
        <w:t xml:space="preserve">כמדתה </w:t>
      </w:r>
      <w:r>
        <w:rPr>
          <w:rFonts w:hint="cs"/>
          <w:rtl/>
        </w:rPr>
        <w:t xml:space="preserve">- </w:t>
      </w:r>
      <w:r>
        <w:rPr>
          <w:rtl/>
        </w:rPr>
        <w:t>כשרה חצאין</w:t>
      </w:r>
      <w:r>
        <w:rPr>
          <w:rFonts w:hint="cs"/>
          <w:rtl/>
        </w:rPr>
        <w:t xml:space="preserve">", דהיינו, מדובר במי שנתן מאחד הסממנים </w:t>
      </w:r>
      <w:r>
        <w:rPr>
          <w:rtl/>
        </w:rPr>
        <w:t>מ</w:t>
      </w:r>
      <w:r>
        <w:rPr>
          <w:rFonts w:hint="cs"/>
          <w:rtl/>
        </w:rPr>
        <w:t>ִד</w:t>
      </w:r>
      <w:r>
        <w:rPr>
          <w:rtl/>
        </w:rPr>
        <w:t>ָה</w:t>
      </w:r>
      <w:r>
        <w:rPr>
          <w:rFonts w:hint="cs"/>
          <w:rtl/>
        </w:rPr>
        <w:t xml:space="preserve"> פחותה שאינו "</w:t>
      </w:r>
      <w:r>
        <w:rPr>
          <w:rtl/>
        </w:rPr>
        <w:t>כמדתה</w:t>
      </w:r>
      <w:r>
        <w:rPr>
          <w:rFonts w:hint="cs"/>
          <w:rtl/>
        </w:rPr>
        <w:t>", באופן לא פרופורציונאלי (וכאן ניתן להצדיק את הנוסח המקובל "אחת"!).</w:t>
      </w:r>
    </w:p>
    <w:p w14:paraId="7AC61472" w14:textId="77777777" w:rsidR="00940290" w:rsidRDefault="00940290" w:rsidP="00940290">
      <w:pPr>
        <w:pStyle w:val="a5"/>
        <w:rPr>
          <w:rFonts w:hint="cs"/>
          <w:rtl/>
        </w:rPr>
      </w:pPr>
      <w:r>
        <w:rPr>
          <w:rFonts w:hint="cs"/>
          <w:rtl/>
        </w:rPr>
        <w:t>שמא ניתן לשער כי הנוסח המקורי של הלכה זו היה "אחת" (</w:t>
      </w:r>
      <w:r>
        <w:rPr>
          <w:rFonts w:hint="cs"/>
          <w:sz w:val="18"/>
          <w:szCs w:val="20"/>
          <w:rtl/>
        </w:rPr>
        <w:t>במובן של הפחתת מדה אחת של אחד הסממנים</w:t>
      </w:r>
      <w:r>
        <w:rPr>
          <w:rFonts w:hint="cs"/>
          <w:rtl/>
        </w:rPr>
        <w:t>), וגם כששובצה לשון זו בהקשר אחר (</w:t>
      </w:r>
      <w:r>
        <w:rPr>
          <w:rFonts w:hint="cs"/>
          <w:sz w:val="18"/>
          <w:szCs w:val="20"/>
          <w:rtl/>
        </w:rPr>
        <w:t>במובן של השמטת אחד הסממנים</w:t>
      </w:r>
      <w:r>
        <w:rPr>
          <w:rFonts w:hint="cs"/>
          <w:rtl/>
        </w:rPr>
        <w:t>) לא שינו הלשון שהיתה כבר שגורה.</w:t>
      </w:r>
    </w:p>
  </w:footnote>
  <w:footnote w:id="127">
    <w:p w14:paraId="1C0B59EB" w14:textId="77777777" w:rsidR="00940290" w:rsidRDefault="00940290" w:rsidP="00940290">
      <w:pPr>
        <w:pStyle w:val="a5"/>
        <w:rPr>
          <w:rFonts w:hint="cs"/>
          <w:rtl/>
        </w:rPr>
      </w:pPr>
      <w:r>
        <w:rPr>
          <w:rStyle w:val="a4"/>
        </w:rPr>
        <w:footnoteRef/>
      </w:r>
      <w:r>
        <w:rPr>
          <w:rFonts w:hint="cs"/>
          <w:rtl/>
        </w:rPr>
        <w:t xml:space="preserve"> כמו בביטוי "</w:t>
      </w:r>
      <w:r>
        <w:rPr>
          <w:rtl/>
        </w:rPr>
        <w:t>מחוסר</w:t>
      </w:r>
      <w:r>
        <w:rPr>
          <w:rFonts w:hint="cs"/>
          <w:rtl/>
        </w:rPr>
        <w:t xml:space="preserve"> </w:t>
      </w:r>
      <w:r>
        <w:rPr>
          <w:rtl/>
        </w:rPr>
        <w:t>בגדים</w:t>
      </w:r>
      <w:r>
        <w:rPr>
          <w:rFonts w:hint="cs"/>
          <w:rtl/>
        </w:rPr>
        <w:t xml:space="preserve">", שאינו מי שלובש בגדי כהונה חלקיים, אלא מי שלובש חלק מבגדי הכהונה: </w:t>
      </w:r>
      <w:r>
        <w:rPr>
          <w:rtl/>
        </w:rPr>
        <w:t xml:space="preserve">כהן הדיוט </w:t>
      </w:r>
      <w:r>
        <w:rPr>
          <w:rFonts w:hint="cs"/>
          <w:rtl/>
        </w:rPr>
        <w:t xml:space="preserve">הלובש </w:t>
      </w:r>
      <w:r>
        <w:rPr>
          <w:rtl/>
        </w:rPr>
        <w:t>פחות מארבע</w:t>
      </w:r>
      <w:r>
        <w:rPr>
          <w:rFonts w:hint="cs"/>
          <w:rtl/>
        </w:rPr>
        <w:t>ת</w:t>
      </w:r>
      <w:r>
        <w:rPr>
          <w:rtl/>
        </w:rPr>
        <w:t xml:space="preserve"> בגדי</w:t>
      </w:r>
      <w:r>
        <w:rPr>
          <w:rFonts w:hint="cs"/>
          <w:rtl/>
        </w:rPr>
        <w:t>ו,</w:t>
      </w:r>
      <w:r>
        <w:rPr>
          <w:rtl/>
        </w:rPr>
        <w:t xml:space="preserve"> וכהן גדול פחות משמונה</w:t>
      </w:r>
      <w:r>
        <w:rPr>
          <w:rFonts w:hint="cs"/>
          <w:rtl/>
        </w:rPr>
        <w:t>. גם הביטוי "</w:t>
      </w:r>
      <w:r>
        <w:rPr>
          <w:rtl/>
        </w:rPr>
        <w:t>מחוסר כ</w:t>
      </w:r>
      <w:r>
        <w:rPr>
          <w:rFonts w:hint="cs"/>
          <w:rtl/>
        </w:rPr>
        <w:t>ִ</w:t>
      </w:r>
      <w:r>
        <w:rPr>
          <w:rtl/>
        </w:rPr>
        <w:t>פורים</w:t>
      </w:r>
      <w:r>
        <w:rPr>
          <w:rFonts w:hint="cs"/>
          <w:rtl/>
        </w:rPr>
        <w:t xml:space="preserve">" איננו מי שכִּפֵּר באופן חלקי, אלא מי </w:t>
      </w:r>
      <w:r>
        <w:rPr>
          <w:rtl/>
        </w:rPr>
        <w:t>ש</w:t>
      </w:r>
      <w:r>
        <w:rPr>
          <w:rFonts w:hint="cs"/>
          <w:rtl/>
        </w:rPr>
        <w:t xml:space="preserve">טֶּרם </w:t>
      </w:r>
      <w:r>
        <w:rPr>
          <w:rtl/>
        </w:rPr>
        <w:t>הביא</w:t>
      </w:r>
      <w:r>
        <w:rPr>
          <w:rFonts w:hint="cs"/>
          <w:rtl/>
        </w:rPr>
        <w:t xml:space="preserve"> </w:t>
      </w:r>
      <w:r>
        <w:rPr>
          <w:rtl/>
        </w:rPr>
        <w:t>קרב</w:t>
      </w:r>
      <w:r>
        <w:rPr>
          <w:rFonts w:hint="cs"/>
          <w:rtl/>
        </w:rPr>
        <w:t>ן לכפרה לאחר ש</w:t>
      </w:r>
      <w:r>
        <w:rPr>
          <w:rtl/>
        </w:rPr>
        <w:t>נגמרה טהרת</w:t>
      </w:r>
      <w:r>
        <w:rPr>
          <w:rFonts w:hint="cs"/>
          <w:rtl/>
        </w:rPr>
        <w:t>ו</w:t>
      </w:r>
      <w:r>
        <w:rPr>
          <w:rtl/>
        </w:rPr>
        <w:t xml:space="preserve"> </w:t>
      </w:r>
      <w:r>
        <w:rPr>
          <w:rFonts w:hint="cs"/>
          <w:rtl/>
        </w:rPr>
        <w:t>(</w:t>
      </w:r>
      <w:r>
        <w:rPr>
          <w:sz w:val="18"/>
          <w:szCs w:val="20"/>
          <w:rtl/>
        </w:rPr>
        <w:t>זבחים פ</w:t>
      </w:r>
      <w:r>
        <w:rPr>
          <w:rFonts w:hint="cs"/>
          <w:sz w:val="18"/>
          <w:szCs w:val="20"/>
          <w:rtl/>
        </w:rPr>
        <w:t>"</w:t>
      </w:r>
      <w:r>
        <w:rPr>
          <w:sz w:val="18"/>
          <w:szCs w:val="20"/>
          <w:rtl/>
        </w:rPr>
        <w:t>ב מ</w:t>
      </w:r>
      <w:r>
        <w:rPr>
          <w:rFonts w:hint="cs"/>
          <w:sz w:val="18"/>
          <w:szCs w:val="20"/>
          <w:rtl/>
        </w:rPr>
        <w:t>"</w:t>
      </w:r>
      <w:r>
        <w:rPr>
          <w:sz w:val="18"/>
          <w:szCs w:val="20"/>
          <w:rtl/>
        </w:rPr>
        <w:t>א</w:t>
      </w:r>
      <w:r>
        <w:rPr>
          <w:rFonts w:hint="cs"/>
          <w:rtl/>
        </w:rPr>
        <w:t>).</w:t>
      </w:r>
    </w:p>
  </w:footnote>
  <w:footnote w:id="128">
    <w:p w14:paraId="7A8553A0" w14:textId="77777777" w:rsidR="00940290" w:rsidRDefault="00940290" w:rsidP="00940290">
      <w:pPr>
        <w:pStyle w:val="a5"/>
        <w:rPr>
          <w:rFonts w:hint="cs"/>
          <w:rtl/>
        </w:rPr>
      </w:pPr>
      <w:r>
        <w:rPr>
          <w:rStyle w:val="a4"/>
        </w:rPr>
        <w:footnoteRef/>
      </w:r>
      <w:r>
        <w:rPr>
          <w:rFonts w:hint="cs"/>
          <w:rtl/>
        </w:rPr>
        <w:t xml:space="preserve"> כגון: "</w:t>
      </w:r>
      <w:r>
        <w:rPr>
          <w:rtl/>
        </w:rPr>
        <w:t>וְהַמַּיִם הָיוּ הָלוֹךְ וְ</w:t>
      </w:r>
      <w:r>
        <w:rPr>
          <w:b/>
          <w:bCs/>
          <w:rtl/>
        </w:rPr>
        <w:t>חָסוֹר</w:t>
      </w:r>
      <w:r>
        <w:rPr>
          <w:rFonts w:hint="cs"/>
          <w:rtl/>
        </w:rPr>
        <w:t>" (</w:t>
      </w:r>
      <w:r>
        <w:rPr>
          <w:sz w:val="18"/>
          <w:szCs w:val="20"/>
          <w:rtl/>
        </w:rPr>
        <w:t>בראשית ח</w:t>
      </w:r>
      <w:r>
        <w:rPr>
          <w:rFonts w:hint="cs"/>
          <w:sz w:val="18"/>
          <w:szCs w:val="20"/>
          <w:rtl/>
        </w:rPr>
        <w:t xml:space="preserve">, </w:t>
      </w:r>
      <w:r>
        <w:rPr>
          <w:sz w:val="18"/>
          <w:szCs w:val="20"/>
          <w:rtl/>
        </w:rPr>
        <w:t>ה</w:t>
      </w:r>
      <w:r>
        <w:rPr>
          <w:rFonts w:hint="cs"/>
          <w:rtl/>
        </w:rPr>
        <w:t>);</w:t>
      </w:r>
      <w:r>
        <w:rPr>
          <w:rtl/>
        </w:rPr>
        <w:t xml:space="preserve"> </w:t>
      </w:r>
      <w:r>
        <w:rPr>
          <w:rFonts w:hint="cs"/>
          <w:rtl/>
        </w:rPr>
        <w:t>"</w:t>
      </w:r>
      <w:r>
        <w:rPr>
          <w:rtl/>
        </w:rPr>
        <w:t>וַיָּמֹדּוּ בָעֹמֶר</w:t>
      </w:r>
      <w:r>
        <w:rPr>
          <w:rFonts w:hint="cs"/>
          <w:rtl/>
        </w:rPr>
        <w:t>,</w:t>
      </w:r>
      <w:r>
        <w:rPr>
          <w:rtl/>
        </w:rPr>
        <w:t xml:space="preserve"> וְלֹא הֶעְדִּיף הַמַּרְבֶּה</w:t>
      </w:r>
      <w:r>
        <w:rPr>
          <w:rFonts w:hint="cs"/>
          <w:rtl/>
        </w:rPr>
        <w:t>,</w:t>
      </w:r>
      <w:r>
        <w:rPr>
          <w:rtl/>
        </w:rPr>
        <w:t xml:space="preserve"> וְהַמַּמְעִיט</w:t>
      </w:r>
      <w:r>
        <w:rPr>
          <w:rFonts w:hint="cs"/>
          <w:rtl/>
        </w:rPr>
        <w:t xml:space="preserve"> </w:t>
      </w:r>
      <w:r>
        <w:rPr>
          <w:rtl/>
        </w:rPr>
        <w:t xml:space="preserve">לֹא </w:t>
      </w:r>
      <w:r>
        <w:rPr>
          <w:b/>
          <w:bCs/>
          <w:rtl/>
        </w:rPr>
        <w:t>הֶחְסִיר</w:t>
      </w:r>
      <w:r>
        <w:rPr>
          <w:rFonts w:hint="cs"/>
          <w:rtl/>
        </w:rPr>
        <w:t>" (</w:t>
      </w:r>
      <w:r>
        <w:rPr>
          <w:sz w:val="18"/>
          <w:szCs w:val="20"/>
          <w:rtl/>
        </w:rPr>
        <w:t>שמות טז</w:t>
      </w:r>
      <w:r>
        <w:rPr>
          <w:rFonts w:hint="cs"/>
          <w:sz w:val="18"/>
          <w:szCs w:val="20"/>
          <w:rtl/>
        </w:rPr>
        <w:t xml:space="preserve">, </w:t>
      </w:r>
      <w:r>
        <w:rPr>
          <w:sz w:val="18"/>
          <w:szCs w:val="20"/>
          <w:rtl/>
        </w:rPr>
        <w:t>יח</w:t>
      </w:r>
      <w:r>
        <w:rPr>
          <w:rFonts w:hint="cs"/>
          <w:rtl/>
        </w:rPr>
        <w:t>). בשני פסוקים אלו מדובר על הפחתת כמות החומר (מים/מן). צ"ע אם מי ש"</w:t>
      </w:r>
      <w:r>
        <w:rPr>
          <w:rtl/>
        </w:rPr>
        <w:t>לִבּוֹ חָסֵר</w:t>
      </w:r>
      <w:r>
        <w:rPr>
          <w:rFonts w:hint="cs"/>
          <w:rtl/>
        </w:rPr>
        <w:t xml:space="preserve">, </w:t>
      </w:r>
      <w:r>
        <w:rPr>
          <w:rtl/>
        </w:rPr>
        <w:t>וְאָמַר לַכֹּל סָכָל הוּא</w:t>
      </w:r>
      <w:r>
        <w:rPr>
          <w:rFonts w:hint="cs"/>
          <w:rtl/>
        </w:rPr>
        <w:t>" (</w:t>
      </w:r>
      <w:r>
        <w:rPr>
          <w:sz w:val="18"/>
          <w:szCs w:val="20"/>
          <w:rtl/>
        </w:rPr>
        <w:t>קהלת י</w:t>
      </w:r>
      <w:r>
        <w:rPr>
          <w:rFonts w:hint="cs"/>
          <w:sz w:val="18"/>
          <w:szCs w:val="20"/>
          <w:rtl/>
        </w:rPr>
        <w:t xml:space="preserve">, </w:t>
      </w:r>
      <w:r>
        <w:rPr>
          <w:sz w:val="18"/>
          <w:szCs w:val="20"/>
          <w:rtl/>
        </w:rPr>
        <w:t>ג</w:t>
      </w:r>
      <w:r>
        <w:rPr>
          <w:rFonts w:hint="cs"/>
          <w:rtl/>
        </w:rPr>
        <w:t>) וכן ה"</w:t>
      </w:r>
      <w:r>
        <w:rPr>
          <w:rtl/>
        </w:rPr>
        <w:t>חֲסַר לֵב</w:t>
      </w:r>
      <w:r>
        <w:rPr>
          <w:rFonts w:hint="cs"/>
          <w:rtl/>
        </w:rPr>
        <w:t>" (</w:t>
      </w:r>
      <w:r>
        <w:rPr>
          <w:sz w:val="18"/>
          <w:szCs w:val="20"/>
          <w:rtl/>
        </w:rPr>
        <w:t>משלי ו</w:t>
      </w:r>
      <w:r>
        <w:rPr>
          <w:rFonts w:hint="cs"/>
          <w:sz w:val="18"/>
          <w:szCs w:val="20"/>
          <w:rtl/>
        </w:rPr>
        <w:t xml:space="preserve">, </w:t>
      </w:r>
      <w:r>
        <w:rPr>
          <w:sz w:val="18"/>
          <w:szCs w:val="20"/>
          <w:rtl/>
        </w:rPr>
        <w:t>לב</w:t>
      </w:r>
      <w:r>
        <w:rPr>
          <w:rFonts w:hint="cs"/>
          <w:sz w:val="18"/>
          <w:szCs w:val="20"/>
          <w:rtl/>
        </w:rPr>
        <w:t xml:space="preserve"> ועוד</w:t>
      </w:r>
      <w:r>
        <w:rPr>
          <w:rFonts w:hint="cs"/>
          <w:rtl/>
        </w:rPr>
        <w:t>) - האם מדובר על מי שיש לו לב ודעת חלקיים, או על מי שלגמרי "אין לו לב".</w:t>
      </w:r>
    </w:p>
  </w:footnote>
  <w:footnote w:id="129">
    <w:p w14:paraId="67E6175C" w14:textId="77777777" w:rsidR="00940290" w:rsidRDefault="00940290" w:rsidP="00940290">
      <w:pPr>
        <w:pStyle w:val="a5"/>
        <w:rPr>
          <w:rFonts w:hint="cs"/>
          <w:rtl/>
        </w:rPr>
      </w:pPr>
      <w:r>
        <w:rPr>
          <w:rStyle w:val="a4"/>
        </w:rPr>
        <w:footnoteRef/>
      </w:r>
      <w:r>
        <w:rPr>
          <w:rFonts w:hint="cs"/>
          <w:rtl/>
        </w:rPr>
        <w:t xml:space="preserve"> "צירוף שֵׁמָנִי" הוא צירוף מִלים שגרעינו הוא שֵם (</w:t>
      </w:r>
      <w:r>
        <w:rPr>
          <w:rFonts w:hint="cs"/>
          <w:sz w:val="18"/>
          <w:szCs w:val="20"/>
          <w:rtl/>
        </w:rPr>
        <w:t>כמו: "</w:t>
      </w:r>
      <w:r>
        <w:rPr>
          <w:rFonts w:hint="cs"/>
          <w:b/>
          <w:bCs/>
          <w:sz w:val="18"/>
          <w:szCs w:val="20"/>
          <w:rtl/>
        </w:rPr>
        <w:t>בית</w:t>
      </w:r>
      <w:r>
        <w:rPr>
          <w:rFonts w:hint="cs"/>
          <w:sz w:val="18"/>
          <w:szCs w:val="20"/>
          <w:rtl/>
        </w:rPr>
        <w:t xml:space="preserve"> גדול", "</w:t>
      </w:r>
      <w:r>
        <w:rPr>
          <w:b/>
          <w:bCs/>
          <w:sz w:val="18"/>
          <w:szCs w:val="20"/>
          <w:rtl/>
        </w:rPr>
        <w:t>נֶגַע</w:t>
      </w:r>
      <w:r>
        <w:rPr>
          <w:sz w:val="18"/>
          <w:szCs w:val="20"/>
          <w:rtl/>
        </w:rPr>
        <w:t xml:space="preserve"> צָרַעַת</w:t>
      </w:r>
      <w:r>
        <w:rPr>
          <w:rFonts w:hint="cs"/>
          <w:sz w:val="18"/>
          <w:szCs w:val="20"/>
          <w:rtl/>
        </w:rPr>
        <w:t>", "</w:t>
      </w:r>
      <w:r>
        <w:rPr>
          <w:sz w:val="18"/>
          <w:szCs w:val="20"/>
          <w:rtl/>
        </w:rPr>
        <w:t>אח</w:t>
      </w:r>
      <w:r>
        <w:rPr>
          <w:rFonts w:hint="cs"/>
          <w:sz w:val="18"/>
          <w:szCs w:val="20"/>
          <w:rtl/>
        </w:rPr>
        <w:t>ת</w:t>
      </w:r>
      <w:r>
        <w:rPr>
          <w:sz w:val="18"/>
          <w:szCs w:val="20"/>
          <w:rtl/>
        </w:rPr>
        <w:t xml:space="preserve"> מ</w:t>
      </w:r>
      <w:r>
        <w:rPr>
          <w:b/>
          <w:bCs/>
          <w:sz w:val="18"/>
          <w:szCs w:val="20"/>
          <w:rtl/>
        </w:rPr>
        <w:t>סממנ</w:t>
      </w:r>
      <w:r>
        <w:rPr>
          <w:sz w:val="18"/>
          <w:szCs w:val="20"/>
          <w:rtl/>
        </w:rPr>
        <w:t>יה</w:t>
      </w:r>
      <w:r>
        <w:rPr>
          <w:rFonts w:hint="cs"/>
          <w:sz w:val="18"/>
          <w:szCs w:val="20"/>
          <w:rtl/>
        </w:rPr>
        <w:t>"</w:t>
      </w:r>
      <w:r>
        <w:rPr>
          <w:rFonts w:hint="cs"/>
          <w:rtl/>
        </w:rPr>
        <w:t>), לעומת "צירוף פעלי" שגרעינו - פֹעַל (</w:t>
      </w:r>
      <w:r>
        <w:rPr>
          <w:rFonts w:hint="cs"/>
          <w:sz w:val="18"/>
          <w:szCs w:val="20"/>
          <w:rtl/>
        </w:rPr>
        <w:t>"למדו היטב"</w:t>
      </w:r>
      <w:r>
        <w:rPr>
          <w:rFonts w:hint="cs"/>
          <w:rtl/>
        </w:rPr>
        <w:t>). אחד הסוגים של "צירוף שֵׁמָנִי" הוא "צירוף סמיכות", שבו גם הלוואי הוא שֵם (שם עצם, בד"כ).</w:t>
      </w:r>
    </w:p>
  </w:footnote>
  <w:footnote w:id="130">
    <w:p w14:paraId="011B168B" w14:textId="77777777" w:rsidR="00940290" w:rsidRDefault="00940290" w:rsidP="00940290">
      <w:pPr>
        <w:pStyle w:val="a5"/>
        <w:rPr>
          <w:rFonts w:hint="cs"/>
          <w:rtl/>
        </w:rPr>
      </w:pPr>
      <w:r>
        <w:rPr>
          <w:rStyle w:val="a4"/>
        </w:rPr>
        <w:footnoteRef/>
      </w:r>
      <w:r>
        <w:rPr>
          <w:rFonts w:hint="cs"/>
          <w:rtl/>
        </w:rPr>
        <w:t xml:space="preserve"> ר' מנחם בולה, דעת מקרא לויקרא יג, ט.</w:t>
      </w:r>
    </w:p>
  </w:footnote>
  <w:footnote w:id="131">
    <w:p w14:paraId="073C781D" w14:textId="77777777" w:rsidR="00940290" w:rsidRDefault="00940290" w:rsidP="00940290">
      <w:pPr>
        <w:pStyle w:val="a5"/>
        <w:rPr>
          <w:rFonts w:hint="cs"/>
          <w:rtl/>
        </w:rPr>
      </w:pPr>
      <w:r>
        <w:rPr>
          <w:rStyle w:val="a4"/>
        </w:rPr>
        <w:footnoteRef/>
      </w:r>
      <w:r>
        <w:rPr>
          <w:rFonts w:hint="cs"/>
          <w:rtl/>
        </w:rPr>
        <w:t xml:space="preserve"> "דָבֵק" הוא גרעין צירוף הסמיכות, ובמקרה זה: </w:t>
      </w:r>
      <w:r>
        <w:rPr>
          <w:rtl/>
        </w:rPr>
        <w:t>צַפַּחַת</w:t>
      </w:r>
      <w:r>
        <w:rPr>
          <w:rFonts w:hint="cs"/>
          <w:rtl/>
        </w:rPr>
        <w:t xml:space="preserve"> (</w:t>
      </w:r>
      <w:r>
        <w:rPr>
          <w:rFonts w:hint="cs"/>
          <w:sz w:val="18"/>
          <w:szCs w:val="20"/>
          <w:rtl/>
        </w:rPr>
        <w:t xml:space="preserve">במונחי הלשון המקובלים בימינו: </w:t>
      </w:r>
      <w:r>
        <w:rPr>
          <w:rFonts w:hint="cs"/>
          <w:rtl/>
        </w:rPr>
        <w:t xml:space="preserve">"נִסמך"). "נִדבּק" הוא מה שנלווה לגרעין ומוסיף עליו מידע, ובמקרה זה: </w:t>
      </w:r>
      <w:r>
        <w:rPr>
          <w:rtl/>
        </w:rPr>
        <w:t>הַשֶּׁמֶן</w:t>
      </w:r>
      <w:r>
        <w:rPr>
          <w:rFonts w:hint="cs"/>
          <w:rtl/>
        </w:rPr>
        <w:t xml:space="preserve"> (</w:t>
      </w:r>
      <w:r>
        <w:rPr>
          <w:rFonts w:hint="cs"/>
          <w:sz w:val="18"/>
          <w:szCs w:val="20"/>
          <w:rtl/>
        </w:rPr>
        <w:t xml:space="preserve">במונחי ימינו: </w:t>
      </w:r>
      <w:r>
        <w:rPr>
          <w:rFonts w:hint="cs"/>
          <w:rtl/>
        </w:rPr>
        <w:t>"סוֹמֵך").</w:t>
      </w:r>
    </w:p>
  </w:footnote>
  <w:footnote w:id="132">
    <w:p w14:paraId="35D8AB0E" w14:textId="77777777" w:rsidR="00940290" w:rsidRDefault="00940290" w:rsidP="00940290">
      <w:pPr>
        <w:pStyle w:val="a5"/>
        <w:rPr>
          <w:rFonts w:hint="cs"/>
          <w:rtl/>
        </w:rPr>
      </w:pPr>
      <w:r>
        <w:rPr>
          <w:rStyle w:val="a4"/>
        </w:rPr>
        <w:footnoteRef/>
      </w:r>
      <w:r>
        <w:rPr>
          <w:rFonts w:hint="cs"/>
          <w:rtl/>
        </w:rPr>
        <w:t xml:space="preserve"> כן נראה לי להגיה, במקום "</w:t>
      </w:r>
      <w:r>
        <w:rPr>
          <w:rtl/>
        </w:rPr>
        <w:t>ו</w:t>
      </w:r>
      <w:r>
        <w:rPr>
          <w:rFonts w:hint="cs"/>
          <w:rtl/>
        </w:rPr>
        <w:t>כ</w:t>
      </w:r>
      <w:r>
        <w:rPr>
          <w:rtl/>
        </w:rPr>
        <w:t>מעט</w:t>
      </w:r>
      <w:r>
        <w:rPr>
          <w:rFonts w:hint="cs"/>
          <w:rtl/>
        </w:rPr>
        <w:t>".</w:t>
      </w:r>
    </w:p>
  </w:footnote>
  <w:footnote w:id="133">
    <w:p w14:paraId="5427181B" w14:textId="77777777" w:rsidR="00940290" w:rsidRDefault="00940290" w:rsidP="00940290">
      <w:pPr>
        <w:pStyle w:val="a5"/>
        <w:rPr>
          <w:rtl/>
        </w:rPr>
      </w:pPr>
      <w:r>
        <w:rPr>
          <w:rStyle w:val="a4"/>
          <w:rtl/>
        </w:rPr>
        <w:footnoteRef/>
      </w:r>
      <w:r>
        <w:t xml:space="preserve"> </w:t>
      </w:r>
      <w:r>
        <w:rPr>
          <w:rFonts w:hint="cs"/>
          <w:rtl/>
        </w:rPr>
        <w:t>מעניין שלא כך פֵרש על אתר, בשירת חנה: "</w:t>
      </w:r>
      <w:r>
        <w:rPr>
          <w:rtl/>
        </w:rPr>
        <w:t>טעם חַתִּים על גִּבּ</w:t>
      </w:r>
      <w:r>
        <w:rPr>
          <w:rFonts w:hint="cs"/>
          <w:rtl/>
        </w:rPr>
        <w:t>ו</w:t>
      </w:r>
      <w:r>
        <w:rPr>
          <w:rtl/>
        </w:rPr>
        <w:t>ֹרִים</w:t>
      </w:r>
      <w:r>
        <w:rPr>
          <w:rFonts w:hint="cs"/>
          <w:rtl/>
        </w:rPr>
        <w:t>,</w:t>
      </w:r>
      <w:r>
        <w:rPr>
          <w:rtl/>
        </w:rPr>
        <w:t xml:space="preserve"> לא על קֶשֶׁת</w:t>
      </w:r>
      <w:r>
        <w:rPr>
          <w:rFonts w:hint="cs"/>
          <w:rtl/>
        </w:rPr>
        <w:t xml:space="preserve">, </w:t>
      </w:r>
      <w:r>
        <w:rPr>
          <w:rtl/>
        </w:rPr>
        <w:t>כי היה לו לומר חַתָּה</w:t>
      </w:r>
      <w:r>
        <w:rPr>
          <w:rFonts w:hint="cs"/>
          <w:rtl/>
        </w:rPr>
        <w:t>!"</w:t>
      </w:r>
      <w:r>
        <w:rPr>
          <w:rFonts w:hint="cs"/>
          <w:sz w:val="18"/>
          <w:szCs w:val="20"/>
          <w:rtl/>
        </w:rPr>
        <w:t xml:space="preserve"> </w:t>
      </w:r>
      <w:r>
        <w:rPr>
          <w:rFonts w:hint="cs"/>
          <w:sz w:val="26"/>
          <w:rtl/>
        </w:rPr>
        <w:t>(</w:t>
      </w:r>
      <w:r>
        <w:rPr>
          <w:rFonts w:hint="cs"/>
          <w:sz w:val="18"/>
          <w:szCs w:val="20"/>
          <w:rtl/>
        </w:rPr>
        <w:t>ועי"ש בפירוש רא"מ פיורקא, דרך הקֹדש</w:t>
      </w:r>
      <w:r>
        <w:rPr>
          <w:rFonts w:hint="cs"/>
          <w:rtl/>
        </w:rPr>
        <w:t>).</w:t>
      </w:r>
    </w:p>
  </w:footnote>
  <w:footnote w:id="134">
    <w:p w14:paraId="7AD4A80F" w14:textId="77777777" w:rsidR="00940290" w:rsidRPr="00127CAF" w:rsidRDefault="00940290" w:rsidP="00940290">
      <w:pPr>
        <w:pStyle w:val="a5"/>
        <w:rPr>
          <w:rFonts w:ascii="Arial" w:hAnsi="Arial" w:hint="cs"/>
          <w:sz w:val="18"/>
          <w:szCs w:val="20"/>
          <w:rtl/>
        </w:rPr>
      </w:pPr>
      <w:r>
        <w:rPr>
          <w:rStyle w:val="a4"/>
        </w:rPr>
        <w:footnoteRef/>
      </w:r>
      <w:r>
        <w:rPr>
          <w:rFonts w:hint="cs"/>
          <w:rtl/>
        </w:rPr>
        <w:t xml:space="preserve"> ראה גם מטבע לשון חכמים "</w:t>
      </w:r>
      <w:r>
        <w:rPr>
          <w:rtl/>
        </w:rPr>
        <w:t>זו תורה וזו שכרה</w:t>
      </w:r>
      <w:r>
        <w:rPr>
          <w:rFonts w:hint="cs"/>
          <w:rtl/>
        </w:rPr>
        <w:t>", במקום "</w:t>
      </w:r>
      <w:r>
        <w:rPr>
          <w:rtl/>
        </w:rPr>
        <w:t>וז</w:t>
      </w:r>
      <w:r>
        <w:rPr>
          <w:rFonts w:hint="cs"/>
          <w:rtl/>
        </w:rPr>
        <w:t>ה</w:t>
      </w:r>
      <w:r>
        <w:rPr>
          <w:rtl/>
        </w:rPr>
        <w:t xml:space="preserve"> שכרה</w:t>
      </w:r>
      <w:r>
        <w:rPr>
          <w:rFonts w:hint="cs"/>
          <w:rtl/>
        </w:rPr>
        <w:t>" (</w:t>
      </w:r>
      <w:r w:rsidRPr="00832A6F">
        <w:rPr>
          <w:sz w:val="18"/>
          <w:szCs w:val="20"/>
          <w:rtl/>
        </w:rPr>
        <w:t>ברכות סא</w:t>
      </w:r>
      <w:r w:rsidRPr="00832A6F">
        <w:rPr>
          <w:rFonts w:hint="cs"/>
          <w:sz w:val="18"/>
          <w:szCs w:val="20"/>
          <w:rtl/>
        </w:rPr>
        <w:t xml:space="preserve">, </w:t>
      </w:r>
      <w:r w:rsidRPr="00832A6F">
        <w:rPr>
          <w:sz w:val="18"/>
          <w:szCs w:val="20"/>
          <w:rtl/>
        </w:rPr>
        <w:t>ב</w:t>
      </w:r>
      <w:r w:rsidRPr="00832A6F">
        <w:rPr>
          <w:rFonts w:hint="cs"/>
          <w:sz w:val="18"/>
          <w:szCs w:val="20"/>
          <w:rtl/>
        </w:rPr>
        <w:t xml:space="preserve">; </w:t>
      </w:r>
      <w:r w:rsidRPr="00832A6F">
        <w:rPr>
          <w:sz w:val="18"/>
          <w:szCs w:val="20"/>
          <w:rtl/>
        </w:rPr>
        <w:t>מנחות כט</w:t>
      </w:r>
      <w:r w:rsidRPr="00832A6F">
        <w:rPr>
          <w:rFonts w:hint="cs"/>
          <w:sz w:val="18"/>
          <w:szCs w:val="20"/>
          <w:rtl/>
        </w:rPr>
        <w:t xml:space="preserve">, </w:t>
      </w:r>
      <w:r w:rsidRPr="00832A6F">
        <w:rPr>
          <w:sz w:val="18"/>
          <w:szCs w:val="20"/>
          <w:rtl/>
        </w:rPr>
        <w:t>ב</w:t>
      </w:r>
      <w:r w:rsidRPr="00832A6F">
        <w:rPr>
          <w:rFonts w:hint="cs"/>
          <w:sz w:val="18"/>
          <w:szCs w:val="20"/>
          <w:rtl/>
        </w:rPr>
        <w:t xml:space="preserve">; </w:t>
      </w:r>
      <w:r w:rsidRPr="00832A6F">
        <w:rPr>
          <w:sz w:val="18"/>
          <w:szCs w:val="20"/>
          <w:rtl/>
        </w:rPr>
        <w:t>ירושלמי חגיגה פ</w:t>
      </w:r>
      <w:r w:rsidRPr="00832A6F">
        <w:rPr>
          <w:rFonts w:hint="cs"/>
          <w:sz w:val="18"/>
          <w:szCs w:val="20"/>
          <w:rtl/>
        </w:rPr>
        <w:t>"</w:t>
      </w:r>
      <w:r w:rsidRPr="00832A6F">
        <w:rPr>
          <w:sz w:val="18"/>
          <w:szCs w:val="20"/>
          <w:rtl/>
        </w:rPr>
        <w:t>ב ה"א</w:t>
      </w:r>
      <w:r>
        <w:rPr>
          <w:rFonts w:ascii="Arial" w:hAnsi="Arial" w:hint="cs"/>
          <w:sz w:val="18"/>
          <w:szCs w:val="20"/>
          <w:rtl/>
        </w:rPr>
        <w:t xml:space="preserve">; וראה בספרו של מורי פרופ' </w:t>
      </w:r>
      <w:r>
        <w:rPr>
          <w:rFonts w:ascii="Arial" w:hAnsi="Arial" w:hint="eastAsia"/>
          <w:sz w:val="18"/>
          <w:szCs w:val="20"/>
          <w:rtl/>
        </w:rPr>
        <w:t>משה</w:t>
      </w:r>
      <w:r>
        <w:rPr>
          <w:rFonts w:ascii="Arial" w:hAnsi="Arial"/>
          <w:sz w:val="18"/>
          <w:szCs w:val="20"/>
          <w:rtl/>
        </w:rPr>
        <w:t xml:space="preserve"> בר אשר</w:t>
      </w:r>
      <w:r>
        <w:rPr>
          <w:rFonts w:ascii="Arial" w:hAnsi="Arial" w:hint="cs"/>
          <w:sz w:val="18"/>
          <w:szCs w:val="20"/>
          <w:rtl/>
        </w:rPr>
        <w:t xml:space="preserve">, </w:t>
      </w:r>
      <w:r w:rsidRPr="00024A19">
        <w:rPr>
          <w:rFonts w:ascii="Arial" w:hAnsi="Arial" w:hint="cs"/>
          <w:sz w:val="18"/>
          <w:szCs w:val="20"/>
          <w:rtl/>
        </w:rPr>
        <w:t>מחקרים בלשון חכמים</w:t>
      </w:r>
      <w:r>
        <w:rPr>
          <w:rFonts w:ascii="Arial" w:hAnsi="Arial" w:hint="cs"/>
          <w:sz w:val="18"/>
          <w:szCs w:val="20"/>
          <w:rtl/>
        </w:rPr>
        <w:t>, א, עמ' 54, אודות המין הדקדוקי של הצירוף</w:t>
      </w:r>
      <w:r w:rsidRPr="00127CAF">
        <w:rPr>
          <w:rFonts w:ascii="Arial" w:hAnsi="Arial"/>
          <w:sz w:val="18"/>
          <w:szCs w:val="20"/>
          <w:rtl/>
        </w:rPr>
        <w:t xml:space="preserve"> </w:t>
      </w:r>
      <w:r>
        <w:rPr>
          <w:rFonts w:ascii="Arial" w:hAnsi="Arial" w:hint="cs"/>
          <w:sz w:val="18"/>
          <w:szCs w:val="20"/>
          <w:rtl/>
        </w:rPr>
        <w:t>"</w:t>
      </w:r>
      <w:r w:rsidRPr="00127CAF">
        <w:rPr>
          <w:rFonts w:ascii="Arial" w:hAnsi="Arial"/>
          <w:sz w:val="18"/>
          <w:szCs w:val="20"/>
          <w:rtl/>
        </w:rPr>
        <w:t>גמר מלאכתה</w:t>
      </w:r>
      <w:r>
        <w:rPr>
          <w:rFonts w:ascii="Arial" w:hAnsi="Arial" w:hint="cs"/>
          <w:sz w:val="18"/>
          <w:szCs w:val="20"/>
          <w:rtl/>
        </w:rPr>
        <w:t>" ב</w:t>
      </w:r>
      <w:r w:rsidRPr="00127CAF">
        <w:rPr>
          <w:rFonts w:ascii="Arial" w:hAnsi="Arial"/>
          <w:sz w:val="18"/>
          <w:szCs w:val="20"/>
          <w:rtl/>
        </w:rPr>
        <w:t>מסכת כלים פ</w:t>
      </w:r>
      <w:r>
        <w:rPr>
          <w:rFonts w:ascii="Arial" w:hAnsi="Arial" w:hint="cs"/>
          <w:sz w:val="18"/>
          <w:szCs w:val="20"/>
          <w:rtl/>
        </w:rPr>
        <w:t>"ה מ"ב ופ"</w:t>
      </w:r>
      <w:r w:rsidRPr="00127CAF">
        <w:rPr>
          <w:rFonts w:ascii="Arial" w:hAnsi="Arial"/>
          <w:sz w:val="18"/>
          <w:szCs w:val="20"/>
          <w:rtl/>
        </w:rPr>
        <w:t>כ מ</w:t>
      </w:r>
      <w:r>
        <w:rPr>
          <w:rFonts w:ascii="Arial" w:hAnsi="Arial" w:hint="cs"/>
          <w:sz w:val="18"/>
          <w:szCs w:val="20"/>
          <w:rtl/>
        </w:rPr>
        <w:t>"</w:t>
      </w:r>
      <w:r>
        <w:rPr>
          <w:rFonts w:ascii="Arial" w:hAnsi="Arial"/>
          <w:sz w:val="18"/>
          <w:szCs w:val="20"/>
          <w:rtl/>
        </w:rPr>
        <w:t>ז</w:t>
      </w:r>
      <w:r>
        <w:rPr>
          <w:rFonts w:hint="cs"/>
          <w:rtl/>
        </w:rPr>
        <w:t>).</w:t>
      </w:r>
    </w:p>
  </w:footnote>
  <w:footnote w:id="135">
    <w:p w14:paraId="4B404900" w14:textId="77777777" w:rsidR="00940290" w:rsidRDefault="00940290" w:rsidP="00940290">
      <w:pPr>
        <w:pStyle w:val="a5"/>
        <w:rPr>
          <w:rtl/>
        </w:rPr>
      </w:pPr>
      <w:r>
        <w:rPr>
          <w:rStyle w:val="a4"/>
          <w:rtl/>
        </w:rPr>
        <w:footnoteRef/>
      </w:r>
      <w:r>
        <w:t xml:space="preserve"> </w:t>
      </w:r>
      <w:r>
        <w:rPr>
          <w:rFonts w:hint="cs"/>
          <w:rtl/>
        </w:rPr>
        <w:t xml:space="preserve">כעין דברי ריעב"ץ בסידורו, </w:t>
      </w:r>
      <w:r>
        <w:rPr>
          <w:rFonts w:hint="cs"/>
          <w:sz w:val="18"/>
          <w:szCs w:val="20"/>
          <w:rtl/>
        </w:rPr>
        <w:t>עמ' קמט</w:t>
      </w:r>
      <w:r>
        <w:rPr>
          <w:rFonts w:hint="cs"/>
          <w:rtl/>
        </w:rPr>
        <w:t xml:space="preserve">: "מפני שהיא עזה... ואין לחוש אם הוא לשון נקבה, אחר </w:t>
      </w:r>
      <w:r>
        <w:rPr>
          <w:rFonts w:hint="cs"/>
          <w:sz w:val="24"/>
          <w:rtl/>
        </w:rPr>
        <w:t>שאין בו רוח חיים", וכנ"ל בהערה 2. יש לזכור שלפעמים מתייחסים אל שמות עצם מסוימים גם בלשון זכר וגם בלשון נקבה אפילו באותו משפט (ראה שמות לה, יז וחזקוני שם).</w:t>
      </w:r>
    </w:p>
  </w:footnote>
  <w:footnote w:id="136">
    <w:p w14:paraId="7C3D6115" w14:textId="77777777" w:rsidR="00940290" w:rsidRDefault="00940290" w:rsidP="00940290">
      <w:pPr>
        <w:pStyle w:val="a5"/>
        <w:rPr>
          <w:rFonts w:hint="cs"/>
          <w:rtl/>
        </w:rPr>
      </w:pPr>
      <w:r>
        <w:rPr>
          <w:rStyle w:val="a4"/>
        </w:rPr>
        <w:footnoteRef/>
      </w:r>
      <w:r>
        <w:rPr>
          <w:rFonts w:hint="cs"/>
          <w:rtl/>
        </w:rPr>
        <w:t xml:space="preserve"> בכתב יד רומי (</w:t>
      </w:r>
      <w:r>
        <w:rPr>
          <w:rFonts w:hint="cs"/>
          <w:sz w:val="18"/>
          <w:szCs w:val="20"/>
          <w:rtl/>
        </w:rPr>
        <w:t>אסִּמאני 66</w:t>
      </w:r>
      <w:r>
        <w:rPr>
          <w:rFonts w:hint="cs"/>
          <w:rtl/>
        </w:rPr>
        <w:t>) של הספרא, שנכתב ונוקד (בניקוד בבלי) בתקופת הגאונים (</w:t>
      </w:r>
      <w:r>
        <w:rPr>
          <w:rFonts w:hint="cs"/>
          <w:sz w:val="18"/>
          <w:szCs w:val="20"/>
          <w:rtl/>
        </w:rPr>
        <w:t>נחלקו החוקרים אם הוא מהמאה הששית או העשירית למניינם</w:t>
      </w:r>
      <w:r>
        <w:rPr>
          <w:rFonts w:hint="cs"/>
          <w:rtl/>
        </w:rPr>
        <w:t>) הנוסח הוא: "</w:t>
      </w:r>
      <w:r>
        <w:rPr>
          <w:rtl/>
        </w:rPr>
        <w:t>או שח</w:t>
      </w:r>
      <w:r>
        <w:rPr>
          <w:rFonts w:hint="cs"/>
          <w:rtl/>
        </w:rPr>
        <w:t>ִ</w:t>
      </w:r>
      <w:r>
        <w:rPr>
          <w:rtl/>
        </w:rPr>
        <w:t>ס</w:t>
      </w:r>
      <w:r>
        <w:rPr>
          <w:rFonts w:hint="cs"/>
          <w:rtl/>
        </w:rPr>
        <w:t>ַ</w:t>
      </w:r>
      <w:r>
        <w:rPr>
          <w:rtl/>
        </w:rPr>
        <w:t>ר א</w:t>
      </w:r>
      <w:r>
        <w:rPr>
          <w:rFonts w:hint="cs"/>
          <w:rtl/>
        </w:rPr>
        <w:t>ֶ</w:t>
      </w:r>
      <w:r>
        <w:rPr>
          <w:rtl/>
        </w:rPr>
        <w:t>ח</w:t>
      </w:r>
      <w:r>
        <w:rPr>
          <w:rFonts w:hint="cs"/>
          <w:rtl/>
        </w:rPr>
        <w:t>ָ</w:t>
      </w:r>
      <w:r>
        <w:rPr>
          <w:rFonts w:hint="cs"/>
          <w:b/>
          <w:bCs/>
          <w:rtl/>
        </w:rPr>
        <w:t>ד</w:t>
      </w:r>
      <w:r>
        <w:rPr>
          <w:rtl/>
        </w:rPr>
        <w:t xml:space="preserve"> מכל סמ</w:t>
      </w:r>
      <w:r>
        <w:rPr>
          <w:rFonts w:hint="cs"/>
          <w:rtl/>
        </w:rPr>
        <w:t>ְ</w:t>
      </w:r>
      <w:r>
        <w:rPr>
          <w:rtl/>
        </w:rPr>
        <w:t>מניה</w:t>
      </w:r>
      <w:r>
        <w:rPr>
          <w:rFonts w:hint="cs"/>
          <w:rtl/>
        </w:rPr>
        <w:t>".</w:t>
      </w:r>
    </w:p>
  </w:footnote>
  <w:footnote w:id="137">
    <w:p w14:paraId="59C26BE5" w14:textId="77777777" w:rsidR="00940290" w:rsidRDefault="00940290" w:rsidP="00940290">
      <w:pPr>
        <w:pStyle w:val="a5"/>
        <w:rPr>
          <w:rFonts w:hint="cs"/>
          <w:rtl/>
        </w:rPr>
      </w:pPr>
      <w:r>
        <w:rPr>
          <w:rStyle w:val="a4"/>
        </w:rPr>
        <w:footnoteRef/>
      </w:r>
      <w:r>
        <w:rPr>
          <w:rFonts w:hint="cs"/>
          <w:rtl/>
        </w:rPr>
        <w:t xml:space="preserve"> כך גורסים ארבעה כתבי יד ודפוס ונציה במסכת יומא. בכריתות בדפוס ונציה</w:t>
      </w:r>
      <w:r>
        <w:rPr>
          <w:rtl/>
        </w:rPr>
        <w:t xml:space="preserve"> </w:t>
      </w:r>
      <w:r>
        <w:rPr>
          <w:rFonts w:hint="cs"/>
          <w:rtl/>
        </w:rPr>
        <w:t>מקוצר</w:t>
      </w:r>
      <w:r>
        <w:rPr>
          <w:rtl/>
        </w:rPr>
        <w:t xml:space="preserve">: </w:t>
      </w:r>
      <w:r>
        <w:rPr>
          <w:rFonts w:hint="cs"/>
          <w:rtl/>
        </w:rPr>
        <w:t>"</w:t>
      </w:r>
      <w:r>
        <w:rPr>
          <w:b/>
          <w:bCs/>
          <w:rtl/>
        </w:rPr>
        <w:t>אח'</w:t>
      </w:r>
      <w:r>
        <w:rPr>
          <w:rFonts w:hint="cs"/>
          <w:rtl/>
        </w:rPr>
        <w:t>".</w:t>
      </w:r>
    </w:p>
  </w:footnote>
  <w:footnote w:id="138">
    <w:p w14:paraId="12B22768" w14:textId="77777777" w:rsidR="00940290" w:rsidRDefault="00940290" w:rsidP="00940290">
      <w:pPr>
        <w:pStyle w:val="a5"/>
        <w:rPr>
          <w:rFonts w:hint="cs"/>
          <w:rtl/>
        </w:rPr>
      </w:pPr>
      <w:r>
        <w:rPr>
          <w:rStyle w:val="a4"/>
        </w:rPr>
        <w:footnoteRef/>
      </w:r>
      <w:r>
        <w:rPr>
          <w:rFonts w:hint="cs"/>
          <w:rtl/>
        </w:rPr>
        <w:t xml:space="preserve"> </w:t>
      </w:r>
      <w:r>
        <w:rPr>
          <w:rtl/>
        </w:rPr>
        <w:t>ב</w:t>
      </w:r>
      <w:r>
        <w:rPr>
          <w:rFonts w:hint="cs"/>
          <w:rtl/>
        </w:rPr>
        <w:t>הגהותיו ל</w:t>
      </w:r>
      <w:r>
        <w:rPr>
          <w:rtl/>
        </w:rPr>
        <w:t>כריתות</w:t>
      </w:r>
      <w:r>
        <w:rPr>
          <w:rFonts w:hint="cs"/>
          <w:rtl/>
        </w:rPr>
        <w:t xml:space="preserve">; </w:t>
      </w:r>
      <w:r>
        <w:rPr>
          <w:rtl/>
        </w:rPr>
        <w:t xml:space="preserve">אך ביומא </w:t>
      </w:r>
      <w:r>
        <w:rPr>
          <w:rFonts w:hint="cs"/>
          <w:rtl/>
        </w:rPr>
        <w:t>שתק. יש לציין כי בסידורו הדפיס את הנוסח המקובל, "אחת" (</w:t>
      </w:r>
      <w:r>
        <w:rPr>
          <w:sz w:val="18"/>
          <w:szCs w:val="20"/>
          <w:rtl/>
        </w:rPr>
        <w:t>עמ' תשכ"ב</w:t>
      </w:r>
      <w:r>
        <w:rPr>
          <w:rFonts w:hint="cs"/>
          <w:sz w:val="18"/>
          <w:szCs w:val="20"/>
          <w:rtl/>
        </w:rPr>
        <w:t xml:space="preserve"> במהדורת </w:t>
      </w:r>
      <w:r>
        <w:rPr>
          <w:sz w:val="18"/>
          <w:szCs w:val="20"/>
          <w:rtl/>
        </w:rPr>
        <w:t>אשכול</w:t>
      </w:r>
      <w:r>
        <w:rPr>
          <w:rFonts w:hint="cs"/>
          <w:rtl/>
        </w:rPr>
        <w:t>).</w:t>
      </w:r>
    </w:p>
  </w:footnote>
  <w:footnote w:id="139">
    <w:p w14:paraId="579E73E2" w14:textId="77777777" w:rsidR="00940290" w:rsidRDefault="00940290" w:rsidP="00940290">
      <w:pPr>
        <w:pStyle w:val="a5"/>
        <w:rPr>
          <w:rFonts w:hint="cs"/>
          <w:rtl/>
        </w:rPr>
      </w:pPr>
      <w:r>
        <w:rPr>
          <w:rStyle w:val="a4"/>
          <w:rtl/>
        </w:rPr>
        <w:footnoteRef/>
      </w:r>
      <w:r>
        <w:t xml:space="preserve"> </w:t>
      </w:r>
      <w:r>
        <w:rPr>
          <w:rtl/>
        </w:rPr>
        <w:t xml:space="preserve">רבה של ירושלים לפני </w:t>
      </w:r>
      <w:r>
        <w:rPr>
          <w:rFonts w:hint="cs"/>
          <w:rtl/>
        </w:rPr>
        <w:t>כ</w:t>
      </w:r>
      <w:r>
        <w:rPr>
          <w:rtl/>
        </w:rPr>
        <w:t>שלוש מאות שנה</w:t>
      </w:r>
      <w:r>
        <w:rPr>
          <w:rFonts w:hint="cs"/>
          <w:rtl/>
        </w:rPr>
        <w:t>, רב</w:t>
      </w:r>
      <w:r>
        <w:rPr>
          <w:rtl/>
        </w:rPr>
        <w:t xml:space="preserve">י </w:t>
      </w:r>
      <w:r>
        <w:rPr>
          <w:rFonts w:hint="cs"/>
          <w:rtl/>
        </w:rPr>
        <w:t xml:space="preserve">ישראל יעקב </w:t>
      </w:r>
      <w:r>
        <w:rPr>
          <w:rtl/>
        </w:rPr>
        <w:t>אלג</w:t>
      </w:r>
      <w:r>
        <w:rPr>
          <w:rFonts w:hint="cs"/>
          <w:rtl/>
        </w:rPr>
        <w:t>א</w:t>
      </w:r>
      <w:r>
        <w:rPr>
          <w:rtl/>
        </w:rPr>
        <w:t>זי</w:t>
      </w:r>
      <w:r>
        <w:rPr>
          <w:rFonts w:hint="cs"/>
          <w:rtl/>
        </w:rPr>
        <w:t xml:space="preserve"> (בספרו </w:t>
      </w:r>
      <w:r>
        <w:rPr>
          <w:rtl/>
        </w:rPr>
        <w:t>שלמי ציבור</w:t>
      </w:r>
      <w:r>
        <w:rPr>
          <w:rFonts w:hint="cs"/>
          <w:rtl/>
        </w:rPr>
        <w:t xml:space="preserve">, </w:t>
      </w:r>
      <w:r>
        <w:rPr>
          <w:sz w:val="18"/>
          <w:szCs w:val="20"/>
          <w:rtl/>
        </w:rPr>
        <w:t xml:space="preserve">עמ' </w:t>
      </w:r>
      <w:r>
        <w:rPr>
          <w:rFonts w:hint="cs"/>
          <w:sz w:val="18"/>
          <w:szCs w:val="20"/>
          <w:rtl/>
        </w:rPr>
        <w:t>קמ"ט במהדורת תשמ"ז</w:t>
      </w:r>
      <w:r>
        <w:rPr>
          <w:rFonts w:hint="cs"/>
          <w:rtl/>
        </w:rPr>
        <w:t xml:space="preserve">), כתב רשימת </w:t>
      </w:r>
      <w:r>
        <w:rPr>
          <w:rtl/>
        </w:rPr>
        <w:t>דקדוקי תיבות בסדר פ</w:t>
      </w:r>
      <w:r>
        <w:rPr>
          <w:rFonts w:hint="cs"/>
          <w:rtl/>
        </w:rPr>
        <w:t>י</w:t>
      </w:r>
      <w:r>
        <w:rPr>
          <w:rtl/>
        </w:rPr>
        <w:t>טום הקטורת</w:t>
      </w:r>
      <w:r>
        <w:rPr>
          <w:rFonts w:hint="cs"/>
          <w:rtl/>
        </w:rPr>
        <w:t>, ובה נאמר: "</w:t>
      </w:r>
      <w:r>
        <w:rPr>
          <w:rtl/>
        </w:rPr>
        <w:t>וצ</w:t>
      </w:r>
      <w:r>
        <w:rPr>
          <w:rFonts w:hint="cs"/>
          <w:rtl/>
        </w:rPr>
        <w:t xml:space="preserve">ריך </w:t>
      </w:r>
      <w:r>
        <w:rPr>
          <w:rtl/>
        </w:rPr>
        <w:t>ל</w:t>
      </w:r>
      <w:r>
        <w:rPr>
          <w:rFonts w:hint="cs"/>
          <w:rtl/>
        </w:rPr>
        <w:t>ומר: '[</w:t>
      </w:r>
      <w:r>
        <w:rPr>
          <w:rtl/>
        </w:rPr>
        <w:t>כִּפַּת הַיַּרְדֵּן</w:t>
      </w:r>
      <w:r>
        <w:rPr>
          <w:rFonts w:hint="cs"/>
          <w:rtl/>
        </w:rPr>
        <w:t xml:space="preserve">] </w:t>
      </w:r>
      <w:r>
        <w:rPr>
          <w:rtl/>
        </w:rPr>
        <w:t>כל שה</w:t>
      </w:r>
      <w:r>
        <w:rPr>
          <w:rFonts w:hint="cs"/>
          <w:rtl/>
        </w:rPr>
        <w:t>ִי</w:t>
      </w:r>
      <w:r>
        <w:rPr>
          <w:rtl/>
        </w:rPr>
        <w:t>א</w:t>
      </w:r>
      <w:r>
        <w:rPr>
          <w:rFonts w:hint="cs"/>
          <w:rtl/>
        </w:rPr>
        <w:t>'</w:t>
      </w:r>
      <w:r>
        <w:rPr>
          <w:rtl/>
        </w:rPr>
        <w:t xml:space="preserve"> ולא </w:t>
      </w:r>
      <w:r>
        <w:rPr>
          <w:rFonts w:hint="cs"/>
          <w:rtl/>
        </w:rPr>
        <w:t>'</w:t>
      </w:r>
      <w:r>
        <w:rPr>
          <w:rtl/>
        </w:rPr>
        <w:t>שהו</w:t>
      </w:r>
      <w:r>
        <w:rPr>
          <w:rFonts w:hint="cs"/>
          <w:rtl/>
        </w:rPr>
        <w:t>ּ</w:t>
      </w:r>
      <w:r>
        <w:rPr>
          <w:rtl/>
        </w:rPr>
        <w:t>א</w:t>
      </w:r>
      <w:r>
        <w:rPr>
          <w:rFonts w:hint="cs"/>
          <w:rtl/>
        </w:rPr>
        <w:t>',</w:t>
      </w:r>
      <w:r>
        <w:rPr>
          <w:rtl/>
        </w:rPr>
        <w:t xml:space="preserve"> כ</w:t>
      </w:r>
      <w:r>
        <w:rPr>
          <w:rFonts w:hint="cs"/>
          <w:rtl/>
        </w:rPr>
        <w:t>ן כתב</w:t>
      </w:r>
      <w:r>
        <w:rPr>
          <w:rtl/>
        </w:rPr>
        <w:t xml:space="preserve"> האר"י ז"ל</w:t>
      </w:r>
      <w:r>
        <w:rPr>
          <w:rFonts w:hint="cs"/>
          <w:rtl/>
        </w:rPr>
        <w:t>.</w:t>
      </w:r>
      <w:r>
        <w:rPr>
          <w:rtl/>
        </w:rPr>
        <w:t xml:space="preserve"> </w:t>
      </w:r>
      <w:r>
        <w:rPr>
          <w:rFonts w:hint="cs"/>
          <w:sz w:val="18"/>
          <w:szCs w:val="20"/>
          <w:rtl/>
        </w:rPr>
        <w:t>'</w:t>
      </w:r>
      <w:r>
        <w:rPr>
          <w:sz w:val="18"/>
          <w:szCs w:val="20"/>
          <w:rtl/>
        </w:rPr>
        <w:t>כדי לשפות בה את הצפורן</w:t>
      </w:r>
      <w:r>
        <w:rPr>
          <w:rFonts w:hint="cs"/>
          <w:sz w:val="18"/>
          <w:szCs w:val="20"/>
          <w:rtl/>
        </w:rPr>
        <w:t>'</w:t>
      </w:r>
      <w:r>
        <w:rPr>
          <w:sz w:val="18"/>
          <w:szCs w:val="20"/>
          <w:rtl/>
        </w:rPr>
        <w:t xml:space="preserve"> כ</w:t>
      </w:r>
      <w:r>
        <w:rPr>
          <w:rFonts w:hint="cs"/>
          <w:sz w:val="18"/>
          <w:szCs w:val="20"/>
          <w:rtl/>
        </w:rPr>
        <w:t xml:space="preserve">ן </w:t>
      </w:r>
      <w:r>
        <w:rPr>
          <w:sz w:val="18"/>
          <w:szCs w:val="20"/>
          <w:rtl/>
        </w:rPr>
        <w:t>צ</w:t>
      </w:r>
      <w:r>
        <w:rPr>
          <w:rFonts w:hint="cs"/>
          <w:sz w:val="18"/>
          <w:szCs w:val="20"/>
          <w:rtl/>
        </w:rPr>
        <w:t xml:space="preserve">ריך </w:t>
      </w:r>
      <w:r>
        <w:rPr>
          <w:sz w:val="18"/>
          <w:szCs w:val="20"/>
          <w:rtl/>
        </w:rPr>
        <w:t>ל</w:t>
      </w:r>
      <w:r>
        <w:rPr>
          <w:rFonts w:hint="cs"/>
          <w:sz w:val="18"/>
          <w:szCs w:val="20"/>
          <w:rtl/>
        </w:rPr>
        <w:t>ומר,</w:t>
      </w:r>
      <w:r>
        <w:rPr>
          <w:sz w:val="18"/>
          <w:szCs w:val="20"/>
          <w:rtl/>
        </w:rPr>
        <w:t xml:space="preserve"> וא</w:t>
      </w:r>
      <w:r>
        <w:rPr>
          <w:rFonts w:hint="cs"/>
          <w:sz w:val="18"/>
          <w:szCs w:val="20"/>
          <w:rtl/>
        </w:rPr>
        <w:t>ין לומר</w:t>
      </w:r>
      <w:r>
        <w:rPr>
          <w:sz w:val="18"/>
          <w:szCs w:val="20"/>
          <w:rtl/>
        </w:rPr>
        <w:t xml:space="preserve"> </w:t>
      </w:r>
      <w:r>
        <w:rPr>
          <w:rFonts w:hint="cs"/>
          <w:sz w:val="18"/>
          <w:szCs w:val="20"/>
          <w:rtl/>
        </w:rPr>
        <w:t>'</w:t>
      </w:r>
      <w:r>
        <w:rPr>
          <w:sz w:val="18"/>
          <w:szCs w:val="20"/>
          <w:rtl/>
        </w:rPr>
        <w:t>ליפות</w:t>
      </w:r>
      <w:r>
        <w:rPr>
          <w:rFonts w:hint="cs"/>
          <w:sz w:val="18"/>
          <w:szCs w:val="20"/>
          <w:rtl/>
        </w:rPr>
        <w:t>'</w:t>
      </w:r>
      <w:r>
        <w:rPr>
          <w:sz w:val="18"/>
          <w:szCs w:val="20"/>
          <w:rtl/>
        </w:rPr>
        <w:t xml:space="preserve"> כמ</w:t>
      </w:r>
      <w:r>
        <w:rPr>
          <w:rFonts w:hint="cs"/>
          <w:sz w:val="18"/>
          <w:szCs w:val="20"/>
          <w:rtl/>
        </w:rPr>
        <w:t xml:space="preserve">ו </w:t>
      </w:r>
      <w:r>
        <w:rPr>
          <w:sz w:val="18"/>
          <w:szCs w:val="20"/>
          <w:rtl/>
        </w:rPr>
        <w:t>ש</w:t>
      </w:r>
      <w:r>
        <w:rPr>
          <w:rFonts w:hint="cs"/>
          <w:sz w:val="18"/>
          <w:szCs w:val="20"/>
          <w:rtl/>
        </w:rPr>
        <w:t>כתוב</w:t>
      </w:r>
      <w:r>
        <w:rPr>
          <w:sz w:val="18"/>
          <w:szCs w:val="20"/>
          <w:rtl/>
        </w:rPr>
        <w:t xml:space="preserve"> בספרים</w:t>
      </w:r>
      <w:r>
        <w:rPr>
          <w:rFonts w:hint="cs"/>
          <w:sz w:val="18"/>
          <w:szCs w:val="20"/>
          <w:rtl/>
        </w:rPr>
        <w:t xml:space="preserve">. </w:t>
      </w:r>
      <w:r>
        <w:rPr>
          <w:rtl/>
        </w:rPr>
        <w:t>וצ</w:t>
      </w:r>
      <w:r>
        <w:rPr>
          <w:rFonts w:hint="cs"/>
          <w:rtl/>
        </w:rPr>
        <w:t xml:space="preserve">ריך </w:t>
      </w:r>
      <w:r>
        <w:rPr>
          <w:rtl/>
        </w:rPr>
        <w:t>ל</w:t>
      </w:r>
      <w:r>
        <w:rPr>
          <w:rFonts w:hint="cs"/>
          <w:rtl/>
        </w:rPr>
        <w:t>ומר:</w:t>
      </w:r>
      <w:r>
        <w:rPr>
          <w:rtl/>
        </w:rPr>
        <w:t xml:space="preserve"> </w:t>
      </w:r>
      <w:r>
        <w:rPr>
          <w:rFonts w:hint="cs"/>
          <w:rtl/>
        </w:rPr>
        <w:t>'</w:t>
      </w:r>
      <w:r>
        <w:rPr>
          <w:rtl/>
        </w:rPr>
        <w:t>זה הכלל אם כמדתה כשרה לחצאין ואם חיסר אח</w:t>
      </w:r>
      <w:r>
        <w:rPr>
          <w:b/>
          <w:bCs/>
          <w:rtl/>
        </w:rPr>
        <w:t>ד</w:t>
      </w:r>
      <w:r>
        <w:rPr>
          <w:rFonts w:hint="cs"/>
          <w:rtl/>
        </w:rPr>
        <w:t>'</w:t>
      </w:r>
      <w:r>
        <w:rPr>
          <w:rtl/>
        </w:rPr>
        <w:t xml:space="preserve"> כו'</w:t>
      </w:r>
      <w:r>
        <w:rPr>
          <w:rFonts w:hint="cs"/>
          <w:rtl/>
        </w:rPr>
        <w:t>,</w:t>
      </w:r>
      <w:r>
        <w:rPr>
          <w:rtl/>
        </w:rPr>
        <w:t xml:space="preserve"> כ</w:t>
      </w:r>
      <w:r>
        <w:rPr>
          <w:rFonts w:hint="cs"/>
          <w:rtl/>
        </w:rPr>
        <w:t>ן כתב</w:t>
      </w:r>
      <w:r>
        <w:rPr>
          <w:rtl/>
        </w:rPr>
        <w:t xml:space="preserve"> ה</w:t>
      </w:r>
      <w:r>
        <w:rPr>
          <w:rFonts w:hint="cs"/>
          <w:rtl/>
        </w:rPr>
        <w:t>א</w:t>
      </w:r>
      <w:r>
        <w:rPr>
          <w:rtl/>
        </w:rPr>
        <w:t>ר"י סרוק ז"ל</w:t>
      </w:r>
      <w:r>
        <w:rPr>
          <w:rFonts w:hint="cs"/>
          <w:rtl/>
        </w:rPr>
        <w:t>". משמע מרשימה זו (שהובאה גם ב</w:t>
      </w:r>
      <w:r>
        <w:rPr>
          <w:rtl/>
        </w:rPr>
        <w:t xml:space="preserve">שערי תשובה </w:t>
      </w:r>
      <w:r>
        <w:rPr>
          <w:sz w:val="18"/>
          <w:szCs w:val="20"/>
          <w:rtl/>
        </w:rPr>
        <w:t>או</w:t>
      </w:r>
      <w:r>
        <w:rPr>
          <w:rFonts w:hint="cs"/>
          <w:sz w:val="18"/>
          <w:szCs w:val="20"/>
          <w:rtl/>
        </w:rPr>
        <w:t>"</w:t>
      </w:r>
      <w:r>
        <w:rPr>
          <w:sz w:val="18"/>
          <w:szCs w:val="20"/>
          <w:rtl/>
        </w:rPr>
        <w:t xml:space="preserve">ח </w:t>
      </w:r>
      <w:r>
        <w:rPr>
          <w:rFonts w:hint="cs"/>
          <w:sz w:val="18"/>
          <w:szCs w:val="20"/>
          <w:rtl/>
        </w:rPr>
        <w:t xml:space="preserve">סי' </w:t>
      </w:r>
      <w:r>
        <w:rPr>
          <w:sz w:val="18"/>
          <w:szCs w:val="20"/>
          <w:rtl/>
        </w:rPr>
        <w:t>מ</w:t>
      </w:r>
      <w:r>
        <w:rPr>
          <w:rFonts w:hint="cs"/>
          <w:sz w:val="18"/>
          <w:szCs w:val="20"/>
          <w:rtl/>
        </w:rPr>
        <w:t>"</w:t>
      </w:r>
      <w:r>
        <w:rPr>
          <w:sz w:val="18"/>
          <w:szCs w:val="20"/>
          <w:rtl/>
        </w:rPr>
        <w:t>ח</w:t>
      </w:r>
      <w:r>
        <w:rPr>
          <w:rFonts w:hint="cs"/>
          <w:sz w:val="18"/>
          <w:szCs w:val="20"/>
          <w:rtl/>
        </w:rPr>
        <w:t>,</w:t>
      </w:r>
      <w:r>
        <w:rPr>
          <w:sz w:val="18"/>
          <w:szCs w:val="20"/>
          <w:rtl/>
        </w:rPr>
        <w:t xml:space="preserve"> </w:t>
      </w:r>
      <w:r>
        <w:rPr>
          <w:rFonts w:hint="cs"/>
          <w:sz w:val="18"/>
          <w:szCs w:val="20"/>
          <w:rtl/>
        </w:rPr>
        <w:t>סק"</w:t>
      </w:r>
      <w:r>
        <w:rPr>
          <w:sz w:val="18"/>
          <w:szCs w:val="20"/>
          <w:rtl/>
        </w:rPr>
        <w:t>ב</w:t>
      </w:r>
      <w:r>
        <w:rPr>
          <w:rFonts w:hint="cs"/>
          <w:sz w:val="18"/>
          <w:szCs w:val="20"/>
          <w:rtl/>
        </w:rPr>
        <w:t xml:space="preserve"> וב</w:t>
      </w:r>
      <w:r>
        <w:rPr>
          <w:rFonts w:hint="cs"/>
          <w:rtl/>
        </w:rPr>
        <w:t>שערי תפלה לר' יעקב רקח</w:t>
      </w:r>
      <w:r>
        <w:rPr>
          <w:rFonts w:hint="cs"/>
          <w:sz w:val="18"/>
          <w:szCs w:val="20"/>
          <w:rtl/>
        </w:rPr>
        <w:t>, מהדורת ירושלים תשד"ם, עמ' 35</w:t>
      </w:r>
      <w:r>
        <w:rPr>
          <w:rFonts w:hint="cs"/>
          <w:rtl/>
        </w:rPr>
        <w:t xml:space="preserve">) שהדיוק "אחד" ולא "אחת" מקורו בתלמיד האר"י, </w:t>
      </w:r>
      <w:r>
        <w:rPr>
          <w:color w:val="FF0000"/>
          <w:rtl/>
        </w:rPr>
        <w:t>ר"י סרוק</w:t>
      </w:r>
      <w:r>
        <w:rPr>
          <w:rFonts w:hint="cs"/>
          <w:rtl/>
        </w:rPr>
        <w:t>, אך בליקוטי</w:t>
      </w:r>
      <w:r>
        <w:rPr>
          <w:rtl/>
        </w:rPr>
        <w:t xml:space="preserve"> מהרי"ח</w:t>
      </w:r>
      <w:r>
        <w:rPr>
          <w:rFonts w:hint="cs"/>
          <w:rtl/>
        </w:rPr>
        <w:t xml:space="preserve"> (</w:t>
      </w:r>
      <w:r>
        <w:rPr>
          <w:rFonts w:hint="cs"/>
          <w:sz w:val="18"/>
          <w:szCs w:val="20"/>
          <w:rtl/>
        </w:rPr>
        <w:t>לר' ישראל חיים פרידמאן, מהדורת ירושלים תשס"ג, עמ' נ"ב</w:t>
      </w:r>
      <w:r>
        <w:rPr>
          <w:rFonts w:hint="cs"/>
          <w:rtl/>
        </w:rPr>
        <w:t xml:space="preserve">) מיוחס דיוק זה לאר"י. יש לציין כי ברשימת הדיוקים באמירת פיטום הקטורת שכתב ר' חיים ויטאל בשם </w:t>
      </w:r>
      <w:r>
        <w:rPr>
          <w:rtl/>
        </w:rPr>
        <w:t>האר"י</w:t>
      </w:r>
      <w:r>
        <w:rPr>
          <w:rFonts w:hint="cs"/>
          <w:rtl/>
        </w:rPr>
        <w:t xml:space="preserve"> (שער הכוונות, </w:t>
      </w:r>
      <w:r>
        <w:rPr>
          <w:rFonts w:hint="cs"/>
          <w:sz w:val="18"/>
          <w:szCs w:val="20"/>
          <w:rtl/>
        </w:rPr>
        <w:t>עניין נוסח התפילה, ירושלים תשמ"ח, עמ' שכ"ט</w:t>
      </w:r>
      <w:r>
        <w:rPr>
          <w:rFonts w:hint="cs"/>
          <w:rtl/>
        </w:rPr>
        <w:t>) נאמר לדייק בנוסח "</w:t>
      </w:r>
      <w:r>
        <w:rPr>
          <w:rtl/>
        </w:rPr>
        <w:t>כִּפַּת הַיַּרְדֵּן</w:t>
      </w:r>
      <w:r>
        <w:rPr>
          <w:rFonts w:hint="cs"/>
          <w:rtl/>
        </w:rPr>
        <w:t xml:space="preserve"> - </w:t>
      </w:r>
      <w:r>
        <w:rPr>
          <w:rtl/>
        </w:rPr>
        <w:t>כל שה</w:t>
      </w:r>
      <w:r>
        <w:rPr>
          <w:rFonts w:hint="cs"/>
          <w:rtl/>
        </w:rPr>
        <w:t>ִי</w:t>
      </w:r>
      <w:r>
        <w:rPr>
          <w:rtl/>
        </w:rPr>
        <w:t>א</w:t>
      </w:r>
      <w:r>
        <w:rPr>
          <w:rFonts w:hint="cs"/>
          <w:rtl/>
        </w:rPr>
        <w:t>"</w:t>
      </w:r>
      <w:r>
        <w:rPr>
          <w:rtl/>
        </w:rPr>
        <w:t xml:space="preserve"> ולא </w:t>
      </w:r>
      <w:r>
        <w:rPr>
          <w:rFonts w:hint="cs"/>
          <w:rtl/>
        </w:rPr>
        <w:t>"</w:t>
      </w:r>
      <w:r>
        <w:rPr>
          <w:rtl/>
        </w:rPr>
        <w:t>שהו</w:t>
      </w:r>
      <w:r>
        <w:rPr>
          <w:rFonts w:hint="cs"/>
          <w:rtl/>
        </w:rPr>
        <w:t>ּ</w:t>
      </w:r>
      <w:r>
        <w:rPr>
          <w:rtl/>
        </w:rPr>
        <w:t>א</w:t>
      </w:r>
      <w:r>
        <w:rPr>
          <w:rFonts w:hint="cs"/>
          <w:rtl/>
        </w:rPr>
        <w:t>", אך לא מוזכר שם אם יש לומר "אחד" או "אחת".</w:t>
      </w:r>
    </w:p>
    <w:p w14:paraId="74D07A4B" w14:textId="77777777" w:rsidR="00940290" w:rsidRDefault="00940290" w:rsidP="00940290">
      <w:pPr>
        <w:pStyle w:val="a5"/>
        <w:rPr>
          <w:rFonts w:hint="cs"/>
          <w:rtl/>
        </w:rPr>
      </w:pPr>
      <w:r>
        <w:rPr>
          <w:rFonts w:hint="cs"/>
          <w:rtl/>
        </w:rPr>
        <w:t>בנוסף, כך הוא נוסח</w:t>
      </w:r>
      <w:r>
        <w:rPr>
          <w:sz w:val="26"/>
          <w:rtl/>
        </w:rPr>
        <w:t xml:space="preserve"> הרש"ז</w:t>
      </w:r>
      <w:r>
        <w:rPr>
          <w:rFonts w:hint="cs"/>
          <w:rtl/>
        </w:rPr>
        <w:t xml:space="preserve"> בעל התניא</w:t>
      </w:r>
      <w:r>
        <w:rPr>
          <w:rtl/>
        </w:rPr>
        <w:t xml:space="preserve"> </w:t>
      </w:r>
      <w:r>
        <w:rPr>
          <w:rFonts w:hint="cs"/>
          <w:rtl/>
        </w:rPr>
        <w:t>ב</w:t>
      </w:r>
      <w:r>
        <w:rPr>
          <w:rtl/>
        </w:rPr>
        <w:t>סידור</w:t>
      </w:r>
      <w:r>
        <w:rPr>
          <w:rFonts w:hint="cs"/>
          <w:rtl/>
        </w:rPr>
        <w:t>ו, ואת נימוקו מסביר ר' אברהם דוד לאווֹט (</w:t>
      </w:r>
      <w:r>
        <w:rPr>
          <w:rFonts w:ascii="Arial" w:hAnsi="Arial"/>
          <w:sz w:val="18"/>
          <w:szCs w:val="20"/>
          <w:rtl/>
        </w:rPr>
        <w:t>נפטר בשנת ה</w:t>
      </w:r>
      <w:r>
        <w:rPr>
          <w:rFonts w:ascii="Arial" w:hAnsi="Arial" w:hint="cs"/>
          <w:sz w:val="18"/>
          <w:szCs w:val="20"/>
          <w:rtl/>
        </w:rPr>
        <w:t>'</w:t>
      </w:r>
      <w:r>
        <w:rPr>
          <w:rFonts w:ascii="Arial" w:hAnsi="Arial"/>
          <w:sz w:val="18"/>
          <w:szCs w:val="20"/>
          <w:rtl/>
        </w:rPr>
        <w:t>תר"</w:t>
      </w:r>
      <w:r>
        <w:rPr>
          <w:rFonts w:ascii="Arial" w:hAnsi="Arial" w:hint="cs"/>
          <w:sz w:val="18"/>
          <w:szCs w:val="20"/>
          <w:rtl/>
        </w:rPr>
        <w:t xml:space="preserve">ן, </w:t>
      </w:r>
      <w:r>
        <w:rPr>
          <w:rFonts w:ascii="Arial" w:hAnsi="Arial"/>
          <w:sz w:val="18"/>
          <w:szCs w:val="20"/>
          <w:rtl/>
        </w:rPr>
        <w:t>1</w:t>
      </w:r>
      <w:r>
        <w:rPr>
          <w:rFonts w:ascii="Arial" w:hAnsi="Arial" w:hint="cs"/>
          <w:sz w:val="18"/>
          <w:szCs w:val="20"/>
          <w:rtl/>
        </w:rPr>
        <w:t>890</w:t>
      </w:r>
      <w:r>
        <w:rPr>
          <w:rFonts w:hint="cs"/>
          <w:rtl/>
        </w:rPr>
        <w:t xml:space="preserve">) בספר </w:t>
      </w:r>
      <w:r>
        <w:rPr>
          <w:rtl/>
        </w:rPr>
        <w:t>שער</w:t>
      </w:r>
      <w:r>
        <w:rPr>
          <w:rFonts w:hint="cs"/>
          <w:rtl/>
        </w:rPr>
        <w:t xml:space="preserve"> </w:t>
      </w:r>
      <w:r>
        <w:rPr>
          <w:rtl/>
        </w:rPr>
        <w:t xml:space="preserve">הכולל </w:t>
      </w:r>
      <w:r>
        <w:rPr>
          <w:sz w:val="18"/>
          <w:szCs w:val="20"/>
          <w:rtl/>
        </w:rPr>
        <w:t>פ"ג סט"ז</w:t>
      </w:r>
      <w:r>
        <w:rPr>
          <w:rFonts w:hint="cs"/>
          <w:sz w:val="18"/>
          <w:szCs w:val="20"/>
          <w:rtl/>
        </w:rPr>
        <w:t xml:space="preserve">, </w:t>
      </w:r>
      <w:r>
        <w:rPr>
          <w:rFonts w:hint="cs"/>
          <w:sz w:val="26"/>
          <w:rtl/>
        </w:rPr>
        <w:t>ה</w:t>
      </w:r>
      <w:r>
        <w:rPr>
          <w:sz w:val="26"/>
          <w:rtl/>
        </w:rPr>
        <w:t>מודפס בסוף שו"ע הרש"ז</w:t>
      </w:r>
      <w:r>
        <w:rPr>
          <w:rFonts w:hint="cs"/>
          <w:rtl/>
        </w:rPr>
        <w:t>: "</w:t>
      </w:r>
      <w:r>
        <w:rPr>
          <w:rtl/>
        </w:rPr>
        <w:t>כצ"ל אחד בד' ולא אחת בתי"ו</w:t>
      </w:r>
      <w:r>
        <w:rPr>
          <w:rFonts w:hint="cs"/>
          <w:rtl/>
        </w:rPr>
        <w:t>,</w:t>
      </w:r>
      <w:r>
        <w:rPr>
          <w:rtl/>
        </w:rPr>
        <w:t xml:space="preserve"> כי סמים הוא לשון זכר</w:t>
      </w:r>
      <w:r>
        <w:rPr>
          <w:rFonts w:hint="cs"/>
          <w:rtl/>
        </w:rPr>
        <w:t>,</w:t>
      </w:r>
      <w:r>
        <w:rPr>
          <w:rtl/>
        </w:rPr>
        <w:t xml:space="preserve"> וקטורת לשון נקבה</w:t>
      </w:r>
      <w:r>
        <w:rPr>
          <w:rFonts w:hint="cs"/>
          <w:rtl/>
        </w:rPr>
        <w:t>".</w:t>
      </w:r>
    </w:p>
    <w:p w14:paraId="7CF07D3D" w14:textId="77777777" w:rsidR="00940290" w:rsidRDefault="00940290" w:rsidP="00940290">
      <w:pPr>
        <w:pStyle w:val="a5"/>
        <w:rPr>
          <w:rFonts w:hint="cs"/>
          <w:rtl/>
        </w:rPr>
      </w:pPr>
      <w:r>
        <w:rPr>
          <w:rFonts w:hint="cs"/>
          <w:rtl/>
        </w:rPr>
        <w:t>בחיפושיי בסידורים בני דורנו מצאתי שנים שהלכו בדרך זו (מלבד סידור חב"ד):</w:t>
      </w:r>
    </w:p>
    <w:p w14:paraId="31017FE0" w14:textId="77777777" w:rsidR="00940290" w:rsidRDefault="00940290" w:rsidP="00940290">
      <w:pPr>
        <w:pStyle w:val="a5"/>
        <w:rPr>
          <w:rFonts w:hint="cs"/>
          <w:sz w:val="30"/>
          <w:szCs w:val="28"/>
          <w:rtl/>
        </w:rPr>
      </w:pPr>
      <w:r>
        <w:rPr>
          <w:rFonts w:hint="cs"/>
          <w:rtl/>
        </w:rPr>
        <w:t xml:space="preserve">כך הדפיס </w:t>
      </w:r>
      <w:r>
        <w:rPr>
          <w:sz w:val="26"/>
          <w:rtl/>
        </w:rPr>
        <w:t>הר"י קאפח</w:t>
      </w:r>
      <w:r>
        <w:rPr>
          <w:rFonts w:hint="cs"/>
          <w:sz w:val="26"/>
          <w:rtl/>
        </w:rPr>
        <w:t xml:space="preserve"> </w:t>
      </w:r>
      <w:r>
        <w:rPr>
          <w:rFonts w:hint="cs"/>
          <w:rtl/>
        </w:rPr>
        <w:t>ב</w:t>
      </w:r>
      <w:r>
        <w:rPr>
          <w:rtl/>
        </w:rPr>
        <w:t xml:space="preserve">סידור שיח ירושלים </w:t>
      </w:r>
      <w:r>
        <w:rPr>
          <w:rFonts w:hint="cs"/>
          <w:rtl/>
        </w:rPr>
        <w:t xml:space="preserve">כמנהג יהודי תימן (בלדי); </w:t>
      </w:r>
      <w:r>
        <w:rPr>
          <w:rFonts w:hint="cs"/>
          <w:sz w:val="26"/>
          <w:rtl/>
        </w:rPr>
        <w:t>בהערת שוליים מוצג הנוסח הנפוץ, "אחת".</w:t>
      </w:r>
    </w:p>
    <w:p w14:paraId="219391D0" w14:textId="77777777" w:rsidR="00940290" w:rsidRDefault="00940290" w:rsidP="00940290">
      <w:pPr>
        <w:pStyle w:val="a5"/>
        <w:rPr>
          <w:rFonts w:hint="cs"/>
          <w:rtl/>
        </w:rPr>
      </w:pPr>
      <w:r>
        <w:rPr>
          <w:rFonts w:hint="cs"/>
          <w:rtl/>
        </w:rPr>
        <w:t>כך תוקן ב</w:t>
      </w:r>
      <w:r>
        <w:rPr>
          <w:rtl/>
        </w:rPr>
        <w:t>סידור</w:t>
      </w:r>
      <w:r>
        <w:rPr>
          <w:rFonts w:hint="cs"/>
          <w:rtl/>
        </w:rPr>
        <w:t>ים ובמחזורים האשכנזיים בהוצאת</w:t>
      </w:r>
      <w:r>
        <w:rPr>
          <w:rtl/>
        </w:rPr>
        <w:t xml:space="preserve"> קורן</w:t>
      </w:r>
      <w:r>
        <w:rPr>
          <w:rFonts w:hint="cs"/>
          <w:rtl/>
        </w:rPr>
        <w:t>.</w:t>
      </w:r>
    </w:p>
    <w:p w14:paraId="354D9F72" w14:textId="77777777" w:rsidR="00940290" w:rsidRDefault="00940290" w:rsidP="00940290">
      <w:pPr>
        <w:pStyle w:val="a5"/>
        <w:rPr>
          <w:rFonts w:hint="cs"/>
          <w:rtl/>
        </w:rPr>
      </w:pPr>
      <w:r>
        <w:rPr>
          <w:rFonts w:hint="cs"/>
          <w:rtl/>
        </w:rPr>
        <w:t>צ"ע האם כל אחד ממתקנים אלה חִדֵּש זאת על פי סברתו, או ע"פ מסורת חיה או כתובה.</w:t>
      </w:r>
    </w:p>
  </w:footnote>
  <w:footnote w:id="140">
    <w:p w14:paraId="7DEAABCE" w14:textId="77777777" w:rsidR="00940290" w:rsidRDefault="00940290" w:rsidP="00940290">
      <w:pPr>
        <w:pStyle w:val="a5"/>
        <w:rPr>
          <w:rFonts w:hint="cs"/>
          <w:rtl/>
        </w:rPr>
      </w:pPr>
      <w:r>
        <w:rPr>
          <w:rStyle w:val="a4"/>
        </w:rPr>
        <w:footnoteRef/>
      </w:r>
      <w:r>
        <w:rPr>
          <w:rFonts w:hint="cs"/>
          <w:rtl/>
        </w:rPr>
        <w:t xml:space="preserve"> לא באנו להכריע כאן הלכה למעשה, אלא רק להציג הצדדים השונים. ניתן לומר שכל אחד יעשה כמנהג אבותיו או כמנהג מקומו, אם יֶשנוֹ. וָלא, דרושה הכרעה בין מנהג רוב העולם כתוצאה מהנוסח הנדפס ב</w:t>
      </w:r>
      <w:r>
        <w:rPr>
          <w:rtl/>
        </w:rPr>
        <w:t>רוב הסידורים</w:t>
      </w:r>
      <w:r>
        <w:rPr>
          <w:rFonts w:hint="cs"/>
          <w:rtl/>
        </w:rPr>
        <w:t xml:space="preserve"> (</w:t>
      </w:r>
      <w:r>
        <w:rPr>
          <w:rFonts w:hint="cs"/>
          <w:sz w:val="18"/>
          <w:szCs w:val="20"/>
          <w:rtl/>
        </w:rPr>
        <w:t>ולתרץ את אחד התירוצים הנ"ל</w:t>
      </w:r>
      <w:r>
        <w:rPr>
          <w:rFonts w:hint="cs"/>
          <w:rtl/>
        </w:rPr>
        <w:t xml:space="preserve">), לבין לשון </w:t>
      </w:r>
      <w:r>
        <w:rPr>
          <w:rtl/>
        </w:rPr>
        <w:t xml:space="preserve">רוב הפוסקים </w:t>
      </w:r>
      <w:r>
        <w:rPr>
          <w:rFonts w:hint="cs"/>
          <w:rtl/>
        </w:rPr>
        <w:t>(</w:t>
      </w:r>
      <w:r>
        <w:rPr>
          <w:rFonts w:hint="cs"/>
          <w:sz w:val="18"/>
          <w:szCs w:val="20"/>
          <w:rtl/>
        </w:rPr>
        <w:t>רמב"ם, שו"ע, רמ"א, בעל התניא, ריעב"ץ ועוד</w:t>
      </w:r>
      <w:r>
        <w:rPr>
          <w:rFonts w:hint="cs"/>
          <w:rtl/>
        </w:rPr>
        <w:t xml:space="preserve">) שהיא דרך המלך מבחינת דקדוק הלשון. </w:t>
      </w:r>
    </w:p>
    <w:p w14:paraId="2ECE0469" w14:textId="77777777" w:rsidR="00940290" w:rsidRDefault="00940290" w:rsidP="00940290">
      <w:pPr>
        <w:pStyle w:val="a5"/>
        <w:rPr>
          <w:rFonts w:ascii="Arial" w:hAnsi="Arial" w:hint="cs"/>
          <w:sz w:val="26"/>
          <w:rtl/>
        </w:rPr>
      </w:pPr>
      <w:r>
        <w:rPr>
          <w:rFonts w:hint="cs"/>
          <w:rtl/>
        </w:rPr>
        <w:t>וראה דברי הריעב"ץ ש</w:t>
      </w:r>
      <w:r>
        <w:rPr>
          <w:rFonts w:ascii="Arial" w:hAnsi="Arial" w:hint="cs"/>
          <w:sz w:val="26"/>
          <w:rtl/>
        </w:rPr>
        <w:t xml:space="preserve">"אין מביאין ראיה מן הזרים להשתמש בהם תשמיש קבוע" </w:t>
      </w:r>
      <w:r>
        <w:rPr>
          <w:rFonts w:hint="cs"/>
          <w:rtl/>
        </w:rPr>
        <w:t>(</w:t>
      </w:r>
      <w:r>
        <w:rPr>
          <w:rFonts w:ascii="Arial" w:hAnsi="Arial"/>
          <w:sz w:val="18"/>
          <w:szCs w:val="20"/>
          <w:rtl/>
        </w:rPr>
        <w:t xml:space="preserve">לוח </w:t>
      </w:r>
      <w:r>
        <w:rPr>
          <w:rFonts w:ascii="Arial" w:hAnsi="Arial" w:hint="cs"/>
          <w:sz w:val="18"/>
          <w:szCs w:val="20"/>
          <w:rtl/>
        </w:rPr>
        <w:t>א</w:t>
      </w:r>
      <w:r>
        <w:rPr>
          <w:rFonts w:ascii="Arial" w:hAnsi="Arial"/>
          <w:sz w:val="18"/>
          <w:szCs w:val="20"/>
          <w:rtl/>
        </w:rPr>
        <w:t>רש</w:t>
      </w:r>
      <w:r>
        <w:rPr>
          <w:rFonts w:ascii="Arial" w:hAnsi="Arial" w:hint="cs"/>
          <w:sz w:val="18"/>
          <w:szCs w:val="20"/>
          <w:rtl/>
        </w:rPr>
        <w:t>ׁ, תשס"א, עמ' יט; קעו</w:t>
      </w:r>
      <w:r>
        <w:rPr>
          <w:rFonts w:ascii="Arial" w:hAnsi="Arial" w:hint="cs"/>
          <w:sz w:val="26"/>
          <w:rtl/>
        </w:rPr>
        <w:t>), ואולם "התרנו לבקש לעצמנו לפעמים דרכים רחוקים לקיים בידינו לשון רבותינו ומליצתם במקום שהם בדוקים... רק שיהא ודאי נוסח אמִתי ידוע לרז"ל, אז החוב מוטל עלינו לאשרו ולקיימו ואף בדרך הזרים" (</w:t>
      </w:r>
      <w:r>
        <w:rPr>
          <w:rFonts w:ascii="Arial" w:hAnsi="Arial" w:hint="cs"/>
          <w:sz w:val="18"/>
          <w:szCs w:val="20"/>
          <w:rtl/>
        </w:rPr>
        <w:t>שם עמ' קעא</w:t>
      </w:r>
      <w:r>
        <w:rPr>
          <w:rFonts w:ascii="Arial" w:hAnsi="Arial" w:hint="cs"/>
          <w:sz w:val="26"/>
          <w:rtl/>
        </w:rPr>
        <w:t>). וכיו"ב כתב החיד"א (</w:t>
      </w:r>
      <w:r>
        <w:rPr>
          <w:rFonts w:ascii="Arial" w:hAnsi="Arial"/>
          <w:sz w:val="18"/>
          <w:szCs w:val="20"/>
          <w:rtl/>
        </w:rPr>
        <w:t>שו"ת יוסף אומץ</w:t>
      </w:r>
      <w:r>
        <w:rPr>
          <w:rFonts w:ascii="Arial" w:hAnsi="Arial" w:hint="cs"/>
          <w:sz w:val="18"/>
          <w:szCs w:val="20"/>
          <w:rtl/>
        </w:rPr>
        <w:t xml:space="preserve">, </w:t>
      </w:r>
      <w:r>
        <w:rPr>
          <w:rFonts w:ascii="Arial" w:hAnsi="Arial"/>
          <w:sz w:val="18"/>
          <w:szCs w:val="20"/>
          <w:rtl/>
        </w:rPr>
        <w:t>י</w:t>
      </w:r>
      <w:r>
        <w:rPr>
          <w:rFonts w:ascii="Arial" w:hAnsi="Arial" w:hint="cs"/>
          <w:sz w:val="18"/>
          <w:szCs w:val="20"/>
          <w:rtl/>
        </w:rPr>
        <w:t>"</w:t>
      </w:r>
      <w:r>
        <w:rPr>
          <w:rFonts w:ascii="Arial" w:hAnsi="Arial"/>
          <w:sz w:val="18"/>
          <w:szCs w:val="20"/>
          <w:rtl/>
        </w:rPr>
        <w:t>א</w:t>
      </w:r>
      <w:r>
        <w:rPr>
          <w:rFonts w:ascii="Arial" w:hAnsi="Arial" w:hint="cs"/>
          <w:sz w:val="26"/>
          <w:rtl/>
        </w:rPr>
        <w:t xml:space="preserve">). </w:t>
      </w:r>
      <w:r>
        <w:rPr>
          <w:rFonts w:hint="cs"/>
          <w:rtl/>
        </w:rPr>
        <w:t>והשוה למובא ב</w:t>
      </w:r>
      <w:r>
        <w:rPr>
          <w:rFonts w:ascii="Arial" w:hAnsi="Arial"/>
          <w:sz w:val="26"/>
          <w:rtl/>
        </w:rPr>
        <w:t xml:space="preserve">שו"ת יביע אומר </w:t>
      </w:r>
      <w:r>
        <w:rPr>
          <w:rFonts w:ascii="Arial" w:hAnsi="Arial" w:hint="cs"/>
          <w:sz w:val="26"/>
          <w:rtl/>
        </w:rPr>
        <w:t>(</w:t>
      </w:r>
      <w:r>
        <w:rPr>
          <w:rFonts w:ascii="Arial" w:hAnsi="Arial"/>
          <w:szCs w:val="20"/>
          <w:rtl/>
        </w:rPr>
        <w:t>ח</w:t>
      </w:r>
      <w:r>
        <w:rPr>
          <w:rFonts w:ascii="Arial" w:hAnsi="Arial" w:hint="cs"/>
          <w:szCs w:val="20"/>
          <w:rtl/>
        </w:rPr>
        <w:t>"</w:t>
      </w:r>
      <w:r>
        <w:rPr>
          <w:rFonts w:ascii="Arial" w:hAnsi="Arial"/>
          <w:szCs w:val="20"/>
          <w:rtl/>
        </w:rPr>
        <w:t>ד או"ח</w:t>
      </w:r>
      <w:r>
        <w:rPr>
          <w:rFonts w:ascii="Arial" w:hAnsi="Arial" w:hint="cs"/>
          <w:szCs w:val="20"/>
          <w:rtl/>
        </w:rPr>
        <w:t xml:space="preserve">, </w:t>
      </w:r>
      <w:r>
        <w:rPr>
          <w:rFonts w:ascii="Arial" w:hAnsi="Arial"/>
          <w:szCs w:val="20"/>
          <w:rtl/>
        </w:rPr>
        <w:t>כ</w:t>
      </w:r>
      <w:r>
        <w:rPr>
          <w:rFonts w:ascii="Arial" w:hAnsi="Arial" w:hint="cs"/>
          <w:szCs w:val="20"/>
          <w:rtl/>
        </w:rPr>
        <w:t>"</w:t>
      </w:r>
      <w:r>
        <w:rPr>
          <w:rFonts w:ascii="Arial" w:hAnsi="Arial"/>
          <w:szCs w:val="20"/>
          <w:rtl/>
        </w:rPr>
        <w:t>א</w:t>
      </w:r>
      <w:r>
        <w:rPr>
          <w:rFonts w:ascii="Arial" w:hAnsi="Arial" w:hint="cs"/>
          <w:sz w:val="26"/>
          <w:rtl/>
        </w:rPr>
        <w:t>)</w:t>
      </w:r>
      <w:r>
        <w:rPr>
          <w:rFonts w:ascii="Arial" w:hAnsi="Arial"/>
          <w:sz w:val="26"/>
          <w:rtl/>
        </w:rPr>
        <w:t>:</w:t>
      </w:r>
      <w:r>
        <w:rPr>
          <w:rFonts w:ascii="Arial" w:hAnsi="Arial" w:hint="cs"/>
          <w:sz w:val="26"/>
          <w:rtl/>
        </w:rPr>
        <w:t xml:space="preserve"> </w:t>
      </w:r>
    </w:p>
    <w:p w14:paraId="308BEC50" w14:textId="77777777" w:rsidR="00940290" w:rsidRDefault="00940290" w:rsidP="00940290">
      <w:pPr>
        <w:pStyle w:val="a5"/>
        <w:ind w:left="720"/>
        <w:rPr>
          <w:rFonts w:hint="cs"/>
          <w:rtl/>
        </w:rPr>
      </w:pPr>
      <w:r>
        <w:rPr>
          <w:rFonts w:ascii="Arial" w:hAnsi="Arial" w:hint="cs"/>
          <w:sz w:val="26"/>
          <w:rtl/>
        </w:rPr>
        <w:t>"</w:t>
      </w:r>
      <w:r>
        <w:rPr>
          <w:rtl/>
        </w:rPr>
        <w:t xml:space="preserve">וראוי לומר ע"ז כמ"ש הב"ח </w:t>
      </w:r>
      <w:r>
        <w:rPr>
          <w:sz w:val="18"/>
          <w:szCs w:val="20"/>
          <w:rtl/>
        </w:rPr>
        <w:t>א</w:t>
      </w:r>
      <w:r>
        <w:rPr>
          <w:rFonts w:hint="cs"/>
          <w:sz w:val="18"/>
          <w:szCs w:val="20"/>
          <w:rtl/>
        </w:rPr>
        <w:t>ו</w:t>
      </w:r>
      <w:r>
        <w:rPr>
          <w:sz w:val="18"/>
          <w:szCs w:val="20"/>
          <w:rtl/>
        </w:rPr>
        <w:t xml:space="preserve">"ח (ר"ס מו) בד"ה ומ"ש כי סיים מסאני, </w:t>
      </w:r>
      <w:r>
        <w:rPr>
          <w:rtl/>
        </w:rPr>
        <w:t>ולכן אין לשנות מהסידורים הקדושים שהיו בידינו. ועכשיו נהגו לשנות ע"פ הסידורים הנדפסים מחדש כל אחד לפי רצונו, ולא שאלו את פי הגדולים אשר בארץ, ועתידים ליתן את הדין. ע"כ. ומה מאד יש להצטער על כמה חזנים וש"צ יודעי ספר ההולכים אחרי ההבל</w:t>
      </w:r>
      <w:r>
        <w:rPr>
          <w:rFonts w:hint="cs"/>
          <w:rtl/>
        </w:rPr>
        <w:t xml:space="preserve">... </w:t>
      </w:r>
      <w:r>
        <w:rPr>
          <w:rtl/>
        </w:rPr>
        <w:t>ואינם יודעים שעל כגון זה אמרו ש</w:t>
      </w:r>
      <w:r>
        <w:rPr>
          <w:b/>
          <w:bCs/>
          <w:rtl/>
        </w:rPr>
        <w:t>אין להשגיח בסידורים</w:t>
      </w:r>
      <w:r>
        <w:rPr>
          <w:rtl/>
        </w:rPr>
        <w:t>. (</w:t>
      </w:r>
      <w:r>
        <w:rPr>
          <w:sz w:val="18"/>
          <w:szCs w:val="20"/>
          <w:rtl/>
        </w:rPr>
        <w:t>וכ"כ הגאון ר' אברהם הכהן משאלוניקי בס' טהרת המים בשיורי טהרה מע' י' אות כ"ג, שאין להשגיח במ"ש בסידורים</w:t>
      </w:r>
      <w:r>
        <w:rPr>
          <w:rtl/>
        </w:rPr>
        <w:t>) ובפרט מחזורים כאלה שהמוציאים אותם לאור אינם אפילו בסוג תלמידי חכמים. ועליהם נאמר עמי בעצו ישראל ומקלו יגיד לו</w:t>
      </w:r>
      <w:r>
        <w:rPr>
          <w:rFonts w:hint="cs"/>
          <w:rtl/>
        </w:rPr>
        <w:t>"</w:t>
      </w:r>
      <w:r>
        <w:rPr>
          <w:rtl/>
        </w:rPr>
        <w:t>.</w:t>
      </w:r>
    </w:p>
    <w:p w14:paraId="02F58D70" w14:textId="77777777" w:rsidR="00940290" w:rsidRDefault="00940290" w:rsidP="00940290">
      <w:pPr>
        <w:pStyle w:val="a5"/>
        <w:rPr>
          <w:rtl/>
        </w:rPr>
      </w:pPr>
      <w:r>
        <w:rPr>
          <w:rtl/>
        </w:rPr>
        <w:t>והשוה לדיון במאמרִי</w:t>
      </w:r>
      <w:r>
        <w:rPr>
          <w:rFonts w:hint="cs"/>
          <w:rtl/>
        </w:rPr>
        <w:t xml:space="preserve"> על</w:t>
      </w:r>
      <w:r>
        <w:rPr>
          <w:rtl/>
        </w:rPr>
        <w:t xml:space="preserve"> נוסח ספירת העומר</w:t>
      </w:r>
      <w:r>
        <w:rPr>
          <w:rFonts w:hint="cs"/>
          <w:rtl/>
        </w:rPr>
        <w:t>:</w:t>
      </w:r>
      <w:r>
        <w:rPr>
          <w:rtl/>
        </w:rPr>
        <w:t xml:space="preserve"> "עשרים ואחד או אחד ועשרים?", כתב העת "המעין", גיליון ניסן תשס"ט</w:t>
      </w:r>
      <w:r>
        <w:rPr>
          <w:rFonts w:hint="cs"/>
          <w:rtl/>
        </w:rPr>
        <w:t xml:space="preserve"> </w:t>
      </w:r>
      <w:r>
        <w:rPr>
          <w:rtl/>
        </w:rPr>
        <w:t>(</w:t>
      </w:r>
      <w:r>
        <w:rPr>
          <w:rFonts w:hint="cs"/>
          <w:rtl/>
        </w:rPr>
        <w:t>זמין</w:t>
      </w:r>
      <w:r>
        <w:rPr>
          <w:rtl/>
        </w:rPr>
        <w:t xml:space="preserve"> גם ב"מרשתת": </w:t>
      </w:r>
      <w:hyperlink r:id="rId2" w:history="1">
        <w:r>
          <w:rPr>
            <w:rStyle w:val="Hyperlink"/>
            <w:rFonts w:cs="Guttman Drogolin"/>
          </w:rPr>
          <w:t>http://www.shaalvim.co.il/uploads/files/09-C-3-25-42.pdf</w:t>
        </w:r>
      </w:hyperlink>
      <w:r>
        <w:rPr>
          <w:rtl/>
        </w:rPr>
        <w:t>). וְהָאֱמֶת וְהַשָּׁלוֹם אֱהָבוּ.</w:t>
      </w:r>
    </w:p>
  </w:footnote>
  <w:footnote w:id="141">
    <w:p w14:paraId="213FA308" w14:textId="77777777" w:rsidR="00940290" w:rsidRDefault="00940290" w:rsidP="00940290">
      <w:pPr>
        <w:pStyle w:val="a5"/>
        <w:rPr>
          <w:rFonts w:hint="cs"/>
          <w:rtl/>
        </w:rPr>
      </w:pPr>
      <w:r>
        <w:rPr>
          <w:rStyle w:val="a4"/>
          <w:rtl/>
        </w:rPr>
        <w:footnoteRef/>
      </w:r>
      <w:r>
        <w:rPr>
          <w:szCs w:val="22"/>
        </w:rPr>
        <w:t xml:space="preserve"> </w:t>
      </w:r>
      <w:r>
        <w:rPr>
          <w:rFonts w:hint="cs"/>
          <w:rtl/>
        </w:rPr>
        <w:t xml:space="preserve">לעומת </w:t>
      </w:r>
      <w:r>
        <w:rPr>
          <w:rtl/>
        </w:rPr>
        <w:t>חמש</w:t>
      </w:r>
      <w:r>
        <w:rPr>
          <w:rFonts w:hint="cs"/>
          <w:rtl/>
        </w:rPr>
        <w:t xml:space="preserve">ת </w:t>
      </w:r>
      <w:r>
        <w:rPr>
          <w:rtl/>
        </w:rPr>
        <w:t xml:space="preserve">הדברים </w:t>
      </w:r>
      <w:r>
        <w:rPr>
          <w:rFonts w:hint="cs"/>
          <w:rtl/>
        </w:rPr>
        <w:t>שֶמָנָה ב</w:t>
      </w:r>
      <w:r>
        <w:rPr>
          <w:rtl/>
        </w:rPr>
        <w:t>פרק ד</w:t>
      </w:r>
      <w:r>
        <w:rPr>
          <w:rFonts w:hint="cs"/>
          <w:rtl/>
        </w:rPr>
        <w:t>' שהם "</w:t>
      </w:r>
      <w:r>
        <w:rPr>
          <w:rtl/>
        </w:rPr>
        <w:t>מעכבין את התפלה אע"פ שהגיע זמנה</w:t>
      </w:r>
      <w:r>
        <w:rPr>
          <w:rFonts w:hint="cs"/>
          <w:rtl/>
        </w:rPr>
        <w:t>".</w:t>
      </w:r>
    </w:p>
  </w:footnote>
  <w:footnote w:id="142">
    <w:p w14:paraId="215E3D3B" w14:textId="77777777" w:rsidR="00940290" w:rsidRDefault="00940290" w:rsidP="00940290">
      <w:pPr>
        <w:pStyle w:val="a5"/>
        <w:rPr>
          <w:rFonts w:hint="cs"/>
          <w:rtl/>
        </w:rPr>
      </w:pPr>
      <w:r>
        <w:rPr>
          <w:rStyle w:val="a4"/>
          <w:rtl/>
        </w:rPr>
        <w:footnoteRef/>
      </w:r>
      <w:r>
        <w:rPr>
          <w:szCs w:val="22"/>
        </w:rPr>
        <w:t xml:space="preserve"> </w:t>
      </w:r>
      <w:r>
        <w:rPr>
          <w:rFonts w:hint="cs"/>
          <w:sz w:val="26"/>
          <w:rtl/>
        </w:rPr>
        <w:t>לשון חידושי הגר"ח מבריסק על הרמב"ם</w:t>
      </w:r>
      <w:r>
        <w:rPr>
          <w:rFonts w:hint="cs"/>
          <w:szCs w:val="20"/>
          <w:rtl/>
        </w:rPr>
        <w:t xml:space="preserve"> </w:t>
      </w:r>
      <w:r>
        <w:rPr>
          <w:rFonts w:hint="cs"/>
          <w:sz w:val="26"/>
          <w:rtl/>
        </w:rPr>
        <w:t xml:space="preserve">שם, </w:t>
      </w:r>
      <w:r>
        <w:rPr>
          <w:rFonts w:hint="cs"/>
          <w:rtl/>
        </w:rPr>
        <w:t xml:space="preserve">עי"ש. </w:t>
      </w:r>
      <w:r>
        <w:rPr>
          <w:rFonts w:hint="cs"/>
          <w:sz w:val="26"/>
          <w:rtl/>
        </w:rPr>
        <w:t>אע"פ שלהלכה חלקו עליו כמה פוסקים (כגון ה"חזון איש"), ראויים דבריו להתבוננות ולשינון לפחות כדברי מוסר והתעוררות על מנת להתחזק בעזרתם לכוון יותר בתפִלותינו</w:t>
      </w:r>
      <w:r>
        <w:rPr>
          <w:rFonts w:hint="cs"/>
          <w:rtl/>
        </w:rPr>
        <w:t xml:space="preserve">. וכבר אמרו </w:t>
      </w:r>
      <w:r>
        <w:rPr>
          <w:rFonts w:hint="cs"/>
          <w:sz w:val="26"/>
          <w:rtl/>
        </w:rPr>
        <w:t>חז"ל שתפלה היא אחד מ</w:t>
      </w:r>
      <w:r>
        <w:rPr>
          <w:sz w:val="26"/>
          <w:rtl/>
        </w:rPr>
        <w:t xml:space="preserve">ארבעה </w:t>
      </w:r>
      <w:r>
        <w:rPr>
          <w:rFonts w:hint="cs"/>
          <w:sz w:val="26"/>
          <w:rtl/>
        </w:rPr>
        <w:t>הצריכין כל העת חיזוק (</w:t>
      </w:r>
      <w:r>
        <w:rPr>
          <w:sz w:val="26"/>
          <w:rtl/>
        </w:rPr>
        <w:t xml:space="preserve">ברכות </w:t>
      </w:r>
      <w:r>
        <w:rPr>
          <w:sz w:val="18"/>
          <w:szCs w:val="20"/>
          <w:rtl/>
        </w:rPr>
        <w:t>לב</w:t>
      </w:r>
      <w:r>
        <w:rPr>
          <w:rFonts w:hint="cs"/>
          <w:sz w:val="18"/>
          <w:szCs w:val="20"/>
          <w:rtl/>
        </w:rPr>
        <w:t xml:space="preserve">, </w:t>
      </w:r>
      <w:r>
        <w:rPr>
          <w:sz w:val="18"/>
          <w:szCs w:val="20"/>
          <w:rtl/>
        </w:rPr>
        <w:t>ב</w:t>
      </w:r>
      <w:r>
        <w:rPr>
          <w:rFonts w:hint="cs"/>
          <w:sz w:val="26"/>
          <w:rtl/>
        </w:rPr>
        <w:t>).</w:t>
      </w:r>
    </w:p>
  </w:footnote>
  <w:footnote w:id="143">
    <w:p w14:paraId="375FCA50" w14:textId="77777777" w:rsidR="00940290" w:rsidRDefault="00940290" w:rsidP="00940290">
      <w:pPr>
        <w:pStyle w:val="a5"/>
        <w:rPr>
          <w:rFonts w:hint="cs"/>
          <w:rtl/>
        </w:rPr>
      </w:pPr>
      <w:r>
        <w:rPr>
          <w:rStyle w:val="a4"/>
        </w:rPr>
        <w:footnoteRef/>
      </w:r>
      <w:r>
        <w:rPr>
          <w:rFonts w:hint="cs"/>
          <w:rtl/>
        </w:rPr>
        <w:t xml:space="preserve"> השוה לדברי הראי"ה קוק בעין אי"ה (ביאורו על "עין יעקב") על אתר:</w:t>
      </w:r>
    </w:p>
    <w:p w14:paraId="70E13CA5" w14:textId="77777777" w:rsidR="00940290" w:rsidRDefault="00940290" w:rsidP="00940290">
      <w:pPr>
        <w:pStyle w:val="a5"/>
        <w:ind w:left="720"/>
        <w:rPr>
          <w:rFonts w:hint="cs"/>
          <w:rtl/>
        </w:rPr>
      </w:pPr>
      <w:r>
        <w:rPr>
          <w:rFonts w:hint="cs"/>
          <w:rtl/>
        </w:rPr>
        <w:t>"</w:t>
      </w:r>
      <w:r>
        <w:rPr>
          <w:rtl/>
        </w:rPr>
        <w:t>בהיות האדם נוטה אל החכמה והדעת, אל כבוד ד' וע</w:t>
      </w:r>
      <w:r>
        <w:rPr>
          <w:rFonts w:hint="cs"/>
          <w:rtl/>
        </w:rPr>
        <w:t>ֻ</w:t>
      </w:r>
      <w:r>
        <w:rPr>
          <w:rtl/>
        </w:rPr>
        <w:t xml:space="preserve">זו, ממילא הוא מתעלה </w:t>
      </w:r>
      <w:r>
        <w:rPr>
          <w:rFonts w:hint="eastAsia"/>
          <w:rtl/>
        </w:rPr>
        <w:t>בדרכיו ומתקדש</w:t>
      </w:r>
      <w:r>
        <w:rPr>
          <w:rtl/>
        </w:rPr>
        <w:t xml:space="preserve"> במעשיו, ועובד את בוראו מאהבה</w:t>
      </w:r>
      <w:r>
        <w:rPr>
          <w:rFonts w:hint="cs"/>
          <w:rtl/>
        </w:rPr>
        <w:t xml:space="preserve">... </w:t>
      </w:r>
      <w:r>
        <w:rPr>
          <w:rtl/>
        </w:rPr>
        <w:t>הנטיה הזאת צריכה שמירה ביחש</w:t>
      </w:r>
      <w:r>
        <w:rPr>
          <w:rFonts w:hint="cs"/>
          <w:rtl/>
        </w:rPr>
        <w:t>ׂ</w:t>
      </w:r>
      <w:r>
        <w:rPr>
          <w:rtl/>
        </w:rPr>
        <w:t xml:space="preserve"> אל הזהירות במעשה רק מדעה אחת רעה, שלא יחשוב </w:t>
      </w:r>
      <w:r>
        <w:rPr>
          <w:rFonts w:hint="eastAsia"/>
          <w:rtl/>
        </w:rPr>
        <w:t>האדם שכאשר</w:t>
      </w:r>
      <w:r>
        <w:rPr>
          <w:rtl/>
        </w:rPr>
        <w:t xml:space="preserve"> כבר מעלתו רמה ונפשו נוטה אל אור ד' ואהבתו, שהוא אינו צריך להיות כ</w:t>
      </w:r>
      <w:r>
        <w:rPr>
          <w:rFonts w:hint="cs"/>
          <w:rtl/>
        </w:rPr>
        <w:t xml:space="preserve">ל </w:t>
      </w:r>
      <w:r>
        <w:rPr>
          <w:rtl/>
        </w:rPr>
        <w:t>כ</w:t>
      </w:r>
      <w:r>
        <w:rPr>
          <w:rFonts w:hint="cs"/>
          <w:rtl/>
        </w:rPr>
        <w:t>ך</w:t>
      </w:r>
      <w:r>
        <w:rPr>
          <w:rtl/>
        </w:rPr>
        <w:t xml:space="preserve"> </w:t>
      </w:r>
      <w:r>
        <w:rPr>
          <w:rFonts w:hint="eastAsia"/>
          <w:rtl/>
        </w:rPr>
        <w:t>מדקדק</w:t>
      </w:r>
      <w:r>
        <w:rPr>
          <w:rtl/>
        </w:rPr>
        <w:t xml:space="preserve"> במעשים פרטיים, שהם לדעתו</w:t>
      </w:r>
      <w:r>
        <w:rPr>
          <w:rFonts w:hint="cs"/>
          <w:rtl/>
        </w:rPr>
        <w:t xml:space="preserve"> </w:t>
      </w:r>
      <w:r>
        <w:rPr>
          <w:rtl/>
        </w:rPr>
        <w:t>אינם כ</w:t>
      </w:r>
      <w:r>
        <w:rPr>
          <w:rFonts w:hint="cs"/>
          <w:rtl/>
        </w:rPr>
        <w:t xml:space="preserve">י </w:t>
      </w:r>
      <w:r>
        <w:rPr>
          <w:rtl/>
        </w:rPr>
        <w:t>א</w:t>
      </w:r>
      <w:r>
        <w:rPr>
          <w:rFonts w:hint="cs"/>
          <w:rtl/>
        </w:rPr>
        <w:t>ם</w:t>
      </w:r>
      <w:r>
        <w:rPr>
          <w:rtl/>
        </w:rPr>
        <w:t xml:space="preserve"> בתור הערות לכונן צעדיו אל המושכלות </w:t>
      </w:r>
      <w:r>
        <w:rPr>
          <w:rFonts w:hint="eastAsia"/>
          <w:rtl/>
        </w:rPr>
        <w:t>והנטיות הטובות</w:t>
      </w:r>
      <w:r>
        <w:rPr>
          <w:rtl/>
        </w:rPr>
        <w:t xml:space="preserve"> למי שלא הגיע עדיין עליהם. ומזאת המכש</w:t>
      </w:r>
      <w:r>
        <w:rPr>
          <w:rFonts w:hint="cs"/>
          <w:rtl/>
        </w:rPr>
        <w:t>ֵ</w:t>
      </w:r>
      <w:r>
        <w:rPr>
          <w:rtl/>
        </w:rPr>
        <w:t xml:space="preserve">לה יצאה פעמים רבות שערוריה </w:t>
      </w:r>
      <w:r>
        <w:rPr>
          <w:rFonts w:hint="eastAsia"/>
          <w:rtl/>
        </w:rPr>
        <w:t>בישראל</w:t>
      </w:r>
      <w:r>
        <w:rPr>
          <w:rtl/>
        </w:rPr>
        <w:t xml:space="preserve"> ובאדם. ע</w:t>
      </w:r>
      <w:r>
        <w:rPr>
          <w:rFonts w:hint="cs"/>
          <w:rtl/>
        </w:rPr>
        <w:t xml:space="preserve">ל </w:t>
      </w:r>
      <w:r>
        <w:rPr>
          <w:rtl/>
        </w:rPr>
        <w:t>כ</w:t>
      </w:r>
      <w:r>
        <w:rPr>
          <w:rFonts w:hint="cs"/>
          <w:rtl/>
        </w:rPr>
        <w:t>ן</w:t>
      </w:r>
      <w:r>
        <w:rPr>
          <w:rtl/>
        </w:rPr>
        <w:t xml:space="preserve"> צריך לסמן כי תמיד על האדם להיות מכין עצמו לקראת אלהיו</w:t>
      </w:r>
      <w:r>
        <w:rPr>
          <w:rFonts w:hint="cs"/>
          <w:rtl/>
        </w:rPr>
        <w:t>...</w:t>
      </w:r>
      <w:r>
        <w:rPr>
          <w:rtl/>
        </w:rPr>
        <w:t xml:space="preserve"> ע</w:t>
      </w:r>
      <w:r>
        <w:rPr>
          <w:rFonts w:hint="cs"/>
          <w:rtl/>
        </w:rPr>
        <w:t xml:space="preserve">ל </w:t>
      </w:r>
      <w:r>
        <w:rPr>
          <w:rtl/>
        </w:rPr>
        <w:t>כ</w:t>
      </w:r>
      <w:r>
        <w:rPr>
          <w:rFonts w:hint="cs"/>
          <w:rtl/>
        </w:rPr>
        <w:t>ן</w:t>
      </w:r>
      <w:r>
        <w:rPr>
          <w:rtl/>
        </w:rPr>
        <w:t xml:space="preserve"> גם במעשים היותר חיצונים צריך להיות </w:t>
      </w:r>
      <w:r>
        <w:rPr>
          <w:rFonts w:hint="eastAsia"/>
          <w:rtl/>
        </w:rPr>
        <w:t>זהיר</w:t>
      </w:r>
      <w:r>
        <w:rPr>
          <w:rtl/>
        </w:rPr>
        <w:t xml:space="preserve"> הרבה עם רוממות מעלתו, כמו שאמר הכתוב</w:t>
      </w:r>
      <w:r>
        <w:rPr>
          <w:rFonts w:hint="cs"/>
          <w:rtl/>
        </w:rPr>
        <w:t xml:space="preserve"> '</w:t>
      </w:r>
      <w:r>
        <w:rPr>
          <w:rtl/>
        </w:rPr>
        <w:t xml:space="preserve">שמור </w:t>
      </w:r>
      <w:r>
        <w:rPr>
          <w:rFonts w:hint="cs"/>
          <w:rtl/>
        </w:rPr>
        <w:t xml:space="preserve">רַגְלְיךָ </w:t>
      </w:r>
      <w:r>
        <w:rPr>
          <w:rtl/>
        </w:rPr>
        <w:t xml:space="preserve">כאשר </w:t>
      </w:r>
      <w:r>
        <w:rPr>
          <w:rFonts w:hint="cs"/>
          <w:rtl/>
        </w:rPr>
        <w:t xml:space="preserve">תֵּלֵךְ </w:t>
      </w:r>
      <w:r>
        <w:rPr>
          <w:rtl/>
        </w:rPr>
        <w:t>אל בית האלהים</w:t>
      </w:r>
      <w:r>
        <w:rPr>
          <w:rFonts w:hint="cs"/>
          <w:rtl/>
        </w:rPr>
        <w:t>' (</w:t>
      </w:r>
      <w:r>
        <w:rPr>
          <w:rFonts w:hint="cs"/>
          <w:sz w:val="18"/>
          <w:szCs w:val="20"/>
          <w:rtl/>
        </w:rPr>
        <w:t>קהלת ד, יז</w:t>
      </w:r>
      <w:r>
        <w:rPr>
          <w:rFonts w:hint="cs"/>
          <w:rtl/>
        </w:rPr>
        <w:t>)</w:t>
      </w:r>
      <w:r>
        <w:rPr>
          <w:rtl/>
        </w:rPr>
        <w:t xml:space="preserve">, </w:t>
      </w:r>
      <w:r>
        <w:rPr>
          <w:rFonts w:hint="eastAsia"/>
          <w:rtl/>
        </w:rPr>
        <w:t>כלומר בהתנשאך</w:t>
      </w:r>
      <w:r>
        <w:rPr>
          <w:rtl/>
        </w:rPr>
        <w:t xml:space="preserve"> לחקר ש</w:t>
      </w:r>
      <w:r>
        <w:rPr>
          <w:rFonts w:hint="cs"/>
          <w:rtl/>
        </w:rPr>
        <w:t>ׁ</w:t>
      </w:r>
      <w:r>
        <w:rPr>
          <w:rtl/>
        </w:rPr>
        <w:t>די</w:t>
      </w:r>
      <w:r>
        <w:rPr>
          <w:rFonts w:hint="cs"/>
          <w:rtl/>
        </w:rPr>
        <w:t xml:space="preserve"> (</w:t>
      </w:r>
      <w:r>
        <w:rPr>
          <w:rFonts w:hint="cs"/>
          <w:sz w:val="18"/>
          <w:szCs w:val="20"/>
          <w:rtl/>
        </w:rPr>
        <w:t>ע"פ איוב יא, ז</w:t>
      </w:r>
      <w:r>
        <w:rPr>
          <w:rFonts w:hint="cs"/>
          <w:rtl/>
        </w:rPr>
        <w:t>)</w:t>
      </w:r>
      <w:r>
        <w:rPr>
          <w:rtl/>
        </w:rPr>
        <w:t xml:space="preserve"> ולחשק באהבת אור ד'</w:t>
      </w:r>
      <w:r>
        <w:rPr>
          <w:rFonts w:hint="cs"/>
          <w:rtl/>
        </w:rPr>
        <w:t>,</w:t>
      </w:r>
      <w:r>
        <w:rPr>
          <w:rtl/>
        </w:rPr>
        <w:t xml:space="preserve"> תשמור עצמך מכל הסרה מעשית</w:t>
      </w:r>
      <w:r>
        <w:rPr>
          <w:rFonts w:hint="cs"/>
          <w:rtl/>
        </w:rPr>
        <w:t>,</w:t>
      </w:r>
      <w:r>
        <w:rPr>
          <w:rtl/>
        </w:rPr>
        <w:t xml:space="preserve"> גם היותר קלה </w:t>
      </w:r>
      <w:r>
        <w:rPr>
          <w:rFonts w:hint="eastAsia"/>
          <w:rtl/>
        </w:rPr>
        <w:t>ונמוכה</w:t>
      </w:r>
      <w:r>
        <w:rPr>
          <w:rtl/>
        </w:rPr>
        <w:t xml:space="preserve">, כי זה כל האדם באשר הוא אדם וכל ימיו נתונים המה להיות מכין עצמו לקראת </w:t>
      </w:r>
      <w:r>
        <w:rPr>
          <w:rFonts w:hint="eastAsia"/>
          <w:rtl/>
        </w:rPr>
        <w:t>אלהיו</w:t>
      </w:r>
      <w:r>
        <w:rPr>
          <w:rtl/>
        </w:rPr>
        <w:t>. ובסורו מדרך הטובה המעשית כבר א</w:t>
      </w:r>
      <w:r>
        <w:rPr>
          <w:rFonts w:hint="cs"/>
          <w:rtl/>
        </w:rPr>
        <w:t>ִ</w:t>
      </w:r>
      <w:r>
        <w:rPr>
          <w:rtl/>
        </w:rPr>
        <w:t>ב</w:t>
      </w:r>
      <w:r>
        <w:rPr>
          <w:rFonts w:hint="cs"/>
          <w:rtl/>
        </w:rPr>
        <w:t>ֵּ</w:t>
      </w:r>
      <w:r>
        <w:rPr>
          <w:rtl/>
        </w:rPr>
        <w:t xml:space="preserve">ד את הכנתו ולא יזכה לאור היושר האלהי </w:t>
      </w:r>
      <w:r>
        <w:rPr>
          <w:rFonts w:hint="eastAsia"/>
          <w:rtl/>
        </w:rPr>
        <w:t>שיופיע</w:t>
      </w:r>
      <w:r>
        <w:rPr>
          <w:rtl/>
        </w:rPr>
        <w:t xml:space="preserve"> בנפשו</w:t>
      </w:r>
      <w:r>
        <w:rPr>
          <w:rFonts w:hint="cs"/>
          <w:rtl/>
        </w:rPr>
        <w:t>"</w:t>
      </w:r>
      <w:r>
        <w:rPr>
          <w:rtl/>
        </w:rPr>
        <w:t>. </w:t>
      </w:r>
    </w:p>
  </w:footnote>
  <w:footnote w:id="144">
    <w:p w14:paraId="0BE08121" w14:textId="77777777" w:rsidR="00940290" w:rsidRDefault="00940290" w:rsidP="00940290">
      <w:pPr>
        <w:pStyle w:val="a5"/>
        <w:rPr>
          <w:rFonts w:hint="cs"/>
          <w:rtl/>
        </w:rPr>
      </w:pPr>
      <w:r>
        <w:rPr>
          <w:rStyle w:val="a4"/>
          <w:rtl/>
        </w:rPr>
        <w:footnoteRef/>
      </w:r>
      <w:r>
        <w:rPr>
          <w:szCs w:val="22"/>
        </w:rPr>
        <w:t xml:space="preserve"> </w:t>
      </w:r>
      <w:r>
        <w:rPr>
          <w:rFonts w:hint="cs"/>
          <w:rtl/>
        </w:rPr>
        <w:t>זוהי כותרת הסימן בשו"ע. בטור: "כוונתו בתפלה ולעשותה כקרבן, ולהסיר דברים המונעים את הכוונה".</w:t>
      </w:r>
    </w:p>
  </w:footnote>
  <w:footnote w:id="145">
    <w:p w14:paraId="3EC673C7" w14:textId="77777777" w:rsidR="00940290" w:rsidRDefault="00940290" w:rsidP="00940290">
      <w:pPr>
        <w:pStyle w:val="a5"/>
        <w:rPr>
          <w:rFonts w:hint="cs"/>
          <w:rtl/>
        </w:rPr>
      </w:pPr>
      <w:r>
        <w:rPr>
          <w:rStyle w:val="a4"/>
          <w:rtl/>
        </w:rPr>
        <w:footnoteRef/>
      </w:r>
      <w:r>
        <w:t xml:space="preserve"> </w:t>
      </w:r>
      <w:r>
        <w:rPr>
          <w:rFonts w:hint="cs"/>
          <w:rtl/>
        </w:rPr>
        <w:t>רגישותו של בעל הטורים למעוטי יכולת כלכלית באה לידי ביטוי במקומות נוספים. השוה לדבריו בטור או"ח, סימן רמב: "</w:t>
      </w:r>
      <w:r>
        <w:rPr>
          <w:sz w:val="24"/>
          <w:rtl/>
          <w:lang w:eastAsia="he-IL"/>
        </w:rPr>
        <w:t>וכמה פעמים נשאתי ונתתי בדבר לפני א"א ז"ל</w:t>
      </w:r>
      <w:r>
        <w:rPr>
          <w:rFonts w:hint="cs"/>
          <w:sz w:val="24"/>
          <w:rtl/>
          <w:lang w:eastAsia="he-IL"/>
        </w:rPr>
        <w:t>,</w:t>
      </w:r>
      <w:r>
        <w:rPr>
          <w:sz w:val="24"/>
          <w:rtl/>
          <w:lang w:eastAsia="he-IL"/>
        </w:rPr>
        <w:t xml:space="preserve"> כמוני היום שיש לי מעט משלי ואינו מספיק לי וצריך אני לאחרים</w:t>
      </w:r>
      <w:r>
        <w:rPr>
          <w:rFonts w:hint="cs"/>
          <w:sz w:val="24"/>
          <w:rtl/>
          <w:lang w:eastAsia="he-IL"/>
        </w:rPr>
        <w:t>,</w:t>
      </w:r>
      <w:r>
        <w:rPr>
          <w:sz w:val="24"/>
          <w:rtl/>
          <w:lang w:eastAsia="he-IL"/>
        </w:rPr>
        <w:t xml:space="preserve"> אם אני בכלל </w:t>
      </w:r>
      <w:r>
        <w:rPr>
          <w:rFonts w:hint="cs"/>
          <w:sz w:val="24"/>
          <w:rtl/>
          <w:lang w:eastAsia="he-IL"/>
        </w:rPr>
        <w:t>'</w:t>
      </w:r>
      <w:r>
        <w:rPr>
          <w:sz w:val="24"/>
          <w:rtl/>
          <w:lang w:eastAsia="he-IL"/>
        </w:rPr>
        <w:t>עשה שבתך חול</w:t>
      </w:r>
      <w:r>
        <w:rPr>
          <w:rFonts w:hint="cs"/>
          <w:sz w:val="24"/>
          <w:rtl/>
          <w:lang w:eastAsia="he-IL"/>
        </w:rPr>
        <w:t>'</w:t>
      </w:r>
      <w:r>
        <w:rPr>
          <w:sz w:val="24"/>
          <w:rtl/>
          <w:lang w:eastAsia="he-IL"/>
        </w:rPr>
        <w:t xml:space="preserve"> אם לאו</w:t>
      </w:r>
      <w:r>
        <w:rPr>
          <w:rFonts w:hint="cs"/>
          <w:sz w:val="24"/>
          <w:rtl/>
          <w:lang w:eastAsia="he-IL"/>
        </w:rPr>
        <w:t>".</w:t>
      </w:r>
    </w:p>
  </w:footnote>
  <w:footnote w:id="146">
    <w:p w14:paraId="5E547A40" w14:textId="77777777" w:rsidR="00940290" w:rsidRDefault="00940290" w:rsidP="00940290">
      <w:pPr>
        <w:pStyle w:val="a5"/>
        <w:rPr>
          <w:rFonts w:hint="cs"/>
          <w:rtl/>
        </w:rPr>
      </w:pPr>
      <w:r>
        <w:rPr>
          <w:rStyle w:val="a4"/>
          <w:rtl/>
        </w:rPr>
        <w:footnoteRef/>
      </w:r>
      <w:r>
        <w:rPr>
          <w:szCs w:val="22"/>
        </w:rPr>
        <w:t xml:space="preserve"> </w:t>
      </w:r>
      <w:r>
        <w:rPr>
          <w:rFonts w:hint="cs"/>
          <w:rtl/>
        </w:rPr>
        <w:t xml:space="preserve">איני יודע מהיכן שאב בעל הטורים רעיון זה, ובפרט מה שכתב שלכל הפחות </w:t>
      </w:r>
      <w:r>
        <w:rPr>
          <w:rtl/>
        </w:rPr>
        <w:t>יהיו לו מכנסים מיוחדים לתפלה</w:t>
      </w:r>
      <w:r>
        <w:rPr>
          <w:rFonts w:hint="cs"/>
          <w:rtl/>
        </w:rPr>
        <w:t>. האם כך הוא פרש את "פוזמקי"?</w:t>
      </w:r>
    </w:p>
  </w:footnote>
  <w:footnote w:id="147">
    <w:p w14:paraId="69E2C4BC" w14:textId="77777777" w:rsidR="00940290" w:rsidRDefault="00940290" w:rsidP="00940290">
      <w:pPr>
        <w:pStyle w:val="a5"/>
        <w:rPr>
          <w:rFonts w:hint="cs"/>
          <w:rtl/>
        </w:rPr>
      </w:pPr>
      <w:r>
        <w:rPr>
          <w:rStyle w:val="a4"/>
        </w:rPr>
        <w:footnoteRef/>
      </w:r>
      <w:r>
        <w:rPr>
          <w:rFonts w:hint="cs"/>
          <w:rtl/>
        </w:rPr>
        <w:t xml:space="preserve"> להלן </w:t>
      </w:r>
      <w:r>
        <w:rPr>
          <w:sz w:val="24"/>
          <w:rtl/>
          <w:lang w:eastAsia="he-IL"/>
        </w:rPr>
        <w:t>דף קלג</w:t>
      </w:r>
      <w:r>
        <w:rPr>
          <w:rFonts w:hint="cs"/>
          <w:sz w:val="24"/>
          <w:rtl/>
          <w:lang w:eastAsia="he-IL"/>
        </w:rPr>
        <w:t xml:space="preserve">, </w:t>
      </w:r>
      <w:r>
        <w:rPr>
          <w:sz w:val="24"/>
          <w:rtl/>
          <w:lang w:eastAsia="he-IL"/>
        </w:rPr>
        <w:t xml:space="preserve">ב </w:t>
      </w:r>
      <w:r>
        <w:rPr>
          <w:rFonts w:hint="cs"/>
          <w:sz w:val="24"/>
          <w:rtl/>
          <w:lang w:eastAsia="he-IL"/>
        </w:rPr>
        <w:t>(וכן ב</w:t>
      </w:r>
      <w:r>
        <w:rPr>
          <w:sz w:val="24"/>
          <w:rtl/>
          <w:lang w:eastAsia="he-IL"/>
        </w:rPr>
        <w:t xml:space="preserve">סוכה </w:t>
      </w:r>
      <w:r>
        <w:rPr>
          <w:sz w:val="18"/>
          <w:szCs w:val="20"/>
          <w:rtl/>
          <w:lang w:eastAsia="he-IL"/>
        </w:rPr>
        <w:t>יא</w:t>
      </w:r>
      <w:r>
        <w:rPr>
          <w:rFonts w:hint="cs"/>
          <w:sz w:val="18"/>
          <w:szCs w:val="20"/>
          <w:rtl/>
          <w:lang w:eastAsia="he-IL"/>
        </w:rPr>
        <w:t xml:space="preserve">, </w:t>
      </w:r>
      <w:r>
        <w:rPr>
          <w:sz w:val="18"/>
          <w:szCs w:val="20"/>
          <w:rtl/>
          <w:lang w:eastAsia="he-IL"/>
        </w:rPr>
        <w:t xml:space="preserve">ב </w:t>
      </w:r>
      <w:r>
        <w:rPr>
          <w:rFonts w:hint="cs"/>
          <w:sz w:val="24"/>
          <w:rtl/>
          <w:lang w:eastAsia="he-IL"/>
        </w:rPr>
        <w:t>וב</w:t>
      </w:r>
      <w:r>
        <w:rPr>
          <w:sz w:val="24"/>
          <w:rtl/>
          <w:lang w:eastAsia="he-IL"/>
        </w:rPr>
        <w:t xml:space="preserve">נזיר </w:t>
      </w:r>
      <w:r>
        <w:rPr>
          <w:sz w:val="18"/>
          <w:szCs w:val="20"/>
          <w:rtl/>
          <w:lang w:eastAsia="he-IL"/>
        </w:rPr>
        <w:t>ב</w:t>
      </w:r>
      <w:r>
        <w:rPr>
          <w:rFonts w:hint="cs"/>
          <w:sz w:val="18"/>
          <w:szCs w:val="20"/>
          <w:rtl/>
          <w:lang w:eastAsia="he-IL"/>
        </w:rPr>
        <w:t xml:space="preserve">, </w:t>
      </w:r>
      <w:r>
        <w:rPr>
          <w:sz w:val="18"/>
          <w:szCs w:val="20"/>
          <w:rtl/>
          <w:lang w:eastAsia="he-IL"/>
        </w:rPr>
        <w:t>ב</w:t>
      </w:r>
      <w:r>
        <w:rPr>
          <w:rFonts w:hint="cs"/>
          <w:sz w:val="24"/>
          <w:rtl/>
          <w:lang w:eastAsia="he-IL"/>
        </w:rPr>
        <w:t>) נדרש הכתוב בשירת הים: "</w:t>
      </w:r>
      <w:r>
        <w:rPr>
          <w:sz w:val="24"/>
          <w:rtl/>
          <w:lang w:eastAsia="he-IL"/>
        </w:rPr>
        <w:t>וְאַנְוֵהוּ</w:t>
      </w:r>
      <w:r>
        <w:rPr>
          <w:rFonts w:hint="cs"/>
          <w:sz w:val="24"/>
          <w:rtl/>
          <w:lang w:eastAsia="he-IL"/>
        </w:rPr>
        <w:t>" (</w:t>
      </w:r>
      <w:r>
        <w:rPr>
          <w:sz w:val="18"/>
          <w:szCs w:val="20"/>
          <w:rtl/>
          <w:lang w:eastAsia="he-IL"/>
        </w:rPr>
        <w:t>שמות טו</w:t>
      </w:r>
      <w:r>
        <w:rPr>
          <w:rFonts w:hint="cs"/>
          <w:sz w:val="18"/>
          <w:szCs w:val="20"/>
          <w:rtl/>
          <w:lang w:eastAsia="he-IL"/>
        </w:rPr>
        <w:t xml:space="preserve">, </w:t>
      </w:r>
      <w:r>
        <w:rPr>
          <w:sz w:val="18"/>
          <w:szCs w:val="20"/>
          <w:rtl/>
          <w:lang w:eastAsia="he-IL"/>
        </w:rPr>
        <w:t>ב</w:t>
      </w:r>
      <w:r>
        <w:rPr>
          <w:rFonts w:hint="cs"/>
          <w:sz w:val="24"/>
          <w:rtl/>
          <w:lang w:eastAsia="he-IL"/>
        </w:rPr>
        <w:t>) לעניין המצוה ל</w:t>
      </w:r>
      <w:r>
        <w:rPr>
          <w:sz w:val="24"/>
          <w:rtl/>
          <w:lang w:eastAsia="he-IL"/>
        </w:rPr>
        <w:t>התנא</w:t>
      </w:r>
      <w:r>
        <w:rPr>
          <w:rFonts w:hint="cs"/>
          <w:sz w:val="24"/>
          <w:rtl/>
          <w:lang w:eastAsia="he-IL"/>
        </w:rPr>
        <w:t>ות</w:t>
      </w:r>
      <w:r>
        <w:rPr>
          <w:sz w:val="24"/>
          <w:rtl/>
          <w:lang w:eastAsia="he-IL"/>
        </w:rPr>
        <w:t xml:space="preserve"> לפני</w:t>
      </w:r>
      <w:r>
        <w:rPr>
          <w:rFonts w:hint="cs"/>
          <w:sz w:val="24"/>
          <w:rtl/>
          <w:lang w:eastAsia="he-IL"/>
        </w:rPr>
        <w:t xml:space="preserve"> ה'</w:t>
      </w:r>
      <w:r>
        <w:rPr>
          <w:sz w:val="24"/>
          <w:rtl/>
          <w:lang w:eastAsia="he-IL"/>
        </w:rPr>
        <w:t xml:space="preserve"> במצו</w:t>
      </w:r>
      <w:r>
        <w:rPr>
          <w:rFonts w:hint="cs"/>
          <w:sz w:val="24"/>
          <w:rtl/>
          <w:lang w:eastAsia="he-IL"/>
        </w:rPr>
        <w:t>ו</w:t>
      </w:r>
      <w:r>
        <w:rPr>
          <w:sz w:val="24"/>
          <w:rtl/>
          <w:lang w:eastAsia="he-IL"/>
        </w:rPr>
        <w:t>ת</w:t>
      </w:r>
      <w:r>
        <w:rPr>
          <w:rFonts w:hint="cs"/>
          <w:sz w:val="24"/>
          <w:rtl/>
          <w:lang w:eastAsia="he-IL"/>
        </w:rPr>
        <w:t xml:space="preserve"> (מצוה זו מדרבנן ולא מה"ת</w:t>
      </w:r>
      <w:r>
        <w:rPr>
          <w:rFonts w:hint="cs"/>
          <w:sz w:val="18"/>
          <w:szCs w:val="20"/>
          <w:rtl/>
          <w:lang w:eastAsia="he-IL"/>
        </w:rPr>
        <w:t>; ראה ריטב"א בסוכה שם ו</w:t>
      </w:r>
      <w:r>
        <w:rPr>
          <w:sz w:val="18"/>
          <w:szCs w:val="20"/>
          <w:rtl/>
          <w:lang w:eastAsia="he-IL"/>
        </w:rPr>
        <w:t>שו"ת שואל ומשיב מהדורה א ח"ג סימן רז</w:t>
      </w:r>
      <w:r>
        <w:rPr>
          <w:rFonts w:hint="cs"/>
          <w:sz w:val="18"/>
          <w:szCs w:val="20"/>
          <w:rtl/>
          <w:lang w:eastAsia="he-IL"/>
        </w:rPr>
        <w:t xml:space="preserve">; </w:t>
      </w:r>
      <w:r>
        <w:rPr>
          <w:sz w:val="18"/>
          <w:szCs w:val="20"/>
          <w:rtl/>
          <w:lang w:eastAsia="he-IL"/>
        </w:rPr>
        <w:t>שו"ת עין יצחק ח</w:t>
      </w:r>
      <w:r>
        <w:rPr>
          <w:rFonts w:hint="cs"/>
          <w:sz w:val="18"/>
          <w:szCs w:val="20"/>
          <w:rtl/>
          <w:lang w:eastAsia="he-IL"/>
        </w:rPr>
        <w:t xml:space="preserve">"א </w:t>
      </w:r>
      <w:r>
        <w:rPr>
          <w:sz w:val="18"/>
          <w:szCs w:val="20"/>
          <w:rtl/>
          <w:lang w:eastAsia="he-IL"/>
        </w:rPr>
        <w:t>או"ח סימן ד</w:t>
      </w:r>
      <w:r>
        <w:rPr>
          <w:rFonts w:hint="cs"/>
          <w:sz w:val="18"/>
          <w:szCs w:val="20"/>
          <w:rtl/>
          <w:lang w:eastAsia="he-IL"/>
        </w:rPr>
        <w:t xml:space="preserve">; </w:t>
      </w:r>
      <w:r>
        <w:rPr>
          <w:sz w:val="18"/>
          <w:szCs w:val="20"/>
          <w:rtl/>
          <w:lang w:eastAsia="he-IL"/>
        </w:rPr>
        <w:t>שו"ת מהרש"ם ח</w:t>
      </w:r>
      <w:r>
        <w:rPr>
          <w:rFonts w:hint="cs"/>
          <w:sz w:val="18"/>
          <w:szCs w:val="20"/>
          <w:rtl/>
          <w:lang w:eastAsia="he-IL"/>
        </w:rPr>
        <w:t>"</w:t>
      </w:r>
      <w:r>
        <w:rPr>
          <w:sz w:val="18"/>
          <w:szCs w:val="20"/>
          <w:rtl/>
          <w:lang w:eastAsia="he-IL"/>
        </w:rPr>
        <w:t>ו סימן ג</w:t>
      </w:r>
      <w:r>
        <w:rPr>
          <w:rFonts w:hint="cs"/>
          <w:sz w:val="24"/>
          <w:rtl/>
          <w:lang w:eastAsia="he-IL"/>
        </w:rPr>
        <w:t>)</w:t>
      </w:r>
      <w:r>
        <w:rPr>
          <w:sz w:val="24"/>
          <w:rtl/>
          <w:lang w:eastAsia="he-IL"/>
        </w:rPr>
        <w:t>.</w:t>
      </w:r>
      <w:r>
        <w:rPr>
          <w:rFonts w:hint="cs"/>
          <w:sz w:val="24"/>
          <w:rtl/>
          <w:lang w:eastAsia="he-IL"/>
        </w:rPr>
        <w:t xml:space="preserve"> וראה דברי </w:t>
      </w:r>
      <w:r>
        <w:rPr>
          <w:rtl/>
          <w:lang w:eastAsia="he-IL"/>
        </w:rPr>
        <w:t xml:space="preserve">הרב פנחס זביחי </w:t>
      </w:r>
      <w:r>
        <w:rPr>
          <w:rFonts w:hint="cs"/>
          <w:rtl/>
          <w:lang w:eastAsia="he-IL"/>
        </w:rPr>
        <w:t>(</w:t>
      </w:r>
      <w:r>
        <w:rPr>
          <w:rtl/>
        </w:rPr>
        <w:t xml:space="preserve">שו"ת עטרת פז </w:t>
      </w:r>
      <w:r>
        <w:rPr>
          <w:sz w:val="18"/>
          <w:szCs w:val="20"/>
          <w:rtl/>
        </w:rPr>
        <w:t>ח</w:t>
      </w:r>
      <w:r>
        <w:rPr>
          <w:rFonts w:hint="cs"/>
          <w:sz w:val="18"/>
          <w:szCs w:val="20"/>
          <w:rtl/>
        </w:rPr>
        <w:t xml:space="preserve">"א, </w:t>
      </w:r>
      <w:r>
        <w:rPr>
          <w:sz w:val="18"/>
          <w:szCs w:val="20"/>
          <w:rtl/>
        </w:rPr>
        <w:t>ב</w:t>
      </w:r>
      <w:r>
        <w:rPr>
          <w:rFonts w:hint="cs"/>
          <w:sz w:val="18"/>
          <w:szCs w:val="20"/>
          <w:rtl/>
        </w:rPr>
        <w:t xml:space="preserve">, </w:t>
      </w:r>
      <w:r>
        <w:rPr>
          <w:sz w:val="18"/>
          <w:szCs w:val="20"/>
          <w:rtl/>
        </w:rPr>
        <w:t>יו"ד סימן ז</w:t>
      </w:r>
      <w:r>
        <w:rPr>
          <w:rFonts w:hint="cs"/>
          <w:sz w:val="18"/>
          <w:szCs w:val="20"/>
          <w:rtl/>
        </w:rPr>
        <w:t>'</w:t>
      </w:r>
      <w:r>
        <w:rPr>
          <w:rFonts w:hint="cs"/>
          <w:rtl/>
        </w:rPr>
        <w:t>):</w:t>
      </w:r>
    </w:p>
    <w:p w14:paraId="3BA2582F" w14:textId="77777777" w:rsidR="00940290" w:rsidRDefault="00940290" w:rsidP="00940290">
      <w:pPr>
        <w:pStyle w:val="a5"/>
        <w:ind w:left="720"/>
        <w:rPr>
          <w:rFonts w:hint="cs"/>
          <w:rtl/>
        </w:rPr>
      </w:pPr>
      <w:r>
        <w:rPr>
          <w:rFonts w:hint="cs"/>
          <w:rtl/>
        </w:rPr>
        <w:t>"</w:t>
      </w:r>
      <w:r>
        <w:rPr>
          <w:rtl/>
        </w:rPr>
        <w:t>וענין זה שמכסים התינוק במפה יפה בעת כניסתו לברית</w:t>
      </w:r>
      <w:r>
        <w:rPr>
          <w:rFonts w:hint="cs"/>
          <w:rtl/>
        </w:rPr>
        <w:t xml:space="preserve"> </w:t>
      </w:r>
      <w:r>
        <w:rPr>
          <w:rtl/>
        </w:rPr>
        <w:t>יש בזה צורך למצוה וכי הא דאמרינן בגמ' דברכות דרב יהודה הוה מציין נפשיה והדר מצלי</w:t>
      </w:r>
      <w:r>
        <w:rPr>
          <w:rFonts w:hint="cs"/>
          <w:rtl/>
        </w:rPr>
        <w:t>..</w:t>
      </w:r>
      <w:r>
        <w:rPr>
          <w:rtl/>
        </w:rPr>
        <w:t>. והיינו שאדם מתקן מלבושו לפני עשיית המצוה כדי לכבד ולייקר את המצוה שעושה</w:t>
      </w:r>
      <w:r>
        <w:rPr>
          <w:rFonts w:hint="cs"/>
          <w:rtl/>
        </w:rPr>
        <w:t>..</w:t>
      </w:r>
      <w:r>
        <w:rPr>
          <w:rtl/>
        </w:rPr>
        <w:t>. והכ</w:t>
      </w:r>
      <w:r>
        <w:rPr>
          <w:rFonts w:hint="cs"/>
          <w:rtl/>
        </w:rPr>
        <w:t xml:space="preserve">א </w:t>
      </w:r>
      <w:r>
        <w:rPr>
          <w:rtl/>
        </w:rPr>
        <w:t>נ</w:t>
      </w:r>
      <w:r>
        <w:rPr>
          <w:rFonts w:hint="cs"/>
          <w:rtl/>
        </w:rPr>
        <w:t>מי</w:t>
      </w:r>
      <w:r>
        <w:rPr>
          <w:rtl/>
        </w:rPr>
        <w:t xml:space="preserve"> בענין זה שמכסים את התינוק במפה יפה בעת הולכתו לברית איכא ביה משום כבוד המצוה</w:t>
      </w:r>
      <w:r>
        <w:rPr>
          <w:rFonts w:hint="cs"/>
          <w:rtl/>
        </w:rPr>
        <w:t>".</w:t>
      </w:r>
    </w:p>
  </w:footnote>
  <w:footnote w:id="148">
    <w:p w14:paraId="5E1DCE87" w14:textId="77777777" w:rsidR="00940290" w:rsidRDefault="00940290" w:rsidP="00940290">
      <w:pPr>
        <w:pStyle w:val="a5"/>
        <w:rPr>
          <w:rtl/>
        </w:rPr>
      </w:pPr>
      <w:r>
        <w:rPr>
          <w:rStyle w:val="a4"/>
          <w:rtl/>
        </w:rPr>
        <w:footnoteRef/>
      </w:r>
      <w:r>
        <w:t xml:space="preserve"> </w:t>
      </w:r>
      <w:r>
        <w:rPr>
          <w:rFonts w:hint="cs"/>
          <w:rtl/>
        </w:rPr>
        <w:t>בביאור המִלה "</w:t>
      </w:r>
      <w:r>
        <w:rPr>
          <w:rFonts w:ascii="Arial" w:hAnsi="Arial"/>
          <w:rtl/>
        </w:rPr>
        <w:t>פ</w:t>
      </w:r>
      <w:r>
        <w:rPr>
          <w:rFonts w:ascii="Arial" w:hAnsi="Arial" w:hint="cs"/>
          <w:rtl/>
        </w:rPr>
        <w:t>ּ</w:t>
      </w:r>
      <w:r>
        <w:rPr>
          <w:rFonts w:ascii="Arial" w:hAnsi="Arial"/>
          <w:rtl/>
        </w:rPr>
        <w:t>ֶחָ</w:t>
      </w:r>
      <w:r>
        <w:rPr>
          <w:rFonts w:ascii="Arial" w:hAnsi="Arial" w:hint="cs"/>
          <w:rtl/>
        </w:rPr>
        <w:t xml:space="preserve">ה" </w:t>
      </w:r>
      <w:r>
        <w:rPr>
          <w:rFonts w:hint="cs"/>
          <w:rtl/>
        </w:rPr>
        <w:t>ראה לעיל דף ג, ב: "</w:t>
      </w:r>
      <w:r>
        <w:rPr>
          <w:rtl/>
          <w:lang w:eastAsia="he-IL"/>
        </w:rPr>
        <w:t>בר פחתי</w:t>
      </w:r>
      <w:r>
        <w:rPr>
          <w:rFonts w:hint="cs"/>
          <w:rtl/>
          <w:lang w:eastAsia="he-IL"/>
        </w:rPr>
        <w:t>".</w:t>
      </w:r>
    </w:p>
  </w:footnote>
  <w:footnote w:id="149">
    <w:p w14:paraId="3888E783" w14:textId="77777777" w:rsidR="00940290" w:rsidRDefault="00940290" w:rsidP="00940290">
      <w:pPr>
        <w:pStyle w:val="a5"/>
        <w:rPr>
          <w:rFonts w:hint="cs"/>
          <w:color w:val="FF0000"/>
          <w:rtl/>
        </w:rPr>
      </w:pPr>
      <w:r>
        <w:rPr>
          <w:rStyle w:val="a4"/>
        </w:rPr>
        <w:footnoteRef/>
      </w:r>
      <w:r>
        <w:rPr>
          <w:rFonts w:hint="cs"/>
          <w:rtl/>
        </w:rPr>
        <w:t xml:space="preserve"> אפשר לנסח את ההבדל בין ק"ש לתפלה כך: בק"ש אנו מדברים </w:t>
      </w:r>
      <w:r>
        <w:rPr>
          <w:rFonts w:hint="cs"/>
          <w:b/>
          <w:bCs/>
          <w:rtl/>
        </w:rPr>
        <w:t>עַל</w:t>
      </w:r>
      <w:r>
        <w:rPr>
          <w:rFonts w:hint="cs"/>
          <w:rtl/>
        </w:rPr>
        <w:t xml:space="preserve"> ה', ובתפלה - </w:t>
      </w:r>
      <w:r>
        <w:rPr>
          <w:rFonts w:hint="cs"/>
          <w:b/>
          <w:bCs/>
          <w:rtl/>
        </w:rPr>
        <w:t>אֶל</w:t>
      </w:r>
      <w:r>
        <w:rPr>
          <w:rFonts w:hint="cs"/>
          <w:rtl/>
        </w:rPr>
        <w:t xml:space="preserve"> ה'. אותן מלים "ה' אלהינו" שאנו אומרים בתחילת ק"ש ותפלה, אינן זהות בכוונתן: בק"ש אנו מדברים עליו בגוף שלישי, נסתר; בתפלה נאמרות מלים אלו בתור פנייה לנוכֵח, גוף שני. וראה להלן קלז, ב. וע"ע על ההבדל בין הכוונה בק"ש ובתפלה אצל הגרי"ד סולוביצ'יק ("עבודה שבלב - מסות על התפילה", תשס"ו, פרק ו', עמ' 95 - 106), ובכרך על תפילה בסדרת חסידות מבוארת (חב"ד).</w:t>
      </w:r>
    </w:p>
  </w:footnote>
  <w:footnote w:id="150">
    <w:p w14:paraId="77265797" w14:textId="77777777" w:rsidR="00940290" w:rsidRPr="00A90CE0" w:rsidRDefault="00940290" w:rsidP="00940290">
      <w:pPr>
        <w:pStyle w:val="a5"/>
        <w:rPr>
          <w:rFonts w:hint="cs"/>
          <w:highlight w:val="yellow"/>
          <w:rtl/>
        </w:rPr>
      </w:pPr>
      <w:r>
        <w:rPr>
          <w:rStyle w:val="a4"/>
        </w:rPr>
        <w:footnoteRef/>
      </w:r>
      <w:r>
        <w:rPr>
          <w:rtl/>
        </w:rPr>
        <w:t xml:space="preserve"> </w:t>
      </w:r>
      <w:r w:rsidRPr="00A90CE0">
        <w:rPr>
          <w:rFonts w:hint="cs"/>
          <w:highlight w:val="yellow"/>
          <w:rtl/>
        </w:rPr>
        <w:t>מיהו חכם זה?@</w:t>
      </w:r>
    </w:p>
    <w:p w14:paraId="14FB353E" w14:textId="77777777" w:rsidR="00940290" w:rsidRPr="00A90CE0" w:rsidRDefault="00940290" w:rsidP="00940290">
      <w:pPr>
        <w:autoSpaceDE w:val="0"/>
        <w:autoSpaceDN w:val="0"/>
        <w:adjustRightInd w:val="0"/>
        <w:spacing w:line="240" w:lineRule="auto"/>
        <w:jc w:val="left"/>
        <w:rPr>
          <w:rFonts w:ascii="Arial" w:hAnsi="Arial" w:cs="Arial"/>
          <w:sz w:val="24"/>
          <w:highlight w:val="yellow"/>
        </w:rPr>
      </w:pPr>
      <w:r w:rsidRPr="00A90CE0">
        <w:rPr>
          <w:rFonts w:ascii="Arial" w:hAnsi="Arial" w:cs="Arial"/>
          <w:b/>
          <w:bCs/>
          <w:color w:val="000000"/>
          <w:sz w:val="24"/>
          <w:highlight w:val="yellow"/>
          <w:u w:val="single"/>
          <w:rtl/>
        </w:rPr>
        <w:t xml:space="preserve">ברכי יוסף אורח חיים סימן א ס"ק ה </w:t>
      </w:r>
    </w:p>
    <w:p w14:paraId="043648E5" w14:textId="77777777" w:rsidR="00940290" w:rsidRPr="00A90CE0" w:rsidRDefault="00940290" w:rsidP="00940290">
      <w:pPr>
        <w:autoSpaceDE w:val="0"/>
        <w:autoSpaceDN w:val="0"/>
        <w:adjustRightInd w:val="0"/>
        <w:spacing w:line="240" w:lineRule="auto"/>
        <w:jc w:val="left"/>
        <w:rPr>
          <w:rFonts w:hint="cs"/>
          <w:highlight w:val="yellow"/>
          <w:rtl/>
        </w:rPr>
      </w:pPr>
      <w:r w:rsidRPr="00A90CE0">
        <w:rPr>
          <w:highlight w:val="yellow"/>
          <w:rtl/>
        </w:rPr>
        <w:t xml:space="preserve">מ"ש בזהר ויקהל (ד' קצה ב) ואי אתוספן שעתי בליליא אנון שעתי דאתוספאן דיממא אינון, ולא אתחשיב ליליא בר תריסר שעתי. כוונתו דחשיב י"ב  שעות אמצעיות, ששה שעות קודם חצות, וששה אחר חצות. ומ"ש ואי אתוספן, ר"ל דמתוספן על י"ב אמצעיות דליליא בין בתחילה בין בסוף. מהר"ר  יעקב כ"ץ בשו"ת שב יעקב א"ח סי' א'. והביא ראיה מפ"ק דברכות (ג ב) בשם ר' שמעון חסידא כנור היה תלוי וכו'. ועל כורחך לומר דחצות הוא ממש  באמצע הלילה, בקיץ ובחורף שוין, כיון דתליא בהתחלת רוח צפונית, כמ"ש </w:t>
      </w:r>
      <w:r w:rsidRPr="00A90CE0">
        <w:rPr>
          <w:b/>
          <w:bCs/>
          <w:highlight w:val="yellow"/>
          <w:rtl/>
        </w:rPr>
        <w:t xml:space="preserve">ר'  </w:t>
      </w:r>
      <w:r w:rsidRPr="00A90CE0">
        <w:rPr>
          <w:b/>
          <w:bCs/>
          <w:color w:val="FF00FF"/>
          <w:highlight w:val="yellow"/>
          <w:rtl/>
        </w:rPr>
        <w:t xml:space="preserve">שמעון </w:t>
      </w:r>
      <w:r w:rsidRPr="00A90CE0">
        <w:rPr>
          <w:b/>
          <w:bCs/>
          <w:highlight w:val="yellow"/>
          <w:rtl/>
        </w:rPr>
        <w:t xml:space="preserve">  </w:t>
      </w:r>
      <w:r w:rsidRPr="00A90CE0">
        <w:rPr>
          <w:b/>
          <w:bCs/>
          <w:color w:val="FF00FF"/>
          <w:highlight w:val="yellow"/>
          <w:rtl/>
        </w:rPr>
        <w:t xml:space="preserve">חסידא </w:t>
      </w:r>
      <w:r w:rsidRPr="00A90CE0">
        <w:rPr>
          <w:b/>
          <w:bCs/>
          <w:highlight w:val="yellow"/>
          <w:rtl/>
        </w:rPr>
        <w:t>, דהוא ודאי ר"ש בן יוחאי וכו'. עש"ב. ועמו הסליחה דר"ש  חסידא הוא אמורא, ואינו רשב"י דהוא ר"ש סתם, בר פלוגתיה דר"מ ור' יהודה כידוע</w:t>
      </w:r>
      <w:r w:rsidRPr="00A90CE0">
        <w:rPr>
          <w:highlight w:val="yellow"/>
          <w:rtl/>
        </w:rPr>
        <w:t xml:space="preserve">. ומיהו מה שפירש בדברי הזהר הכי חזינא למ"ז הרב הנז', בספרו  אור החמה כ"י פירוש הזהר  </w:t>
      </w:r>
      <w:r w:rsidRPr="00A90CE0">
        <w:rPr>
          <w:szCs w:val="16"/>
          <w:highlight w:val="yellow"/>
          <w:rtl/>
        </w:rPr>
        <w:t xml:space="preserve">ו </w:t>
      </w:r>
      <w:r w:rsidRPr="00A90CE0">
        <w:rPr>
          <w:highlight w:val="yellow"/>
          <w:rtl/>
        </w:rPr>
        <w:t xml:space="preserve">  , שפירש כן משם מהר"ם קורדובירו זצ"ל, והכריח הדבר, דבשלמא ק"ש ותפלה ושבת זמן זמנם לפי הארץ שיושב בה  </w:t>
      </w:r>
      <w:r w:rsidRPr="00A90CE0">
        <w:rPr>
          <w:szCs w:val="16"/>
          <w:highlight w:val="yellow"/>
          <w:rtl/>
        </w:rPr>
        <w:t xml:space="preserve">ז </w:t>
      </w:r>
      <w:r w:rsidRPr="00A90CE0">
        <w:rPr>
          <w:highlight w:val="yellow"/>
          <w:rtl/>
        </w:rPr>
        <w:t xml:space="preserve">  ,  אבל תיקון חצות לא ישתנה, כי הוא תלוי במשמרות אשר בשמים ממעל, והם לפי עת רצון וזמן חצות אשר בג"ע הארץ, שהוא תחת קו השוה  </w:t>
      </w:r>
      <w:r w:rsidRPr="00A90CE0">
        <w:rPr>
          <w:szCs w:val="16"/>
          <w:highlight w:val="yellow"/>
          <w:rtl/>
        </w:rPr>
        <w:t xml:space="preserve">ח </w:t>
      </w:r>
      <w:r w:rsidRPr="00A90CE0">
        <w:rPr>
          <w:highlight w:val="yellow"/>
          <w:rtl/>
        </w:rPr>
        <w:t xml:space="preserve">  , שהיום  והלילה שוים לעולם, ולפיהן יהיה תיקון חצות, ולכן י"ב שעות אחר חצות היום הוא חצות לילה בשמים ובג"ע הארץ. והם דברים של טעם. אבל יש להרב  מהרח"ו זצ"ל שיטה אחרת בזה ככתוב אצלנו במקום אחר  </w:t>
      </w:r>
      <w:r w:rsidRPr="00A90CE0">
        <w:rPr>
          <w:szCs w:val="16"/>
          <w:highlight w:val="yellow"/>
          <w:rtl/>
        </w:rPr>
        <w:t xml:space="preserve">ט </w:t>
      </w:r>
      <w:r w:rsidRPr="00A90CE0">
        <w:rPr>
          <w:highlight w:val="yellow"/>
          <w:rtl/>
        </w:rPr>
        <w:t xml:space="preserve">  . </w:t>
      </w:r>
    </w:p>
    <w:p w14:paraId="3197239A" w14:textId="77777777" w:rsidR="00940290" w:rsidRPr="00A90CE0" w:rsidRDefault="00940290" w:rsidP="00940290">
      <w:pPr>
        <w:autoSpaceDE w:val="0"/>
        <w:autoSpaceDN w:val="0"/>
        <w:adjustRightInd w:val="0"/>
        <w:spacing w:line="240" w:lineRule="auto"/>
        <w:jc w:val="left"/>
        <w:rPr>
          <w:rFonts w:ascii="Arial" w:hAnsi="Arial" w:cs="Arial" w:hint="cs"/>
          <w:sz w:val="24"/>
          <w:highlight w:val="yellow"/>
          <w:rtl/>
        </w:rPr>
      </w:pPr>
      <w:r w:rsidRPr="00A90CE0">
        <w:rPr>
          <w:rFonts w:ascii="Arial" w:hAnsi="Arial" w:cs="Arial" w:hint="cs"/>
          <w:b/>
          <w:bCs/>
          <w:color w:val="000000"/>
          <w:sz w:val="24"/>
          <w:highlight w:val="yellow"/>
          <w:u w:val="single"/>
          <w:rtl/>
        </w:rPr>
        <w:t>@</w:t>
      </w:r>
      <w:r w:rsidRPr="00A90CE0">
        <w:rPr>
          <w:rFonts w:ascii="Arial" w:hAnsi="Arial" w:cs="Arial"/>
          <w:b/>
          <w:bCs/>
          <w:color w:val="000000"/>
          <w:sz w:val="24"/>
          <w:highlight w:val="yellow"/>
          <w:u w:val="single"/>
          <w:rtl/>
        </w:rPr>
        <w:t xml:space="preserve">שו"ת יוסף אומץ סימן מב </w:t>
      </w:r>
    </w:p>
    <w:p w14:paraId="0E3D9D72" w14:textId="77777777" w:rsidR="00940290" w:rsidRPr="007179DE" w:rsidRDefault="00940290" w:rsidP="00940290">
      <w:pPr>
        <w:autoSpaceDE w:val="0"/>
        <w:autoSpaceDN w:val="0"/>
        <w:adjustRightInd w:val="0"/>
        <w:spacing w:line="240" w:lineRule="auto"/>
        <w:jc w:val="left"/>
        <w:rPr>
          <w:rFonts w:ascii="Arial" w:hAnsi="Arial" w:cs="Arial" w:hint="cs"/>
          <w:sz w:val="24"/>
        </w:rPr>
      </w:pPr>
      <w:r w:rsidRPr="00A90CE0">
        <w:rPr>
          <w:rFonts w:ascii="Arial" w:hAnsi="Arial" w:cs="Arial"/>
          <w:color w:val="000000"/>
          <w:sz w:val="24"/>
          <w:highlight w:val="yellow"/>
          <w:rtl/>
        </w:rPr>
        <w:t xml:space="preserve">והגאון מהר"ר יעקב הכהן ז"ל בתשובותיו שב יעקב בראשו הכריח ענין זה מהש"ס אפס כי עז מה שסבר הרב ז"ל דר"ש חסידא דמייתי בש"ס הוא רבי  שמעון ן' יוחאי ולפי מונח זה הוכיח. ועמו הסליחה דאמר רב הנחה שוברת דרבי שמעון ן' יוחאי תנא. ורבי  </w:t>
      </w:r>
      <w:r w:rsidRPr="00A90CE0">
        <w:rPr>
          <w:rFonts w:ascii="Arial" w:hAnsi="Arial" w:cs="Arial"/>
          <w:color w:val="FF00FF"/>
          <w:sz w:val="24"/>
          <w:highlight w:val="yellow"/>
          <w:rtl/>
        </w:rPr>
        <w:t xml:space="preserve">שמעון </w:t>
      </w:r>
      <w:r w:rsidRPr="00A90CE0">
        <w:rPr>
          <w:rFonts w:ascii="Arial" w:hAnsi="Arial" w:cs="Arial"/>
          <w:color w:val="000000"/>
          <w:sz w:val="24"/>
          <w:highlight w:val="yellow"/>
          <w:rtl/>
        </w:rPr>
        <w:t xml:space="preserve">  </w:t>
      </w:r>
      <w:r w:rsidRPr="00A90CE0">
        <w:rPr>
          <w:rFonts w:ascii="Arial" w:hAnsi="Arial" w:cs="Arial"/>
          <w:color w:val="FF00FF"/>
          <w:sz w:val="24"/>
          <w:highlight w:val="yellow"/>
          <w:rtl/>
        </w:rPr>
        <w:t xml:space="preserve">חסידא </w:t>
      </w:r>
      <w:r w:rsidRPr="00A90CE0">
        <w:rPr>
          <w:rFonts w:ascii="Arial" w:hAnsi="Arial" w:cs="Arial"/>
          <w:color w:val="000000"/>
          <w:sz w:val="24"/>
          <w:highlight w:val="yellow"/>
          <w:rtl/>
        </w:rPr>
        <w:t xml:space="preserve"> הוא אמורא וכמו שכתבנו  בעניותינו במקומו.</w:t>
      </w:r>
      <w:r>
        <w:rPr>
          <w:rFonts w:ascii="Arial" w:hAnsi="Arial" w:cs="Arial"/>
          <w:color w:val="000000"/>
          <w:sz w:val="24"/>
          <w:rtl/>
        </w:rPr>
        <w:t xml:space="preserve">  </w:t>
      </w:r>
    </w:p>
  </w:footnote>
  <w:footnote w:id="151">
    <w:p w14:paraId="6CCDD15D" w14:textId="77777777" w:rsidR="00940290" w:rsidRDefault="00940290" w:rsidP="00940290">
      <w:pPr>
        <w:pStyle w:val="a5"/>
        <w:rPr>
          <w:rFonts w:hint="cs"/>
          <w:rtl/>
        </w:rPr>
      </w:pPr>
      <w:r>
        <w:rPr>
          <w:rStyle w:val="a4"/>
          <w:rtl/>
        </w:rPr>
        <w:footnoteRef/>
      </w:r>
      <w:r>
        <w:t xml:space="preserve"> </w:t>
      </w:r>
      <w:r>
        <w:rPr>
          <w:rFonts w:hint="cs"/>
          <w:rtl/>
        </w:rPr>
        <w:t>כנגד "</w:t>
      </w:r>
      <w:r>
        <w:rPr>
          <w:rtl/>
        </w:rPr>
        <w:t>ה' לְנֶגְדִּי</w:t>
      </w:r>
      <w:r>
        <w:rPr>
          <w:rFonts w:hint="cs"/>
          <w:rtl/>
        </w:rPr>
        <w:t xml:space="preserve">" שבכתוב הנדרש, אמר ר' שמעון </w:t>
      </w:r>
      <w:r>
        <w:rPr>
          <w:rtl/>
        </w:rPr>
        <w:t xml:space="preserve">"שכינה </w:t>
      </w:r>
      <w:r>
        <w:rPr>
          <w:rFonts w:hint="cs"/>
          <w:rtl/>
        </w:rPr>
        <w:t>כ</w:t>
      </w:r>
      <w:r>
        <w:rPr>
          <w:rtl/>
        </w:rPr>
        <w:t>נגד</w:t>
      </w:r>
      <w:r>
        <w:rPr>
          <w:rFonts w:hint="cs"/>
          <w:rtl/>
        </w:rPr>
        <w:t>ו</w:t>
      </w:r>
      <w:r>
        <w:rPr>
          <w:rtl/>
        </w:rPr>
        <w:t>"</w:t>
      </w:r>
      <w:r>
        <w:rPr>
          <w:rFonts w:hint="cs"/>
          <w:rtl/>
        </w:rPr>
        <w:t>, ופירוש "כ</w:t>
      </w:r>
      <w:r>
        <w:rPr>
          <w:rtl/>
        </w:rPr>
        <w:t>נגד</w:t>
      </w:r>
      <w:r>
        <w:rPr>
          <w:rFonts w:hint="cs"/>
          <w:rtl/>
        </w:rPr>
        <w:t>ו</w:t>
      </w:r>
      <w:r>
        <w:rPr>
          <w:rtl/>
        </w:rPr>
        <w:t>"</w:t>
      </w:r>
      <w:r>
        <w:rPr>
          <w:rFonts w:hint="cs"/>
          <w:rtl/>
        </w:rPr>
        <w:t xml:space="preserve">: </w:t>
      </w:r>
      <w:r>
        <w:rPr>
          <w:rtl/>
        </w:rPr>
        <w:t>"</w:t>
      </w:r>
      <w:r>
        <w:rPr>
          <w:rFonts w:hint="cs"/>
          <w:rtl/>
        </w:rPr>
        <w:t xml:space="preserve">כמו </w:t>
      </w:r>
      <w:r>
        <w:rPr>
          <w:rtl/>
        </w:rPr>
        <w:t>נגד</w:t>
      </w:r>
      <w:r>
        <w:rPr>
          <w:rFonts w:hint="cs"/>
          <w:rtl/>
        </w:rPr>
        <w:t>ו</w:t>
      </w:r>
      <w:r>
        <w:rPr>
          <w:rtl/>
        </w:rPr>
        <w:t>"</w:t>
      </w:r>
      <w:r>
        <w:rPr>
          <w:rFonts w:hint="cs"/>
          <w:rtl/>
        </w:rPr>
        <w:t>,</w:t>
      </w:r>
      <w:r>
        <w:rPr>
          <w:rtl/>
        </w:rPr>
        <w:t xml:space="preserve"> </w:t>
      </w:r>
      <w:r>
        <w:rPr>
          <w:rFonts w:hint="cs"/>
          <w:rtl/>
        </w:rPr>
        <w:t>כביכול מוּלוֹ, לפנָיו, נוכח פני ה' (</w:t>
      </w:r>
      <w:r>
        <w:rPr>
          <w:rtl/>
        </w:rPr>
        <w:t>ולא כ</w:t>
      </w:r>
      <w:r>
        <w:rPr>
          <w:rFonts w:hint="cs"/>
          <w:rtl/>
        </w:rPr>
        <w:t>משמע המאוחר של "נֶגֶד": בסתירה ובהתנגדות אליו)</w:t>
      </w:r>
      <w:r>
        <w:rPr>
          <w:rtl/>
        </w:rPr>
        <w:t>.</w:t>
      </w:r>
    </w:p>
  </w:footnote>
  <w:footnote w:id="152">
    <w:p w14:paraId="2EE5CA68" w14:textId="77777777" w:rsidR="00940290" w:rsidRDefault="00940290" w:rsidP="00940290">
      <w:pPr>
        <w:pStyle w:val="a5"/>
        <w:rPr>
          <w:rFonts w:hint="cs"/>
          <w:rtl/>
        </w:rPr>
      </w:pPr>
      <w:r>
        <w:rPr>
          <w:rStyle w:val="a4"/>
        </w:rPr>
        <w:footnoteRef/>
      </w:r>
      <w:r>
        <w:rPr>
          <w:rFonts w:hint="cs"/>
          <w:rtl/>
        </w:rPr>
        <w:t xml:space="preserve"> ר' </w:t>
      </w:r>
      <w:r>
        <w:rPr>
          <w:rtl/>
        </w:rPr>
        <w:t>עמוס</w:t>
      </w:r>
      <w:r>
        <w:rPr>
          <w:rFonts w:hint="cs"/>
          <w:rtl/>
        </w:rPr>
        <w:t xml:space="preserve"> חכם מעיר על פסוק זה (פירוש דעת מקרא), כי יש (שנים שהם) שלושה פירושים לפסוק זה: או שכולו מדבר על הדרך ליראת ה', או שכולו מדבר על הבטחון בהשגחת ה', או שהרישא כפירוש הראשון, והסיפא ("</w:t>
      </w:r>
      <w:r>
        <w:rPr>
          <w:rtl/>
        </w:rPr>
        <w:t>כִּי מִימִינִי בַּל אֶמּוֹט</w:t>
      </w:r>
      <w:r>
        <w:rPr>
          <w:rFonts w:hint="cs"/>
          <w:rtl/>
        </w:rPr>
        <w:t xml:space="preserve">") כפירוש השני. </w:t>
      </w:r>
      <w:r>
        <w:rPr>
          <w:rtl/>
        </w:rPr>
        <w:t>רבי שמעון חסידא</w:t>
      </w:r>
      <w:r>
        <w:rPr>
          <w:rFonts w:hint="cs"/>
          <w:rtl/>
        </w:rPr>
        <w:t xml:space="preserve"> דורש שברישא מדובר על הדרך ליראת ה'.</w:t>
      </w:r>
    </w:p>
  </w:footnote>
  <w:footnote w:id="153">
    <w:p w14:paraId="4092C7BB" w14:textId="77777777" w:rsidR="00940290" w:rsidRDefault="00940290" w:rsidP="00940290">
      <w:pPr>
        <w:pStyle w:val="a5"/>
        <w:rPr>
          <w:rFonts w:hint="cs"/>
          <w:sz w:val="24"/>
          <w:rtl/>
          <w:lang w:eastAsia="he-IL"/>
        </w:rPr>
      </w:pPr>
      <w:r>
        <w:rPr>
          <w:rStyle w:val="a4"/>
          <w:rtl/>
        </w:rPr>
        <w:footnoteRef/>
      </w:r>
      <w:r>
        <w:t xml:space="preserve"> </w:t>
      </w:r>
      <w:r>
        <w:rPr>
          <w:rFonts w:hint="cs"/>
          <w:rtl/>
        </w:rPr>
        <w:t>וכך נראה מלשון ה</w:t>
      </w:r>
      <w:r>
        <w:rPr>
          <w:sz w:val="24"/>
          <w:rtl/>
          <w:lang w:eastAsia="he-IL"/>
        </w:rPr>
        <w:t xml:space="preserve">טור </w:t>
      </w:r>
      <w:r>
        <w:rPr>
          <w:rFonts w:hint="cs"/>
          <w:sz w:val="24"/>
          <w:rtl/>
          <w:lang w:eastAsia="he-IL"/>
        </w:rPr>
        <w:t>(</w:t>
      </w:r>
      <w:r>
        <w:rPr>
          <w:sz w:val="24"/>
          <w:rtl/>
          <w:lang w:eastAsia="he-IL"/>
        </w:rPr>
        <w:t>או</w:t>
      </w:r>
      <w:r>
        <w:rPr>
          <w:rFonts w:hint="cs"/>
          <w:sz w:val="24"/>
          <w:rtl/>
          <w:lang w:eastAsia="he-IL"/>
        </w:rPr>
        <w:t>"</w:t>
      </w:r>
      <w:r>
        <w:rPr>
          <w:sz w:val="24"/>
          <w:rtl/>
          <w:lang w:eastAsia="he-IL"/>
        </w:rPr>
        <w:t xml:space="preserve">ח סימן </w:t>
      </w:r>
      <w:r>
        <w:rPr>
          <w:rFonts w:hint="cs"/>
          <w:sz w:val="24"/>
          <w:rtl/>
          <w:lang w:eastAsia="he-IL"/>
        </w:rPr>
        <w:t xml:space="preserve">צ; </w:t>
      </w:r>
      <w:r>
        <w:rPr>
          <w:sz w:val="24"/>
          <w:rtl/>
          <w:lang w:eastAsia="he-IL"/>
        </w:rPr>
        <w:t>צח</w:t>
      </w:r>
      <w:r>
        <w:rPr>
          <w:rFonts w:hint="cs"/>
          <w:sz w:val="24"/>
          <w:rtl/>
          <w:lang w:eastAsia="he-IL"/>
        </w:rPr>
        <w:t>):</w:t>
      </w:r>
    </w:p>
    <w:p w14:paraId="5A052381" w14:textId="77777777" w:rsidR="00940290" w:rsidRDefault="00940290" w:rsidP="00940290">
      <w:pPr>
        <w:pStyle w:val="a5"/>
        <w:ind w:left="720"/>
        <w:rPr>
          <w:rFonts w:hint="cs"/>
          <w:sz w:val="24"/>
          <w:rtl/>
          <w:lang w:eastAsia="he-IL"/>
        </w:rPr>
      </w:pPr>
      <w:r>
        <w:rPr>
          <w:rFonts w:hint="cs"/>
          <w:sz w:val="24"/>
          <w:rtl/>
          <w:lang w:eastAsia="he-IL"/>
        </w:rPr>
        <w:t>"</w:t>
      </w:r>
      <w:r>
        <w:rPr>
          <w:sz w:val="24"/>
          <w:rtl/>
          <w:lang w:eastAsia="he-IL"/>
        </w:rPr>
        <w:t>המתפלל צריך שיכין מקום לתפלתו</w:t>
      </w:r>
      <w:r>
        <w:rPr>
          <w:rFonts w:hint="cs"/>
          <w:sz w:val="24"/>
          <w:rtl/>
          <w:lang w:eastAsia="he-IL"/>
        </w:rPr>
        <w:t>,</w:t>
      </w:r>
      <w:r>
        <w:rPr>
          <w:sz w:val="24"/>
          <w:rtl/>
          <w:lang w:eastAsia="he-IL"/>
        </w:rPr>
        <w:t xml:space="preserve"> ושיכין לה בגדיו ומחשבתו וגופו</w:t>
      </w:r>
      <w:r>
        <w:rPr>
          <w:rFonts w:hint="cs"/>
          <w:sz w:val="24"/>
          <w:rtl/>
          <w:lang w:eastAsia="he-IL"/>
        </w:rPr>
        <w:t xml:space="preserve">... </w:t>
      </w:r>
      <w:r>
        <w:rPr>
          <w:sz w:val="24"/>
          <w:rtl/>
          <w:lang w:eastAsia="he-IL"/>
        </w:rPr>
        <w:t>מחשבתו כיצד</w:t>
      </w:r>
      <w:r>
        <w:rPr>
          <w:rFonts w:hint="cs"/>
          <w:sz w:val="24"/>
          <w:rtl/>
          <w:lang w:eastAsia="he-IL"/>
        </w:rPr>
        <w:t>?</w:t>
      </w:r>
      <w:r>
        <w:rPr>
          <w:sz w:val="24"/>
          <w:rtl/>
          <w:lang w:eastAsia="he-IL"/>
        </w:rPr>
        <w:t xml:space="preserve"> דתניא</w:t>
      </w:r>
      <w:r>
        <w:rPr>
          <w:rFonts w:hint="cs"/>
          <w:sz w:val="24"/>
          <w:rtl/>
          <w:lang w:eastAsia="he-IL"/>
        </w:rPr>
        <w:t xml:space="preserve"> </w:t>
      </w:r>
      <w:r>
        <w:rPr>
          <w:sz w:val="24"/>
          <w:rtl/>
          <w:lang w:eastAsia="he-IL"/>
        </w:rPr>
        <w:t>המתפלל צריך שיכוין לבו שנאמר תכין לבם</w:t>
      </w:r>
      <w:r>
        <w:rPr>
          <w:rFonts w:hint="cs"/>
          <w:sz w:val="24"/>
          <w:rtl/>
          <w:lang w:eastAsia="he-IL"/>
        </w:rPr>
        <w:t>,</w:t>
      </w:r>
      <w:r>
        <w:rPr>
          <w:sz w:val="24"/>
          <w:rtl/>
          <w:lang w:eastAsia="he-IL"/>
        </w:rPr>
        <w:t xml:space="preserve"> פירוש שיכוין פי</w:t>
      </w:r>
      <w:r>
        <w:rPr>
          <w:rFonts w:hint="cs"/>
          <w:sz w:val="24"/>
          <w:rtl/>
          <w:lang w:eastAsia="he-IL"/>
        </w:rPr>
        <w:t>רוש</w:t>
      </w:r>
      <w:r>
        <w:rPr>
          <w:sz w:val="24"/>
          <w:rtl/>
          <w:lang w:eastAsia="he-IL"/>
        </w:rPr>
        <w:t xml:space="preserve"> המלות שמוציא בשפתיו</w:t>
      </w:r>
      <w:r>
        <w:rPr>
          <w:rFonts w:hint="cs"/>
          <w:sz w:val="24"/>
          <w:rtl/>
          <w:lang w:eastAsia="he-IL"/>
        </w:rPr>
        <w:t xml:space="preserve"> </w:t>
      </w:r>
      <w:r>
        <w:rPr>
          <w:b/>
          <w:bCs/>
          <w:sz w:val="24"/>
          <w:rtl/>
          <w:lang w:eastAsia="he-IL"/>
        </w:rPr>
        <w:t>ויחשוב</w:t>
      </w:r>
      <w:r>
        <w:rPr>
          <w:rFonts w:hint="cs"/>
          <w:sz w:val="24"/>
          <w:rtl/>
          <w:lang w:eastAsia="he-IL"/>
        </w:rPr>
        <w:t xml:space="preserve"> </w:t>
      </w:r>
      <w:r>
        <w:rPr>
          <w:sz w:val="24"/>
          <w:rtl/>
          <w:lang w:eastAsia="he-IL"/>
        </w:rPr>
        <w:t>כאילו</w:t>
      </w:r>
      <w:r>
        <w:rPr>
          <w:rFonts w:hint="cs"/>
          <w:sz w:val="24"/>
          <w:rtl/>
          <w:lang w:eastAsia="he-IL"/>
        </w:rPr>
        <w:t xml:space="preserve"> </w:t>
      </w:r>
      <w:r>
        <w:rPr>
          <w:sz w:val="24"/>
          <w:rtl/>
          <w:lang w:eastAsia="he-IL"/>
        </w:rPr>
        <w:t>שכינה כנגדו</w:t>
      </w:r>
      <w:r>
        <w:rPr>
          <w:rFonts w:hint="cs"/>
          <w:sz w:val="24"/>
          <w:rtl/>
          <w:lang w:eastAsia="he-IL"/>
        </w:rPr>
        <w:t>,</w:t>
      </w:r>
      <w:r>
        <w:rPr>
          <w:sz w:val="24"/>
          <w:rtl/>
          <w:lang w:eastAsia="he-IL"/>
        </w:rPr>
        <w:t xml:space="preserve"> שנא' שויתי ה' לנגדי תמיד</w:t>
      </w:r>
      <w:r>
        <w:rPr>
          <w:rFonts w:hint="cs"/>
          <w:sz w:val="24"/>
          <w:rtl/>
          <w:lang w:eastAsia="he-IL"/>
        </w:rPr>
        <w:t>,</w:t>
      </w:r>
      <w:r>
        <w:rPr>
          <w:sz w:val="24"/>
          <w:rtl/>
          <w:lang w:eastAsia="he-IL"/>
        </w:rPr>
        <w:t xml:space="preserve"> ויעיר הכוונה ויסיר כל המחשבות הטורדות אותו</w:t>
      </w:r>
      <w:r>
        <w:rPr>
          <w:rFonts w:hint="cs"/>
          <w:sz w:val="24"/>
          <w:rtl/>
          <w:lang w:eastAsia="he-IL"/>
        </w:rPr>
        <w:t>,</w:t>
      </w:r>
      <w:r>
        <w:rPr>
          <w:sz w:val="24"/>
          <w:rtl/>
          <w:lang w:eastAsia="he-IL"/>
        </w:rPr>
        <w:t xml:space="preserve"> עד שת</w:t>
      </w:r>
      <w:r>
        <w:rPr>
          <w:rFonts w:hint="cs"/>
          <w:sz w:val="24"/>
          <w:rtl/>
          <w:lang w:eastAsia="he-IL"/>
        </w:rPr>
        <w:t>ִ</w:t>
      </w:r>
      <w:r>
        <w:rPr>
          <w:sz w:val="24"/>
          <w:rtl/>
          <w:lang w:eastAsia="he-IL"/>
        </w:rPr>
        <w:t>שאר מחשבתו וכוונתו זכה בתפלתו</w:t>
      </w:r>
      <w:r>
        <w:rPr>
          <w:rFonts w:hint="cs"/>
          <w:sz w:val="24"/>
          <w:rtl/>
          <w:lang w:eastAsia="he-IL"/>
        </w:rPr>
        <w:t>".</w:t>
      </w:r>
    </w:p>
  </w:footnote>
  <w:footnote w:id="154">
    <w:p w14:paraId="122FEC26" w14:textId="77777777" w:rsidR="00940290" w:rsidRDefault="00940290" w:rsidP="00940290">
      <w:pPr>
        <w:pStyle w:val="a5"/>
        <w:rPr>
          <w:rFonts w:hint="cs"/>
          <w:rtl/>
        </w:rPr>
      </w:pPr>
      <w:r>
        <w:rPr>
          <w:rStyle w:val="a4"/>
          <w:rtl/>
        </w:rPr>
        <w:footnoteRef/>
      </w:r>
      <w:r>
        <w:rPr>
          <w:szCs w:val="22"/>
        </w:rPr>
        <w:t xml:space="preserve"> </w:t>
      </w:r>
      <w:r>
        <w:rPr>
          <w:rFonts w:hint="cs"/>
          <w:rtl/>
        </w:rPr>
        <w:t xml:space="preserve">לשון ר"ד </w:t>
      </w:r>
      <w:r>
        <w:rPr>
          <w:rtl/>
        </w:rPr>
        <w:t xml:space="preserve">אבודרהם </w:t>
      </w:r>
      <w:r>
        <w:rPr>
          <w:rFonts w:hint="cs"/>
          <w:sz w:val="18"/>
          <w:szCs w:val="20"/>
          <w:rtl/>
        </w:rPr>
        <w:t>ב</w:t>
      </w:r>
      <w:r>
        <w:rPr>
          <w:sz w:val="18"/>
          <w:szCs w:val="20"/>
          <w:rtl/>
        </w:rPr>
        <w:t>סדר ההגדה</w:t>
      </w:r>
      <w:r>
        <w:rPr>
          <w:rFonts w:hint="cs"/>
          <w:rtl/>
        </w:rPr>
        <w:t>.</w:t>
      </w:r>
    </w:p>
  </w:footnote>
  <w:footnote w:id="155">
    <w:p w14:paraId="538330F1" w14:textId="77777777" w:rsidR="00940290" w:rsidRDefault="00940290" w:rsidP="00940290">
      <w:pPr>
        <w:pStyle w:val="a5"/>
        <w:rPr>
          <w:rFonts w:hint="cs"/>
          <w:rtl/>
        </w:rPr>
      </w:pPr>
      <w:r>
        <w:rPr>
          <w:rStyle w:val="a4"/>
          <w:rtl/>
        </w:rPr>
        <w:footnoteRef/>
      </w:r>
      <w:r>
        <w:rPr>
          <w:szCs w:val="22"/>
        </w:rPr>
        <w:t xml:space="preserve"> </w:t>
      </w:r>
      <w:r>
        <w:rPr>
          <w:rFonts w:hint="cs"/>
          <w:rtl/>
        </w:rPr>
        <w:t>ראה בשינויי נוסחאות במשנה, בהגדת ה</w:t>
      </w:r>
      <w:r>
        <w:rPr>
          <w:rtl/>
        </w:rPr>
        <w:t>ריטב"א</w:t>
      </w:r>
      <w:r>
        <w:rPr>
          <w:rFonts w:hint="cs"/>
          <w:rtl/>
        </w:rPr>
        <w:t xml:space="preserve">, </w:t>
      </w:r>
      <w:r>
        <w:rPr>
          <w:rFonts w:ascii="Arial" w:hAnsi="Arial" w:hint="cs"/>
          <w:rtl/>
        </w:rPr>
        <w:t>וב</w:t>
      </w:r>
      <w:r>
        <w:rPr>
          <w:rFonts w:ascii="Arial" w:hAnsi="Arial" w:hint="eastAsia"/>
          <w:rtl/>
        </w:rPr>
        <w:t>הגד</w:t>
      </w:r>
      <w:r>
        <w:rPr>
          <w:rFonts w:ascii="Arial" w:hAnsi="Arial" w:hint="cs"/>
          <w:rtl/>
        </w:rPr>
        <w:t xml:space="preserve">ת </w:t>
      </w:r>
      <w:r>
        <w:rPr>
          <w:rFonts w:ascii="Arial" w:hAnsi="Arial" w:hint="eastAsia"/>
          <w:rtl/>
        </w:rPr>
        <w:t>ואדי</w:t>
      </w:r>
      <w:r>
        <w:rPr>
          <w:rFonts w:ascii="Arial" w:hAnsi="Arial"/>
          <w:rtl/>
        </w:rPr>
        <w:t xml:space="preserve"> </w:t>
      </w:r>
      <w:r>
        <w:rPr>
          <w:rFonts w:ascii="Arial" w:hAnsi="Arial" w:hint="eastAsia"/>
          <w:rtl/>
        </w:rPr>
        <w:t>אלחג</w:t>
      </w:r>
      <w:r>
        <w:rPr>
          <w:rFonts w:ascii="Arial" w:hAnsi="Arial" w:hint="cs"/>
          <w:rtl/>
        </w:rPr>
        <w:t>'</w:t>
      </w:r>
      <w:r>
        <w:rPr>
          <w:rFonts w:ascii="Arial" w:hAnsi="Arial" w:hint="eastAsia"/>
          <w:rtl/>
        </w:rPr>
        <w:t>ארה</w:t>
      </w:r>
      <w:r>
        <w:rPr>
          <w:rFonts w:ascii="Arial" w:hAnsi="Arial" w:hint="cs"/>
          <w:rtl/>
        </w:rPr>
        <w:t xml:space="preserve"> </w:t>
      </w:r>
      <w:r>
        <w:rPr>
          <w:rFonts w:ascii="Arial" w:hAnsi="Arial" w:hint="eastAsia"/>
          <w:rtl/>
        </w:rPr>
        <w:t>אינקונבולה</w:t>
      </w:r>
      <w:r>
        <w:rPr>
          <w:rFonts w:ascii="Arial" w:hAnsi="Arial"/>
          <w:rtl/>
        </w:rPr>
        <w:t xml:space="preserve"> </w:t>
      </w:r>
      <w:r>
        <w:rPr>
          <w:rFonts w:ascii="Arial" w:hAnsi="Arial" w:hint="eastAsia"/>
          <w:rtl/>
        </w:rPr>
        <w:t>שנדפסה</w:t>
      </w:r>
      <w:r>
        <w:rPr>
          <w:rFonts w:ascii="Arial" w:hAnsi="Arial"/>
          <w:rtl/>
        </w:rPr>
        <w:t xml:space="preserve"> </w:t>
      </w:r>
      <w:r>
        <w:rPr>
          <w:rFonts w:ascii="Arial" w:hAnsi="Arial" w:hint="cs"/>
          <w:rtl/>
        </w:rPr>
        <w:t xml:space="preserve">עשר שנים לפני </w:t>
      </w:r>
      <w:r>
        <w:rPr>
          <w:rFonts w:ascii="Arial" w:hAnsi="Arial" w:hint="eastAsia"/>
          <w:rtl/>
        </w:rPr>
        <w:t>גירוש</w:t>
      </w:r>
      <w:r>
        <w:rPr>
          <w:rFonts w:ascii="Arial" w:hAnsi="Arial"/>
          <w:rtl/>
        </w:rPr>
        <w:t xml:space="preserve"> </w:t>
      </w:r>
      <w:r>
        <w:rPr>
          <w:rFonts w:ascii="Arial" w:hAnsi="Arial" w:hint="eastAsia"/>
          <w:rtl/>
        </w:rPr>
        <w:t>ספרד</w:t>
      </w:r>
      <w:r>
        <w:rPr>
          <w:rFonts w:ascii="Arial" w:hAnsi="Arial" w:hint="cs"/>
          <w:rtl/>
        </w:rPr>
        <w:t xml:space="preserve"> </w:t>
      </w:r>
      <w:r>
        <w:rPr>
          <w:rFonts w:hint="cs"/>
          <w:sz w:val="26"/>
          <w:rtl/>
        </w:rPr>
        <w:t>(</w:t>
      </w:r>
      <w:r>
        <w:rPr>
          <w:rFonts w:hint="cs"/>
          <w:szCs w:val="20"/>
          <w:rtl/>
        </w:rPr>
        <w:t>תודה לערן רביב</w:t>
      </w:r>
      <w:r>
        <w:rPr>
          <w:rFonts w:hint="cs"/>
          <w:sz w:val="26"/>
          <w:rtl/>
        </w:rPr>
        <w:t>)</w:t>
      </w:r>
      <w:r>
        <w:rPr>
          <w:rFonts w:ascii="Arial" w:hAnsi="Arial" w:hint="cs"/>
          <w:rtl/>
        </w:rPr>
        <w:t>. וכך מצינו ב</w:t>
      </w:r>
      <w:r>
        <w:rPr>
          <w:rtl/>
        </w:rPr>
        <w:t xml:space="preserve">מדרש תנאים </w:t>
      </w:r>
      <w:r>
        <w:rPr>
          <w:szCs w:val="20"/>
          <w:rtl/>
        </w:rPr>
        <w:t>לדברים ו</w:t>
      </w:r>
      <w:r>
        <w:rPr>
          <w:rFonts w:hint="cs"/>
          <w:szCs w:val="20"/>
          <w:rtl/>
        </w:rPr>
        <w:t xml:space="preserve">, </w:t>
      </w:r>
      <w:r>
        <w:rPr>
          <w:szCs w:val="20"/>
          <w:rtl/>
        </w:rPr>
        <w:t xml:space="preserve">ט </w:t>
      </w:r>
      <w:r>
        <w:rPr>
          <w:rFonts w:hint="cs"/>
          <w:szCs w:val="20"/>
          <w:rtl/>
        </w:rPr>
        <w:t xml:space="preserve">ד"ה </w:t>
      </w:r>
      <w:r>
        <w:rPr>
          <w:szCs w:val="20"/>
          <w:rtl/>
        </w:rPr>
        <w:t>וכתבתם</w:t>
      </w:r>
      <w:r>
        <w:rPr>
          <w:rFonts w:hint="cs"/>
          <w:rtl/>
        </w:rPr>
        <w:t>: "</w:t>
      </w:r>
      <w:r>
        <w:rPr>
          <w:rtl/>
        </w:rPr>
        <w:t xml:space="preserve">ואותנו הוציא משם </w:t>
      </w:r>
      <w:r>
        <w:rPr>
          <w:rFonts w:hint="cs"/>
          <w:rtl/>
        </w:rPr>
        <w:t xml:space="preserve">- </w:t>
      </w:r>
      <w:r>
        <w:rPr>
          <w:rtl/>
        </w:rPr>
        <w:t>מכאן אמרו בכל דור ודור חייב אדם</w:t>
      </w:r>
      <w:r>
        <w:rPr>
          <w:rFonts w:hint="cs"/>
          <w:rtl/>
        </w:rPr>
        <w:t xml:space="preserve"> </w:t>
      </w:r>
      <w:r>
        <w:rPr>
          <w:rtl/>
        </w:rPr>
        <w:t>ל</w:t>
      </w:r>
      <w:r>
        <w:rPr>
          <w:b/>
          <w:bCs/>
          <w:rtl/>
        </w:rPr>
        <w:t>ה</w:t>
      </w:r>
      <w:r>
        <w:rPr>
          <w:rtl/>
        </w:rPr>
        <w:t>ראות את עצמו כאלו הוא בעצמו יצא עתה משעבוד מצרים</w:t>
      </w:r>
      <w:r>
        <w:rPr>
          <w:rFonts w:hint="cs"/>
          <w:rtl/>
        </w:rPr>
        <w:t>". וראה להלן הערה 19.</w:t>
      </w:r>
    </w:p>
  </w:footnote>
  <w:footnote w:id="156">
    <w:p w14:paraId="6AF95DCC" w14:textId="77777777" w:rsidR="00940290" w:rsidRDefault="00940290" w:rsidP="00940290">
      <w:pPr>
        <w:pStyle w:val="a5"/>
        <w:rPr>
          <w:rFonts w:hint="cs"/>
          <w:rtl/>
        </w:rPr>
      </w:pPr>
      <w:r>
        <w:rPr>
          <w:rStyle w:val="a4"/>
          <w:rtl/>
        </w:rPr>
        <w:footnoteRef/>
      </w:r>
      <w:r>
        <w:rPr>
          <w:szCs w:val="22"/>
        </w:rPr>
        <w:t xml:space="preserve"> </w:t>
      </w:r>
      <w:r>
        <w:rPr>
          <w:rFonts w:hint="cs"/>
          <w:rtl/>
        </w:rPr>
        <w:t xml:space="preserve">וכמו שכתב ר"ד </w:t>
      </w:r>
      <w:r>
        <w:rPr>
          <w:rtl/>
        </w:rPr>
        <w:t xml:space="preserve">אבודרהם </w:t>
      </w:r>
      <w:r>
        <w:rPr>
          <w:rFonts w:hint="cs"/>
          <w:sz w:val="18"/>
          <w:szCs w:val="20"/>
          <w:rtl/>
        </w:rPr>
        <w:t>ב</w:t>
      </w:r>
      <w:r>
        <w:rPr>
          <w:sz w:val="18"/>
          <w:szCs w:val="20"/>
          <w:rtl/>
        </w:rPr>
        <w:t>סדר ההגדה</w:t>
      </w:r>
      <w:r>
        <w:rPr>
          <w:rFonts w:hint="cs"/>
          <w:rtl/>
        </w:rPr>
        <w:t>: "</w:t>
      </w:r>
      <w:r>
        <w:rPr>
          <w:rtl/>
        </w:rPr>
        <w:t>ולא גרסינן</w:t>
      </w:r>
      <w:r>
        <w:rPr>
          <w:rFonts w:hint="cs"/>
          <w:rtl/>
        </w:rPr>
        <w:t xml:space="preserve"> </w:t>
      </w:r>
      <w:r>
        <w:rPr>
          <w:rtl/>
        </w:rPr>
        <w:t>להראות אלא לראות את עצמו. וכן הוא בסדר רב עמרם</w:t>
      </w:r>
      <w:r>
        <w:rPr>
          <w:rFonts w:hint="cs"/>
          <w:rtl/>
        </w:rPr>
        <w:t xml:space="preserve">". כנ"ל, ר"ד </w:t>
      </w:r>
      <w:r>
        <w:rPr>
          <w:rtl/>
        </w:rPr>
        <w:t>אבודרהם</w:t>
      </w:r>
      <w:r>
        <w:rPr>
          <w:rFonts w:hint="cs"/>
          <w:rtl/>
        </w:rPr>
        <w:t xml:space="preserve"> קרא </w:t>
      </w:r>
      <w:r>
        <w:rPr>
          <w:rFonts w:hint="cs"/>
          <w:sz w:val="26"/>
          <w:rtl/>
        </w:rPr>
        <w:t>בבנין קל.</w:t>
      </w:r>
    </w:p>
  </w:footnote>
  <w:footnote w:id="157">
    <w:p w14:paraId="7B90498D" w14:textId="77777777" w:rsidR="00940290" w:rsidRDefault="00940290" w:rsidP="00940290">
      <w:pPr>
        <w:pStyle w:val="a5"/>
        <w:rPr>
          <w:rFonts w:hint="cs"/>
          <w:rtl/>
        </w:rPr>
      </w:pPr>
      <w:r>
        <w:rPr>
          <w:rStyle w:val="a4"/>
          <w:rtl/>
        </w:rPr>
        <w:footnoteRef/>
      </w:r>
      <w:r>
        <w:rPr>
          <w:szCs w:val="22"/>
        </w:rPr>
        <w:t xml:space="preserve"> </w:t>
      </w:r>
      <w:r>
        <w:rPr>
          <w:rtl/>
        </w:rPr>
        <w:t>רש"י</w:t>
      </w:r>
      <w:r>
        <w:rPr>
          <w:rFonts w:hint="cs"/>
          <w:rtl/>
        </w:rPr>
        <w:t>: "</w:t>
      </w:r>
      <w:r>
        <w:rPr>
          <w:rtl/>
        </w:rPr>
        <w:t>לראותכם - כמו להראותכם. וכן</w:t>
      </w:r>
      <w:r>
        <w:rPr>
          <w:rFonts w:hint="cs"/>
          <w:rtl/>
        </w:rPr>
        <w:t>:</w:t>
      </w:r>
      <w:r>
        <w:rPr>
          <w:rtl/>
        </w:rPr>
        <w:t xml:space="preserve"> </w:t>
      </w:r>
      <w:r>
        <w:rPr>
          <w:b/>
          <w:bCs/>
          <w:rtl/>
        </w:rPr>
        <w:t>לַ</w:t>
      </w:r>
      <w:r>
        <w:rPr>
          <w:rtl/>
        </w:rPr>
        <w:t>נְחֹתָם הַדֶּרֶךְ (</w:t>
      </w:r>
      <w:r>
        <w:rPr>
          <w:sz w:val="18"/>
          <w:szCs w:val="20"/>
          <w:rtl/>
        </w:rPr>
        <w:t>שמות יג, כא</w:t>
      </w:r>
      <w:r>
        <w:rPr>
          <w:rtl/>
        </w:rPr>
        <w:t>), וכן</w:t>
      </w:r>
      <w:r>
        <w:rPr>
          <w:rFonts w:hint="cs"/>
          <w:rtl/>
        </w:rPr>
        <w:t>:</w:t>
      </w:r>
      <w:r>
        <w:rPr>
          <w:rtl/>
        </w:rPr>
        <w:t xml:space="preserve"> </w:t>
      </w:r>
      <w:r>
        <w:rPr>
          <w:b/>
          <w:bCs/>
          <w:rtl/>
        </w:rPr>
        <w:t>לַ</w:t>
      </w:r>
      <w:r>
        <w:rPr>
          <w:rtl/>
        </w:rPr>
        <w:t>שְׁמִעַ בְּקוֹל תּוֹדָה</w:t>
      </w:r>
      <w:r>
        <w:rPr>
          <w:rFonts w:hint="cs"/>
          <w:rtl/>
        </w:rPr>
        <w:t xml:space="preserve"> </w:t>
      </w:r>
      <w:r>
        <w:rPr>
          <w:rtl/>
        </w:rPr>
        <w:t>(</w:t>
      </w:r>
      <w:r>
        <w:rPr>
          <w:sz w:val="18"/>
          <w:szCs w:val="20"/>
          <w:rtl/>
        </w:rPr>
        <w:t>תהלים כו, ז</w:t>
      </w:r>
      <w:r>
        <w:rPr>
          <w:rtl/>
        </w:rPr>
        <w:t>), וכן</w:t>
      </w:r>
      <w:r>
        <w:rPr>
          <w:rFonts w:hint="cs"/>
          <w:rtl/>
        </w:rPr>
        <w:t xml:space="preserve">: </w:t>
      </w:r>
      <w:r>
        <w:rPr>
          <w:rtl/>
        </w:rPr>
        <w:t xml:space="preserve">לָלֶכֶת </w:t>
      </w:r>
      <w:r>
        <w:rPr>
          <w:b/>
          <w:bCs/>
          <w:rtl/>
        </w:rPr>
        <w:t>ל</w:t>
      </w:r>
      <w:r>
        <w:rPr>
          <w:rtl/>
        </w:rPr>
        <w:t>גיד בְּיִזְרְעֶאל</w:t>
      </w:r>
      <w:r>
        <w:rPr>
          <w:rFonts w:hint="cs"/>
          <w:rtl/>
        </w:rPr>
        <w:t xml:space="preserve"> </w:t>
      </w:r>
      <w:r>
        <w:rPr>
          <w:rtl/>
        </w:rPr>
        <w:t>(</w:t>
      </w:r>
      <w:r>
        <w:rPr>
          <w:sz w:val="18"/>
          <w:szCs w:val="20"/>
          <w:rtl/>
        </w:rPr>
        <w:t>מלכים ב' ט, טו</w:t>
      </w:r>
      <w:r>
        <w:rPr>
          <w:rtl/>
        </w:rPr>
        <w:t>)</w:t>
      </w:r>
      <w:r>
        <w:rPr>
          <w:rFonts w:hint="cs"/>
          <w:rtl/>
        </w:rPr>
        <w:t>". בפסוק האחרון יש לפנינו קרי</w:t>
      </w:r>
      <w:r>
        <w:rPr>
          <w:rtl/>
        </w:rPr>
        <w:t xml:space="preserve"> </w:t>
      </w:r>
      <w:r>
        <w:rPr>
          <w:rFonts w:hint="cs"/>
          <w:rtl/>
        </w:rPr>
        <w:t xml:space="preserve">וכתיב, וכה כתב </w:t>
      </w:r>
      <w:r>
        <w:rPr>
          <w:rtl/>
        </w:rPr>
        <w:t>רד"ק</w:t>
      </w:r>
      <w:r>
        <w:rPr>
          <w:rFonts w:hint="cs"/>
          <w:rtl/>
        </w:rPr>
        <w:t>: "</w:t>
      </w:r>
      <w:r>
        <w:rPr>
          <w:rtl/>
        </w:rPr>
        <w:t>לגיד - כן כתיב</w:t>
      </w:r>
      <w:r>
        <w:rPr>
          <w:rFonts w:hint="cs"/>
          <w:rtl/>
        </w:rPr>
        <w:t>,</w:t>
      </w:r>
      <w:r>
        <w:rPr>
          <w:rtl/>
        </w:rPr>
        <w:t xml:space="preserve"> וקרי לְהַגִּיד</w:t>
      </w:r>
      <w:r>
        <w:rPr>
          <w:rFonts w:hint="cs"/>
          <w:rtl/>
        </w:rPr>
        <w:t>,</w:t>
      </w:r>
      <w:r>
        <w:rPr>
          <w:rtl/>
        </w:rPr>
        <w:t xml:space="preserve"> ושניהם נכונים</w:t>
      </w:r>
      <w:r>
        <w:rPr>
          <w:rFonts w:hint="cs"/>
          <w:rtl/>
        </w:rPr>
        <w:t>,</w:t>
      </w:r>
      <w:r>
        <w:rPr>
          <w:rtl/>
        </w:rPr>
        <w:t xml:space="preserve"> כי מצאנו</w:t>
      </w:r>
      <w:r>
        <w:rPr>
          <w:rFonts w:hint="cs"/>
          <w:rtl/>
        </w:rPr>
        <w:t xml:space="preserve"> </w:t>
      </w:r>
      <w:r>
        <w:rPr>
          <w:rtl/>
        </w:rPr>
        <w:t>המקור בחסרון הה"א רבים</w:t>
      </w:r>
      <w:r>
        <w:rPr>
          <w:rFonts w:hint="cs"/>
          <w:rtl/>
        </w:rPr>
        <w:t>..."</w:t>
      </w:r>
    </w:p>
  </w:footnote>
  <w:footnote w:id="158">
    <w:p w14:paraId="69629C88" w14:textId="77777777" w:rsidR="00940290" w:rsidRDefault="00940290" w:rsidP="00940290">
      <w:pPr>
        <w:pStyle w:val="a5"/>
        <w:rPr>
          <w:rtl/>
        </w:rPr>
      </w:pPr>
      <w:r>
        <w:rPr>
          <w:rStyle w:val="a4"/>
          <w:rtl/>
        </w:rPr>
        <w:footnoteRef/>
      </w:r>
      <w:r>
        <w:rPr>
          <w:szCs w:val="22"/>
        </w:rPr>
        <w:t xml:space="preserve"> </w:t>
      </w:r>
      <w:r>
        <w:rPr>
          <w:rtl/>
        </w:rPr>
        <w:t>רש"י</w:t>
      </w:r>
      <w:r>
        <w:rPr>
          <w:rFonts w:hint="cs"/>
          <w:rtl/>
        </w:rPr>
        <w:t>: "</w:t>
      </w:r>
      <w:r>
        <w:rPr>
          <w:rtl/>
        </w:rPr>
        <w:t>לצבות בטן - כמו ל</w:t>
      </w:r>
      <w:r>
        <w:rPr>
          <w:b/>
          <w:bCs/>
          <w:rtl/>
        </w:rPr>
        <w:t>ה</w:t>
      </w:r>
      <w:r>
        <w:rPr>
          <w:rtl/>
        </w:rPr>
        <w:t>צבות בטן, זהו ש</w:t>
      </w:r>
      <w:r>
        <w:rPr>
          <w:rFonts w:hint="cs"/>
          <w:rtl/>
        </w:rPr>
        <w:t>ִ</w:t>
      </w:r>
      <w:r>
        <w:rPr>
          <w:rtl/>
        </w:rPr>
        <w:t>מוש פתח שהלמ"ד נקודה בו</w:t>
      </w:r>
      <w:r>
        <w:rPr>
          <w:rFonts w:hint="cs"/>
          <w:rtl/>
        </w:rPr>
        <w:t xml:space="preserve">... </w:t>
      </w:r>
      <w:r>
        <w:rPr>
          <w:rtl/>
        </w:rPr>
        <w:t>וכן לנפיל ירך</w:t>
      </w:r>
      <w:r>
        <w:rPr>
          <w:rFonts w:hint="cs"/>
          <w:rtl/>
        </w:rPr>
        <w:t xml:space="preserve"> - </w:t>
      </w:r>
      <w:r>
        <w:rPr>
          <w:rtl/>
        </w:rPr>
        <w:t>ל</w:t>
      </w:r>
      <w:r>
        <w:rPr>
          <w:b/>
          <w:bCs/>
          <w:rtl/>
        </w:rPr>
        <w:t>ה</w:t>
      </w:r>
      <w:r>
        <w:rPr>
          <w:rtl/>
        </w:rPr>
        <w:t>נפיל ירך</w:t>
      </w:r>
      <w:r>
        <w:rPr>
          <w:rFonts w:hint="cs"/>
          <w:rtl/>
        </w:rPr>
        <w:t>".</w:t>
      </w:r>
    </w:p>
  </w:footnote>
  <w:footnote w:id="159">
    <w:p w14:paraId="071C066B" w14:textId="77777777" w:rsidR="00940290" w:rsidRDefault="00940290" w:rsidP="00940290">
      <w:pPr>
        <w:pStyle w:val="a5"/>
        <w:rPr>
          <w:rFonts w:hint="cs"/>
          <w:sz w:val="14"/>
          <w:szCs w:val="16"/>
          <w:rtl/>
        </w:rPr>
      </w:pPr>
      <w:r>
        <w:rPr>
          <w:rStyle w:val="a4"/>
          <w:rtl/>
        </w:rPr>
        <w:footnoteRef/>
      </w:r>
      <w:r>
        <w:rPr>
          <w:szCs w:val="22"/>
        </w:rPr>
        <w:t xml:space="preserve"> </w:t>
      </w:r>
      <w:r>
        <w:rPr>
          <w:rFonts w:hint="eastAsia"/>
          <w:rtl/>
        </w:rPr>
        <w:t>הגדת</w:t>
      </w:r>
      <w:r>
        <w:rPr>
          <w:rtl/>
        </w:rPr>
        <w:t xml:space="preserve"> </w:t>
      </w:r>
      <w:r>
        <w:rPr>
          <w:rFonts w:hint="eastAsia"/>
          <w:rtl/>
        </w:rPr>
        <w:t>סרייבו</w:t>
      </w:r>
      <w:r>
        <w:rPr>
          <w:rtl/>
        </w:rPr>
        <w:t xml:space="preserve"> נכתבה לפני כ</w:t>
      </w:r>
      <w:r>
        <w:rPr>
          <w:rFonts w:hint="cs"/>
          <w:rtl/>
        </w:rPr>
        <w:t>66</w:t>
      </w:r>
      <w:r>
        <w:rPr>
          <w:rtl/>
        </w:rPr>
        <w:t>0 שנה ב</w:t>
      </w:r>
      <w:r>
        <w:rPr>
          <w:rFonts w:hint="cs"/>
          <w:rtl/>
        </w:rPr>
        <w:t>צפון ספרד</w:t>
      </w:r>
      <w:r>
        <w:rPr>
          <w:rtl/>
        </w:rPr>
        <w:t xml:space="preserve">, ושם הנוסח </w:t>
      </w:r>
      <w:r>
        <w:rPr>
          <w:rFonts w:hint="cs"/>
          <w:rtl/>
        </w:rPr>
        <w:t xml:space="preserve">הוא: </w:t>
      </w:r>
      <w:r>
        <w:rPr>
          <w:rFonts w:hint="cs"/>
          <w:sz w:val="26"/>
          <w:rtl/>
        </w:rPr>
        <w:t>"</w:t>
      </w:r>
      <w:r>
        <w:rPr>
          <w:rFonts w:hint="cs"/>
          <w:b/>
          <w:bCs/>
          <w:sz w:val="30"/>
          <w:rtl/>
        </w:rPr>
        <w:t>לַ</w:t>
      </w:r>
      <w:r>
        <w:rPr>
          <w:rFonts w:hint="cs"/>
          <w:sz w:val="30"/>
          <w:rtl/>
        </w:rPr>
        <w:t>רְאוֹת</w:t>
      </w:r>
      <w:r>
        <w:rPr>
          <w:rFonts w:hint="cs"/>
          <w:sz w:val="26"/>
          <w:rtl/>
        </w:rPr>
        <w:t>" (</w:t>
      </w:r>
      <w:r>
        <w:rPr>
          <w:rFonts w:hint="cs"/>
          <w:szCs w:val="20"/>
          <w:rtl/>
        </w:rPr>
        <w:t>תודה לרמ"י דושינסקי</w:t>
      </w:r>
      <w:r>
        <w:rPr>
          <w:rFonts w:hint="cs"/>
          <w:sz w:val="26"/>
          <w:rtl/>
        </w:rPr>
        <w:t>).</w:t>
      </w:r>
    </w:p>
  </w:footnote>
  <w:footnote w:id="160">
    <w:p w14:paraId="592EF7C2" w14:textId="77777777" w:rsidR="00940290" w:rsidRDefault="00940290" w:rsidP="00940290">
      <w:pPr>
        <w:pStyle w:val="a5"/>
        <w:rPr>
          <w:rFonts w:hint="cs"/>
          <w:rtl/>
        </w:rPr>
      </w:pPr>
      <w:r>
        <w:rPr>
          <w:rStyle w:val="a4"/>
          <w:rtl/>
        </w:rPr>
        <w:footnoteRef/>
      </w:r>
      <w:r>
        <w:rPr>
          <w:szCs w:val="22"/>
        </w:rPr>
        <w:t xml:space="preserve"> </w:t>
      </w:r>
      <w:r>
        <w:rPr>
          <w:rFonts w:hint="cs"/>
          <w:rtl/>
        </w:rPr>
        <w:t>הרמב"ם לא גרס "ל</w:t>
      </w:r>
      <w:r>
        <w:rPr>
          <w:rFonts w:hint="cs"/>
          <w:b/>
          <w:bCs/>
          <w:rtl/>
        </w:rPr>
        <w:t>ה</w:t>
      </w:r>
      <w:r>
        <w:rPr>
          <w:rFonts w:hint="cs"/>
          <w:rtl/>
        </w:rPr>
        <w:t>ראות" במשנה (</w:t>
      </w:r>
      <w:r>
        <w:rPr>
          <w:rFonts w:hint="cs"/>
          <w:szCs w:val="20"/>
          <w:rtl/>
        </w:rPr>
        <w:t>שכתב ידו מצוי לפנינו</w:t>
      </w:r>
      <w:r>
        <w:rPr>
          <w:rFonts w:hint="cs"/>
          <w:rtl/>
        </w:rPr>
        <w:t>) אך בהלכה כתב כן (</w:t>
      </w:r>
      <w:r>
        <w:rPr>
          <w:rtl/>
        </w:rPr>
        <w:t xml:space="preserve">הלכות חמץ ומצה </w:t>
      </w:r>
      <w:r>
        <w:rPr>
          <w:sz w:val="18"/>
          <w:szCs w:val="20"/>
          <w:rtl/>
        </w:rPr>
        <w:t>פ</w:t>
      </w:r>
      <w:r>
        <w:rPr>
          <w:rFonts w:hint="cs"/>
          <w:sz w:val="18"/>
          <w:szCs w:val="20"/>
          <w:rtl/>
        </w:rPr>
        <w:t>"</w:t>
      </w:r>
      <w:r>
        <w:rPr>
          <w:sz w:val="18"/>
          <w:szCs w:val="20"/>
          <w:rtl/>
        </w:rPr>
        <w:t>ז ה</w:t>
      </w:r>
      <w:r>
        <w:rPr>
          <w:rFonts w:hint="cs"/>
          <w:sz w:val="18"/>
          <w:szCs w:val="20"/>
          <w:rtl/>
        </w:rPr>
        <w:t>"</w:t>
      </w:r>
      <w:r>
        <w:rPr>
          <w:sz w:val="18"/>
          <w:szCs w:val="20"/>
          <w:rtl/>
        </w:rPr>
        <w:t>ו</w:t>
      </w:r>
      <w:r>
        <w:rPr>
          <w:rFonts w:hint="cs"/>
          <w:szCs w:val="20"/>
          <w:rtl/>
        </w:rPr>
        <w:t>; ב</w:t>
      </w:r>
      <w:r>
        <w:rPr>
          <w:szCs w:val="20"/>
          <w:rtl/>
        </w:rPr>
        <w:t>נוסח ההגדה</w:t>
      </w:r>
      <w:r>
        <w:rPr>
          <w:rFonts w:hint="cs"/>
          <w:sz w:val="30"/>
          <w:szCs w:val="28"/>
          <w:rtl/>
        </w:rPr>
        <w:t xml:space="preserve"> </w:t>
      </w:r>
      <w:r>
        <w:rPr>
          <w:rFonts w:hint="cs"/>
          <w:szCs w:val="20"/>
          <w:rtl/>
        </w:rPr>
        <w:t>שלו יש נוסחאות שונות</w:t>
      </w:r>
      <w:r>
        <w:rPr>
          <w:rFonts w:hint="cs"/>
          <w:rtl/>
        </w:rPr>
        <w:t>). וכה כתב הר"י קאפח (</w:t>
      </w:r>
      <w:r>
        <w:rPr>
          <w:rFonts w:hint="cs"/>
          <w:sz w:val="18"/>
          <w:szCs w:val="20"/>
          <w:rtl/>
        </w:rPr>
        <w:t>בפירושו שם,</w:t>
      </w:r>
      <w:r>
        <w:rPr>
          <w:rFonts w:hint="cs"/>
          <w:szCs w:val="20"/>
          <w:rtl/>
        </w:rPr>
        <w:t xml:space="preserve"> עמ' שצ"ד, הערה ח"י</w:t>
      </w:r>
      <w:r>
        <w:rPr>
          <w:rFonts w:hint="cs"/>
          <w:rtl/>
        </w:rPr>
        <w:t xml:space="preserve">): </w:t>
      </w:r>
    </w:p>
    <w:p w14:paraId="79E3B2DA" w14:textId="77777777" w:rsidR="00940290" w:rsidRDefault="00940290" w:rsidP="00940290">
      <w:pPr>
        <w:pStyle w:val="a5"/>
        <w:ind w:left="720"/>
        <w:rPr>
          <w:rFonts w:hint="cs"/>
          <w:rtl/>
        </w:rPr>
      </w:pPr>
      <w:r>
        <w:rPr>
          <w:rFonts w:hint="cs"/>
          <w:rtl/>
        </w:rPr>
        <w:t>"ובכך לִמּדָנו רבנו היאך לקרוא את המשנה.. 'לַראות' נקודה פתח ולא חירק. והכוונה שהתפעלותו, עליצותו ושמחת לִבו משחרור נפשו ורוחו מן האליליות וסחיפיה, ושחרור גופו מן ההתמכרות לעבדות לכל סוגיה, צריכים להיות בולטים וניבטים, ולא רק בסתרי לבבו".</w:t>
      </w:r>
    </w:p>
  </w:footnote>
  <w:footnote w:id="161">
    <w:p w14:paraId="2F514C2F" w14:textId="77777777" w:rsidR="00940290" w:rsidRDefault="00940290" w:rsidP="00940290">
      <w:pPr>
        <w:pStyle w:val="a5"/>
        <w:rPr>
          <w:rFonts w:hint="cs"/>
          <w:rtl/>
        </w:rPr>
      </w:pPr>
      <w:r>
        <w:rPr>
          <w:rStyle w:val="a4"/>
        </w:rPr>
        <w:footnoteRef/>
      </w:r>
      <w:r>
        <w:rPr>
          <w:rFonts w:hint="cs"/>
          <w:rtl/>
        </w:rPr>
        <w:t xml:space="preserve"> </w:t>
      </w:r>
      <w:r>
        <w:rPr>
          <w:rFonts w:hint="cs"/>
          <w:sz w:val="26"/>
          <w:rtl/>
        </w:rPr>
        <w:t xml:space="preserve">ע"פ </w:t>
      </w:r>
      <w:r>
        <w:rPr>
          <w:sz w:val="26"/>
          <w:rtl/>
        </w:rPr>
        <w:t xml:space="preserve">שמות </w:t>
      </w:r>
      <w:r>
        <w:rPr>
          <w:sz w:val="18"/>
          <w:szCs w:val="20"/>
          <w:rtl/>
        </w:rPr>
        <w:t>כו</w:t>
      </w:r>
      <w:r>
        <w:rPr>
          <w:rFonts w:hint="cs"/>
          <w:sz w:val="18"/>
          <w:szCs w:val="20"/>
          <w:rtl/>
        </w:rPr>
        <w:t xml:space="preserve">, </w:t>
      </w:r>
      <w:r>
        <w:rPr>
          <w:sz w:val="18"/>
          <w:szCs w:val="20"/>
          <w:rtl/>
        </w:rPr>
        <w:t>ו</w:t>
      </w:r>
      <w:r>
        <w:rPr>
          <w:rFonts w:hint="cs"/>
          <w:sz w:val="26"/>
          <w:rtl/>
        </w:rPr>
        <w:t xml:space="preserve">; </w:t>
      </w:r>
      <w:r>
        <w:rPr>
          <w:sz w:val="26"/>
          <w:rtl/>
        </w:rPr>
        <w:t xml:space="preserve">תענית </w:t>
      </w:r>
      <w:r>
        <w:rPr>
          <w:sz w:val="18"/>
          <w:szCs w:val="20"/>
          <w:rtl/>
        </w:rPr>
        <w:t>ז</w:t>
      </w:r>
      <w:r>
        <w:rPr>
          <w:rFonts w:hint="cs"/>
          <w:sz w:val="18"/>
          <w:szCs w:val="20"/>
          <w:rtl/>
        </w:rPr>
        <w:t xml:space="preserve">, </w:t>
      </w:r>
      <w:r>
        <w:rPr>
          <w:sz w:val="18"/>
          <w:szCs w:val="20"/>
          <w:rtl/>
        </w:rPr>
        <w:t>א</w:t>
      </w:r>
      <w:r>
        <w:rPr>
          <w:rFonts w:hint="cs"/>
          <w:sz w:val="26"/>
          <w:rtl/>
        </w:rPr>
        <w:t>;</w:t>
      </w:r>
      <w:r>
        <w:rPr>
          <w:sz w:val="26"/>
          <w:rtl/>
        </w:rPr>
        <w:t xml:space="preserve"> נדרים </w:t>
      </w:r>
      <w:r>
        <w:rPr>
          <w:sz w:val="18"/>
          <w:szCs w:val="20"/>
          <w:rtl/>
        </w:rPr>
        <w:t>נ</w:t>
      </w:r>
      <w:r>
        <w:rPr>
          <w:rFonts w:hint="cs"/>
          <w:sz w:val="18"/>
          <w:szCs w:val="20"/>
          <w:rtl/>
        </w:rPr>
        <w:t xml:space="preserve">, </w:t>
      </w:r>
      <w:r>
        <w:rPr>
          <w:sz w:val="18"/>
          <w:szCs w:val="20"/>
          <w:rtl/>
        </w:rPr>
        <w:t>ב</w:t>
      </w:r>
      <w:r>
        <w:rPr>
          <w:rFonts w:hint="cs"/>
          <w:sz w:val="26"/>
          <w:rtl/>
        </w:rPr>
        <w:t>.</w:t>
      </w:r>
    </w:p>
  </w:footnote>
  <w:footnote w:id="162">
    <w:p w14:paraId="5CE46BA2" w14:textId="77777777" w:rsidR="00940290" w:rsidRDefault="00940290" w:rsidP="00940290">
      <w:pPr>
        <w:pStyle w:val="a5"/>
        <w:rPr>
          <w:rFonts w:hint="cs"/>
          <w:rtl/>
        </w:rPr>
      </w:pPr>
      <w:r>
        <w:rPr>
          <w:rStyle w:val="a4"/>
          <w:rtl/>
        </w:rPr>
        <w:footnoteRef/>
      </w:r>
      <w:r>
        <w:t xml:space="preserve"> </w:t>
      </w:r>
      <w:r>
        <w:rPr>
          <w:rFonts w:hint="cs"/>
          <w:rtl/>
        </w:rPr>
        <w:t>היינו "</w:t>
      </w:r>
      <w:r>
        <w:rPr>
          <w:rFonts w:ascii="Arial" w:hAnsi="Arial"/>
        </w:rPr>
        <w:t>continual</w:t>
      </w:r>
      <w:r>
        <w:rPr>
          <w:rFonts w:hint="cs"/>
          <w:rtl/>
        </w:rPr>
        <w:t>" בלעז, וכמו ה"</w:t>
      </w:r>
      <w:r>
        <w:rPr>
          <w:rtl/>
        </w:rPr>
        <w:t>תָמִיד</w:t>
      </w:r>
      <w:r>
        <w:rPr>
          <w:rFonts w:hint="cs"/>
          <w:rtl/>
        </w:rPr>
        <w:t>" שנאמר בקרבן תמיד (</w:t>
      </w:r>
      <w:r>
        <w:rPr>
          <w:sz w:val="18"/>
          <w:szCs w:val="20"/>
          <w:rtl/>
        </w:rPr>
        <w:t>במדבר כח</w:t>
      </w:r>
      <w:r>
        <w:rPr>
          <w:rFonts w:hint="cs"/>
          <w:sz w:val="18"/>
          <w:szCs w:val="20"/>
          <w:rtl/>
        </w:rPr>
        <w:t xml:space="preserve">, </w:t>
      </w:r>
      <w:r>
        <w:rPr>
          <w:sz w:val="18"/>
          <w:szCs w:val="20"/>
          <w:rtl/>
        </w:rPr>
        <w:t>ג</w:t>
      </w:r>
      <w:r>
        <w:rPr>
          <w:rFonts w:hint="cs"/>
          <w:rtl/>
        </w:rPr>
        <w:t>), המוקרב מדי יום ביומו, "תמידין כסדרן". וכ"כ הגר"ע יוסף (</w:t>
      </w:r>
      <w:r>
        <w:rPr>
          <w:rtl/>
        </w:rPr>
        <w:t>שו"ת יביע אומר ח</w:t>
      </w:r>
      <w:r>
        <w:rPr>
          <w:rFonts w:hint="cs"/>
          <w:rtl/>
        </w:rPr>
        <w:t>"</w:t>
      </w:r>
      <w:r>
        <w:rPr>
          <w:rtl/>
        </w:rPr>
        <w:t>ג</w:t>
      </w:r>
      <w:r>
        <w:rPr>
          <w:rFonts w:hint="cs"/>
          <w:rtl/>
        </w:rPr>
        <w:t xml:space="preserve"> </w:t>
      </w:r>
      <w:r>
        <w:rPr>
          <w:rtl/>
        </w:rPr>
        <w:t>או"ח ח</w:t>
      </w:r>
      <w:r>
        <w:rPr>
          <w:rFonts w:hint="cs"/>
          <w:rtl/>
        </w:rPr>
        <w:t>):</w:t>
      </w:r>
      <w:r>
        <w:rPr>
          <w:rtl/>
        </w:rPr>
        <w:t xml:space="preserve"> </w:t>
      </w:r>
      <w:r>
        <w:rPr>
          <w:rFonts w:hint="cs"/>
          <w:rtl/>
        </w:rPr>
        <w:t>"</w:t>
      </w:r>
      <w:r>
        <w:rPr>
          <w:rtl/>
        </w:rPr>
        <w:t>נראה דדריש ליה מלשון קרבן תמיד</w:t>
      </w:r>
      <w:r>
        <w:rPr>
          <w:rFonts w:hint="cs"/>
          <w:rtl/>
        </w:rPr>
        <w:t xml:space="preserve">, </w:t>
      </w:r>
      <w:r>
        <w:rPr>
          <w:rtl/>
        </w:rPr>
        <w:t xml:space="preserve">שכנגד תמידין </w:t>
      </w:r>
      <w:r>
        <w:rPr>
          <w:rtl/>
          <w:lang w:eastAsia="he-IL"/>
        </w:rPr>
        <w:t>תקנום</w:t>
      </w:r>
      <w:r>
        <w:rPr>
          <w:rFonts w:hint="cs"/>
          <w:rtl/>
          <w:lang w:eastAsia="he-IL"/>
        </w:rPr>
        <w:t xml:space="preserve">". </w:t>
      </w:r>
      <w:r>
        <w:rPr>
          <w:rFonts w:hint="cs"/>
          <w:rtl/>
        </w:rPr>
        <w:t xml:space="preserve">וראה </w:t>
      </w:r>
      <w:r>
        <w:rPr>
          <w:rtl/>
        </w:rPr>
        <w:t>רש"י</w:t>
      </w:r>
      <w:r>
        <w:rPr>
          <w:rFonts w:hint="cs"/>
          <w:rtl/>
        </w:rPr>
        <w:t xml:space="preserve"> </w:t>
      </w:r>
      <w:r>
        <w:rPr>
          <w:szCs w:val="20"/>
          <w:rtl/>
        </w:rPr>
        <w:t>שמות כז</w:t>
      </w:r>
      <w:r>
        <w:rPr>
          <w:rFonts w:hint="cs"/>
          <w:szCs w:val="20"/>
          <w:rtl/>
        </w:rPr>
        <w:t>,</w:t>
      </w:r>
      <w:r>
        <w:rPr>
          <w:szCs w:val="20"/>
          <w:rtl/>
        </w:rPr>
        <w:t xml:space="preserve"> </w:t>
      </w:r>
      <w:r>
        <w:rPr>
          <w:rFonts w:hint="cs"/>
          <w:szCs w:val="20"/>
          <w:rtl/>
        </w:rPr>
        <w:t>כ</w:t>
      </w:r>
      <w:r>
        <w:rPr>
          <w:szCs w:val="20"/>
          <w:rtl/>
        </w:rPr>
        <w:t xml:space="preserve"> </w:t>
      </w:r>
      <w:r>
        <w:rPr>
          <w:rFonts w:hint="cs"/>
          <w:szCs w:val="20"/>
          <w:rtl/>
        </w:rPr>
        <w:t>ד"ה</w:t>
      </w:r>
      <w:r>
        <w:rPr>
          <w:szCs w:val="20"/>
          <w:rtl/>
        </w:rPr>
        <w:t xml:space="preserve"> </w:t>
      </w:r>
      <w:r>
        <w:rPr>
          <w:rFonts w:hint="cs"/>
          <w:szCs w:val="20"/>
          <w:rtl/>
        </w:rPr>
        <w:t>[</w:t>
      </w:r>
      <w:r>
        <w:rPr>
          <w:szCs w:val="20"/>
          <w:rtl/>
        </w:rPr>
        <w:t>לְהַעֲלֹת נֵר</w:t>
      </w:r>
      <w:r>
        <w:rPr>
          <w:rFonts w:hint="cs"/>
          <w:szCs w:val="20"/>
          <w:rtl/>
        </w:rPr>
        <w:t>]</w:t>
      </w:r>
      <w:r>
        <w:rPr>
          <w:szCs w:val="20"/>
          <w:rtl/>
        </w:rPr>
        <w:t xml:space="preserve"> </w:t>
      </w:r>
      <w:r>
        <w:rPr>
          <w:rtl/>
        </w:rPr>
        <w:t>תָּמִיד</w:t>
      </w:r>
      <w:r>
        <w:rPr>
          <w:rFonts w:hint="cs"/>
          <w:rtl/>
        </w:rPr>
        <w:t xml:space="preserve">: </w:t>
      </w:r>
    </w:p>
    <w:p w14:paraId="42020769" w14:textId="77777777" w:rsidR="00940290" w:rsidRDefault="00940290" w:rsidP="00940290">
      <w:pPr>
        <w:pStyle w:val="a5"/>
        <w:ind w:left="720"/>
        <w:rPr>
          <w:rFonts w:hint="cs"/>
          <w:rtl/>
        </w:rPr>
      </w:pPr>
      <w:r>
        <w:rPr>
          <w:rFonts w:hint="cs"/>
          <w:rtl/>
        </w:rPr>
        <w:t>"</w:t>
      </w:r>
      <w:r>
        <w:rPr>
          <w:rtl/>
        </w:rPr>
        <w:t>כל לילה ולילה קרוי תמיד, כמו שאתה אומר</w:t>
      </w:r>
      <w:r>
        <w:rPr>
          <w:rFonts w:hint="cs"/>
          <w:rtl/>
        </w:rPr>
        <w:t>: '</w:t>
      </w:r>
      <w:r>
        <w:rPr>
          <w:rtl/>
        </w:rPr>
        <w:t>עולת תמיד</w:t>
      </w:r>
      <w:r>
        <w:rPr>
          <w:rFonts w:hint="cs"/>
          <w:rtl/>
        </w:rPr>
        <w:t xml:space="preserve">' </w:t>
      </w:r>
      <w:r>
        <w:rPr>
          <w:rtl/>
        </w:rPr>
        <w:t>(</w:t>
      </w:r>
      <w:r>
        <w:rPr>
          <w:szCs w:val="20"/>
          <w:rtl/>
        </w:rPr>
        <w:t>במדבר כח</w:t>
      </w:r>
      <w:r>
        <w:rPr>
          <w:rFonts w:hint="cs"/>
          <w:szCs w:val="20"/>
          <w:rtl/>
        </w:rPr>
        <w:t>,</w:t>
      </w:r>
      <w:r>
        <w:rPr>
          <w:szCs w:val="20"/>
          <w:rtl/>
        </w:rPr>
        <w:t xml:space="preserve"> ו</w:t>
      </w:r>
      <w:r>
        <w:rPr>
          <w:rtl/>
        </w:rPr>
        <w:t>), ואינה אלא מיום ליום. וכן במנחת חביתין נאמר</w:t>
      </w:r>
      <w:r>
        <w:rPr>
          <w:rFonts w:hint="cs"/>
          <w:rtl/>
        </w:rPr>
        <w:t>: '</w:t>
      </w:r>
      <w:r>
        <w:rPr>
          <w:rtl/>
        </w:rPr>
        <w:t>תמיד</w:t>
      </w:r>
      <w:r>
        <w:rPr>
          <w:rFonts w:hint="cs"/>
          <w:rtl/>
        </w:rPr>
        <w:t xml:space="preserve">' </w:t>
      </w:r>
      <w:r>
        <w:rPr>
          <w:rtl/>
        </w:rPr>
        <w:t>(</w:t>
      </w:r>
      <w:r>
        <w:rPr>
          <w:szCs w:val="20"/>
          <w:rtl/>
        </w:rPr>
        <w:t>ויקרא ו</w:t>
      </w:r>
      <w:r>
        <w:rPr>
          <w:rFonts w:hint="cs"/>
          <w:szCs w:val="20"/>
          <w:rtl/>
        </w:rPr>
        <w:t>,</w:t>
      </w:r>
      <w:r>
        <w:rPr>
          <w:szCs w:val="20"/>
          <w:rtl/>
        </w:rPr>
        <w:t xml:space="preserve"> יג</w:t>
      </w:r>
      <w:r>
        <w:rPr>
          <w:rtl/>
        </w:rPr>
        <w:t xml:space="preserve">), ואינה אלא </w:t>
      </w:r>
      <w:r>
        <w:rPr>
          <w:rFonts w:hint="cs"/>
          <w:rtl/>
        </w:rPr>
        <w:t>'</w:t>
      </w:r>
      <w:r>
        <w:rPr>
          <w:rtl/>
        </w:rPr>
        <w:t>מַחֲצִיתָהּ בַּבֹּקֶר וּמַחֲצִיתָהּ בָּעָרֶב</w:t>
      </w:r>
      <w:r>
        <w:rPr>
          <w:rFonts w:hint="cs"/>
          <w:rtl/>
        </w:rPr>
        <w:t>'</w:t>
      </w:r>
      <w:r>
        <w:rPr>
          <w:rtl/>
        </w:rPr>
        <w:t xml:space="preserve">. אבל </w:t>
      </w:r>
      <w:r>
        <w:rPr>
          <w:rFonts w:hint="cs"/>
          <w:rtl/>
        </w:rPr>
        <w:t>'</w:t>
      </w:r>
      <w:r>
        <w:rPr>
          <w:rtl/>
        </w:rPr>
        <w:t>תמיד</w:t>
      </w:r>
      <w:r>
        <w:rPr>
          <w:rFonts w:hint="cs"/>
          <w:rtl/>
        </w:rPr>
        <w:t>'</w:t>
      </w:r>
      <w:r>
        <w:rPr>
          <w:rtl/>
        </w:rPr>
        <w:t xml:space="preserve"> האמור בלחם הפנים </w:t>
      </w:r>
      <w:r>
        <w:rPr>
          <w:rFonts w:hint="cs"/>
          <w:rtl/>
        </w:rPr>
        <w:t xml:space="preserve">- </w:t>
      </w:r>
      <w:r>
        <w:rPr>
          <w:rtl/>
        </w:rPr>
        <w:t>משבת לשבת הוא</w:t>
      </w:r>
      <w:r>
        <w:rPr>
          <w:rFonts w:hint="cs"/>
          <w:rtl/>
        </w:rPr>
        <w:t>".</w:t>
      </w:r>
    </w:p>
    <w:p w14:paraId="62E30DA6" w14:textId="77777777" w:rsidR="00940290" w:rsidRDefault="00940290" w:rsidP="00940290">
      <w:pPr>
        <w:pStyle w:val="a5"/>
        <w:rPr>
          <w:rFonts w:hint="cs"/>
          <w:color w:val="FF0000"/>
          <w:rtl/>
        </w:rPr>
      </w:pPr>
      <w:r>
        <w:rPr>
          <w:rFonts w:hint="cs"/>
          <w:rtl/>
        </w:rPr>
        <w:t xml:space="preserve">וראה להלן דף </w:t>
      </w:r>
      <w:r>
        <w:rPr>
          <w:rtl/>
        </w:rPr>
        <w:t>קלג</w:t>
      </w:r>
      <w:r>
        <w:rPr>
          <w:rFonts w:hint="cs"/>
          <w:rtl/>
        </w:rPr>
        <w:t xml:space="preserve">, </w:t>
      </w:r>
      <w:r>
        <w:rPr>
          <w:rtl/>
        </w:rPr>
        <w:t>ב</w:t>
      </w:r>
      <w:r>
        <w:rPr>
          <w:rFonts w:hint="cs"/>
          <w:rtl/>
        </w:rPr>
        <w:t xml:space="preserve">, לגבי "תמיד" </w:t>
      </w:r>
      <w:r>
        <w:rPr>
          <w:rtl/>
        </w:rPr>
        <w:t>האמור בלחם הפנים</w:t>
      </w:r>
      <w:r>
        <w:rPr>
          <w:rFonts w:hint="cs"/>
          <w:rtl/>
        </w:rPr>
        <w:t xml:space="preserve">. </w:t>
      </w:r>
    </w:p>
  </w:footnote>
  <w:footnote w:id="163">
    <w:p w14:paraId="3B8F9696" w14:textId="77777777" w:rsidR="00940290" w:rsidRDefault="00940290" w:rsidP="00940290">
      <w:pPr>
        <w:pStyle w:val="a5"/>
        <w:rPr>
          <w:rFonts w:hint="cs"/>
          <w:rtl/>
        </w:rPr>
      </w:pPr>
      <w:r>
        <w:rPr>
          <w:rStyle w:val="a4"/>
          <w:sz w:val="24"/>
        </w:rPr>
        <w:footnoteRef/>
      </w:r>
      <w:r>
        <w:rPr>
          <w:rFonts w:hint="cs"/>
          <w:sz w:val="24"/>
          <w:rtl/>
        </w:rPr>
        <w:t xml:space="preserve"> היינו "</w:t>
      </w:r>
      <w:r>
        <w:rPr>
          <w:rFonts w:ascii="Arial" w:hAnsi="Arial"/>
          <w:sz w:val="24"/>
        </w:rPr>
        <w:t>continuous</w:t>
      </w:r>
      <w:r>
        <w:rPr>
          <w:rFonts w:hint="cs"/>
          <w:sz w:val="24"/>
          <w:rtl/>
        </w:rPr>
        <w:t>" בלעז, כמו "</w:t>
      </w:r>
      <w:r>
        <w:rPr>
          <w:sz w:val="24"/>
          <w:rtl/>
        </w:rPr>
        <w:t xml:space="preserve">אֵשׁ </w:t>
      </w:r>
      <w:r>
        <w:rPr>
          <w:b/>
          <w:bCs/>
          <w:sz w:val="24"/>
          <w:rtl/>
        </w:rPr>
        <w:t>תָּמִיד</w:t>
      </w:r>
      <w:r>
        <w:rPr>
          <w:rFonts w:hint="cs"/>
          <w:sz w:val="24"/>
          <w:rtl/>
        </w:rPr>
        <w:t>" (</w:t>
      </w:r>
      <w:r>
        <w:rPr>
          <w:sz w:val="18"/>
          <w:szCs w:val="20"/>
          <w:rtl/>
        </w:rPr>
        <w:t>ויקרא ו</w:t>
      </w:r>
      <w:r>
        <w:rPr>
          <w:rFonts w:hint="cs"/>
          <w:sz w:val="18"/>
          <w:szCs w:val="20"/>
          <w:rtl/>
        </w:rPr>
        <w:t xml:space="preserve">, </w:t>
      </w:r>
      <w:r>
        <w:rPr>
          <w:sz w:val="18"/>
          <w:szCs w:val="20"/>
          <w:rtl/>
        </w:rPr>
        <w:t>ו</w:t>
      </w:r>
      <w:r>
        <w:rPr>
          <w:rFonts w:hint="cs"/>
          <w:sz w:val="18"/>
          <w:szCs w:val="20"/>
          <w:rtl/>
        </w:rPr>
        <w:t>; עי"ש במפרשים</w:t>
      </w:r>
      <w:r>
        <w:rPr>
          <w:rFonts w:hint="cs"/>
          <w:sz w:val="24"/>
          <w:rtl/>
        </w:rPr>
        <w:t>) וכ"</w:t>
      </w:r>
      <w:r>
        <w:rPr>
          <w:sz w:val="24"/>
          <w:rtl/>
        </w:rPr>
        <w:t>אֶרֶץ אֲשֶׁר</w:t>
      </w:r>
      <w:r>
        <w:rPr>
          <w:rFonts w:hint="cs"/>
          <w:sz w:val="24"/>
          <w:rtl/>
        </w:rPr>
        <w:t>...</w:t>
      </w:r>
      <w:r>
        <w:rPr>
          <w:sz w:val="24"/>
          <w:rtl/>
        </w:rPr>
        <w:t xml:space="preserve"> </w:t>
      </w:r>
      <w:r>
        <w:rPr>
          <w:b/>
          <w:bCs/>
          <w:sz w:val="24"/>
          <w:rtl/>
        </w:rPr>
        <w:t>תָּמִיד</w:t>
      </w:r>
      <w:r>
        <w:rPr>
          <w:sz w:val="24"/>
          <w:rtl/>
        </w:rPr>
        <w:t xml:space="preserve"> עֵינֵי </w:t>
      </w:r>
      <w:r>
        <w:rPr>
          <w:rFonts w:hint="cs"/>
          <w:sz w:val="24"/>
          <w:rtl/>
        </w:rPr>
        <w:t xml:space="preserve">ה' </w:t>
      </w:r>
      <w:r>
        <w:rPr>
          <w:sz w:val="24"/>
          <w:rtl/>
        </w:rPr>
        <w:t>אֱלֹהֶיךָ בָּהּ מֵרֵשִׁית הַשָּׁנָה</w:t>
      </w:r>
      <w:r>
        <w:rPr>
          <w:rtl/>
        </w:rPr>
        <w:t xml:space="preserve"> וְעַד אַחֲרִית שָׁנָה</w:t>
      </w:r>
      <w:r>
        <w:rPr>
          <w:rFonts w:hint="cs"/>
          <w:rtl/>
        </w:rPr>
        <w:t>" (</w:t>
      </w:r>
      <w:r>
        <w:rPr>
          <w:rtl/>
        </w:rPr>
        <w:t>דברים</w:t>
      </w:r>
      <w:r>
        <w:rPr>
          <w:sz w:val="18"/>
          <w:szCs w:val="20"/>
          <w:rtl/>
        </w:rPr>
        <w:t xml:space="preserve"> יא</w:t>
      </w:r>
      <w:r>
        <w:rPr>
          <w:rFonts w:hint="cs"/>
          <w:sz w:val="18"/>
          <w:szCs w:val="20"/>
          <w:rtl/>
        </w:rPr>
        <w:t xml:space="preserve">, </w:t>
      </w:r>
      <w:r>
        <w:rPr>
          <w:sz w:val="18"/>
          <w:szCs w:val="20"/>
          <w:rtl/>
        </w:rPr>
        <w:t>יב</w:t>
      </w:r>
      <w:r>
        <w:rPr>
          <w:rFonts w:hint="cs"/>
          <w:rtl/>
        </w:rPr>
        <w:t xml:space="preserve">). </w:t>
      </w:r>
    </w:p>
  </w:footnote>
  <w:footnote w:id="164">
    <w:p w14:paraId="0E90C6F2" w14:textId="77777777" w:rsidR="00940290" w:rsidRDefault="00940290" w:rsidP="00940290">
      <w:pPr>
        <w:pStyle w:val="a5"/>
        <w:rPr>
          <w:rFonts w:hint="cs"/>
          <w:rtl/>
        </w:rPr>
      </w:pPr>
      <w:r>
        <w:rPr>
          <w:rStyle w:val="a4"/>
          <w:rtl/>
        </w:rPr>
        <w:footnoteRef/>
      </w:r>
      <w:r>
        <w:t xml:space="preserve"> </w:t>
      </w:r>
      <w:r>
        <w:rPr>
          <w:rFonts w:hint="cs"/>
          <w:rtl/>
        </w:rPr>
        <w:t>דרך משל: הרב ראובן בשעת עסקיו מצליח לחוש כעומד לפני ה' באותה רמת מודעות שחש תלמידו שמעון במהלך תפלת עמידה; במהלך תפלת העמידה מצליח הרב ראובן לחוש את נוכחות ה' ברמה שאליה מגיע תלמידו רק בברכת אבות; ואילו "רמת ה</w:t>
      </w:r>
      <w:r>
        <w:rPr>
          <w:rtl/>
        </w:rPr>
        <w:t>שִׁוִּיתִי</w:t>
      </w:r>
      <w:r>
        <w:rPr>
          <w:rFonts w:hint="cs"/>
          <w:rtl/>
        </w:rPr>
        <w:t>" של הרב ראובן בברכת אבות מקבילה לעוצמת תחושתו של תלמידו שמעון בתפלת נעילה...</w:t>
      </w:r>
    </w:p>
  </w:footnote>
  <w:footnote w:id="165">
    <w:p w14:paraId="632CEC35" w14:textId="77777777" w:rsidR="00940290" w:rsidRDefault="00940290" w:rsidP="00940290">
      <w:pPr>
        <w:pStyle w:val="a5"/>
        <w:rPr>
          <w:rFonts w:hint="cs"/>
          <w:rtl/>
        </w:rPr>
      </w:pPr>
      <w:r>
        <w:rPr>
          <w:rStyle w:val="a4"/>
          <w:rtl/>
        </w:rPr>
        <w:footnoteRef/>
      </w:r>
      <w:r>
        <w:t xml:space="preserve"> </w:t>
      </w:r>
      <w:r>
        <w:rPr>
          <w:rFonts w:hint="cs"/>
          <w:rtl/>
        </w:rPr>
        <w:t>ע"פ לשון הרמ"א בהגהתו הראשונה לשו"ע, והגר"א בביאורו לשו"ע סימן ח' סעיף ב'.</w:t>
      </w:r>
    </w:p>
  </w:footnote>
  <w:footnote w:id="166">
    <w:p w14:paraId="4D6E933B" w14:textId="77777777" w:rsidR="00940290" w:rsidRDefault="00940290" w:rsidP="00940290">
      <w:pPr>
        <w:pStyle w:val="a5"/>
      </w:pPr>
      <w:r>
        <w:rPr>
          <w:rStyle w:val="a4"/>
          <w:rtl/>
        </w:rPr>
        <w:footnoteRef/>
      </w:r>
      <w:r>
        <w:t xml:space="preserve"> </w:t>
      </w:r>
      <w:r>
        <w:rPr>
          <w:rFonts w:hint="cs"/>
          <w:rtl/>
        </w:rPr>
        <w:t>"</w:t>
      </w:r>
      <w:r>
        <w:rPr>
          <w:sz w:val="24"/>
          <w:rtl/>
          <w:lang w:eastAsia="he-IL"/>
        </w:rPr>
        <w:t xml:space="preserve">מי שמקיים בעצמו </w:t>
      </w:r>
      <w:r>
        <w:rPr>
          <w:rFonts w:hint="cs"/>
          <w:rtl/>
        </w:rPr>
        <w:t>'</w:t>
      </w:r>
      <w:r>
        <w:rPr>
          <w:rtl/>
        </w:rPr>
        <w:t>שויתי ה' לנגדי תמיד</w:t>
      </w:r>
      <w:r>
        <w:rPr>
          <w:rFonts w:hint="cs"/>
          <w:rtl/>
        </w:rPr>
        <w:t xml:space="preserve">' </w:t>
      </w:r>
      <w:r>
        <w:rPr>
          <w:rtl/>
        </w:rPr>
        <w:t>מקבל שפע קדושה יותר מזולתו שאינו מחשיב ה' תמיד נגדו</w:t>
      </w:r>
      <w:r>
        <w:rPr>
          <w:rFonts w:hint="cs"/>
          <w:rtl/>
        </w:rPr>
        <w:t>" (</w:t>
      </w:r>
      <w:r>
        <w:rPr>
          <w:rtl/>
        </w:rPr>
        <w:t>שו"ת בנין ציון סימן ג</w:t>
      </w:r>
      <w:r>
        <w:rPr>
          <w:rFonts w:hint="cs"/>
          <w:rtl/>
        </w:rPr>
        <w:t>).</w:t>
      </w:r>
    </w:p>
  </w:footnote>
  <w:footnote w:id="167">
    <w:p w14:paraId="26132071" w14:textId="77777777" w:rsidR="00940290" w:rsidRDefault="00940290" w:rsidP="00940290">
      <w:pPr>
        <w:pStyle w:val="a5"/>
        <w:rPr>
          <w:rFonts w:hint="cs"/>
          <w:rtl/>
        </w:rPr>
      </w:pPr>
      <w:r>
        <w:rPr>
          <w:rStyle w:val="a4"/>
          <w:rtl/>
        </w:rPr>
        <w:footnoteRef/>
      </w:r>
      <w:r>
        <w:t xml:space="preserve"> </w:t>
      </w:r>
      <w:r>
        <w:rPr>
          <w:rFonts w:hint="cs"/>
          <w:rtl/>
        </w:rPr>
        <w:t xml:space="preserve">ראה: </w:t>
      </w:r>
      <w:r>
        <w:rPr>
          <w:rtl/>
        </w:rPr>
        <w:t xml:space="preserve">הלכות דעות </w:t>
      </w:r>
      <w:r>
        <w:rPr>
          <w:rFonts w:hint="cs"/>
          <w:rtl/>
        </w:rPr>
        <w:t xml:space="preserve">לרמב"ם </w:t>
      </w:r>
      <w:r>
        <w:rPr>
          <w:sz w:val="18"/>
          <w:szCs w:val="20"/>
          <w:rtl/>
        </w:rPr>
        <w:t>פ</w:t>
      </w:r>
      <w:r>
        <w:rPr>
          <w:rFonts w:hint="cs"/>
          <w:sz w:val="18"/>
          <w:szCs w:val="20"/>
          <w:rtl/>
        </w:rPr>
        <w:t>"</w:t>
      </w:r>
      <w:r>
        <w:rPr>
          <w:sz w:val="18"/>
          <w:szCs w:val="20"/>
          <w:rtl/>
        </w:rPr>
        <w:t>ה</w:t>
      </w:r>
      <w:r>
        <w:rPr>
          <w:rFonts w:hint="cs"/>
          <w:sz w:val="18"/>
          <w:szCs w:val="20"/>
          <w:rtl/>
        </w:rPr>
        <w:t xml:space="preserve"> </w:t>
      </w:r>
      <w:r>
        <w:rPr>
          <w:sz w:val="18"/>
          <w:szCs w:val="20"/>
          <w:rtl/>
        </w:rPr>
        <w:t>ה</w:t>
      </w:r>
      <w:r>
        <w:rPr>
          <w:rFonts w:hint="cs"/>
          <w:sz w:val="18"/>
          <w:szCs w:val="20"/>
          <w:rtl/>
        </w:rPr>
        <w:t>"</w:t>
      </w:r>
      <w:r>
        <w:rPr>
          <w:sz w:val="18"/>
          <w:szCs w:val="20"/>
          <w:rtl/>
        </w:rPr>
        <w:t>ט</w:t>
      </w:r>
      <w:r>
        <w:rPr>
          <w:rFonts w:hint="cs"/>
          <w:sz w:val="18"/>
          <w:szCs w:val="20"/>
          <w:rtl/>
        </w:rPr>
        <w:t xml:space="preserve">; </w:t>
      </w:r>
      <w:r>
        <w:rPr>
          <w:rtl/>
        </w:rPr>
        <w:t>מ</w:t>
      </w:r>
      <w:r>
        <w:rPr>
          <w:rFonts w:hint="cs"/>
          <w:rtl/>
        </w:rPr>
        <w:t>ג"א</w:t>
      </w:r>
      <w:r>
        <w:rPr>
          <w:rtl/>
        </w:rPr>
        <w:t xml:space="preserve"> </w:t>
      </w:r>
      <w:r>
        <w:rPr>
          <w:rFonts w:hint="cs"/>
          <w:rtl/>
        </w:rPr>
        <w:t>סימן ב' סק"א ו</w:t>
      </w:r>
      <w:r>
        <w:rPr>
          <w:rtl/>
        </w:rPr>
        <w:t>מ</w:t>
      </w:r>
      <w:r>
        <w:rPr>
          <w:rFonts w:hint="cs"/>
          <w:rtl/>
        </w:rPr>
        <w:t xml:space="preserve">חצית השקל; </w:t>
      </w:r>
      <w:r>
        <w:rPr>
          <w:rtl/>
        </w:rPr>
        <w:t>מ</w:t>
      </w:r>
      <w:r>
        <w:rPr>
          <w:rFonts w:hint="cs"/>
          <w:rtl/>
        </w:rPr>
        <w:t>שבצות זהב</w:t>
      </w:r>
      <w:r>
        <w:rPr>
          <w:rtl/>
        </w:rPr>
        <w:t xml:space="preserve">, </w:t>
      </w:r>
      <w:r>
        <w:rPr>
          <w:rFonts w:hint="cs"/>
          <w:rtl/>
        </w:rPr>
        <w:t xml:space="preserve">סק"א; </w:t>
      </w:r>
      <w:r>
        <w:rPr>
          <w:rtl/>
        </w:rPr>
        <w:t>שו"ת אגרות משה חלק יו"ד ג סימן סח</w:t>
      </w:r>
      <w:r>
        <w:rPr>
          <w:rFonts w:hint="cs"/>
          <w:rtl/>
        </w:rPr>
        <w:t xml:space="preserve">, ד; מלבי"ם, </w:t>
      </w:r>
      <w:r>
        <w:rPr>
          <w:rtl/>
        </w:rPr>
        <w:t>א</w:t>
      </w:r>
      <w:r>
        <w:rPr>
          <w:rFonts w:hint="cs"/>
          <w:rtl/>
        </w:rPr>
        <w:t>רצות החיים</w:t>
      </w:r>
      <w:r>
        <w:rPr>
          <w:rtl/>
        </w:rPr>
        <w:t xml:space="preserve">, </w:t>
      </w:r>
      <w:r>
        <w:rPr>
          <w:rFonts w:hint="cs"/>
          <w:rtl/>
        </w:rPr>
        <w:t>המאיר לארץ</w:t>
      </w:r>
      <w:r>
        <w:rPr>
          <w:rtl/>
        </w:rPr>
        <w:t xml:space="preserve">, </w:t>
      </w:r>
      <w:r>
        <w:rPr>
          <w:rFonts w:hint="cs"/>
          <w:rtl/>
        </w:rPr>
        <w:t xml:space="preserve">סימן ב' ס"ק ד'; </w:t>
      </w:r>
      <w:r>
        <w:rPr>
          <w:rtl/>
        </w:rPr>
        <w:t>א</w:t>
      </w:r>
      <w:r>
        <w:rPr>
          <w:rFonts w:hint="cs"/>
          <w:rtl/>
        </w:rPr>
        <w:t>רץ יהודה</w:t>
      </w:r>
      <w:r>
        <w:rPr>
          <w:rtl/>
        </w:rPr>
        <w:t xml:space="preserve">, </w:t>
      </w:r>
      <w:r>
        <w:rPr>
          <w:rFonts w:hint="cs"/>
          <w:rtl/>
        </w:rPr>
        <w:t xml:space="preserve">סימן ח' ס"ק ד'; ר' יוסף חיים, </w:t>
      </w:r>
      <w:r>
        <w:rPr>
          <w:rtl/>
        </w:rPr>
        <w:t>ב</w:t>
      </w:r>
      <w:r>
        <w:rPr>
          <w:rFonts w:hint="cs"/>
          <w:rtl/>
        </w:rPr>
        <w:t>ן איש חי</w:t>
      </w:r>
      <w:r>
        <w:rPr>
          <w:rtl/>
        </w:rPr>
        <w:t xml:space="preserve">, </w:t>
      </w:r>
      <w:r>
        <w:rPr>
          <w:rFonts w:hint="cs"/>
          <w:rtl/>
        </w:rPr>
        <w:t>ש</w:t>
      </w:r>
      <w:r>
        <w:rPr>
          <w:rtl/>
        </w:rPr>
        <w:t>נ</w:t>
      </w:r>
      <w:r>
        <w:rPr>
          <w:rFonts w:hint="cs"/>
          <w:rtl/>
        </w:rPr>
        <w:t xml:space="preserve">ה א', וישלח, ט"ו; הראי"ה קוק, </w:t>
      </w:r>
      <w:r>
        <w:rPr>
          <w:sz w:val="18"/>
          <w:szCs w:val="20"/>
          <w:rtl/>
        </w:rPr>
        <w:t>מ</w:t>
      </w:r>
      <w:r>
        <w:rPr>
          <w:rFonts w:hint="cs"/>
          <w:sz w:val="18"/>
          <w:szCs w:val="20"/>
          <w:rtl/>
        </w:rPr>
        <w:t>צות ראיה</w:t>
      </w:r>
      <w:r>
        <w:rPr>
          <w:sz w:val="18"/>
          <w:szCs w:val="20"/>
          <w:rtl/>
        </w:rPr>
        <w:t xml:space="preserve">, </w:t>
      </w:r>
      <w:r>
        <w:rPr>
          <w:rFonts w:hint="cs"/>
          <w:sz w:val="18"/>
          <w:szCs w:val="20"/>
          <w:rtl/>
        </w:rPr>
        <w:t>עמ' י"ב;</w:t>
      </w:r>
      <w:r>
        <w:rPr>
          <w:rFonts w:hint="cs"/>
          <w:rtl/>
        </w:rPr>
        <w:t xml:space="preserve"> ר' מנשה קליין, שו"ת </w:t>
      </w:r>
      <w:r>
        <w:rPr>
          <w:rtl/>
        </w:rPr>
        <w:t>מ</w:t>
      </w:r>
      <w:r>
        <w:rPr>
          <w:rFonts w:hint="cs"/>
          <w:rtl/>
        </w:rPr>
        <w:t>שנה הלכות ח"ו, סימן ב'.</w:t>
      </w:r>
    </w:p>
  </w:footnote>
  <w:footnote w:id="168">
    <w:p w14:paraId="46D05901" w14:textId="77777777" w:rsidR="00940290" w:rsidRDefault="00940290" w:rsidP="00940290">
      <w:pPr>
        <w:pStyle w:val="a5"/>
        <w:rPr>
          <w:rFonts w:hint="cs"/>
          <w:sz w:val="24"/>
          <w:rtl/>
          <w:lang w:eastAsia="he-IL"/>
        </w:rPr>
      </w:pPr>
      <w:r>
        <w:rPr>
          <w:rStyle w:val="a4"/>
          <w:rtl/>
        </w:rPr>
        <w:footnoteRef/>
      </w:r>
      <w:r>
        <w:t xml:space="preserve"> </w:t>
      </w:r>
      <w:r>
        <w:rPr>
          <w:rFonts w:hint="cs"/>
          <w:rtl/>
        </w:rPr>
        <w:t>השוה ל</w:t>
      </w:r>
      <w:r>
        <w:rPr>
          <w:sz w:val="24"/>
          <w:rtl/>
        </w:rPr>
        <w:t xml:space="preserve">שו"ת ציץ אליעזר חלק יג סימן א </w:t>
      </w:r>
      <w:r>
        <w:rPr>
          <w:rFonts w:hint="cs"/>
          <w:sz w:val="24"/>
          <w:rtl/>
        </w:rPr>
        <w:t>(</w:t>
      </w:r>
      <w:r>
        <w:rPr>
          <w:rFonts w:hint="cs"/>
          <w:sz w:val="18"/>
          <w:szCs w:val="20"/>
          <w:rtl/>
        </w:rPr>
        <w:t xml:space="preserve">שנכתב ביום השלג הירושלמי שבו הוכנסתי בבריתו של אאע"ה, </w:t>
      </w:r>
      <w:r>
        <w:rPr>
          <w:sz w:val="18"/>
          <w:szCs w:val="20"/>
          <w:rtl/>
        </w:rPr>
        <w:t>ט' אדר"א תשל"ו</w:t>
      </w:r>
      <w:r>
        <w:rPr>
          <w:rFonts w:hint="cs"/>
          <w:sz w:val="24"/>
          <w:rtl/>
        </w:rPr>
        <w:t>) "</w:t>
      </w:r>
      <w:r>
        <w:rPr>
          <w:sz w:val="24"/>
          <w:rtl/>
          <w:lang w:eastAsia="he-IL"/>
        </w:rPr>
        <w:t>בדבר אם מותר להרהר בבי</w:t>
      </w:r>
      <w:r>
        <w:rPr>
          <w:rFonts w:hint="cs"/>
          <w:sz w:val="24"/>
          <w:rtl/>
          <w:lang w:eastAsia="he-IL"/>
        </w:rPr>
        <w:t xml:space="preserve">ת </w:t>
      </w:r>
      <w:r>
        <w:rPr>
          <w:sz w:val="24"/>
          <w:rtl/>
          <w:lang w:eastAsia="he-IL"/>
        </w:rPr>
        <w:t>הכס</w:t>
      </w:r>
      <w:r>
        <w:rPr>
          <w:rFonts w:hint="cs"/>
          <w:sz w:val="24"/>
          <w:rtl/>
          <w:lang w:eastAsia="he-IL"/>
        </w:rPr>
        <w:t>א</w:t>
      </w:r>
      <w:r>
        <w:rPr>
          <w:sz w:val="24"/>
          <w:rtl/>
          <w:lang w:eastAsia="he-IL"/>
        </w:rPr>
        <w:t xml:space="preserve"> ובמקומות המטונפים במציאותו ית"ש</w:t>
      </w:r>
      <w:r>
        <w:rPr>
          <w:rFonts w:hint="cs"/>
          <w:sz w:val="24"/>
          <w:rtl/>
          <w:lang w:eastAsia="he-IL"/>
        </w:rPr>
        <w:t xml:space="preserve">" ושם כתב: </w:t>
      </w:r>
    </w:p>
    <w:p w14:paraId="41F35FEB" w14:textId="77777777" w:rsidR="00940290" w:rsidRDefault="00940290" w:rsidP="00940290">
      <w:pPr>
        <w:pStyle w:val="a5"/>
        <w:ind w:left="720"/>
        <w:rPr>
          <w:rFonts w:hint="cs"/>
          <w:rtl/>
        </w:rPr>
      </w:pPr>
      <w:r>
        <w:rPr>
          <w:rFonts w:hint="cs"/>
          <w:sz w:val="24"/>
          <w:rtl/>
          <w:lang w:eastAsia="he-IL"/>
        </w:rPr>
        <w:t>"</w:t>
      </w:r>
      <w:r>
        <w:rPr>
          <w:sz w:val="24"/>
          <w:rtl/>
          <w:lang w:eastAsia="he-IL"/>
        </w:rPr>
        <w:t>ויפה מבאר איפוא בספר שיח יצחק על יומא שם, דדוקא בההיא דציץ ס"ד דתמיד ממש כיון שבא לרצות על טומאת בשר שיכולה להיות בכל שעה, ולכן ניחא דלא דמי לתמיד דמנורה ודחביתין דלאו תמיד ממש הוא</w:t>
      </w:r>
      <w:r>
        <w:rPr>
          <w:rFonts w:hint="cs"/>
          <w:sz w:val="24"/>
          <w:rtl/>
          <w:lang w:eastAsia="he-IL"/>
        </w:rPr>
        <w:t>..</w:t>
      </w:r>
      <w:r>
        <w:rPr>
          <w:sz w:val="24"/>
          <w:rtl/>
          <w:lang w:eastAsia="he-IL"/>
        </w:rPr>
        <w:t>. וא"כ גם התמיד של השויתי י"ל ג"כ דהמכוון תמיד כל זמן שאפשר, ולאפוקי באמת גם כשהוא ישן, ולאו כל אדם זוכה שיחשוב בו ית' גם בעת השינה</w:t>
      </w:r>
      <w:r>
        <w:rPr>
          <w:rFonts w:hint="cs"/>
          <w:sz w:val="24"/>
          <w:rtl/>
          <w:lang w:eastAsia="he-IL"/>
        </w:rPr>
        <w:t xml:space="preserve">... </w:t>
      </w:r>
      <w:r>
        <w:rPr>
          <w:sz w:val="24"/>
          <w:rtl/>
          <w:lang w:eastAsia="he-IL"/>
        </w:rPr>
        <w:t>ובכזאת שניתן לפרש הכוונה של תמיד דר"ל תמיד לזמן הקבוע, מבואר בסנהדרין שם</w:t>
      </w:r>
      <w:r>
        <w:rPr>
          <w:rFonts w:hint="cs"/>
          <w:sz w:val="24"/>
          <w:rtl/>
          <w:lang w:eastAsia="he-IL"/>
        </w:rPr>
        <w:t>..</w:t>
      </w:r>
      <w:r>
        <w:rPr>
          <w:sz w:val="24"/>
          <w:rtl/>
          <w:lang w:eastAsia="he-IL"/>
        </w:rPr>
        <w:t>. דדרשינן תמיד הנא' בשויתי גופיה שאין הכוונה על תמיד ממש כי אם דר"ל תמיד בשעה  שעומד להתפלל</w:t>
      </w:r>
      <w:r>
        <w:rPr>
          <w:rFonts w:hint="cs"/>
          <w:sz w:val="24"/>
          <w:rtl/>
          <w:lang w:eastAsia="he-IL"/>
        </w:rPr>
        <w:t xml:space="preserve">. </w:t>
      </w:r>
      <w:r>
        <w:rPr>
          <w:sz w:val="24"/>
          <w:rtl/>
          <w:lang w:eastAsia="he-IL"/>
        </w:rPr>
        <w:t>והרמ"א בריש סי' א' שהביא הך קרא דשויתי וגו' ומפרש ליה על תמידיות ממש, דקדק בדבריו וכתב גם שהוא כלל גדול בתורה ובמעלות הצדיקים אשר הולכים לפני האלקים. וכפי שראיתי להגאון מלבי"ם ז"ל בספרו ארצות החיים סי' א' בהמאיר לארץ סק"ח שהרגיש בסתירה שישנה לכאורה מההיא דסנהד' לדברי הרמ"א, ולכן מפרש דבדקדוק כתב רמ"א כנ"ז, כי לא כל אדם יעצים עוז לשום מחשבתו בה' לטוטפות בין עיניו תמיד, ורק צדיקים ההולכים לפני האלקים תמיד, הדבקים באלקים חיים. וההיא דסנהדרין מכוון על שאר בני אדם אשר לא השיגו זאת, שעכ"פ צריכים ליזהר שבעת תפלתם ישימו פחד ה' לנגד עינם</w:t>
      </w:r>
      <w:r>
        <w:rPr>
          <w:rFonts w:hint="cs"/>
          <w:sz w:val="24"/>
          <w:rtl/>
          <w:lang w:eastAsia="he-IL"/>
        </w:rPr>
        <w:t xml:space="preserve">... </w:t>
      </w:r>
      <w:r>
        <w:rPr>
          <w:sz w:val="24"/>
          <w:rtl/>
          <w:lang w:eastAsia="he-IL"/>
        </w:rPr>
        <w:t>ועכ"פ מכיון שחזינן דהך תמיד מתפרש גם על זמן קבוע, בודאי שמתפרש אליבא דכו"ע רק במקומות הראוים לכך, לאפוקי ביהכ"ס והדומה לזה שאינם ראוים לכך בגלל טינופם, ליכלוכם ומיאוסם</w:t>
      </w:r>
      <w:r>
        <w:rPr>
          <w:rFonts w:hint="cs"/>
          <w:sz w:val="24"/>
          <w:rtl/>
          <w:lang w:eastAsia="he-IL"/>
        </w:rPr>
        <w:t>"</w:t>
      </w:r>
      <w:r>
        <w:rPr>
          <w:sz w:val="24"/>
          <w:rtl/>
          <w:lang w:eastAsia="he-IL"/>
        </w:rPr>
        <w:t>.</w:t>
      </w:r>
      <w:r>
        <w:rPr>
          <w:rFonts w:cs="Times New Roman"/>
          <w:color w:val="000000"/>
          <w:sz w:val="24"/>
          <w:szCs w:val="30"/>
          <w:rtl/>
          <w:lang w:eastAsia="he-IL"/>
        </w:rPr>
        <w:t xml:space="preserve"> </w:t>
      </w:r>
    </w:p>
  </w:footnote>
  <w:footnote w:id="169">
    <w:p w14:paraId="30B38B12" w14:textId="77777777" w:rsidR="00940290" w:rsidRDefault="00940290" w:rsidP="00940290">
      <w:pPr>
        <w:pStyle w:val="a5"/>
        <w:rPr>
          <w:rFonts w:hint="cs"/>
          <w:rtl/>
        </w:rPr>
      </w:pPr>
      <w:r>
        <w:rPr>
          <w:rStyle w:val="a4"/>
          <w:rtl/>
        </w:rPr>
        <w:footnoteRef/>
      </w:r>
      <w:r>
        <w:t xml:space="preserve"> </w:t>
      </w:r>
      <w:r>
        <w:rPr>
          <w:rFonts w:hint="cs"/>
          <w:rtl/>
        </w:rPr>
        <w:t xml:space="preserve">וכך מדריך </w:t>
      </w:r>
      <w:r>
        <w:rPr>
          <w:rtl/>
        </w:rPr>
        <w:t xml:space="preserve">הרמב"ם </w:t>
      </w:r>
      <w:r>
        <w:rPr>
          <w:rFonts w:hint="cs"/>
          <w:rtl/>
        </w:rPr>
        <w:t>לעלות בסולם זה שראשו מגיע השמימה (</w:t>
      </w:r>
      <w:r>
        <w:rPr>
          <w:sz w:val="18"/>
          <w:szCs w:val="20"/>
          <w:rtl/>
        </w:rPr>
        <w:t xml:space="preserve">מורה הנבוכים ג', </w:t>
      </w:r>
      <w:r>
        <w:rPr>
          <w:rFonts w:hint="cs"/>
          <w:sz w:val="18"/>
          <w:szCs w:val="20"/>
          <w:rtl/>
        </w:rPr>
        <w:t>נ</w:t>
      </w:r>
      <w:r>
        <w:rPr>
          <w:sz w:val="18"/>
          <w:szCs w:val="20"/>
          <w:rtl/>
        </w:rPr>
        <w:t>"</w:t>
      </w:r>
      <w:r>
        <w:rPr>
          <w:rFonts w:hint="cs"/>
          <w:sz w:val="18"/>
          <w:szCs w:val="20"/>
          <w:rtl/>
        </w:rPr>
        <w:t>א</w:t>
      </w:r>
      <w:r>
        <w:rPr>
          <w:rtl/>
        </w:rPr>
        <w:t>)</w:t>
      </w:r>
      <w:r>
        <w:rPr>
          <w:rFonts w:hint="cs"/>
          <w:rtl/>
        </w:rPr>
        <w:t>:</w:t>
      </w:r>
    </w:p>
    <w:p w14:paraId="72EAFD10" w14:textId="77777777" w:rsidR="00940290" w:rsidRDefault="00940290" w:rsidP="00940290">
      <w:pPr>
        <w:pStyle w:val="a5"/>
        <w:ind w:left="720"/>
        <w:rPr>
          <w:rFonts w:hint="cs"/>
          <w:rtl/>
        </w:rPr>
      </w:pPr>
      <w:r>
        <w:rPr>
          <w:rFonts w:hint="cs"/>
          <w:rtl/>
        </w:rPr>
        <w:t>"</w:t>
      </w:r>
      <w:r>
        <w:rPr>
          <w:rtl/>
        </w:rPr>
        <w:t>ומכאן אתחיל לה</w:t>
      </w:r>
      <w:r>
        <w:rPr>
          <w:rFonts w:hint="cs"/>
          <w:rtl/>
        </w:rPr>
        <w:t>נחותך..</w:t>
      </w:r>
      <w:r>
        <w:rPr>
          <w:rtl/>
        </w:rPr>
        <w:t xml:space="preserve">. </w:t>
      </w:r>
      <w:r>
        <w:rPr>
          <w:rFonts w:hint="cs"/>
          <w:rtl/>
        </w:rPr>
        <w:t>ראשי</w:t>
      </w:r>
      <w:r>
        <w:rPr>
          <w:rtl/>
        </w:rPr>
        <w:t>ת מה ש</w:t>
      </w:r>
      <w:r>
        <w:rPr>
          <w:rFonts w:hint="cs"/>
          <w:rtl/>
        </w:rPr>
        <w:t>א</w:t>
      </w:r>
      <w:r>
        <w:rPr>
          <w:rtl/>
        </w:rPr>
        <w:t>ת</w:t>
      </w:r>
      <w:r>
        <w:rPr>
          <w:rFonts w:hint="cs"/>
          <w:rtl/>
        </w:rPr>
        <w:t xml:space="preserve">ה צריך </w:t>
      </w:r>
      <w:r>
        <w:rPr>
          <w:rtl/>
        </w:rPr>
        <w:t>ל</w:t>
      </w:r>
      <w:r>
        <w:rPr>
          <w:rFonts w:hint="cs"/>
          <w:rtl/>
        </w:rPr>
        <w:t xml:space="preserve">הרגיל את עצמך בו הוא </w:t>
      </w:r>
      <w:r>
        <w:rPr>
          <w:rtl/>
        </w:rPr>
        <w:t xml:space="preserve">שתפנה מחשבתך מכל דבר </w:t>
      </w:r>
      <w:r>
        <w:rPr>
          <w:rFonts w:hint="cs"/>
          <w:rtl/>
        </w:rPr>
        <w:t xml:space="preserve">בזמן </w:t>
      </w:r>
      <w:r>
        <w:rPr>
          <w:rtl/>
        </w:rPr>
        <w:t>ש</w:t>
      </w:r>
      <w:r>
        <w:rPr>
          <w:rFonts w:hint="cs"/>
          <w:rtl/>
        </w:rPr>
        <w:t>א</w:t>
      </w:r>
      <w:r>
        <w:rPr>
          <w:rtl/>
        </w:rPr>
        <w:t>ת</w:t>
      </w:r>
      <w:r>
        <w:rPr>
          <w:rFonts w:hint="cs"/>
          <w:rtl/>
        </w:rPr>
        <w:t xml:space="preserve">ה </w:t>
      </w:r>
      <w:r>
        <w:rPr>
          <w:rtl/>
        </w:rPr>
        <w:t>ק</w:t>
      </w:r>
      <w:r>
        <w:rPr>
          <w:rFonts w:hint="cs"/>
          <w:rtl/>
        </w:rPr>
        <w:t>ו</w:t>
      </w:r>
      <w:r>
        <w:rPr>
          <w:rtl/>
        </w:rPr>
        <w:t>רא ק"ש ו</w:t>
      </w:r>
      <w:r>
        <w:rPr>
          <w:rFonts w:hint="cs"/>
          <w:rtl/>
        </w:rPr>
        <w:t>מ</w:t>
      </w:r>
      <w:r>
        <w:rPr>
          <w:rtl/>
        </w:rPr>
        <w:t>תפלל, וא</w:t>
      </w:r>
      <w:r>
        <w:rPr>
          <w:rFonts w:hint="cs"/>
          <w:rtl/>
        </w:rPr>
        <w:t>ל</w:t>
      </w:r>
      <w:r>
        <w:rPr>
          <w:rtl/>
        </w:rPr>
        <w:t xml:space="preserve"> </w:t>
      </w:r>
      <w:r>
        <w:rPr>
          <w:rFonts w:hint="cs"/>
          <w:rtl/>
        </w:rPr>
        <w:t>ת</w:t>
      </w:r>
      <w:r>
        <w:rPr>
          <w:rtl/>
        </w:rPr>
        <w:t>ס</w:t>
      </w:r>
      <w:r>
        <w:rPr>
          <w:rFonts w:hint="cs"/>
          <w:rtl/>
        </w:rPr>
        <w:t>ת</w:t>
      </w:r>
      <w:r>
        <w:rPr>
          <w:rtl/>
        </w:rPr>
        <w:t xml:space="preserve">פק </w:t>
      </w:r>
      <w:r>
        <w:rPr>
          <w:rFonts w:hint="cs"/>
          <w:rtl/>
        </w:rPr>
        <w:t>ב</w:t>
      </w:r>
      <w:r>
        <w:rPr>
          <w:rtl/>
        </w:rPr>
        <w:t>כ</w:t>
      </w:r>
      <w:r>
        <w:rPr>
          <w:rFonts w:hint="cs"/>
          <w:rtl/>
        </w:rPr>
        <w:t>ו</w:t>
      </w:r>
      <w:r>
        <w:rPr>
          <w:rtl/>
        </w:rPr>
        <w:t>ונה בק"ש בפסוק ראשון ובתפלה בברכה ראשונה</w:t>
      </w:r>
      <w:r>
        <w:rPr>
          <w:rFonts w:hint="cs"/>
          <w:rtl/>
        </w:rPr>
        <w:t>.</w:t>
      </w:r>
      <w:r>
        <w:rPr>
          <w:rtl/>
        </w:rPr>
        <w:t xml:space="preserve"> וכ</w:t>
      </w:r>
      <w:r>
        <w:rPr>
          <w:rFonts w:hint="cs"/>
          <w:rtl/>
        </w:rPr>
        <w:t>א</w:t>
      </w:r>
      <w:r>
        <w:rPr>
          <w:rtl/>
        </w:rPr>
        <w:t>ש</w:t>
      </w:r>
      <w:r>
        <w:rPr>
          <w:rFonts w:hint="cs"/>
          <w:rtl/>
        </w:rPr>
        <w:t>ר יצלח בידך הדבר ו</w:t>
      </w:r>
      <w:r>
        <w:rPr>
          <w:rtl/>
        </w:rPr>
        <w:t>י</w:t>
      </w:r>
      <w:r>
        <w:rPr>
          <w:rFonts w:hint="cs"/>
          <w:rtl/>
        </w:rPr>
        <w:t>תחזק במשך</w:t>
      </w:r>
      <w:r>
        <w:rPr>
          <w:rtl/>
        </w:rPr>
        <w:t xml:space="preserve"> שנים, </w:t>
      </w:r>
      <w:r>
        <w:rPr>
          <w:rFonts w:hint="cs"/>
          <w:rtl/>
        </w:rPr>
        <w:t xml:space="preserve">הנהג עצמך </w:t>
      </w:r>
      <w:r>
        <w:rPr>
          <w:rtl/>
        </w:rPr>
        <w:t>אחר</w:t>
      </w:r>
      <w:r>
        <w:rPr>
          <w:rFonts w:hint="cs"/>
          <w:rtl/>
        </w:rPr>
        <w:t>י</w:t>
      </w:r>
      <w:r>
        <w:rPr>
          <w:rtl/>
        </w:rPr>
        <w:t xml:space="preserve"> כ</w:t>
      </w:r>
      <w:r>
        <w:rPr>
          <w:rFonts w:hint="cs"/>
          <w:rtl/>
        </w:rPr>
        <w:t xml:space="preserve">ן... </w:t>
      </w:r>
      <w:r>
        <w:rPr>
          <w:rtl/>
        </w:rPr>
        <w:t>כל</w:t>
      </w:r>
      <w:r>
        <w:rPr>
          <w:rFonts w:hint="cs"/>
          <w:rtl/>
        </w:rPr>
        <w:t xml:space="preserve"> זמן </w:t>
      </w:r>
      <w:r>
        <w:rPr>
          <w:rtl/>
        </w:rPr>
        <w:t>שקרא</w:t>
      </w:r>
      <w:r>
        <w:rPr>
          <w:rFonts w:hint="cs"/>
          <w:rtl/>
        </w:rPr>
        <w:t>ת</w:t>
      </w:r>
      <w:r>
        <w:rPr>
          <w:rtl/>
        </w:rPr>
        <w:t xml:space="preserve"> בתורה</w:t>
      </w:r>
      <w:r>
        <w:rPr>
          <w:rFonts w:hint="cs"/>
          <w:rtl/>
        </w:rPr>
        <w:t>... להתרכז</w:t>
      </w:r>
      <w:r>
        <w:rPr>
          <w:rtl/>
        </w:rPr>
        <w:t xml:space="preserve"> </w:t>
      </w:r>
      <w:r>
        <w:rPr>
          <w:rFonts w:hint="cs"/>
          <w:rtl/>
        </w:rPr>
        <w:t>ב</w:t>
      </w:r>
      <w:r>
        <w:rPr>
          <w:rtl/>
        </w:rPr>
        <w:t>הב</w:t>
      </w:r>
      <w:r>
        <w:rPr>
          <w:rFonts w:hint="cs"/>
          <w:rtl/>
        </w:rPr>
        <w:t xml:space="preserve">נת </w:t>
      </w:r>
      <w:r>
        <w:rPr>
          <w:rtl/>
        </w:rPr>
        <w:t>מה ש</w:t>
      </w:r>
      <w:r>
        <w:rPr>
          <w:rFonts w:hint="cs"/>
          <w:rtl/>
        </w:rPr>
        <w:t xml:space="preserve">אתה </w:t>
      </w:r>
      <w:r>
        <w:rPr>
          <w:rtl/>
        </w:rPr>
        <w:t>ש</w:t>
      </w:r>
      <w:r>
        <w:rPr>
          <w:rFonts w:hint="cs"/>
          <w:rtl/>
        </w:rPr>
        <w:t>ו</w:t>
      </w:r>
      <w:r>
        <w:rPr>
          <w:rtl/>
        </w:rPr>
        <w:t>מע או ק</w:t>
      </w:r>
      <w:r>
        <w:rPr>
          <w:rFonts w:hint="cs"/>
          <w:rtl/>
        </w:rPr>
        <w:t>ו</w:t>
      </w:r>
      <w:r>
        <w:rPr>
          <w:rtl/>
        </w:rPr>
        <w:t>רא,</w:t>
      </w:r>
      <w:r>
        <w:rPr>
          <w:rFonts w:hint="cs"/>
          <w:rtl/>
        </w:rPr>
        <w:t xml:space="preserve"> </w:t>
      </w:r>
      <w:r>
        <w:rPr>
          <w:rtl/>
        </w:rPr>
        <w:t>וכ</w:t>
      </w:r>
      <w:r>
        <w:rPr>
          <w:rFonts w:hint="cs"/>
          <w:rtl/>
        </w:rPr>
        <w:t>א</w:t>
      </w:r>
      <w:r>
        <w:rPr>
          <w:rtl/>
        </w:rPr>
        <w:t>ש</w:t>
      </w:r>
      <w:r>
        <w:rPr>
          <w:rFonts w:hint="cs"/>
          <w:rtl/>
        </w:rPr>
        <w:t>ר יעלה בידך זה במשך</w:t>
      </w:r>
      <w:r>
        <w:rPr>
          <w:rtl/>
        </w:rPr>
        <w:t xml:space="preserve"> </w:t>
      </w:r>
      <w:r>
        <w:rPr>
          <w:rFonts w:hint="cs"/>
          <w:rtl/>
        </w:rPr>
        <w:t>זמן</w:t>
      </w:r>
      <w:r>
        <w:rPr>
          <w:rtl/>
        </w:rPr>
        <w:t xml:space="preserve">, תרגיל </w:t>
      </w:r>
      <w:r>
        <w:rPr>
          <w:rFonts w:hint="cs"/>
          <w:rtl/>
        </w:rPr>
        <w:t>את ש</w:t>
      </w:r>
      <w:r>
        <w:rPr>
          <w:rtl/>
        </w:rPr>
        <w:t>ת</w:t>
      </w:r>
      <w:r>
        <w:rPr>
          <w:rFonts w:hint="cs"/>
          <w:rtl/>
        </w:rPr>
        <w:t>הא</w:t>
      </w:r>
      <w:r>
        <w:rPr>
          <w:rtl/>
        </w:rPr>
        <w:t xml:space="preserve"> מחשבתך </w:t>
      </w:r>
      <w:r>
        <w:rPr>
          <w:rFonts w:hint="cs"/>
          <w:rtl/>
        </w:rPr>
        <w:t xml:space="preserve">תמיד שלמה </w:t>
      </w:r>
      <w:r>
        <w:rPr>
          <w:rtl/>
        </w:rPr>
        <w:t>בכל מה ש</w:t>
      </w:r>
      <w:r>
        <w:rPr>
          <w:rFonts w:hint="cs"/>
          <w:rtl/>
        </w:rPr>
        <w:t>א</w:t>
      </w:r>
      <w:r>
        <w:rPr>
          <w:rtl/>
        </w:rPr>
        <w:t>ת</w:t>
      </w:r>
      <w:r>
        <w:rPr>
          <w:rFonts w:hint="cs"/>
          <w:rtl/>
        </w:rPr>
        <w:t xml:space="preserve">ה </w:t>
      </w:r>
      <w:r>
        <w:rPr>
          <w:rtl/>
        </w:rPr>
        <w:t>ק</w:t>
      </w:r>
      <w:r>
        <w:rPr>
          <w:rFonts w:hint="cs"/>
          <w:rtl/>
        </w:rPr>
        <w:t>ו</w:t>
      </w:r>
      <w:r>
        <w:rPr>
          <w:rtl/>
        </w:rPr>
        <w:t xml:space="preserve">רא משאר דברי הנביאים, </w:t>
      </w:r>
      <w:r>
        <w:rPr>
          <w:rFonts w:hint="cs"/>
          <w:rtl/>
        </w:rPr>
        <w:t xml:space="preserve">ואפילו בכל </w:t>
      </w:r>
      <w:r>
        <w:rPr>
          <w:rtl/>
        </w:rPr>
        <w:t xml:space="preserve">הברכות, </w:t>
      </w:r>
      <w:r>
        <w:rPr>
          <w:rFonts w:hint="cs"/>
          <w:rtl/>
        </w:rPr>
        <w:t>ת</w:t>
      </w:r>
      <w:r>
        <w:rPr>
          <w:rtl/>
        </w:rPr>
        <w:t>תכו</w:t>
      </w:r>
      <w:r>
        <w:rPr>
          <w:rFonts w:hint="cs"/>
          <w:rtl/>
        </w:rPr>
        <w:t>ו</w:t>
      </w:r>
      <w:r>
        <w:rPr>
          <w:rtl/>
        </w:rPr>
        <w:t>ן ב</w:t>
      </w:r>
      <w:r>
        <w:rPr>
          <w:rFonts w:hint="cs"/>
          <w:rtl/>
        </w:rPr>
        <w:t>ו</w:t>
      </w:r>
      <w:r>
        <w:rPr>
          <w:rtl/>
        </w:rPr>
        <w:t xml:space="preserve"> להבין מה ש</w:t>
      </w:r>
      <w:r>
        <w:rPr>
          <w:rFonts w:hint="cs"/>
          <w:rtl/>
        </w:rPr>
        <w:t>א</w:t>
      </w:r>
      <w:r>
        <w:rPr>
          <w:rtl/>
        </w:rPr>
        <w:t>תה</w:t>
      </w:r>
      <w:r>
        <w:rPr>
          <w:rFonts w:hint="cs"/>
          <w:rtl/>
        </w:rPr>
        <w:t xml:space="preserve"> מבטא... וכאשר יושגו לך בשלמות עבודות הללו... </w:t>
      </w:r>
      <w:r>
        <w:rPr>
          <w:rtl/>
        </w:rPr>
        <w:t>בעת שתהיה לבדך</w:t>
      </w:r>
      <w:r>
        <w:rPr>
          <w:rFonts w:hint="cs"/>
          <w:rtl/>
        </w:rPr>
        <w:t xml:space="preserve">... </w:t>
      </w:r>
      <w:r>
        <w:rPr>
          <w:rtl/>
        </w:rPr>
        <w:t xml:space="preserve">הזהר </w:t>
      </w:r>
      <w:r>
        <w:rPr>
          <w:rFonts w:hint="cs"/>
          <w:rtl/>
        </w:rPr>
        <w:t xml:space="preserve">והשמר </w:t>
      </w:r>
      <w:r>
        <w:rPr>
          <w:rtl/>
        </w:rPr>
        <w:t>מל</w:t>
      </w:r>
      <w:r>
        <w:rPr>
          <w:rFonts w:hint="cs"/>
          <w:rtl/>
        </w:rPr>
        <w:t>הפנות ה</w:t>
      </w:r>
      <w:r>
        <w:rPr>
          <w:rtl/>
        </w:rPr>
        <w:t>מחשב</w:t>
      </w:r>
      <w:r>
        <w:rPr>
          <w:rFonts w:hint="cs"/>
          <w:rtl/>
        </w:rPr>
        <w:t xml:space="preserve">ה... בשום דבר אחר פרט לאותה העבודה השכלית... </w:t>
      </w:r>
      <w:r>
        <w:rPr>
          <w:rFonts w:hint="cs"/>
          <w:rtl/>
          <w:lang w:eastAsia="he-IL"/>
        </w:rPr>
        <w:t>והיא ה</w:t>
      </w:r>
      <w:r>
        <w:rPr>
          <w:rtl/>
          <w:lang w:eastAsia="he-IL"/>
        </w:rPr>
        <w:t>התקרב</w:t>
      </w:r>
      <w:r>
        <w:rPr>
          <w:rFonts w:hint="cs"/>
          <w:rtl/>
          <w:lang w:eastAsia="he-IL"/>
        </w:rPr>
        <w:t>ות</w:t>
      </w:r>
      <w:r>
        <w:rPr>
          <w:rtl/>
          <w:lang w:eastAsia="he-IL"/>
        </w:rPr>
        <w:t xml:space="preserve"> ל</w:t>
      </w:r>
      <w:r>
        <w:rPr>
          <w:rFonts w:hint="cs"/>
          <w:rtl/>
          <w:lang w:eastAsia="he-IL"/>
        </w:rPr>
        <w:t>פני ה' וההמצאות</w:t>
      </w:r>
      <w:r>
        <w:rPr>
          <w:rtl/>
          <w:lang w:eastAsia="he-IL"/>
        </w:rPr>
        <w:t xml:space="preserve"> לפניו</w:t>
      </w:r>
      <w:r>
        <w:rPr>
          <w:rFonts w:hint="cs"/>
          <w:rtl/>
          <w:lang w:eastAsia="he-IL"/>
        </w:rPr>
        <w:t>".</w:t>
      </w:r>
    </w:p>
  </w:footnote>
  <w:footnote w:id="170">
    <w:p w14:paraId="3BFB529D" w14:textId="77777777" w:rsidR="00940290" w:rsidRDefault="00940290" w:rsidP="00940290">
      <w:pPr>
        <w:pStyle w:val="a5"/>
        <w:rPr>
          <w:rFonts w:hint="cs"/>
          <w:rtl/>
        </w:rPr>
      </w:pPr>
      <w:r>
        <w:rPr>
          <w:rStyle w:val="a4"/>
          <w:rtl/>
        </w:rPr>
        <w:footnoteRef/>
      </w:r>
      <w:r>
        <w:rPr>
          <w:szCs w:val="22"/>
        </w:rPr>
        <w:t xml:space="preserve"> </w:t>
      </w:r>
      <w:r>
        <w:rPr>
          <w:rFonts w:hint="cs"/>
          <w:rtl/>
        </w:rPr>
        <w:t>יש לציין כי לפי פשוטו של מקרא, לא ברור שכתוב זה עוסק בתפִלה. מלבד זאת, לא נכתב מהי ההכנה הנצרכת לקראת ה'! אולי יש להתכונן כמו "</w:t>
      </w:r>
      <w:r>
        <w:rPr>
          <w:rtl/>
        </w:rPr>
        <w:t xml:space="preserve">חסידים הראשונים </w:t>
      </w:r>
      <w:r>
        <w:rPr>
          <w:rFonts w:hint="cs"/>
          <w:rtl/>
        </w:rPr>
        <w:t>ש</w:t>
      </w:r>
      <w:r>
        <w:rPr>
          <w:rtl/>
        </w:rPr>
        <w:t>היו שוהים שעה אחת ומתפללים</w:t>
      </w:r>
      <w:r>
        <w:rPr>
          <w:rFonts w:hint="cs"/>
          <w:rtl/>
        </w:rPr>
        <w:t>" (</w:t>
      </w:r>
      <w:r>
        <w:rPr>
          <w:rFonts w:hint="cs"/>
          <w:sz w:val="18"/>
          <w:szCs w:val="20"/>
          <w:rtl/>
        </w:rPr>
        <w:t xml:space="preserve">ע"פ </w:t>
      </w:r>
      <w:r>
        <w:rPr>
          <w:sz w:val="18"/>
          <w:szCs w:val="20"/>
          <w:rtl/>
        </w:rPr>
        <w:t>ברכות פ</w:t>
      </w:r>
      <w:r>
        <w:rPr>
          <w:rFonts w:hint="cs"/>
          <w:sz w:val="18"/>
          <w:szCs w:val="20"/>
          <w:rtl/>
        </w:rPr>
        <w:t>"</w:t>
      </w:r>
      <w:r>
        <w:rPr>
          <w:sz w:val="18"/>
          <w:szCs w:val="20"/>
          <w:rtl/>
        </w:rPr>
        <w:t>ה מ</w:t>
      </w:r>
      <w:r>
        <w:rPr>
          <w:rFonts w:hint="cs"/>
          <w:sz w:val="18"/>
          <w:szCs w:val="20"/>
          <w:rtl/>
        </w:rPr>
        <w:t>"</w:t>
      </w:r>
      <w:r>
        <w:rPr>
          <w:sz w:val="18"/>
          <w:szCs w:val="20"/>
          <w:rtl/>
        </w:rPr>
        <w:t>א</w:t>
      </w:r>
      <w:r>
        <w:rPr>
          <w:rFonts w:hint="cs"/>
          <w:rtl/>
        </w:rPr>
        <w:t>)?</w:t>
      </w:r>
    </w:p>
  </w:footnote>
  <w:footnote w:id="171">
    <w:p w14:paraId="339D17FE" w14:textId="77777777" w:rsidR="00940290" w:rsidRDefault="00940290" w:rsidP="00940290">
      <w:pPr>
        <w:pStyle w:val="a5"/>
        <w:rPr>
          <w:rFonts w:hint="cs"/>
          <w:rtl/>
        </w:rPr>
      </w:pPr>
      <w:r>
        <w:rPr>
          <w:rStyle w:val="a4"/>
          <w:rtl/>
        </w:rPr>
        <w:footnoteRef/>
      </w:r>
      <w:r>
        <w:t xml:space="preserve"> </w:t>
      </w:r>
      <w:r>
        <w:rPr>
          <w:rFonts w:hint="cs"/>
          <w:rtl/>
        </w:rPr>
        <w:t>כפי שניתן ללמוד מסידור הלכות ה</w:t>
      </w:r>
      <w:r>
        <w:rPr>
          <w:sz w:val="24"/>
          <w:rtl/>
          <w:lang w:eastAsia="he-IL"/>
        </w:rPr>
        <w:t xml:space="preserve">רי"ף </w:t>
      </w:r>
      <w:r>
        <w:rPr>
          <w:rFonts w:hint="cs"/>
          <w:sz w:val="24"/>
          <w:rtl/>
          <w:lang w:eastAsia="he-IL"/>
        </w:rPr>
        <w:t>(</w:t>
      </w:r>
      <w:r>
        <w:rPr>
          <w:sz w:val="18"/>
          <w:szCs w:val="20"/>
          <w:rtl/>
          <w:lang w:eastAsia="he-IL"/>
        </w:rPr>
        <w:t>דף מב</w:t>
      </w:r>
      <w:r>
        <w:rPr>
          <w:rFonts w:hint="cs"/>
          <w:sz w:val="18"/>
          <w:szCs w:val="20"/>
          <w:rtl/>
          <w:lang w:eastAsia="he-IL"/>
        </w:rPr>
        <w:t xml:space="preserve">, </w:t>
      </w:r>
      <w:r>
        <w:rPr>
          <w:sz w:val="18"/>
          <w:szCs w:val="20"/>
          <w:rtl/>
          <w:lang w:eastAsia="he-IL"/>
        </w:rPr>
        <w:t>א</w:t>
      </w:r>
      <w:r>
        <w:rPr>
          <w:rFonts w:hint="cs"/>
          <w:sz w:val="18"/>
          <w:szCs w:val="20"/>
          <w:rtl/>
          <w:lang w:eastAsia="he-IL"/>
        </w:rPr>
        <w:t xml:space="preserve"> באלפס</w:t>
      </w:r>
      <w:r>
        <w:rPr>
          <w:rFonts w:hint="cs"/>
          <w:sz w:val="24"/>
          <w:rtl/>
          <w:lang w:eastAsia="he-IL"/>
        </w:rPr>
        <w:t xml:space="preserve">) </w:t>
      </w:r>
      <w:r>
        <w:rPr>
          <w:rFonts w:hint="cs"/>
          <w:rtl/>
        </w:rPr>
        <w:t xml:space="preserve">מאמר זה קשור למובא שם </w:t>
      </w:r>
      <w:r>
        <w:rPr>
          <w:rFonts w:hint="cs"/>
          <w:sz w:val="18"/>
          <w:szCs w:val="20"/>
          <w:rtl/>
        </w:rPr>
        <w:t>ב</w:t>
      </w:r>
      <w:r>
        <w:rPr>
          <w:sz w:val="18"/>
          <w:szCs w:val="20"/>
          <w:rtl/>
        </w:rPr>
        <w:t>דף קיג</w:t>
      </w:r>
      <w:r>
        <w:rPr>
          <w:rFonts w:hint="cs"/>
          <w:sz w:val="18"/>
          <w:szCs w:val="20"/>
          <w:rtl/>
        </w:rPr>
        <w:t xml:space="preserve">, </w:t>
      </w:r>
      <w:r>
        <w:rPr>
          <w:sz w:val="18"/>
          <w:szCs w:val="20"/>
          <w:rtl/>
        </w:rPr>
        <w:t>א</w:t>
      </w:r>
      <w:r>
        <w:rPr>
          <w:rFonts w:hint="cs"/>
          <w:rtl/>
        </w:rPr>
        <w:t>: "'</w:t>
      </w:r>
      <w:r>
        <w:rPr>
          <w:rtl/>
        </w:rPr>
        <w:t>וְכִבַּדְתּוֹ</w:t>
      </w:r>
      <w:r>
        <w:rPr>
          <w:rFonts w:hint="cs"/>
          <w:rtl/>
        </w:rPr>
        <w:t>' (</w:t>
      </w:r>
      <w:r>
        <w:rPr>
          <w:sz w:val="18"/>
          <w:szCs w:val="20"/>
          <w:rtl/>
        </w:rPr>
        <w:t>ישעיה</w:t>
      </w:r>
      <w:r>
        <w:rPr>
          <w:rFonts w:hint="cs"/>
          <w:sz w:val="18"/>
          <w:szCs w:val="20"/>
          <w:rtl/>
        </w:rPr>
        <w:t xml:space="preserve"> </w:t>
      </w:r>
      <w:r>
        <w:rPr>
          <w:sz w:val="18"/>
          <w:szCs w:val="20"/>
          <w:rtl/>
        </w:rPr>
        <w:t>נח</w:t>
      </w:r>
      <w:r>
        <w:rPr>
          <w:rFonts w:hint="cs"/>
          <w:sz w:val="18"/>
          <w:szCs w:val="20"/>
          <w:rtl/>
        </w:rPr>
        <w:t xml:space="preserve">, </w:t>
      </w:r>
      <w:r>
        <w:rPr>
          <w:sz w:val="18"/>
          <w:szCs w:val="20"/>
          <w:rtl/>
        </w:rPr>
        <w:t>יג</w:t>
      </w:r>
      <w:r>
        <w:rPr>
          <w:rFonts w:hint="cs"/>
          <w:rtl/>
        </w:rPr>
        <w:t>)</w:t>
      </w:r>
      <w:r>
        <w:rPr>
          <w:rtl/>
        </w:rPr>
        <w:t xml:space="preserve"> - שלא יהא מלבושך של שבת כמלבושך של חול</w:t>
      </w:r>
      <w:r>
        <w:rPr>
          <w:rFonts w:hint="cs"/>
          <w:rtl/>
        </w:rPr>
        <w:t>"</w:t>
      </w:r>
      <w:r>
        <w:rPr>
          <w:rtl/>
        </w:rPr>
        <w:t>.</w:t>
      </w:r>
      <w:r>
        <w:rPr>
          <w:rFonts w:hint="cs"/>
          <w:rtl/>
        </w:rPr>
        <w:t xml:space="preserve"> וכשם שהתלמוד מקיש משינוי בגדי כהונה בעבודת הקרבנות להחלפת בגדים לכבוד שבת, כך ניתן להקיש להחלפת בגדים לצורך עבודת התפלה, שנתקנה כנגד קרבנות.</w:t>
      </w:r>
    </w:p>
  </w:footnote>
  <w:footnote w:id="172">
    <w:p w14:paraId="2CAE45A3" w14:textId="77777777" w:rsidR="00940290" w:rsidRDefault="00940290" w:rsidP="00940290">
      <w:pPr>
        <w:pStyle w:val="a5"/>
        <w:rPr>
          <w:rFonts w:hint="cs"/>
          <w:rtl/>
        </w:rPr>
      </w:pPr>
      <w:r>
        <w:rPr>
          <w:rStyle w:val="a4"/>
          <w:rtl/>
        </w:rPr>
        <w:footnoteRef/>
      </w:r>
      <w:r>
        <w:t xml:space="preserve"> </w:t>
      </w:r>
      <w:r>
        <w:rPr>
          <w:rFonts w:hint="cs"/>
          <w:rtl/>
        </w:rPr>
        <w:t>מהלשון "</w:t>
      </w:r>
      <w:r>
        <w:rPr>
          <w:rtl/>
        </w:rPr>
        <w:t>לימדך תורה דרך ארץ</w:t>
      </w:r>
      <w:r>
        <w:rPr>
          <w:rFonts w:hint="cs"/>
          <w:rtl/>
        </w:rPr>
        <w:t>" ניתן להבין שזהו דין מחייב מן התורה, שניתן ללמוד ממנו מוסר ודרך ארץ, או שהתורה כאן ממליצה על הנהגה ראויה, אך אין זו חובה (</w:t>
      </w:r>
      <w:r>
        <w:rPr>
          <w:rFonts w:hint="cs"/>
          <w:color w:val="000000"/>
          <w:sz w:val="18"/>
          <w:szCs w:val="20"/>
          <w:rtl/>
          <w:lang w:eastAsia="he-IL"/>
        </w:rPr>
        <w:t>לשון דומה נמצאת ב</w:t>
      </w:r>
      <w:r>
        <w:rPr>
          <w:sz w:val="18"/>
          <w:szCs w:val="20"/>
          <w:rtl/>
          <w:lang w:eastAsia="he-IL"/>
        </w:rPr>
        <w:t>ברכות סא א</w:t>
      </w:r>
      <w:r>
        <w:rPr>
          <w:rFonts w:hint="cs"/>
          <w:sz w:val="18"/>
          <w:szCs w:val="20"/>
          <w:rtl/>
          <w:lang w:eastAsia="he-IL"/>
        </w:rPr>
        <w:t xml:space="preserve">; </w:t>
      </w:r>
      <w:r>
        <w:rPr>
          <w:sz w:val="18"/>
          <w:szCs w:val="20"/>
          <w:rtl/>
          <w:lang w:eastAsia="he-IL"/>
        </w:rPr>
        <w:t>יומא ד</w:t>
      </w:r>
      <w:r>
        <w:rPr>
          <w:rFonts w:hint="cs"/>
          <w:sz w:val="18"/>
          <w:szCs w:val="20"/>
          <w:rtl/>
          <w:lang w:eastAsia="he-IL"/>
        </w:rPr>
        <w:t>,</w:t>
      </w:r>
      <w:r>
        <w:rPr>
          <w:sz w:val="18"/>
          <w:szCs w:val="20"/>
          <w:rtl/>
          <w:lang w:eastAsia="he-IL"/>
        </w:rPr>
        <w:t xml:space="preserve"> ב</w:t>
      </w:r>
      <w:r>
        <w:rPr>
          <w:rFonts w:hint="cs"/>
          <w:sz w:val="18"/>
          <w:szCs w:val="20"/>
          <w:rtl/>
          <w:lang w:eastAsia="he-IL"/>
        </w:rPr>
        <w:t xml:space="preserve">; </w:t>
      </w:r>
      <w:r>
        <w:rPr>
          <w:sz w:val="18"/>
          <w:szCs w:val="20"/>
          <w:rtl/>
          <w:lang w:eastAsia="he-IL"/>
        </w:rPr>
        <w:t>עה</w:t>
      </w:r>
      <w:r>
        <w:rPr>
          <w:rFonts w:hint="cs"/>
          <w:sz w:val="18"/>
          <w:szCs w:val="20"/>
          <w:rtl/>
          <w:lang w:eastAsia="he-IL"/>
        </w:rPr>
        <w:t>,</w:t>
      </w:r>
      <w:r>
        <w:rPr>
          <w:sz w:val="18"/>
          <w:szCs w:val="20"/>
          <w:rtl/>
          <w:lang w:eastAsia="he-IL"/>
        </w:rPr>
        <w:t xml:space="preserve"> ב</w:t>
      </w:r>
      <w:r>
        <w:rPr>
          <w:rFonts w:hint="cs"/>
          <w:sz w:val="18"/>
          <w:szCs w:val="20"/>
          <w:rtl/>
          <w:lang w:eastAsia="he-IL"/>
        </w:rPr>
        <w:t xml:space="preserve">; </w:t>
      </w:r>
      <w:r>
        <w:rPr>
          <w:sz w:val="18"/>
          <w:szCs w:val="20"/>
          <w:rtl/>
          <w:lang w:eastAsia="he-IL"/>
        </w:rPr>
        <w:t>ביצה כה</w:t>
      </w:r>
      <w:r>
        <w:rPr>
          <w:rFonts w:hint="cs"/>
          <w:sz w:val="18"/>
          <w:szCs w:val="20"/>
          <w:rtl/>
          <w:lang w:eastAsia="he-IL"/>
        </w:rPr>
        <w:t>,</w:t>
      </w:r>
      <w:r>
        <w:rPr>
          <w:sz w:val="18"/>
          <w:szCs w:val="20"/>
          <w:rtl/>
          <w:lang w:eastAsia="he-IL"/>
        </w:rPr>
        <w:t xml:space="preserve"> א</w:t>
      </w:r>
      <w:r>
        <w:rPr>
          <w:rFonts w:hint="cs"/>
          <w:sz w:val="18"/>
          <w:szCs w:val="20"/>
          <w:rtl/>
          <w:lang w:eastAsia="he-IL"/>
        </w:rPr>
        <w:t xml:space="preserve">; </w:t>
      </w:r>
      <w:r>
        <w:rPr>
          <w:sz w:val="18"/>
          <w:szCs w:val="20"/>
          <w:rtl/>
          <w:lang w:eastAsia="he-IL"/>
        </w:rPr>
        <w:t>סוטה מד</w:t>
      </w:r>
      <w:r>
        <w:rPr>
          <w:rFonts w:hint="cs"/>
          <w:sz w:val="18"/>
          <w:szCs w:val="20"/>
          <w:rtl/>
          <w:lang w:eastAsia="he-IL"/>
        </w:rPr>
        <w:t>,</w:t>
      </w:r>
      <w:r>
        <w:rPr>
          <w:sz w:val="18"/>
          <w:szCs w:val="20"/>
          <w:rtl/>
          <w:lang w:eastAsia="he-IL"/>
        </w:rPr>
        <w:t xml:space="preserve"> א</w:t>
      </w:r>
      <w:r>
        <w:rPr>
          <w:rFonts w:hint="cs"/>
          <w:sz w:val="18"/>
          <w:szCs w:val="20"/>
          <w:rtl/>
          <w:lang w:eastAsia="he-IL"/>
        </w:rPr>
        <w:t xml:space="preserve">; </w:t>
      </w:r>
      <w:r>
        <w:rPr>
          <w:sz w:val="18"/>
          <w:szCs w:val="20"/>
          <w:rtl/>
          <w:lang w:eastAsia="he-IL"/>
        </w:rPr>
        <w:t>ב</w:t>
      </w:r>
      <w:r>
        <w:rPr>
          <w:rFonts w:hint="cs"/>
          <w:sz w:val="18"/>
          <w:szCs w:val="20"/>
          <w:rtl/>
          <w:lang w:eastAsia="he-IL"/>
        </w:rPr>
        <w:t>"</w:t>
      </w:r>
      <w:r>
        <w:rPr>
          <w:sz w:val="18"/>
          <w:szCs w:val="20"/>
          <w:rtl/>
          <w:lang w:eastAsia="he-IL"/>
        </w:rPr>
        <w:t>מ</w:t>
      </w:r>
      <w:r>
        <w:rPr>
          <w:rFonts w:hint="cs"/>
          <w:sz w:val="18"/>
          <w:szCs w:val="20"/>
          <w:rtl/>
          <w:lang w:eastAsia="he-IL"/>
        </w:rPr>
        <w:t xml:space="preserve"> </w:t>
      </w:r>
      <w:r>
        <w:rPr>
          <w:sz w:val="18"/>
          <w:szCs w:val="20"/>
          <w:rtl/>
          <w:lang w:eastAsia="he-IL"/>
        </w:rPr>
        <w:t>פז</w:t>
      </w:r>
      <w:r>
        <w:rPr>
          <w:rFonts w:hint="cs"/>
          <w:sz w:val="18"/>
          <w:szCs w:val="20"/>
          <w:rtl/>
          <w:lang w:eastAsia="he-IL"/>
        </w:rPr>
        <w:t>,</w:t>
      </w:r>
      <w:r>
        <w:rPr>
          <w:sz w:val="18"/>
          <w:szCs w:val="20"/>
          <w:rtl/>
          <w:lang w:eastAsia="he-IL"/>
        </w:rPr>
        <w:t xml:space="preserve"> א</w:t>
      </w:r>
      <w:r>
        <w:rPr>
          <w:rFonts w:hint="cs"/>
          <w:sz w:val="18"/>
          <w:szCs w:val="20"/>
          <w:rtl/>
          <w:lang w:eastAsia="he-IL"/>
        </w:rPr>
        <w:t>; וג' פעמים ב</w:t>
      </w:r>
      <w:r>
        <w:rPr>
          <w:sz w:val="18"/>
          <w:szCs w:val="20"/>
          <w:rtl/>
          <w:lang w:eastAsia="he-IL"/>
        </w:rPr>
        <w:t>חולין פד</w:t>
      </w:r>
      <w:r>
        <w:rPr>
          <w:rFonts w:hint="cs"/>
          <w:sz w:val="18"/>
          <w:szCs w:val="20"/>
          <w:rtl/>
          <w:lang w:eastAsia="he-IL"/>
        </w:rPr>
        <w:t>,</w:t>
      </w:r>
      <w:r>
        <w:rPr>
          <w:sz w:val="18"/>
          <w:szCs w:val="20"/>
          <w:rtl/>
          <w:lang w:eastAsia="he-IL"/>
        </w:rPr>
        <w:t xml:space="preserve"> א</w:t>
      </w:r>
      <w:r>
        <w:rPr>
          <w:rFonts w:hint="cs"/>
          <w:rtl/>
        </w:rPr>
        <w:t>). נראה כי בכך נחלקו רש"י ו</w:t>
      </w:r>
      <w:r>
        <w:rPr>
          <w:rtl/>
        </w:rPr>
        <w:t xml:space="preserve">רמב"ן </w:t>
      </w:r>
      <w:r>
        <w:rPr>
          <w:rFonts w:hint="cs"/>
          <w:rtl/>
        </w:rPr>
        <w:t>ל</w:t>
      </w:r>
      <w:r>
        <w:rPr>
          <w:rtl/>
        </w:rPr>
        <w:t>ויקרא ו</w:t>
      </w:r>
      <w:r>
        <w:rPr>
          <w:rFonts w:hint="cs"/>
          <w:rtl/>
        </w:rPr>
        <w:t xml:space="preserve">, </w:t>
      </w:r>
      <w:r>
        <w:rPr>
          <w:rtl/>
        </w:rPr>
        <w:t>ד</w:t>
      </w:r>
      <w:r>
        <w:rPr>
          <w:rFonts w:hint="cs"/>
          <w:rtl/>
        </w:rPr>
        <w:t>:</w:t>
      </w:r>
    </w:p>
    <w:p w14:paraId="34B25A4D" w14:textId="77777777" w:rsidR="00940290" w:rsidRDefault="00940290" w:rsidP="00940290">
      <w:pPr>
        <w:pStyle w:val="a5"/>
        <w:ind w:left="720"/>
        <w:rPr>
          <w:rFonts w:hint="cs"/>
          <w:rtl/>
        </w:rPr>
      </w:pPr>
      <w:r>
        <w:rPr>
          <w:rFonts w:hint="cs"/>
          <w:rtl/>
        </w:rPr>
        <w:t>"</w:t>
      </w:r>
      <w:r>
        <w:rPr>
          <w:rtl/>
        </w:rPr>
        <w:t>ופשט את בגדיו - אין זה חובה אלא דרך ארץ, שלא ילכלך בגדים שהוא משמש בהם בהוצאת הדשן, בגדים שבשל בהן קדרה לרבו אל ימזוג בהן כוס לרבו, לכך אמר ולבש בגדים אחרים</w:t>
      </w:r>
      <w:r>
        <w:rPr>
          <w:rFonts w:hint="cs"/>
          <w:rtl/>
        </w:rPr>
        <w:t xml:space="preserve"> - </w:t>
      </w:r>
      <w:r>
        <w:rPr>
          <w:rtl/>
        </w:rPr>
        <w:t xml:space="preserve">פחותים מהם. לשון רש"י. והכונה לרבותינו בזה, לומר שהוצאת הדשן  צריכה בגדי כהונה, ואין </w:t>
      </w:r>
      <w:r>
        <w:rPr>
          <w:rFonts w:hint="cs"/>
          <w:rtl/>
        </w:rPr>
        <w:t>'</w:t>
      </w:r>
      <w:r>
        <w:rPr>
          <w:rtl/>
        </w:rPr>
        <w:t>בגדים אחרים</w:t>
      </w:r>
      <w:r>
        <w:rPr>
          <w:rFonts w:hint="cs"/>
          <w:rtl/>
        </w:rPr>
        <w:t>'</w:t>
      </w:r>
      <w:r>
        <w:rPr>
          <w:rtl/>
        </w:rPr>
        <w:t xml:space="preserve"> בגדי חול</w:t>
      </w:r>
      <w:r>
        <w:rPr>
          <w:rFonts w:hint="cs"/>
          <w:rtl/>
        </w:rPr>
        <w:t xml:space="preserve">. </w:t>
      </w:r>
      <w:r>
        <w:rPr>
          <w:rtl/>
        </w:rPr>
        <w:t>אבל לא ידעתי מנין אמר הרב שאינה חובה, כי נראה שמצוה היא על הכהן שהבגדים שיעשה בהם הקרבנות גם הרמת הדשן יהיו בגדים נקיים, לא ישמש באותן אשר הוציא הדשן, והמצוה מדרך מוסר העבד לרבו, ולכך יהיו לכהנים הבגדים החמודות לעבודות והפחותים להוצאת הדשן. וכל זה לפי הסברא הזו שכתבה הרב</w:t>
      </w:r>
      <w:r>
        <w:rPr>
          <w:rFonts w:hint="cs"/>
          <w:rtl/>
        </w:rPr>
        <w:t xml:space="preserve">. </w:t>
      </w:r>
      <w:r>
        <w:rPr>
          <w:rtl/>
        </w:rPr>
        <w:t xml:space="preserve">אבל יש מרבותינו שם במסכת יומא </w:t>
      </w:r>
      <w:r>
        <w:rPr>
          <w:sz w:val="18"/>
          <w:szCs w:val="20"/>
          <w:rtl/>
        </w:rPr>
        <w:t>כג</w:t>
      </w:r>
      <w:r>
        <w:rPr>
          <w:rFonts w:hint="cs"/>
          <w:sz w:val="18"/>
          <w:szCs w:val="20"/>
          <w:rtl/>
        </w:rPr>
        <w:t>,</w:t>
      </w:r>
      <w:r>
        <w:rPr>
          <w:sz w:val="18"/>
          <w:szCs w:val="20"/>
          <w:rtl/>
        </w:rPr>
        <w:t xml:space="preserve"> ב</w:t>
      </w:r>
      <w:r>
        <w:rPr>
          <w:rFonts w:hint="cs"/>
          <w:rtl/>
        </w:rPr>
        <w:t xml:space="preserve"> </w:t>
      </w:r>
      <w:r>
        <w:rPr>
          <w:rtl/>
        </w:rPr>
        <w:t xml:space="preserve">אומר שאין הוצאת הדשן צריכה בגדי כהונה, ויאמר </w:t>
      </w:r>
      <w:r>
        <w:rPr>
          <w:rFonts w:hint="cs"/>
          <w:rtl/>
        </w:rPr>
        <w:t>'</w:t>
      </w:r>
      <w:r>
        <w:rPr>
          <w:rtl/>
        </w:rPr>
        <w:t>ולבש בגדים אחרים</w:t>
      </w:r>
      <w:r>
        <w:rPr>
          <w:rFonts w:hint="cs"/>
          <w:rtl/>
        </w:rPr>
        <w:t xml:space="preserve"> - </w:t>
      </w:r>
      <w:r>
        <w:rPr>
          <w:rtl/>
        </w:rPr>
        <w:t>בגדי חול</w:t>
      </w:r>
      <w:r>
        <w:rPr>
          <w:rFonts w:hint="cs"/>
          <w:rtl/>
        </w:rPr>
        <w:t xml:space="preserve">'. </w:t>
      </w:r>
      <w:r>
        <w:rPr>
          <w:rtl/>
        </w:rPr>
        <w:t>ופשוטו של מקרא בכך הוא, שיצוה עליו שלא ילכלך בגדי הבד בגדי הקדש בהוצאת הדשן אבל ילבש בגדי חול</w:t>
      </w:r>
      <w:r>
        <w:rPr>
          <w:rFonts w:hint="cs"/>
          <w:rtl/>
        </w:rPr>
        <w:t xml:space="preserve">". </w:t>
      </w:r>
    </w:p>
  </w:footnote>
  <w:footnote w:id="173">
    <w:p w14:paraId="393F1EE1" w14:textId="77777777" w:rsidR="00940290" w:rsidRDefault="00940290" w:rsidP="00940290">
      <w:pPr>
        <w:pStyle w:val="a5"/>
        <w:rPr>
          <w:rFonts w:hint="cs"/>
          <w:rtl/>
        </w:rPr>
      </w:pPr>
      <w:r>
        <w:rPr>
          <w:rStyle w:val="a4"/>
          <w:rtl/>
        </w:rPr>
        <w:footnoteRef/>
      </w:r>
      <w:r>
        <w:rPr>
          <w:szCs w:val="22"/>
        </w:rPr>
        <w:t xml:space="preserve"> </w:t>
      </w:r>
      <w:r>
        <w:rPr>
          <w:rFonts w:hint="cs"/>
          <w:rtl/>
        </w:rPr>
        <w:t>בעל תורה אור ציין שם כי מקור פסוק זה ב</w:t>
      </w:r>
      <w:r>
        <w:rPr>
          <w:rtl/>
        </w:rPr>
        <w:t>תהלים כט</w:t>
      </w:r>
      <w:r>
        <w:rPr>
          <w:rFonts w:hint="cs"/>
          <w:rtl/>
        </w:rPr>
        <w:t xml:space="preserve">, </w:t>
      </w:r>
      <w:r>
        <w:rPr>
          <w:rtl/>
        </w:rPr>
        <w:t>ב</w:t>
      </w:r>
      <w:r>
        <w:rPr>
          <w:rFonts w:hint="cs"/>
          <w:rtl/>
        </w:rPr>
        <w:t xml:space="preserve">. פסוק זהה מופיע במזמור </w:t>
      </w:r>
      <w:r>
        <w:rPr>
          <w:rtl/>
        </w:rPr>
        <w:t>צו</w:t>
      </w:r>
      <w:r>
        <w:rPr>
          <w:rFonts w:hint="cs"/>
          <w:rtl/>
        </w:rPr>
        <w:t xml:space="preserve">, </w:t>
      </w:r>
      <w:r>
        <w:rPr>
          <w:rtl/>
        </w:rPr>
        <w:t xml:space="preserve">ט </w:t>
      </w:r>
      <w:r>
        <w:rPr>
          <w:rFonts w:hint="cs"/>
          <w:rtl/>
        </w:rPr>
        <w:t>וכן ב</w:t>
      </w:r>
      <w:r>
        <w:rPr>
          <w:rtl/>
        </w:rPr>
        <w:t>דברי הימים א</w:t>
      </w:r>
      <w:r>
        <w:rPr>
          <w:rFonts w:hint="cs"/>
          <w:rtl/>
        </w:rPr>
        <w:t xml:space="preserve">' </w:t>
      </w:r>
      <w:r>
        <w:rPr>
          <w:rtl/>
        </w:rPr>
        <w:t>טז</w:t>
      </w:r>
      <w:r>
        <w:rPr>
          <w:rFonts w:hint="cs"/>
          <w:rtl/>
        </w:rPr>
        <w:t xml:space="preserve">, </w:t>
      </w:r>
      <w:r>
        <w:rPr>
          <w:rtl/>
        </w:rPr>
        <w:t xml:space="preserve">כט </w:t>
      </w:r>
      <w:r>
        <w:rPr>
          <w:rFonts w:hint="cs"/>
          <w:rtl/>
        </w:rPr>
        <w:t>(בקטע שנפתח ב"</w:t>
      </w:r>
      <w:r>
        <w:rPr>
          <w:rtl/>
        </w:rPr>
        <w:t>הוֹדוּ לַ</w:t>
      </w:r>
      <w:r>
        <w:rPr>
          <w:rFonts w:hint="cs"/>
          <w:rtl/>
        </w:rPr>
        <w:t xml:space="preserve">ה' </w:t>
      </w:r>
      <w:r>
        <w:rPr>
          <w:rtl/>
        </w:rPr>
        <w:t>קִרְאוּ בִשְׁמוֹ</w:t>
      </w:r>
      <w:r>
        <w:rPr>
          <w:rFonts w:hint="cs"/>
          <w:rtl/>
        </w:rPr>
        <w:t xml:space="preserve">", הנאמר בכל יום בראשית פסוקי דזמרה). ונראה שהצדק עמו, כי מסתבר שהלכה זו תִלָּמֵד ממזמור כ"ט שכנגד </w:t>
      </w:r>
      <w:r>
        <w:rPr>
          <w:rtl/>
        </w:rPr>
        <w:t>שמ</w:t>
      </w:r>
      <w:r>
        <w:rPr>
          <w:rFonts w:hint="cs"/>
          <w:rtl/>
        </w:rPr>
        <w:t>ו</w:t>
      </w:r>
      <w:r>
        <w:rPr>
          <w:rtl/>
        </w:rPr>
        <w:t xml:space="preserve">נה עשרה </w:t>
      </w:r>
      <w:r>
        <w:rPr>
          <w:rFonts w:hint="cs"/>
          <w:rtl/>
        </w:rPr>
        <w:t xml:space="preserve">אזכרות שבו </w:t>
      </w:r>
      <w:r>
        <w:rPr>
          <w:rtl/>
        </w:rPr>
        <w:t xml:space="preserve">תקנו </w:t>
      </w:r>
      <w:r>
        <w:rPr>
          <w:rFonts w:hint="cs"/>
          <w:rtl/>
        </w:rPr>
        <w:t xml:space="preserve">חז"ל תפִלת </w:t>
      </w:r>
      <w:r>
        <w:rPr>
          <w:rtl/>
        </w:rPr>
        <w:t>י"ח ברכות</w:t>
      </w:r>
      <w:r>
        <w:rPr>
          <w:rFonts w:hint="cs"/>
          <w:rtl/>
        </w:rPr>
        <w:t xml:space="preserve"> (</w:t>
      </w:r>
      <w:r>
        <w:rPr>
          <w:rtl/>
        </w:rPr>
        <w:t xml:space="preserve">ברכות </w:t>
      </w:r>
      <w:r>
        <w:rPr>
          <w:sz w:val="18"/>
          <w:szCs w:val="20"/>
          <w:rtl/>
        </w:rPr>
        <w:t>כח</w:t>
      </w:r>
      <w:r>
        <w:rPr>
          <w:rFonts w:hint="cs"/>
          <w:sz w:val="18"/>
          <w:szCs w:val="20"/>
          <w:rtl/>
        </w:rPr>
        <w:t xml:space="preserve">, </w:t>
      </w:r>
      <w:r>
        <w:rPr>
          <w:sz w:val="18"/>
          <w:szCs w:val="20"/>
          <w:rtl/>
        </w:rPr>
        <w:t>ב</w:t>
      </w:r>
      <w:r>
        <w:rPr>
          <w:rFonts w:hint="cs"/>
          <w:rtl/>
        </w:rPr>
        <w:t>).</w:t>
      </w:r>
    </w:p>
  </w:footnote>
  <w:footnote w:id="174">
    <w:p w14:paraId="45906E96" w14:textId="77777777" w:rsidR="00940290" w:rsidRDefault="00940290" w:rsidP="00940290">
      <w:pPr>
        <w:pStyle w:val="a5"/>
        <w:rPr>
          <w:rFonts w:hint="cs"/>
          <w:rtl/>
        </w:rPr>
      </w:pPr>
      <w:r>
        <w:rPr>
          <w:rStyle w:val="a4"/>
          <w:rtl/>
        </w:rPr>
        <w:footnoteRef/>
      </w:r>
      <w:r>
        <w:rPr>
          <w:szCs w:val="22"/>
        </w:rPr>
        <w:t xml:space="preserve"> </w:t>
      </w:r>
      <w:r>
        <w:rPr>
          <w:rFonts w:hint="cs"/>
          <w:rtl/>
        </w:rPr>
        <w:t xml:space="preserve">"ממש" רוצה לומר: כפשוטה של מלה זו, ולא כדרשת </w:t>
      </w:r>
      <w:r>
        <w:rPr>
          <w:rtl/>
        </w:rPr>
        <w:t>רבי יהושע בן לוי</w:t>
      </w:r>
      <w:r>
        <w:rPr>
          <w:rFonts w:hint="cs"/>
          <w:rtl/>
        </w:rPr>
        <w:t xml:space="preserve"> שָם "</w:t>
      </w:r>
      <w:r>
        <w:rPr>
          <w:rtl/>
        </w:rPr>
        <w:t>אל תקרי</w:t>
      </w:r>
      <w:r>
        <w:rPr>
          <w:rFonts w:hint="cs"/>
          <w:rtl/>
        </w:rPr>
        <w:t xml:space="preserve"> </w:t>
      </w:r>
      <w:r>
        <w:rPr>
          <w:rtl/>
        </w:rPr>
        <w:t>בהדרת אלא בחרדת</w:t>
      </w:r>
      <w:r>
        <w:rPr>
          <w:rFonts w:hint="cs"/>
          <w:rtl/>
        </w:rPr>
        <w:t>" - דרשה המבוססת על שׂיכול אותיות ועל הדמיון הגרפי והקולי של האותיות ה"א וחי"ת (ואולי גם ע"פ האכדית). עיין בפירושים המובאים בדעת מקרא בשלוש ההיקרויות של פסוק זה. ב</w:t>
      </w:r>
      <w:r>
        <w:rPr>
          <w:rtl/>
        </w:rPr>
        <w:t>דברי הימים</w:t>
      </w:r>
      <w:r>
        <w:rPr>
          <w:rFonts w:hint="cs"/>
          <w:rtl/>
        </w:rPr>
        <w:t xml:space="preserve"> פרש ר' יהודה קיל: "בתפארת </w:t>
      </w:r>
      <w:r>
        <w:rPr>
          <w:rtl/>
        </w:rPr>
        <w:t>קֹ</w:t>
      </w:r>
      <w:r>
        <w:rPr>
          <w:rFonts w:hint="cs"/>
          <w:rtl/>
        </w:rPr>
        <w:t xml:space="preserve">דש, בבגדי </w:t>
      </w:r>
      <w:r>
        <w:rPr>
          <w:rtl/>
        </w:rPr>
        <w:t>קֹ</w:t>
      </w:r>
      <w:r>
        <w:rPr>
          <w:rFonts w:hint="cs"/>
          <w:rtl/>
        </w:rPr>
        <w:t>דש מפוארים".</w:t>
      </w:r>
    </w:p>
  </w:footnote>
  <w:footnote w:id="175">
    <w:p w14:paraId="50EF49F5" w14:textId="77777777" w:rsidR="00940290" w:rsidRDefault="00940290" w:rsidP="00940290">
      <w:pPr>
        <w:pStyle w:val="a5"/>
        <w:rPr>
          <w:rFonts w:hint="cs"/>
          <w:rtl/>
        </w:rPr>
      </w:pPr>
      <w:r>
        <w:rPr>
          <w:rStyle w:val="a4"/>
          <w:rtl/>
        </w:rPr>
        <w:footnoteRef/>
      </w:r>
      <w:r>
        <w:rPr>
          <w:szCs w:val="22"/>
        </w:rPr>
        <w:t xml:space="preserve"> </w:t>
      </w:r>
      <w:r>
        <w:rPr>
          <w:rFonts w:hint="cs"/>
          <w:rtl/>
        </w:rPr>
        <w:t>ראה דיוני מפרשי הרמב"ם אם עדיפה דרשת "</w:t>
      </w:r>
      <w:r>
        <w:rPr>
          <w:rtl/>
        </w:rPr>
        <w:t>הִכּוֹן</w:t>
      </w:r>
      <w:r>
        <w:rPr>
          <w:rFonts w:hint="cs"/>
          <w:rtl/>
        </w:rPr>
        <w:t>"</w:t>
      </w:r>
      <w:r>
        <w:rPr>
          <w:rtl/>
        </w:rPr>
        <w:t xml:space="preserve"> </w:t>
      </w:r>
      <w:r>
        <w:rPr>
          <w:rFonts w:hint="cs"/>
          <w:rtl/>
        </w:rPr>
        <w:t>או דרשת "</w:t>
      </w:r>
      <w:r>
        <w:rPr>
          <w:rtl/>
        </w:rPr>
        <w:t>הַדְרַת קֹדֶשׁ</w:t>
      </w:r>
      <w:r>
        <w:rPr>
          <w:rFonts w:hint="cs"/>
          <w:rtl/>
        </w:rPr>
        <w:t xml:space="preserve">", כמובא בביאור הר"י קאפח להלכות תפִלה, </w:t>
      </w:r>
      <w:r>
        <w:rPr>
          <w:rFonts w:hint="cs"/>
          <w:sz w:val="18"/>
          <w:szCs w:val="20"/>
          <w:rtl/>
        </w:rPr>
        <w:t>עמ' קנ"ה, הערה י"ב.</w:t>
      </w:r>
    </w:p>
  </w:footnote>
  <w:footnote w:id="176">
    <w:p w14:paraId="06F51134" w14:textId="77777777" w:rsidR="00940290" w:rsidRDefault="00940290" w:rsidP="00940290">
      <w:pPr>
        <w:pStyle w:val="a5"/>
        <w:rPr>
          <w:rFonts w:hint="cs"/>
          <w:rtl/>
        </w:rPr>
      </w:pPr>
      <w:r>
        <w:rPr>
          <w:rStyle w:val="a4"/>
          <w:rtl/>
        </w:rPr>
        <w:footnoteRef/>
      </w:r>
      <w:r>
        <w:rPr>
          <w:szCs w:val="22"/>
        </w:rPr>
        <w:t xml:space="preserve"> </w:t>
      </w:r>
      <w:r>
        <w:rPr>
          <w:rFonts w:hint="cs"/>
          <w:rtl/>
        </w:rPr>
        <w:t>לאוזנו של דובר עברית בימינו נשמעת לשון הרמב"ם כאן חסרה. היינו מצפים שיבוא לפֹעַל ("יוצא") זה משלים כלשהו, כגון: "מהדר [את עצמו]" או "מהדר [את בגדיו]". ואולי צ"ל: "ומתהדר". וראה להלן דף כא, ב "</w:t>
      </w:r>
      <w:r>
        <w:rPr>
          <w:rtl/>
        </w:rPr>
        <w:t>והמהדרין</w:t>
      </w:r>
      <w:r>
        <w:rPr>
          <w:rFonts w:hint="cs"/>
          <w:rtl/>
        </w:rPr>
        <w:t>".</w:t>
      </w:r>
    </w:p>
  </w:footnote>
  <w:footnote w:id="177">
    <w:p w14:paraId="02A1992A" w14:textId="77777777" w:rsidR="00940290" w:rsidRDefault="00940290" w:rsidP="00940290">
      <w:pPr>
        <w:pStyle w:val="a5"/>
        <w:rPr>
          <w:rFonts w:hint="cs"/>
          <w:rtl/>
        </w:rPr>
      </w:pPr>
      <w:r>
        <w:rPr>
          <w:rStyle w:val="a4"/>
          <w:rtl/>
        </w:rPr>
        <w:footnoteRef/>
      </w:r>
      <w:r>
        <w:rPr>
          <w:rFonts w:hint="cs"/>
          <w:rtl/>
        </w:rPr>
        <w:t xml:space="preserve"> על שינוי זה מלשון הכתוב (</w:t>
      </w:r>
      <w:r>
        <w:rPr>
          <w:rtl/>
        </w:rPr>
        <w:t xml:space="preserve">וְהֵרִים </w:t>
      </w:r>
      <w:r>
        <w:rPr>
          <w:rFonts w:hint="cs"/>
          <w:sz w:val="18"/>
          <w:szCs w:val="20"/>
          <w:rtl/>
        </w:rPr>
        <w:t xml:space="preserve">שבפס' ג' הושתל בפס' ד' </w:t>
      </w:r>
      <w:r>
        <w:rPr>
          <w:rFonts w:hint="cs"/>
          <w:rtl/>
        </w:rPr>
        <w:t xml:space="preserve">במקום </w:t>
      </w:r>
      <w:r>
        <w:rPr>
          <w:rtl/>
        </w:rPr>
        <w:t>וְהוֹצִיא</w:t>
      </w:r>
      <w:r>
        <w:rPr>
          <w:rFonts w:hint="cs"/>
          <w:rtl/>
        </w:rPr>
        <w:t xml:space="preserve">) ראה במפרשים, כגון: ר"ז זק"ש </w:t>
      </w:r>
      <w:r>
        <w:rPr>
          <w:rFonts w:hint="cs"/>
          <w:sz w:val="18"/>
          <w:szCs w:val="20"/>
          <w:rtl/>
        </w:rPr>
        <w:t>במהדורת מוסד הרב קוק לעם, עמ' תז, הערות נ-נא</w:t>
      </w:r>
      <w:r>
        <w:rPr>
          <w:rFonts w:hint="cs"/>
          <w:rtl/>
        </w:rPr>
        <w:t>, וערוה"ש העתיד</w:t>
      </w:r>
      <w:r>
        <w:rPr>
          <w:rFonts w:hint="cs"/>
          <w:sz w:val="18"/>
          <w:szCs w:val="20"/>
          <w:rtl/>
        </w:rPr>
        <w:t>, ק"ד, א-ט</w:t>
      </w:r>
      <w:r>
        <w:rPr>
          <w:rFonts w:hint="cs"/>
          <w:rtl/>
        </w:rPr>
        <w:t>, וב</w:t>
      </w:r>
      <w:r>
        <w:rPr>
          <w:rtl/>
        </w:rPr>
        <w:t xml:space="preserve">שו"ת רדב"ז </w:t>
      </w:r>
      <w:r>
        <w:rPr>
          <w:sz w:val="18"/>
          <w:szCs w:val="20"/>
          <w:rtl/>
        </w:rPr>
        <w:t>ח</w:t>
      </w:r>
      <w:r>
        <w:rPr>
          <w:rFonts w:hint="cs"/>
          <w:sz w:val="18"/>
          <w:szCs w:val="20"/>
          <w:rtl/>
        </w:rPr>
        <w:t>"</w:t>
      </w:r>
      <w:r>
        <w:rPr>
          <w:sz w:val="18"/>
          <w:szCs w:val="20"/>
          <w:rtl/>
        </w:rPr>
        <w:t>ה</w:t>
      </w:r>
      <w:r>
        <w:rPr>
          <w:rFonts w:hint="cs"/>
          <w:sz w:val="18"/>
          <w:szCs w:val="20"/>
          <w:rtl/>
        </w:rPr>
        <w:t xml:space="preserve">, </w:t>
      </w:r>
      <w:r>
        <w:rPr>
          <w:sz w:val="18"/>
          <w:szCs w:val="20"/>
          <w:rtl/>
        </w:rPr>
        <w:t>י</w:t>
      </w:r>
      <w:r>
        <w:rPr>
          <w:rFonts w:hint="cs"/>
          <w:sz w:val="18"/>
          <w:szCs w:val="20"/>
          <w:rtl/>
        </w:rPr>
        <w:t>"</w:t>
      </w:r>
      <w:r>
        <w:rPr>
          <w:sz w:val="18"/>
          <w:szCs w:val="20"/>
          <w:rtl/>
        </w:rPr>
        <w:t>ב</w:t>
      </w:r>
      <w:r>
        <w:rPr>
          <w:rFonts w:hint="cs"/>
          <w:sz w:val="18"/>
          <w:szCs w:val="20"/>
          <w:rtl/>
        </w:rPr>
        <w:t>; וב</w:t>
      </w:r>
      <w:r>
        <w:rPr>
          <w:sz w:val="18"/>
          <w:szCs w:val="20"/>
          <w:rtl/>
        </w:rPr>
        <w:t>שו"ת מכתב יד ח</w:t>
      </w:r>
      <w:r>
        <w:rPr>
          <w:rFonts w:hint="cs"/>
          <w:sz w:val="18"/>
          <w:szCs w:val="20"/>
          <w:rtl/>
        </w:rPr>
        <w:t>"</w:t>
      </w:r>
      <w:r>
        <w:rPr>
          <w:sz w:val="18"/>
          <w:szCs w:val="20"/>
          <w:rtl/>
        </w:rPr>
        <w:t>ח</w:t>
      </w:r>
      <w:r>
        <w:rPr>
          <w:rFonts w:hint="cs"/>
          <w:sz w:val="18"/>
          <w:szCs w:val="20"/>
          <w:rtl/>
        </w:rPr>
        <w:t xml:space="preserve">, </w:t>
      </w:r>
      <w:r>
        <w:rPr>
          <w:sz w:val="18"/>
          <w:szCs w:val="20"/>
          <w:rtl/>
        </w:rPr>
        <w:t>ר</w:t>
      </w:r>
      <w:r>
        <w:rPr>
          <w:rFonts w:hint="cs"/>
          <w:sz w:val="18"/>
          <w:szCs w:val="20"/>
          <w:rtl/>
        </w:rPr>
        <w:t>"</w:t>
      </w:r>
      <w:r>
        <w:rPr>
          <w:sz w:val="18"/>
          <w:szCs w:val="20"/>
          <w:rtl/>
        </w:rPr>
        <w:t>ה</w:t>
      </w:r>
      <w:r>
        <w:rPr>
          <w:rFonts w:hint="cs"/>
          <w:rtl/>
        </w:rPr>
        <w:t>.</w:t>
      </w:r>
      <w:r>
        <w:rPr>
          <w:rtl/>
        </w:rPr>
        <w:t xml:space="preserve"> </w:t>
      </w:r>
    </w:p>
  </w:footnote>
  <w:footnote w:id="178">
    <w:p w14:paraId="0C7D8640" w14:textId="77777777" w:rsidR="00940290" w:rsidRDefault="00940290" w:rsidP="00940290">
      <w:pPr>
        <w:pStyle w:val="a5"/>
        <w:rPr>
          <w:rFonts w:hint="cs"/>
          <w:rtl/>
        </w:rPr>
      </w:pPr>
      <w:r>
        <w:rPr>
          <w:rStyle w:val="a4"/>
          <w:rtl/>
        </w:rPr>
        <w:footnoteRef/>
      </w:r>
      <w:r>
        <w:t xml:space="preserve"> </w:t>
      </w:r>
      <w:r>
        <w:rPr>
          <w:rFonts w:hint="cs"/>
          <w:rtl/>
        </w:rPr>
        <w:t>לקריאה נוספת בענין ההכנה החיצונית לתפילה: הגרח"ד הלוי, מקור חיים, ח"א, עמ' 222 - 226; ר"א מלמד, פניני הלכה, תפילה, עמ' 69 - 71; פסקי תשובות, א, סימן צ"א, עמ' תש"כ - תשכ"ג.</w:t>
      </w:r>
    </w:p>
  </w:footnote>
  <w:footnote w:id="179">
    <w:p w14:paraId="4693FC40" w14:textId="77777777" w:rsidR="00940290" w:rsidRDefault="00940290" w:rsidP="00940290">
      <w:pPr>
        <w:pStyle w:val="a5"/>
        <w:rPr>
          <w:rtl/>
        </w:rPr>
      </w:pPr>
      <w:r>
        <w:rPr>
          <w:rStyle w:val="a4"/>
        </w:rPr>
        <w:footnoteRef/>
      </w:r>
      <w:r>
        <w:rPr>
          <w:rFonts w:hint="cs"/>
          <w:rtl/>
        </w:rPr>
        <w:t xml:space="preserve"> על מושג זה ראה להלן דף כא, א.</w:t>
      </w:r>
    </w:p>
  </w:footnote>
  <w:footnote w:id="180">
    <w:p w14:paraId="3640FA29" w14:textId="77777777" w:rsidR="00940290" w:rsidRDefault="00940290" w:rsidP="00940290">
      <w:pPr>
        <w:pStyle w:val="a5"/>
        <w:rPr>
          <w:rFonts w:hint="cs"/>
          <w:rtl/>
        </w:rPr>
      </w:pPr>
      <w:r>
        <w:rPr>
          <w:rStyle w:val="a4"/>
          <w:rtl/>
        </w:rPr>
        <w:footnoteRef/>
      </w:r>
      <w:r>
        <w:rPr>
          <w:szCs w:val="22"/>
        </w:rPr>
        <w:t xml:space="preserve"> </w:t>
      </w:r>
      <w:r>
        <w:rPr>
          <w:rFonts w:hint="cs"/>
          <w:rtl/>
        </w:rPr>
        <w:t xml:space="preserve">מהנהגת רב כהנא נראה כי ישנו פער בין "כעבדא" לבין "הכון", ולא ש"כעבדא" הוא צורה אחרת של "הכון". ועיין בביאור הגר"א </w:t>
      </w:r>
      <w:r>
        <w:rPr>
          <w:rFonts w:hint="cs"/>
          <w:sz w:val="18"/>
          <w:szCs w:val="20"/>
          <w:rtl/>
        </w:rPr>
        <w:t xml:space="preserve">המובא כאן במהדורת ארט-סקרול, </w:t>
      </w:r>
      <w:r>
        <w:rPr>
          <w:rFonts w:hint="cs"/>
          <w:rtl/>
        </w:rPr>
        <w:t>בדברי ר' צדוק הכהן</w:t>
      </w:r>
      <w:r>
        <w:rPr>
          <w:rFonts w:hint="cs"/>
          <w:sz w:val="18"/>
          <w:szCs w:val="20"/>
          <w:rtl/>
        </w:rPr>
        <w:t xml:space="preserve">, </w:t>
      </w:r>
      <w:r>
        <w:rPr>
          <w:sz w:val="18"/>
          <w:szCs w:val="20"/>
          <w:rtl/>
        </w:rPr>
        <w:t>ספר לבושי</w:t>
      </w:r>
      <w:r>
        <w:rPr>
          <w:sz w:val="18"/>
          <w:szCs w:val="18"/>
          <w:rtl/>
        </w:rPr>
        <w:t xml:space="preserve"> </w:t>
      </w:r>
      <w:r>
        <w:rPr>
          <w:sz w:val="18"/>
          <w:szCs w:val="20"/>
          <w:rtl/>
        </w:rPr>
        <w:t>צדקה</w:t>
      </w:r>
      <w:r>
        <w:rPr>
          <w:rFonts w:hint="cs"/>
          <w:rtl/>
        </w:rPr>
        <w:t>, ובביאור עין אי"ה לראי"ה קוק.</w:t>
      </w:r>
    </w:p>
  </w:footnote>
  <w:footnote w:id="181">
    <w:p w14:paraId="75C9B60E" w14:textId="77777777" w:rsidR="00940290" w:rsidRDefault="00940290" w:rsidP="00940290">
      <w:pPr>
        <w:pStyle w:val="a5"/>
        <w:rPr>
          <w:rFonts w:hint="cs"/>
          <w:rtl/>
        </w:rPr>
      </w:pPr>
      <w:r>
        <w:rPr>
          <w:rStyle w:val="a4"/>
        </w:rPr>
        <w:footnoteRef/>
      </w:r>
      <w:r>
        <w:rPr>
          <w:rFonts w:hint="cs"/>
          <w:rtl/>
        </w:rPr>
        <w:t xml:space="preserve"> משל למה הדבר דומה: חז"ל הדגימו </w:t>
      </w:r>
      <w:r>
        <w:rPr>
          <w:rFonts w:hint="cs"/>
          <w:sz w:val="18"/>
          <w:szCs w:val="20"/>
          <w:rtl/>
        </w:rPr>
        <w:t xml:space="preserve">להלן </w:t>
      </w:r>
      <w:r>
        <w:rPr>
          <w:sz w:val="18"/>
          <w:szCs w:val="20"/>
          <w:rtl/>
        </w:rPr>
        <w:t>דף קיט</w:t>
      </w:r>
      <w:r>
        <w:rPr>
          <w:rFonts w:hint="cs"/>
          <w:sz w:val="18"/>
          <w:szCs w:val="20"/>
          <w:rtl/>
        </w:rPr>
        <w:t xml:space="preserve">, </w:t>
      </w:r>
      <w:r>
        <w:rPr>
          <w:sz w:val="18"/>
          <w:szCs w:val="20"/>
          <w:rtl/>
        </w:rPr>
        <w:t xml:space="preserve">א </w:t>
      </w:r>
      <w:r>
        <w:rPr>
          <w:rFonts w:hint="cs"/>
          <w:rtl/>
        </w:rPr>
        <w:t xml:space="preserve">כיצד חכמים שונים התכוננו לכבוד שבת. מי שלדוגמה יקפיד לבקע עצים בערב שבת כמו שנהגו לעשות </w:t>
      </w:r>
      <w:r>
        <w:rPr>
          <w:rtl/>
        </w:rPr>
        <w:t>רבה ורב יוסף</w:t>
      </w:r>
      <w:r>
        <w:rPr>
          <w:rFonts w:hint="cs"/>
          <w:rtl/>
        </w:rPr>
        <w:t>, אף שאין הם נצרכים לו לשבת, הרי זה חסיד שוטה.</w:t>
      </w:r>
    </w:p>
  </w:footnote>
  <w:footnote w:id="182">
    <w:p w14:paraId="565A3C02" w14:textId="77777777" w:rsidR="00940290" w:rsidRDefault="00940290" w:rsidP="00940290">
      <w:pPr>
        <w:pStyle w:val="a5"/>
        <w:rPr>
          <w:rFonts w:hint="cs"/>
          <w:rtl/>
        </w:rPr>
      </w:pPr>
      <w:r>
        <w:rPr>
          <w:rStyle w:val="a4"/>
        </w:rPr>
        <w:footnoteRef/>
      </w:r>
      <w:r>
        <w:rPr>
          <w:rFonts w:hint="cs"/>
          <w:rtl/>
        </w:rPr>
        <w:t xml:space="preserve"> </w:t>
      </w:r>
      <w:r>
        <w:rPr>
          <w:rFonts w:hint="cs"/>
          <w:sz w:val="26"/>
          <w:rtl/>
        </w:rPr>
        <w:t xml:space="preserve">ראה: </w:t>
      </w:r>
      <w:r>
        <w:rPr>
          <w:sz w:val="26"/>
          <w:rtl/>
        </w:rPr>
        <w:t xml:space="preserve">ברכות </w:t>
      </w:r>
      <w:r>
        <w:rPr>
          <w:sz w:val="18"/>
          <w:szCs w:val="20"/>
          <w:rtl/>
        </w:rPr>
        <w:t>ל</w:t>
      </w:r>
      <w:r>
        <w:rPr>
          <w:rFonts w:hint="cs"/>
          <w:sz w:val="18"/>
          <w:szCs w:val="20"/>
          <w:rtl/>
        </w:rPr>
        <w:t xml:space="preserve">, </w:t>
      </w:r>
      <w:r>
        <w:rPr>
          <w:sz w:val="18"/>
          <w:szCs w:val="20"/>
          <w:rtl/>
        </w:rPr>
        <w:t>ב</w:t>
      </w:r>
      <w:r>
        <w:rPr>
          <w:rFonts w:hint="cs"/>
          <w:sz w:val="26"/>
          <w:rtl/>
        </w:rPr>
        <w:t>: "</w:t>
      </w:r>
      <w:r>
        <w:rPr>
          <w:sz w:val="26"/>
          <w:rtl/>
        </w:rPr>
        <w:t>דוד שאני</w:t>
      </w:r>
      <w:r>
        <w:rPr>
          <w:rFonts w:hint="cs"/>
          <w:sz w:val="26"/>
          <w:rtl/>
        </w:rPr>
        <w:t xml:space="preserve">"; </w:t>
      </w:r>
      <w:r>
        <w:rPr>
          <w:sz w:val="26"/>
          <w:rtl/>
        </w:rPr>
        <w:t xml:space="preserve">עבודה זרה </w:t>
      </w:r>
      <w:r>
        <w:rPr>
          <w:sz w:val="18"/>
          <w:szCs w:val="20"/>
          <w:rtl/>
        </w:rPr>
        <w:t>ח</w:t>
      </w:r>
      <w:r>
        <w:rPr>
          <w:rFonts w:hint="cs"/>
          <w:sz w:val="18"/>
          <w:szCs w:val="20"/>
          <w:rtl/>
        </w:rPr>
        <w:t xml:space="preserve">, </w:t>
      </w:r>
      <w:r>
        <w:rPr>
          <w:sz w:val="18"/>
          <w:szCs w:val="20"/>
          <w:rtl/>
        </w:rPr>
        <w:t>א</w:t>
      </w:r>
      <w:r>
        <w:rPr>
          <w:rFonts w:hint="cs"/>
          <w:sz w:val="26"/>
          <w:rtl/>
        </w:rPr>
        <w:t>: "</w:t>
      </w:r>
      <w:r>
        <w:rPr>
          <w:sz w:val="26"/>
          <w:rtl/>
        </w:rPr>
        <w:t>לא ילפינן ממשה, שאני</w:t>
      </w:r>
      <w:r>
        <w:rPr>
          <w:rFonts w:hint="cs"/>
          <w:sz w:val="26"/>
          <w:rtl/>
        </w:rPr>
        <w:t xml:space="preserve"> </w:t>
      </w:r>
      <w:r>
        <w:rPr>
          <w:sz w:val="26"/>
          <w:rtl/>
        </w:rPr>
        <w:t>משה דרב גובריה</w:t>
      </w:r>
      <w:r>
        <w:rPr>
          <w:rFonts w:hint="cs"/>
          <w:sz w:val="26"/>
          <w:rtl/>
        </w:rPr>
        <w:t>";</w:t>
      </w:r>
      <w:r>
        <w:rPr>
          <w:sz w:val="26"/>
          <w:rtl/>
        </w:rPr>
        <w:t xml:space="preserve"> ברכות </w:t>
      </w:r>
      <w:r>
        <w:rPr>
          <w:sz w:val="18"/>
          <w:szCs w:val="20"/>
          <w:rtl/>
        </w:rPr>
        <w:t>טז</w:t>
      </w:r>
      <w:r>
        <w:rPr>
          <w:rFonts w:hint="cs"/>
          <w:sz w:val="18"/>
          <w:szCs w:val="20"/>
          <w:rtl/>
        </w:rPr>
        <w:t xml:space="preserve">, </w:t>
      </w:r>
      <w:r>
        <w:rPr>
          <w:sz w:val="18"/>
          <w:szCs w:val="20"/>
          <w:rtl/>
        </w:rPr>
        <w:t>ב</w:t>
      </w:r>
      <w:r>
        <w:rPr>
          <w:rFonts w:hint="cs"/>
          <w:sz w:val="26"/>
          <w:rtl/>
        </w:rPr>
        <w:t>: "</w:t>
      </w:r>
      <w:r>
        <w:rPr>
          <w:sz w:val="26"/>
          <w:rtl/>
        </w:rPr>
        <w:t>לא כל הרוצה ליטול את השם יטול</w:t>
      </w:r>
      <w:r>
        <w:rPr>
          <w:rFonts w:hint="cs"/>
          <w:sz w:val="26"/>
          <w:rtl/>
        </w:rPr>
        <w:t xml:space="preserve">"; </w:t>
      </w:r>
      <w:r>
        <w:rPr>
          <w:sz w:val="26"/>
          <w:rtl/>
        </w:rPr>
        <w:t>ת</w:t>
      </w:r>
      <w:r>
        <w:rPr>
          <w:rFonts w:hint="cs"/>
          <w:sz w:val="26"/>
          <w:rtl/>
        </w:rPr>
        <w:t xml:space="preserve">וספות </w:t>
      </w:r>
      <w:r>
        <w:rPr>
          <w:sz w:val="18"/>
          <w:szCs w:val="20"/>
          <w:rtl/>
        </w:rPr>
        <w:t>ב</w:t>
      </w:r>
      <w:r>
        <w:rPr>
          <w:rFonts w:hint="cs"/>
          <w:sz w:val="18"/>
          <w:szCs w:val="20"/>
          <w:rtl/>
        </w:rPr>
        <w:t>כורות ב, ב ד"ה שמא</w:t>
      </w:r>
      <w:r>
        <w:rPr>
          <w:rFonts w:hint="cs"/>
          <w:sz w:val="26"/>
          <w:rtl/>
        </w:rPr>
        <w:t xml:space="preserve">; ט"ז </w:t>
      </w:r>
      <w:r>
        <w:rPr>
          <w:rFonts w:hint="cs"/>
          <w:sz w:val="18"/>
          <w:szCs w:val="20"/>
          <w:rtl/>
        </w:rPr>
        <w:t>או"ח סימן ח' סק"ג</w:t>
      </w:r>
      <w:r>
        <w:rPr>
          <w:rFonts w:hint="cs"/>
          <w:sz w:val="26"/>
          <w:rtl/>
        </w:rPr>
        <w:t xml:space="preserve">; </w:t>
      </w:r>
      <w:r>
        <w:rPr>
          <w:sz w:val="26"/>
          <w:rtl/>
        </w:rPr>
        <w:t>צ</w:t>
      </w:r>
      <w:r>
        <w:rPr>
          <w:rFonts w:hint="cs"/>
          <w:sz w:val="26"/>
          <w:rtl/>
        </w:rPr>
        <w:t xml:space="preserve">מח צדק </w:t>
      </w:r>
      <w:r>
        <w:rPr>
          <w:rFonts w:hint="cs"/>
          <w:sz w:val="18"/>
          <w:szCs w:val="20"/>
          <w:rtl/>
        </w:rPr>
        <w:t>- פסקי דינים</w:t>
      </w:r>
      <w:r>
        <w:rPr>
          <w:sz w:val="18"/>
          <w:szCs w:val="20"/>
          <w:rtl/>
        </w:rPr>
        <w:t xml:space="preserve">, </w:t>
      </w:r>
      <w:r>
        <w:rPr>
          <w:rFonts w:hint="cs"/>
          <w:sz w:val="18"/>
          <w:szCs w:val="20"/>
          <w:rtl/>
        </w:rPr>
        <w:t>ח"א עמ' 3-1</w:t>
      </w:r>
      <w:r>
        <w:rPr>
          <w:rFonts w:hint="cs"/>
          <w:sz w:val="26"/>
          <w:rtl/>
        </w:rPr>
        <w:t xml:space="preserve">; </w:t>
      </w:r>
      <w:r>
        <w:rPr>
          <w:sz w:val="26"/>
          <w:rtl/>
        </w:rPr>
        <w:t>א</w:t>
      </w:r>
      <w:r>
        <w:rPr>
          <w:rFonts w:hint="cs"/>
          <w:sz w:val="26"/>
          <w:rtl/>
        </w:rPr>
        <w:t>רצות החיים</w:t>
      </w:r>
      <w:r>
        <w:rPr>
          <w:sz w:val="18"/>
          <w:szCs w:val="20"/>
          <w:rtl/>
        </w:rPr>
        <w:t>, א</w:t>
      </w:r>
      <w:r>
        <w:rPr>
          <w:rFonts w:hint="cs"/>
          <w:sz w:val="18"/>
          <w:szCs w:val="20"/>
          <w:rtl/>
        </w:rPr>
        <w:t>רץ יהודה</w:t>
      </w:r>
      <w:r>
        <w:rPr>
          <w:sz w:val="18"/>
          <w:szCs w:val="20"/>
          <w:rtl/>
        </w:rPr>
        <w:t xml:space="preserve">, </w:t>
      </w:r>
      <w:r>
        <w:rPr>
          <w:rFonts w:hint="cs"/>
          <w:sz w:val="18"/>
          <w:szCs w:val="20"/>
          <w:rtl/>
        </w:rPr>
        <w:t>סי' ח', ס"ק ד'</w:t>
      </w:r>
      <w:r>
        <w:rPr>
          <w:rFonts w:hint="cs"/>
          <w:sz w:val="26"/>
          <w:rtl/>
        </w:rPr>
        <w:t>.</w:t>
      </w:r>
    </w:p>
  </w:footnote>
  <w:footnote w:id="183">
    <w:p w14:paraId="5EBCFB8E" w14:textId="77777777" w:rsidR="00940290" w:rsidRDefault="00940290" w:rsidP="00940290">
      <w:pPr>
        <w:pStyle w:val="a5"/>
        <w:rPr>
          <w:rFonts w:hint="cs"/>
          <w:rtl/>
        </w:rPr>
      </w:pPr>
      <w:r>
        <w:rPr>
          <w:rStyle w:val="a4"/>
        </w:rPr>
        <w:footnoteRef/>
      </w:r>
      <w:r>
        <w:rPr>
          <w:rFonts w:hint="cs"/>
          <w:rtl/>
        </w:rPr>
        <w:t xml:space="preserve"> כשם שאף אחד אינו מעלה בדעתו שיש לצאת ידי חובת כל ההנהגות </w:t>
      </w:r>
      <w:r>
        <w:rPr>
          <w:rFonts w:hint="cs"/>
          <w:sz w:val="26"/>
          <w:rtl/>
        </w:rPr>
        <w:t xml:space="preserve">המובאות להלן </w:t>
      </w:r>
      <w:r>
        <w:rPr>
          <w:sz w:val="18"/>
          <w:szCs w:val="20"/>
          <w:rtl/>
        </w:rPr>
        <w:t>דף קיט</w:t>
      </w:r>
      <w:r>
        <w:rPr>
          <w:rFonts w:hint="cs"/>
          <w:sz w:val="18"/>
          <w:szCs w:val="20"/>
          <w:rtl/>
        </w:rPr>
        <w:t xml:space="preserve">, </w:t>
      </w:r>
      <w:r>
        <w:rPr>
          <w:sz w:val="18"/>
          <w:szCs w:val="20"/>
          <w:rtl/>
        </w:rPr>
        <w:t xml:space="preserve">א </w:t>
      </w:r>
      <w:r>
        <w:rPr>
          <w:rFonts w:hint="cs"/>
          <w:rtl/>
        </w:rPr>
        <w:t>על חכמים שונים שהתכוננו לכבוד שבת: לבקע עצים, להדליק אש, להכין דג, וגם לחתוך סלק וכו'. אלא הלקח שיש ללמוד משם הוא שיש להשתדל לטרוח לכבוד שבת במה שנחוץ, ו"איש הישר בעיניו יעשה", וכך כותב ר"מ המאירי:</w:t>
      </w:r>
    </w:p>
    <w:p w14:paraId="130B66D5" w14:textId="77777777" w:rsidR="00940290" w:rsidRDefault="00940290" w:rsidP="00940290">
      <w:pPr>
        <w:pStyle w:val="a5"/>
        <w:ind w:left="720"/>
        <w:rPr>
          <w:rFonts w:hint="cs"/>
          <w:rtl/>
        </w:rPr>
      </w:pPr>
      <w:r>
        <w:rPr>
          <w:rFonts w:hint="cs"/>
          <w:rtl/>
        </w:rPr>
        <w:t xml:space="preserve">"מטכסיסי מצות שבת להיות כל אדם, אפילו גדול שבגדולים, משתדל בצרכי הכנה שבו. חכמים הראשונים נאמר עליהם: רב ספרא מחרך רישא, רבא מלח שיבוטא, רב הונא מדליק שרגא, </w:t>
      </w:r>
      <w:r>
        <w:rPr>
          <w:rFonts w:hint="cs"/>
          <w:b/>
          <w:bCs/>
          <w:rtl/>
        </w:rPr>
        <w:t>וכן כל כיוצא בזה</w:t>
      </w:r>
      <w:r>
        <w:rPr>
          <w:rFonts w:hint="cs"/>
          <w:rtl/>
        </w:rPr>
        <w:t>".</w:t>
      </w:r>
    </w:p>
    <w:p w14:paraId="3774B09A" w14:textId="77777777" w:rsidR="00940290" w:rsidRDefault="00940290" w:rsidP="00940290">
      <w:pPr>
        <w:pStyle w:val="a5"/>
        <w:rPr>
          <w:rFonts w:hint="cs"/>
          <w:sz w:val="24"/>
          <w:rtl/>
        </w:rPr>
      </w:pPr>
      <w:r>
        <w:rPr>
          <w:rFonts w:hint="cs"/>
          <w:rtl/>
        </w:rPr>
        <w:t>יתרה מזאת, יתכן שיכול כל אדם ללכת בעקבות קדמונינו ולהמציא מדעתו</w:t>
      </w:r>
      <w:r>
        <w:rPr>
          <w:rtl/>
        </w:rPr>
        <w:t xml:space="preserve"> מֶחֱוָה</w:t>
      </w:r>
      <w:r>
        <w:rPr>
          <w:rFonts w:hint="cs"/>
          <w:rtl/>
        </w:rPr>
        <w:t xml:space="preserve"> שבאמצעותה יתכונן לתפילה. הוא יכול להתהדר בפריט לבוש מיוחד (כמו עניבה), והוא יכול גם לעמוד בתנוחה מיוחדת. למשל, הרוצה לשַוות לעצמו תחושה של "עני ממעש, נרעש ונפחד מפחד יושב תהילות ישראל" על דרך אמרם "כמה דכייף איניש - טפי מעלי" (</w:t>
      </w:r>
      <w:r>
        <w:rPr>
          <w:rFonts w:hint="cs"/>
          <w:sz w:val="18"/>
          <w:szCs w:val="20"/>
          <w:rtl/>
        </w:rPr>
        <w:t>ע"פ ר"ה כו, ב</w:t>
      </w:r>
      <w:r>
        <w:rPr>
          <w:rFonts w:hint="cs"/>
          <w:rtl/>
        </w:rPr>
        <w:t xml:space="preserve">), יכול לעמוד בהכנעה, בכתפיים שמוטות, בראש מושפל ובכפיפות קומה. לעומת זאת, הרוצה לעמוד כדרך שאמרו "כמה דפשיט איניש - טפי מעלי", יכול לעמוד זקוף קומה, כמו חייל ממושמע העומד במסדר בראש מורם, עמוד שִדרה זקוף וישר, וגב וחזה מתוחים (מתוח וזקוף דווקא, כיאה לעומד במשמר המלכותי של ה' הזוקף כפופים, ולא חזה "מנופח" כמו גנרל שחצן וכמו מלך רברבן, שאם לא כן כביכול "דוחק רגלי השכינה", </w:t>
      </w:r>
      <w:r>
        <w:rPr>
          <w:rFonts w:hint="cs"/>
          <w:sz w:val="18"/>
          <w:szCs w:val="20"/>
          <w:rtl/>
        </w:rPr>
        <w:t xml:space="preserve">ע"פ שו"ע או"ח ב, סעיף ו, ע"פ קידושין לא, א; וע"ע: </w:t>
      </w:r>
      <w:r>
        <w:rPr>
          <w:sz w:val="18"/>
          <w:szCs w:val="20"/>
          <w:rtl/>
        </w:rPr>
        <w:t>שו</w:t>
      </w:r>
      <w:r>
        <w:rPr>
          <w:rFonts w:hint="cs"/>
          <w:sz w:val="18"/>
          <w:szCs w:val="20"/>
          <w:rtl/>
        </w:rPr>
        <w:t>"</w:t>
      </w:r>
      <w:r>
        <w:rPr>
          <w:sz w:val="18"/>
          <w:szCs w:val="20"/>
          <w:rtl/>
        </w:rPr>
        <w:t>ע</w:t>
      </w:r>
      <w:r>
        <w:rPr>
          <w:rFonts w:hint="cs"/>
          <w:sz w:val="18"/>
          <w:szCs w:val="20"/>
          <w:rtl/>
        </w:rPr>
        <w:t xml:space="preserve"> </w:t>
      </w:r>
      <w:r>
        <w:rPr>
          <w:sz w:val="18"/>
          <w:szCs w:val="20"/>
          <w:rtl/>
        </w:rPr>
        <w:t>קיג</w:t>
      </w:r>
      <w:r>
        <w:rPr>
          <w:rFonts w:hint="cs"/>
          <w:sz w:val="18"/>
          <w:szCs w:val="20"/>
          <w:rtl/>
        </w:rPr>
        <w:t xml:space="preserve">, </w:t>
      </w:r>
      <w:r>
        <w:rPr>
          <w:sz w:val="18"/>
          <w:szCs w:val="20"/>
          <w:rtl/>
        </w:rPr>
        <w:t>ב</w:t>
      </w:r>
      <w:r>
        <w:rPr>
          <w:rFonts w:hint="cs"/>
          <w:sz w:val="18"/>
          <w:szCs w:val="20"/>
          <w:rtl/>
        </w:rPr>
        <w:t xml:space="preserve">; </w:t>
      </w:r>
      <w:r>
        <w:rPr>
          <w:sz w:val="18"/>
          <w:szCs w:val="20"/>
          <w:rtl/>
        </w:rPr>
        <w:t>תקפב</w:t>
      </w:r>
      <w:r>
        <w:rPr>
          <w:rFonts w:hint="cs"/>
          <w:sz w:val="18"/>
          <w:szCs w:val="20"/>
          <w:rtl/>
        </w:rPr>
        <w:t xml:space="preserve">, </w:t>
      </w:r>
      <w:r>
        <w:rPr>
          <w:sz w:val="18"/>
          <w:szCs w:val="20"/>
          <w:rtl/>
        </w:rPr>
        <w:t>ד</w:t>
      </w:r>
      <w:r>
        <w:rPr>
          <w:rFonts w:hint="cs"/>
          <w:sz w:val="18"/>
          <w:szCs w:val="20"/>
          <w:rtl/>
        </w:rPr>
        <w:t xml:space="preserve"> ובאה"ט סק"ג; וב</w:t>
      </w:r>
      <w:r>
        <w:rPr>
          <w:sz w:val="18"/>
          <w:szCs w:val="20"/>
          <w:rtl/>
        </w:rPr>
        <w:t>קיצור שולחן ערוך קכט</w:t>
      </w:r>
      <w:r>
        <w:rPr>
          <w:rFonts w:hint="cs"/>
          <w:sz w:val="18"/>
          <w:szCs w:val="20"/>
          <w:rtl/>
        </w:rPr>
        <w:t xml:space="preserve">, </w:t>
      </w:r>
      <w:r>
        <w:rPr>
          <w:sz w:val="18"/>
          <w:szCs w:val="20"/>
          <w:rtl/>
        </w:rPr>
        <w:t>ב</w:t>
      </w:r>
      <w:r>
        <w:rPr>
          <w:rFonts w:hint="cs"/>
          <w:sz w:val="18"/>
          <w:szCs w:val="20"/>
          <w:rtl/>
        </w:rPr>
        <w:t xml:space="preserve"> שכתב: "</w:t>
      </w:r>
      <w:r>
        <w:rPr>
          <w:sz w:val="18"/>
          <w:szCs w:val="20"/>
          <w:rtl/>
        </w:rPr>
        <w:t>יש נוהגין להתפלל בראש השנה וביו</w:t>
      </w:r>
      <w:r>
        <w:rPr>
          <w:rFonts w:hint="cs"/>
          <w:sz w:val="18"/>
          <w:szCs w:val="20"/>
          <w:rtl/>
        </w:rPr>
        <w:t>ה"</w:t>
      </w:r>
      <w:r>
        <w:rPr>
          <w:sz w:val="18"/>
          <w:szCs w:val="20"/>
          <w:rtl/>
        </w:rPr>
        <w:t>כ</w:t>
      </w:r>
      <w:r>
        <w:rPr>
          <w:rFonts w:hint="cs"/>
          <w:sz w:val="18"/>
          <w:szCs w:val="20"/>
          <w:rtl/>
        </w:rPr>
        <w:t xml:space="preserve"> </w:t>
      </w:r>
      <w:r>
        <w:rPr>
          <w:sz w:val="18"/>
          <w:szCs w:val="20"/>
          <w:rtl/>
        </w:rPr>
        <w:t>כל תפלות שמונה עשרה בכריעה ובכפיפת הראש</w:t>
      </w:r>
      <w:r>
        <w:rPr>
          <w:rFonts w:hint="cs"/>
          <w:sz w:val="18"/>
          <w:szCs w:val="20"/>
          <w:rtl/>
        </w:rPr>
        <w:t xml:space="preserve">... </w:t>
      </w:r>
      <w:r>
        <w:rPr>
          <w:sz w:val="18"/>
          <w:szCs w:val="20"/>
          <w:rtl/>
        </w:rPr>
        <w:t>וטוב יותר להתפלל באיברים זקופין ובלב כפוף ובדמעות</w:t>
      </w:r>
      <w:r>
        <w:rPr>
          <w:rFonts w:hint="cs"/>
          <w:sz w:val="18"/>
          <w:szCs w:val="20"/>
          <w:rtl/>
        </w:rPr>
        <w:t>"</w:t>
      </w:r>
      <w:r>
        <w:rPr>
          <w:rFonts w:hint="cs"/>
          <w:rtl/>
        </w:rPr>
        <w:t>).</w:t>
      </w:r>
    </w:p>
  </w:footnote>
  <w:footnote w:id="184">
    <w:p w14:paraId="12A7D8C4" w14:textId="77777777" w:rsidR="00273399" w:rsidRDefault="00273399" w:rsidP="00273399">
      <w:pPr>
        <w:pStyle w:val="a5"/>
        <w:rPr>
          <w:rFonts w:hint="cs"/>
          <w:rtl/>
        </w:rPr>
      </w:pPr>
      <w:r>
        <w:rPr>
          <w:rStyle w:val="a4"/>
          <w:rtl/>
        </w:rPr>
        <w:footnoteRef/>
      </w:r>
      <w:r>
        <w:t xml:space="preserve"> </w:t>
      </w:r>
      <w:r>
        <w:rPr>
          <w:rFonts w:hint="cs"/>
          <w:rtl/>
        </w:rPr>
        <w:t>בארמית הבבלית נכתבת המילה עם א' סופית (כגון: "</w:t>
      </w:r>
      <w:r>
        <w:rPr>
          <w:rtl/>
        </w:rPr>
        <w:t>מגלימ</w:t>
      </w:r>
      <w:r>
        <w:rPr>
          <w:b/>
          <w:bCs/>
          <w:rtl/>
        </w:rPr>
        <w:t>א</w:t>
      </w:r>
      <w:r>
        <w:rPr>
          <w:rtl/>
        </w:rPr>
        <w:t xml:space="preserve"> דעל כתפיה</w:t>
      </w:r>
      <w:r>
        <w:rPr>
          <w:rFonts w:hint="cs"/>
          <w:rtl/>
        </w:rPr>
        <w:t>"</w:t>
      </w:r>
      <w:r>
        <w:rPr>
          <w:rFonts w:hint="cs"/>
          <w:sz w:val="18"/>
          <w:szCs w:val="20"/>
          <w:rtl/>
        </w:rPr>
        <w:t xml:space="preserve">, </w:t>
      </w:r>
      <w:r>
        <w:rPr>
          <w:sz w:val="18"/>
          <w:szCs w:val="20"/>
          <w:rtl/>
        </w:rPr>
        <w:t>בבא בתרא מד</w:t>
      </w:r>
      <w:r>
        <w:rPr>
          <w:rFonts w:hint="cs"/>
          <w:sz w:val="18"/>
          <w:szCs w:val="20"/>
          <w:rtl/>
        </w:rPr>
        <w:t xml:space="preserve">, </w:t>
      </w:r>
      <w:r>
        <w:rPr>
          <w:sz w:val="18"/>
          <w:szCs w:val="20"/>
          <w:rtl/>
        </w:rPr>
        <w:t>ב</w:t>
      </w:r>
      <w:r>
        <w:rPr>
          <w:rFonts w:hint="cs"/>
          <w:sz w:val="18"/>
          <w:szCs w:val="20"/>
          <w:rtl/>
        </w:rPr>
        <w:t>;</w:t>
      </w:r>
      <w:r>
        <w:rPr>
          <w:rFonts w:hint="cs"/>
          <w:rtl/>
        </w:rPr>
        <w:t xml:space="preserve"> לשון זו מוכרת מלשון הכתובה), וכיום נכתבת המילה בעברית עם ה' סופית (כגון ב</w:t>
      </w:r>
      <w:r>
        <w:rPr>
          <w:rtl/>
        </w:rPr>
        <w:t>שו"ת תורה לשמה סימן לא</w:t>
      </w:r>
      <w:r>
        <w:rPr>
          <w:rFonts w:hint="cs"/>
          <w:rtl/>
        </w:rPr>
        <w:t>: "</w:t>
      </w:r>
      <w:r>
        <w:rPr>
          <w:rtl/>
        </w:rPr>
        <w:t>ניעור הגלימ</w:t>
      </w:r>
      <w:r>
        <w:rPr>
          <w:b/>
          <w:bCs/>
          <w:rtl/>
        </w:rPr>
        <w:t>ה</w:t>
      </w:r>
      <w:r>
        <w:rPr>
          <w:rtl/>
        </w:rPr>
        <w:t xml:space="preserve"> שנהגו לנער אחר ברכת הלבנה </w:t>
      </w:r>
      <w:r>
        <w:rPr>
          <w:rFonts w:hint="cs"/>
          <w:rtl/>
        </w:rPr>
        <w:t>וב</w:t>
      </w:r>
      <w:r>
        <w:rPr>
          <w:rtl/>
        </w:rPr>
        <w:t>סדר התשליך</w:t>
      </w:r>
      <w:r>
        <w:rPr>
          <w:rFonts w:hint="cs"/>
          <w:rtl/>
        </w:rPr>
        <w:t>").</w:t>
      </w:r>
    </w:p>
  </w:footnote>
  <w:footnote w:id="185">
    <w:p w14:paraId="4C33A25B" w14:textId="77777777" w:rsidR="00273399" w:rsidRDefault="00273399" w:rsidP="00273399">
      <w:pPr>
        <w:pStyle w:val="a5"/>
        <w:rPr>
          <w:rFonts w:hint="cs"/>
          <w:rtl/>
        </w:rPr>
      </w:pPr>
      <w:r>
        <w:rPr>
          <w:rStyle w:val="a4"/>
          <w:rtl/>
        </w:rPr>
        <w:footnoteRef/>
      </w:r>
      <w:r>
        <w:t xml:space="preserve"> </w:t>
      </w:r>
      <w:r>
        <w:rPr>
          <w:rFonts w:hint="cs"/>
          <w:sz w:val="26"/>
          <w:rtl/>
          <w:lang w:eastAsia="he-IL"/>
        </w:rPr>
        <w:t>כגון:</w:t>
      </w:r>
      <w:r>
        <w:rPr>
          <w:sz w:val="26"/>
          <w:rtl/>
          <w:lang w:eastAsia="he-IL"/>
        </w:rPr>
        <w:t xml:space="preserve"> עירובין צד</w:t>
      </w:r>
      <w:r>
        <w:rPr>
          <w:rFonts w:hint="cs"/>
          <w:sz w:val="26"/>
          <w:rtl/>
          <w:lang w:eastAsia="he-IL"/>
        </w:rPr>
        <w:t xml:space="preserve">, </w:t>
      </w:r>
      <w:r>
        <w:rPr>
          <w:sz w:val="26"/>
          <w:rtl/>
          <w:lang w:eastAsia="he-IL"/>
        </w:rPr>
        <w:t>א ד"ה שקולו גלימא</w:t>
      </w:r>
      <w:r>
        <w:rPr>
          <w:rFonts w:hint="cs"/>
          <w:sz w:val="26"/>
          <w:rtl/>
          <w:lang w:eastAsia="he-IL"/>
        </w:rPr>
        <w:t xml:space="preserve">; </w:t>
      </w:r>
      <w:r>
        <w:rPr>
          <w:sz w:val="26"/>
          <w:rtl/>
          <w:lang w:eastAsia="he-IL"/>
        </w:rPr>
        <w:t>כתובות עט</w:t>
      </w:r>
      <w:r>
        <w:rPr>
          <w:rFonts w:hint="cs"/>
          <w:sz w:val="26"/>
          <w:rtl/>
          <w:lang w:eastAsia="he-IL"/>
        </w:rPr>
        <w:t xml:space="preserve">, </w:t>
      </w:r>
      <w:r>
        <w:rPr>
          <w:sz w:val="26"/>
          <w:rtl/>
          <w:lang w:eastAsia="he-IL"/>
        </w:rPr>
        <w:t>ב ד"ה עיילא ליה גלימא</w:t>
      </w:r>
      <w:r>
        <w:rPr>
          <w:rFonts w:hint="cs"/>
          <w:sz w:val="26"/>
          <w:rtl/>
          <w:lang w:eastAsia="he-IL"/>
        </w:rPr>
        <w:t xml:space="preserve">; </w:t>
      </w:r>
      <w:r>
        <w:rPr>
          <w:sz w:val="26"/>
          <w:rtl/>
          <w:lang w:eastAsia="he-IL"/>
        </w:rPr>
        <w:t>ב</w:t>
      </w:r>
      <w:r>
        <w:rPr>
          <w:rFonts w:hint="cs"/>
          <w:sz w:val="26"/>
          <w:rtl/>
          <w:lang w:eastAsia="he-IL"/>
        </w:rPr>
        <w:t>"</w:t>
      </w:r>
      <w:r>
        <w:rPr>
          <w:sz w:val="26"/>
          <w:rtl/>
          <w:lang w:eastAsia="he-IL"/>
        </w:rPr>
        <w:t>ק</w:t>
      </w:r>
      <w:r>
        <w:rPr>
          <w:rFonts w:hint="cs"/>
          <w:sz w:val="26"/>
          <w:rtl/>
          <w:lang w:eastAsia="he-IL"/>
        </w:rPr>
        <w:t xml:space="preserve"> </w:t>
      </w:r>
      <w:r>
        <w:rPr>
          <w:sz w:val="26"/>
          <w:rtl/>
          <w:lang w:eastAsia="he-IL"/>
        </w:rPr>
        <w:t>קיט</w:t>
      </w:r>
      <w:r>
        <w:rPr>
          <w:rFonts w:hint="cs"/>
          <w:sz w:val="26"/>
          <w:rtl/>
          <w:lang w:eastAsia="he-IL"/>
        </w:rPr>
        <w:t xml:space="preserve">, </w:t>
      </w:r>
      <w:r>
        <w:rPr>
          <w:sz w:val="26"/>
          <w:rtl/>
          <w:lang w:eastAsia="he-IL"/>
        </w:rPr>
        <w:t>ב ד"ה</w:t>
      </w:r>
      <w:r>
        <w:rPr>
          <w:rFonts w:hint="cs"/>
          <w:sz w:val="26"/>
          <w:rtl/>
          <w:lang w:eastAsia="he-IL"/>
        </w:rPr>
        <w:t xml:space="preserve"> </w:t>
      </w:r>
      <w:r>
        <w:rPr>
          <w:sz w:val="26"/>
          <w:rtl/>
          <w:lang w:eastAsia="he-IL"/>
        </w:rPr>
        <w:t>גלימא</w:t>
      </w:r>
      <w:r>
        <w:rPr>
          <w:rFonts w:hint="cs"/>
          <w:sz w:val="26"/>
          <w:rtl/>
          <w:lang w:eastAsia="he-IL"/>
        </w:rPr>
        <w:t xml:space="preserve">; </w:t>
      </w:r>
      <w:r>
        <w:rPr>
          <w:sz w:val="26"/>
          <w:rtl/>
          <w:lang w:eastAsia="he-IL"/>
        </w:rPr>
        <w:t>ב</w:t>
      </w:r>
      <w:r>
        <w:rPr>
          <w:rFonts w:hint="cs"/>
          <w:sz w:val="26"/>
          <w:rtl/>
          <w:lang w:eastAsia="he-IL"/>
        </w:rPr>
        <w:t>"</w:t>
      </w:r>
      <w:r>
        <w:rPr>
          <w:sz w:val="26"/>
          <w:rtl/>
          <w:lang w:eastAsia="he-IL"/>
        </w:rPr>
        <w:t>מ</w:t>
      </w:r>
      <w:r>
        <w:rPr>
          <w:rFonts w:hint="cs"/>
          <w:sz w:val="26"/>
          <w:rtl/>
          <w:lang w:eastAsia="he-IL"/>
        </w:rPr>
        <w:t xml:space="preserve"> </w:t>
      </w:r>
      <w:r>
        <w:rPr>
          <w:sz w:val="26"/>
          <w:rtl/>
          <w:lang w:eastAsia="he-IL"/>
        </w:rPr>
        <w:t>כח</w:t>
      </w:r>
      <w:r>
        <w:rPr>
          <w:rFonts w:hint="cs"/>
          <w:sz w:val="26"/>
          <w:rtl/>
          <w:lang w:eastAsia="he-IL"/>
        </w:rPr>
        <w:t xml:space="preserve">, </w:t>
      </w:r>
      <w:r>
        <w:rPr>
          <w:sz w:val="26"/>
          <w:rtl/>
          <w:lang w:eastAsia="he-IL"/>
        </w:rPr>
        <w:t>א ד"ה גלימא מכריז</w:t>
      </w:r>
      <w:r>
        <w:rPr>
          <w:rFonts w:hint="cs"/>
          <w:sz w:val="26"/>
          <w:rtl/>
          <w:lang w:eastAsia="he-IL"/>
        </w:rPr>
        <w:t xml:space="preserve">; </w:t>
      </w:r>
      <w:r>
        <w:rPr>
          <w:sz w:val="26"/>
          <w:rtl/>
          <w:lang w:eastAsia="he-IL"/>
        </w:rPr>
        <w:t>מנחות מב</w:t>
      </w:r>
      <w:r>
        <w:rPr>
          <w:rFonts w:hint="cs"/>
          <w:sz w:val="26"/>
          <w:rtl/>
          <w:lang w:eastAsia="he-IL"/>
        </w:rPr>
        <w:t xml:space="preserve">, </w:t>
      </w:r>
      <w:r>
        <w:rPr>
          <w:sz w:val="26"/>
          <w:rtl/>
          <w:lang w:eastAsia="he-IL"/>
        </w:rPr>
        <w:t>א ד"ה ומעייל להו בגלימא</w:t>
      </w:r>
      <w:r>
        <w:rPr>
          <w:rFonts w:hint="cs"/>
          <w:sz w:val="26"/>
          <w:rtl/>
          <w:lang w:eastAsia="he-IL"/>
        </w:rPr>
        <w:t>;</w:t>
      </w:r>
      <w:r>
        <w:rPr>
          <w:sz w:val="26"/>
          <w:rtl/>
          <w:lang w:eastAsia="he-IL"/>
        </w:rPr>
        <w:t xml:space="preserve"> חולין קכז</w:t>
      </w:r>
      <w:r>
        <w:rPr>
          <w:rFonts w:hint="cs"/>
          <w:sz w:val="26"/>
          <w:rtl/>
          <w:lang w:eastAsia="he-IL"/>
        </w:rPr>
        <w:t xml:space="preserve">, </w:t>
      </w:r>
      <w:r>
        <w:rPr>
          <w:sz w:val="26"/>
          <w:rtl/>
          <w:lang w:eastAsia="he-IL"/>
        </w:rPr>
        <w:t>א ד"ה מגלימא שפירא</w:t>
      </w:r>
      <w:r>
        <w:rPr>
          <w:rFonts w:hint="cs"/>
          <w:sz w:val="26"/>
          <w:rtl/>
          <w:lang w:eastAsia="he-IL"/>
        </w:rPr>
        <w:t>.</w:t>
      </w:r>
    </w:p>
  </w:footnote>
  <w:footnote w:id="186">
    <w:p w14:paraId="73E85E03" w14:textId="77777777" w:rsidR="00273399" w:rsidRDefault="00273399" w:rsidP="00273399">
      <w:pPr>
        <w:pStyle w:val="a5"/>
        <w:rPr>
          <w:rFonts w:hint="cs"/>
          <w:rtl/>
        </w:rPr>
      </w:pPr>
      <w:r>
        <w:rPr>
          <w:rStyle w:val="a4"/>
          <w:rtl/>
        </w:rPr>
        <w:footnoteRef/>
      </w:r>
      <w:r>
        <w:t xml:space="preserve"> </w:t>
      </w:r>
      <w:r>
        <w:rPr>
          <w:sz w:val="26"/>
          <w:rtl/>
          <w:lang w:eastAsia="he-IL"/>
        </w:rPr>
        <w:t>ב</w:t>
      </w:r>
      <w:r>
        <w:rPr>
          <w:rFonts w:hint="cs"/>
          <w:sz w:val="26"/>
          <w:rtl/>
          <w:lang w:eastAsia="he-IL"/>
        </w:rPr>
        <w:t>"</w:t>
      </w:r>
      <w:r>
        <w:rPr>
          <w:sz w:val="26"/>
          <w:rtl/>
          <w:lang w:eastAsia="he-IL"/>
        </w:rPr>
        <w:t>מ</w:t>
      </w:r>
      <w:r>
        <w:rPr>
          <w:rFonts w:hint="cs"/>
          <w:sz w:val="26"/>
          <w:rtl/>
          <w:lang w:eastAsia="he-IL"/>
        </w:rPr>
        <w:t xml:space="preserve"> </w:t>
      </w:r>
      <w:r>
        <w:rPr>
          <w:sz w:val="26"/>
          <w:rtl/>
          <w:lang w:eastAsia="he-IL"/>
        </w:rPr>
        <w:t>מז</w:t>
      </w:r>
      <w:r>
        <w:rPr>
          <w:rFonts w:hint="cs"/>
          <w:sz w:val="26"/>
          <w:rtl/>
          <w:lang w:eastAsia="he-IL"/>
        </w:rPr>
        <w:t xml:space="preserve">, </w:t>
      </w:r>
      <w:r>
        <w:rPr>
          <w:sz w:val="26"/>
          <w:rtl/>
          <w:lang w:eastAsia="he-IL"/>
        </w:rPr>
        <w:t>א ד"ה קא קני ארעא אגב גלימא</w:t>
      </w:r>
      <w:r>
        <w:rPr>
          <w:rFonts w:hint="cs"/>
          <w:sz w:val="26"/>
          <w:rtl/>
          <w:lang w:eastAsia="he-IL"/>
        </w:rPr>
        <w:t>.</w:t>
      </w:r>
    </w:p>
  </w:footnote>
  <w:footnote w:id="187">
    <w:p w14:paraId="346B9AF1" w14:textId="77777777" w:rsidR="00273399" w:rsidRDefault="00273399" w:rsidP="00273399">
      <w:pPr>
        <w:pStyle w:val="a5"/>
        <w:rPr>
          <w:rFonts w:hint="cs"/>
          <w:rtl/>
        </w:rPr>
      </w:pPr>
      <w:r>
        <w:rPr>
          <w:rStyle w:val="a4"/>
          <w:rtl/>
        </w:rPr>
        <w:footnoteRef/>
      </w:r>
      <w:r>
        <w:t xml:space="preserve"> </w:t>
      </w:r>
      <w:r>
        <w:rPr>
          <w:sz w:val="26"/>
          <w:rtl/>
          <w:lang w:eastAsia="he-IL"/>
        </w:rPr>
        <w:t>בכורות מד</w:t>
      </w:r>
      <w:r>
        <w:rPr>
          <w:rFonts w:hint="cs"/>
          <w:sz w:val="26"/>
          <w:rtl/>
          <w:lang w:eastAsia="he-IL"/>
        </w:rPr>
        <w:t xml:space="preserve">, </w:t>
      </w:r>
      <w:r>
        <w:rPr>
          <w:sz w:val="26"/>
          <w:rtl/>
          <w:lang w:eastAsia="he-IL"/>
        </w:rPr>
        <w:t>ב ד"ה נגדו ליה גלימא</w:t>
      </w:r>
      <w:r>
        <w:rPr>
          <w:rFonts w:hint="cs"/>
          <w:sz w:val="26"/>
          <w:rtl/>
          <w:lang w:eastAsia="he-IL"/>
        </w:rPr>
        <w:t>.</w:t>
      </w:r>
    </w:p>
  </w:footnote>
  <w:footnote w:id="188">
    <w:p w14:paraId="1F23E126" w14:textId="77777777" w:rsidR="00273399" w:rsidRDefault="00273399" w:rsidP="00273399">
      <w:pPr>
        <w:pStyle w:val="a5"/>
        <w:rPr>
          <w:rFonts w:hint="cs"/>
          <w:sz w:val="28"/>
          <w:szCs w:val="28"/>
          <w:rtl/>
        </w:rPr>
      </w:pPr>
      <w:r>
        <w:rPr>
          <w:rStyle w:val="a4"/>
          <w:rtl/>
        </w:rPr>
        <w:footnoteRef/>
      </w:r>
      <w:r>
        <w:rPr>
          <w:sz w:val="26"/>
          <w:szCs w:val="28"/>
        </w:rPr>
        <w:t xml:space="preserve"> </w:t>
      </w:r>
      <w:r>
        <w:rPr>
          <w:rFonts w:hint="cs"/>
          <w:sz w:val="24"/>
          <w:rtl/>
          <w:lang w:eastAsia="he-IL"/>
        </w:rPr>
        <w:t>וכיו"ב מבואר ב</w:t>
      </w:r>
      <w:r>
        <w:rPr>
          <w:sz w:val="24"/>
          <w:rtl/>
          <w:lang w:eastAsia="he-IL"/>
        </w:rPr>
        <w:t xml:space="preserve">מחזור ויטרי </w:t>
      </w:r>
      <w:r>
        <w:rPr>
          <w:sz w:val="20"/>
          <w:szCs w:val="20"/>
          <w:rtl/>
          <w:lang w:eastAsia="he-IL"/>
        </w:rPr>
        <w:t>סימן תכ</w:t>
      </w:r>
      <w:r>
        <w:rPr>
          <w:rFonts w:hint="cs"/>
          <w:sz w:val="20"/>
          <w:szCs w:val="20"/>
          <w:rtl/>
          <w:lang w:eastAsia="he-IL"/>
        </w:rPr>
        <w:t>"</w:t>
      </w:r>
      <w:r>
        <w:rPr>
          <w:sz w:val="20"/>
          <w:szCs w:val="20"/>
          <w:rtl/>
          <w:lang w:eastAsia="he-IL"/>
        </w:rPr>
        <w:t xml:space="preserve">ח </w:t>
      </w:r>
      <w:r>
        <w:rPr>
          <w:rFonts w:hint="cs"/>
          <w:sz w:val="24"/>
          <w:rtl/>
          <w:lang w:eastAsia="he-IL"/>
        </w:rPr>
        <w:t>הקושר את ה'</w:t>
      </w:r>
      <w:r>
        <w:rPr>
          <w:sz w:val="24"/>
          <w:rtl/>
          <w:lang w:eastAsia="he-IL"/>
        </w:rPr>
        <w:t>גולם</w:t>
      </w:r>
      <w:r>
        <w:rPr>
          <w:rFonts w:hint="cs"/>
          <w:sz w:val="24"/>
          <w:rtl/>
          <w:lang w:eastAsia="he-IL"/>
        </w:rPr>
        <w:t xml:space="preserve">' שבמסכת אבות </w:t>
      </w:r>
      <w:r>
        <w:rPr>
          <w:rFonts w:hint="cs"/>
          <w:sz w:val="20"/>
          <w:szCs w:val="20"/>
          <w:rtl/>
          <w:lang w:eastAsia="he-IL"/>
        </w:rPr>
        <w:t xml:space="preserve">פ"ה מ"ז </w:t>
      </w:r>
      <w:r>
        <w:rPr>
          <w:rFonts w:hint="cs"/>
          <w:sz w:val="24"/>
          <w:rtl/>
          <w:lang w:eastAsia="he-IL"/>
        </w:rPr>
        <w:t>- הפך ה'חכם' - ל"</w:t>
      </w:r>
      <w:r>
        <w:rPr>
          <w:sz w:val="24"/>
          <w:rtl/>
          <w:lang w:eastAsia="he-IL"/>
        </w:rPr>
        <w:t>לשון גלימא</w:t>
      </w:r>
      <w:r>
        <w:rPr>
          <w:rFonts w:hint="cs"/>
          <w:sz w:val="24"/>
          <w:rtl/>
          <w:lang w:eastAsia="he-IL"/>
        </w:rPr>
        <w:t xml:space="preserve">" </w:t>
      </w:r>
      <w:r>
        <w:rPr>
          <w:sz w:val="24"/>
          <w:rtl/>
          <w:lang w:eastAsia="he-IL"/>
        </w:rPr>
        <w:t>דאליהו</w:t>
      </w:r>
      <w:r>
        <w:rPr>
          <w:rFonts w:hint="cs"/>
          <w:sz w:val="24"/>
          <w:rtl/>
          <w:lang w:eastAsia="he-IL"/>
        </w:rPr>
        <w:t>: "</w:t>
      </w:r>
      <w:r>
        <w:rPr>
          <w:sz w:val="24"/>
          <w:rtl/>
          <w:lang w:eastAsia="he-IL"/>
        </w:rPr>
        <w:t>שכיון שאדם נתעטף בטליתו דומה לכלי שלא נגמר</w:t>
      </w:r>
      <w:r>
        <w:rPr>
          <w:rFonts w:hint="cs"/>
          <w:sz w:val="24"/>
          <w:rtl/>
          <w:lang w:eastAsia="he-IL"/>
        </w:rPr>
        <w:t xml:space="preserve">, </w:t>
      </w:r>
      <w:r>
        <w:rPr>
          <w:sz w:val="24"/>
          <w:rtl/>
          <w:lang w:eastAsia="he-IL"/>
        </w:rPr>
        <w:t>שאין לו לאדם</w:t>
      </w:r>
      <w:r>
        <w:rPr>
          <w:rFonts w:hint="cs"/>
          <w:sz w:val="24"/>
          <w:rtl/>
          <w:lang w:eastAsia="he-IL"/>
        </w:rPr>
        <w:t xml:space="preserve"> </w:t>
      </w:r>
      <w:r>
        <w:rPr>
          <w:sz w:val="24"/>
          <w:rtl/>
          <w:lang w:eastAsia="he-IL"/>
        </w:rPr>
        <w:t>חיתוך איברים</w:t>
      </w:r>
      <w:r>
        <w:rPr>
          <w:rFonts w:hint="cs"/>
          <w:sz w:val="24"/>
          <w:rtl/>
          <w:lang w:eastAsia="he-IL"/>
        </w:rPr>
        <w:t>".</w:t>
      </w:r>
    </w:p>
  </w:footnote>
  <w:footnote w:id="189">
    <w:p w14:paraId="3E81413A" w14:textId="77777777" w:rsidR="00273399" w:rsidRDefault="00273399" w:rsidP="00273399">
      <w:pPr>
        <w:pStyle w:val="a5"/>
        <w:rPr>
          <w:rtl/>
        </w:rPr>
      </w:pPr>
      <w:r>
        <w:rPr>
          <w:rStyle w:val="a4"/>
          <w:rtl/>
        </w:rPr>
        <w:footnoteRef/>
      </w:r>
      <w:r>
        <w:t xml:space="preserve"> </w:t>
      </w:r>
      <w:r>
        <w:rPr>
          <w:rFonts w:hint="cs"/>
          <w:rtl/>
          <w:lang w:eastAsia="he-IL"/>
        </w:rPr>
        <w:t>ב</w:t>
      </w:r>
      <w:r>
        <w:rPr>
          <w:rtl/>
          <w:lang w:eastAsia="he-IL"/>
        </w:rPr>
        <w:t xml:space="preserve">בראשית </w:t>
      </w:r>
      <w:r>
        <w:rPr>
          <w:sz w:val="18"/>
          <w:szCs w:val="20"/>
          <w:rtl/>
          <w:lang w:eastAsia="he-IL"/>
        </w:rPr>
        <w:t>כה</w:t>
      </w:r>
      <w:r>
        <w:rPr>
          <w:rFonts w:hint="cs"/>
          <w:sz w:val="18"/>
          <w:szCs w:val="20"/>
          <w:rtl/>
          <w:lang w:eastAsia="he-IL"/>
        </w:rPr>
        <w:t xml:space="preserve">, </w:t>
      </w:r>
      <w:r>
        <w:rPr>
          <w:sz w:val="18"/>
          <w:szCs w:val="20"/>
          <w:rtl/>
          <w:lang w:eastAsia="he-IL"/>
        </w:rPr>
        <w:t xml:space="preserve">כה </w:t>
      </w:r>
      <w:r>
        <w:rPr>
          <w:rFonts w:hint="cs"/>
          <w:rtl/>
          <w:lang w:eastAsia="he-IL"/>
        </w:rPr>
        <w:t>כתב: "</w:t>
      </w:r>
      <w:r>
        <w:rPr>
          <w:rtl/>
          <w:lang w:eastAsia="he-IL"/>
        </w:rPr>
        <w:t>כֻּלּוֹ כְּאַדֶּרֶת שֵׂעָר</w:t>
      </w:r>
      <w:r>
        <w:rPr>
          <w:rFonts w:hint="cs"/>
          <w:rtl/>
          <w:lang w:eastAsia="he-IL"/>
        </w:rPr>
        <w:t xml:space="preserve"> </w:t>
      </w:r>
      <w:r>
        <w:rPr>
          <w:rtl/>
          <w:lang w:eastAsia="he-IL"/>
        </w:rPr>
        <w:t>- מלא שער כ</w:t>
      </w:r>
      <w:r>
        <w:rPr>
          <w:b/>
          <w:bCs/>
          <w:rtl/>
          <w:lang w:eastAsia="he-IL"/>
        </w:rPr>
        <w:t xml:space="preserve">טלית </w:t>
      </w:r>
      <w:r>
        <w:rPr>
          <w:rtl/>
          <w:lang w:eastAsia="he-IL"/>
        </w:rPr>
        <w:t>של צמר המלאה שער</w:t>
      </w:r>
      <w:r>
        <w:rPr>
          <w:rFonts w:hint="cs"/>
          <w:rtl/>
          <w:lang w:eastAsia="he-IL"/>
        </w:rPr>
        <w:t xml:space="preserve">" [ועי"ש בנוסחאות תרגום </w:t>
      </w:r>
      <w:r>
        <w:rPr>
          <w:rtl/>
          <w:lang w:eastAsia="he-IL"/>
        </w:rPr>
        <w:t>אונקלוס</w:t>
      </w:r>
      <w:r>
        <w:rPr>
          <w:rFonts w:hint="cs"/>
          <w:rtl/>
          <w:lang w:eastAsia="he-IL"/>
        </w:rPr>
        <w:t>], וב</w:t>
      </w:r>
      <w:r>
        <w:rPr>
          <w:rtl/>
          <w:lang w:eastAsia="he-IL"/>
        </w:rPr>
        <w:t xml:space="preserve">זכריה </w:t>
      </w:r>
      <w:r>
        <w:rPr>
          <w:sz w:val="18"/>
          <w:szCs w:val="20"/>
          <w:rtl/>
          <w:lang w:eastAsia="he-IL"/>
        </w:rPr>
        <w:t>יג</w:t>
      </w:r>
      <w:r>
        <w:rPr>
          <w:rFonts w:hint="cs"/>
          <w:sz w:val="18"/>
          <w:szCs w:val="20"/>
          <w:rtl/>
          <w:lang w:eastAsia="he-IL"/>
        </w:rPr>
        <w:t xml:space="preserve">, </w:t>
      </w:r>
      <w:r>
        <w:rPr>
          <w:sz w:val="18"/>
          <w:szCs w:val="20"/>
          <w:rtl/>
          <w:lang w:eastAsia="he-IL"/>
        </w:rPr>
        <w:t xml:space="preserve">ד </w:t>
      </w:r>
      <w:r>
        <w:rPr>
          <w:rFonts w:hint="cs"/>
          <w:rtl/>
          <w:lang w:eastAsia="he-IL"/>
        </w:rPr>
        <w:t>כתב: "</w:t>
      </w:r>
      <w:r>
        <w:rPr>
          <w:rtl/>
          <w:lang w:eastAsia="he-IL"/>
        </w:rPr>
        <w:t>אַדֶּרֶת שֵׂעָר</w:t>
      </w:r>
      <w:r>
        <w:rPr>
          <w:rFonts w:hint="cs"/>
          <w:rtl/>
          <w:lang w:eastAsia="he-IL"/>
        </w:rPr>
        <w:t xml:space="preserve"> </w:t>
      </w:r>
      <w:r>
        <w:rPr>
          <w:rtl/>
          <w:lang w:eastAsia="he-IL"/>
        </w:rPr>
        <w:t>- כן דרך מסיתים ומדיחי</w:t>
      </w:r>
      <w:r>
        <w:rPr>
          <w:rFonts w:hint="cs"/>
          <w:rtl/>
          <w:lang w:eastAsia="he-IL"/>
        </w:rPr>
        <w:t>ם</w:t>
      </w:r>
      <w:r>
        <w:rPr>
          <w:rtl/>
          <w:lang w:eastAsia="he-IL"/>
        </w:rPr>
        <w:t xml:space="preserve"> מתעטפי</w:t>
      </w:r>
      <w:r>
        <w:rPr>
          <w:rFonts w:hint="cs"/>
          <w:rtl/>
          <w:lang w:eastAsia="he-IL"/>
        </w:rPr>
        <w:t>ם</w:t>
      </w:r>
      <w:r>
        <w:rPr>
          <w:rtl/>
          <w:lang w:eastAsia="he-IL"/>
        </w:rPr>
        <w:t xml:space="preserve"> ב</w:t>
      </w:r>
      <w:r>
        <w:rPr>
          <w:b/>
          <w:bCs/>
          <w:rtl/>
          <w:lang w:eastAsia="he-IL"/>
        </w:rPr>
        <w:t>טלית</w:t>
      </w:r>
      <w:r>
        <w:rPr>
          <w:rtl/>
          <w:lang w:eastAsia="he-IL"/>
        </w:rPr>
        <w:t>ם כאילו הם אנשים צדיקים</w:t>
      </w:r>
      <w:r>
        <w:rPr>
          <w:rFonts w:hint="cs"/>
          <w:rtl/>
          <w:lang w:eastAsia="he-IL"/>
        </w:rPr>
        <w:t>,</w:t>
      </w:r>
      <w:r>
        <w:rPr>
          <w:rtl/>
          <w:lang w:eastAsia="he-IL"/>
        </w:rPr>
        <w:t xml:space="preserve"> למען יקובלו כחשיהם</w:t>
      </w:r>
      <w:r>
        <w:rPr>
          <w:rFonts w:hint="cs"/>
          <w:rtl/>
          <w:lang w:eastAsia="he-IL"/>
        </w:rPr>
        <w:t>".</w:t>
      </w:r>
    </w:p>
  </w:footnote>
  <w:footnote w:id="190">
    <w:p w14:paraId="7FB0206A" w14:textId="77777777" w:rsidR="00273399" w:rsidRDefault="00273399" w:rsidP="00273399">
      <w:pPr>
        <w:pStyle w:val="a5"/>
        <w:rPr>
          <w:rtl/>
        </w:rPr>
      </w:pPr>
      <w:r>
        <w:rPr>
          <w:rStyle w:val="a4"/>
          <w:rtl/>
        </w:rPr>
        <w:footnoteRef/>
      </w:r>
      <w:r>
        <w:t xml:space="preserve"> </w:t>
      </w:r>
      <w:r>
        <w:rPr>
          <w:rFonts w:hint="cs"/>
          <w:sz w:val="24"/>
          <w:rtl/>
          <w:lang w:eastAsia="he-IL"/>
        </w:rPr>
        <w:t xml:space="preserve">אף שם חשש רש"י שלא יבין הלומד מהי </w:t>
      </w:r>
      <w:r>
        <w:rPr>
          <w:rFonts w:hint="cs"/>
          <w:rtl/>
          <w:lang w:eastAsia="he-IL"/>
        </w:rPr>
        <w:t>"</w:t>
      </w:r>
      <w:r>
        <w:rPr>
          <w:rtl/>
          <w:lang w:eastAsia="he-IL"/>
        </w:rPr>
        <w:t>אַדֶּרֶת</w:t>
      </w:r>
      <w:r>
        <w:rPr>
          <w:rFonts w:hint="cs"/>
          <w:rtl/>
          <w:lang w:eastAsia="he-IL"/>
        </w:rPr>
        <w:t>", ולכן העתיק את תרגום יונתן: "</w:t>
      </w:r>
      <w:r>
        <w:rPr>
          <w:sz w:val="24"/>
          <w:rtl/>
          <w:lang w:eastAsia="he-IL"/>
        </w:rPr>
        <w:t>אדרתו - לבוש יקריה</w:t>
      </w:r>
      <w:r>
        <w:rPr>
          <w:rFonts w:hint="cs"/>
          <w:sz w:val="24"/>
          <w:rtl/>
          <w:lang w:eastAsia="he-IL"/>
        </w:rPr>
        <w:t>" (כלומר, בגדו המכובד).</w:t>
      </w:r>
    </w:p>
  </w:footnote>
  <w:footnote w:id="191">
    <w:p w14:paraId="22D87440" w14:textId="77777777" w:rsidR="00273399" w:rsidRDefault="00273399" w:rsidP="00273399">
      <w:pPr>
        <w:pStyle w:val="a5"/>
        <w:rPr>
          <w:rFonts w:hint="cs"/>
          <w:sz w:val="24"/>
          <w:rtl/>
          <w:lang w:eastAsia="he-IL"/>
        </w:rPr>
      </w:pPr>
      <w:r>
        <w:rPr>
          <w:rStyle w:val="a4"/>
          <w:rtl/>
        </w:rPr>
        <w:footnoteRef/>
      </w:r>
      <w:r>
        <w:t xml:space="preserve"> </w:t>
      </w:r>
      <w:r>
        <w:rPr>
          <w:rFonts w:hint="cs"/>
          <w:rtl/>
        </w:rPr>
        <w:t xml:space="preserve">ע"פ הברייתא שבסוף </w:t>
      </w:r>
      <w:r>
        <w:rPr>
          <w:sz w:val="24"/>
          <w:rtl/>
          <w:lang w:eastAsia="he-IL"/>
        </w:rPr>
        <w:t>פרק ה</w:t>
      </w:r>
      <w:r>
        <w:rPr>
          <w:rFonts w:hint="cs"/>
          <w:sz w:val="24"/>
          <w:rtl/>
          <w:lang w:eastAsia="he-IL"/>
        </w:rPr>
        <w:t>'</w:t>
      </w:r>
      <w:r>
        <w:rPr>
          <w:sz w:val="24"/>
          <w:rtl/>
          <w:lang w:eastAsia="he-IL"/>
        </w:rPr>
        <w:t xml:space="preserve"> </w:t>
      </w:r>
      <w:r>
        <w:rPr>
          <w:rFonts w:hint="cs"/>
          <w:sz w:val="24"/>
          <w:rtl/>
          <w:lang w:eastAsia="he-IL"/>
        </w:rPr>
        <w:t xml:space="preserve">של </w:t>
      </w:r>
      <w:r>
        <w:rPr>
          <w:sz w:val="24"/>
          <w:rtl/>
          <w:lang w:eastAsia="he-IL"/>
        </w:rPr>
        <w:t>מסכת ברכות</w:t>
      </w:r>
      <w:r>
        <w:rPr>
          <w:rFonts w:hint="cs"/>
          <w:sz w:val="24"/>
          <w:rtl/>
          <w:lang w:eastAsia="he-IL"/>
        </w:rPr>
        <w:t xml:space="preserve">, </w:t>
      </w:r>
      <w:r>
        <w:rPr>
          <w:sz w:val="18"/>
          <w:szCs w:val="20"/>
          <w:rtl/>
          <w:lang w:eastAsia="he-IL"/>
        </w:rPr>
        <w:t>ל</w:t>
      </w:r>
      <w:r>
        <w:rPr>
          <w:rFonts w:hint="cs"/>
          <w:sz w:val="18"/>
          <w:szCs w:val="20"/>
          <w:rtl/>
          <w:lang w:eastAsia="he-IL"/>
        </w:rPr>
        <w:t xml:space="preserve">, </w:t>
      </w:r>
      <w:r>
        <w:rPr>
          <w:sz w:val="18"/>
          <w:szCs w:val="20"/>
          <w:rtl/>
          <w:lang w:eastAsia="he-IL"/>
        </w:rPr>
        <w:t>ב</w:t>
      </w:r>
      <w:r>
        <w:rPr>
          <w:rFonts w:hint="cs"/>
          <w:sz w:val="24"/>
          <w:rtl/>
          <w:lang w:eastAsia="he-IL"/>
        </w:rPr>
        <w:t>:</w:t>
      </w:r>
    </w:p>
    <w:p w14:paraId="64F08AE6" w14:textId="77777777" w:rsidR="00273399" w:rsidRDefault="00273399" w:rsidP="00273399">
      <w:pPr>
        <w:pStyle w:val="a5"/>
        <w:ind w:left="720"/>
        <w:rPr>
          <w:rFonts w:hint="cs"/>
          <w:rtl/>
        </w:rPr>
      </w:pPr>
      <w:r>
        <w:rPr>
          <w:rFonts w:hint="cs"/>
          <w:sz w:val="24"/>
          <w:rtl/>
          <w:lang w:eastAsia="he-IL"/>
        </w:rPr>
        <w:t>"</w:t>
      </w:r>
      <w:r>
        <w:rPr>
          <w:sz w:val="24"/>
          <w:rtl/>
          <w:lang w:eastAsia="he-IL"/>
        </w:rPr>
        <w:t>אמר רבי יוחנן בן זכאי: אלמלי</w:t>
      </w:r>
      <w:r>
        <w:rPr>
          <w:rFonts w:hint="cs"/>
          <w:sz w:val="24"/>
          <w:rtl/>
          <w:lang w:eastAsia="he-IL"/>
        </w:rPr>
        <w:t xml:space="preserve"> </w:t>
      </w:r>
      <w:r>
        <w:rPr>
          <w:sz w:val="24"/>
          <w:rtl/>
          <w:lang w:eastAsia="he-IL"/>
        </w:rPr>
        <w:t>הטיח בן זכאי את ראשו בין ברכיו כל היום כולו</w:t>
      </w:r>
      <w:r>
        <w:rPr>
          <w:rFonts w:hint="cs"/>
          <w:sz w:val="24"/>
          <w:rtl/>
          <w:lang w:eastAsia="he-IL"/>
        </w:rPr>
        <w:t xml:space="preserve">, </w:t>
      </w:r>
      <w:r>
        <w:rPr>
          <w:sz w:val="24"/>
          <w:rtl/>
          <w:lang w:eastAsia="he-IL"/>
        </w:rPr>
        <w:t>לא היו משגיחים עליו. אמרה לו אשתו: וכי חנינא גדול ממך? אמר לה: לאו, אלא הוא דומה כעבד לפני המלך, ואני דומה כשר לפני המלך</w:t>
      </w:r>
      <w:r>
        <w:rPr>
          <w:rFonts w:hint="cs"/>
          <w:sz w:val="24"/>
          <w:rtl/>
          <w:lang w:eastAsia="he-IL"/>
        </w:rPr>
        <w:t>"</w:t>
      </w:r>
      <w:r>
        <w:rPr>
          <w:sz w:val="24"/>
          <w:rtl/>
          <w:lang w:eastAsia="he-IL"/>
        </w:rPr>
        <w:t>.</w:t>
      </w:r>
    </w:p>
  </w:footnote>
  <w:footnote w:id="192">
    <w:p w14:paraId="7B0D769D" w14:textId="77777777" w:rsidR="00273399" w:rsidRDefault="00273399" w:rsidP="00273399">
      <w:pPr>
        <w:pStyle w:val="a5"/>
        <w:rPr>
          <w:rtl/>
        </w:rPr>
      </w:pPr>
      <w:r>
        <w:rPr>
          <w:rStyle w:val="a4"/>
          <w:rtl/>
        </w:rPr>
        <w:footnoteRef/>
      </w:r>
      <w:r>
        <w:rPr>
          <w:szCs w:val="22"/>
        </w:rPr>
        <w:t xml:space="preserve"> </w:t>
      </w:r>
      <w:r>
        <w:rPr>
          <w:rFonts w:hint="cs"/>
          <w:rtl/>
        </w:rPr>
        <w:t>"בעלמא" כאן הוא מילולי, תיאור מקום: "בעולם". אין זה כמו "</w:t>
      </w:r>
      <w:r>
        <w:rPr>
          <w:rtl/>
        </w:rPr>
        <w:t xml:space="preserve">זיעה </w:t>
      </w:r>
      <w:r>
        <w:rPr>
          <w:b/>
          <w:bCs/>
          <w:rtl/>
        </w:rPr>
        <w:t>בעלמא</w:t>
      </w:r>
      <w:r>
        <w:rPr>
          <w:rFonts w:hint="cs"/>
          <w:rtl/>
        </w:rPr>
        <w:t>" (</w:t>
      </w:r>
      <w:r>
        <w:rPr>
          <w:sz w:val="18"/>
          <w:szCs w:val="20"/>
          <w:rtl/>
        </w:rPr>
        <w:t>ברכות לח</w:t>
      </w:r>
      <w:r>
        <w:rPr>
          <w:rFonts w:hint="cs"/>
          <w:sz w:val="18"/>
          <w:szCs w:val="20"/>
          <w:rtl/>
        </w:rPr>
        <w:t xml:space="preserve">, </w:t>
      </w:r>
      <w:r>
        <w:rPr>
          <w:sz w:val="18"/>
          <w:szCs w:val="20"/>
          <w:rtl/>
        </w:rPr>
        <w:t>א</w:t>
      </w:r>
      <w:r>
        <w:rPr>
          <w:rFonts w:hint="cs"/>
          <w:rtl/>
        </w:rPr>
        <w:t>) ו"</w:t>
      </w:r>
      <w:r>
        <w:rPr>
          <w:rtl/>
        </w:rPr>
        <w:t xml:space="preserve">אסמכתא </w:t>
      </w:r>
      <w:r>
        <w:rPr>
          <w:b/>
          <w:bCs/>
          <w:rtl/>
        </w:rPr>
        <w:t>בעלמא</w:t>
      </w:r>
      <w:r>
        <w:rPr>
          <w:rFonts w:hint="cs"/>
          <w:rtl/>
        </w:rPr>
        <w:t>" (</w:t>
      </w:r>
      <w:r>
        <w:rPr>
          <w:sz w:val="18"/>
          <w:szCs w:val="20"/>
          <w:rtl/>
        </w:rPr>
        <w:t>ברכות מא</w:t>
      </w:r>
      <w:r>
        <w:rPr>
          <w:rFonts w:hint="cs"/>
          <w:sz w:val="18"/>
          <w:szCs w:val="20"/>
          <w:rtl/>
        </w:rPr>
        <w:t xml:space="preserve">, </w:t>
      </w:r>
      <w:r>
        <w:rPr>
          <w:sz w:val="18"/>
          <w:szCs w:val="20"/>
          <w:rtl/>
        </w:rPr>
        <w:t>ב</w:t>
      </w:r>
      <w:r>
        <w:rPr>
          <w:rFonts w:hint="cs"/>
          <w:rtl/>
        </w:rPr>
        <w:t>)</w:t>
      </w:r>
      <w:r>
        <w:rPr>
          <w:rtl/>
        </w:rPr>
        <w:t xml:space="preserve"> </w:t>
      </w:r>
      <w:r>
        <w:rPr>
          <w:rFonts w:hint="cs"/>
          <w:rtl/>
        </w:rPr>
        <w:t>שמשמעו "בלבד", ולא כמו "</w:t>
      </w:r>
      <w:r>
        <w:rPr>
          <w:b/>
          <w:bCs/>
          <w:rtl/>
        </w:rPr>
        <w:t>בעלמא</w:t>
      </w:r>
      <w:r>
        <w:rPr>
          <w:rtl/>
        </w:rPr>
        <w:t xml:space="preserve"> אימא לך - פטור, ושאני הכא</w:t>
      </w:r>
      <w:r>
        <w:rPr>
          <w:rFonts w:hint="cs"/>
          <w:rtl/>
        </w:rPr>
        <w:t>..." (</w:t>
      </w:r>
      <w:r>
        <w:rPr>
          <w:sz w:val="18"/>
          <w:szCs w:val="20"/>
          <w:rtl/>
        </w:rPr>
        <w:t>שבת סב</w:t>
      </w:r>
      <w:r>
        <w:rPr>
          <w:rFonts w:hint="cs"/>
          <w:sz w:val="18"/>
          <w:szCs w:val="20"/>
          <w:rtl/>
        </w:rPr>
        <w:t xml:space="preserve">, </w:t>
      </w:r>
      <w:r>
        <w:rPr>
          <w:sz w:val="18"/>
          <w:szCs w:val="20"/>
          <w:rtl/>
        </w:rPr>
        <w:t>ב</w:t>
      </w:r>
      <w:r>
        <w:rPr>
          <w:rFonts w:hint="cs"/>
          <w:rtl/>
        </w:rPr>
        <w:t>) שמשמעו "בדרך כלל"</w:t>
      </w:r>
      <w:r>
        <w:rPr>
          <w:rtl/>
        </w:rPr>
        <w:t>.</w:t>
      </w:r>
    </w:p>
  </w:footnote>
  <w:footnote w:id="193">
    <w:p w14:paraId="4E8C55CD" w14:textId="77777777" w:rsidR="00273399" w:rsidRDefault="00273399" w:rsidP="00273399">
      <w:pPr>
        <w:pStyle w:val="a5"/>
        <w:rPr>
          <w:rFonts w:hint="cs"/>
          <w:sz w:val="28"/>
          <w:szCs w:val="26"/>
          <w:rtl/>
        </w:rPr>
      </w:pPr>
      <w:r>
        <w:rPr>
          <w:rStyle w:val="a4"/>
          <w:rtl/>
        </w:rPr>
        <w:footnoteRef/>
      </w:r>
      <w:r>
        <w:rPr>
          <w:szCs w:val="22"/>
        </w:rPr>
        <w:t xml:space="preserve"> </w:t>
      </w:r>
      <w:r>
        <w:rPr>
          <w:rFonts w:hint="cs"/>
          <w:sz w:val="26"/>
          <w:rtl/>
        </w:rPr>
        <w:t xml:space="preserve">צ"ע כיצד בדיוק מתבצע חיבוק אצבעות זה. מלשון </w:t>
      </w:r>
      <w:r>
        <w:rPr>
          <w:sz w:val="26"/>
          <w:rtl/>
        </w:rPr>
        <w:t>עָר</w:t>
      </w:r>
      <w:r>
        <w:rPr>
          <w:rFonts w:hint="cs"/>
          <w:sz w:val="26"/>
          <w:rtl/>
        </w:rPr>
        <w:t>ו</w:t>
      </w:r>
      <w:r>
        <w:rPr>
          <w:sz w:val="26"/>
          <w:rtl/>
        </w:rPr>
        <w:t xml:space="preserve">ֹךְ הַשֻּׁלְחָן </w:t>
      </w:r>
      <w:r>
        <w:rPr>
          <w:rFonts w:hint="cs"/>
          <w:sz w:val="26"/>
          <w:rtl/>
        </w:rPr>
        <w:t>או"ח סימן צ"א, ז' "חובק אצבעות ידיו זה בשל זה", משמע שמצמיד כפות הידיִם, ומכופף אצבעות ימין על גב יד שמאל ואצבעות שמאל על גב יד ימין, כך שהאצבעות שלובות וקלועות לסירוגין זו בזו. אגב, כפי שמוער שם, "יש ליזהר שלא לחבוק אצבעותיו בעת שלום, כי בזה מוריד דין על עצמו" (בניגוד למסופר בתלמוד על רבא!), וע"ע בספר פסקי תשובות על אתר, עמ' תשמ"ז-תשמ"ט והערה 27.</w:t>
      </w:r>
    </w:p>
  </w:footnote>
  <w:footnote w:id="194">
    <w:p w14:paraId="78C4818B" w14:textId="77777777" w:rsidR="00273399" w:rsidRDefault="00273399" w:rsidP="00273399">
      <w:pPr>
        <w:pStyle w:val="a5"/>
        <w:rPr>
          <w:rtl/>
        </w:rPr>
      </w:pPr>
      <w:r>
        <w:rPr>
          <w:rStyle w:val="a4"/>
          <w:rtl/>
        </w:rPr>
        <w:footnoteRef/>
      </w:r>
      <w:r>
        <w:rPr>
          <w:szCs w:val="22"/>
        </w:rPr>
        <w:t xml:space="preserve"> </w:t>
      </w:r>
      <w:r>
        <w:rPr>
          <w:rFonts w:hint="cs"/>
          <w:rtl/>
        </w:rPr>
        <w:t>באוצר לעזי רש"י לר"מ קטן תרגם: "לקלוע, לשלֵב", ואילו במהדורת ר"ע שטיינזלץ (</w:t>
      </w:r>
      <w:r>
        <w:rPr>
          <w:rFonts w:hint="cs"/>
          <w:sz w:val="18"/>
          <w:szCs w:val="20"/>
          <w:rtl/>
        </w:rPr>
        <w:t>ומשם הועתק לפרויקט השו"ת של בר אילן</w:t>
      </w:r>
      <w:r>
        <w:rPr>
          <w:rFonts w:hint="cs"/>
          <w:rtl/>
        </w:rPr>
        <w:t>) תורגם לעז זה: "</w:t>
      </w:r>
      <w:r>
        <w:rPr>
          <w:rtl/>
        </w:rPr>
        <w:t>להכניס אצבעות יד אחת בשניה".</w:t>
      </w:r>
      <w:r>
        <w:rPr>
          <w:rFonts w:hint="cs"/>
          <w:rtl/>
        </w:rPr>
        <w:t xml:space="preserve"> ונראה כי כוונתם לאופן האמור בהערה הקודמת.</w:t>
      </w:r>
    </w:p>
  </w:footnote>
  <w:footnote w:id="195">
    <w:p w14:paraId="25AABD2A" w14:textId="77777777" w:rsidR="00273399" w:rsidRDefault="00273399" w:rsidP="00273399">
      <w:pPr>
        <w:pStyle w:val="a5"/>
        <w:rPr>
          <w:rtl/>
        </w:rPr>
      </w:pPr>
      <w:r>
        <w:rPr>
          <w:rStyle w:val="a4"/>
          <w:rtl/>
        </w:rPr>
        <w:footnoteRef/>
      </w:r>
      <w:r>
        <w:rPr>
          <w:szCs w:val="22"/>
        </w:rPr>
        <w:t xml:space="preserve"> </w:t>
      </w:r>
      <w:r>
        <w:rPr>
          <w:rFonts w:hint="cs"/>
          <w:rtl/>
        </w:rPr>
        <w:t>וברוח זו כתב אמו"ר את הערך "פכר" במילונו התלמודי (</w:t>
      </w:r>
      <w:r>
        <w:rPr>
          <w:rFonts w:hint="cs"/>
          <w:sz w:val="18"/>
          <w:szCs w:val="20"/>
          <w:rtl/>
        </w:rPr>
        <w:t xml:space="preserve">שזמין במרשתת ב"פורטל הדף היומי": </w:t>
      </w:r>
      <w:hyperlink r:id="rId3" w:history="1">
        <w:r>
          <w:rPr>
            <w:rStyle w:val="Hyperlink"/>
            <w:sz w:val="18"/>
            <w:szCs w:val="18"/>
          </w:rPr>
          <w:t>http://www.daf-yomi.com/content.aspx?PageId=26</w:t>
        </w:r>
      </w:hyperlink>
      <w:r>
        <w:rPr>
          <w:rFonts w:hint="cs"/>
          <w:rtl/>
        </w:rPr>
        <w:t>).</w:t>
      </w:r>
    </w:p>
  </w:footnote>
  <w:footnote w:id="196">
    <w:p w14:paraId="2227BDEA" w14:textId="77777777" w:rsidR="00273399" w:rsidRDefault="00273399" w:rsidP="00273399">
      <w:pPr>
        <w:pStyle w:val="a5"/>
        <w:rPr>
          <w:rtl/>
        </w:rPr>
      </w:pPr>
      <w:r>
        <w:rPr>
          <w:rStyle w:val="a4"/>
          <w:rtl/>
        </w:rPr>
        <w:footnoteRef/>
      </w:r>
      <w:r>
        <w:rPr>
          <w:szCs w:val="22"/>
        </w:rPr>
        <w:t xml:space="preserve"> </w:t>
      </w:r>
      <w:r>
        <w:rPr>
          <w:rFonts w:hint="cs"/>
          <w:rtl/>
        </w:rPr>
        <w:t xml:space="preserve">ראה מילונו של </w:t>
      </w:r>
      <w:r>
        <w:rPr>
          <w:rFonts w:ascii="Arial" w:hAnsi="Arial" w:hint="cs"/>
          <w:rtl/>
        </w:rPr>
        <w:t xml:space="preserve">פרופ' </w:t>
      </w:r>
      <w:r>
        <w:rPr>
          <w:rFonts w:ascii="Arial" w:hAnsi="Arial" w:hint="eastAsia"/>
          <w:rtl/>
        </w:rPr>
        <w:t>מיכאל</w:t>
      </w:r>
      <w:r>
        <w:rPr>
          <w:rFonts w:ascii="Arial" w:hAnsi="Arial"/>
          <w:rtl/>
        </w:rPr>
        <w:t xml:space="preserve"> סוקולוף </w:t>
      </w:r>
      <w:r>
        <w:rPr>
          <w:rFonts w:hint="cs"/>
          <w:rtl/>
        </w:rPr>
        <w:t>לארמית הבבלית</w:t>
      </w:r>
      <w:r>
        <w:rPr>
          <w:rFonts w:hint="cs"/>
          <w:sz w:val="18"/>
          <w:szCs w:val="20"/>
          <w:rtl/>
        </w:rPr>
        <w:t>, עמ' 908</w:t>
      </w:r>
      <w:r>
        <w:rPr>
          <w:rFonts w:hint="cs"/>
          <w:rtl/>
        </w:rPr>
        <w:t>.</w:t>
      </w:r>
    </w:p>
  </w:footnote>
  <w:footnote w:id="197">
    <w:p w14:paraId="69AD82B0" w14:textId="77777777" w:rsidR="00273399" w:rsidRDefault="00273399" w:rsidP="00273399">
      <w:pPr>
        <w:pStyle w:val="a5"/>
        <w:rPr>
          <w:rFonts w:hint="cs"/>
          <w:sz w:val="18"/>
          <w:szCs w:val="20"/>
          <w:rtl/>
        </w:rPr>
      </w:pPr>
      <w:r>
        <w:rPr>
          <w:rStyle w:val="a4"/>
          <w:rtl/>
        </w:rPr>
        <w:footnoteRef/>
      </w:r>
      <w:r>
        <w:t xml:space="preserve"> </w:t>
      </w:r>
      <w:r>
        <w:rPr>
          <w:rFonts w:hint="cs"/>
          <w:rtl/>
        </w:rPr>
        <w:t xml:space="preserve">בכמה מקומות שרש"י מפרש ביטוי במקרא או בתלמוד, יש להסתפק האם לראות בהם פרשנות מקומית בלבד, או שמא רש"י (שלפעמים כותב במפורש הערות בלשניות) כוונתו לרמוז ללומד על המשמעות המילונית ואף על גזרונה של המלה. </w:t>
      </w:r>
      <w:r>
        <w:rPr>
          <w:rFonts w:hint="cs"/>
          <w:sz w:val="18"/>
          <w:szCs w:val="20"/>
          <w:rtl/>
        </w:rPr>
        <w:t xml:space="preserve">נסתפק כאן בשתי דוגמות: </w:t>
      </w:r>
      <w:r>
        <w:rPr>
          <w:sz w:val="18"/>
          <w:szCs w:val="20"/>
          <w:rtl/>
        </w:rPr>
        <w:t xml:space="preserve">רש"י </w:t>
      </w:r>
      <w:r>
        <w:rPr>
          <w:rFonts w:hint="cs"/>
          <w:sz w:val="18"/>
          <w:szCs w:val="20"/>
          <w:rtl/>
        </w:rPr>
        <w:t>ל</w:t>
      </w:r>
      <w:r>
        <w:rPr>
          <w:sz w:val="18"/>
          <w:szCs w:val="20"/>
          <w:rtl/>
        </w:rPr>
        <w:t>מגילה כז</w:t>
      </w:r>
      <w:r>
        <w:rPr>
          <w:rFonts w:hint="cs"/>
          <w:sz w:val="18"/>
          <w:szCs w:val="20"/>
          <w:rtl/>
        </w:rPr>
        <w:t xml:space="preserve">, </w:t>
      </w:r>
      <w:r>
        <w:rPr>
          <w:sz w:val="18"/>
          <w:szCs w:val="20"/>
          <w:rtl/>
        </w:rPr>
        <w:t>ב</w:t>
      </w:r>
      <w:r>
        <w:rPr>
          <w:rFonts w:hint="cs"/>
          <w:sz w:val="18"/>
          <w:szCs w:val="20"/>
          <w:rtl/>
        </w:rPr>
        <w:t xml:space="preserve"> ד"ה </w:t>
      </w:r>
      <w:r>
        <w:rPr>
          <w:sz w:val="18"/>
          <w:szCs w:val="20"/>
          <w:rtl/>
        </w:rPr>
        <w:t>אִיכַּלַּל</w:t>
      </w:r>
      <w:r>
        <w:rPr>
          <w:rFonts w:hint="cs"/>
          <w:sz w:val="18"/>
          <w:szCs w:val="20"/>
          <w:rtl/>
        </w:rPr>
        <w:t xml:space="preserve">; </w:t>
      </w:r>
      <w:r>
        <w:rPr>
          <w:sz w:val="18"/>
          <w:szCs w:val="20"/>
          <w:rtl/>
        </w:rPr>
        <w:t>נדה יט</w:t>
      </w:r>
      <w:r>
        <w:rPr>
          <w:rFonts w:hint="cs"/>
          <w:sz w:val="18"/>
          <w:szCs w:val="20"/>
          <w:rtl/>
        </w:rPr>
        <w:t xml:space="preserve">, </w:t>
      </w:r>
      <w:r>
        <w:rPr>
          <w:sz w:val="18"/>
          <w:szCs w:val="20"/>
          <w:rtl/>
        </w:rPr>
        <w:t>א</w:t>
      </w:r>
      <w:r>
        <w:rPr>
          <w:rFonts w:hint="cs"/>
          <w:sz w:val="18"/>
          <w:szCs w:val="20"/>
          <w:rtl/>
        </w:rPr>
        <w:t xml:space="preserve"> ד"ה </w:t>
      </w:r>
      <w:r>
        <w:rPr>
          <w:sz w:val="18"/>
          <w:szCs w:val="20"/>
          <w:rtl/>
        </w:rPr>
        <w:t>דיהה</w:t>
      </w:r>
      <w:r>
        <w:rPr>
          <w:rFonts w:hint="cs"/>
          <w:sz w:val="18"/>
          <w:szCs w:val="20"/>
          <w:rtl/>
        </w:rPr>
        <w:t>. ועיין</w:t>
      </w:r>
      <w:r>
        <w:rPr>
          <w:sz w:val="18"/>
          <w:szCs w:val="20"/>
          <w:rtl/>
        </w:rPr>
        <w:t xml:space="preserve"> בספר "דרכו של רש"י בפירוש</w:t>
      </w:r>
      <w:r>
        <w:rPr>
          <w:rFonts w:hint="cs"/>
          <w:sz w:val="18"/>
          <w:szCs w:val="20"/>
          <w:rtl/>
        </w:rPr>
        <w:t>ו</w:t>
      </w:r>
      <w:r>
        <w:rPr>
          <w:sz w:val="18"/>
          <w:szCs w:val="20"/>
          <w:rtl/>
        </w:rPr>
        <w:t xml:space="preserve"> </w:t>
      </w:r>
      <w:r>
        <w:rPr>
          <w:rFonts w:hint="cs"/>
          <w:sz w:val="18"/>
          <w:szCs w:val="20"/>
          <w:rtl/>
        </w:rPr>
        <w:t>ל</w:t>
      </w:r>
      <w:r>
        <w:rPr>
          <w:sz w:val="18"/>
          <w:szCs w:val="20"/>
          <w:rtl/>
        </w:rPr>
        <w:t>תלמוד</w:t>
      </w:r>
      <w:r>
        <w:rPr>
          <w:rFonts w:hint="cs"/>
          <w:sz w:val="18"/>
          <w:szCs w:val="20"/>
          <w:rtl/>
        </w:rPr>
        <w:t xml:space="preserve"> הבבלי</w:t>
      </w:r>
      <w:r>
        <w:rPr>
          <w:sz w:val="18"/>
          <w:szCs w:val="20"/>
          <w:rtl/>
        </w:rPr>
        <w:t xml:space="preserve">" </w:t>
      </w:r>
      <w:r>
        <w:rPr>
          <w:rFonts w:hint="cs"/>
          <w:sz w:val="18"/>
          <w:szCs w:val="20"/>
          <w:rtl/>
        </w:rPr>
        <w:t xml:space="preserve">מאת </w:t>
      </w:r>
      <w:r>
        <w:rPr>
          <w:sz w:val="18"/>
          <w:szCs w:val="20"/>
          <w:rtl/>
        </w:rPr>
        <w:t>יונה פרנקל</w:t>
      </w:r>
      <w:r>
        <w:rPr>
          <w:rFonts w:hint="cs"/>
          <w:sz w:val="18"/>
          <w:szCs w:val="20"/>
          <w:rtl/>
        </w:rPr>
        <w:t>, עמ' 106 - 113.</w:t>
      </w:r>
    </w:p>
  </w:footnote>
  <w:footnote w:id="198">
    <w:p w14:paraId="407B7B1F" w14:textId="77777777" w:rsidR="00273399" w:rsidRDefault="00273399" w:rsidP="00273399">
      <w:pPr>
        <w:pStyle w:val="a5"/>
        <w:rPr>
          <w:rtl/>
        </w:rPr>
      </w:pPr>
      <w:r>
        <w:rPr>
          <w:rStyle w:val="a4"/>
          <w:rtl/>
        </w:rPr>
        <w:footnoteRef/>
      </w:r>
      <w:r>
        <w:rPr>
          <w:szCs w:val="22"/>
        </w:rPr>
        <w:t xml:space="preserve"> </w:t>
      </w:r>
      <w:r>
        <w:rPr>
          <w:rFonts w:hint="cs"/>
          <w:rtl/>
        </w:rPr>
        <w:t>שורש זה רווח בארמית של הבבלי, הן במשמעות של שבירה פיזית ("</w:t>
      </w:r>
      <w:r>
        <w:rPr>
          <w:rtl/>
        </w:rPr>
        <w:t>דהבא פריכא</w:t>
      </w:r>
      <w:r>
        <w:rPr>
          <w:rFonts w:hint="cs"/>
          <w:rtl/>
        </w:rPr>
        <w:t>"</w:t>
      </w:r>
      <w:r>
        <w:rPr>
          <w:rFonts w:hint="cs"/>
          <w:sz w:val="18"/>
          <w:szCs w:val="20"/>
          <w:rtl/>
        </w:rPr>
        <w:t xml:space="preserve">, </w:t>
      </w:r>
      <w:r>
        <w:rPr>
          <w:sz w:val="18"/>
          <w:szCs w:val="20"/>
          <w:rtl/>
        </w:rPr>
        <w:t>כתובות סז</w:t>
      </w:r>
      <w:r>
        <w:rPr>
          <w:rFonts w:hint="cs"/>
          <w:sz w:val="18"/>
          <w:szCs w:val="20"/>
          <w:rtl/>
        </w:rPr>
        <w:t xml:space="preserve">, </w:t>
      </w:r>
      <w:r>
        <w:rPr>
          <w:sz w:val="18"/>
          <w:szCs w:val="20"/>
          <w:rtl/>
        </w:rPr>
        <w:t>א</w:t>
      </w:r>
      <w:r>
        <w:rPr>
          <w:rFonts w:hint="cs"/>
          <w:rtl/>
        </w:rPr>
        <w:t>), והן במשמעות של שבירה מופשטת, כלומר קושיא או סתירה ("</w:t>
      </w:r>
      <w:r>
        <w:rPr>
          <w:rtl/>
        </w:rPr>
        <w:t>פריך רב אחאי</w:t>
      </w:r>
      <w:r>
        <w:rPr>
          <w:rFonts w:hint="cs"/>
          <w:rtl/>
        </w:rPr>
        <w:t>", "</w:t>
      </w:r>
      <w:r>
        <w:rPr>
          <w:rtl/>
        </w:rPr>
        <w:t>פירכא</w:t>
      </w:r>
      <w:r>
        <w:rPr>
          <w:rFonts w:hint="cs"/>
          <w:rtl/>
        </w:rPr>
        <w:t>").</w:t>
      </w:r>
    </w:p>
  </w:footnote>
  <w:footnote w:id="199">
    <w:p w14:paraId="5C2F1E4A" w14:textId="77777777" w:rsidR="00273399" w:rsidRDefault="00273399" w:rsidP="00273399">
      <w:pPr>
        <w:pStyle w:val="a5"/>
        <w:rPr>
          <w:rtl/>
        </w:rPr>
      </w:pPr>
      <w:r>
        <w:rPr>
          <w:rStyle w:val="a4"/>
          <w:rtl/>
        </w:rPr>
        <w:footnoteRef/>
      </w:r>
      <w:r>
        <w:rPr>
          <w:szCs w:val="22"/>
        </w:rPr>
        <w:t xml:space="preserve"> </w:t>
      </w:r>
      <w:r>
        <w:rPr>
          <w:rFonts w:hint="cs"/>
          <w:rtl/>
        </w:rPr>
        <w:t>"</w:t>
      </w:r>
      <w:r>
        <w:rPr>
          <w:rtl/>
        </w:rPr>
        <w:t>וַיַּעֲבִדוּ מִצְרַיִם אֶת בְּנֵי יִשְׂרָאֵל בְּפָרֶךְ</w:t>
      </w:r>
      <w:r>
        <w:rPr>
          <w:rFonts w:hint="cs"/>
          <w:rtl/>
        </w:rPr>
        <w:t>" (</w:t>
      </w:r>
      <w:r>
        <w:rPr>
          <w:sz w:val="18"/>
          <w:szCs w:val="20"/>
          <w:rtl/>
        </w:rPr>
        <w:t>שמות א</w:t>
      </w:r>
      <w:r>
        <w:rPr>
          <w:rFonts w:hint="cs"/>
          <w:sz w:val="18"/>
          <w:szCs w:val="20"/>
          <w:rtl/>
        </w:rPr>
        <w:t xml:space="preserve">, </w:t>
      </w:r>
      <w:r>
        <w:rPr>
          <w:sz w:val="18"/>
          <w:szCs w:val="20"/>
          <w:rtl/>
        </w:rPr>
        <w:t>יג</w:t>
      </w:r>
      <w:r>
        <w:rPr>
          <w:rFonts w:hint="cs"/>
          <w:rtl/>
        </w:rPr>
        <w:t xml:space="preserve">). </w:t>
      </w:r>
      <w:r>
        <w:rPr>
          <w:rtl/>
        </w:rPr>
        <w:t>רש"י</w:t>
      </w:r>
      <w:r>
        <w:rPr>
          <w:rFonts w:hint="cs"/>
          <w:rtl/>
        </w:rPr>
        <w:t>: "</w:t>
      </w:r>
      <w:r>
        <w:rPr>
          <w:rtl/>
        </w:rPr>
        <w:t>בפרך - בעבודה קשה</w:t>
      </w:r>
      <w:r>
        <w:rPr>
          <w:rFonts w:hint="cs"/>
          <w:rtl/>
        </w:rPr>
        <w:t>,</w:t>
      </w:r>
      <w:r>
        <w:rPr>
          <w:rtl/>
        </w:rPr>
        <w:t xml:space="preserve"> המפרכת</w:t>
      </w:r>
      <w:r>
        <w:rPr>
          <w:rFonts w:hint="cs"/>
          <w:rtl/>
        </w:rPr>
        <w:t xml:space="preserve"> </w:t>
      </w:r>
      <w:r>
        <w:rPr>
          <w:rtl/>
        </w:rPr>
        <w:t>את הגוף ומשברתו</w:t>
      </w:r>
      <w:r>
        <w:rPr>
          <w:rFonts w:hint="cs"/>
          <w:rtl/>
        </w:rPr>
        <w:t xml:space="preserve">". וכ"כ שם </w:t>
      </w:r>
      <w:r>
        <w:rPr>
          <w:rtl/>
        </w:rPr>
        <w:t>רשב"ם</w:t>
      </w:r>
      <w:r>
        <w:rPr>
          <w:rFonts w:hint="cs"/>
          <w:rtl/>
        </w:rPr>
        <w:t>: "</w:t>
      </w:r>
      <w:r>
        <w:rPr>
          <w:rtl/>
        </w:rPr>
        <w:t>בפרך - לשון שברון הוא. בתלמוד</w:t>
      </w:r>
      <w:r>
        <w:rPr>
          <w:rFonts w:hint="cs"/>
          <w:rtl/>
        </w:rPr>
        <w:t>:</w:t>
      </w:r>
      <w:r>
        <w:rPr>
          <w:rtl/>
        </w:rPr>
        <w:t xml:space="preserve"> מפרכין באגוזים</w:t>
      </w:r>
      <w:r>
        <w:rPr>
          <w:rFonts w:hint="cs"/>
          <w:rtl/>
        </w:rPr>
        <w:t xml:space="preserve">". מובאה תלמודית זו איננה קיימת בדפוסים שלנו. יתכן שגרס כך להלן </w:t>
      </w:r>
      <w:r>
        <w:rPr>
          <w:rFonts w:hint="cs"/>
          <w:sz w:val="18"/>
          <w:szCs w:val="20"/>
          <w:rtl/>
        </w:rPr>
        <w:t xml:space="preserve">דף </w:t>
      </w:r>
      <w:r>
        <w:rPr>
          <w:sz w:val="18"/>
          <w:szCs w:val="20"/>
          <w:rtl/>
        </w:rPr>
        <w:t>קטו</w:t>
      </w:r>
      <w:r>
        <w:rPr>
          <w:rFonts w:hint="cs"/>
          <w:sz w:val="18"/>
          <w:szCs w:val="20"/>
          <w:rtl/>
        </w:rPr>
        <w:t xml:space="preserve">, </w:t>
      </w:r>
      <w:r>
        <w:rPr>
          <w:sz w:val="18"/>
          <w:szCs w:val="20"/>
          <w:rtl/>
        </w:rPr>
        <w:t>א</w:t>
      </w:r>
      <w:r>
        <w:rPr>
          <w:rFonts w:hint="cs"/>
          <w:sz w:val="18"/>
          <w:szCs w:val="20"/>
          <w:rtl/>
        </w:rPr>
        <w:t xml:space="preserve"> </w:t>
      </w:r>
      <w:r>
        <w:rPr>
          <w:rFonts w:hint="cs"/>
          <w:rtl/>
        </w:rPr>
        <w:t>שם נדפס "</w:t>
      </w:r>
      <w:r>
        <w:rPr>
          <w:rtl/>
        </w:rPr>
        <w:t>מפצעין באגוזים</w:t>
      </w:r>
      <w:r>
        <w:rPr>
          <w:rFonts w:hint="cs"/>
          <w:rtl/>
        </w:rPr>
        <w:t xml:space="preserve"> </w:t>
      </w:r>
      <w:r>
        <w:rPr>
          <w:rtl/>
        </w:rPr>
        <w:t>ומפרכסין ברימונים</w:t>
      </w:r>
      <w:r>
        <w:rPr>
          <w:rFonts w:hint="cs"/>
          <w:rtl/>
        </w:rPr>
        <w:t>", וי"ג: "</w:t>
      </w:r>
      <w:r>
        <w:rPr>
          <w:rtl/>
        </w:rPr>
        <w:t>ומפרכין ברמונים</w:t>
      </w:r>
      <w:r>
        <w:rPr>
          <w:rFonts w:hint="cs"/>
          <w:rtl/>
        </w:rPr>
        <w:t>" (</w:t>
      </w:r>
      <w:r>
        <w:rPr>
          <w:rFonts w:hint="cs"/>
          <w:sz w:val="18"/>
          <w:szCs w:val="20"/>
          <w:rtl/>
        </w:rPr>
        <w:t>ר"ח וילק"ש</w:t>
      </w:r>
      <w:r>
        <w:rPr>
          <w:rFonts w:hint="cs"/>
          <w:rtl/>
        </w:rPr>
        <w:t>). שורש זה מצוי בלשון חכמים במקומות נוספים, כגון בב</w:t>
      </w:r>
      <w:r>
        <w:rPr>
          <w:rtl/>
        </w:rPr>
        <w:t>כורות פ</w:t>
      </w:r>
      <w:r>
        <w:rPr>
          <w:rFonts w:hint="cs"/>
          <w:rtl/>
        </w:rPr>
        <w:t>"</w:t>
      </w:r>
      <w:r>
        <w:rPr>
          <w:rtl/>
        </w:rPr>
        <w:t>ו מ</w:t>
      </w:r>
      <w:r>
        <w:rPr>
          <w:rFonts w:hint="cs"/>
          <w:rtl/>
        </w:rPr>
        <w:t>"</w:t>
      </w:r>
      <w:r>
        <w:rPr>
          <w:rtl/>
        </w:rPr>
        <w:t xml:space="preserve">א </w:t>
      </w:r>
      <w:r>
        <w:rPr>
          <w:rFonts w:hint="cs"/>
          <w:rtl/>
        </w:rPr>
        <w:t>"</w:t>
      </w:r>
      <w:r>
        <w:rPr>
          <w:rtl/>
        </w:rPr>
        <w:t>יבשה שתהא נפרכת</w:t>
      </w:r>
      <w:r>
        <w:rPr>
          <w:rFonts w:hint="cs"/>
          <w:rtl/>
        </w:rPr>
        <w:t xml:space="preserve">", ובבבלי </w:t>
      </w:r>
      <w:r>
        <w:rPr>
          <w:sz w:val="18"/>
          <w:szCs w:val="20"/>
          <w:rtl/>
        </w:rPr>
        <w:t>ראש השנה יג</w:t>
      </w:r>
      <w:r>
        <w:rPr>
          <w:rFonts w:hint="cs"/>
          <w:sz w:val="18"/>
          <w:szCs w:val="20"/>
          <w:rtl/>
        </w:rPr>
        <w:t xml:space="preserve">, </w:t>
      </w:r>
      <w:r>
        <w:rPr>
          <w:sz w:val="18"/>
          <w:szCs w:val="20"/>
          <w:rtl/>
        </w:rPr>
        <w:t>ב</w:t>
      </w:r>
      <w:r>
        <w:rPr>
          <w:rFonts w:hint="cs"/>
          <w:rtl/>
        </w:rPr>
        <w:t>: "</w:t>
      </w:r>
      <w:r>
        <w:rPr>
          <w:rtl/>
        </w:rPr>
        <w:t>שעשויין פרכין פרכין</w:t>
      </w:r>
      <w:r>
        <w:rPr>
          <w:rFonts w:hint="cs"/>
          <w:rtl/>
        </w:rPr>
        <w:t>". מכאן קצרה הדרך לשם התואר "פריך" שבלשון ימינו.</w:t>
      </w:r>
    </w:p>
  </w:footnote>
  <w:footnote w:id="200">
    <w:p w14:paraId="16A9E868" w14:textId="77777777" w:rsidR="00273399" w:rsidRDefault="00273399" w:rsidP="00273399">
      <w:pPr>
        <w:pStyle w:val="a5"/>
        <w:rPr>
          <w:rFonts w:hint="cs"/>
          <w:rtl/>
        </w:rPr>
      </w:pPr>
      <w:r>
        <w:rPr>
          <w:rStyle w:val="a4"/>
        </w:rPr>
        <w:footnoteRef/>
      </w:r>
      <w:r>
        <w:rPr>
          <w:rFonts w:hint="cs"/>
          <w:rtl/>
        </w:rPr>
        <w:t xml:space="preserve"> ה</w:t>
      </w:r>
      <w:r>
        <w:rPr>
          <w:rFonts w:hint="cs"/>
          <w:sz w:val="14"/>
          <w:rtl/>
        </w:rPr>
        <w:t>ערוך (</w:t>
      </w:r>
      <w:r>
        <w:rPr>
          <w:rFonts w:hint="cs"/>
          <w:sz w:val="18"/>
          <w:szCs w:val="20"/>
          <w:rtl/>
        </w:rPr>
        <w:t>ערך פכר השני</w:t>
      </w:r>
      <w:r>
        <w:rPr>
          <w:rFonts w:hint="cs"/>
          <w:sz w:val="14"/>
          <w:rtl/>
        </w:rPr>
        <w:t xml:space="preserve">) וכן </w:t>
      </w:r>
      <w:r>
        <w:rPr>
          <w:rFonts w:ascii="Arial" w:hAnsi="Arial" w:hint="cs"/>
          <w:rtl/>
        </w:rPr>
        <w:t xml:space="preserve">פרופ' </w:t>
      </w:r>
      <w:r>
        <w:rPr>
          <w:rFonts w:ascii="Arial" w:hAnsi="Arial" w:hint="eastAsia"/>
          <w:rtl/>
        </w:rPr>
        <w:t>מיכאל</w:t>
      </w:r>
      <w:r>
        <w:rPr>
          <w:rFonts w:ascii="Arial" w:hAnsi="Arial"/>
          <w:rtl/>
        </w:rPr>
        <w:t xml:space="preserve"> </w:t>
      </w:r>
      <w:r>
        <w:rPr>
          <w:rFonts w:hint="cs"/>
          <w:rtl/>
        </w:rPr>
        <w:t>סוקולוף (</w:t>
      </w:r>
      <w:r>
        <w:rPr>
          <w:rFonts w:hint="cs"/>
          <w:sz w:val="20"/>
          <w:szCs w:val="20"/>
          <w:rtl/>
        </w:rPr>
        <w:t>במילונו לארמית א"י, עמ' 433</w:t>
      </w:r>
      <w:r>
        <w:rPr>
          <w:rFonts w:hint="cs"/>
          <w:rtl/>
        </w:rPr>
        <w:t>) מביאים תרגומים משורש זה למִלים: "</w:t>
      </w:r>
      <w:r>
        <w:rPr>
          <w:rtl/>
        </w:rPr>
        <w:t>הָרֵס</w:t>
      </w:r>
      <w:r>
        <w:rPr>
          <w:rFonts w:hint="cs"/>
          <w:rtl/>
        </w:rPr>
        <w:t>" (</w:t>
      </w:r>
      <w:r>
        <w:rPr>
          <w:sz w:val="18"/>
          <w:szCs w:val="20"/>
          <w:rtl/>
        </w:rPr>
        <w:t>שמות כג</w:t>
      </w:r>
      <w:r>
        <w:rPr>
          <w:rFonts w:hint="cs"/>
          <w:sz w:val="18"/>
          <w:szCs w:val="20"/>
          <w:rtl/>
        </w:rPr>
        <w:t xml:space="preserve">, </w:t>
      </w:r>
      <w:r>
        <w:rPr>
          <w:sz w:val="18"/>
          <w:szCs w:val="20"/>
          <w:rtl/>
        </w:rPr>
        <w:t>כד</w:t>
      </w:r>
      <w:r>
        <w:rPr>
          <w:rtl/>
        </w:rPr>
        <w:t>)</w:t>
      </w:r>
      <w:r>
        <w:rPr>
          <w:rFonts w:hint="cs"/>
          <w:rtl/>
        </w:rPr>
        <w:t>, "</w:t>
      </w:r>
      <w:r>
        <w:rPr>
          <w:rtl/>
        </w:rPr>
        <w:t>פָּרְקוּ</w:t>
      </w:r>
      <w:r>
        <w:rPr>
          <w:rFonts w:hint="cs"/>
          <w:rtl/>
        </w:rPr>
        <w:t>" (</w:t>
      </w:r>
      <w:r>
        <w:rPr>
          <w:sz w:val="18"/>
          <w:szCs w:val="20"/>
          <w:rtl/>
        </w:rPr>
        <w:t>שמות לב</w:t>
      </w:r>
      <w:r>
        <w:rPr>
          <w:rFonts w:hint="cs"/>
          <w:sz w:val="18"/>
          <w:szCs w:val="20"/>
          <w:rtl/>
        </w:rPr>
        <w:t xml:space="preserve">, </w:t>
      </w:r>
      <w:r>
        <w:rPr>
          <w:sz w:val="18"/>
          <w:szCs w:val="20"/>
          <w:rtl/>
        </w:rPr>
        <w:t>ב</w:t>
      </w:r>
      <w:r>
        <w:rPr>
          <w:rFonts w:hint="cs"/>
          <w:rtl/>
        </w:rPr>
        <w:t>),</w:t>
      </w:r>
      <w:r>
        <w:rPr>
          <w:rtl/>
        </w:rPr>
        <w:t xml:space="preserve"> </w:t>
      </w:r>
      <w:r>
        <w:rPr>
          <w:rFonts w:hint="cs"/>
          <w:rtl/>
        </w:rPr>
        <w:t>ו"</w:t>
      </w:r>
      <w:r>
        <w:rPr>
          <w:rtl/>
        </w:rPr>
        <w:t>לִפְרוֹץ</w:t>
      </w:r>
      <w:r>
        <w:rPr>
          <w:rFonts w:hint="cs"/>
          <w:rtl/>
        </w:rPr>
        <w:t>"</w:t>
      </w:r>
      <w:r>
        <w:rPr>
          <w:rtl/>
        </w:rPr>
        <w:t xml:space="preserve"> </w:t>
      </w:r>
      <w:r>
        <w:rPr>
          <w:rFonts w:hint="cs"/>
          <w:rtl/>
        </w:rPr>
        <w:t>(</w:t>
      </w:r>
      <w:r>
        <w:rPr>
          <w:sz w:val="18"/>
          <w:szCs w:val="20"/>
          <w:rtl/>
        </w:rPr>
        <w:t>קהלת ג</w:t>
      </w:r>
      <w:r>
        <w:rPr>
          <w:rFonts w:hint="cs"/>
          <w:sz w:val="18"/>
          <w:szCs w:val="20"/>
          <w:rtl/>
        </w:rPr>
        <w:t xml:space="preserve">, </w:t>
      </w:r>
      <w:r>
        <w:rPr>
          <w:sz w:val="18"/>
          <w:szCs w:val="20"/>
          <w:rtl/>
        </w:rPr>
        <w:t>ג</w:t>
      </w:r>
      <w:r>
        <w:rPr>
          <w:rFonts w:hint="cs"/>
          <w:rtl/>
        </w:rPr>
        <w:t>).</w:t>
      </w:r>
    </w:p>
  </w:footnote>
  <w:footnote w:id="201">
    <w:p w14:paraId="0F45AA5C" w14:textId="77777777" w:rsidR="00273399" w:rsidRDefault="00273399" w:rsidP="00273399">
      <w:pPr>
        <w:pStyle w:val="a5"/>
        <w:rPr>
          <w:rFonts w:hint="cs"/>
          <w:rtl/>
        </w:rPr>
      </w:pPr>
      <w:r>
        <w:rPr>
          <w:rStyle w:val="a4"/>
          <w:rtl/>
        </w:rPr>
        <w:footnoteRef/>
      </w:r>
      <w:r>
        <w:rPr>
          <w:szCs w:val="22"/>
        </w:rPr>
        <w:t xml:space="preserve"> </w:t>
      </w:r>
      <w:r>
        <w:rPr>
          <w:rFonts w:hint="cs"/>
          <w:rtl/>
        </w:rPr>
        <w:t xml:space="preserve">מקור זה מובא ע"י </w:t>
      </w:r>
      <w:r>
        <w:rPr>
          <w:rFonts w:hint="eastAsia"/>
          <w:rtl/>
        </w:rPr>
        <w:t>ר</w:t>
      </w:r>
      <w:r>
        <w:rPr>
          <w:rFonts w:hint="cs"/>
          <w:rtl/>
        </w:rPr>
        <w:t>בי</w:t>
      </w:r>
      <w:r>
        <w:rPr>
          <w:rtl/>
        </w:rPr>
        <w:t xml:space="preserve"> נתן </w:t>
      </w:r>
      <w:r>
        <w:rPr>
          <w:rFonts w:hint="eastAsia"/>
          <w:rtl/>
        </w:rPr>
        <w:t>מרומא</w:t>
      </w:r>
      <w:r>
        <w:rPr>
          <w:rtl/>
        </w:rPr>
        <w:t xml:space="preserve"> </w:t>
      </w:r>
      <w:r>
        <w:rPr>
          <w:rFonts w:hint="cs"/>
          <w:rtl/>
        </w:rPr>
        <w:t xml:space="preserve">יחד עם מקורות נוספים (כגון </w:t>
      </w:r>
      <w:r>
        <w:rPr>
          <w:rtl/>
        </w:rPr>
        <w:t>בראשית רבה</w:t>
      </w:r>
      <w:r>
        <w:rPr>
          <w:sz w:val="18"/>
          <w:szCs w:val="20"/>
          <w:rtl/>
        </w:rPr>
        <w:t>, פרשה ס</w:t>
      </w:r>
      <w:r>
        <w:rPr>
          <w:rFonts w:hint="cs"/>
          <w:sz w:val="18"/>
          <w:szCs w:val="20"/>
          <w:rtl/>
        </w:rPr>
        <w:t>"</w:t>
      </w:r>
      <w:r>
        <w:rPr>
          <w:sz w:val="18"/>
          <w:szCs w:val="20"/>
          <w:rtl/>
        </w:rPr>
        <w:t>ז</w:t>
      </w:r>
      <w:r>
        <w:rPr>
          <w:rFonts w:hint="cs"/>
          <w:sz w:val="18"/>
          <w:szCs w:val="20"/>
          <w:rtl/>
        </w:rPr>
        <w:t xml:space="preserve"> </w:t>
      </w:r>
      <w:r>
        <w:rPr>
          <w:rFonts w:hint="cs"/>
          <w:rtl/>
        </w:rPr>
        <w:t>ו</w:t>
      </w:r>
      <w:r>
        <w:rPr>
          <w:rtl/>
        </w:rPr>
        <w:t xml:space="preserve">איכה רבה </w:t>
      </w:r>
      <w:r>
        <w:rPr>
          <w:sz w:val="18"/>
          <w:szCs w:val="20"/>
          <w:rtl/>
        </w:rPr>
        <w:t>פרשה ה</w:t>
      </w:r>
      <w:r>
        <w:rPr>
          <w:rFonts w:hint="cs"/>
          <w:sz w:val="18"/>
          <w:szCs w:val="20"/>
          <w:rtl/>
        </w:rPr>
        <w:t xml:space="preserve">', </w:t>
      </w:r>
      <w:r>
        <w:rPr>
          <w:sz w:val="18"/>
          <w:szCs w:val="20"/>
          <w:rtl/>
        </w:rPr>
        <w:t xml:space="preserve">לפי </w:t>
      </w:r>
      <w:r>
        <w:rPr>
          <w:rFonts w:hint="cs"/>
          <w:sz w:val="18"/>
          <w:szCs w:val="20"/>
          <w:rtl/>
        </w:rPr>
        <w:t xml:space="preserve">נוסח </w:t>
      </w:r>
      <w:r>
        <w:rPr>
          <w:sz w:val="18"/>
          <w:szCs w:val="20"/>
          <w:rtl/>
        </w:rPr>
        <w:t>מהדורת ר"ש בובר</w:t>
      </w:r>
      <w:r>
        <w:rPr>
          <w:rFonts w:hint="cs"/>
          <w:rtl/>
        </w:rPr>
        <w:t xml:space="preserve">) </w:t>
      </w:r>
      <w:r>
        <w:rPr>
          <w:rtl/>
        </w:rPr>
        <w:t>ב</w:t>
      </w:r>
      <w:r>
        <w:rPr>
          <w:rFonts w:hint="eastAsia"/>
          <w:rtl/>
        </w:rPr>
        <w:t>ערוך</w:t>
      </w:r>
      <w:r>
        <w:rPr>
          <w:rFonts w:hint="cs"/>
          <w:rtl/>
        </w:rPr>
        <w:t xml:space="preserve"> </w:t>
      </w:r>
      <w:r>
        <w:rPr>
          <w:rFonts w:hint="cs"/>
          <w:sz w:val="14"/>
          <w:rtl/>
        </w:rPr>
        <w:t xml:space="preserve">בערך פכר השני </w:t>
      </w:r>
      <w:r>
        <w:rPr>
          <w:rFonts w:hint="cs"/>
          <w:rtl/>
        </w:rPr>
        <w:t>במשמע שבירה</w:t>
      </w:r>
      <w:r>
        <w:rPr>
          <w:rtl/>
        </w:rPr>
        <w:t>.</w:t>
      </w:r>
      <w:r>
        <w:rPr>
          <w:rFonts w:hint="cs"/>
          <w:rtl/>
        </w:rPr>
        <w:t xml:space="preserve"> לעומת זאת, </w:t>
      </w:r>
      <w:r>
        <w:rPr>
          <w:rFonts w:hint="cs"/>
          <w:sz w:val="14"/>
          <w:rtl/>
        </w:rPr>
        <w:t xml:space="preserve">את סוגייתנו מביא הערוך בערך פכר הראשון יחד עם </w:t>
      </w:r>
      <w:r>
        <w:rPr>
          <w:sz w:val="14"/>
          <w:rtl/>
        </w:rPr>
        <w:t xml:space="preserve">תרגום משלי </w:t>
      </w:r>
      <w:r>
        <w:rPr>
          <w:sz w:val="18"/>
          <w:szCs w:val="20"/>
          <w:rtl/>
        </w:rPr>
        <w:t>ה, כב</w:t>
      </w:r>
      <w:r>
        <w:rPr>
          <w:rFonts w:hint="cs"/>
          <w:sz w:val="14"/>
          <w:rtl/>
        </w:rPr>
        <w:t xml:space="preserve"> "</w:t>
      </w:r>
      <w:r>
        <w:rPr>
          <w:sz w:val="14"/>
          <w:rtl/>
        </w:rPr>
        <w:t>עֲווֹנוֹתָיו יִלְכְּדֻנוֹ אֶת הָרָשָׁע וּבְחַבְלֵי חַטָּאתוֹ יִתָּמֵךְ</w:t>
      </w:r>
      <w:r>
        <w:rPr>
          <w:rFonts w:hint="cs"/>
          <w:sz w:val="14"/>
          <w:rtl/>
        </w:rPr>
        <w:t xml:space="preserve">" - "ובחבלי דחטוי </w:t>
      </w:r>
      <w:r>
        <w:rPr>
          <w:sz w:val="14"/>
          <w:rtl/>
        </w:rPr>
        <w:t>יתפכר</w:t>
      </w:r>
      <w:r>
        <w:rPr>
          <w:rFonts w:hint="cs"/>
          <w:sz w:val="14"/>
          <w:rtl/>
        </w:rPr>
        <w:t>", ואינו מפרש. ההפרדה לשני ערכים יכולה ללמד כי לדעת הערוך אין לפרש ש"</w:t>
      </w:r>
      <w:r>
        <w:rPr>
          <w:b/>
          <w:bCs/>
          <w:rtl/>
        </w:rPr>
        <w:t>פ</w:t>
      </w:r>
      <w:r>
        <w:rPr>
          <w:rFonts w:hint="cs"/>
          <w:b/>
          <w:bCs/>
          <w:rtl/>
        </w:rPr>
        <w:t>ָ</w:t>
      </w:r>
      <w:r>
        <w:rPr>
          <w:b/>
          <w:bCs/>
          <w:rtl/>
        </w:rPr>
        <w:t>כ</w:t>
      </w:r>
      <w:r>
        <w:rPr>
          <w:rFonts w:hint="cs"/>
          <w:b/>
          <w:bCs/>
          <w:rtl/>
        </w:rPr>
        <w:t>ַ</w:t>
      </w:r>
      <w:r>
        <w:rPr>
          <w:b/>
          <w:bCs/>
          <w:rtl/>
        </w:rPr>
        <w:t>ר</w:t>
      </w:r>
      <w:r>
        <w:rPr>
          <w:rtl/>
        </w:rPr>
        <w:t xml:space="preserve"> י</w:t>
      </w:r>
      <w:r>
        <w:rPr>
          <w:rFonts w:hint="cs"/>
          <w:rtl/>
        </w:rPr>
        <w:t>ְ</w:t>
      </w:r>
      <w:r>
        <w:rPr>
          <w:rtl/>
        </w:rPr>
        <w:t>ד</w:t>
      </w:r>
      <w:r>
        <w:rPr>
          <w:rFonts w:hint="cs"/>
          <w:rtl/>
        </w:rPr>
        <w:t>ֵ</w:t>
      </w:r>
      <w:r>
        <w:rPr>
          <w:rtl/>
        </w:rPr>
        <w:t>יה</w:t>
      </w:r>
      <w:r>
        <w:rPr>
          <w:rFonts w:hint="cs"/>
          <w:rtl/>
        </w:rPr>
        <w:t>ּ"</w:t>
      </w:r>
      <w:r>
        <w:rPr>
          <w:rtl/>
        </w:rPr>
        <w:t xml:space="preserve"> </w:t>
      </w:r>
      <w:r>
        <w:rPr>
          <w:rFonts w:hint="cs"/>
          <w:sz w:val="14"/>
          <w:rtl/>
        </w:rPr>
        <w:t>הוא לשון שבירה. מהחיבור עם "</w:t>
      </w:r>
      <w:r>
        <w:rPr>
          <w:sz w:val="14"/>
          <w:rtl/>
        </w:rPr>
        <w:t>יתפכר</w:t>
      </w:r>
      <w:r>
        <w:rPr>
          <w:rFonts w:hint="cs"/>
          <w:sz w:val="14"/>
          <w:rtl/>
        </w:rPr>
        <w:t xml:space="preserve">" משמע שמדובר בהסתבכות ופיתול.  </w:t>
      </w:r>
    </w:p>
  </w:footnote>
  <w:footnote w:id="202">
    <w:p w14:paraId="7EA55752" w14:textId="77777777" w:rsidR="00273399" w:rsidRDefault="00273399" w:rsidP="00273399">
      <w:pPr>
        <w:pStyle w:val="a5"/>
        <w:rPr>
          <w:rFonts w:hint="cs"/>
          <w:rtl/>
        </w:rPr>
      </w:pPr>
      <w:r>
        <w:rPr>
          <w:rStyle w:val="a4"/>
          <w:rtl/>
        </w:rPr>
        <w:footnoteRef/>
      </w:r>
      <w:r>
        <w:rPr>
          <w:szCs w:val="22"/>
        </w:rPr>
        <w:t xml:space="preserve"> </w:t>
      </w:r>
      <w:r>
        <w:rPr>
          <w:rFonts w:hint="cs"/>
          <w:rtl/>
        </w:rPr>
        <w:t>וכ"כ מו"ר ה</w:t>
      </w:r>
      <w:r>
        <w:rPr>
          <w:rFonts w:hint="cs"/>
          <w:sz w:val="14"/>
          <w:rtl/>
        </w:rPr>
        <w:t xml:space="preserve">רב משה צוריאל </w:t>
      </w:r>
      <w:r>
        <w:rPr>
          <w:rFonts w:hint="cs"/>
          <w:sz w:val="18"/>
          <w:szCs w:val="20"/>
          <w:rtl/>
        </w:rPr>
        <w:t>בספרו אוצרות האגדה ובחיבורו שטרם ראה אור "לקט ביאורי אגדה"</w:t>
      </w:r>
      <w:r>
        <w:rPr>
          <w:rFonts w:hint="cs"/>
          <w:sz w:val="14"/>
          <w:rtl/>
        </w:rPr>
        <w:t xml:space="preserve">.  </w:t>
      </w:r>
    </w:p>
  </w:footnote>
  <w:footnote w:id="203">
    <w:p w14:paraId="2813E511" w14:textId="77777777" w:rsidR="00273399" w:rsidRDefault="00273399" w:rsidP="00273399">
      <w:pPr>
        <w:pStyle w:val="a5"/>
        <w:rPr>
          <w:rFonts w:hint="cs"/>
          <w:rtl/>
        </w:rPr>
      </w:pPr>
      <w:r>
        <w:rPr>
          <w:rStyle w:val="a4"/>
          <w:rtl/>
        </w:rPr>
        <w:footnoteRef/>
      </w:r>
      <w:r>
        <w:rPr>
          <w:szCs w:val="22"/>
        </w:rPr>
        <w:t xml:space="preserve"> </w:t>
      </w:r>
      <w:r>
        <w:rPr>
          <w:rFonts w:hint="cs"/>
          <w:rtl/>
        </w:rPr>
        <w:t xml:space="preserve">כך כתב </w:t>
      </w:r>
      <w:r>
        <w:rPr>
          <w:rtl/>
        </w:rPr>
        <w:t>ד"ר יצחק אבינרי (יד הלשון</w:t>
      </w:r>
      <w:r>
        <w:rPr>
          <w:sz w:val="18"/>
          <w:szCs w:val="20"/>
          <w:rtl/>
        </w:rPr>
        <w:t xml:space="preserve">, תל אביב תשכ"ה, עמ' </w:t>
      </w:r>
      <w:r>
        <w:rPr>
          <w:rFonts w:hint="cs"/>
          <w:sz w:val="18"/>
          <w:szCs w:val="20"/>
          <w:rtl/>
        </w:rPr>
        <w:t>465</w:t>
      </w:r>
      <w:r>
        <w:rPr>
          <w:rtl/>
        </w:rPr>
        <w:t xml:space="preserve">): </w:t>
      </w:r>
    </w:p>
    <w:p w14:paraId="1E4795D1" w14:textId="77777777" w:rsidR="00273399" w:rsidRDefault="00273399" w:rsidP="00273399">
      <w:pPr>
        <w:pStyle w:val="a7"/>
        <w:rPr>
          <w:rFonts w:ascii="Arial" w:hAnsi="Arial" w:cs="Arial" w:hint="cs"/>
          <w:rtl/>
        </w:rPr>
      </w:pPr>
      <w:r>
        <w:rPr>
          <w:rFonts w:ascii="Arial" w:hAnsi="Arial" w:cs="Arial"/>
          <w:rtl/>
        </w:rPr>
        <w:t>"</w:t>
      </w:r>
      <w:r>
        <w:rPr>
          <w:rFonts w:ascii="Arial" w:hAnsi="Arial" w:cs="Arial" w:hint="cs"/>
          <w:rtl/>
        </w:rPr>
        <w:t xml:space="preserve">יש </w:t>
      </w:r>
      <w:r>
        <w:rPr>
          <w:rFonts w:ascii="Arial" w:hAnsi="Arial" w:cs="Arial"/>
          <w:rtl/>
        </w:rPr>
        <w:t>טועים ו</w:t>
      </w:r>
      <w:r>
        <w:rPr>
          <w:rFonts w:ascii="Arial" w:hAnsi="Arial" w:cs="Arial" w:hint="cs"/>
          <w:rtl/>
        </w:rPr>
        <w:t>בין פכר לפרך מתחלף להם: 'פרצה בבכי ופירכה את ידיה' [במקום לכתוב 'פכרה'; אפ"ר]... פורך ומפרך הוא לשון שבירה... לא כן פוכר, שענינו חִבוק ושִלוב האצבעות מחמת צער. פֹעל זה מצוי בתלמוד בארמית ורמוז הוא במקרא בשם הפרטי '</w:t>
      </w:r>
      <w:r>
        <w:rPr>
          <w:rFonts w:ascii="Arial" w:hAnsi="Arial" w:cs="Arial"/>
          <w:rtl/>
        </w:rPr>
        <w:t>פֹּכֶרֶת הַצְּבָיִים</w:t>
      </w:r>
      <w:r>
        <w:rPr>
          <w:rFonts w:ascii="Arial" w:hAnsi="Arial" w:cs="Arial" w:hint="cs"/>
          <w:rtl/>
        </w:rPr>
        <w:t>' (</w:t>
      </w:r>
      <w:r>
        <w:rPr>
          <w:rFonts w:ascii="Arial" w:hAnsi="Arial" w:cs="Arial"/>
          <w:sz w:val="18"/>
          <w:szCs w:val="20"/>
          <w:rtl/>
        </w:rPr>
        <w:t>עזרא ב</w:t>
      </w:r>
      <w:r>
        <w:rPr>
          <w:rFonts w:ascii="Arial" w:hAnsi="Arial" w:cs="Arial" w:hint="cs"/>
          <w:sz w:val="18"/>
          <w:szCs w:val="20"/>
          <w:rtl/>
        </w:rPr>
        <w:t xml:space="preserve">, </w:t>
      </w:r>
      <w:r>
        <w:rPr>
          <w:rFonts w:ascii="Arial" w:hAnsi="Arial" w:cs="Arial"/>
          <w:sz w:val="18"/>
          <w:szCs w:val="20"/>
          <w:rtl/>
        </w:rPr>
        <w:t>נז</w:t>
      </w:r>
      <w:r>
        <w:rPr>
          <w:rFonts w:ascii="Arial" w:hAnsi="Arial" w:cs="Arial" w:hint="cs"/>
          <w:rtl/>
        </w:rPr>
        <w:t xml:space="preserve">). יתכן שהטועים נקטו לשון פרך בעקבות יידיש". </w:t>
      </w:r>
    </w:p>
    <w:p w14:paraId="3B4B4832" w14:textId="77777777" w:rsidR="00273399" w:rsidRDefault="00273399" w:rsidP="00273399">
      <w:pPr>
        <w:pStyle w:val="a5"/>
        <w:rPr>
          <w:rFonts w:hint="cs"/>
          <w:rtl/>
        </w:rPr>
      </w:pPr>
      <w:r>
        <w:rPr>
          <w:rFonts w:hint="cs"/>
          <w:rtl/>
        </w:rPr>
        <w:t>לאור האמור נראה כי אין כאן שום טעות. כבר חז"ל (בוודאי בני ארץ ישראל) ראו בשורשים אלו בני תמורה והחלפה.</w:t>
      </w:r>
    </w:p>
  </w:footnote>
  <w:footnote w:id="204">
    <w:p w14:paraId="521D74C3" w14:textId="77777777" w:rsidR="00273399" w:rsidRDefault="00273399" w:rsidP="00273399">
      <w:pPr>
        <w:pStyle w:val="a5"/>
        <w:rPr>
          <w:rtl/>
        </w:rPr>
      </w:pPr>
      <w:r>
        <w:rPr>
          <w:rStyle w:val="a4"/>
        </w:rPr>
        <w:footnoteRef/>
      </w:r>
      <w:r>
        <w:rPr>
          <w:rFonts w:hint="cs"/>
          <w:rtl/>
        </w:rPr>
        <w:t xml:space="preserve"> </w:t>
      </w:r>
      <w:r>
        <w:rPr>
          <w:rFonts w:hint="cs"/>
          <w:sz w:val="14"/>
          <w:rtl/>
        </w:rPr>
        <w:t>אמנם, יש מקום לדקדק בלשון הברייתא, שלא אמרה "</w:t>
      </w:r>
      <w:r>
        <w:rPr>
          <w:sz w:val="14"/>
          <w:rtl/>
        </w:rPr>
        <w:t>מי שהיה עוסק בתלמוד תורה והגיע זמן התפלה</w:t>
      </w:r>
      <w:r>
        <w:rPr>
          <w:rFonts w:hint="cs"/>
          <w:sz w:val="14"/>
          <w:rtl/>
        </w:rPr>
        <w:t>" (</w:t>
      </w:r>
      <w:r>
        <w:rPr>
          <w:rFonts w:hint="cs"/>
          <w:sz w:val="18"/>
          <w:szCs w:val="20"/>
          <w:rtl/>
        </w:rPr>
        <w:t>לשון ה</w:t>
      </w:r>
      <w:r>
        <w:rPr>
          <w:sz w:val="18"/>
          <w:szCs w:val="20"/>
          <w:rtl/>
        </w:rPr>
        <w:t xml:space="preserve">רמב"ם </w:t>
      </w:r>
      <w:r>
        <w:rPr>
          <w:rFonts w:hint="cs"/>
          <w:sz w:val="18"/>
          <w:szCs w:val="20"/>
          <w:rtl/>
        </w:rPr>
        <w:t>להלן</w:t>
      </w:r>
      <w:r>
        <w:rPr>
          <w:rFonts w:hint="cs"/>
          <w:sz w:val="14"/>
          <w:rtl/>
        </w:rPr>
        <w:t>), אלא דנה רק ב"</w:t>
      </w:r>
      <w:r>
        <w:rPr>
          <w:b/>
          <w:bCs/>
          <w:sz w:val="14"/>
          <w:rtl/>
        </w:rPr>
        <w:t>חברים</w:t>
      </w:r>
      <w:r>
        <w:rPr>
          <w:sz w:val="14"/>
          <w:rtl/>
        </w:rPr>
        <w:t xml:space="preserve"> שהיו עוסקין בתורה</w:t>
      </w:r>
      <w:r>
        <w:rPr>
          <w:rFonts w:hint="cs"/>
          <w:sz w:val="14"/>
          <w:rtl/>
        </w:rPr>
        <w:t>". וצ"ע מה פירוש "חבר" בהקשר זה, והאם בדווקא שנו בלשון רבים "</w:t>
      </w:r>
      <w:r>
        <w:rPr>
          <w:sz w:val="14"/>
          <w:rtl/>
        </w:rPr>
        <w:t>חברים</w:t>
      </w:r>
      <w:r>
        <w:rPr>
          <w:rFonts w:hint="cs"/>
          <w:sz w:val="14"/>
          <w:rtl/>
        </w:rPr>
        <w:t xml:space="preserve">". לאור </w:t>
      </w:r>
      <w:r>
        <w:rPr>
          <w:rFonts w:hint="cs"/>
          <w:rtl/>
        </w:rPr>
        <w:t>דברי רבי יוחנן (</w:t>
      </w:r>
      <w:r>
        <w:rPr>
          <w:sz w:val="18"/>
          <w:szCs w:val="20"/>
          <w:rtl/>
        </w:rPr>
        <w:t>בבא בתרא עה</w:t>
      </w:r>
      <w:r>
        <w:rPr>
          <w:rFonts w:hint="cs"/>
          <w:sz w:val="18"/>
          <w:szCs w:val="20"/>
          <w:rtl/>
        </w:rPr>
        <w:t xml:space="preserve">, </w:t>
      </w:r>
      <w:r>
        <w:rPr>
          <w:sz w:val="18"/>
          <w:szCs w:val="20"/>
          <w:rtl/>
        </w:rPr>
        <w:t>א</w:t>
      </w:r>
      <w:r>
        <w:rPr>
          <w:rFonts w:hint="cs"/>
          <w:rtl/>
        </w:rPr>
        <w:t xml:space="preserve"> </w:t>
      </w:r>
      <w:r>
        <w:rPr>
          <w:rFonts w:hint="cs"/>
          <w:sz w:val="18"/>
          <w:szCs w:val="20"/>
          <w:rtl/>
        </w:rPr>
        <w:t xml:space="preserve">ע"פ </w:t>
      </w:r>
      <w:r>
        <w:rPr>
          <w:sz w:val="18"/>
          <w:szCs w:val="20"/>
          <w:rtl/>
        </w:rPr>
        <w:t>שיר השירים ח</w:t>
      </w:r>
      <w:r>
        <w:rPr>
          <w:rFonts w:hint="cs"/>
          <w:sz w:val="18"/>
          <w:szCs w:val="20"/>
          <w:rtl/>
        </w:rPr>
        <w:t xml:space="preserve">, </w:t>
      </w:r>
      <w:r>
        <w:rPr>
          <w:sz w:val="18"/>
          <w:szCs w:val="20"/>
          <w:rtl/>
        </w:rPr>
        <w:t>יג</w:t>
      </w:r>
      <w:r>
        <w:rPr>
          <w:rtl/>
        </w:rPr>
        <w:t>)</w:t>
      </w:r>
      <w:r>
        <w:rPr>
          <w:rFonts w:hint="cs"/>
          <w:rtl/>
        </w:rPr>
        <w:t xml:space="preserve"> "</w:t>
      </w:r>
      <w:r>
        <w:rPr>
          <w:rtl/>
        </w:rPr>
        <w:t>אין חברים אלא תלמידי חכמים, שנאמר</w:t>
      </w:r>
      <w:r>
        <w:rPr>
          <w:rFonts w:hint="cs"/>
          <w:rtl/>
        </w:rPr>
        <w:t xml:space="preserve">... </w:t>
      </w:r>
      <w:r>
        <w:rPr>
          <w:rtl/>
        </w:rPr>
        <w:t>חֲבֵרִים מַקְשִׁיבִים</w:t>
      </w:r>
      <w:r>
        <w:rPr>
          <w:rFonts w:hint="cs"/>
          <w:rtl/>
        </w:rPr>
        <w:t xml:space="preserve">", ולאור לשון מסכת </w:t>
      </w:r>
      <w:r>
        <w:rPr>
          <w:rtl/>
        </w:rPr>
        <w:t xml:space="preserve">כלה </w:t>
      </w:r>
      <w:r>
        <w:rPr>
          <w:rFonts w:hint="cs"/>
          <w:rtl/>
        </w:rPr>
        <w:t>(</w:t>
      </w:r>
      <w:r>
        <w:rPr>
          <w:sz w:val="18"/>
          <w:szCs w:val="20"/>
          <w:rtl/>
        </w:rPr>
        <w:t>רבתי פרק ה</w:t>
      </w:r>
      <w:r>
        <w:rPr>
          <w:rFonts w:hint="cs"/>
          <w:sz w:val="18"/>
          <w:szCs w:val="20"/>
          <w:rtl/>
        </w:rPr>
        <w:t>'</w:t>
      </w:r>
      <w:r>
        <w:rPr>
          <w:rFonts w:hint="cs"/>
          <w:rtl/>
        </w:rPr>
        <w:t>) "</w:t>
      </w:r>
      <w:r>
        <w:rPr>
          <w:rtl/>
        </w:rPr>
        <w:t>למה אתה יושב לבדך ועוסק בתורה, אין דברי תורה מתקיימין אלא בחברים</w:t>
      </w:r>
      <w:r>
        <w:rPr>
          <w:rFonts w:hint="cs"/>
          <w:rtl/>
        </w:rPr>
        <w:t>" (</w:t>
      </w:r>
      <w:r>
        <w:rPr>
          <w:rFonts w:hint="cs"/>
          <w:sz w:val="18"/>
          <w:szCs w:val="20"/>
          <w:rtl/>
        </w:rPr>
        <w:t>וע"ע פיהמ"ש לרמב"ם ברכות פ"ד מ"ז ודמאי פ"ב מ"ג ופ"ו מ"ו; הר"י תמר, עלי תמר, ברכות, עמ' ט'</w:t>
      </w:r>
      <w:r>
        <w:rPr>
          <w:rFonts w:hint="cs"/>
          <w:rtl/>
        </w:rPr>
        <w:t>)</w:t>
      </w:r>
      <w:r>
        <w:rPr>
          <w:rFonts w:hint="cs"/>
          <w:sz w:val="18"/>
          <w:szCs w:val="20"/>
          <w:rtl/>
        </w:rPr>
        <w:t>,</w:t>
      </w:r>
      <w:r>
        <w:rPr>
          <w:rFonts w:hint="cs"/>
          <w:rtl/>
        </w:rPr>
        <w:t xml:space="preserve"> נראה לפרש לשון זו </w:t>
      </w:r>
      <w:r>
        <w:rPr>
          <w:rFonts w:hint="cs"/>
          <w:sz w:val="14"/>
          <w:rtl/>
        </w:rPr>
        <w:t xml:space="preserve">על כל </w:t>
      </w:r>
      <w:r>
        <w:rPr>
          <w:sz w:val="14"/>
          <w:rtl/>
        </w:rPr>
        <w:t>חבור</w:t>
      </w:r>
      <w:r>
        <w:rPr>
          <w:rFonts w:hint="cs"/>
          <w:sz w:val="14"/>
          <w:rtl/>
        </w:rPr>
        <w:t xml:space="preserve">ה של </w:t>
      </w:r>
      <w:r>
        <w:rPr>
          <w:sz w:val="14"/>
          <w:rtl/>
        </w:rPr>
        <w:t>לומדי תורה</w:t>
      </w:r>
      <w:r>
        <w:rPr>
          <w:rFonts w:hint="cs"/>
          <w:rtl/>
        </w:rPr>
        <w:t xml:space="preserve">, או על </w:t>
      </w:r>
      <w:r>
        <w:rPr>
          <w:rFonts w:hint="cs"/>
          <w:sz w:val="14"/>
          <w:rtl/>
        </w:rPr>
        <w:t>תלמידי חכמים הלומדים תורה בחברותא. בין כך ובין כך מוּצָא מכלל זה מי שיושב ועוסק בתורה ביחידות. ואכן כך דייק ה</w:t>
      </w:r>
      <w:r>
        <w:rPr>
          <w:rFonts w:hint="cs"/>
          <w:color w:val="000000"/>
          <w:rtl/>
        </w:rPr>
        <w:t xml:space="preserve">שפת אמת: "אפשר דוקא חבירים ביחד, דת"ת דרבים עדיף, אך משמעות הפוסקים אינו כן". את דיוקו הלשוני </w:t>
      </w:r>
      <w:r>
        <w:rPr>
          <w:rFonts w:hint="cs"/>
          <w:sz w:val="14"/>
          <w:rtl/>
        </w:rPr>
        <w:t>הוא מבטל בפני דברי הרא"</w:t>
      </w:r>
      <w:r>
        <w:rPr>
          <w:rFonts w:hint="cs"/>
          <w:color w:val="000000"/>
          <w:rtl/>
        </w:rPr>
        <w:t>ש (</w:t>
      </w:r>
      <w:r>
        <w:rPr>
          <w:color w:val="000000"/>
          <w:sz w:val="18"/>
          <w:szCs w:val="20"/>
          <w:rtl/>
        </w:rPr>
        <w:t>ברכות פ</w:t>
      </w:r>
      <w:r>
        <w:rPr>
          <w:rFonts w:hint="cs"/>
          <w:color w:val="000000"/>
          <w:sz w:val="18"/>
          <w:szCs w:val="20"/>
          <w:rtl/>
        </w:rPr>
        <w:t>"</w:t>
      </w:r>
      <w:r>
        <w:rPr>
          <w:color w:val="000000"/>
          <w:sz w:val="18"/>
          <w:szCs w:val="20"/>
          <w:rtl/>
        </w:rPr>
        <w:t>ב סימן ג</w:t>
      </w:r>
      <w:r>
        <w:rPr>
          <w:rFonts w:hint="cs"/>
          <w:color w:val="000000"/>
          <w:sz w:val="18"/>
          <w:szCs w:val="20"/>
          <w:rtl/>
        </w:rPr>
        <w:t>'</w:t>
      </w:r>
      <w:r>
        <w:rPr>
          <w:rFonts w:hint="cs"/>
          <w:color w:val="000000"/>
          <w:rtl/>
        </w:rPr>
        <w:t>) שנפסקו להלכה (</w:t>
      </w:r>
      <w:r>
        <w:rPr>
          <w:color w:val="000000"/>
          <w:sz w:val="18"/>
          <w:szCs w:val="20"/>
          <w:rtl/>
        </w:rPr>
        <w:t>בית יוסף או</w:t>
      </w:r>
      <w:r>
        <w:rPr>
          <w:rFonts w:hint="cs"/>
          <w:color w:val="000000"/>
          <w:sz w:val="18"/>
          <w:szCs w:val="20"/>
          <w:rtl/>
        </w:rPr>
        <w:t>"</w:t>
      </w:r>
      <w:r>
        <w:rPr>
          <w:color w:val="000000"/>
          <w:sz w:val="18"/>
          <w:szCs w:val="20"/>
          <w:rtl/>
        </w:rPr>
        <w:t>ח סימן ע</w:t>
      </w:r>
      <w:r>
        <w:rPr>
          <w:rFonts w:hint="cs"/>
          <w:color w:val="000000"/>
          <w:sz w:val="18"/>
          <w:szCs w:val="20"/>
          <w:rtl/>
        </w:rPr>
        <w:t xml:space="preserve">'; רמ"א שם </w:t>
      </w:r>
      <w:r>
        <w:rPr>
          <w:color w:val="000000"/>
          <w:sz w:val="18"/>
          <w:szCs w:val="20"/>
          <w:rtl/>
        </w:rPr>
        <w:t>ק</w:t>
      </w:r>
      <w:r>
        <w:rPr>
          <w:rFonts w:hint="cs"/>
          <w:color w:val="000000"/>
          <w:sz w:val="18"/>
          <w:szCs w:val="20"/>
          <w:rtl/>
        </w:rPr>
        <w:t>"</w:t>
      </w:r>
      <w:r>
        <w:rPr>
          <w:color w:val="000000"/>
          <w:sz w:val="18"/>
          <w:szCs w:val="20"/>
          <w:rtl/>
        </w:rPr>
        <w:t>ו</w:t>
      </w:r>
      <w:r>
        <w:rPr>
          <w:rFonts w:hint="cs"/>
          <w:color w:val="000000"/>
          <w:sz w:val="18"/>
          <w:szCs w:val="20"/>
          <w:rtl/>
        </w:rPr>
        <w:t>, סעיף ב'</w:t>
      </w:r>
      <w:r>
        <w:rPr>
          <w:rFonts w:hint="cs"/>
          <w:color w:val="000000"/>
          <w:sz w:val="26"/>
          <w:rtl/>
        </w:rPr>
        <w:t xml:space="preserve">). על מנת ליישב את הלשון עם שיטה זו, נראה לפרש שהריבוי "חברים" כוונתו לכלול </w:t>
      </w:r>
      <w:r>
        <w:rPr>
          <w:rFonts w:hint="cs"/>
          <w:b/>
          <w:bCs/>
          <w:color w:val="000000"/>
          <w:sz w:val="26"/>
          <w:rtl/>
        </w:rPr>
        <w:t>כל חבר</w:t>
      </w:r>
      <w:r>
        <w:rPr>
          <w:rFonts w:hint="cs"/>
          <w:color w:val="000000"/>
          <w:sz w:val="26"/>
          <w:rtl/>
        </w:rPr>
        <w:t xml:space="preserve"> הלומד תורה (גם בגפּו). </w:t>
      </w:r>
    </w:p>
  </w:footnote>
  <w:footnote w:id="205">
    <w:p w14:paraId="521D74C3" w14:textId="77777777" w:rsidR="00273399" w:rsidRDefault="00273399" w:rsidP="00273399">
      <w:pPr>
        <w:pStyle w:val="a5"/>
        <w:rPr>
          <w:rtl/>
        </w:rPr>
      </w:pPr>
    </w:p>
    <w:p w14:paraId="4F154B6F" w14:textId="77777777" w:rsidR="00273399" w:rsidRDefault="00273399" w:rsidP="00273399">
      <w:pPr>
        <w:pStyle w:val="a5"/>
        <w:rPr>
          <w:rFonts w:hint="cs"/>
          <w:rtl/>
        </w:rPr>
      </w:pPr>
      <w:r>
        <w:rPr>
          <w:rStyle w:val="a4"/>
          <w:rtl/>
        </w:rPr>
        <w:footnoteRef/>
      </w:r>
      <w:r>
        <w:rPr>
          <w:rFonts w:hint="cs"/>
          <w:rtl/>
        </w:rPr>
        <w:t xml:space="preserve"> </w:t>
      </w:r>
      <w:r>
        <w:rPr>
          <w:sz w:val="26"/>
          <w:rtl/>
        </w:rPr>
        <w:t>או</w:t>
      </w:r>
      <w:r>
        <w:rPr>
          <w:rFonts w:hint="cs"/>
          <w:sz w:val="26"/>
          <w:rtl/>
        </w:rPr>
        <w:t>"</w:t>
      </w:r>
      <w:r>
        <w:rPr>
          <w:sz w:val="26"/>
          <w:rtl/>
        </w:rPr>
        <w:t>ח סימן ק</w:t>
      </w:r>
      <w:r>
        <w:rPr>
          <w:rFonts w:hint="cs"/>
          <w:sz w:val="26"/>
          <w:rtl/>
        </w:rPr>
        <w:t>"</w:t>
      </w:r>
      <w:r>
        <w:rPr>
          <w:sz w:val="26"/>
          <w:rtl/>
        </w:rPr>
        <w:t>ו</w:t>
      </w:r>
      <w:r>
        <w:rPr>
          <w:rFonts w:hint="cs"/>
          <w:sz w:val="26"/>
          <w:rtl/>
        </w:rPr>
        <w:t xml:space="preserve"> (</w:t>
      </w:r>
      <w:r>
        <w:rPr>
          <w:rFonts w:hint="cs"/>
          <w:sz w:val="18"/>
          <w:szCs w:val="20"/>
          <w:rtl/>
        </w:rPr>
        <w:t>וע"ע תוספות יו"ט, לחם שמים ליעב"ץ וקרבן נתנאל אות ש'</w:t>
      </w:r>
      <w:r>
        <w:rPr>
          <w:rFonts w:hint="cs"/>
          <w:rtl/>
        </w:rPr>
        <w:t>).</w:t>
      </w:r>
    </w:p>
  </w:footnote>
  <w:footnote w:id="206">
    <w:p w14:paraId="7EFBBF0E" w14:textId="77777777" w:rsidR="00273399" w:rsidRDefault="00273399" w:rsidP="00273399">
      <w:pPr>
        <w:pStyle w:val="a5"/>
        <w:rPr>
          <w:rFonts w:hint="cs"/>
          <w:rtl/>
        </w:rPr>
      </w:pPr>
      <w:r>
        <w:rPr>
          <w:rStyle w:val="a4"/>
        </w:rPr>
        <w:footnoteRef/>
      </w:r>
      <w:r>
        <w:rPr>
          <w:rFonts w:hint="cs"/>
          <w:rtl/>
        </w:rPr>
        <w:t xml:space="preserve"> מקבילתה הארמית:</w:t>
      </w:r>
      <w:r>
        <w:rPr>
          <w:rtl/>
        </w:rPr>
        <w:t xml:space="preserve"> </w:t>
      </w:r>
      <w:r>
        <w:rPr>
          <w:rFonts w:hint="cs"/>
          <w:rtl/>
        </w:rPr>
        <w:t>"</w:t>
      </w:r>
      <w:r>
        <w:rPr>
          <w:rtl/>
        </w:rPr>
        <w:t>אומנתא</w:t>
      </w:r>
      <w:r>
        <w:rPr>
          <w:rFonts w:hint="cs"/>
          <w:rtl/>
        </w:rPr>
        <w:t>" (</w:t>
      </w:r>
      <w:r>
        <w:rPr>
          <w:rFonts w:hint="cs"/>
          <w:sz w:val="18"/>
          <w:szCs w:val="20"/>
          <w:rtl/>
        </w:rPr>
        <w:t xml:space="preserve">להלן </w:t>
      </w:r>
      <w:r>
        <w:rPr>
          <w:sz w:val="18"/>
          <w:szCs w:val="20"/>
          <w:rtl/>
        </w:rPr>
        <w:t>דף</w:t>
      </w:r>
    </w:p>
  </w:footnote>
  <w:footnote w:id="207">
    <w:p w14:paraId="7EFBBF0E" w14:textId="77777777" w:rsidR="00273399" w:rsidRDefault="00273399" w:rsidP="00273399">
      <w:pPr>
        <w:pStyle w:val="a5"/>
        <w:rPr>
          <w:rFonts w:hint="cs"/>
          <w:rtl/>
        </w:rPr>
      </w:pPr>
      <w:r>
        <w:rPr>
          <w:rFonts w:hint="cs"/>
          <w:sz w:val="18"/>
          <w:szCs w:val="20"/>
          <w:rtl/>
        </w:rPr>
        <w:t xml:space="preserve"> </w:t>
      </w:r>
      <w:r>
        <w:rPr>
          <w:sz w:val="18"/>
          <w:szCs w:val="20"/>
          <w:rtl/>
        </w:rPr>
        <w:t>קג</w:t>
      </w:r>
      <w:r>
        <w:rPr>
          <w:rFonts w:hint="cs"/>
          <w:sz w:val="18"/>
          <w:szCs w:val="20"/>
          <w:rtl/>
        </w:rPr>
        <w:t>,</w:t>
      </w:r>
      <w:r>
        <w:rPr>
          <w:sz w:val="18"/>
          <w:szCs w:val="20"/>
          <w:rtl/>
        </w:rPr>
        <w:t xml:space="preserve"> א</w:t>
      </w:r>
      <w:r>
        <w:rPr>
          <w:rFonts w:hint="cs"/>
          <w:sz w:val="18"/>
          <w:szCs w:val="20"/>
          <w:rtl/>
        </w:rPr>
        <w:t xml:space="preserve">; וראה תרגום </w:t>
      </w:r>
      <w:r>
        <w:rPr>
          <w:sz w:val="18"/>
          <w:szCs w:val="20"/>
          <w:rtl/>
        </w:rPr>
        <w:t xml:space="preserve">אונקלוס </w:t>
      </w:r>
      <w:r>
        <w:rPr>
          <w:rFonts w:hint="cs"/>
          <w:sz w:val="18"/>
          <w:szCs w:val="20"/>
          <w:rtl/>
        </w:rPr>
        <w:t>ל</w:t>
      </w:r>
      <w:r>
        <w:rPr>
          <w:sz w:val="18"/>
          <w:szCs w:val="20"/>
          <w:rtl/>
        </w:rPr>
        <w:t>שמות לה</w:t>
      </w:r>
      <w:r>
        <w:rPr>
          <w:rFonts w:hint="cs"/>
          <w:sz w:val="18"/>
          <w:szCs w:val="20"/>
          <w:rtl/>
        </w:rPr>
        <w:t xml:space="preserve">, </w:t>
      </w:r>
      <w:r>
        <w:rPr>
          <w:sz w:val="18"/>
          <w:szCs w:val="20"/>
          <w:rtl/>
        </w:rPr>
        <w:t>לג</w:t>
      </w:r>
      <w:r>
        <w:rPr>
          <w:rFonts w:hint="cs"/>
          <w:sz w:val="18"/>
          <w:szCs w:val="20"/>
          <w:rtl/>
        </w:rPr>
        <w:t>: "</w:t>
      </w:r>
      <w:r>
        <w:rPr>
          <w:sz w:val="18"/>
          <w:szCs w:val="20"/>
          <w:rtl/>
        </w:rPr>
        <w:t>וּבַ</w:t>
      </w:r>
      <w:r>
        <w:rPr>
          <w:b/>
          <w:bCs/>
          <w:sz w:val="18"/>
          <w:szCs w:val="20"/>
          <w:rtl/>
        </w:rPr>
        <w:t>חֲרֹשֶׁת</w:t>
      </w:r>
      <w:r>
        <w:rPr>
          <w:sz w:val="18"/>
          <w:szCs w:val="20"/>
          <w:rtl/>
        </w:rPr>
        <w:t xml:space="preserve"> אֶבֶן לְמַלֹּאת</w:t>
      </w:r>
      <w:r>
        <w:rPr>
          <w:rFonts w:hint="cs"/>
          <w:sz w:val="18"/>
          <w:szCs w:val="20"/>
          <w:rtl/>
        </w:rPr>
        <w:t>,</w:t>
      </w:r>
      <w:r>
        <w:rPr>
          <w:sz w:val="18"/>
          <w:szCs w:val="20"/>
          <w:rtl/>
        </w:rPr>
        <w:t xml:space="preserve"> </w:t>
      </w:r>
      <w:r>
        <w:rPr>
          <w:b/>
          <w:bCs/>
          <w:sz w:val="18"/>
          <w:szCs w:val="20"/>
          <w:rtl/>
        </w:rPr>
        <w:t>וּבַחֲרֹשֶׁת</w:t>
      </w:r>
      <w:r>
        <w:rPr>
          <w:sz w:val="18"/>
          <w:szCs w:val="20"/>
          <w:rtl/>
        </w:rPr>
        <w:t xml:space="preserve"> עֵץ</w:t>
      </w:r>
      <w:r>
        <w:rPr>
          <w:rFonts w:hint="cs"/>
          <w:sz w:val="18"/>
          <w:szCs w:val="20"/>
          <w:rtl/>
        </w:rPr>
        <w:t>,</w:t>
      </w:r>
      <w:r>
        <w:rPr>
          <w:sz w:val="18"/>
          <w:szCs w:val="20"/>
          <w:rtl/>
        </w:rPr>
        <w:t xml:space="preserve"> לַעֲשׂוֹת בְּכָל מְלֶאכֶת </w:t>
      </w:r>
      <w:r>
        <w:rPr>
          <w:b/>
          <w:bCs/>
          <w:sz w:val="18"/>
          <w:szCs w:val="20"/>
          <w:rtl/>
        </w:rPr>
        <w:t>מַחֲשָׁבֶת</w:t>
      </w:r>
      <w:r>
        <w:rPr>
          <w:rFonts w:hint="cs"/>
          <w:sz w:val="18"/>
          <w:szCs w:val="20"/>
          <w:rtl/>
        </w:rPr>
        <w:t>" - "</w:t>
      </w:r>
      <w:r>
        <w:rPr>
          <w:sz w:val="18"/>
          <w:szCs w:val="20"/>
          <w:rtl/>
        </w:rPr>
        <w:t>וב</w:t>
      </w:r>
      <w:r>
        <w:rPr>
          <w:b/>
          <w:bCs/>
          <w:sz w:val="18"/>
          <w:szCs w:val="20"/>
          <w:rtl/>
        </w:rPr>
        <w:t>אומנות</w:t>
      </w:r>
      <w:r>
        <w:rPr>
          <w:sz w:val="18"/>
          <w:szCs w:val="20"/>
          <w:rtl/>
        </w:rPr>
        <w:t xml:space="preserve"> אבן טבא לאשלמא</w:t>
      </w:r>
      <w:r>
        <w:rPr>
          <w:rFonts w:hint="cs"/>
          <w:sz w:val="18"/>
          <w:szCs w:val="20"/>
          <w:rtl/>
        </w:rPr>
        <w:t>,</w:t>
      </w:r>
      <w:r>
        <w:rPr>
          <w:sz w:val="18"/>
          <w:szCs w:val="20"/>
          <w:rtl/>
        </w:rPr>
        <w:t xml:space="preserve"> וב</w:t>
      </w:r>
      <w:r>
        <w:rPr>
          <w:b/>
          <w:bCs/>
          <w:sz w:val="18"/>
          <w:szCs w:val="20"/>
          <w:rtl/>
        </w:rPr>
        <w:t xml:space="preserve">נגרות </w:t>
      </w:r>
      <w:r>
        <w:rPr>
          <w:sz w:val="18"/>
          <w:szCs w:val="20"/>
          <w:rtl/>
        </w:rPr>
        <w:t>אעא</w:t>
      </w:r>
      <w:r>
        <w:rPr>
          <w:rFonts w:hint="cs"/>
          <w:sz w:val="18"/>
          <w:szCs w:val="20"/>
          <w:rtl/>
        </w:rPr>
        <w:t>,</w:t>
      </w:r>
      <w:r>
        <w:rPr>
          <w:sz w:val="18"/>
          <w:szCs w:val="20"/>
          <w:rtl/>
        </w:rPr>
        <w:t xml:space="preserve"> למעבד בכל עבידת </w:t>
      </w:r>
      <w:r>
        <w:rPr>
          <w:b/>
          <w:bCs/>
          <w:sz w:val="18"/>
          <w:szCs w:val="20"/>
          <w:rtl/>
        </w:rPr>
        <w:t>אומנון</w:t>
      </w:r>
      <w:r>
        <w:rPr>
          <w:rFonts w:hint="cs"/>
          <w:sz w:val="18"/>
          <w:szCs w:val="20"/>
          <w:rtl/>
        </w:rPr>
        <w:t>"</w:t>
      </w:r>
      <w:r>
        <w:rPr>
          <w:rFonts w:hint="cs"/>
          <w:rtl/>
        </w:rPr>
        <w:t>).</w:t>
      </w:r>
    </w:p>
    <w:p w14:paraId="1ADD8535" w14:textId="77777777" w:rsidR="00273399" w:rsidRDefault="00273399" w:rsidP="00273399">
      <w:pPr>
        <w:pStyle w:val="a5"/>
        <w:rPr>
          <w:rFonts w:hint="cs"/>
          <w:sz w:val="26"/>
          <w:rtl/>
        </w:rPr>
      </w:pPr>
      <w:r>
        <w:rPr>
          <w:rStyle w:val="a4"/>
          <w:rtl/>
        </w:rPr>
        <w:footnoteRef/>
      </w:r>
      <w:r>
        <w:rPr>
          <w:sz w:val="24"/>
        </w:rPr>
        <w:t xml:space="preserve"> </w:t>
      </w:r>
      <w:r>
        <w:rPr>
          <w:rFonts w:hint="cs"/>
          <w:sz w:val="26"/>
          <w:rtl/>
        </w:rPr>
        <w:t>נוסח שונה במעט: "</w:t>
      </w:r>
      <w:r>
        <w:rPr>
          <w:sz w:val="26"/>
          <w:rtl/>
        </w:rPr>
        <w:t xml:space="preserve">אי אפשר לעולם בלא בסם ובלא </w:t>
      </w:r>
      <w:r>
        <w:rPr>
          <w:b/>
          <w:bCs/>
          <w:sz w:val="26"/>
          <w:rtl/>
        </w:rPr>
        <w:t>בורסי</w:t>
      </w:r>
      <w:r>
        <w:rPr>
          <w:sz w:val="26"/>
          <w:rtl/>
        </w:rPr>
        <w:t>, אשרי מי </w:t>
      </w:r>
      <w:r>
        <w:rPr>
          <w:b/>
          <w:bCs/>
          <w:sz w:val="26"/>
          <w:rtl/>
        </w:rPr>
        <w:t>שאומנתו</w:t>
      </w:r>
      <w:r>
        <w:rPr>
          <w:rFonts w:hint="cs"/>
          <w:sz w:val="26"/>
          <w:rtl/>
        </w:rPr>
        <w:t xml:space="preserve"> </w:t>
      </w:r>
      <w:r>
        <w:rPr>
          <w:sz w:val="26"/>
          <w:rtl/>
        </w:rPr>
        <w:t>בסם</w:t>
      </w:r>
      <w:r>
        <w:rPr>
          <w:rFonts w:hint="cs"/>
          <w:sz w:val="26"/>
          <w:rtl/>
        </w:rPr>
        <w:t xml:space="preserve"> וכו'" (</w:t>
      </w:r>
      <w:r>
        <w:rPr>
          <w:sz w:val="26"/>
          <w:szCs w:val="20"/>
          <w:rtl/>
        </w:rPr>
        <w:t>פסחים</w:t>
      </w:r>
      <w:r>
        <w:rPr>
          <w:sz w:val="26"/>
          <w:rtl/>
        </w:rPr>
        <w:t xml:space="preserve"> </w:t>
      </w:r>
      <w:r>
        <w:rPr>
          <w:sz w:val="18"/>
          <w:szCs w:val="20"/>
          <w:rtl/>
        </w:rPr>
        <w:t>סה</w:t>
      </w:r>
      <w:r>
        <w:rPr>
          <w:rFonts w:hint="cs"/>
          <w:sz w:val="18"/>
          <w:szCs w:val="20"/>
          <w:rtl/>
        </w:rPr>
        <w:t xml:space="preserve">, </w:t>
      </w:r>
      <w:r>
        <w:rPr>
          <w:sz w:val="18"/>
          <w:szCs w:val="20"/>
          <w:rtl/>
        </w:rPr>
        <w:t>א</w:t>
      </w:r>
      <w:r>
        <w:rPr>
          <w:rFonts w:hint="cs"/>
          <w:sz w:val="26"/>
          <w:rtl/>
        </w:rPr>
        <w:t>). הצורה "</w:t>
      </w:r>
      <w:r>
        <w:rPr>
          <w:sz w:val="26"/>
          <w:rtl/>
        </w:rPr>
        <w:t>אומ</w:t>
      </w:r>
      <w:r>
        <w:rPr>
          <w:b/>
          <w:bCs/>
          <w:sz w:val="26"/>
          <w:rtl/>
        </w:rPr>
        <w:t>נ</w:t>
      </w:r>
      <w:r>
        <w:rPr>
          <w:sz w:val="26"/>
          <w:rtl/>
        </w:rPr>
        <w:t>תו</w:t>
      </w:r>
      <w:r>
        <w:rPr>
          <w:rFonts w:hint="cs"/>
          <w:sz w:val="26"/>
          <w:rtl/>
        </w:rPr>
        <w:t>" ללא ו' לאחר האות נ', מופיעה במקורות נוספים שחלקם יובאו להלן, ויתכן שהנ' שוואית.</w:t>
      </w:r>
    </w:p>
  </w:footnote>
  <w:footnote w:id="208">
    <w:p w14:paraId="3F4C0551" w14:textId="77777777" w:rsidR="00273399" w:rsidRDefault="00273399" w:rsidP="00273399">
      <w:pPr>
        <w:pStyle w:val="a5"/>
        <w:rPr>
          <w:rFonts w:hint="cs"/>
          <w:rtl/>
        </w:rPr>
      </w:pPr>
      <w:r>
        <w:rPr>
          <w:rStyle w:val="a4"/>
          <w:rtl/>
        </w:rPr>
        <w:footnoteRef/>
      </w:r>
      <w:r>
        <w:rPr>
          <w:rFonts w:hint="cs"/>
          <w:color w:val="0000FF"/>
          <w:sz w:val="24"/>
          <w:rtl/>
        </w:rPr>
        <w:t xml:space="preserve"> </w:t>
      </w:r>
      <w:r>
        <w:rPr>
          <w:rFonts w:hint="cs"/>
          <w:rtl/>
        </w:rPr>
        <w:t>שֵם זה מופיע ב</w:t>
      </w:r>
      <w:r>
        <w:rPr>
          <w:rtl/>
        </w:rPr>
        <w:t xml:space="preserve">תוספתא </w:t>
      </w:r>
      <w:r>
        <w:rPr>
          <w:szCs w:val="20"/>
          <w:rtl/>
        </w:rPr>
        <w:t>אהלות</w:t>
      </w:r>
      <w:r>
        <w:rPr>
          <w:rtl/>
        </w:rPr>
        <w:t xml:space="preserve"> </w:t>
      </w:r>
      <w:r>
        <w:rPr>
          <w:rFonts w:hint="cs"/>
          <w:sz w:val="18"/>
          <w:szCs w:val="20"/>
          <w:rtl/>
        </w:rPr>
        <w:t xml:space="preserve">סוף </w:t>
      </w:r>
      <w:r>
        <w:rPr>
          <w:sz w:val="18"/>
          <w:szCs w:val="20"/>
          <w:rtl/>
        </w:rPr>
        <w:t>פ</w:t>
      </w:r>
      <w:r>
        <w:rPr>
          <w:rFonts w:hint="cs"/>
          <w:sz w:val="18"/>
          <w:szCs w:val="20"/>
          <w:rtl/>
        </w:rPr>
        <w:t>"</w:t>
      </w:r>
      <w:r>
        <w:rPr>
          <w:sz w:val="18"/>
          <w:szCs w:val="20"/>
          <w:rtl/>
        </w:rPr>
        <w:t>ד</w:t>
      </w:r>
      <w:r>
        <w:rPr>
          <w:rFonts w:hint="cs"/>
          <w:sz w:val="18"/>
          <w:szCs w:val="20"/>
          <w:rtl/>
        </w:rPr>
        <w:t>:</w:t>
      </w:r>
      <w:r>
        <w:rPr>
          <w:rtl/>
        </w:rPr>
        <w:t xml:space="preserve"> </w:t>
      </w:r>
      <w:r>
        <w:rPr>
          <w:rFonts w:hint="cs"/>
          <w:rtl/>
        </w:rPr>
        <w:t>"</w:t>
      </w:r>
      <w:r>
        <w:rPr>
          <w:rtl/>
        </w:rPr>
        <w:t>בעל מלאכות</w:t>
      </w:r>
      <w:r>
        <w:rPr>
          <w:rFonts w:hint="cs"/>
          <w:rtl/>
        </w:rPr>
        <w:t>", ולפי הגר"א: "</w:t>
      </w:r>
      <w:r>
        <w:rPr>
          <w:rtl/>
        </w:rPr>
        <w:t>בעל מלאכה</w:t>
      </w:r>
      <w:r>
        <w:rPr>
          <w:rFonts w:hint="cs"/>
          <w:rtl/>
        </w:rPr>
        <w:t>". וכן ב</w:t>
      </w:r>
      <w:r>
        <w:rPr>
          <w:rtl/>
        </w:rPr>
        <w:t>מדרש תהלים (</w:t>
      </w:r>
      <w:r>
        <w:rPr>
          <w:sz w:val="18"/>
          <w:szCs w:val="20"/>
          <w:rtl/>
        </w:rPr>
        <w:t>בובר</w:t>
      </w:r>
      <w:r>
        <w:rPr>
          <w:rFonts w:hint="cs"/>
          <w:sz w:val="18"/>
          <w:szCs w:val="20"/>
          <w:rtl/>
        </w:rPr>
        <w:t xml:space="preserve">, </w:t>
      </w:r>
      <w:r>
        <w:rPr>
          <w:sz w:val="18"/>
          <w:szCs w:val="20"/>
          <w:rtl/>
        </w:rPr>
        <w:t>כה</w:t>
      </w:r>
      <w:r>
        <w:rPr>
          <w:rFonts w:hint="cs"/>
          <w:sz w:val="18"/>
          <w:szCs w:val="20"/>
          <w:rtl/>
        </w:rPr>
        <w:t xml:space="preserve">, </w:t>
      </w:r>
      <w:r>
        <w:rPr>
          <w:sz w:val="18"/>
          <w:szCs w:val="20"/>
          <w:rtl/>
        </w:rPr>
        <w:t>ט</w:t>
      </w:r>
      <w:r>
        <w:rPr>
          <w:rFonts w:hint="cs"/>
          <w:sz w:val="18"/>
          <w:szCs w:val="20"/>
          <w:rtl/>
        </w:rPr>
        <w:t xml:space="preserve">; </w:t>
      </w:r>
      <w:r>
        <w:rPr>
          <w:sz w:val="18"/>
          <w:szCs w:val="20"/>
          <w:rtl/>
        </w:rPr>
        <w:t>ילק</w:t>
      </w:r>
      <w:r>
        <w:rPr>
          <w:rFonts w:hint="cs"/>
          <w:sz w:val="18"/>
          <w:szCs w:val="20"/>
          <w:rtl/>
        </w:rPr>
        <w:t>"</w:t>
      </w:r>
      <w:r>
        <w:rPr>
          <w:sz w:val="18"/>
          <w:szCs w:val="20"/>
          <w:rtl/>
        </w:rPr>
        <w:t>ש</w:t>
      </w:r>
      <w:r>
        <w:rPr>
          <w:rFonts w:hint="cs"/>
          <w:sz w:val="18"/>
          <w:szCs w:val="20"/>
          <w:rtl/>
        </w:rPr>
        <w:t xml:space="preserve"> </w:t>
      </w:r>
      <w:r>
        <w:rPr>
          <w:sz w:val="18"/>
          <w:szCs w:val="20"/>
          <w:rtl/>
        </w:rPr>
        <w:t>תהילים רמז תש</w:t>
      </w:r>
      <w:r>
        <w:rPr>
          <w:rFonts w:hint="cs"/>
          <w:sz w:val="18"/>
          <w:szCs w:val="20"/>
          <w:rtl/>
        </w:rPr>
        <w:t>"</w:t>
      </w:r>
      <w:r>
        <w:rPr>
          <w:sz w:val="18"/>
          <w:szCs w:val="20"/>
          <w:rtl/>
        </w:rPr>
        <w:t>ב</w:t>
      </w:r>
      <w:r>
        <w:rPr>
          <w:rFonts w:hint="cs"/>
          <w:rtl/>
        </w:rPr>
        <w:t>) "</w:t>
      </w:r>
      <w:r>
        <w:rPr>
          <w:rtl/>
        </w:rPr>
        <w:t>ז</w:t>
      </w:r>
      <w:r>
        <w:rPr>
          <w:rFonts w:hint="cs"/>
          <w:rtl/>
        </w:rPr>
        <w:t>ַ</w:t>
      </w:r>
      <w:r>
        <w:rPr>
          <w:rtl/>
        </w:rPr>
        <w:t>מ</w:t>
      </w:r>
      <w:r>
        <w:rPr>
          <w:rFonts w:hint="cs"/>
          <w:rtl/>
        </w:rPr>
        <w:t>ֵּ</w:t>
      </w:r>
      <w:r>
        <w:rPr>
          <w:rtl/>
        </w:rPr>
        <w:t>ין לי בני אדם תגרים, ואל תזמין לי בעלי</w:t>
      </w:r>
      <w:r>
        <w:rPr>
          <w:rFonts w:hint="cs"/>
          <w:rtl/>
        </w:rPr>
        <w:t xml:space="preserve"> </w:t>
      </w:r>
      <w:r>
        <w:rPr>
          <w:rtl/>
        </w:rPr>
        <w:t>מלאכה</w:t>
      </w:r>
      <w:r>
        <w:rPr>
          <w:rFonts w:hint="cs"/>
          <w:rtl/>
        </w:rPr>
        <w:t>". בלשון המקרא נקראו בעלי מקצוע או "</w:t>
      </w:r>
      <w:r>
        <w:rPr>
          <w:rtl/>
        </w:rPr>
        <w:t>עוֹשֵׂי מְלָאכָה</w:t>
      </w:r>
      <w:r>
        <w:rPr>
          <w:rFonts w:hint="cs"/>
          <w:rtl/>
        </w:rPr>
        <w:t>" (</w:t>
      </w:r>
      <w:r>
        <w:rPr>
          <w:sz w:val="18"/>
          <w:szCs w:val="20"/>
          <w:rtl/>
        </w:rPr>
        <w:t>מלכים א</w:t>
      </w:r>
      <w:r>
        <w:rPr>
          <w:rFonts w:hint="cs"/>
          <w:sz w:val="18"/>
          <w:szCs w:val="20"/>
          <w:rtl/>
        </w:rPr>
        <w:t>'</w:t>
      </w:r>
      <w:r>
        <w:rPr>
          <w:sz w:val="18"/>
          <w:szCs w:val="20"/>
          <w:rtl/>
        </w:rPr>
        <w:t xml:space="preserve"> יא</w:t>
      </w:r>
      <w:r>
        <w:rPr>
          <w:rFonts w:hint="cs"/>
          <w:sz w:val="18"/>
          <w:szCs w:val="20"/>
          <w:rtl/>
        </w:rPr>
        <w:t>,</w:t>
      </w:r>
      <w:r>
        <w:rPr>
          <w:sz w:val="18"/>
          <w:szCs w:val="20"/>
          <w:rtl/>
        </w:rPr>
        <w:t xml:space="preserve"> כח</w:t>
      </w:r>
      <w:r>
        <w:rPr>
          <w:rFonts w:hint="cs"/>
          <w:sz w:val="18"/>
          <w:szCs w:val="20"/>
          <w:rtl/>
        </w:rPr>
        <w:t xml:space="preserve"> ורש"י; </w:t>
      </w:r>
      <w:r>
        <w:rPr>
          <w:sz w:val="18"/>
          <w:szCs w:val="20"/>
          <w:rtl/>
        </w:rPr>
        <w:t>דברי הימים ב</w:t>
      </w:r>
      <w:r>
        <w:rPr>
          <w:rFonts w:hint="cs"/>
          <w:sz w:val="18"/>
          <w:szCs w:val="20"/>
          <w:rtl/>
        </w:rPr>
        <w:t xml:space="preserve">' </w:t>
      </w:r>
      <w:r>
        <w:rPr>
          <w:sz w:val="18"/>
          <w:szCs w:val="20"/>
          <w:rtl/>
        </w:rPr>
        <w:t>לד</w:t>
      </w:r>
      <w:r>
        <w:rPr>
          <w:rFonts w:hint="cs"/>
          <w:sz w:val="18"/>
          <w:szCs w:val="20"/>
          <w:rtl/>
        </w:rPr>
        <w:t>, י;</w:t>
      </w:r>
      <w:r>
        <w:rPr>
          <w:sz w:val="18"/>
          <w:szCs w:val="20"/>
          <w:rtl/>
        </w:rPr>
        <w:t xml:space="preserve"> מצודת דוד</w:t>
      </w:r>
      <w:r>
        <w:rPr>
          <w:rtl/>
        </w:rPr>
        <w:t>)</w:t>
      </w:r>
      <w:r>
        <w:rPr>
          <w:rFonts w:hint="cs"/>
          <w:rtl/>
        </w:rPr>
        <w:t xml:space="preserve"> או "</w:t>
      </w:r>
      <w:r>
        <w:rPr>
          <w:rtl/>
        </w:rPr>
        <w:t>אַנְשֵׁי מְלָאכָה</w:t>
      </w:r>
      <w:r>
        <w:rPr>
          <w:rFonts w:hint="cs"/>
          <w:rtl/>
        </w:rPr>
        <w:t>" (</w:t>
      </w:r>
      <w:r>
        <w:rPr>
          <w:sz w:val="18"/>
          <w:szCs w:val="20"/>
          <w:rtl/>
        </w:rPr>
        <w:t>דברי הימים א</w:t>
      </w:r>
      <w:r>
        <w:rPr>
          <w:rFonts w:hint="cs"/>
          <w:sz w:val="18"/>
          <w:szCs w:val="20"/>
          <w:rtl/>
        </w:rPr>
        <w:t>'</w:t>
      </w:r>
      <w:r>
        <w:rPr>
          <w:sz w:val="18"/>
          <w:szCs w:val="20"/>
          <w:rtl/>
        </w:rPr>
        <w:t xml:space="preserve"> כה</w:t>
      </w:r>
      <w:r>
        <w:rPr>
          <w:rFonts w:hint="cs"/>
          <w:sz w:val="18"/>
          <w:szCs w:val="20"/>
          <w:rtl/>
        </w:rPr>
        <w:t xml:space="preserve">, </w:t>
      </w:r>
      <w:r>
        <w:rPr>
          <w:sz w:val="18"/>
          <w:szCs w:val="20"/>
          <w:rtl/>
        </w:rPr>
        <w:t>א</w:t>
      </w:r>
      <w:r>
        <w:rPr>
          <w:rFonts w:hint="cs"/>
          <w:sz w:val="18"/>
          <w:szCs w:val="20"/>
          <w:rtl/>
        </w:rPr>
        <w:t xml:space="preserve"> ו</w:t>
      </w:r>
      <w:r>
        <w:rPr>
          <w:sz w:val="18"/>
          <w:szCs w:val="20"/>
          <w:rtl/>
        </w:rPr>
        <w:t>מצודת דוד)</w:t>
      </w:r>
      <w:r>
        <w:rPr>
          <w:rFonts w:hint="cs"/>
          <w:sz w:val="18"/>
          <w:szCs w:val="20"/>
          <w:rtl/>
        </w:rPr>
        <w:t>.</w:t>
      </w:r>
    </w:p>
  </w:footnote>
  <w:footnote w:id="209">
    <w:p w14:paraId="6274BDB4" w14:textId="77777777" w:rsidR="00273399" w:rsidRDefault="00273399" w:rsidP="00273399">
      <w:pPr>
        <w:pStyle w:val="a5"/>
        <w:rPr>
          <w:rtl/>
        </w:rPr>
      </w:pPr>
      <w:r>
        <w:rPr>
          <w:rStyle w:val="a4"/>
          <w:rtl/>
        </w:rPr>
        <w:footnoteRef/>
      </w:r>
      <w:r>
        <w:rPr>
          <w:szCs w:val="22"/>
        </w:rPr>
        <w:t xml:space="preserve"> </w:t>
      </w:r>
      <w:r>
        <w:rPr>
          <w:rFonts w:hint="cs"/>
          <w:rtl/>
        </w:rPr>
        <w:t>"כל בעלי אומניות שבירושלם עומדין לפניהם ושואלין בשלומן" (</w:t>
      </w:r>
      <w:r>
        <w:rPr>
          <w:rFonts w:hint="cs"/>
          <w:sz w:val="26"/>
          <w:szCs w:val="20"/>
          <w:rtl/>
        </w:rPr>
        <w:t>בִכורים</w:t>
      </w:r>
      <w:r>
        <w:rPr>
          <w:rFonts w:hint="cs"/>
          <w:sz w:val="26"/>
          <w:rtl/>
        </w:rPr>
        <w:t xml:space="preserve"> </w:t>
      </w:r>
      <w:r>
        <w:rPr>
          <w:rFonts w:hint="cs"/>
          <w:sz w:val="18"/>
          <w:szCs w:val="20"/>
          <w:rtl/>
        </w:rPr>
        <w:t>פ"ג מ"ג</w:t>
      </w:r>
      <w:r>
        <w:rPr>
          <w:rFonts w:hint="cs"/>
          <w:rtl/>
        </w:rPr>
        <w:t>).</w:t>
      </w:r>
    </w:p>
  </w:footnote>
  <w:footnote w:id="210">
    <w:p w14:paraId="339E94F5" w14:textId="77777777" w:rsidR="00273399" w:rsidRDefault="00273399" w:rsidP="00273399">
      <w:pPr>
        <w:pStyle w:val="a5"/>
        <w:rPr>
          <w:rFonts w:hint="cs"/>
          <w:rtl/>
        </w:rPr>
      </w:pPr>
      <w:r>
        <w:rPr>
          <w:rStyle w:val="a4"/>
          <w:rtl/>
        </w:rPr>
        <w:footnoteRef/>
      </w:r>
      <w:r>
        <w:rPr>
          <w:rFonts w:hint="cs"/>
          <w:rtl/>
        </w:rPr>
        <w:t xml:space="preserve"> יש לעיין האם ישנה משמעות לשימוש בשם זה או אחר.</w:t>
      </w:r>
    </w:p>
  </w:footnote>
  <w:footnote w:id="211">
    <w:p w14:paraId="65C54A6D" w14:textId="77777777" w:rsidR="00273399" w:rsidRDefault="00273399" w:rsidP="00273399">
      <w:pPr>
        <w:pStyle w:val="a5"/>
        <w:rPr>
          <w:rFonts w:hint="cs"/>
          <w:rtl/>
        </w:rPr>
      </w:pPr>
      <w:r>
        <w:rPr>
          <w:rStyle w:val="a4"/>
          <w:rtl/>
        </w:rPr>
        <w:footnoteRef/>
      </w:r>
      <w:r>
        <w:rPr>
          <w:szCs w:val="22"/>
        </w:rPr>
        <w:t xml:space="preserve"> </w:t>
      </w:r>
      <w:r>
        <w:rPr>
          <w:rFonts w:hint="cs"/>
          <w:sz w:val="18"/>
          <w:rtl/>
        </w:rPr>
        <w:t>"</w:t>
      </w:r>
      <w:r>
        <w:rPr>
          <w:sz w:val="18"/>
          <w:rtl/>
        </w:rPr>
        <w:t>האומנין קורין</w:t>
      </w:r>
      <w:r>
        <w:rPr>
          <w:rFonts w:hint="cs"/>
          <w:sz w:val="18"/>
          <w:rtl/>
        </w:rPr>
        <w:t xml:space="preserve"> </w:t>
      </w:r>
      <w:r>
        <w:rPr>
          <w:sz w:val="18"/>
          <w:rtl/>
        </w:rPr>
        <w:t>בראש האילן</w:t>
      </w:r>
      <w:r>
        <w:rPr>
          <w:rFonts w:hint="cs"/>
          <w:sz w:val="18"/>
          <w:rtl/>
        </w:rPr>
        <w:t>" (</w:t>
      </w:r>
      <w:r>
        <w:rPr>
          <w:sz w:val="18"/>
          <w:szCs w:val="20"/>
          <w:rtl/>
        </w:rPr>
        <w:t>ברכות פ</w:t>
      </w:r>
      <w:r>
        <w:rPr>
          <w:rFonts w:hint="cs"/>
          <w:sz w:val="18"/>
          <w:szCs w:val="20"/>
          <w:rtl/>
        </w:rPr>
        <w:t>"</w:t>
      </w:r>
      <w:r>
        <w:rPr>
          <w:sz w:val="18"/>
          <w:szCs w:val="20"/>
          <w:rtl/>
        </w:rPr>
        <w:t>ב מ</w:t>
      </w:r>
      <w:r>
        <w:rPr>
          <w:rFonts w:hint="cs"/>
          <w:sz w:val="18"/>
          <w:szCs w:val="20"/>
          <w:rtl/>
        </w:rPr>
        <w:t>"</w:t>
      </w:r>
      <w:r>
        <w:rPr>
          <w:sz w:val="18"/>
          <w:szCs w:val="20"/>
          <w:rtl/>
        </w:rPr>
        <w:t>ד</w:t>
      </w:r>
      <w:r>
        <w:rPr>
          <w:rFonts w:hint="cs"/>
          <w:sz w:val="18"/>
          <w:rtl/>
        </w:rPr>
        <w:t>);</w:t>
      </w:r>
      <w:r>
        <w:rPr>
          <w:sz w:val="18"/>
          <w:rtl/>
        </w:rPr>
        <w:t xml:space="preserve"> </w:t>
      </w:r>
      <w:r>
        <w:rPr>
          <w:rFonts w:hint="cs"/>
          <w:sz w:val="18"/>
          <w:rtl/>
        </w:rPr>
        <w:t>"</w:t>
      </w:r>
      <w:r>
        <w:rPr>
          <w:sz w:val="18"/>
          <w:rtl/>
        </w:rPr>
        <w:t>שכר האומנין</w:t>
      </w:r>
      <w:r>
        <w:rPr>
          <w:rFonts w:hint="cs"/>
          <w:sz w:val="18"/>
          <w:rtl/>
        </w:rPr>
        <w:t>" (</w:t>
      </w:r>
      <w:r>
        <w:rPr>
          <w:sz w:val="18"/>
          <w:szCs w:val="20"/>
          <w:rtl/>
        </w:rPr>
        <w:t>שקלים פ</w:t>
      </w:r>
      <w:r>
        <w:rPr>
          <w:rFonts w:hint="cs"/>
          <w:sz w:val="18"/>
          <w:szCs w:val="20"/>
          <w:rtl/>
        </w:rPr>
        <w:t>"</w:t>
      </w:r>
      <w:r>
        <w:rPr>
          <w:sz w:val="18"/>
          <w:szCs w:val="20"/>
          <w:rtl/>
        </w:rPr>
        <w:t>ד מ</w:t>
      </w:r>
      <w:r>
        <w:rPr>
          <w:rFonts w:hint="cs"/>
          <w:sz w:val="18"/>
          <w:szCs w:val="20"/>
          <w:rtl/>
        </w:rPr>
        <w:t>"</w:t>
      </w:r>
      <w:r>
        <w:rPr>
          <w:sz w:val="18"/>
          <w:szCs w:val="20"/>
          <w:rtl/>
        </w:rPr>
        <w:t>ה</w:t>
      </w:r>
      <w:r>
        <w:rPr>
          <w:rFonts w:hint="cs"/>
          <w:sz w:val="18"/>
          <w:rtl/>
        </w:rPr>
        <w:t>)</w:t>
      </w:r>
      <w:r>
        <w:rPr>
          <w:rFonts w:hint="cs"/>
          <w:rtl/>
        </w:rPr>
        <w:t xml:space="preserve">; </w:t>
      </w:r>
      <w:r>
        <w:rPr>
          <w:rFonts w:hint="cs"/>
          <w:sz w:val="18"/>
          <w:rtl/>
        </w:rPr>
        <w:t>"</w:t>
      </w:r>
      <w:r>
        <w:rPr>
          <w:sz w:val="18"/>
          <w:rtl/>
        </w:rPr>
        <w:t>משלשלין את האומנים בתיבות</w:t>
      </w:r>
      <w:r>
        <w:rPr>
          <w:rFonts w:hint="cs"/>
          <w:sz w:val="18"/>
          <w:rtl/>
        </w:rPr>
        <w:t>" (</w:t>
      </w:r>
      <w:r>
        <w:rPr>
          <w:sz w:val="18"/>
          <w:szCs w:val="20"/>
          <w:rtl/>
        </w:rPr>
        <w:t>מידות פ</w:t>
      </w:r>
      <w:r>
        <w:rPr>
          <w:rFonts w:hint="cs"/>
          <w:sz w:val="18"/>
          <w:szCs w:val="20"/>
          <w:rtl/>
        </w:rPr>
        <w:t>"</w:t>
      </w:r>
      <w:r>
        <w:rPr>
          <w:sz w:val="18"/>
          <w:szCs w:val="20"/>
          <w:rtl/>
        </w:rPr>
        <w:t>ד מ</w:t>
      </w:r>
      <w:r>
        <w:rPr>
          <w:rFonts w:hint="cs"/>
          <w:sz w:val="18"/>
          <w:szCs w:val="20"/>
          <w:rtl/>
        </w:rPr>
        <w:t>"</w:t>
      </w:r>
      <w:r>
        <w:rPr>
          <w:sz w:val="18"/>
          <w:szCs w:val="20"/>
          <w:rtl/>
        </w:rPr>
        <w:t>ה</w:t>
      </w:r>
      <w:r>
        <w:rPr>
          <w:rFonts w:hint="cs"/>
          <w:sz w:val="18"/>
          <w:rtl/>
        </w:rPr>
        <w:t xml:space="preserve">); </w:t>
      </w:r>
      <w:r>
        <w:rPr>
          <w:rFonts w:hint="cs"/>
          <w:rtl/>
        </w:rPr>
        <w:t>והפרק ה</w:t>
      </w:r>
      <w:r>
        <w:rPr>
          <w:rFonts w:hint="cs"/>
          <w:sz w:val="26"/>
          <w:rtl/>
        </w:rPr>
        <w:t xml:space="preserve">ששי של </w:t>
      </w:r>
      <w:r>
        <w:rPr>
          <w:sz w:val="26"/>
          <w:rtl/>
        </w:rPr>
        <w:t>בבא מציעא</w:t>
      </w:r>
      <w:r>
        <w:rPr>
          <w:rFonts w:hint="cs"/>
          <w:sz w:val="26"/>
          <w:rtl/>
        </w:rPr>
        <w:t>:</w:t>
      </w:r>
      <w:r>
        <w:rPr>
          <w:rFonts w:hint="cs"/>
          <w:sz w:val="30"/>
          <w:szCs w:val="28"/>
          <w:rtl/>
        </w:rPr>
        <w:t xml:space="preserve"> </w:t>
      </w:r>
      <w:r>
        <w:rPr>
          <w:rFonts w:hint="cs"/>
          <w:rtl/>
        </w:rPr>
        <w:t>"</w:t>
      </w:r>
      <w:r>
        <w:rPr>
          <w:rtl/>
        </w:rPr>
        <w:t>השוכר את האומנין</w:t>
      </w:r>
      <w:r>
        <w:rPr>
          <w:rFonts w:hint="cs"/>
          <w:rtl/>
        </w:rPr>
        <w:t>".</w:t>
      </w:r>
    </w:p>
  </w:footnote>
  <w:footnote w:id="212">
    <w:p w14:paraId="5CC5261E" w14:textId="77777777" w:rsidR="00273399" w:rsidRDefault="00273399" w:rsidP="00273399">
      <w:pPr>
        <w:pStyle w:val="a5"/>
        <w:rPr>
          <w:rFonts w:hint="cs"/>
          <w:rtl/>
        </w:rPr>
      </w:pPr>
      <w:r>
        <w:rPr>
          <w:rStyle w:val="a4"/>
        </w:rPr>
        <w:footnoteRef/>
      </w:r>
      <w:r>
        <w:rPr>
          <w:rFonts w:hint="cs"/>
          <w:rtl/>
        </w:rPr>
        <w:t xml:space="preserve"> וכן נתייחד</w:t>
      </w:r>
      <w:r>
        <w:rPr>
          <w:rFonts w:hint="cs"/>
          <w:sz w:val="14"/>
          <w:rtl/>
        </w:rPr>
        <w:t xml:space="preserve"> לפעמים ל</w:t>
      </w:r>
      <w:r>
        <w:rPr>
          <w:rFonts w:hint="cs"/>
          <w:rtl/>
        </w:rPr>
        <w:t>עבודת כפייה ממשלתית: "</w:t>
      </w:r>
      <w:r>
        <w:rPr>
          <w:rtl/>
        </w:rPr>
        <w:t>האחין השותפין שנפל אחד מהן לאומנות</w:t>
      </w:r>
      <w:r>
        <w:rPr>
          <w:rFonts w:hint="cs"/>
          <w:rtl/>
        </w:rPr>
        <w:t>" (</w:t>
      </w:r>
      <w:r>
        <w:rPr>
          <w:rFonts w:hint="cs"/>
          <w:sz w:val="18"/>
          <w:szCs w:val="20"/>
          <w:rtl/>
        </w:rPr>
        <w:t>בבא בתרא פ"</w:t>
      </w:r>
      <w:r>
        <w:rPr>
          <w:sz w:val="18"/>
          <w:szCs w:val="20"/>
          <w:rtl/>
        </w:rPr>
        <w:t>ט מ</w:t>
      </w:r>
      <w:r>
        <w:rPr>
          <w:rFonts w:hint="cs"/>
          <w:sz w:val="18"/>
          <w:szCs w:val="20"/>
          <w:rtl/>
        </w:rPr>
        <w:t>"</w:t>
      </w:r>
      <w:r>
        <w:rPr>
          <w:sz w:val="18"/>
          <w:szCs w:val="20"/>
          <w:rtl/>
        </w:rPr>
        <w:t>ד</w:t>
      </w:r>
      <w:r>
        <w:rPr>
          <w:rFonts w:hint="cs"/>
          <w:rtl/>
        </w:rPr>
        <w:t>), ובאר שם הבבלי (</w:t>
      </w:r>
      <w:r>
        <w:rPr>
          <w:rFonts w:hint="cs"/>
          <w:sz w:val="18"/>
          <w:szCs w:val="20"/>
          <w:rtl/>
        </w:rPr>
        <w:t xml:space="preserve">דף </w:t>
      </w:r>
      <w:r>
        <w:rPr>
          <w:sz w:val="18"/>
          <w:szCs w:val="20"/>
          <w:rtl/>
        </w:rPr>
        <w:t>קמד</w:t>
      </w:r>
      <w:r>
        <w:rPr>
          <w:rFonts w:hint="cs"/>
          <w:sz w:val="18"/>
          <w:szCs w:val="20"/>
          <w:rtl/>
        </w:rPr>
        <w:t xml:space="preserve">, </w:t>
      </w:r>
      <w:r>
        <w:rPr>
          <w:sz w:val="18"/>
          <w:szCs w:val="20"/>
          <w:rtl/>
        </w:rPr>
        <w:t>ב</w:t>
      </w:r>
      <w:r>
        <w:rPr>
          <w:rFonts w:hint="cs"/>
          <w:rtl/>
        </w:rPr>
        <w:t>): "</w:t>
      </w:r>
      <w:r>
        <w:rPr>
          <w:rtl/>
        </w:rPr>
        <w:t xml:space="preserve">תנא: האי </w:t>
      </w:r>
      <w:r>
        <w:rPr>
          <w:rFonts w:hint="cs"/>
          <w:rtl/>
        </w:rPr>
        <w:t>'</w:t>
      </w:r>
      <w:r>
        <w:rPr>
          <w:rtl/>
        </w:rPr>
        <w:t>אומנות</w:t>
      </w:r>
      <w:r>
        <w:rPr>
          <w:rFonts w:hint="cs"/>
          <w:rtl/>
        </w:rPr>
        <w:t>'</w:t>
      </w:r>
      <w:r>
        <w:rPr>
          <w:rtl/>
        </w:rPr>
        <w:t xml:space="preserve"> - לאומנות המלך</w:t>
      </w:r>
      <w:r>
        <w:rPr>
          <w:rFonts w:hint="cs"/>
          <w:rtl/>
        </w:rPr>
        <w:t>"</w:t>
      </w:r>
      <w:r>
        <w:rPr>
          <w:rtl/>
        </w:rPr>
        <w:t>.</w:t>
      </w:r>
    </w:p>
  </w:footnote>
  <w:footnote w:id="213">
    <w:p w14:paraId="125423AB" w14:textId="77777777" w:rsidR="00273399" w:rsidRDefault="00273399" w:rsidP="00273399">
      <w:pPr>
        <w:pStyle w:val="a5"/>
        <w:rPr>
          <w:rFonts w:hint="cs"/>
          <w:rtl/>
        </w:rPr>
      </w:pPr>
      <w:r>
        <w:rPr>
          <w:rStyle w:val="a4"/>
        </w:rPr>
        <w:footnoteRef/>
      </w:r>
      <w:r>
        <w:rPr>
          <w:rFonts w:hint="cs"/>
          <w:rtl/>
        </w:rPr>
        <w:t xml:space="preserve"> כמו ששנינו (</w:t>
      </w:r>
      <w:r>
        <w:rPr>
          <w:sz w:val="18"/>
          <w:szCs w:val="20"/>
          <w:rtl/>
        </w:rPr>
        <w:t>שביעית פ</w:t>
      </w:r>
      <w:r>
        <w:rPr>
          <w:rFonts w:hint="cs"/>
          <w:sz w:val="18"/>
          <w:szCs w:val="20"/>
          <w:rtl/>
        </w:rPr>
        <w:t>"</w:t>
      </w:r>
      <w:r>
        <w:rPr>
          <w:sz w:val="18"/>
          <w:szCs w:val="20"/>
          <w:rtl/>
        </w:rPr>
        <w:t>ז מ</w:t>
      </w:r>
      <w:r>
        <w:rPr>
          <w:rFonts w:hint="cs"/>
          <w:sz w:val="18"/>
          <w:szCs w:val="20"/>
          <w:rtl/>
        </w:rPr>
        <w:t>"</w:t>
      </w:r>
      <w:r>
        <w:rPr>
          <w:sz w:val="18"/>
          <w:szCs w:val="20"/>
          <w:rtl/>
        </w:rPr>
        <w:t>ד</w:t>
      </w:r>
      <w:r>
        <w:rPr>
          <w:rFonts w:hint="cs"/>
          <w:rtl/>
        </w:rPr>
        <w:t>) "</w:t>
      </w:r>
      <w:r>
        <w:rPr>
          <w:rtl/>
        </w:rPr>
        <w:t>ובלבד שלא תהא אומנותו בכך</w:t>
      </w:r>
      <w:r>
        <w:rPr>
          <w:rFonts w:hint="cs"/>
          <w:rtl/>
        </w:rPr>
        <w:t>" כלומר: רגילותו (</w:t>
      </w:r>
      <w:r>
        <w:rPr>
          <w:rFonts w:hint="cs"/>
          <w:sz w:val="18"/>
          <w:szCs w:val="20"/>
          <w:rtl/>
        </w:rPr>
        <w:t>מלאכת שלמה</w:t>
      </w:r>
      <w:r>
        <w:rPr>
          <w:rFonts w:hint="cs"/>
          <w:rtl/>
        </w:rPr>
        <w:t xml:space="preserve">). ויתכן שכך יש לפרש במקורות נוספים, כגון </w:t>
      </w:r>
      <w:r>
        <w:rPr>
          <w:rFonts w:hint="cs"/>
          <w:sz w:val="26"/>
          <w:rtl/>
        </w:rPr>
        <w:t xml:space="preserve">להלן </w:t>
      </w:r>
      <w:r>
        <w:rPr>
          <w:rFonts w:hint="cs"/>
          <w:rtl/>
        </w:rPr>
        <w:t>(</w:t>
      </w:r>
      <w:r>
        <w:rPr>
          <w:rFonts w:hint="cs"/>
          <w:sz w:val="18"/>
          <w:szCs w:val="20"/>
          <w:rtl/>
        </w:rPr>
        <w:t xml:space="preserve">יא, </w:t>
      </w:r>
      <w:r>
        <w:rPr>
          <w:sz w:val="18"/>
          <w:szCs w:val="20"/>
          <w:rtl/>
        </w:rPr>
        <w:t>ב</w:t>
      </w:r>
      <w:r>
        <w:rPr>
          <w:rFonts w:hint="cs"/>
          <w:rtl/>
        </w:rPr>
        <w:t>): "</w:t>
      </w:r>
      <w:r>
        <w:rPr>
          <w:rtl/>
        </w:rPr>
        <w:t xml:space="preserve">אומן דרך </w:t>
      </w:r>
      <w:r>
        <w:rPr>
          <w:b/>
          <w:bCs/>
          <w:rtl/>
        </w:rPr>
        <w:t>אומנתו</w:t>
      </w:r>
      <w:r>
        <w:rPr>
          <w:rtl/>
        </w:rPr>
        <w:t xml:space="preserve"> חייב</w:t>
      </w:r>
      <w:r>
        <w:rPr>
          <w:rFonts w:hint="cs"/>
          <w:rtl/>
        </w:rPr>
        <w:t>", ולהלן (</w:t>
      </w:r>
      <w:r>
        <w:rPr>
          <w:sz w:val="18"/>
          <w:szCs w:val="20"/>
          <w:rtl/>
        </w:rPr>
        <w:t>קה</w:t>
      </w:r>
      <w:r>
        <w:rPr>
          <w:rFonts w:hint="cs"/>
          <w:sz w:val="18"/>
          <w:szCs w:val="20"/>
          <w:rtl/>
        </w:rPr>
        <w:t xml:space="preserve">, </w:t>
      </w:r>
      <w:r>
        <w:rPr>
          <w:sz w:val="18"/>
          <w:szCs w:val="20"/>
          <w:rtl/>
        </w:rPr>
        <w:t>ב</w:t>
      </w:r>
      <w:r>
        <w:rPr>
          <w:rFonts w:hint="cs"/>
          <w:rtl/>
        </w:rPr>
        <w:t>):</w:t>
      </w:r>
      <w:r>
        <w:rPr>
          <w:rtl/>
        </w:rPr>
        <w:t xml:space="preserve"> </w:t>
      </w:r>
      <w:r>
        <w:rPr>
          <w:rFonts w:hint="cs"/>
          <w:rtl/>
        </w:rPr>
        <w:t>"</w:t>
      </w:r>
      <w:r>
        <w:rPr>
          <w:rtl/>
        </w:rPr>
        <w:t xml:space="preserve">כך </w:t>
      </w:r>
      <w:r>
        <w:rPr>
          <w:b/>
          <w:bCs/>
          <w:rtl/>
        </w:rPr>
        <w:t>אומנתו</w:t>
      </w:r>
      <w:r>
        <w:rPr>
          <w:rtl/>
        </w:rPr>
        <w:t xml:space="preserve"> של יצר הרע</w:t>
      </w:r>
      <w:r>
        <w:rPr>
          <w:rFonts w:hint="cs"/>
          <w:rtl/>
        </w:rPr>
        <w:t xml:space="preserve">", וכן במדרש "תפסו להם </w:t>
      </w:r>
      <w:r>
        <w:rPr>
          <w:rFonts w:hint="cs"/>
          <w:b/>
          <w:bCs/>
          <w:rtl/>
        </w:rPr>
        <w:t>אומנות</w:t>
      </w:r>
      <w:r>
        <w:rPr>
          <w:rFonts w:hint="cs"/>
          <w:rtl/>
        </w:rPr>
        <w:t xml:space="preserve"> אבותיהם </w:t>
      </w:r>
      <w:r>
        <w:rPr>
          <w:rFonts w:hint="cs"/>
          <w:b/>
          <w:bCs/>
          <w:rtl/>
        </w:rPr>
        <w:t>אומנות</w:t>
      </w:r>
      <w:r>
        <w:rPr>
          <w:rFonts w:hint="cs"/>
          <w:rtl/>
        </w:rPr>
        <w:t xml:space="preserve"> אברהם יצחק ויעקב" (</w:t>
      </w:r>
      <w:r>
        <w:rPr>
          <w:rFonts w:hint="cs"/>
          <w:sz w:val="18"/>
          <w:szCs w:val="20"/>
          <w:rtl/>
        </w:rPr>
        <w:t>מכילתא בשלח מסכת דויהי פרשה ב'</w:t>
      </w:r>
      <w:r>
        <w:rPr>
          <w:rFonts w:hint="cs"/>
          <w:rtl/>
        </w:rPr>
        <w:t xml:space="preserve">). </w:t>
      </w:r>
      <w:r>
        <w:rPr>
          <w:rFonts w:hint="cs"/>
          <w:color w:val="800000"/>
          <w:rtl/>
        </w:rPr>
        <w:t>וכך משמע מלשון המדרש על בלעם הרשע: "</w:t>
      </w:r>
      <w:r>
        <w:rPr>
          <w:color w:val="800000"/>
          <w:rtl/>
        </w:rPr>
        <w:t>אמר לו</w:t>
      </w:r>
      <w:r>
        <w:rPr>
          <w:rFonts w:hint="cs"/>
          <w:color w:val="800000"/>
          <w:rtl/>
        </w:rPr>
        <w:t>:</w:t>
      </w:r>
      <w:r>
        <w:rPr>
          <w:color w:val="800000"/>
          <w:rtl/>
        </w:rPr>
        <w:t xml:space="preserve"> אני לא הלכתי עד שאמר לי הקב"ה קום לך אתם</w:t>
      </w:r>
      <w:r>
        <w:rPr>
          <w:rFonts w:hint="cs"/>
          <w:color w:val="800000"/>
          <w:rtl/>
        </w:rPr>
        <w:t>,</w:t>
      </w:r>
      <w:r>
        <w:rPr>
          <w:color w:val="800000"/>
          <w:rtl/>
        </w:rPr>
        <w:t xml:space="preserve"> ואתה אומר שאחזור</w:t>
      </w:r>
      <w:r>
        <w:rPr>
          <w:rFonts w:hint="cs"/>
          <w:color w:val="800000"/>
          <w:rtl/>
        </w:rPr>
        <w:t>!</w:t>
      </w:r>
      <w:r>
        <w:rPr>
          <w:color w:val="800000"/>
          <w:rtl/>
        </w:rPr>
        <w:t xml:space="preserve"> </w:t>
      </w:r>
      <w:r>
        <w:rPr>
          <w:b/>
          <w:bCs/>
          <w:color w:val="800000"/>
          <w:rtl/>
        </w:rPr>
        <w:t>כך אומנתו</w:t>
      </w:r>
      <w:r>
        <w:rPr>
          <w:rFonts w:hint="cs"/>
          <w:color w:val="800000"/>
          <w:rtl/>
        </w:rPr>
        <w:t>!</w:t>
      </w:r>
      <w:r>
        <w:rPr>
          <w:color w:val="800000"/>
          <w:rtl/>
        </w:rPr>
        <w:t xml:space="preserve"> לא כך אמר לאברהם להקריב את בנו</w:t>
      </w:r>
      <w:r>
        <w:rPr>
          <w:rFonts w:hint="cs"/>
          <w:color w:val="800000"/>
          <w:rtl/>
        </w:rPr>
        <w:t>,</w:t>
      </w:r>
      <w:r>
        <w:rPr>
          <w:color w:val="800000"/>
          <w:rtl/>
        </w:rPr>
        <w:t xml:space="preserve"> ואח"כ</w:t>
      </w:r>
      <w:r>
        <w:rPr>
          <w:rFonts w:hint="cs"/>
          <w:color w:val="800000"/>
          <w:rtl/>
        </w:rPr>
        <w:t xml:space="preserve">: </w:t>
      </w:r>
      <w:r>
        <w:rPr>
          <w:color w:val="800000"/>
          <w:rtl/>
        </w:rPr>
        <w:t>ויקרא מלאך ה' ויאמר אל תשלח ידך</w:t>
      </w:r>
      <w:r>
        <w:rPr>
          <w:rFonts w:hint="cs"/>
          <w:color w:val="800000"/>
          <w:rtl/>
        </w:rPr>
        <w:t>,</w:t>
      </w:r>
      <w:r>
        <w:rPr>
          <w:color w:val="800000"/>
          <w:rtl/>
        </w:rPr>
        <w:t xml:space="preserve"> </w:t>
      </w:r>
      <w:r>
        <w:rPr>
          <w:b/>
          <w:bCs/>
          <w:color w:val="800000"/>
          <w:rtl/>
        </w:rPr>
        <w:t>ל</w:t>
      </w:r>
      <w:r>
        <w:rPr>
          <w:rFonts w:hint="cs"/>
          <w:b/>
          <w:bCs/>
          <w:color w:val="800000"/>
          <w:rtl/>
        </w:rPr>
        <w:t>ָ</w:t>
      </w:r>
      <w:r>
        <w:rPr>
          <w:b/>
          <w:bCs/>
          <w:color w:val="800000"/>
          <w:rtl/>
        </w:rPr>
        <w:t>מו</w:t>
      </w:r>
      <w:r>
        <w:rPr>
          <w:rFonts w:hint="cs"/>
          <w:b/>
          <w:bCs/>
          <w:color w:val="800000"/>
          <w:rtl/>
        </w:rPr>
        <w:t>ּ</w:t>
      </w:r>
      <w:r>
        <w:rPr>
          <w:b/>
          <w:bCs/>
          <w:color w:val="800000"/>
          <w:rtl/>
        </w:rPr>
        <w:t xml:space="preserve">ד </w:t>
      </w:r>
      <w:r>
        <w:rPr>
          <w:color w:val="800000"/>
          <w:rtl/>
        </w:rPr>
        <w:t>הוא לומר דבר</w:t>
      </w:r>
      <w:r>
        <w:rPr>
          <w:rFonts w:hint="cs"/>
          <w:color w:val="800000"/>
          <w:rtl/>
        </w:rPr>
        <w:t>,</w:t>
      </w:r>
      <w:r>
        <w:rPr>
          <w:color w:val="800000"/>
          <w:rtl/>
        </w:rPr>
        <w:t xml:space="preserve"> ומלאך מחזירו</w:t>
      </w:r>
      <w:r>
        <w:rPr>
          <w:rFonts w:hint="cs"/>
          <w:color w:val="800000"/>
          <w:rtl/>
        </w:rPr>
        <w:t>!" (</w:t>
      </w:r>
      <w:r>
        <w:rPr>
          <w:color w:val="800000"/>
          <w:sz w:val="18"/>
          <w:szCs w:val="20"/>
          <w:rtl/>
        </w:rPr>
        <w:t>במדבר רבה</w:t>
      </w:r>
      <w:r>
        <w:rPr>
          <w:rFonts w:hint="cs"/>
          <w:color w:val="800000"/>
          <w:sz w:val="18"/>
          <w:szCs w:val="20"/>
          <w:rtl/>
        </w:rPr>
        <w:t xml:space="preserve">, </w:t>
      </w:r>
      <w:r>
        <w:rPr>
          <w:color w:val="800000"/>
          <w:sz w:val="18"/>
          <w:szCs w:val="20"/>
          <w:rtl/>
        </w:rPr>
        <w:t>וילנא</w:t>
      </w:r>
      <w:r>
        <w:rPr>
          <w:rFonts w:hint="cs"/>
          <w:color w:val="800000"/>
          <w:sz w:val="18"/>
          <w:szCs w:val="20"/>
          <w:rtl/>
        </w:rPr>
        <w:t xml:space="preserve"> </w:t>
      </w:r>
      <w:r>
        <w:rPr>
          <w:color w:val="800000"/>
          <w:sz w:val="18"/>
          <w:szCs w:val="20"/>
          <w:rtl/>
        </w:rPr>
        <w:t>כ</w:t>
      </w:r>
      <w:r>
        <w:rPr>
          <w:rFonts w:hint="cs"/>
          <w:color w:val="800000"/>
          <w:sz w:val="18"/>
          <w:szCs w:val="20"/>
          <w:rtl/>
        </w:rPr>
        <w:t xml:space="preserve">, </w:t>
      </w:r>
      <w:r>
        <w:rPr>
          <w:color w:val="800000"/>
          <w:sz w:val="18"/>
          <w:szCs w:val="20"/>
          <w:rtl/>
        </w:rPr>
        <w:t>טו</w:t>
      </w:r>
      <w:r>
        <w:rPr>
          <w:rFonts w:hint="cs"/>
          <w:color w:val="800000"/>
          <w:rtl/>
        </w:rPr>
        <w:t>).</w:t>
      </w:r>
    </w:p>
  </w:footnote>
  <w:footnote w:id="214">
    <w:p w14:paraId="40E917A2" w14:textId="77777777" w:rsidR="00273399" w:rsidRDefault="00273399" w:rsidP="00273399">
      <w:pPr>
        <w:pStyle w:val="a5"/>
        <w:rPr>
          <w:rFonts w:hint="cs"/>
          <w:rtl/>
        </w:rPr>
      </w:pPr>
      <w:r>
        <w:rPr>
          <w:rStyle w:val="a4"/>
        </w:rPr>
        <w:footnoteRef/>
      </w:r>
      <w:r>
        <w:rPr>
          <w:rFonts w:hint="cs"/>
          <w:rtl/>
        </w:rPr>
        <w:t xml:space="preserve"> השוה לשמות רבה </w:t>
      </w:r>
      <w:r>
        <w:rPr>
          <w:rFonts w:hint="cs"/>
          <w:sz w:val="18"/>
          <w:szCs w:val="20"/>
          <w:rtl/>
        </w:rPr>
        <w:t>פרשה מז</w:t>
      </w:r>
      <w:r>
        <w:rPr>
          <w:rFonts w:hint="cs"/>
          <w:rtl/>
        </w:rPr>
        <w:t xml:space="preserve">: "כל הצדיקים באו באומניות על הקב"ה", ופרש מהרז"ו: "באומניות - במחשבת חכמה, כמעשה אומן בכלי" ובפירוש יפה תואר: "באומניות - בדעת ובהשכל". וע"ע: </w:t>
      </w:r>
      <w:r>
        <w:rPr>
          <w:rtl/>
        </w:rPr>
        <w:t xml:space="preserve">שו"ת יהודה יעלה </w:t>
      </w:r>
      <w:r>
        <w:rPr>
          <w:sz w:val="18"/>
          <w:szCs w:val="20"/>
          <w:rtl/>
        </w:rPr>
        <w:t>ח</w:t>
      </w:r>
      <w:r>
        <w:rPr>
          <w:rFonts w:hint="cs"/>
          <w:sz w:val="18"/>
          <w:szCs w:val="20"/>
          <w:rtl/>
        </w:rPr>
        <w:t>"</w:t>
      </w:r>
      <w:r>
        <w:rPr>
          <w:sz w:val="18"/>
          <w:szCs w:val="20"/>
          <w:rtl/>
        </w:rPr>
        <w:t>א</w:t>
      </w:r>
      <w:r>
        <w:rPr>
          <w:rFonts w:hint="cs"/>
          <w:sz w:val="18"/>
          <w:szCs w:val="20"/>
          <w:rtl/>
        </w:rPr>
        <w:t xml:space="preserve">, </w:t>
      </w:r>
      <w:r>
        <w:rPr>
          <w:sz w:val="18"/>
          <w:szCs w:val="20"/>
          <w:rtl/>
        </w:rPr>
        <w:t>יו"ד סימן מ</w:t>
      </w:r>
      <w:r>
        <w:rPr>
          <w:rFonts w:hint="cs"/>
          <w:sz w:val="18"/>
          <w:szCs w:val="20"/>
          <w:rtl/>
        </w:rPr>
        <w:t>"</w:t>
      </w:r>
      <w:r>
        <w:rPr>
          <w:sz w:val="18"/>
          <w:szCs w:val="20"/>
          <w:rtl/>
        </w:rPr>
        <w:t>ט</w:t>
      </w:r>
      <w:r>
        <w:rPr>
          <w:rFonts w:hint="cs"/>
          <w:rtl/>
        </w:rPr>
        <w:t>, והשוה לעיל, הערה 3.</w:t>
      </w:r>
    </w:p>
  </w:footnote>
  <w:footnote w:id="215">
    <w:p w14:paraId="493C8AC0" w14:textId="77777777" w:rsidR="00273399" w:rsidRDefault="00273399" w:rsidP="00273399">
      <w:pPr>
        <w:pStyle w:val="a5"/>
        <w:rPr>
          <w:rFonts w:hint="cs"/>
          <w:sz w:val="32"/>
          <w:szCs w:val="30"/>
          <w:rtl/>
        </w:rPr>
      </w:pPr>
      <w:r>
        <w:rPr>
          <w:rStyle w:val="a4"/>
          <w:rtl/>
        </w:rPr>
        <w:footnoteRef/>
      </w:r>
      <w:r>
        <w:rPr>
          <w:rFonts w:hint="cs"/>
          <w:sz w:val="16"/>
          <w:rtl/>
        </w:rPr>
        <w:t xml:space="preserve"> "</w:t>
      </w:r>
      <w:r>
        <w:rPr>
          <w:sz w:val="16"/>
          <w:rtl/>
        </w:rPr>
        <w:t>אָמָּן</w:t>
      </w:r>
      <w:r>
        <w:rPr>
          <w:rFonts w:hint="cs"/>
          <w:sz w:val="16"/>
          <w:rtl/>
        </w:rPr>
        <w:t>" (א' מנוקדת ב</w:t>
      </w:r>
      <w:r>
        <w:rPr>
          <w:sz w:val="26"/>
          <w:rtl/>
        </w:rPr>
        <w:t>קמץ קטן</w:t>
      </w:r>
      <w:r>
        <w:rPr>
          <w:rFonts w:hint="cs"/>
          <w:sz w:val="16"/>
          <w:rtl/>
        </w:rPr>
        <w:t xml:space="preserve"> ומ' דגושה) - כך הוא הנוסח שהדפיס ה</w:t>
      </w:r>
      <w:r>
        <w:rPr>
          <w:sz w:val="16"/>
          <w:rtl/>
        </w:rPr>
        <w:t>ר"מ ברויאר</w:t>
      </w:r>
      <w:r>
        <w:rPr>
          <w:rFonts w:hint="cs"/>
          <w:sz w:val="16"/>
          <w:rtl/>
        </w:rPr>
        <w:t xml:space="preserve"> ע"פ כתב יד </w:t>
      </w:r>
      <w:r>
        <w:rPr>
          <w:sz w:val="16"/>
          <w:rtl/>
        </w:rPr>
        <w:t>ל</w:t>
      </w:r>
      <w:r>
        <w:rPr>
          <w:rFonts w:hint="cs"/>
          <w:sz w:val="16"/>
          <w:rtl/>
        </w:rPr>
        <w:t>נינגרד ו</w:t>
      </w:r>
      <w:r>
        <w:rPr>
          <w:sz w:val="16"/>
          <w:rtl/>
        </w:rPr>
        <w:t>מ</w:t>
      </w:r>
      <w:r>
        <w:rPr>
          <w:rFonts w:hint="cs"/>
          <w:sz w:val="16"/>
          <w:rtl/>
        </w:rPr>
        <w:t xml:space="preserve">נחת </w:t>
      </w:r>
      <w:r>
        <w:rPr>
          <w:sz w:val="16"/>
          <w:rtl/>
        </w:rPr>
        <w:t>ש</w:t>
      </w:r>
      <w:r>
        <w:rPr>
          <w:rFonts w:hint="cs"/>
          <w:sz w:val="16"/>
          <w:rtl/>
        </w:rPr>
        <w:t>י. יש שהדפיסו ללא דגש ("</w:t>
      </w:r>
      <w:r>
        <w:rPr>
          <w:sz w:val="16"/>
          <w:rtl/>
        </w:rPr>
        <w:t>אָמָן</w:t>
      </w:r>
      <w:r>
        <w:rPr>
          <w:rFonts w:hint="cs"/>
          <w:sz w:val="16"/>
          <w:rtl/>
        </w:rPr>
        <w:t>" או "</w:t>
      </w:r>
      <w:r>
        <w:rPr>
          <w:sz w:val="16"/>
          <w:rtl/>
        </w:rPr>
        <w:t>א</w:t>
      </w:r>
      <w:r>
        <w:rPr>
          <w:rFonts w:hint="cs"/>
          <w:sz w:val="16"/>
          <w:rtl/>
        </w:rPr>
        <w:t>ֳ</w:t>
      </w:r>
      <w:r>
        <w:rPr>
          <w:sz w:val="16"/>
          <w:rtl/>
        </w:rPr>
        <w:t>מָן</w:t>
      </w:r>
      <w:r>
        <w:rPr>
          <w:rFonts w:hint="cs"/>
          <w:sz w:val="16"/>
          <w:rtl/>
        </w:rPr>
        <w:t xml:space="preserve">"). על צורה זו העיר ר' עמוס </w:t>
      </w:r>
      <w:r>
        <w:rPr>
          <w:sz w:val="26"/>
          <w:rtl/>
        </w:rPr>
        <w:t>חכם</w:t>
      </w:r>
      <w:r>
        <w:rPr>
          <w:rFonts w:hint="cs"/>
          <w:sz w:val="26"/>
          <w:rtl/>
        </w:rPr>
        <w:t xml:space="preserve"> (</w:t>
      </w:r>
      <w:r>
        <w:rPr>
          <w:sz w:val="18"/>
          <w:szCs w:val="20"/>
          <w:rtl/>
        </w:rPr>
        <w:t>דעת מקרא, הערה 4</w:t>
      </w:r>
      <w:r>
        <w:rPr>
          <w:rFonts w:hint="cs"/>
          <w:sz w:val="26"/>
          <w:rtl/>
        </w:rPr>
        <w:t>)</w:t>
      </w:r>
      <w:r>
        <w:rPr>
          <w:sz w:val="26"/>
          <w:rtl/>
        </w:rPr>
        <w:t xml:space="preserve">: </w:t>
      </w:r>
      <w:r>
        <w:rPr>
          <w:rFonts w:hint="cs"/>
          <w:sz w:val="26"/>
          <w:rtl/>
        </w:rPr>
        <w:t>"</w:t>
      </w:r>
      <w:r>
        <w:rPr>
          <w:sz w:val="26"/>
          <w:rtl/>
        </w:rPr>
        <w:t>צורה מוזרה תמורת אַמָּן ע</w:t>
      </w:r>
      <w:r>
        <w:rPr>
          <w:rFonts w:hint="cs"/>
          <w:sz w:val="26"/>
          <w:rtl/>
        </w:rPr>
        <w:t xml:space="preserve">ל </w:t>
      </w:r>
      <w:r>
        <w:rPr>
          <w:sz w:val="26"/>
          <w:rtl/>
        </w:rPr>
        <w:t>מ</w:t>
      </w:r>
      <w:r>
        <w:rPr>
          <w:rFonts w:hint="cs"/>
          <w:sz w:val="26"/>
          <w:rtl/>
        </w:rPr>
        <w:t>שקל</w:t>
      </w:r>
      <w:r>
        <w:rPr>
          <w:sz w:val="26"/>
          <w:rtl/>
        </w:rPr>
        <w:t xml:space="preserve"> טַבָּח.. ומסתבר ששאולה מאכדית ומקורה בשומרית</w:t>
      </w:r>
      <w:r>
        <w:rPr>
          <w:rFonts w:hint="cs"/>
          <w:sz w:val="26"/>
          <w:rtl/>
        </w:rPr>
        <w:t>"</w:t>
      </w:r>
      <w:r>
        <w:rPr>
          <w:sz w:val="26"/>
          <w:rtl/>
        </w:rPr>
        <w:t>.</w:t>
      </w:r>
    </w:p>
  </w:footnote>
  <w:footnote w:id="216">
    <w:p w14:paraId="32A3CCFB" w14:textId="77777777" w:rsidR="00273399" w:rsidRDefault="00273399" w:rsidP="00273399">
      <w:pPr>
        <w:pStyle w:val="a5"/>
        <w:rPr>
          <w:rFonts w:hint="cs"/>
          <w:sz w:val="30"/>
          <w:szCs w:val="28"/>
          <w:rtl/>
        </w:rPr>
      </w:pPr>
      <w:r>
        <w:rPr>
          <w:rStyle w:val="a4"/>
        </w:rPr>
        <w:footnoteRef/>
      </w:r>
      <w:r>
        <w:rPr>
          <w:rFonts w:hint="cs"/>
          <w:rtl/>
        </w:rPr>
        <w:t xml:space="preserve"> </w:t>
      </w:r>
      <w:r>
        <w:rPr>
          <w:rFonts w:hint="cs"/>
          <w:sz w:val="26"/>
          <w:rtl/>
        </w:rPr>
        <w:t>כשם שמצינו "</w:t>
      </w:r>
      <w:r>
        <w:rPr>
          <w:b/>
          <w:bCs/>
          <w:sz w:val="26"/>
          <w:rtl/>
        </w:rPr>
        <w:t>אֻ</w:t>
      </w:r>
      <w:r>
        <w:rPr>
          <w:sz w:val="26"/>
          <w:rtl/>
        </w:rPr>
        <w:t>מְנָם</w:t>
      </w:r>
      <w:r>
        <w:rPr>
          <w:rFonts w:hint="cs"/>
          <w:sz w:val="26"/>
          <w:rtl/>
        </w:rPr>
        <w:t>" (</w:t>
      </w:r>
      <w:r>
        <w:rPr>
          <w:sz w:val="18"/>
          <w:szCs w:val="20"/>
          <w:rtl/>
        </w:rPr>
        <w:t>בראשית יח</w:t>
      </w:r>
      <w:r>
        <w:rPr>
          <w:rFonts w:hint="cs"/>
          <w:sz w:val="18"/>
          <w:szCs w:val="20"/>
          <w:rtl/>
        </w:rPr>
        <w:t xml:space="preserve">, </w:t>
      </w:r>
      <w:r>
        <w:rPr>
          <w:sz w:val="18"/>
          <w:szCs w:val="20"/>
          <w:rtl/>
        </w:rPr>
        <w:t>יג</w:t>
      </w:r>
      <w:r>
        <w:rPr>
          <w:rFonts w:hint="cs"/>
          <w:sz w:val="26"/>
          <w:rtl/>
        </w:rPr>
        <w:t>)</w:t>
      </w:r>
      <w:r>
        <w:rPr>
          <w:sz w:val="26"/>
          <w:rtl/>
        </w:rPr>
        <w:t xml:space="preserve"> </w:t>
      </w:r>
      <w:r>
        <w:rPr>
          <w:rFonts w:hint="cs"/>
          <w:sz w:val="26"/>
          <w:rtl/>
        </w:rPr>
        <w:t>לצד "</w:t>
      </w:r>
      <w:r>
        <w:rPr>
          <w:b/>
          <w:bCs/>
          <w:sz w:val="26"/>
          <w:rtl/>
        </w:rPr>
        <w:t>אָ</w:t>
      </w:r>
      <w:r>
        <w:rPr>
          <w:sz w:val="26"/>
          <w:rtl/>
        </w:rPr>
        <w:t>מְנָם</w:t>
      </w:r>
      <w:r>
        <w:rPr>
          <w:rFonts w:hint="cs"/>
          <w:sz w:val="26"/>
          <w:rtl/>
        </w:rPr>
        <w:t>" (</w:t>
      </w:r>
      <w:r>
        <w:rPr>
          <w:sz w:val="18"/>
          <w:szCs w:val="20"/>
          <w:rtl/>
        </w:rPr>
        <w:t>רות ג</w:t>
      </w:r>
      <w:r>
        <w:rPr>
          <w:rFonts w:hint="cs"/>
          <w:sz w:val="18"/>
          <w:szCs w:val="20"/>
          <w:rtl/>
        </w:rPr>
        <w:t xml:space="preserve">, </w:t>
      </w:r>
      <w:r>
        <w:rPr>
          <w:sz w:val="18"/>
          <w:szCs w:val="20"/>
          <w:rtl/>
        </w:rPr>
        <w:t>יב</w:t>
      </w:r>
      <w:r>
        <w:rPr>
          <w:rFonts w:hint="cs"/>
          <w:sz w:val="26"/>
          <w:rtl/>
        </w:rPr>
        <w:t>).</w:t>
      </w:r>
    </w:p>
  </w:footnote>
  <w:footnote w:id="217">
    <w:p w14:paraId="50FB7BDE" w14:textId="77777777" w:rsidR="00273399" w:rsidRDefault="00273399" w:rsidP="00273399">
      <w:pPr>
        <w:pStyle w:val="a5"/>
        <w:rPr>
          <w:rFonts w:hint="cs"/>
          <w:sz w:val="30"/>
          <w:szCs w:val="28"/>
          <w:rtl/>
        </w:rPr>
      </w:pPr>
      <w:r>
        <w:rPr>
          <w:rStyle w:val="a4"/>
        </w:rPr>
        <w:footnoteRef/>
      </w:r>
      <w:r>
        <w:rPr>
          <w:rFonts w:hint="cs"/>
          <w:rtl/>
        </w:rPr>
        <w:t xml:space="preserve"> </w:t>
      </w:r>
      <w:r>
        <w:rPr>
          <w:rFonts w:hint="cs"/>
          <w:sz w:val="26"/>
          <w:rtl/>
        </w:rPr>
        <w:t>וכיו"ב ב</w:t>
      </w:r>
      <w:r>
        <w:rPr>
          <w:sz w:val="26"/>
          <w:rtl/>
        </w:rPr>
        <w:t>שי</w:t>
      </w:r>
      <w:r>
        <w:rPr>
          <w:rFonts w:hint="cs"/>
          <w:sz w:val="26"/>
          <w:rtl/>
        </w:rPr>
        <w:t>ר ה</w:t>
      </w:r>
      <w:r>
        <w:rPr>
          <w:sz w:val="26"/>
          <w:rtl/>
        </w:rPr>
        <w:t>ש</w:t>
      </w:r>
      <w:r>
        <w:rPr>
          <w:rFonts w:hint="cs"/>
          <w:sz w:val="26"/>
          <w:rtl/>
        </w:rPr>
        <w:t xml:space="preserve">ירים רבה </w:t>
      </w:r>
      <w:r>
        <w:rPr>
          <w:sz w:val="18"/>
          <w:szCs w:val="20"/>
          <w:rtl/>
        </w:rPr>
        <w:t>ז</w:t>
      </w:r>
      <w:r>
        <w:rPr>
          <w:rFonts w:hint="cs"/>
          <w:sz w:val="18"/>
          <w:szCs w:val="20"/>
          <w:rtl/>
        </w:rPr>
        <w:t xml:space="preserve">, </w:t>
      </w:r>
      <w:r>
        <w:rPr>
          <w:sz w:val="18"/>
          <w:szCs w:val="20"/>
          <w:rtl/>
        </w:rPr>
        <w:t>ג</w:t>
      </w:r>
      <w:r>
        <w:rPr>
          <w:rFonts w:hint="cs"/>
          <w:sz w:val="18"/>
          <w:szCs w:val="20"/>
          <w:rtl/>
        </w:rPr>
        <w:t xml:space="preserve"> </w:t>
      </w:r>
      <w:r>
        <w:rPr>
          <w:rFonts w:hint="cs"/>
          <w:sz w:val="26"/>
          <w:rtl/>
        </w:rPr>
        <w:t xml:space="preserve">ובפירוש "רש"י" למועד קטן </w:t>
      </w:r>
      <w:r>
        <w:rPr>
          <w:rFonts w:hint="cs"/>
          <w:sz w:val="18"/>
          <w:szCs w:val="20"/>
          <w:rtl/>
        </w:rPr>
        <w:t>טז, ב</w:t>
      </w:r>
      <w:r>
        <w:rPr>
          <w:rFonts w:hint="cs"/>
          <w:sz w:val="26"/>
          <w:rtl/>
        </w:rPr>
        <w:t xml:space="preserve">: "אף דברי תורה בסתר. דכתיב בסיפיה דקרא 'מעשה ידי אומן' התורה מעשה אומנתו של הקדוש ברוך הוא"; וכך ייסד רבי </w:t>
      </w:r>
      <w:r>
        <w:rPr>
          <w:sz w:val="26"/>
          <w:rtl/>
        </w:rPr>
        <w:t>שמעון בר יצחק</w:t>
      </w:r>
      <w:r>
        <w:rPr>
          <w:rFonts w:hint="cs"/>
          <w:sz w:val="26"/>
          <w:rtl/>
        </w:rPr>
        <w:t>,</w:t>
      </w:r>
      <w:r>
        <w:rPr>
          <w:sz w:val="26"/>
          <w:rtl/>
        </w:rPr>
        <w:t xml:space="preserve"> </w:t>
      </w:r>
      <w:r>
        <w:rPr>
          <w:rFonts w:hint="cs"/>
          <w:sz w:val="26"/>
          <w:rtl/>
        </w:rPr>
        <w:t>הפייטן האשכנזי הקדמון, בפיוט לשבועות המתאר את מעמד הר סיני: "</w:t>
      </w:r>
      <w:r>
        <w:rPr>
          <w:sz w:val="26"/>
          <w:rtl/>
        </w:rPr>
        <w:t>וְאִוָּה לְהַנְחִילָם מַעֲשֵׂה יְדֵי אָמָּן</w:t>
      </w:r>
      <w:r>
        <w:rPr>
          <w:rFonts w:hint="cs"/>
          <w:sz w:val="26"/>
          <w:rtl/>
        </w:rPr>
        <w:t>".</w:t>
      </w:r>
    </w:p>
  </w:footnote>
  <w:footnote w:id="218">
    <w:p w14:paraId="5ACBE6D0" w14:textId="77777777" w:rsidR="00273399" w:rsidRDefault="00273399" w:rsidP="00273399">
      <w:pPr>
        <w:pStyle w:val="a5"/>
        <w:rPr>
          <w:rFonts w:hint="cs"/>
          <w:sz w:val="30"/>
          <w:szCs w:val="28"/>
          <w:rtl/>
        </w:rPr>
      </w:pPr>
      <w:r>
        <w:rPr>
          <w:rStyle w:val="a4"/>
        </w:rPr>
        <w:footnoteRef/>
      </w:r>
      <w:r>
        <w:rPr>
          <w:rFonts w:hint="cs"/>
          <w:rtl/>
        </w:rPr>
        <w:t xml:space="preserve"> </w:t>
      </w:r>
      <w:r>
        <w:rPr>
          <w:rFonts w:hint="cs"/>
          <w:sz w:val="26"/>
          <w:rtl/>
        </w:rPr>
        <w:t>לחם שמים על סדר זרעים</w:t>
      </w:r>
      <w:r>
        <w:rPr>
          <w:rFonts w:hint="cs"/>
          <w:sz w:val="18"/>
          <w:szCs w:val="20"/>
          <w:rtl/>
        </w:rPr>
        <w:t xml:space="preserve">, ירושלים תשל"ה, עמ' טו </w:t>
      </w:r>
      <w:r>
        <w:rPr>
          <w:rFonts w:hint="cs"/>
          <w:sz w:val="26"/>
          <w:rtl/>
        </w:rPr>
        <w:t>(הערותיי בסוגריים).</w:t>
      </w:r>
    </w:p>
  </w:footnote>
  <w:footnote w:id="219">
    <w:p w14:paraId="5B629A5E" w14:textId="77777777" w:rsidR="00273399" w:rsidRDefault="00273399" w:rsidP="00273399">
      <w:pPr>
        <w:pStyle w:val="a5"/>
        <w:rPr>
          <w:rFonts w:hint="cs"/>
          <w:rtl/>
        </w:rPr>
      </w:pPr>
      <w:r>
        <w:rPr>
          <w:rStyle w:val="a4"/>
        </w:rPr>
        <w:footnoteRef/>
      </w:r>
      <w:r>
        <w:rPr>
          <w:rFonts w:hint="cs"/>
          <w:rtl/>
        </w:rPr>
        <w:t xml:space="preserve"> </w:t>
      </w:r>
      <w:r>
        <w:rPr>
          <w:rFonts w:hint="cs"/>
          <w:sz w:val="26"/>
          <w:rtl/>
        </w:rPr>
        <w:t>וע"ע בפיהמ"ש לר"מ עוקצין פ"ב מ"ה "שאמנן" ובהערת ר"י קאפח.</w:t>
      </w:r>
    </w:p>
  </w:footnote>
  <w:footnote w:id="220">
    <w:p w14:paraId="70C8FC0F" w14:textId="77777777" w:rsidR="00273399" w:rsidRDefault="00273399" w:rsidP="00273399">
      <w:pPr>
        <w:pStyle w:val="a5"/>
        <w:rPr>
          <w:rFonts w:hint="cs"/>
          <w:rtl/>
        </w:rPr>
      </w:pPr>
      <w:r>
        <w:rPr>
          <w:rStyle w:val="a4"/>
        </w:rPr>
        <w:footnoteRef/>
      </w:r>
      <w:r>
        <w:rPr>
          <w:rFonts w:hint="cs"/>
          <w:rtl/>
        </w:rPr>
        <w:t xml:space="preserve"> </w:t>
      </w:r>
      <w:r>
        <w:rPr>
          <w:rFonts w:hint="cs"/>
          <w:sz w:val="26"/>
          <w:rtl/>
        </w:rPr>
        <w:t>כגון בתרגום הארמי ל</w:t>
      </w:r>
      <w:r>
        <w:rPr>
          <w:sz w:val="26"/>
          <w:rtl/>
        </w:rPr>
        <w:t>שי</w:t>
      </w:r>
      <w:r>
        <w:rPr>
          <w:rFonts w:hint="cs"/>
          <w:sz w:val="26"/>
          <w:rtl/>
        </w:rPr>
        <w:t>ר ה</w:t>
      </w:r>
      <w:r>
        <w:rPr>
          <w:sz w:val="26"/>
          <w:rtl/>
        </w:rPr>
        <w:t>ש</w:t>
      </w:r>
      <w:r>
        <w:rPr>
          <w:rFonts w:hint="cs"/>
          <w:sz w:val="26"/>
          <w:rtl/>
        </w:rPr>
        <w:t>ירים</w:t>
      </w:r>
      <w:r>
        <w:rPr>
          <w:sz w:val="26"/>
          <w:rtl/>
        </w:rPr>
        <w:t xml:space="preserve"> ז, ב</w:t>
      </w:r>
      <w:r>
        <w:rPr>
          <w:rFonts w:hint="cs"/>
          <w:sz w:val="26"/>
          <w:rtl/>
        </w:rPr>
        <w:t xml:space="preserve"> ובתרגום </w:t>
      </w:r>
      <w:r>
        <w:rPr>
          <w:sz w:val="26"/>
          <w:rtl/>
        </w:rPr>
        <w:t>אונקלוס</w:t>
      </w:r>
      <w:r>
        <w:rPr>
          <w:rFonts w:hint="cs"/>
          <w:sz w:val="26"/>
          <w:rtl/>
        </w:rPr>
        <w:t xml:space="preserve"> המובא לעיל.</w:t>
      </w:r>
    </w:p>
  </w:footnote>
  <w:footnote w:id="221">
    <w:p w14:paraId="697ACB93" w14:textId="77777777" w:rsidR="00273399" w:rsidRDefault="00273399" w:rsidP="00273399">
      <w:pPr>
        <w:pStyle w:val="a5"/>
        <w:rPr>
          <w:rFonts w:hint="cs"/>
          <w:rtl/>
        </w:rPr>
      </w:pPr>
      <w:r>
        <w:rPr>
          <w:rStyle w:val="a4"/>
          <w:rtl/>
        </w:rPr>
        <w:footnoteRef/>
      </w:r>
      <w:r>
        <w:rPr>
          <w:szCs w:val="22"/>
        </w:rPr>
        <w:t xml:space="preserve"> </w:t>
      </w:r>
      <w:r>
        <w:rPr>
          <w:rFonts w:hint="cs"/>
          <w:rtl/>
        </w:rPr>
        <w:t>ברור שאין זהות בין "תורה" ו"אומנות".</w:t>
      </w:r>
      <w:r>
        <w:rPr>
          <w:rtl/>
        </w:rPr>
        <w:t xml:space="preserve"> תורה לחוד ואומנות לחוד</w:t>
      </w:r>
      <w:r>
        <w:rPr>
          <w:rFonts w:hint="cs"/>
          <w:rtl/>
        </w:rPr>
        <w:t xml:space="preserve"> (</w:t>
      </w:r>
      <w:r>
        <w:rPr>
          <w:rFonts w:hint="cs"/>
          <w:szCs w:val="20"/>
          <w:rtl/>
        </w:rPr>
        <w:t xml:space="preserve">ראה למשל את הניגוד שבלשון </w:t>
      </w:r>
      <w:r>
        <w:rPr>
          <w:szCs w:val="20"/>
          <w:rtl/>
        </w:rPr>
        <w:t xml:space="preserve">רבי נהוראי </w:t>
      </w:r>
      <w:r>
        <w:rPr>
          <w:rFonts w:hint="cs"/>
          <w:szCs w:val="20"/>
          <w:rtl/>
        </w:rPr>
        <w:t>בשלהי פ"ד של קידושין</w:t>
      </w:r>
      <w:r>
        <w:rPr>
          <w:szCs w:val="20"/>
          <w:rtl/>
        </w:rPr>
        <w:t xml:space="preserve">: </w:t>
      </w:r>
      <w:r>
        <w:rPr>
          <w:rFonts w:hint="cs"/>
          <w:szCs w:val="20"/>
          <w:rtl/>
        </w:rPr>
        <w:t>"</w:t>
      </w:r>
      <w:r>
        <w:rPr>
          <w:szCs w:val="20"/>
          <w:rtl/>
        </w:rPr>
        <w:t>מניח</w:t>
      </w:r>
      <w:r>
        <w:rPr>
          <w:rFonts w:hint="cs"/>
          <w:szCs w:val="20"/>
          <w:rtl/>
        </w:rPr>
        <w:t xml:space="preserve"> </w:t>
      </w:r>
      <w:r>
        <w:rPr>
          <w:szCs w:val="20"/>
          <w:rtl/>
        </w:rPr>
        <w:t xml:space="preserve">אני כל </w:t>
      </w:r>
      <w:r>
        <w:rPr>
          <w:b/>
          <w:bCs/>
          <w:szCs w:val="20"/>
          <w:rtl/>
        </w:rPr>
        <w:t>אומנות</w:t>
      </w:r>
      <w:r>
        <w:rPr>
          <w:szCs w:val="20"/>
          <w:rtl/>
        </w:rPr>
        <w:t xml:space="preserve"> שבעולם</w:t>
      </w:r>
      <w:r>
        <w:rPr>
          <w:rFonts w:hint="cs"/>
          <w:szCs w:val="20"/>
          <w:rtl/>
        </w:rPr>
        <w:t xml:space="preserve"> - </w:t>
      </w:r>
      <w:r>
        <w:rPr>
          <w:szCs w:val="20"/>
          <w:rtl/>
        </w:rPr>
        <w:t xml:space="preserve">ואיני מלמד את בני אלא </w:t>
      </w:r>
      <w:r>
        <w:rPr>
          <w:b/>
          <w:bCs/>
          <w:szCs w:val="20"/>
          <w:rtl/>
        </w:rPr>
        <w:t>תורה</w:t>
      </w:r>
      <w:r>
        <w:rPr>
          <w:rFonts w:hint="cs"/>
          <w:szCs w:val="20"/>
          <w:rtl/>
        </w:rPr>
        <w:t>"</w:t>
      </w:r>
      <w:r>
        <w:rPr>
          <w:rFonts w:hint="cs"/>
          <w:rtl/>
        </w:rPr>
        <w:t>)</w:t>
      </w:r>
      <w:r>
        <w:rPr>
          <w:rtl/>
        </w:rPr>
        <w:t>.</w:t>
      </w:r>
      <w:r>
        <w:rPr>
          <w:rFonts w:hint="cs"/>
          <w:rtl/>
        </w:rPr>
        <w:t xml:space="preserve"> אלא, הואיל ואין לרשב"י אומנות, ובמקומה הוא עוסק בתורה, נחשב הדבר כאילו תורתו - אומנותו. לפי נוסח כתבי היד (</w:t>
      </w:r>
      <w:r>
        <w:rPr>
          <w:rFonts w:hint="cs"/>
          <w:sz w:val="18"/>
          <w:szCs w:val="20"/>
          <w:rtl/>
        </w:rPr>
        <w:t>מינכן, וטיקן ואוקספורד</w:t>
      </w:r>
      <w:r>
        <w:rPr>
          <w:rFonts w:hint="cs"/>
          <w:rtl/>
        </w:rPr>
        <w:t>) בסוגייה זו, הדברים מפורשים יותר:</w:t>
      </w:r>
      <w:r>
        <w:rPr>
          <w:rtl/>
        </w:rPr>
        <w:t xml:space="preserve"> "שתורתן </w:t>
      </w:r>
      <w:r>
        <w:rPr>
          <w:b/>
          <w:bCs/>
          <w:rtl/>
        </w:rPr>
        <w:t xml:space="preserve">זו היא </w:t>
      </w:r>
      <w:r>
        <w:rPr>
          <w:rtl/>
        </w:rPr>
        <w:t>אומנותן"</w:t>
      </w:r>
      <w:r>
        <w:rPr>
          <w:rFonts w:hint="cs"/>
          <w:rtl/>
        </w:rPr>
        <w:t xml:space="preserve"> (</w:t>
      </w:r>
      <w:r>
        <w:rPr>
          <w:rFonts w:hint="cs"/>
          <w:sz w:val="18"/>
          <w:szCs w:val="20"/>
          <w:rtl/>
        </w:rPr>
        <w:t>וכן מופיע ב</w:t>
      </w:r>
      <w:r>
        <w:rPr>
          <w:sz w:val="18"/>
          <w:szCs w:val="20"/>
          <w:rtl/>
        </w:rPr>
        <w:t>סדר רב עמרם גאון</w:t>
      </w:r>
      <w:r>
        <w:rPr>
          <w:rFonts w:hint="cs"/>
          <w:sz w:val="18"/>
          <w:szCs w:val="20"/>
          <w:rtl/>
        </w:rPr>
        <w:t xml:space="preserve"> ובמ</w:t>
      </w:r>
      <w:r>
        <w:rPr>
          <w:sz w:val="18"/>
          <w:szCs w:val="20"/>
          <w:rtl/>
        </w:rPr>
        <w:t>חזור ויטרי</w:t>
      </w:r>
      <w:r>
        <w:rPr>
          <w:rFonts w:hint="cs"/>
          <w:sz w:val="18"/>
          <w:szCs w:val="20"/>
          <w:rtl/>
        </w:rPr>
        <w:t xml:space="preserve"> שלהלן</w:t>
      </w:r>
      <w:r>
        <w:rPr>
          <w:rFonts w:hint="cs"/>
          <w:rtl/>
        </w:rPr>
        <w:t>)</w:t>
      </w:r>
      <w:r>
        <w:rPr>
          <w:rtl/>
        </w:rPr>
        <w:t>.</w:t>
      </w:r>
      <w:r>
        <w:rPr>
          <w:rFonts w:hint="cs"/>
          <w:rtl/>
        </w:rPr>
        <w:t xml:space="preserve"> סגנון השוואתי זה דומה ל"</w:t>
      </w:r>
      <w:r>
        <w:rPr>
          <w:rtl/>
        </w:rPr>
        <w:t>נתינת מים לדיו</w:t>
      </w:r>
      <w:r>
        <w:rPr>
          <w:rFonts w:hint="cs"/>
          <w:rtl/>
        </w:rPr>
        <w:t xml:space="preserve"> -</w:t>
      </w:r>
      <w:r>
        <w:rPr>
          <w:rtl/>
        </w:rPr>
        <w:t xml:space="preserve"> </w:t>
      </w:r>
      <w:r>
        <w:rPr>
          <w:b/>
          <w:bCs/>
          <w:rtl/>
        </w:rPr>
        <w:t>זו היא</w:t>
      </w:r>
      <w:r>
        <w:rPr>
          <w:rFonts w:hint="cs"/>
          <w:b/>
          <w:bCs/>
          <w:rtl/>
        </w:rPr>
        <w:t xml:space="preserve"> </w:t>
      </w:r>
      <w:r>
        <w:rPr>
          <w:rtl/>
        </w:rPr>
        <w:t>שרייתן</w:t>
      </w:r>
      <w:r>
        <w:rPr>
          <w:rFonts w:hint="cs"/>
          <w:rtl/>
        </w:rPr>
        <w:t>" (</w:t>
      </w:r>
      <w:r>
        <w:rPr>
          <w:rFonts w:hint="cs"/>
          <w:sz w:val="18"/>
          <w:szCs w:val="20"/>
          <w:rtl/>
        </w:rPr>
        <w:t xml:space="preserve">להלן </w:t>
      </w:r>
      <w:r>
        <w:rPr>
          <w:sz w:val="18"/>
          <w:szCs w:val="20"/>
          <w:rtl/>
        </w:rPr>
        <w:t>יח</w:t>
      </w:r>
      <w:r>
        <w:rPr>
          <w:rFonts w:hint="cs"/>
          <w:sz w:val="18"/>
          <w:szCs w:val="20"/>
          <w:rtl/>
        </w:rPr>
        <w:t xml:space="preserve">, </w:t>
      </w:r>
      <w:r>
        <w:rPr>
          <w:sz w:val="18"/>
          <w:szCs w:val="20"/>
          <w:rtl/>
        </w:rPr>
        <w:t>א</w:t>
      </w:r>
      <w:r>
        <w:rPr>
          <w:rFonts w:hint="cs"/>
          <w:rtl/>
        </w:rPr>
        <w:t>), "</w:t>
      </w:r>
      <w:r>
        <w:rPr>
          <w:rtl/>
        </w:rPr>
        <w:t>הדחתן</w:t>
      </w:r>
      <w:r>
        <w:rPr>
          <w:rFonts w:hint="cs"/>
          <w:rtl/>
        </w:rPr>
        <w:t xml:space="preserve"> -</w:t>
      </w:r>
      <w:r>
        <w:rPr>
          <w:rtl/>
        </w:rPr>
        <w:t xml:space="preserve"> </w:t>
      </w:r>
      <w:r>
        <w:rPr>
          <w:b/>
          <w:bCs/>
          <w:rtl/>
        </w:rPr>
        <w:t xml:space="preserve">זו היא </w:t>
      </w:r>
      <w:r>
        <w:rPr>
          <w:rtl/>
        </w:rPr>
        <w:t>גמר מלאכתן</w:t>
      </w:r>
      <w:r>
        <w:rPr>
          <w:rFonts w:hint="cs"/>
          <w:rtl/>
        </w:rPr>
        <w:t>" (</w:t>
      </w:r>
      <w:r>
        <w:rPr>
          <w:rFonts w:hint="cs"/>
          <w:sz w:val="18"/>
          <w:szCs w:val="20"/>
          <w:rtl/>
        </w:rPr>
        <w:t>להלן</w:t>
      </w:r>
      <w:r>
        <w:rPr>
          <w:sz w:val="18"/>
          <w:szCs w:val="20"/>
          <w:rtl/>
        </w:rPr>
        <w:t xml:space="preserve"> לט</w:t>
      </w:r>
      <w:r>
        <w:rPr>
          <w:rFonts w:hint="cs"/>
          <w:sz w:val="18"/>
          <w:szCs w:val="20"/>
          <w:rtl/>
        </w:rPr>
        <w:t xml:space="preserve">, </w:t>
      </w:r>
      <w:r>
        <w:rPr>
          <w:sz w:val="18"/>
          <w:szCs w:val="20"/>
          <w:rtl/>
        </w:rPr>
        <w:t>א</w:t>
      </w:r>
      <w:r>
        <w:rPr>
          <w:rFonts w:hint="cs"/>
          <w:rtl/>
        </w:rPr>
        <w:t>) ו"</w:t>
      </w:r>
      <w:r>
        <w:rPr>
          <w:rtl/>
        </w:rPr>
        <w:t>כתיבתן</w:t>
      </w:r>
      <w:r>
        <w:rPr>
          <w:rFonts w:hint="cs"/>
          <w:rtl/>
        </w:rPr>
        <w:t xml:space="preserve"> -</w:t>
      </w:r>
      <w:r>
        <w:rPr>
          <w:rtl/>
        </w:rPr>
        <w:t xml:space="preserve"> </w:t>
      </w:r>
      <w:r>
        <w:rPr>
          <w:b/>
          <w:bCs/>
          <w:rtl/>
        </w:rPr>
        <w:t>זו היא</w:t>
      </w:r>
      <w:r>
        <w:rPr>
          <w:rFonts w:hint="cs"/>
          <w:b/>
          <w:bCs/>
          <w:rtl/>
        </w:rPr>
        <w:t xml:space="preserve"> </w:t>
      </w:r>
      <w:r>
        <w:rPr>
          <w:rtl/>
        </w:rPr>
        <w:t>הנחתן</w:t>
      </w:r>
      <w:r>
        <w:rPr>
          <w:rFonts w:hint="cs"/>
          <w:rtl/>
        </w:rPr>
        <w:t>" (</w:t>
      </w:r>
      <w:r>
        <w:rPr>
          <w:rFonts w:hint="cs"/>
          <w:sz w:val="18"/>
          <w:szCs w:val="20"/>
          <w:rtl/>
        </w:rPr>
        <w:t>להלן</w:t>
      </w:r>
      <w:r>
        <w:rPr>
          <w:sz w:val="18"/>
          <w:szCs w:val="20"/>
          <w:rtl/>
        </w:rPr>
        <w:t xml:space="preserve"> פ</w:t>
      </w:r>
      <w:r>
        <w:rPr>
          <w:rFonts w:hint="cs"/>
          <w:sz w:val="18"/>
          <w:szCs w:val="20"/>
          <w:rtl/>
        </w:rPr>
        <w:t xml:space="preserve">, </w:t>
      </w:r>
      <w:r>
        <w:rPr>
          <w:sz w:val="18"/>
          <w:szCs w:val="20"/>
          <w:rtl/>
        </w:rPr>
        <w:t>א</w:t>
      </w:r>
      <w:r>
        <w:rPr>
          <w:rFonts w:hint="cs"/>
          <w:rtl/>
        </w:rPr>
        <w:t>), ש</w:t>
      </w:r>
      <w:r>
        <w:rPr>
          <w:rtl/>
        </w:rPr>
        <w:t>בכ</w:t>
      </w:r>
      <w:r>
        <w:rPr>
          <w:rFonts w:hint="cs"/>
          <w:rtl/>
        </w:rPr>
        <w:t>ו</w:t>
      </w:r>
      <w:r>
        <w:rPr>
          <w:rtl/>
        </w:rPr>
        <w:t>ל</w:t>
      </w:r>
      <w:r>
        <w:rPr>
          <w:rFonts w:hint="cs"/>
          <w:rtl/>
        </w:rPr>
        <w:t>ם</w:t>
      </w:r>
      <w:r>
        <w:rPr>
          <w:rtl/>
        </w:rPr>
        <w:t xml:space="preserve"> אין הכוונה </w:t>
      </w:r>
      <w:r>
        <w:rPr>
          <w:rFonts w:hint="cs"/>
          <w:rtl/>
        </w:rPr>
        <w:t>ל</w:t>
      </w:r>
      <w:r>
        <w:rPr>
          <w:rtl/>
        </w:rPr>
        <w:t>ש</w:t>
      </w:r>
      <w:r>
        <w:rPr>
          <w:rFonts w:hint="cs"/>
          <w:rtl/>
        </w:rPr>
        <w:t>ִ</w:t>
      </w:r>
      <w:r>
        <w:rPr>
          <w:rtl/>
        </w:rPr>
        <w:t>ו</w:t>
      </w:r>
      <w:r>
        <w:rPr>
          <w:rFonts w:hint="cs"/>
          <w:rtl/>
        </w:rPr>
        <w:t>ְיוֹן</w:t>
      </w:r>
      <w:r>
        <w:rPr>
          <w:rtl/>
        </w:rPr>
        <w:t xml:space="preserve"> מבחינת המציאות</w:t>
      </w:r>
      <w:r>
        <w:rPr>
          <w:rFonts w:hint="cs"/>
          <w:rtl/>
        </w:rPr>
        <w:t xml:space="preserve">, </w:t>
      </w:r>
      <w:r>
        <w:rPr>
          <w:rtl/>
        </w:rPr>
        <w:t xml:space="preserve">אלא </w:t>
      </w:r>
      <w:r>
        <w:rPr>
          <w:rFonts w:hint="cs"/>
          <w:rtl/>
        </w:rPr>
        <w:t>ל</w:t>
      </w:r>
      <w:r>
        <w:rPr>
          <w:rtl/>
        </w:rPr>
        <w:t>ש</w:t>
      </w:r>
      <w:r>
        <w:rPr>
          <w:rFonts w:hint="cs"/>
          <w:rtl/>
        </w:rPr>
        <w:t>ִ</w:t>
      </w:r>
      <w:r>
        <w:rPr>
          <w:rtl/>
        </w:rPr>
        <w:t>ו</w:t>
      </w:r>
      <w:r>
        <w:rPr>
          <w:rFonts w:hint="cs"/>
          <w:rtl/>
        </w:rPr>
        <w:t xml:space="preserve">ְיוֹן מצד הדין </w:t>
      </w:r>
      <w:r>
        <w:rPr>
          <w:rtl/>
        </w:rPr>
        <w:t>בנסיבות מסויימות</w:t>
      </w:r>
      <w:r>
        <w:rPr>
          <w:rFonts w:hint="cs"/>
          <w:rtl/>
        </w:rPr>
        <w:t xml:space="preserve"> (</w:t>
      </w:r>
      <w:r>
        <w:rPr>
          <w:rFonts w:hint="cs"/>
          <w:sz w:val="18"/>
          <w:szCs w:val="20"/>
          <w:rtl/>
        </w:rPr>
        <w:t xml:space="preserve">מפי הרב </w:t>
      </w:r>
      <w:r>
        <w:rPr>
          <w:sz w:val="18"/>
          <w:szCs w:val="20"/>
          <w:rtl/>
        </w:rPr>
        <w:t>יהושע בוך</w:t>
      </w:r>
      <w:r>
        <w:rPr>
          <w:rFonts w:hint="cs"/>
          <w:rtl/>
        </w:rPr>
        <w:t>).</w:t>
      </w:r>
    </w:p>
    <w:p w14:paraId="26E0B79F" w14:textId="77777777" w:rsidR="00273399" w:rsidRDefault="00273399" w:rsidP="00273399">
      <w:pPr>
        <w:pStyle w:val="a5"/>
        <w:rPr>
          <w:rFonts w:hint="cs"/>
          <w:rtl/>
        </w:rPr>
      </w:pPr>
      <w:r>
        <w:rPr>
          <w:rFonts w:hint="cs"/>
          <w:rtl/>
        </w:rPr>
        <w:t>בכמה מקומות נוספים מצאנו שהעיסוק בתורה נחשב כמו מלאכה, הן באגדה (</w:t>
      </w:r>
      <w:r>
        <w:rPr>
          <w:rFonts w:hint="cs"/>
          <w:sz w:val="18"/>
          <w:szCs w:val="20"/>
          <w:rtl/>
        </w:rPr>
        <w:t>"</w:t>
      </w:r>
      <w:r>
        <w:rPr>
          <w:sz w:val="18"/>
          <w:szCs w:val="20"/>
          <w:rtl/>
        </w:rPr>
        <w:t>מרגלא בפומייהו דרבנן דיבנה: אני בריה וחברי בריה, אני מלאכתי בעיר והוא מלאכתו בשדה, אני משכים למלאכתי והוא משכים למלאכתו, כשם שהוא אינו מתגדר במלאכתי כך אני איני  מתגדר במלאכתו</w:t>
      </w:r>
      <w:r>
        <w:rPr>
          <w:rFonts w:hint="cs"/>
          <w:sz w:val="18"/>
          <w:szCs w:val="20"/>
          <w:rtl/>
        </w:rPr>
        <w:t xml:space="preserve">. </w:t>
      </w:r>
      <w:r>
        <w:rPr>
          <w:sz w:val="18"/>
          <w:szCs w:val="20"/>
          <w:rtl/>
        </w:rPr>
        <w:t>ושמא תאמר: אני מרבה והוא ממעיט - שנינו: אחד המרבה ואחד הממעיט ובלבד שיכוין לבו לשמים</w:t>
      </w:r>
      <w:r>
        <w:rPr>
          <w:rFonts w:hint="cs"/>
          <w:sz w:val="18"/>
          <w:szCs w:val="20"/>
          <w:rtl/>
        </w:rPr>
        <w:t xml:space="preserve">", </w:t>
      </w:r>
      <w:r>
        <w:rPr>
          <w:sz w:val="26"/>
          <w:rtl/>
        </w:rPr>
        <w:t>ברכות יז</w:t>
      </w:r>
      <w:r>
        <w:rPr>
          <w:rFonts w:hint="cs"/>
          <w:sz w:val="26"/>
          <w:rtl/>
        </w:rPr>
        <w:t xml:space="preserve">, </w:t>
      </w:r>
      <w:r>
        <w:rPr>
          <w:sz w:val="26"/>
          <w:rtl/>
        </w:rPr>
        <w:t>א</w:t>
      </w:r>
      <w:r>
        <w:rPr>
          <w:rFonts w:hint="cs"/>
          <w:rtl/>
        </w:rPr>
        <w:t>) והן בהלכה (</w:t>
      </w:r>
      <w:r>
        <w:rPr>
          <w:rFonts w:hint="cs"/>
          <w:sz w:val="18"/>
          <w:szCs w:val="20"/>
          <w:rtl/>
        </w:rPr>
        <w:t>"</w:t>
      </w:r>
      <w:r>
        <w:rPr>
          <w:sz w:val="18"/>
          <w:szCs w:val="20"/>
          <w:rtl/>
        </w:rPr>
        <w:t>הרב השונה לתלמידיו, אם הם צריכים ללמוד עמו בכל מסכתא שירצה הוא, ואף אם התחילו מסכתא אחת יכול לשנותה לאחרת, אז הוו הם  כשאולים לו, שהם עמו במלאכה, ואם שאל מהם הוי שאלה בבעלים. ואם הוא צריך ללמוד עמהם בכל מקום שירצו, אז הוא נשאל להם.  ואפי' שלא בשעת הלמוד, כיון שצריך ללמוד עמהם בכל עת שירצו. ואם הדבר תלוי בשניהם, שהמסכתא שהתחיל יגמרו, ואין הרב יכול  לשנות המסכתא שלא מדעת התלמידים, ולא התלמידים בלא דעת הרב, אז אינם שאולים זה לזה כלל. ולפני המועדים, שדרך לדרוש לעם הלכות המועד, הוא נשאל להם</w:t>
      </w:r>
      <w:r>
        <w:rPr>
          <w:rFonts w:hint="cs"/>
          <w:sz w:val="18"/>
          <w:szCs w:val="20"/>
          <w:rtl/>
        </w:rPr>
        <w:t xml:space="preserve">"; </w:t>
      </w:r>
      <w:r>
        <w:rPr>
          <w:sz w:val="26"/>
          <w:rtl/>
        </w:rPr>
        <w:t>שו</w:t>
      </w:r>
      <w:r>
        <w:rPr>
          <w:rFonts w:hint="cs"/>
          <w:sz w:val="26"/>
          <w:rtl/>
        </w:rPr>
        <w:t>"</w:t>
      </w:r>
      <w:r>
        <w:rPr>
          <w:sz w:val="26"/>
          <w:rtl/>
        </w:rPr>
        <w:t>ע</w:t>
      </w:r>
      <w:r>
        <w:rPr>
          <w:rFonts w:hint="cs"/>
          <w:sz w:val="26"/>
          <w:rtl/>
        </w:rPr>
        <w:t xml:space="preserve"> </w:t>
      </w:r>
      <w:r>
        <w:rPr>
          <w:sz w:val="26"/>
          <w:rtl/>
        </w:rPr>
        <w:t>חו</w:t>
      </w:r>
      <w:r>
        <w:rPr>
          <w:rFonts w:hint="cs"/>
          <w:sz w:val="26"/>
          <w:rtl/>
        </w:rPr>
        <w:t>"</w:t>
      </w:r>
      <w:r>
        <w:rPr>
          <w:sz w:val="26"/>
          <w:rtl/>
        </w:rPr>
        <w:t>מ</w:t>
      </w:r>
      <w:r>
        <w:rPr>
          <w:rFonts w:hint="cs"/>
          <w:sz w:val="26"/>
          <w:rtl/>
        </w:rPr>
        <w:t xml:space="preserve"> </w:t>
      </w:r>
      <w:r>
        <w:rPr>
          <w:sz w:val="26"/>
          <w:rtl/>
        </w:rPr>
        <w:t>שמ</w:t>
      </w:r>
      <w:r>
        <w:rPr>
          <w:rFonts w:hint="cs"/>
          <w:sz w:val="26"/>
          <w:rtl/>
        </w:rPr>
        <w:t>"</w:t>
      </w:r>
      <w:r>
        <w:rPr>
          <w:sz w:val="26"/>
          <w:rtl/>
        </w:rPr>
        <w:t>ו</w:t>
      </w:r>
      <w:r>
        <w:rPr>
          <w:rFonts w:hint="cs"/>
          <w:sz w:val="26"/>
          <w:rtl/>
        </w:rPr>
        <w:t xml:space="preserve">, </w:t>
      </w:r>
      <w:r>
        <w:rPr>
          <w:sz w:val="26"/>
          <w:rtl/>
        </w:rPr>
        <w:t>י</w:t>
      </w:r>
      <w:r>
        <w:rPr>
          <w:rFonts w:hint="cs"/>
          <w:sz w:val="26"/>
          <w:rtl/>
        </w:rPr>
        <w:t>"</w:t>
      </w:r>
      <w:r>
        <w:rPr>
          <w:sz w:val="26"/>
          <w:rtl/>
        </w:rPr>
        <w:t>ג</w:t>
      </w:r>
      <w:r>
        <w:rPr>
          <w:rFonts w:hint="cs"/>
          <w:sz w:val="26"/>
          <w:rtl/>
        </w:rPr>
        <w:t>; ע"פ</w:t>
      </w:r>
      <w:r>
        <w:rPr>
          <w:sz w:val="26"/>
          <w:rtl/>
        </w:rPr>
        <w:t xml:space="preserve"> ב</w:t>
      </w:r>
      <w:r>
        <w:rPr>
          <w:rFonts w:hint="cs"/>
          <w:sz w:val="26"/>
          <w:rtl/>
        </w:rPr>
        <w:t>"</w:t>
      </w:r>
      <w:r>
        <w:rPr>
          <w:sz w:val="26"/>
          <w:rtl/>
        </w:rPr>
        <w:t>מ</w:t>
      </w:r>
      <w:r>
        <w:rPr>
          <w:rFonts w:hint="cs"/>
          <w:sz w:val="26"/>
          <w:rtl/>
        </w:rPr>
        <w:t xml:space="preserve"> </w:t>
      </w:r>
      <w:r>
        <w:rPr>
          <w:sz w:val="26"/>
          <w:rtl/>
        </w:rPr>
        <w:t>צז</w:t>
      </w:r>
      <w:r>
        <w:rPr>
          <w:rFonts w:hint="cs"/>
          <w:sz w:val="26"/>
          <w:rtl/>
        </w:rPr>
        <w:t xml:space="preserve">, </w:t>
      </w:r>
      <w:r>
        <w:rPr>
          <w:sz w:val="26"/>
          <w:rtl/>
        </w:rPr>
        <w:t>א</w:t>
      </w:r>
      <w:r>
        <w:rPr>
          <w:rFonts w:hint="cs"/>
          <w:rtl/>
        </w:rPr>
        <w:t>).</w:t>
      </w:r>
      <w:r>
        <w:rPr>
          <w:rtl/>
        </w:rPr>
        <w:t xml:space="preserve"> </w:t>
      </w:r>
    </w:p>
  </w:footnote>
  <w:footnote w:id="222">
    <w:p w14:paraId="15F113D9" w14:textId="77777777" w:rsidR="00273399" w:rsidRDefault="00273399" w:rsidP="00273399">
      <w:pPr>
        <w:pStyle w:val="a5"/>
        <w:rPr>
          <w:rFonts w:hint="cs"/>
          <w:rtl/>
        </w:rPr>
      </w:pPr>
      <w:r>
        <w:rPr>
          <w:rStyle w:val="a4"/>
          <w:rtl/>
        </w:rPr>
        <w:footnoteRef/>
      </w:r>
      <w:r>
        <w:rPr>
          <w:rtl/>
        </w:rPr>
        <w:t xml:space="preserve"> </w:t>
      </w:r>
      <w:r>
        <w:rPr>
          <w:rFonts w:hint="cs"/>
          <w:rtl/>
        </w:rPr>
        <w:t>בדומה ל</w:t>
      </w:r>
      <w:r>
        <w:rPr>
          <w:rFonts w:hint="cs"/>
          <w:sz w:val="14"/>
          <w:rtl/>
        </w:rPr>
        <w:t>"</w:t>
      </w:r>
      <w:r>
        <w:rPr>
          <w:rFonts w:hint="cs"/>
          <w:sz w:val="26"/>
          <w:rtl/>
        </w:rPr>
        <w:t>כגון אנו</w:t>
      </w:r>
      <w:r>
        <w:rPr>
          <w:rFonts w:hint="cs"/>
          <w:sz w:val="14"/>
          <w:rtl/>
        </w:rPr>
        <w:t xml:space="preserve">" שבסוגייתנו. </w:t>
      </w:r>
      <w:r>
        <w:rPr>
          <w:rFonts w:hint="cs"/>
          <w:rtl/>
        </w:rPr>
        <w:t>לשון דומה בפי ר' יוחנן מצאנו גם ב</w:t>
      </w:r>
      <w:r>
        <w:rPr>
          <w:rtl/>
        </w:rPr>
        <w:t xml:space="preserve">חולין </w:t>
      </w:r>
      <w:r>
        <w:rPr>
          <w:sz w:val="18"/>
          <w:szCs w:val="20"/>
          <w:rtl/>
        </w:rPr>
        <w:t>פד</w:t>
      </w:r>
      <w:r>
        <w:rPr>
          <w:rFonts w:hint="cs"/>
          <w:sz w:val="18"/>
          <w:szCs w:val="20"/>
          <w:rtl/>
        </w:rPr>
        <w:t xml:space="preserve">, </w:t>
      </w:r>
      <w:r>
        <w:rPr>
          <w:sz w:val="18"/>
          <w:szCs w:val="20"/>
          <w:rtl/>
        </w:rPr>
        <w:t>א</w:t>
      </w:r>
      <w:r>
        <w:rPr>
          <w:rFonts w:hint="cs"/>
          <w:rtl/>
        </w:rPr>
        <w:t>: "</w:t>
      </w:r>
      <w:r>
        <w:rPr>
          <w:rtl/>
        </w:rPr>
        <w:t>אמר רב: צריכין אנו לחוש לדברי זקן</w:t>
      </w:r>
      <w:r>
        <w:rPr>
          <w:rFonts w:hint="cs"/>
          <w:rtl/>
        </w:rPr>
        <w:t xml:space="preserve"> [כלומר: </w:t>
      </w:r>
      <w:r>
        <w:rPr>
          <w:rtl/>
        </w:rPr>
        <w:t>רבי אלעזר בן עזריה</w:t>
      </w:r>
      <w:r>
        <w:rPr>
          <w:rFonts w:hint="cs"/>
          <w:rtl/>
        </w:rPr>
        <w:t>]</w:t>
      </w:r>
      <w:r>
        <w:rPr>
          <w:rtl/>
        </w:rPr>
        <w:t xml:space="preserve">. א"ר יוחנן: אבא </w:t>
      </w:r>
      <w:r>
        <w:rPr>
          <w:rFonts w:hint="cs"/>
          <w:rtl/>
        </w:rPr>
        <w:t xml:space="preserve">[כלומר: </w:t>
      </w:r>
      <w:r>
        <w:rPr>
          <w:rtl/>
        </w:rPr>
        <w:t>רב</w:t>
      </w:r>
      <w:r>
        <w:rPr>
          <w:rFonts w:hint="cs"/>
          <w:rtl/>
        </w:rPr>
        <w:t xml:space="preserve">] </w:t>
      </w:r>
      <w:r>
        <w:rPr>
          <w:rtl/>
        </w:rPr>
        <w:t>ממשפחת בריאים הוה, אבל</w:t>
      </w:r>
      <w:r>
        <w:rPr>
          <w:rFonts w:hint="cs"/>
          <w:rtl/>
        </w:rPr>
        <w:t xml:space="preserve"> </w:t>
      </w:r>
      <w:r>
        <w:rPr>
          <w:b/>
          <w:bCs/>
          <w:rtl/>
        </w:rPr>
        <w:t xml:space="preserve">כגון אנו </w:t>
      </w:r>
      <w:r>
        <w:rPr>
          <w:rFonts w:hint="cs"/>
          <w:rtl/>
        </w:rPr>
        <w:t>[</w:t>
      </w:r>
      <w:r>
        <w:rPr>
          <w:rtl/>
        </w:rPr>
        <w:t>שאין אנו בריאים</w:t>
      </w:r>
      <w:r>
        <w:rPr>
          <w:rFonts w:hint="cs"/>
          <w:rtl/>
        </w:rPr>
        <w:t xml:space="preserve">] </w:t>
      </w:r>
      <w:r>
        <w:rPr>
          <w:rtl/>
        </w:rPr>
        <w:t>- מי  שיש לו פרוטה בתוך כיסו יריצנה לחנווני</w:t>
      </w:r>
      <w:r>
        <w:rPr>
          <w:rFonts w:hint="cs"/>
          <w:rtl/>
        </w:rPr>
        <w:t>.</w:t>
      </w:r>
      <w:r>
        <w:rPr>
          <w:rtl/>
        </w:rPr>
        <w:t xml:space="preserve"> א"ר נחמן: </w:t>
      </w:r>
      <w:r>
        <w:rPr>
          <w:b/>
          <w:bCs/>
          <w:rtl/>
        </w:rPr>
        <w:t xml:space="preserve">כגון אנו </w:t>
      </w:r>
      <w:r>
        <w:rPr>
          <w:rtl/>
        </w:rPr>
        <w:t>- לו</w:t>
      </w:r>
      <w:r>
        <w:rPr>
          <w:rFonts w:hint="cs"/>
          <w:rtl/>
        </w:rPr>
        <w:t>ֹ</w:t>
      </w:r>
      <w:r>
        <w:rPr>
          <w:rtl/>
        </w:rPr>
        <w:t>ו</w:t>
      </w:r>
      <w:r>
        <w:rPr>
          <w:rFonts w:hint="cs"/>
          <w:rtl/>
        </w:rPr>
        <w:t>ִ</w:t>
      </w:r>
      <w:r>
        <w:rPr>
          <w:rtl/>
        </w:rPr>
        <w:t>ין ואוכלין</w:t>
      </w:r>
      <w:r>
        <w:rPr>
          <w:rFonts w:hint="cs"/>
          <w:rtl/>
        </w:rPr>
        <w:t>"</w:t>
      </w:r>
      <w:r>
        <w:rPr>
          <w:rtl/>
        </w:rPr>
        <w:t>.</w:t>
      </w:r>
      <w:r>
        <w:rPr>
          <w:rFonts w:hint="cs"/>
          <w:rtl/>
        </w:rPr>
        <w:t xml:space="preserve"> </w:t>
      </w:r>
      <w:r>
        <w:rPr>
          <w:rtl/>
        </w:rPr>
        <w:t>רש"י</w:t>
      </w:r>
      <w:r>
        <w:rPr>
          <w:rFonts w:hint="cs"/>
          <w:rtl/>
        </w:rPr>
        <w:t>: "</w:t>
      </w:r>
      <w:r>
        <w:rPr>
          <w:rtl/>
        </w:rPr>
        <w:t xml:space="preserve">רב נחמן אחר דורו של ר' יוחנן היה </w:t>
      </w:r>
      <w:r>
        <w:rPr>
          <w:b/>
          <w:bCs/>
          <w:rtl/>
        </w:rPr>
        <w:t>ותמיד העולם היה משתנה והולך</w:t>
      </w:r>
      <w:r>
        <w:rPr>
          <w:rtl/>
        </w:rPr>
        <w:t xml:space="preserve"> ולא היה בריא כאותן שבימי רבי יוחנן</w:t>
      </w:r>
      <w:r>
        <w:rPr>
          <w:rFonts w:hint="cs"/>
          <w:rtl/>
        </w:rPr>
        <w:t>,</w:t>
      </w:r>
      <w:r>
        <w:rPr>
          <w:rtl/>
        </w:rPr>
        <w:t xml:space="preserve"> ולפיכך הוא אומר כגון אנו דאפילו אין לנו הפרוטה עלינו ללוות ולאכול</w:t>
      </w:r>
      <w:r>
        <w:rPr>
          <w:rFonts w:hint="cs"/>
          <w:rtl/>
        </w:rPr>
        <w:t>"</w:t>
      </w:r>
      <w:r>
        <w:rPr>
          <w:rtl/>
        </w:rPr>
        <w:t>.</w:t>
      </w:r>
      <w:r>
        <w:rPr>
          <w:rFonts w:hint="cs"/>
          <w:rtl/>
        </w:rPr>
        <w:t xml:space="preserve"> והשוה: "</w:t>
      </w:r>
      <w:r>
        <w:rPr>
          <w:rtl/>
        </w:rPr>
        <w:t xml:space="preserve">אמר רבי זירא אמר רבא בר זימונא: אם ראשונים בני מלאכים - </w:t>
      </w:r>
      <w:r>
        <w:rPr>
          <w:b/>
          <w:bCs/>
          <w:rtl/>
        </w:rPr>
        <w:t>אנו</w:t>
      </w:r>
      <w:r>
        <w:rPr>
          <w:rtl/>
        </w:rPr>
        <w:t xml:space="preserve"> בני אנשים, ואם ראשונים בני אנשים - </w:t>
      </w:r>
      <w:r>
        <w:rPr>
          <w:b/>
          <w:bCs/>
          <w:rtl/>
        </w:rPr>
        <w:t>אנו</w:t>
      </w:r>
      <w:r>
        <w:rPr>
          <w:rtl/>
        </w:rPr>
        <w:t xml:space="preserve"> כחמורים</w:t>
      </w:r>
      <w:r>
        <w:rPr>
          <w:rFonts w:hint="cs"/>
          <w:rtl/>
        </w:rPr>
        <w:t>" (</w:t>
      </w:r>
      <w:r>
        <w:rPr>
          <w:rFonts w:hint="cs"/>
          <w:sz w:val="18"/>
          <w:szCs w:val="20"/>
          <w:rtl/>
        </w:rPr>
        <w:t xml:space="preserve">להלן </w:t>
      </w:r>
      <w:r>
        <w:rPr>
          <w:sz w:val="18"/>
          <w:szCs w:val="20"/>
          <w:rtl/>
        </w:rPr>
        <w:t>קיב</w:t>
      </w:r>
      <w:r>
        <w:rPr>
          <w:rFonts w:hint="cs"/>
          <w:sz w:val="18"/>
          <w:szCs w:val="20"/>
          <w:rtl/>
        </w:rPr>
        <w:t xml:space="preserve">, </w:t>
      </w:r>
      <w:r>
        <w:rPr>
          <w:sz w:val="18"/>
          <w:szCs w:val="20"/>
          <w:rtl/>
        </w:rPr>
        <w:t>ב</w:t>
      </w:r>
      <w:r>
        <w:rPr>
          <w:rFonts w:hint="cs"/>
          <w:rtl/>
        </w:rPr>
        <w:t>).</w:t>
      </w:r>
    </w:p>
  </w:footnote>
  <w:footnote w:id="223">
    <w:p w14:paraId="5C933170" w14:textId="77777777" w:rsidR="00273399" w:rsidRDefault="00273399" w:rsidP="00273399">
      <w:pPr>
        <w:pStyle w:val="a5"/>
        <w:rPr>
          <w:rFonts w:hint="cs"/>
          <w:rtl/>
        </w:rPr>
      </w:pPr>
      <w:r>
        <w:rPr>
          <w:rStyle w:val="a4"/>
          <w:rtl/>
        </w:rPr>
        <w:footnoteRef/>
      </w:r>
      <w:r>
        <w:rPr>
          <w:szCs w:val="22"/>
        </w:rPr>
        <w:t xml:space="preserve"> </w:t>
      </w:r>
      <w:r>
        <w:rPr>
          <w:rFonts w:hint="cs"/>
          <w:rtl/>
        </w:rPr>
        <w:t xml:space="preserve">בביאור מאמר זה יש להשוות למאמר נוסף של </w:t>
      </w:r>
      <w:r>
        <w:rPr>
          <w:rtl/>
        </w:rPr>
        <w:t>רבי יהודה</w:t>
      </w:r>
      <w:r>
        <w:rPr>
          <w:rFonts w:hint="cs"/>
          <w:rtl/>
        </w:rPr>
        <w:t xml:space="preserve"> (</w:t>
      </w:r>
      <w:r>
        <w:rPr>
          <w:sz w:val="18"/>
          <w:szCs w:val="20"/>
          <w:rtl/>
        </w:rPr>
        <w:t>אבות דר</w:t>
      </w:r>
      <w:r>
        <w:rPr>
          <w:rFonts w:hint="cs"/>
          <w:sz w:val="18"/>
          <w:szCs w:val="20"/>
          <w:rtl/>
        </w:rPr>
        <w:t>"</w:t>
      </w:r>
      <w:r>
        <w:rPr>
          <w:sz w:val="18"/>
          <w:szCs w:val="20"/>
          <w:rtl/>
        </w:rPr>
        <w:t>נ</w:t>
      </w:r>
      <w:r>
        <w:rPr>
          <w:rFonts w:hint="cs"/>
          <w:sz w:val="18"/>
          <w:szCs w:val="20"/>
          <w:rtl/>
        </w:rPr>
        <w:t>,</w:t>
      </w:r>
      <w:r>
        <w:rPr>
          <w:sz w:val="18"/>
          <w:szCs w:val="20"/>
          <w:rtl/>
        </w:rPr>
        <w:t xml:space="preserve"> נ</w:t>
      </w:r>
      <w:r>
        <w:rPr>
          <w:rFonts w:hint="cs"/>
          <w:sz w:val="18"/>
          <w:szCs w:val="20"/>
          <w:rtl/>
        </w:rPr>
        <w:t>ו"</w:t>
      </w:r>
      <w:r>
        <w:rPr>
          <w:sz w:val="18"/>
          <w:szCs w:val="20"/>
          <w:rtl/>
        </w:rPr>
        <w:t>א</w:t>
      </w:r>
      <w:r>
        <w:rPr>
          <w:rFonts w:hint="cs"/>
          <w:sz w:val="18"/>
          <w:szCs w:val="20"/>
          <w:rtl/>
        </w:rPr>
        <w:t>,</w:t>
      </w:r>
      <w:r>
        <w:rPr>
          <w:sz w:val="18"/>
          <w:szCs w:val="20"/>
          <w:rtl/>
        </w:rPr>
        <w:t xml:space="preserve"> פכ</w:t>
      </w:r>
      <w:r>
        <w:rPr>
          <w:rFonts w:hint="cs"/>
          <w:sz w:val="18"/>
          <w:szCs w:val="20"/>
          <w:rtl/>
        </w:rPr>
        <w:t>"</w:t>
      </w:r>
      <w:r>
        <w:rPr>
          <w:sz w:val="18"/>
          <w:szCs w:val="20"/>
          <w:rtl/>
        </w:rPr>
        <w:t>ח</w:t>
      </w:r>
      <w:r>
        <w:rPr>
          <w:rFonts w:hint="cs"/>
          <w:rtl/>
        </w:rPr>
        <w:t>): "</w:t>
      </w:r>
      <w:r>
        <w:rPr>
          <w:rtl/>
        </w:rPr>
        <w:t>רבי יהודה בן אילעי אומר</w:t>
      </w:r>
      <w:r>
        <w:rPr>
          <w:rFonts w:hint="cs"/>
          <w:rtl/>
        </w:rPr>
        <w:t>:</w:t>
      </w:r>
      <w:r>
        <w:rPr>
          <w:rtl/>
        </w:rPr>
        <w:t xml:space="preserve"> כל העושה דברי תורה עיקר ודרך ארץ טפל </w:t>
      </w:r>
      <w:r>
        <w:rPr>
          <w:rFonts w:hint="cs"/>
          <w:rtl/>
        </w:rPr>
        <w:t xml:space="preserve">- </w:t>
      </w:r>
      <w:r>
        <w:rPr>
          <w:rtl/>
        </w:rPr>
        <w:t>עושין אותו עיקר בעולם הבא</w:t>
      </w:r>
      <w:r>
        <w:rPr>
          <w:rFonts w:hint="cs"/>
          <w:rtl/>
        </w:rPr>
        <w:t xml:space="preserve">; </w:t>
      </w:r>
      <w:r>
        <w:rPr>
          <w:rtl/>
        </w:rPr>
        <w:t xml:space="preserve">דרך ארץ עיקר ודברי תורה טפל </w:t>
      </w:r>
      <w:r>
        <w:rPr>
          <w:rFonts w:hint="cs"/>
          <w:rtl/>
        </w:rPr>
        <w:t xml:space="preserve">- </w:t>
      </w:r>
      <w:r>
        <w:rPr>
          <w:rtl/>
        </w:rPr>
        <w:t>עושין אותו טפל בעולם הבא</w:t>
      </w:r>
      <w:r>
        <w:rPr>
          <w:rFonts w:hint="cs"/>
          <w:rtl/>
        </w:rPr>
        <w:t>"</w:t>
      </w:r>
      <w:r>
        <w:rPr>
          <w:rtl/>
        </w:rPr>
        <w:t>.</w:t>
      </w:r>
      <w:r>
        <w:rPr>
          <w:rFonts w:hint="cs"/>
          <w:rtl/>
        </w:rPr>
        <w:t xml:space="preserve"> </w:t>
      </w:r>
    </w:p>
  </w:footnote>
  <w:footnote w:id="224">
    <w:p w14:paraId="15DC8C14" w14:textId="77777777" w:rsidR="00273399" w:rsidRDefault="00273399" w:rsidP="00273399">
      <w:pPr>
        <w:pStyle w:val="a5"/>
        <w:rPr>
          <w:rFonts w:hint="cs"/>
          <w:rtl/>
        </w:rPr>
      </w:pPr>
      <w:r>
        <w:rPr>
          <w:rStyle w:val="a4"/>
          <w:rtl/>
        </w:rPr>
        <w:footnoteRef/>
      </w:r>
      <w:r>
        <w:rPr>
          <w:sz w:val="24"/>
        </w:rPr>
        <w:t xml:space="preserve"> </w:t>
      </w:r>
      <w:r>
        <w:rPr>
          <w:rFonts w:hint="cs"/>
          <w:rtl/>
        </w:rPr>
        <w:t>היינו: כל החכמים שמתקופת ר' יוחנן ואילך, כולל ר' זירא ור' ירמיה, שהרי, כדברי ר'</w:t>
      </w:r>
      <w:r>
        <w:rPr>
          <w:rtl/>
        </w:rPr>
        <w:t xml:space="preserve"> זירא</w:t>
      </w:r>
      <w:r>
        <w:rPr>
          <w:rFonts w:hint="cs"/>
          <w:rtl/>
        </w:rPr>
        <w:t xml:space="preserve"> הנ"ל, "</w:t>
      </w:r>
      <w:r>
        <w:rPr>
          <w:rtl/>
        </w:rPr>
        <w:t xml:space="preserve">אם ראשונים בני אנשים - </w:t>
      </w:r>
      <w:r>
        <w:rPr>
          <w:b/>
          <w:bCs/>
          <w:rtl/>
        </w:rPr>
        <w:t>אנו</w:t>
      </w:r>
      <w:r>
        <w:rPr>
          <w:rtl/>
        </w:rPr>
        <w:t xml:space="preserve"> כחמורים</w:t>
      </w:r>
      <w:r>
        <w:rPr>
          <w:rFonts w:hint="cs"/>
          <w:rtl/>
        </w:rPr>
        <w:t xml:space="preserve">", וברור שלא קם שַקדן כרשב"י וחבריו! וזהו כתירוץ השני בתוספות </w:t>
      </w:r>
      <w:r>
        <w:rPr>
          <w:rFonts w:hint="cs"/>
          <w:sz w:val="18"/>
          <w:szCs w:val="20"/>
          <w:rtl/>
        </w:rPr>
        <w:t xml:space="preserve">כאן יא, א ד"ה </w:t>
      </w:r>
      <w:r>
        <w:rPr>
          <w:sz w:val="18"/>
          <w:szCs w:val="20"/>
          <w:rtl/>
        </w:rPr>
        <w:t>כגון אנו</w:t>
      </w:r>
      <w:r>
        <w:rPr>
          <w:rFonts w:hint="cs"/>
          <w:rtl/>
        </w:rPr>
        <w:t>: "</w:t>
      </w:r>
      <w:r>
        <w:rPr>
          <w:rtl/>
        </w:rPr>
        <w:t xml:space="preserve">והא דאמר ליה רבי זירא לרבי ירמיה מסיר אזנו משמוע תורה וגו' </w:t>
      </w:r>
      <w:r>
        <w:rPr>
          <w:rFonts w:hint="cs"/>
          <w:rtl/>
        </w:rPr>
        <w:t>(</w:t>
      </w:r>
      <w:r>
        <w:rPr>
          <w:rFonts w:hint="cs"/>
          <w:sz w:val="18"/>
          <w:szCs w:val="20"/>
          <w:rtl/>
        </w:rPr>
        <w:t xml:space="preserve">לעיל </w:t>
      </w:r>
      <w:r>
        <w:rPr>
          <w:sz w:val="18"/>
          <w:szCs w:val="20"/>
          <w:rtl/>
        </w:rPr>
        <w:t>י</w:t>
      </w:r>
      <w:r>
        <w:rPr>
          <w:rFonts w:hint="cs"/>
          <w:sz w:val="18"/>
          <w:szCs w:val="20"/>
          <w:rtl/>
        </w:rPr>
        <w:t xml:space="preserve">, </w:t>
      </w:r>
      <w:r>
        <w:rPr>
          <w:sz w:val="18"/>
          <w:szCs w:val="20"/>
          <w:rtl/>
        </w:rPr>
        <w:t>א</w:t>
      </w:r>
      <w:r>
        <w:rPr>
          <w:rFonts w:hint="cs"/>
          <w:rtl/>
        </w:rPr>
        <w:t xml:space="preserve">) </w:t>
      </w:r>
      <w:r>
        <w:rPr>
          <w:rtl/>
        </w:rPr>
        <w:t>וי"ל תורתו היתה אומנתו</w:t>
      </w:r>
      <w:r>
        <w:rPr>
          <w:rFonts w:hint="cs"/>
          <w:rtl/>
        </w:rPr>
        <w:t>,</w:t>
      </w:r>
      <w:r>
        <w:rPr>
          <w:rtl/>
        </w:rPr>
        <w:t xml:space="preserve"> </w:t>
      </w:r>
      <w:r>
        <w:rPr>
          <w:b/>
          <w:bCs/>
          <w:rtl/>
        </w:rPr>
        <w:t>או</w:t>
      </w:r>
      <w:r>
        <w:rPr>
          <w:rtl/>
        </w:rPr>
        <w:t xml:space="preserve"> עדיין לא היתה שעה עוברת</w:t>
      </w:r>
      <w:r>
        <w:rPr>
          <w:rFonts w:hint="cs"/>
          <w:rtl/>
        </w:rPr>
        <w:t>"</w:t>
      </w:r>
      <w:r>
        <w:rPr>
          <w:rtl/>
        </w:rPr>
        <w:t>.</w:t>
      </w:r>
      <w:r>
        <w:rPr>
          <w:rFonts w:hint="cs"/>
          <w:rtl/>
        </w:rPr>
        <w:t xml:space="preserve"> אך לתירוץ הראשון, שכמותו כתבו ה</w:t>
      </w:r>
      <w:r>
        <w:rPr>
          <w:rtl/>
        </w:rPr>
        <w:t xml:space="preserve">רי"ף </w:t>
      </w:r>
      <w:r>
        <w:rPr>
          <w:rFonts w:hint="cs"/>
          <w:rtl/>
        </w:rPr>
        <w:t>(</w:t>
      </w:r>
      <w:r>
        <w:rPr>
          <w:rFonts w:hint="cs"/>
          <w:sz w:val="18"/>
          <w:szCs w:val="20"/>
          <w:rtl/>
        </w:rPr>
        <w:t xml:space="preserve">שבת </w:t>
      </w:r>
      <w:r>
        <w:rPr>
          <w:sz w:val="18"/>
          <w:szCs w:val="20"/>
          <w:rtl/>
        </w:rPr>
        <w:t>ד</w:t>
      </w:r>
      <w:r>
        <w:rPr>
          <w:rFonts w:hint="cs"/>
          <w:sz w:val="18"/>
          <w:szCs w:val="20"/>
          <w:rtl/>
        </w:rPr>
        <w:t xml:space="preserve">, </w:t>
      </w:r>
      <w:r>
        <w:rPr>
          <w:sz w:val="18"/>
          <w:szCs w:val="20"/>
          <w:rtl/>
        </w:rPr>
        <w:t>ב</w:t>
      </w:r>
      <w:r>
        <w:rPr>
          <w:rFonts w:hint="cs"/>
          <w:rtl/>
        </w:rPr>
        <w:t>)</w:t>
      </w:r>
      <w:r>
        <w:rPr>
          <w:rtl/>
        </w:rPr>
        <w:t xml:space="preserve"> </w:t>
      </w:r>
      <w:r>
        <w:rPr>
          <w:rFonts w:hint="cs"/>
          <w:rtl/>
        </w:rPr>
        <w:t>וה</w:t>
      </w:r>
      <w:r>
        <w:rPr>
          <w:rtl/>
        </w:rPr>
        <w:t xml:space="preserve">רא"ש </w:t>
      </w:r>
      <w:r>
        <w:rPr>
          <w:rFonts w:hint="cs"/>
          <w:rtl/>
        </w:rPr>
        <w:t>(</w:t>
      </w:r>
      <w:r>
        <w:rPr>
          <w:rFonts w:hint="cs"/>
          <w:sz w:val="18"/>
          <w:szCs w:val="20"/>
          <w:rtl/>
        </w:rPr>
        <w:t xml:space="preserve">שבת פ"א </w:t>
      </w:r>
      <w:r>
        <w:rPr>
          <w:sz w:val="18"/>
          <w:szCs w:val="20"/>
          <w:rtl/>
        </w:rPr>
        <w:t>סימן י</w:t>
      </w:r>
      <w:r>
        <w:rPr>
          <w:rFonts w:hint="cs"/>
          <w:sz w:val="18"/>
          <w:szCs w:val="20"/>
          <w:rtl/>
        </w:rPr>
        <w:t>"</w:t>
      </w:r>
      <w:r>
        <w:rPr>
          <w:sz w:val="18"/>
          <w:szCs w:val="20"/>
          <w:rtl/>
        </w:rPr>
        <w:t>ט</w:t>
      </w:r>
      <w:r>
        <w:rPr>
          <w:rFonts w:hint="cs"/>
          <w:rtl/>
        </w:rPr>
        <w:t>), קשה לומר שר' יוחנן היה קטן מהם בשקידתו, ולכן יש לפרש "</w:t>
      </w:r>
      <w:r>
        <w:rPr>
          <w:rtl/>
        </w:rPr>
        <w:t>תורתו אומנתו</w:t>
      </w:r>
      <w:r>
        <w:rPr>
          <w:rFonts w:hint="cs"/>
          <w:rtl/>
        </w:rPr>
        <w:t>" כדעת רש"י ורמב"ם שלהלן. והשוה ללשון הריטב"א בחידושיו שמנסח את תירוץ התוס' הראשון (</w:t>
      </w:r>
      <w:r>
        <w:rPr>
          <w:rFonts w:hint="cs"/>
          <w:sz w:val="18"/>
          <w:szCs w:val="20"/>
          <w:rtl/>
        </w:rPr>
        <w:t>אצלו זה התירוץ השני</w:t>
      </w:r>
      <w:r>
        <w:rPr>
          <w:rFonts w:hint="cs"/>
          <w:rtl/>
        </w:rPr>
        <w:t xml:space="preserve">) כך: "אי נמי </w:t>
      </w:r>
      <w:r>
        <w:rPr>
          <w:rFonts w:hint="cs"/>
          <w:b/>
          <w:bCs/>
          <w:rtl/>
        </w:rPr>
        <w:t xml:space="preserve">באותו זמן </w:t>
      </w:r>
      <w:r>
        <w:rPr>
          <w:rFonts w:hint="cs"/>
          <w:rtl/>
        </w:rPr>
        <w:t xml:space="preserve">היתה תורתו אומנותו". וע"ע בתפלת </w:t>
      </w:r>
      <w:r>
        <w:rPr>
          <w:rtl/>
        </w:rPr>
        <w:t xml:space="preserve">ר' זירא </w:t>
      </w:r>
      <w:r>
        <w:rPr>
          <w:rFonts w:hint="cs"/>
          <w:rtl/>
        </w:rPr>
        <w:t>(</w:t>
      </w:r>
      <w:r>
        <w:rPr>
          <w:rFonts w:hint="cs"/>
          <w:sz w:val="18"/>
          <w:szCs w:val="20"/>
          <w:rtl/>
        </w:rPr>
        <w:t>לחלק מן הגרסאות; ראה להלן הערה 43</w:t>
      </w:r>
      <w:r>
        <w:rPr>
          <w:rFonts w:hint="cs"/>
          <w:rtl/>
        </w:rPr>
        <w:t>) "</w:t>
      </w:r>
      <w:r>
        <w:rPr>
          <w:rtl/>
        </w:rPr>
        <w:t>שתהא תורתך אומנותינו</w:t>
      </w:r>
      <w:r>
        <w:rPr>
          <w:rFonts w:hint="cs"/>
          <w:rtl/>
        </w:rPr>
        <w:t>".</w:t>
      </w:r>
    </w:p>
  </w:footnote>
  <w:footnote w:id="225">
    <w:p w14:paraId="48F68E71" w14:textId="77777777" w:rsidR="00273399" w:rsidRDefault="00273399" w:rsidP="00273399">
      <w:pPr>
        <w:pStyle w:val="a5"/>
        <w:rPr>
          <w:rFonts w:hint="cs"/>
          <w:rtl/>
        </w:rPr>
      </w:pPr>
      <w:r>
        <w:rPr>
          <w:rStyle w:val="a4"/>
        </w:rPr>
        <w:footnoteRef/>
      </w:r>
      <w:r>
        <w:rPr>
          <w:rFonts w:hint="cs"/>
          <w:rtl/>
        </w:rPr>
        <w:t xml:space="preserve"> ויש לדייק שאמר בלשון רבים, ולא "אני", ומשמע שכולל את כל בני דורו (</w:t>
      </w:r>
      <w:r>
        <w:rPr>
          <w:rFonts w:hint="cs"/>
          <w:sz w:val="18"/>
          <w:szCs w:val="20"/>
          <w:rtl/>
        </w:rPr>
        <w:t>מפי שכני ר' יואל מישאל</w:t>
      </w:r>
      <w:r>
        <w:rPr>
          <w:rFonts w:hint="cs"/>
          <w:rtl/>
        </w:rPr>
        <w:t>). אמנם, יתכן שאין לדייק מכך וכוונתו רק על עצמו. השוה לדברי יחידו של עולם: "</w:t>
      </w:r>
      <w:r>
        <w:rPr>
          <w:b/>
          <w:bCs/>
          <w:rtl/>
        </w:rPr>
        <w:t>נַעֲשֶׂה</w:t>
      </w:r>
      <w:r>
        <w:rPr>
          <w:rtl/>
        </w:rPr>
        <w:t xml:space="preserve"> אָדָם</w:t>
      </w:r>
      <w:r>
        <w:rPr>
          <w:rFonts w:hint="cs"/>
          <w:rtl/>
        </w:rPr>
        <w:t>" (</w:t>
      </w:r>
      <w:r>
        <w:rPr>
          <w:sz w:val="18"/>
          <w:szCs w:val="20"/>
          <w:rtl/>
        </w:rPr>
        <w:t>בראשית א</w:t>
      </w:r>
      <w:r>
        <w:rPr>
          <w:rFonts w:hint="cs"/>
          <w:sz w:val="18"/>
          <w:szCs w:val="20"/>
          <w:rtl/>
        </w:rPr>
        <w:t>, כו</w:t>
      </w:r>
      <w:r>
        <w:rPr>
          <w:rFonts w:hint="cs"/>
          <w:rtl/>
        </w:rPr>
        <w:t>), ולדברי רבא: "</w:t>
      </w:r>
      <w:r>
        <w:rPr>
          <w:rtl/>
        </w:rPr>
        <w:t xml:space="preserve">כגון </w:t>
      </w:r>
      <w:r>
        <w:rPr>
          <w:b/>
          <w:bCs/>
          <w:rtl/>
        </w:rPr>
        <w:t>אנו</w:t>
      </w:r>
      <w:r>
        <w:rPr>
          <w:rtl/>
        </w:rPr>
        <w:t xml:space="preserve"> בינונים</w:t>
      </w:r>
      <w:r>
        <w:rPr>
          <w:rFonts w:hint="cs"/>
          <w:rtl/>
        </w:rPr>
        <w:t>" (</w:t>
      </w:r>
      <w:r>
        <w:rPr>
          <w:sz w:val="18"/>
          <w:szCs w:val="20"/>
          <w:rtl/>
        </w:rPr>
        <w:t>ברכות סא</w:t>
      </w:r>
      <w:r>
        <w:rPr>
          <w:rFonts w:hint="cs"/>
          <w:sz w:val="18"/>
          <w:szCs w:val="20"/>
          <w:rtl/>
        </w:rPr>
        <w:t xml:space="preserve">, </w:t>
      </w:r>
      <w:r>
        <w:rPr>
          <w:sz w:val="18"/>
          <w:szCs w:val="20"/>
          <w:rtl/>
        </w:rPr>
        <w:t>ב</w:t>
      </w:r>
      <w:r>
        <w:rPr>
          <w:rFonts w:hint="cs"/>
          <w:rtl/>
        </w:rPr>
        <w:t xml:space="preserve">) שעליהם השיב </w:t>
      </w:r>
      <w:r>
        <w:rPr>
          <w:rtl/>
        </w:rPr>
        <w:t xml:space="preserve">אביי: </w:t>
      </w:r>
      <w:r>
        <w:rPr>
          <w:rFonts w:hint="cs"/>
          <w:rtl/>
        </w:rPr>
        <w:t>"</w:t>
      </w:r>
      <w:r>
        <w:rPr>
          <w:rtl/>
        </w:rPr>
        <w:t>לא שביק מר חיי לכל בריה!</w:t>
      </w:r>
      <w:r>
        <w:rPr>
          <w:rFonts w:hint="cs"/>
          <w:rtl/>
        </w:rPr>
        <w:t xml:space="preserve">", </w:t>
      </w:r>
      <w:r>
        <w:rPr>
          <w:rtl/>
        </w:rPr>
        <w:t>רש"י</w:t>
      </w:r>
      <w:r>
        <w:rPr>
          <w:rFonts w:hint="cs"/>
          <w:rtl/>
        </w:rPr>
        <w:t>: "</w:t>
      </w:r>
      <w:r>
        <w:rPr>
          <w:rtl/>
        </w:rPr>
        <w:t xml:space="preserve">אם </w:t>
      </w:r>
      <w:r>
        <w:rPr>
          <w:b/>
          <w:bCs/>
          <w:rtl/>
        </w:rPr>
        <w:t>אתה</w:t>
      </w:r>
      <w:r>
        <w:rPr>
          <w:rtl/>
        </w:rPr>
        <w:t xml:space="preserve"> מן הבינונים - אין לך צדיק גמור בעולם</w:t>
      </w:r>
      <w:r>
        <w:rPr>
          <w:rFonts w:hint="cs"/>
          <w:rtl/>
        </w:rPr>
        <w:t>"</w:t>
      </w:r>
      <w:r>
        <w:rPr>
          <w:rtl/>
        </w:rPr>
        <w:t xml:space="preserve">. </w:t>
      </w:r>
    </w:p>
  </w:footnote>
  <w:footnote w:id="226">
    <w:p w14:paraId="35C36137" w14:textId="77777777" w:rsidR="00273399" w:rsidRDefault="00273399" w:rsidP="00273399">
      <w:pPr>
        <w:pStyle w:val="a5"/>
        <w:rPr>
          <w:rFonts w:hint="cs"/>
          <w:sz w:val="14"/>
          <w:rtl/>
        </w:rPr>
      </w:pPr>
      <w:r>
        <w:rPr>
          <w:rStyle w:val="a4"/>
          <w:rtl/>
        </w:rPr>
        <w:footnoteRef/>
      </w:r>
      <w:r>
        <w:rPr>
          <w:szCs w:val="22"/>
        </w:rPr>
        <w:t xml:space="preserve"> </w:t>
      </w:r>
      <w:r>
        <w:rPr>
          <w:rtl/>
        </w:rPr>
        <w:t>ק"ש וברכותיה ד"ה ודותיקין מלתא</w:t>
      </w:r>
      <w:r>
        <w:rPr>
          <w:rFonts w:hint="cs"/>
          <w:rtl/>
        </w:rPr>
        <w:t xml:space="preserve"> [</w:t>
      </w:r>
      <w:r>
        <w:rPr>
          <w:rFonts w:hint="cs"/>
          <w:sz w:val="18"/>
          <w:szCs w:val="20"/>
          <w:rtl/>
        </w:rPr>
        <w:t>המוסגר מופיע בחלק מהנוסחאות</w:t>
      </w:r>
      <w:r>
        <w:rPr>
          <w:rFonts w:hint="cs"/>
          <w:sz w:val="14"/>
          <w:rtl/>
        </w:rPr>
        <w:t>]. וכ"כ ב</w:t>
      </w:r>
      <w:r>
        <w:rPr>
          <w:sz w:val="14"/>
          <w:rtl/>
        </w:rPr>
        <w:t xml:space="preserve">מחזור ויטרי </w:t>
      </w:r>
      <w:r>
        <w:rPr>
          <w:rFonts w:hint="cs"/>
          <w:sz w:val="14"/>
          <w:rtl/>
        </w:rPr>
        <w:t xml:space="preserve">סו"ס </w:t>
      </w:r>
      <w:r>
        <w:rPr>
          <w:sz w:val="14"/>
          <w:rtl/>
        </w:rPr>
        <w:t>א</w:t>
      </w:r>
      <w:r>
        <w:rPr>
          <w:rFonts w:hint="cs"/>
          <w:sz w:val="14"/>
          <w:rtl/>
        </w:rPr>
        <w:t>'. וכ"כ ה</w:t>
      </w:r>
      <w:r>
        <w:rPr>
          <w:sz w:val="14"/>
          <w:rtl/>
        </w:rPr>
        <w:t>ראבי"ה</w:t>
      </w:r>
      <w:r>
        <w:rPr>
          <w:rFonts w:hint="cs"/>
          <w:sz w:val="14"/>
          <w:rtl/>
        </w:rPr>
        <w:t>:</w:t>
      </w:r>
      <w:r>
        <w:rPr>
          <w:sz w:val="14"/>
          <w:rtl/>
        </w:rPr>
        <w:t xml:space="preserve"> </w:t>
      </w:r>
      <w:r>
        <w:rPr>
          <w:rFonts w:hint="cs"/>
          <w:sz w:val="14"/>
          <w:rtl/>
        </w:rPr>
        <w:t>"</w:t>
      </w:r>
      <w:r>
        <w:rPr>
          <w:sz w:val="14"/>
          <w:rtl/>
        </w:rPr>
        <w:t>הני מילי הראשונים שתורתם</w:t>
      </w:r>
      <w:r>
        <w:rPr>
          <w:rFonts w:hint="cs"/>
          <w:sz w:val="14"/>
          <w:rtl/>
        </w:rPr>
        <w:t xml:space="preserve"> </w:t>
      </w:r>
      <w:r>
        <w:rPr>
          <w:sz w:val="14"/>
          <w:rtl/>
        </w:rPr>
        <w:t>אומנתם</w:t>
      </w:r>
      <w:r>
        <w:rPr>
          <w:rFonts w:hint="cs"/>
          <w:sz w:val="14"/>
          <w:rtl/>
        </w:rPr>
        <w:t xml:space="preserve"> </w:t>
      </w:r>
      <w:r>
        <w:rPr>
          <w:sz w:val="14"/>
          <w:rtl/>
        </w:rPr>
        <w:t>אבל בדורות הללו דין תפלות כקריאת שמע</w:t>
      </w:r>
      <w:r>
        <w:rPr>
          <w:rFonts w:hint="cs"/>
          <w:sz w:val="14"/>
          <w:rtl/>
        </w:rPr>
        <w:t>" (</w:t>
      </w:r>
      <w:r>
        <w:rPr>
          <w:sz w:val="18"/>
          <w:szCs w:val="20"/>
          <w:rtl/>
        </w:rPr>
        <w:t>ח"ב</w:t>
      </w:r>
      <w:r>
        <w:rPr>
          <w:rFonts w:hint="cs"/>
          <w:sz w:val="18"/>
          <w:szCs w:val="20"/>
          <w:rtl/>
        </w:rPr>
        <w:t>,</w:t>
      </w:r>
      <w:r>
        <w:rPr>
          <w:sz w:val="18"/>
          <w:szCs w:val="20"/>
          <w:rtl/>
        </w:rPr>
        <w:t xml:space="preserve"> לולב סימן תרפד</w:t>
      </w:r>
      <w:r>
        <w:rPr>
          <w:rFonts w:hint="cs"/>
          <w:sz w:val="18"/>
          <w:szCs w:val="20"/>
          <w:rtl/>
        </w:rPr>
        <w:t>;</w:t>
      </w:r>
      <w:r>
        <w:rPr>
          <w:sz w:val="18"/>
          <w:szCs w:val="20"/>
          <w:rtl/>
        </w:rPr>
        <w:t xml:space="preserve"> </w:t>
      </w:r>
      <w:r>
        <w:rPr>
          <w:rFonts w:hint="cs"/>
          <w:sz w:val="18"/>
          <w:szCs w:val="20"/>
          <w:rtl/>
        </w:rPr>
        <w:t>וכיו"ב ב</w:t>
      </w:r>
      <w:r>
        <w:rPr>
          <w:sz w:val="18"/>
          <w:szCs w:val="20"/>
          <w:rtl/>
        </w:rPr>
        <w:t>ח"א</w:t>
      </w:r>
      <w:r>
        <w:rPr>
          <w:rFonts w:hint="cs"/>
          <w:sz w:val="18"/>
          <w:szCs w:val="20"/>
          <w:rtl/>
        </w:rPr>
        <w:t xml:space="preserve">, </w:t>
      </w:r>
      <w:r>
        <w:rPr>
          <w:sz w:val="18"/>
          <w:szCs w:val="20"/>
          <w:rtl/>
        </w:rPr>
        <w:t>ברכות סימן כו</w:t>
      </w:r>
      <w:r>
        <w:rPr>
          <w:rFonts w:hint="cs"/>
          <w:sz w:val="14"/>
          <w:rtl/>
        </w:rPr>
        <w:t>). וכן משמע מ</w:t>
      </w:r>
      <w:r>
        <w:rPr>
          <w:sz w:val="14"/>
          <w:rtl/>
        </w:rPr>
        <w:t xml:space="preserve">רבינו ירוחם </w:t>
      </w:r>
      <w:r>
        <w:rPr>
          <w:rFonts w:hint="cs"/>
          <w:sz w:val="14"/>
          <w:rtl/>
        </w:rPr>
        <w:t>(</w:t>
      </w:r>
      <w:r>
        <w:rPr>
          <w:sz w:val="18"/>
          <w:szCs w:val="20"/>
          <w:rtl/>
        </w:rPr>
        <w:t>תולדות אדם נתיב ג</w:t>
      </w:r>
      <w:r>
        <w:rPr>
          <w:rFonts w:hint="cs"/>
          <w:sz w:val="18"/>
          <w:szCs w:val="20"/>
          <w:rtl/>
        </w:rPr>
        <w:t>'</w:t>
      </w:r>
      <w:r>
        <w:rPr>
          <w:sz w:val="18"/>
          <w:szCs w:val="20"/>
          <w:rtl/>
        </w:rPr>
        <w:t xml:space="preserve"> ח</w:t>
      </w:r>
      <w:r>
        <w:rPr>
          <w:rFonts w:hint="cs"/>
          <w:sz w:val="18"/>
          <w:szCs w:val="20"/>
          <w:rtl/>
        </w:rPr>
        <w:t>"</w:t>
      </w:r>
      <w:r>
        <w:rPr>
          <w:sz w:val="18"/>
          <w:szCs w:val="20"/>
          <w:rtl/>
        </w:rPr>
        <w:t>ב</w:t>
      </w:r>
      <w:r>
        <w:rPr>
          <w:rFonts w:hint="cs"/>
          <w:sz w:val="14"/>
          <w:rtl/>
        </w:rPr>
        <w:t xml:space="preserve">). לעומת דברי </w:t>
      </w:r>
      <w:r>
        <w:rPr>
          <w:rFonts w:hint="cs"/>
          <w:rtl/>
        </w:rPr>
        <w:t xml:space="preserve">הגרש"ז שלהלן, המפורשים כדרך ב', </w:t>
      </w:r>
      <w:r>
        <w:rPr>
          <w:rFonts w:hint="cs"/>
          <w:sz w:val="14"/>
          <w:rtl/>
        </w:rPr>
        <w:t>יתכן שקדמונים אלו (וכן הטור) הלכו בדרך ג'.</w:t>
      </w:r>
    </w:p>
  </w:footnote>
  <w:footnote w:id="227">
    <w:p w14:paraId="23753E7E" w14:textId="77777777" w:rsidR="00273399" w:rsidRDefault="00273399" w:rsidP="00273399">
      <w:pPr>
        <w:pStyle w:val="a5"/>
        <w:rPr>
          <w:rFonts w:hint="cs"/>
          <w:rtl/>
        </w:rPr>
      </w:pPr>
      <w:r>
        <w:rPr>
          <w:rStyle w:val="a4"/>
        </w:rPr>
        <w:footnoteRef/>
      </w:r>
      <w:r>
        <w:rPr>
          <w:rFonts w:hint="cs"/>
          <w:rtl/>
        </w:rPr>
        <w:t xml:space="preserve"> מובן מאליו שרשב"י קִיֵּם המצוות המעשיות, גם על חשבון לימודו. כן מבואר בירושלמי: "</w:t>
      </w:r>
      <w:r>
        <w:rPr>
          <w:rtl/>
        </w:rPr>
        <w:t>ולא מודי רבי שמעון בן יוחי שמפסיקין לעשות סוכה ולעשות לולב</w:t>
      </w:r>
      <w:r>
        <w:rPr>
          <w:rFonts w:hint="cs"/>
          <w:rtl/>
        </w:rPr>
        <w:t>?!</w:t>
      </w:r>
      <w:r>
        <w:rPr>
          <w:rtl/>
        </w:rPr>
        <w:t xml:space="preserve"> ולית ליה לרבי שמעון בן יוחי</w:t>
      </w:r>
      <w:r>
        <w:rPr>
          <w:rFonts w:hint="cs"/>
          <w:rtl/>
        </w:rPr>
        <w:t xml:space="preserve">... </w:t>
      </w:r>
      <w:r>
        <w:rPr>
          <w:rtl/>
        </w:rPr>
        <w:t>שהלמד שלא לעשות נוח לו אילו</w:t>
      </w:r>
      <w:r>
        <w:rPr>
          <w:rFonts w:hint="cs"/>
          <w:rtl/>
        </w:rPr>
        <w:t>ּ</w:t>
      </w:r>
      <w:r>
        <w:rPr>
          <w:rtl/>
        </w:rPr>
        <w:t xml:space="preserve"> לא נברא</w:t>
      </w:r>
      <w:r>
        <w:rPr>
          <w:rFonts w:hint="cs"/>
          <w:rtl/>
        </w:rPr>
        <w:t>?!" (</w:t>
      </w:r>
      <w:r>
        <w:rPr>
          <w:rFonts w:hint="cs"/>
          <w:sz w:val="18"/>
          <w:szCs w:val="20"/>
          <w:rtl/>
        </w:rPr>
        <w:t>שבת</w:t>
      </w:r>
      <w:r>
        <w:rPr>
          <w:sz w:val="14"/>
          <w:szCs w:val="16"/>
          <w:rtl/>
        </w:rPr>
        <w:t xml:space="preserve"> </w:t>
      </w:r>
      <w:r>
        <w:rPr>
          <w:sz w:val="18"/>
          <w:szCs w:val="20"/>
          <w:rtl/>
        </w:rPr>
        <w:t>פ</w:t>
      </w:r>
      <w:r>
        <w:rPr>
          <w:rFonts w:hint="cs"/>
          <w:sz w:val="18"/>
          <w:szCs w:val="20"/>
          <w:rtl/>
        </w:rPr>
        <w:t>"</w:t>
      </w:r>
      <w:r>
        <w:rPr>
          <w:sz w:val="18"/>
          <w:szCs w:val="20"/>
          <w:rtl/>
        </w:rPr>
        <w:t>א</w:t>
      </w:r>
      <w:r>
        <w:rPr>
          <w:rFonts w:hint="cs"/>
          <w:sz w:val="18"/>
          <w:szCs w:val="20"/>
          <w:rtl/>
        </w:rPr>
        <w:t xml:space="preserve"> </w:t>
      </w:r>
      <w:r>
        <w:rPr>
          <w:sz w:val="18"/>
          <w:szCs w:val="20"/>
          <w:rtl/>
        </w:rPr>
        <w:t>ה"ב</w:t>
      </w:r>
      <w:r>
        <w:rPr>
          <w:rFonts w:hint="cs"/>
          <w:rtl/>
        </w:rPr>
        <w:t>).</w:t>
      </w:r>
    </w:p>
  </w:footnote>
  <w:footnote w:id="228">
    <w:p w14:paraId="63EB3480" w14:textId="77777777" w:rsidR="00273399" w:rsidRDefault="00273399" w:rsidP="00273399">
      <w:pPr>
        <w:pStyle w:val="a5"/>
        <w:rPr>
          <w:rFonts w:hint="cs"/>
          <w:rtl/>
        </w:rPr>
      </w:pPr>
      <w:r>
        <w:rPr>
          <w:rStyle w:val="a4"/>
        </w:rPr>
        <w:footnoteRef/>
      </w:r>
      <w:r>
        <w:rPr>
          <w:rFonts w:hint="cs"/>
          <w:rtl/>
        </w:rPr>
        <w:t xml:space="preserve"> על פי המעשה שמובא לעיל (</w:t>
      </w:r>
      <w:r>
        <w:rPr>
          <w:sz w:val="18"/>
          <w:szCs w:val="20"/>
          <w:rtl/>
        </w:rPr>
        <w:t>י</w:t>
      </w:r>
      <w:r>
        <w:rPr>
          <w:rFonts w:hint="cs"/>
          <w:sz w:val="18"/>
          <w:szCs w:val="20"/>
          <w:rtl/>
        </w:rPr>
        <w:t xml:space="preserve">, </w:t>
      </w:r>
      <w:r>
        <w:rPr>
          <w:sz w:val="18"/>
          <w:szCs w:val="20"/>
          <w:rtl/>
        </w:rPr>
        <w:t>א</w:t>
      </w:r>
      <w:r>
        <w:rPr>
          <w:rFonts w:hint="cs"/>
          <w:rtl/>
        </w:rPr>
        <w:t>): "</w:t>
      </w:r>
      <w:r>
        <w:rPr>
          <w:rtl/>
        </w:rPr>
        <w:t>רבא חזייה לרב המנונא דקא מאריך בצלותיה, אמר:</w:t>
      </w:r>
      <w:r>
        <w:rPr>
          <w:rFonts w:hint="cs"/>
          <w:rtl/>
        </w:rPr>
        <w:t xml:space="preserve"> '</w:t>
      </w:r>
      <w:r>
        <w:rPr>
          <w:rtl/>
        </w:rPr>
        <w:t>מניחין חיי עולם</w:t>
      </w:r>
      <w:r>
        <w:rPr>
          <w:rFonts w:hint="cs"/>
          <w:rtl/>
        </w:rPr>
        <w:t xml:space="preserve"> [</w:t>
      </w:r>
      <w:r>
        <w:rPr>
          <w:szCs w:val="20"/>
          <w:rtl/>
        </w:rPr>
        <w:t>תורה</w:t>
      </w:r>
      <w:r>
        <w:rPr>
          <w:rFonts w:hint="cs"/>
          <w:rtl/>
        </w:rPr>
        <w:t>],</w:t>
      </w:r>
      <w:r>
        <w:rPr>
          <w:rtl/>
        </w:rPr>
        <w:t xml:space="preserve"> ועוסקים בחיי שעה!</w:t>
      </w:r>
      <w:r>
        <w:rPr>
          <w:rFonts w:hint="cs"/>
          <w:rtl/>
        </w:rPr>
        <w:t>' [</w:t>
      </w:r>
      <w:r>
        <w:rPr>
          <w:rFonts w:hint="cs"/>
          <w:sz w:val="18"/>
          <w:szCs w:val="20"/>
          <w:rtl/>
        </w:rPr>
        <w:t xml:space="preserve">רש"י: </w:t>
      </w:r>
      <w:r>
        <w:rPr>
          <w:sz w:val="18"/>
          <w:szCs w:val="20"/>
          <w:rtl/>
        </w:rPr>
        <w:t>תפלה צורך חיי שעה היא</w:t>
      </w:r>
      <w:r>
        <w:rPr>
          <w:rFonts w:hint="cs"/>
          <w:sz w:val="18"/>
          <w:szCs w:val="20"/>
          <w:rtl/>
        </w:rPr>
        <w:t xml:space="preserve">: </w:t>
      </w:r>
      <w:r>
        <w:rPr>
          <w:sz w:val="18"/>
          <w:szCs w:val="20"/>
          <w:rtl/>
        </w:rPr>
        <w:t>לרפואה לשלום ולמזונות</w:t>
      </w:r>
      <w:r>
        <w:rPr>
          <w:rFonts w:hint="cs"/>
          <w:rtl/>
        </w:rPr>
        <w:t>]</w:t>
      </w:r>
      <w:r>
        <w:rPr>
          <w:rtl/>
        </w:rPr>
        <w:t xml:space="preserve"> והוא סבר: זמן תפלה לחוד, וזמן תורה לחוד</w:t>
      </w:r>
      <w:r>
        <w:rPr>
          <w:rFonts w:hint="cs"/>
          <w:rtl/>
        </w:rPr>
        <w:t>"</w:t>
      </w:r>
      <w:r>
        <w:rPr>
          <w:rtl/>
        </w:rPr>
        <w:t>.</w:t>
      </w:r>
      <w:r>
        <w:rPr>
          <w:rFonts w:hint="cs"/>
          <w:rtl/>
        </w:rPr>
        <w:t xml:space="preserve"> השוה לביטוי</w:t>
      </w:r>
      <w:r>
        <w:rPr>
          <w:rtl/>
        </w:rPr>
        <w:t xml:space="preserve"> </w:t>
      </w:r>
      <w:r>
        <w:rPr>
          <w:rFonts w:hint="cs"/>
          <w:rtl/>
        </w:rPr>
        <w:t>"</w:t>
      </w:r>
      <w:r>
        <w:rPr>
          <w:rtl/>
        </w:rPr>
        <w:t>שמניחין חיי עולם הבא ועוסקין בחיי שעה</w:t>
      </w:r>
      <w:r>
        <w:rPr>
          <w:rFonts w:hint="cs"/>
          <w:rtl/>
        </w:rPr>
        <w:t xml:space="preserve">" במעשה </w:t>
      </w:r>
      <w:r>
        <w:rPr>
          <w:rtl/>
        </w:rPr>
        <w:t>אילפא ורבי</w:t>
      </w:r>
      <w:r>
        <w:rPr>
          <w:rFonts w:hint="cs"/>
          <w:rtl/>
        </w:rPr>
        <w:t xml:space="preserve"> </w:t>
      </w:r>
      <w:r>
        <w:rPr>
          <w:rtl/>
        </w:rPr>
        <w:t xml:space="preserve">יוחנן </w:t>
      </w:r>
      <w:r>
        <w:rPr>
          <w:rFonts w:hint="cs"/>
          <w:rtl/>
        </w:rPr>
        <w:t xml:space="preserve">המובא להלן בהערה 41, וראה כאן בפירוש בן </w:t>
      </w:r>
      <w:r>
        <w:rPr>
          <w:rtl/>
        </w:rPr>
        <w:t>יהויד</w:t>
      </w:r>
      <w:r>
        <w:rPr>
          <w:rFonts w:hint="cs"/>
          <w:rtl/>
        </w:rPr>
        <w:t>ע לרבי יוסף חיים מבגדד.</w:t>
      </w:r>
    </w:p>
  </w:footnote>
  <w:footnote w:id="229">
    <w:p w14:paraId="5149EC57" w14:textId="77777777" w:rsidR="00273399" w:rsidRDefault="00273399" w:rsidP="00273399">
      <w:pPr>
        <w:pStyle w:val="a5"/>
        <w:rPr>
          <w:rFonts w:hint="cs"/>
          <w:rtl/>
        </w:rPr>
      </w:pPr>
      <w:r>
        <w:rPr>
          <w:rStyle w:val="a4"/>
        </w:rPr>
        <w:footnoteRef/>
      </w:r>
      <w:r>
        <w:rPr>
          <w:rFonts w:hint="cs"/>
          <w:rtl/>
        </w:rPr>
        <w:t xml:space="preserve"> נראה שרומז לדברי </w:t>
      </w:r>
      <w:r>
        <w:rPr>
          <w:rtl/>
        </w:rPr>
        <w:t xml:space="preserve">הרא"ש </w:t>
      </w:r>
      <w:r>
        <w:rPr>
          <w:rFonts w:hint="cs"/>
          <w:rtl/>
        </w:rPr>
        <w:t>(</w:t>
      </w:r>
      <w:r>
        <w:rPr>
          <w:rFonts w:hint="cs"/>
          <w:sz w:val="18"/>
          <w:szCs w:val="20"/>
          <w:rtl/>
        </w:rPr>
        <w:t>שיובאו להלן</w:t>
      </w:r>
      <w:r>
        <w:rPr>
          <w:rFonts w:hint="cs"/>
          <w:rtl/>
        </w:rPr>
        <w:t>): "</w:t>
      </w:r>
      <w:r>
        <w:rPr>
          <w:rtl/>
        </w:rPr>
        <w:t>אין תורתנו כל כך אומנותנו, והרבה שעות אנו מבטלים ביום</w:t>
      </w:r>
      <w:r>
        <w:rPr>
          <w:rFonts w:hint="cs"/>
          <w:rtl/>
        </w:rPr>
        <w:t>"</w:t>
      </w:r>
      <w:r>
        <w:rPr>
          <w:rtl/>
        </w:rPr>
        <w:t>.</w:t>
      </w:r>
      <w:r>
        <w:rPr>
          <w:rFonts w:cs="Times New Roman"/>
          <w:color w:val="000000"/>
          <w:sz w:val="24"/>
          <w:szCs w:val="28"/>
          <w:rtl/>
        </w:rPr>
        <w:t xml:space="preserve">  </w:t>
      </w:r>
    </w:p>
  </w:footnote>
  <w:footnote w:id="230">
    <w:p w14:paraId="1BFC9748" w14:textId="77777777" w:rsidR="00273399" w:rsidRDefault="00273399" w:rsidP="00273399">
      <w:pPr>
        <w:pStyle w:val="a5"/>
        <w:rPr>
          <w:rFonts w:hint="cs"/>
          <w:rtl/>
        </w:rPr>
      </w:pPr>
      <w:r>
        <w:rPr>
          <w:rStyle w:val="a4"/>
          <w:rtl/>
        </w:rPr>
        <w:footnoteRef/>
      </w:r>
      <w:r>
        <w:rPr>
          <w:szCs w:val="22"/>
        </w:rPr>
        <w:t xml:space="preserve"> </w:t>
      </w:r>
      <w:r>
        <w:rPr>
          <w:rFonts w:hint="cs"/>
          <w:rtl/>
        </w:rPr>
        <w:t>השוה לדרכים נוספות של ר' יוחנן לדחות משניות מפני ההלכה למעשה הנקוטה בידו: "מוחלפת השיטה" (</w:t>
      </w:r>
      <w:r>
        <w:rPr>
          <w:rFonts w:hint="cs"/>
          <w:sz w:val="18"/>
          <w:szCs w:val="20"/>
          <w:rtl/>
        </w:rPr>
        <w:t>ברכות יז, ב ועוד</w:t>
      </w:r>
      <w:r>
        <w:rPr>
          <w:rFonts w:hint="cs"/>
          <w:rtl/>
        </w:rPr>
        <w:t>), "ומשנה לא זזה ממקומה" (</w:t>
      </w:r>
      <w:r>
        <w:rPr>
          <w:rFonts w:hint="cs"/>
          <w:sz w:val="18"/>
          <w:szCs w:val="20"/>
          <w:rtl/>
        </w:rPr>
        <w:t>חולין לב, ב</w:t>
      </w:r>
      <w:r>
        <w:rPr>
          <w:rFonts w:hint="cs"/>
          <w:rtl/>
        </w:rPr>
        <w:t>).</w:t>
      </w:r>
    </w:p>
  </w:footnote>
  <w:footnote w:id="231">
    <w:p w14:paraId="4444582F" w14:textId="77777777" w:rsidR="00273399" w:rsidRDefault="00273399" w:rsidP="00273399">
      <w:pPr>
        <w:pStyle w:val="a5"/>
        <w:rPr>
          <w:rFonts w:hint="cs"/>
          <w:sz w:val="14"/>
          <w:rtl/>
        </w:rPr>
      </w:pPr>
      <w:r>
        <w:rPr>
          <w:rStyle w:val="a4"/>
          <w:rtl/>
        </w:rPr>
        <w:footnoteRef/>
      </w:r>
      <w:r>
        <w:rPr>
          <w:szCs w:val="22"/>
        </w:rPr>
        <w:t xml:space="preserve"> </w:t>
      </w:r>
      <w:r>
        <w:rPr>
          <w:rFonts w:hint="cs"/>
          <w:rtl/>
        </w:rPr>
        <w:t>ודייק! הרמב"ם לא סיים "</w:t>
      </w:r>
      <w:r>
        <w:rPr>
          <w:sz w:val="14"/>
          <w:rtl/>
        </w:rPr>
        <w:t>שתור</w:t>
      </w:r>
      <w:r>
        <w:rPr>
          <w:rFonts w:hint="cs"/>
          <w:sz w:val="14"/>
          <w:rtl/>
        </w:rPr>
        <w:t>תו</w:t>
      </w:r>
      <w:r>
        <w:rPr>
          <w:sz w:val="14"/>
          <w:rtl/>
        </w:rPr>
        <w:t xml:space="preserve"> </w:t>
      </w:r>
      <w:r>
        <w:rPr>
          <w:rFonts w:hint="cs"/>
          <w:sz w:val="14"/>
          <w:rtl/>
        </w:rPr>
        <w:t xml:space="preserve">של זה </w:t>
      </w:r>
      <w:r>
        <w:rPr>
          <w:sz w:val="14"/>
          <w:rtl/>
        </w:rPr>
        <w:t>גדולה ממצות תפלה</w:t>
      </w:r>
      <w:r>
        <w:rPr>
          <w:rFonts w:hint="cs"/>
          <w:sz w:val="14"/>
          <w:rtl/>
        </w:rPr>
        <w:t>", אלא משמע שבאופן עקרוני "</w:t>
      </w:r>
      <w:r>
        <w:rPr>
          <w:sz w:val="14"/>
          <w:rtl/>
        </w:rPr>
        <w:t>מצות תלמוד תורה גדולה ממצות תפלה</w:t>
      </w:r>
      <w:r>
        <w:rPr>
          <w:rFonts w:hint="cs"/>
          <w:sz w:val="14"/>
          <w:rtl/>
        </w:rPr>
        <w:t xml:space="preserve">", אלא שאנו איננו מיישמים את סדרי העדיפות הערכיים בטהרתם לרגל שיקולים מעשיים נוספים. כך נראה גם מלשון </w:t>
      </w:r>
      <w:r>
        <w:rPr>
          <w:sz w:val="14"/>
          <w:rtl/>
        </w:rPr>
        <w:t>ספר כל</w:t>
      </w:r>
      <w:r>
        <w:rPr>
          <w:rFonts w:hint="cs"/>
          <w:sz w:val="14"/>
          <w:rtl/>
        </w:rPr>
        <w:t>-</w:t>
      </w:r>
      <w:r>
        <w:rPr>
          <w:sz w:val="14"/>
          <w:rtl/>
        </w:rPr>
        <w:t xml:space="preserve">בו </w:t>
      </w:r>
      <w:r>
        <w:rPr>
          <w:rFonts w:hint="cs"/>
          <w:sz w:val="14"/>
          <w:rtl/>
        </w:rPr>
        <w:t>(</w:t>
      </w:r>
      <w:r>
        <w:rPr>
          <w:sz w:val="18"/>
          <w:szCs w:val="20"/>
          <w:rtl/>
        </w:rPr>
        <w:t>סימן י</w:t>
      </w:r>
      <w:r>
        <w:rPr>
          <w:rFonts w:hint="cs"/>
          <w:sz w:val="18"/>
          <w:szCs w:val="20"/>
          <w:rtl/>
        </w:rPr>
        <w:t>"</w:t>
      </w:r>
      <w:r>
        <w:rPr>
          <w:sz w:val="18"/>
          <w:szCs w:val="20"/>
          <w:rtl/>
        </w:rPr>
        <w:t>א</w:t>
      </w:r>
      <w:r>
        <w:rPr>
          <w:rFonts w:hint="cs"/>
          <w:sz w:val="14"/>
          <w:rtl/>
        </w:rPr>
        <w:t>) ששינה רק מעט את לשון הרמב"ם: "</w:t>
      </w:r>
      <w:r>
        <w:rPr>
          <w:sz w:val="14"/>
          <w:rtl/>
        </w:rPr>
        <w:t>היה עוסק בתורה והגיע זמן התפלה פוסק ומתפלל אם לא היתה תורתו אומנותו, ואם היתה תורתו אומנותו ולא</w:t>
      </w:r>
      <w:r>
        <w:rPr>
          <w:rFonts w:hint="cs"/>
          <w:sz w:val="14"/>
          <w:rtl/>
        </w:rPr>
        <w:t xml:space="preserve"> </w:t>
      </w:r>
      <w:r>
        <w:rPr>
          <w:sz w:val="14"/>
          <w:rtl/>
        </w:rPr>
        <w:t>היה עושה מלאכה כלל והיה עוסק בתורה אינו פוסק, לפי שגדול ת"ת יותר מן התפלה, וכן אמרו ז"ל ותלמוד תורה כנגד כולן</w:t>
      </w:r>
      <w:r>
        <w:rPr>
          <w:rFonts w:hint="cs"/>
          <w:sz w:val="14"/>
          <w:rtl/>
        </w:rPr>
        <w:t>"</w:t>
      </w:r>
      <w:r>
        <w:rPr>
          <w:sz w:val="14"/>
          <w:rtl/>
        </w:rPr>
        <w:t>.</w:t>
      </w:r>
      <w:r>
        <w:rPr>
          <w:rFonts w:hint="cs"/>
          <w:sz w:val="14"/>
          <w:rtl/>
        </w:rPr>
        <w:t xml:space="preserve"> גישה אחרת מצאנו בדרשותיו של בעל ה"חפץ חיים" (</w:t>
      </w:r>
      <w:r>
        <w:rPr>
          <w:rFonts w:hint="cs"/>
          <w:sz w:val="18"/>
          <w:szCs w:val="20"/>
          <w:rtl/>
        </w:rPr>
        <w:t>שמירת הלשון, שער התורה, פרק ג', הגה</w:t>
      </w:r>
      <w:r>
        <w:rPr>
          <w:rFonts w:hint="cs"/>
          <w:sz w:val="14"/>
          <w:rtl/>
        </w:rPr>
        <w:t>): "דלכאורה ייפלא, אם באמת התורה מצד עצמה גדולה מתפילה, וכי מפני שאנו עושין בדבר אחד שלא כהוגן נעשה גם עתה שלא כהוגן?! אבל לפי דברינו ניחא, דהואיל שאין תורתנו תמידית ואין חביבה אצלנו כל כך, והראָיָה, שאנו מבטלין אותה לאומנותנו, אין כח קדושתה גדולה כל כך שתתבטל על ידה מצות תפילה".</w:t>
      </w:r>
    </w:p>
  </w:footnote>
  <w:footnote w:id="232">
    <w:p w14:paraId="0CF7D14E" w14:textId="77777777" w:rsidR="00273399" w:rsidRDefault="00273399" w:rsidP="00273399">
      <w:pPr>
        <w:pStyle w:val="a5"/>
        <w:rPr>
          <w:rFonts w:hint="cs"/>
          <w:rtl/>
        </w:rPr>
      </w:pPr>
      <w:r>
        <w:rPr>
          <w:rStyle w:val="a4"/>
          <w:rtl/>
        </w:rPr>
        <w:footnoteRef/>
      </w:r>
      <w:r>
        <w:rPr>
          <w:szCs w:val="22"/>
        </w:rPr>
        <w:t xml:space="preserve"> </w:t>
      </w:r>
      <w:r>
        <w:rPr>
          <w:rFonts w:hint="cs"/>
          <w:rtl/>
        </w:rPr>
        <w:t>רק אם מגדירים את "תורתו אומנותו" בדרך זו ניתן לומר על רבי יוחנן שתורתו אומנותו - בניגוד לדבריו שרק רשב"י תורתו אומנותו, אך "אנו" - לא. הסיבה לכך היא ש"אומנות" במובן זה איננה הגדרה מוחלטת אלא הגדרה יחסית, ולכן ניתן לומר שתורתו של רבי יוחנן לא היתה הקביעות והרגילות שלו בהשוואה לרשב"י, אולם בהשוואה אלינו - "פשיטא שהיתה תורתו אומנתו". והשוה לפרשנות דברי הרמ"א ב</w:t>
      </w:r>
      <w:r>
        <w:rPr>
          <w:rtl/>
        </w:rPr>
        <w:t xml:space="preserve">שו"ת אגרות משה </w:t>
      </w:r>
      <w:r>
        <w:rPr>
          <w:sz w:val="18"/>
          <w:szCs w:val="20"/>
          <w:rtl/>
        </w:rPr>
        <w:t>חלק או"ח א סימן לא</w:t>
      </w:r>
      <w:r>
        <w:rPr>
          <w:rFonts w:hint="cs"/>
          <w:rtl/>
        </w:rPr>
        <w:t>:</w:t>
      </w:r>
      <w:r>
        <w:rPr>
          <w:rtl/>
        </w:rPr>
        <w:t xml:space="preserve"> </w:t>
      </w:r>
      <w:r>
        <w:rPr>
          <w:rFonts w:hint="cs"/>
          <w:rtl/>
        </w:rPr>
        <w:t>"...</w:t>
      </w:r>
      <w:r>
        <w:rPr>
          <w:rtl/>
        </w:rPr>
        <w:t>אלו שבזמננו נמי אף שאין לו דין תורתו אומנתו לבטל התפלה</w:t>
      </w:r>
      <w:r>
        <w:rPr>
          <w:rFonts w:hint="cs"/>
          <w:rtl/>
        </w:rPr>
        <w:t>,</w:t>
      </w:r>
      <w:r>
        <w:rPr>
          <w:rtl/>
        </w:rPr>
        <w:t xml:space="preserve"> מ"מ יש לו דין תורתו אומנתו שלא יצטרך לילך לביהכ"נ להתפלל בעשרה</w:t>
      </w:r>
      <w:r>
        <w:rPr>
          <w:rFonts w:hint="cs"/>
          <w:rtl/>
        </w:rPr>
        <w:t>"</w:t>
      </w:r>
      <w:r>
        <w:rPr>
          <w:rtl/>
        </w:rPr>
        <w:t>.</w:t>
      </w:r>
    </w:p>
  </w:footnote>
  <w:footnote w:id="233">
    <w:p w14:paraId="1A2542BA" w14:textId="77777777" w:rsidR="00273399" w:rsidRDefault="00273399" w:rsidP="00273399">
      <w:pPr>
        <w:pStyle w:val="a5"/>
        <w:rPr>
          <w:rFonts w:hint="cs"/>
          <w:rtl/>
        </w:rPr>
      </w:pPr>
      <w:r>
        <w:rPr>
          <w:rStyle w:val="a4"/>
        </w:rPr>
        <w:footnoteRef/>
      </w:r>
      <w:r>
        <w:rPr>
          <w:rFonts w:hint="cs"/>
          <w:rtl/>
        </w:rPr>
        <w:t xml:space="preserve"> ראה למשל</w:t>
      </w:r>
      <w:r>
        <w:rPr>
          <w:rtl/>
        </w:rPr>
        <w:t xml:space="preserve"> הלכות מלכים פ</w:t>
      </w:r>
      <w:r>
        <w:rPr>
          <w:rFonts w:hint="cs"/>
          <w:rtl/>
        </w:rPr>
        <w:t>"</w:t>
      </w:r>
      <w:r>
        <w:rPr>
          <w:rtl/>
        </w:rPr>
        <w:t>ה ה</w:t>
      </w:r>
      <w:r>
        <w:rPr>
          <w:rFonts w:hint="cs"/>
          <w:rtl/>
        </w:rPr>
        <w:t>"</w:t>
      </w:r>
      <w:r>
        <w:rPr>
          <w:rtl/>
        </w:rPr>
        <w:t>ד</w:t>
      </w:r>
      <w:r>
        <w:rPr>
          <w:rFonts w:hint="cs"/>
          <w:rtl/>
        </w:rPr>
        <w:t>.</w:t>
      </w:r>
    </w:p>
  </w:footnote>
  <w:footnote w:id="234">
    <w:p w14:paraId="227DA58D" w14:textId="77777777" w:rsidR="00273399" w:rsidRDefault="00273399" w:rsidP="00273399">
      <w:pPr>
        <w:pStyle w:val="a5"/>
        <w:rPr>
          <w:rFonts w:hint="cs"/>
          <w:rtl/>
        </w:rPr>
      </w:pPr>
      <w:r>
        <w:rPr>
          <w:rStyle w:val="a4"/>
        </w:rPr>
        <w:footnoteRef/>
      </w:r>
      <w:r>
        <w:rPr>
          <w:rFonts w:hint="cs"/>
          <w:rtl/>
        </w:rPr>
        <w:t xml:space="preserve"> האות ו' של "ואינו" אינה אלא ו' הביאור (="כלומר"). וכ"כ בפרישה על הטור שם אות ה': "ולאפוקי מ'תורתו אומנותו' הנזכרים סתם, שפירש הרא"ש שעוסק במלאכה כדי צרכו ואח"כ חוזר לתלמודו", כמובא להלן.</w:t>
      </w:r>
    </w:p>
  </w:footnote>
  <w:footnote w:id="235">
    <w:p w14:paraId="4944CCBE" w14:textId="77777777" w:rsidR="00273399" w:rsidRDefault="00273399" w:rsidP="00273399">
      <w:pPr>
        <w:pStyle w:val="a5"/>
        <w:rPr>
          <w:rFonts w:hint="cs"/>
          <w:rtl/>
        </w:rPr>
      </w:pPr>
      <w:r>
        <w:rPr>
          <w:rStyle w:val="a4"/>
        </w:rPr>
        <w:footnoteRef/>
      </w:r>
      <w:r>
        <w:rPr>
          <w:rFonts w:hint="cs"/>
          <w:rtl/>
        </w:rPr>
        <w:t xml:space="preserve"> כמו בתיאור דוד המלך: "מיד היה עומד ועוֹסֵק בתורה עד שעלה עמוד השחר" (</w:t>
      </w:r>
      <w:r>
        <w:rPr>
          <w:rFonts w:hint="cs"/>
          <w:sz w:val="18"/>
          <w:szCs w:val="20"/>
          <w:rtl/>
        </w:rPr>
        <w:t>ברכות ג, ב</w:t>
      </w:r>
      <w:r>
        <w:rPr>
          <w:rFonts w:hint="cs"/>
          <w:rtl/>
        </w:rPr>
        <w:t>), וכמו בדרשת ר' יוחנן "כל העוֹסֵק בתורה אפילו יום אחד בשנה, מעלה עליו הכתוב כאילו עָסַק כל השנה כולה" (</w:t>
      </w:r>
      <w:r>
        <w:rPr>
          <w:rFonts w:hint="cs"/>
          <w:sz w:val="18"/>
          <w:szCs w:val="20"/>
          <w:rtl/>
        </w:rPr>
        <w:t>חגיגה ה, ב</w:t>
      </w:r>
      <w:r>
        <w:rPr>
          <w:rFonts w:hint="cs"/>
          <w:rtl/>
        </w:rPr>
        <w:t xml:space="preserve">), וכמו נוסח ברכת התורה: "אשר קדשנו במצותיו וצונו </w:t>
      </w:r>
      <w:r>
        <w:rPr>
          <w:rtl/>
        </w:rPr>
        <w:t xml:space="preserve">לַעֲסוֹק </w:t>
      </w:r>
      <w:r>
        <w:rPr>
          <w:rFonts w:hint="cs"/>
          <w:rtl/>
        </w:rPr>
        <w:t>בדברי תורה. ור' יוחנן מסיים בה הכי: הערב נא... כלנו יודעי שמך ועוֹסְקֵי תורתך" (</w:t>
      </w:r>
      <w:r>
        <w:rPr>
          <w:rFonts w:hint="cs"/>
          <w:sz w:val="18"/>
          <w:szCs w:val="20"/>
          <w:rtl/>
        </w:rPr>
        <w:t>ברכות יא, ב</w:t>
      </w:r>
      <w:r>
        <w:rPr>
          <w:sz w:val="18"/>
          <w:szCs w:val="20"/>
          <w:rtl/>
        </w:rPr>
        <w:t>; לפי דפוס וילנה, אך לפי כתבי יד</w:t>
      </w:r>
      <w:r>
        <w:rPr>
          <w:rFonts w:hint="cs"/>
          <w:sz w:val="18"/>
          <w:szCs w:val="20"/>
          <w:rtl/>
        </w:rPr>
        <w:t xml:space="preserve"> וכן הנוסח ברי"ף</w:t>
      </w:r>
      <w:r>
        <w:rPr>
          <w:sz w:val="18"/>
          <w:szCs w:val="20"/>
          <w:rtl/>
        </w:rPr>
        <w:t>: "וצונו על דברי תורה... יודעי שמך ולומדי תורתך"</w:t>
      </w:r>
      <w:r>
        <w:rPr>
          <w:rFonts w:hint="cs"/>
          <w:rtl/>
        </w:rPr>
        <w:t>).</w:t>
      </w:r>
      <w:r>
        <w:rPr>
          <w:rFonts w:ascii="Arial" w:hAnsi="Arial"/>
          <w:color w:val="1F497D"/>
          <w:szCs w:val="22"/>
          <w:rtl/>
        </w:rPr>
        <w:t> </w:t>
      </w:r>
      <w:r>
        <w:rPr>
          <w:rtl/>
        </w:rPr>
        <w:t> </w:t>
      </w:r>
    </w:p>
  </w:footnote>
  <w:footnote w:id="236">
    <w:p w14:paraId="6F6F698A" w14:textId="77777777" w:rsidR="00273399" w:rsidRDefault="00273399" w:rsidP="00273399">
      <w:pPr>
        <w:pStyle w:val="a5"/>
        <w:rPr>
          <w:rFonts w:hint="cs"/>
          <w:sz w:val="14"/>
          <w:rtl/>
        </w:rPr>
      </w:pPr>
      <w:r>
        <w:rPr>
          <w:rStyle w:val="a4"/>
          <w:rtl/>
        </w:rPr>
        <w:footnoteRef/>
      </w:r>
      <w:r>
        <w:rPr>
          <w:szCs w:val="22"/>
        </w:rPr>
        <w:t xml:space="preserve"> </w:t>
      </w:r>
      <w:r>
        <w:rPr>
          <w:rFonts w:hint="cs"/>
          <w:rtl/>
        </w:rPr>
        <w:t xml:space="preserve">כמו לשון </w:t>
      </w:r>
      <w:r>
        <w:rPr>
          <w:sz w:val="14"/>
          <w:rtl/>
        </w:rPr>
        <w:t>בית הלל</w:t>
      </w:r>
      <w:r>
        <w:rPr>
          <w:rFonts w:hint="cs"/>
          <w:sz w:val="14"/>
          <w:rtl/>
        </w:rPr>
        <w:t xml:space="preserve"> (</w:t>
      </w:r>
      <w:r>
        <w:rPr>
          <w:sz w:val="18"/>
          <w:szCs w:val="20"/>
          <w:rtl/>
        </w:rPr>
        <w:t>ברכות טז</w:t>
      </w:r>
      <w:r>
        <w:rPr>
          <w:rFonts w:hint="cs"/>
          <w:sz w:val="18"/>
          <w:szCs w:val="20"/>
          <w:rtl/>
        </w:rPr>
        <w:t xml:space="preserve">, </w:t>
      </w:r>
      <w:r>
        <w:rPr>
          <w:sz w:val="18"/>
          <w:szCs w:val="20"/>
          <w:rtl/>
        </w:rPr>
        <w:t>א</w:t>
      </w:r>
      <w:r>
        <w:rPr>
          <w:rFonts w:hint="cs"/>
          <w:sz w:val="14"/>
          <w:rtl/>
        </w:rPr>
        <w:t>)</w:t>
      </w:r>
      <w:r>
        <w:rPr>
          <w:sz w:val="14"/>
          <w:rtl/>
        </w:rPr>
        <w:t xml:space="preserve">: </w:t>
      </w:r>
      <w:r>
        <w:rPr>
          <w:rFonts w:hint="cs"/>
          <w:sz w:val="14"/>
          <w:rtl/>
        </w:rPr>
        <w:t>"</w:t>
      </w:r>
      <w:r>
        <w:rPr>
          <w:b/>
          <w:bCs/>
          <w:sz w:val="14"/>
          <w:rtl/>
        </w:rPr>
        <w:t>עוסקים</w:t>
      </w:r>
      <w:r>
        <w:rPr>
          <w:sz w:val="14"/>
          <w:rtl/>
        </w:rPr>
        <w:t xml:space="preserve"> במלאכתן</w:t>
      </w:r>
      <w:r>
        <w:rPr>
          <w:rFonts w:hint="cs"/>
          <w:sz w:val="14"/>
          <w:rtl/>
        </w:rPr>
        <w:t xml:space="preserve"> </w:t>
      </w:r>
      <w:r>
        <w:rPr>
          <w:sz w:val="14"/>
          <w:rtl/>
        </w:rPr>
        <w:t>וקורין</w:t>
      </w:r>
      <w:r>
        <w:rPr>
          <w:rFonts w:hint="cs"/>
          <w:sz w:val="14"/>
          <w:rtl/>
        </w:rPr>
        <w:t xml:space="preserve">". אגב, ציטוט זה מתוך דברי </w:t>
      </w:r>
      <w:r>
        <w:rPr>
          <w:sz w:val="14"/>
          <w:rtl/>
        </w:rPr>
        <w:t>בית הלל</w:t>
      </w:r>
      <w:r>
        <w:rPr>
          <w:rFonts w:hint="cs"/>
          <w:sz w:val="14"/>
          <w:rtl/>
        </w:rPr>
        <w:t xml:space="preserve"> לקוח כנראה מן הברייתא המופיעה בשלמותה בפרק ראשון של </w:t>
      </w:r>
      <w:r>
        <w:rPr>
          <w:sz w:val="14"/>
          <w:rtl/>
        </w:rPr>
        <w:t xml:space="preserve">ברכות </w:t>
      </w:r>
      <w:r>
        <w:rPr>
          <w:rFonts w:hint="cs"/>
          <w:sz w:val="14"/>
          <w:rtl/>
        </w:rPr>
        <w:t>(</w:t>
      </w:r>
      <w:r>
        <w:rPr>
          <w:sz w:val="18"/>
          <w:szCs w:val="20"/>
          <w:rtl/>
        </w:rPr>
        <w:t>דף יא</w:t>
      </w:r>
      <w:r>
        <w:rPr>
          <w:rFonts w:hint="cs"/>
          <w:sz w:val="18"/>
          <w:szCs w:val="20"/>
          <w:rtl/>
        </w:rPr>
        <w:t xml:space="preserve">, </w:t>
      </w:r>
      <w:r>
        <w:rPr>
          <w:sz w:val="18"/>
          <w:szCs w:val="20"/>
          <w:rtl/>
        </w:rPr>
        <w:t>א</w:t>
      </w:r>
      <w:r>
        <w:rPr>
          <w:rFonts w:hint="cs"/>
          <w:sz w:val="14"/>
          <w:rtl/>
        </w:rPr>
        <w:t>),</w:t>
      </w:r>
      <w:r>
        <w:rPr>
          <w:sz w:val="14"/>
          <w:rtl/>
        </w:rPr>
        <w:t xml:space="preserve"> ושם מודפס</w:t>
      </w:r>
      <w:r>
        <w:rPr>
          <w:rFonts w:hint="cs"/>
          <w:sz w:val="14"/>
          <w:rtl/>
        </w:rPr>
        <w:t>: "</w:t>
      </w:r>
      <w:r>
        <w:rPr>
          <w:b/>
          <w:bCs/>
          <w:sz w:val="14"/>
          <w:rtl/>
        </w:rPr>
        <w:t>עושין</w:t>
      </w:r>
      <w:r>
        <w:rPr>
          <w:sz w:val="14"/>
          <w:rtl/>
        </w:rPr>
        <w:t xml:space="preserve"> במלאכתן</w:t>
      </w:r>
      <w:r>
        <w:rPr>
          <w:rFonts w:hint="cs"/>
          <w:sz w:val="14"/>
          <w:rtl/>
        </w:rPr>
        <w:t xml:space="preserve"> </w:t>
      </w:r>
      <w:r>
        <w:rPr>
          <w:sz w:val="14"/>
          <w:rtl/>
        </w:rPr>
        <w:t>וקורין</w:t>
      </w:r>
      <w:r>
        <w:rPr>
          <w:rFonts w:hint="cs"/>
          <w:sz w:val="14"/>
          <w:rtl/>
        </w:rPr>
        <w:t xml:space="preserve">". אמנם, הב"ח </w:t>
      </w:r>
      <w:r>
        <w:rPr>
          <w:sz w:val="14"/>
          <w:rtl/>
        </w:rPr>
        <w:t>הגיה "עוסקין", וכך הנוסח ברי"ף ובכתבי יד</w:t>
      </w:r>
      <w:r>
        <w:rPr>
          <w:rFonts w:hint="cs"/>
          <w:sz w:val="14"/>
          <w:rtl/>
        </w:rPr>
        <w:t xml:space="preserve"> (</w:t>
      </w:r>
      <w:r>
        <w:rPr>
          <w:rFonts w:hint="cs"/>
          <w:sz w:val="18"/>
          <w:szCs w:val="20"/>
          <w:rtl/>
        </w:rPr>
        <w:t>חוץ מ</w:t>
      </w:r>
      <w:r>
        <w:rPr>
          <w:sz w:val="18"/>
          <w:szCs w:val="20"/>
          <w:rtl/>
        </w:rPr>
        <w:t xml:space="preserve">קטע גניזה </w:t>
      </w:r>
      <w:r>
        <w:rPr>
          <w:rFonts w:hint="cs"/>
          <w:sz w:val="18"/>
          <w:szCs w:val="20"/>
          <w:rtl/>
        </w:rPr>
        <w:t xml:space="preserve">שבו </w:t>
      </w:r>
      <w:r>
        <w:rPr>
          <w:sz w:val="18"/>
          <w:szCs w:val="20"/>
          <w:rtl/>
        </w:rPr>
        <w:t>מופיע "עסיקין במלאכתן"</w:t>
      </w:r>
      <w:r>
        <w:rPr>
          <w:rFonts w:hint="cs"/>
          <w:sz w:val="14"/>
          <w:rtl/>
        </w:rPr>
        <w:t>)</w:t>
      </w:r>
      <w:r>
        <w:rPr>
          <w:sz w:val="14"/>
          <w:rtl/>
        </w:rPr>
        <w:t>.</w:t>
      </w:r>
    </w:p>
  </w:footnote>
  <w:footnote w:id="237">
    <w:p w14:paraId="2030CF24" w14:textId="77777777" w:rsidR="00273399" w:rsidRDefault="00273399" w:rsidP="00273399">
      <w:pPr>
        <w:pStyle w:val="a5"/>
        <w:rPr>
          <w:rFonts w:hint="cs"/>
          <w:rtl/>
        </w:rPr>
      </w:pPr>
      <w:r>
        <w:rPr>
          <w:rStyle w:val="a4"/>
          <w:rtl/>
        </w:rPr>
        <w:footnoteRef/>
      </w:r>
      <w:r>
        <w:rPr>
          <w:szCs w:val="22"/>
        </w:rPr>
        <w:t xml:space="preserve"> </w:t>
      </w:r>
      <w:r>
        <w:rPr>
          <w:rFonts w:hint="cs"/>
          <w:rtl/>
        </w:rPr>
        <w:t>אמנם, יתכן שמתחילה לא סבר כך הרמב"ם. אלו דבריו בפירושו למשנה (</w:t>
      </w:r>
      <w:r>
        <w:rPr>
          <w:rFonts w:hint="cs"/>
          <w:sz w:val="18"/>
          <w:szCs w:val="20"/>
          <w:rtl/>
        </w:rPr>
        <w:t>שבת פ"א מ"ב</w:t>
      </w:r>
      <w:r>
        <w:rPr>
          <w:rFonts w:hint="cs"/>
          <w:rtl/>
        </w:rPr>
        <w:t xml:space="preserve">): "ולא דִבּרה משנה זו אלא בחסידים הגדולים שתורתם אומנותם כגון רשב"י וחבריו, </w:t>
      </w:r>
      <w:r>
        <w:rPr>
          <w:rFonts w:hint="cs"/>
          <w:sz w:val="14"/>
          <w:rtl/>
        </w:rPr>
        <w:t xml:space="preserve">אבל חכמי התלמוד אמרו שהם מפסיקין בין לקרית שמע </w:t>
      </w:r>
      <w:r>
        <w:rPr>
          <w:rFonts w:hint="cs"/>
          <w:rtl/>
        </w:rPr>
        <w:t xml:space="preserve">בין לתפלה, </w:t>
      </w:r>
      <w:r>
        <w:rPr>
          <w:rtl/>
        </w:rPr>
        <w:t>כל שכן זולתם</w:t>
      </w:r>
      <w:r>
        <w:rPr>
          <w:rFonts w:hint="cs"/>
          <w:rtl/>
        </w:rPr>
        <w:t xml:space="preserve">". כן הוא לפי תרגום </w:t>
      </w:r>
      <w:r>
        <w:rPr>
          <w:rFonts w:hint="cs"/>
          <w:sz w:val="20"/>
          <w:rtl/>
        </w:rPr>
        <w:t xml:space="preserve">הר"י קאפח. בתרגום המודפס (מאת ר' יוסף ב"ר יצחק בן אלפואל) נאמר: </w:t>
      </w:r>
      <w:r>
        <w:rPr>
          <w:rFonts w:hint="cs"/>
          <w:rtl/>
        </w:rPr>
        <w:t xml:space="preserve">"וזאת המשנה דברה בחסידים גדולים לומדי תורה תמיד כרשב"י וחביריו, </w:t>
      </w:r>
      <w:r>
        <w:rPr>
          <w:rFonts w:hint="cs"/>
          <w:sz w:val="14"/>
          <w:rtl/>
        </w:rPr>
        <w:t xml:space="preserve">אבל חכמי הגמרא אמרו שהיו מפסיקין בין לקריאת שמע </w:t>
      </w:r>
      <w:r>
        <w:rPr>
          <w:rFonts w:hint="cs"/>
          <w:rtl/>
        </w:rPr>
        <w:t xml:space="preserve">בין לתפלה, </w:t>
      </w:r>
      <w:r>
        <w:rPr>
          <w:rtl/>
        </w:rPr>
        <w:t>כל שכן זולתם</w:t>
      </w:r>
      <w:r>
        <w:rPr>
          <w:rFonts w:hint="cs"/>
          <w:rtl/>
        </w:rPr>
        <w:t>". בין כך ובין כך, נראה שפירוש הסיום "</w:t>
      </w:r>
      <w:r>
        <w:rPr>
          <w:rtl/>
        </w:rPr>
        <w:t>כל שכן זולתם</w:t>
      </w:r>
      <w:r>
        <w:rPr>
          <w:rFonts w:hint="cs"/>
          <w:rtl/>
        </w:rPr>
        <w:t>" - היינו שהואיל ו</w:t>
      </w:r>
      <w:r>
        <w:rPr>
          <w:rFonts w:hint="cs"/>
          <w:sz w:val="14"/>
          <w:rtl/>
        </w:rPr>
        <w:t xml:space="preserve">רבי יוחנן הוציא עצמו מכלל הדין הפוטרו מתפלה, </w:t>
      </w:r>
      <w:r>
        <w:rPr>
          <w:rFonts w:hint="cs"/>
          <w:rtl/>
        </w:rPr>
        <w:t xml:space="preserve">קל וחומר שדורות אחרונים אינם פטורים ועליהם להפסיק תורתם </w:t>
      </w:r>
      <w:r>
        <w:rPr>
          <w:rFonts w:hint="cs"/>
          <w:sz w:val="14"/>
          <w:rtl/>
        </w:rPr>
        <w:t xml:space="preserve">בין לק"ש </w:t>
      </w:r>
      <w:r>
        <w:rPr>
          <w:rFonts w:hint="cs"/>
          <w:rtl/>
        </w:rPr>
        <w:t>בין לתפלה. "קל וחומר" זה יתכן רק לפי דרך ב' וג', ש"תורתו אומנותו" היא הגדרה יחסית, כנ"ל!</w:t>
      </w:r>
    </w:p>
  </w:footnote>
  <w:footnote w:id="238">
    <w:p w14:paraId="0B87633C" w14:textId="77777777" w:rsidR="00273399" w:rsidRDefault="00273399" w:rsidP="00273399">
      <w:pPr>
        <w:pStyle w:val="a5"/>
        <w:rPr>
          <w:rFonts w:hint="cs"/>
          <w:rtl/>
        </w:rPr>
      </w:pPr>
      <w:r>
        <w:rPr>
          <w:rStyle w:val="a4"/>
        </w:rPr>
        <w:footnoteRef/>
      </w:r>
      <w:r>
        <w:rPr>
          <w:rFonts w:hint="cs"/>
          <w:rtl/>
        </w:rPr>
        <w:t xml:space="preserve"> ריכוז נתונים בנושא זה נמצא ב</w:t>
      </w:r>
      <w:r>
        <w:rPr>
          <w:rtl/>
        </w:rPr>
        <w:t xml:space="preserve">ספר כפתור ופרח </w:t>
      </w:r>
      <w:r>
        <w:rPr>
          <w:sz w:val="18"/>
          <w:szCs w:val="20"/>
          <w:rtl/>
        </w:rPr>
        <w:t>פרק מ</w:t>
      </w:r>
      <w:r>
        <w:rPr>
          <w:rFonts w:hint="cs"/>
          <w:sz w:val="18"/>
          <w:szCs w:val="20"/>
          <w:rtl/>
        </w:rPr>
        <w:t>"</w:t>
      </w:r>
      <w:r>
        <w:rPr>
          <w:sz w:val="18"/>
          <w:szCs w:val="20"/>
          <w:rtl/>
        </w:rPr>
        <w:t xml:space="preserve">ד </w:t>
      </w:r>
      <w:r>
        <w:rPr>
          <w:rFonts w:hint="cs"/>
          <w:sz w:val="18"/>
          <w:szCs w:val="20"/>
          <w:rtl/>
        </w:rPr>
        <w:t>"</w:t>
      </w:r>
      <w:r>
        <w:rPr>
          <w:sz w:val="18"/>
          <w:szCs w:val="20"/>
          <w:rtl/>
        </w:rPr>
        <w:t>אהבת המלאכה</w:t>
      </w:r>
      <w:r>
        <w:rPr>
          <w:rFonts w:hint="cs"/>
          <w:sz w:val="18"/>
          <w:szCs w:val="20"/>
          <w:rtl/>
        </w:rPr>
        <w:t>"</w:t>
      </w:r>
      <w:r>
        <w:rPr>
          <w:rFonts w:hint="cs"/>
          <w:rtl/>
        </w:rPr>
        <w:t>.</w:t>
      </w:r>
    </w:p>
  </w:footnote>
  <w:footnote w:id="239">
    <w:p w14:paraId="63F6AF64" w14:textId="77777777" w:rsidR="00273399" w:rsidRDefault="00273399" w:rsidP="00273399">
      <w:pPr>
        <w:pStyle w:val="a5"/>
        <w:rPr>
          <w:rFonts w:hint="cs"/>
          <w:rtl/>
        </w:rPr>
      </w:pPr>
      <w:r>
        <w:rPr>
          <w:rStyle w:val="a4"/>
        </w:rPr>
        <w:footnoteRef/>
      </w:r>
      <w:r>
        <w:rPr>
          <w:rFonts w:hint="cs"/>
          <w:rtl/>
        </w:rPr>
        <w:t xml:space="preserve"> מאפשרת, אך לא מכריחה.</w:t>
      </w:r>
    </w:p>
  </w:footnote>
  <w:footnote w:id="240">
    <w:p w14:paraId="09B36AD2" w14:textId="77777777" w:rsidR="00273399" w:rsidRDefault="00273399" w:rsidP="00273399">
      <w:pPr>
        <w:pStyle w:val="a5"/>
        <w:rPr>
          <w:sz w:val="14"/>
          <w:rtl/>
        </w:rPr>
      </w:pPr>
      <w:r>
        <w:rPr>
          <w:rStyle w:val="a4"/>
          <w:rtl/>
        </w:rPr>
        <w:footnoteRef/>
      </w:r>
      <w:r>
        <w:rPr>
          <w:szCs w:val="22"/>
        </w:rPr>
        <w:t xml:space="preserve"> </w:t>
      </w:r>
      <w:r>
        <w:rPr>
          <w:rFonts w:hint="cs"/>
          <w:sz w:val="14"/>
          <w:rtl/>
        </w:rPr>
        <w:t>מגדולי האחרונים ב</w:t>
      </w:r>
      <w:r>
        <w:rPr>
          <w:sz w:val="14"/>
          <w:rtl/>
        </w:rPr>
        <w:t>גרמניה</w:t>
      </w:r>
      <w:r>
        <w:rPr>
          <w:rFonts w:hint="cs"/>
          <w:sz w:val="14"/>
          <w:rtl/>
        </w:rPr>
        <w:t xml:space="preserve"> (</w:t>
      </w:r>
      <w:r>
        <w:rPr>
          <w:sz w:val="14"/>
          <w:rtl/>
        </w:rPr>
        <w:t>ה"א שצ"ח</w:t>
      </w:r>
      <w:r>
        <w:rPr>
          <w:rFonts w:hint="cs"/>
          <w:sz w:val="14"/>
          <w:rtl/>
        </w:rPr>
        <w:t xml:space="preserve"> - </w:t>
      </w:r>
      <w:r>
        <w:rPr>
          <w:sz w:val="14"/>
          <w:rtl/>
        </w:rPr>
        <w:t>תס"ב</w:t>
      </w:r>
      <w:r>
        <w:rPr>
          <w:rFonts w:hint="cs"/>
          <w:sz w:val="18"/>
          <w:szCs w:val="20"/>
          <w:rtl/>
        </w:rPr>
        <w:t xml:space="preserve">; </w:t>
      </w:r>
      <w:r>
        <w:rPr>
          <w:sz w:val="18"/>
          <w:szCs w:val="20"/>
          <w:rtl/>
        </w:rPr>
        <w:t>1638</w:t>
      </w:r>
      <w:r>
        <w:rPr>
          <w:rFonts w:hint="cs"/>
          <w:sz w:val="18"/>
          <w:szCs w:val="20"/>
          <w:rtl/>
        </w:rPr>
        <w:t xml:space="preserve"> - </w:t>
      </w:r>
      <w:r>
        <w:rPr>
          <w:sz w:val="18"/>
          <w:szCs w:val="20"/>
          <w:rtl/>
        </w:rPr>
        <w:t>1702</w:t>
      </w:r>
      <w:r>
        <w:rPr>
          <w:sz w:val="14"/>
          <w:rtl/>
        </w:rPr>
        <w:t>)</w:t>
      </w:r>
      <w:r>
        <w:rPr>
          <w:rFonts w:hint="cs"/>
          <w:sz w:val="14"/>
          <w:rtl/>
        </w:rPr>
        <w:t xml:space="preserve">, המפורסם בספר </w:t>
      </w:r>
      <w:r>
        <w:rPr>
          <w:sz w:val="14"/>
          <w:rtl/>
        </w:rPr>
        <w:t>תשובותיו, חוות יאיר.</w:t>
      </w:r>
    </w:p>
  </w:footnote>
  <w:footnote w:id="241">
    <w:p w14:paraId="4315A573" w14:textId="77777777" w:rsidR="00273399" w:rsidRDefault="00273399" w:rsidP="00273399">
      <w:pPr>
        <w:pStyle w:val="a5"/>
        <w:rPr>
          <w:sz w:val="14"/>
          <w:rtl/>
        </w:rPr>
      </w:pPr>
      <w:r>
        <w:rPr>
          <w:rStyle w:val="a4"/>
          <w:rtl/>
        </w:rPr>
        <w:footnoteRef/>
      </w:r>
      <w:r>
        <w:rPr>
          <w:szCs w:val="22"/>
        </w:rPr>
        <w:t xml:space="preserve"> </w:t>
      </w:r>
      <w:r>
        <w:rPr>
          <w:rFonts w:hint="cs"/>
          <w:rtl/>
        </w:rPr>
        <w:t xml:space="preserve">ראה דיונו של הרב </w:t>
      </w:r>
      <w:r>
        <w:rPr>
          <w:sz w:val="14"/>
          <w:rtl/>
        </w:rPr>
        <w:t>בכרך</w:t>
      </w:r>
      <w:r>
        <w:rPr>
          <w:rFonts w:hint="cs"/>
          <w:sz w:val="14"/>
          <w:rtl/>
        </w:rPr>
        <w:t xml:space="preserve"> שם על מלמדי תשב"ר בשכר שתורתם אומנותם "ממש".</w:t>
      </w:r>
    </w:p>
  </w:footnote>
  <w:footnote w:id="242">
    <w:p w14:paraId="3078F83B" w14:textId="77777777" w:rsidR="00273399" w:rsidRDefault="00273399" w:rsidP="00273399">
      <w:pPr>
        <w:pStyle w:val="a5"/>
        <w:rPr>
          <w:rFonts w:hint="cs"/>
          <w:rtl/>
        </w:rPr>
      </w:pPr>
      <w:r>
        <w:rPr>
          <w:rStyle w:val="a4"/>
          <w:rtl/>
        </w:rPr>
        <w:footnoteRef/>
      </w:r>
      <w:r>
        <w:rPr>
          <w:szCs w:val="22"/>
        </w:rPr>
        <w:t xml:space="preserve"> </w:t>
      </w:r>
      <w:r>
        <w:rPr>
          <w:rFonts w:hint="cs"/>
          <w:rtl/>
        </w:rPr>
        <w:t>יתכן שמקור דבריו בדברי קודמיו. ר' צדוק הכהן מלובלין (</w:t>
      </w:r>
      <w:r>
        <w:rPr>
          <w:rFonts w:hint="cs"/>
          <w:sz w:val="18"/>
          <w:szCs w:val="20"/>
          <w:rtl/>
        </w:rPr>
        <w:t>צדקת הצדיק, סי' קצ"ה</w:t>
      </w:r>
      <w:r>
        <w:rPr>
          <w:rFonts w:hint="cs"/>
          <w:rtl/>
        </w:rPr>
        <w:t>) מבאר שהודות לדבקותם בתורה אינם צריכים תפילה. יתכן שהרעיון שהתורה וקודשא בריך הוא חד הם, והלומד תורה דבק ב"עֵץ החַיִּים" (</w:t>
      </w:r>
      <w:r>
        <w:rPr>
          <w:rFonts w:hint="cs"/>
          <w:sz w:val="18"/>
          <w:szCs w:val="20"/>
          <w:rtl/>
        </w:rPr>
        <w:t xml:space="preserve">ע"פ משלי ג, יח; </w:t>
      </w:r>
      <w:r>
        <w:rPr>
          <w:sz w:val="18"/>
          <w:szCs w:val="20"/>
          <w:rtl/>
        </w:rPr>
        <w:t>ט</w:t>
      </w:r>
      <w:r>
        <w:rPr>
          <w:rFonts w:hint="cs"/>
          <w:sz w:val="18"/>
          <w:szCs w:val="20"/>
          <w:rtl/>
        </w:rPr>
        <w:t>,</w:t>
      </w:r>
      <w:r>
        <w:rPr>
          <w:sz w:val="18"/>
          <w:szCs w:val="20"/>
          <w:rtl/>
        </w:rPr>
        <w:t xml:space="preserve"> יא</w:t>
      </w:r>
      <w:r>
        <w:rPr>
          <w:rFonts w:hint="cs"/>
          <w:sz w:val="18"/>
          <w:szCs w:val="20"/>
          <w:rtl/>
        </w:rPr>
        <w:t>; ולכן אמר רשב"י: "</w:t>
      </w:r>
      <w:r>
        <w:rPr>
          <w:sz w:val="18"/>
          <w:szCs w:val="20"/>
          <w:rtl/>
        </w:rPr>
        <w:t>המהלך בדרך ושונה</w:t>
      </w:r>
      <w:r>
        <w:rPr>
          <w:rFonts w:hint="cs"/>
          <w:sz w:val="18"/>
          <w:szCs w:val="20"/>
          <w:rtl/>
        </w:rPr>
        <w:t xml:space="preserve"> </w:t>
      </w:r>
      <w:r>
        <w:rPr>
          <w:sz w:val="18"/>
          <w:szCs w:val="20"/>
          <w:rtl/>
        </w:rPr>
        <w:t>ומפסיק ממשנתו</w:t>
      </w:r>
      <w:r>
        <w:rPr>
          <w:rFonts w:hint="cs"/>
          <w:sz w:val="18"/>
          <w:szCs w:val="20"/>
          <w:rtl/>
        </w:rPr>
        <w:t>,</w:t>
      </w:r>
      <w:r>
        <w:rPr>
          <w:sz w:val="18"/>
          <w:szCs w:val="20"/>
          <w:rtl/>
        </w:rPr>
        <w:t xml:space="preserve"> ואומר מה נאה אילן זה ומה נאה ניר זה</w:t>
      </w:r>
      <w:r>
        <w:rPr>
          <w:rFonts w:hint="cs"/>
          <w:sz w:val="18"/>
          <w:szCs w:val="20"/>
          <w:rtl/>
        </w:rPr>
        <w:t>,</w:t>
      </w:r>
      <w:r>
        <w:rPr>
          <w:sz w:val="18"/>
          <w:szCs w:val="20"/>
          <w:rtl/>
        </w:rPr>
        <w:t xml:space="preserve"> מעלה עליו הכתוב כאילו מתחייב בנפשו</w:t>
      </w:r>
      <w:r>
        <w:rPr>
          <w:rFonts w:hint="cs"/>
          <w:sz w:val="18"/>
          <w:szCs w:val="20"/>
          <w:rtl/>
        </w:rPr>
        <w:t xml:space="preserve">"; </w:t>
      </w:r>
      <w:r>
        <w:rPr>
          <w:sz w:val="18"/>
          <w:szCs w:val="20"/>
          <w:rtl/>
        </w:rPr>
        <w:t>אבות פ</w:t>
      </w:r>
      <w:r>
        <w:rPr>
          <w:rFonts w:hint="cs"/>
          <w:sz w:val="18"/>
          <w:szCs w:val="20"/>
          <w:rtl/>
        </w:rPr>
        <w:t>"</w:t>
      </w:r>
      <w:r>
        <w:rPr>
          <w:sz w:val="18"/>
          <w:szCs w:val="20"/>
          <w:rtl/>
        </w:rPr>
        <w:t>ג מ</w:t>
      </w:r>
      <w:r>
        <w:rPr>
          <w:rFonts w:hint="cs"/>
          <w:sz w:val="18"/>
          <w:szCs w:val="20"/>
          <w:rtl/>
        </w:rPr>
        <w:t>"</w:t>
      </w:r>
      <w:r>
        <w:rPr>
          <w:sz w:val="18"/>
          <w:szCs w:val="20"/>
          <w:rtl/>
        </w:rPr>
        <w:t>ז</w:t>
      </w:r>
      <w:r>
        <w:rPr>
          <w:rFonts w:hint="cs"/>
          <w:sz w:val="18"/>
          <w:szCs w:val="20"/>
          <w:rtl/>
        </w:rPr>
        <w:t xml:space="preserve"> לפי חלק מהנוסחאות</w:t>
      </w:r>
      <w:r>
        <w:rPr>
          <w:rFonts w:hint="cs"/>
          <w:rtl/>
        </w:rPr>
        <w:t>) ודבק ב</w:t>
      </w:r>
      <w:r>
        <w:rPr>
          <w:rFonts w:cs="FrankShem" w:hint="cs"/>
          <w:rtl/>
        </w:rPr>
        <w:t>אלה</w:t>
      </w:r>
      <w:r>
        <w:rPr>
          <w:rFonts w:hint="cs"/>
          <w:rtl/>
        </w:rPr>
        <w:t>ים חיים (ולכן אינו צריך להתפלל) -- יסודו מונח בדברים שאמר ר' עקיבא, רבו של רשב"י (</w:t>
      </w:r>
      <w:r>
        <w:rPr>
          <w:rFonts w:hint="cs"/>
          <w:sz w:val="18"/>
          <w:szCs w:val="20"/>
          <w:rtl/>
        </w:rPr>
        <w:t>"שמדותַי תרומות מתרומות מידותיו של ר"ע"; גיטין סז, א</w:t>
      </w:r>
      <w:r>
        <w:rPr>
          <w:rFonts w:hint="cs"/>
          <w:rtl/>
        </w:rPr>
        <w:t>), אל פפוס בן יהודה: "</w:t>
      </w:r>
      <w:r>
        <w:rPr>
          <w:rtl/>
        </w:rPr>
        <w:t>במקום חיותנו</w:t>
      </w:r>
      <w:r>
        <w:rPr>
          <w:rFonts w:hint="cs"/>
          <w:rtl/>
        </w:rPr>
        <w:t xml:space="preserve">... </w:t>
      </w:r>
      <w:r>
        <w:rPr>
          <w:rtl/>
        </w:rPr>
        <w:t xml:space="preserve">עכשיו שאנו יושבים ועוסקים בתורה, שכתוב בה </w:t>
      </w:r>
      <w:r>
        <w:rPr>
          <w:rFonts w:hint="cs"/>
          <w:sz w:val="18"/>
          <w:szCs w:val="20"/>
          <w:rtl/>
        </w:rPr>
        <w:t>(</w:t>
      </w:r>
      <w:r>
        <w:rPr>
          <w:sz w:val="18"/>
          <w:szCs w:val="20"/>
          <w:rtl/>
        </w:rPr>
        <w:t>דברים ל</w:t>
      </w:r>
      <w:r>
        <w:rPr>
          <w:rFonts w:hint="cs"/>
          <w:sz w:val="18"/>
          <w:szCs w:val="20"/>
          <w:rtl/>
        </w:rPr>
        <w:t xml:space="preserve">, </w:t>
      </w:r>
      <w:r>
        <w:rPr>
          <w:sz w:val="18"/>
          <w:szCs w:val="20"/>
          <w:rtl/>
        </w:rPr>
        <w:t>כ</w:t>
      </w:r>
      <w:r>
        <w:rPr>
          <w:rFonts w:hint="cs"/>
          <w:sz w:val="18"/>
          <w:szCs w:val="20"/>
          <w:rtl/>
        </w:rPr>
        <w:t xml:space="preserve">) </w:t>
      </w:r>
      <w:r>
        <w:rPr>
          <w:rFonts w:hint="cs"/>
          <w:rtl/>
        </w:rPr>
        <w:t>'</w:t>
      </w:r>
      <w:r>
        <w:rPr>
          <w:rtl/>
        </w:rPr>
        <w:t>כִּי הוּא חַיֶּיךָ וְאֹרֶךְ יָמֶיךָ</w:t>
      </w:r>
      <w:r>
        <w:rPr>
          <w:rFonts w:hint="cs"/>
          <w:rtl/>
        </w:rPr>
        <w:t>'</w:t>
      </w:r>
      <w:r>
        <w:rPr>
          <w:rtl/>
        </w:rPr>
        <w:t xml:space="preserve"> - כך</w:t>
      </w:r>
      <w:r>
        <w:rPr>
          <w:rFonts w:hint="cs"/>
          <w:rtl/>
        </w:rPr>
        <w:t>;</w:t>
      </w:r>
      <w:r>
        <w:rPr>
          <w:rtl/>
        </w:rPr>
        <w:t xml:space="preserve"> אם אנו</w:t>
      </w:r>
      <w:r>
        <w:rPr>
          <w:rFonts w:hint="cs"/>
          <w:rtl/>
        </w:rPr>
        <w:t xml:space="preserve"> </w:t>
      </w:r>
      <w:r>
        <w:rPr>
          <w:rtl/>
        </w:rPr>
        <w:t>הולכים ומבטלים ממנה - על אחת כמה וכמה</w:t>
      </w:r>
      <w:r>
        <w:rPr>
          <w:rFonts w:hint="cs"/>
          <w:rtl/>
        </w:rPr>
        <w:t>!" (</w:t>
      </w:r>
      <w:r>
        <w:rPr>
          <w:sz w:val="18"/>
          <w:szCs w:val="20"/>
          <w:rtl/>
        </w:rPr>
        <w:t>ברכות סא</w:t>
      </w:r>
      <w:r>
        <w:rPr>
          <w:rFonts w:hint="cs"/>
          <w:sz w:val="18"/>
          <w:szCs w:val="20"/>
          <w:rtl/>
        </w:rPr>
        <w:t xml:space="preserve">, </w:t>
      </w:r>
      <w:r>
        <w:rPr>
          <w:sz w:val="18"/>
          <w:szCs w:val="20"/>
          <w:rtl/>
        </w:rPr>
        <w:t>ב</w:t>
      </w:r>
      <w:r>
        <w:rPr>
          <w:rFonts w:hint="cs"/>
          <w:sz w:val="18"/>
          <w:szCs w:val="20"/>
          <w:rtl/>
        </w:rPr>
        <w:t>; והשוה לדברי רשב"י "</w:t>
      </w:r>
      <w:r>
        <w:rPr>
          <w:sz w:val="18"/>
          <w:szCs w:val="20"/>
          <w:rtl/>
        </w:rPr>
        <w:t>לא ניתנה התורה לדרוש אלא לאוכלי המן</w:t>
      </w:r>
      <w:r>
        <w:rPr>
          <w:rFonts w:hint="cs"/>
          <w:sz w:val="18"/>
          <w:szCs w:val="20"/>
          <w:rtl/>
        </w:rPr>
        <w:t xml:space="preserve">", </w:t>
      </w:r>
      <w:r>
        <w:rPr>
          <w:sz w:val="18"/>
          <w:szCs w:val="20"/>
          <w:rtl/>
        </w:rPr>
        <w:t>מכילתא דר</w:t>
      </w:r>
      <w:r>
        <w:rPr>
          <w:rFonts w:hint="cs"/>
          <w:sz w:val="18"/>
          <w:szCs w:val="20"/>
          <w:rtl/>
        </w:rPr>
        <w:t>"</w:t>
      </w:r>
      <w:r>
        <w:rPr>
          <w:sz w:val="18"/>
          <w:szCs w:val="20"/>
          <w:rtl/>
        </w:rPr>
        <w:t>י</w:t>
      </w:r>
      <w:r>
        <w:rPr>
          <w:rFonts w:hint="cs"/>
          <w:sz w:val="18"/>
          <w:szCs w:val="20"/>
          <w:rtl/>
        </w:rPr>
        <w:t xml:space="preserve">, </w:t>
      </w:r>
      <w:r>
        <w:rPr>
          <w:sz w:val="18"/>
          <w:szCs w:val="20"/>
          <w:rtl/>
        </w:rPr>
        <w:t>בשלח</w:t>
      </w:r>
      <w:r>
        <w:rPr>
          <w:rFonts w:hint="cs"/>
          <w:rtl/>
        </w:rPr>
        <w:t>). רעיון זה מובע גם בתיאור הסתלקותו של דוד המלך (</w:t>
      </w:r>
      <w:r>
        <w:rPr>
          <w:rFonts w:hint="cs"/>
          <w:sz w:val="18"/>
          <w:szCs w:val="20"/>
          <w:rtl/>
        </w:rPr>
        <w:t>להלן</w:t>
      </w:r>
      <w:r>
        <w:rPr>
          <w:sz w:val="18"/>
          <w:szCs w:val="20"/>
          <w:rtl/>
        </w:rPr>
        <w:t xml:space="preserve"> ל</w:t>
      </w:r>
      <w:r>
        <w:rPr>
          <w:rFonts w:hint="cs"/>
          <w:sz w:val="18"/>
          <w:szCs w:val="20"/>
          <w:rtl/>
        </w:rPr>
        <w:t xml:space="preserve">, </w:t>
      </w:r>
      <w:r>
        <w:rPr>
          <w:sz w:val="18"/>
          <w:szCs w:val="20"/>
          <w:rtl/>
        </w:rPr>
        <w:t>ב</w:t>
      </w:r>
      <w:r>
        <w:rPr>
          <w:rFonts w:hint="cs"/>
          <w:rtl/>
        </w:rPr>
        <w:t>) "</w:t>
      </w:r>
      <w:r>
        <w:rPr>
          <w:rtl/>
        </w:rPr>
        <w:t>קם מלאך המות קמיה ולא יכיל ליה, דלא הוה פסק פומיה מגירסא</w:t>
      </w:r>
      <w:r>
        <w:rPr>
          <w:rFonts w:hint="cs"/>
          <w:rtl/>
        </w:rPr>
        <w:t>",</w:t>
      </w:r>
      <w:r>
        <w:rPr>
          <w:rtl/>
        </w:rPr>
        <w:t xml:space="preserve"> רש"י</w:t>
      </w:r>
      <w:r>
        <w:rPr>
          <w:rFonts w:hint="cs"/>
          <w:sz w:val="26"/>
          <w:rtl/>
        </w:rPr>
        <w:t>:</w:t>
      </w:r>
      <w:r>
        <w:rPr>
          <w:rFonts w:hint="cs"/>
          <w:sz w:val="18"/>
          <w:szCs w:val="20"/>
          <w:rtl/>
        </w:rPr>
        <w:t xml:space="preserve"> </w:t>
      </w:r>
      <w:r>
        <w:rPr>
          <w:rFonts w:hint="cs"/>
          <w:rtl/>
        </w:rPr>
        <w:t>"</w:t>
      </w:r>
      <w:r>
        <w:rPr>
          <w:rtl/>
        </w:rPr>
        <w:t>שהתורה מגינה ממות</w:t>
      </w:r>
      <w:r>
        <w:rPr>
          <w:rFonts w:hint="cs"/>
          <w:rtl/>
        </w:rPr>
        <w:t xml:space="preserve">" </w:t>
      </w:r>
      <w:r>
        <w:rPr>
          <w:rtl/>
        </w:rPr>
        <w:t>(</w:t>
      </w:r>
      <w:r>
        <w:rPr>
          <w:rFonts w:hint="cs"/>
          <w:sz w:val="18"/>
          <w:szCs w:val="20"/>
          <w:rtl/>
        </w:rPr>
        <w:t xml:space="preserve">שם ד"ה </w:t>
      </w:r>
      <w:r>
        <w:rPr>
          <w:sz w:val="18"/>
          <w:szCs w:val="20"/>
          <w:rtl/>
        </w:rPr>
        <w:t>הוה</w:t>
      </w:r>
      <w:r>
        <w:rPr>
          <w:rFonts w:hint="cs"/>
          <w:sz w:val="18"/>
          <w:szCs w:val="20"/>
          <w:rtl/>
        </w:rPr>
        <w:t xml:space="preserve"> </w:t>
      </w:r>
      <w:r>
        <w:rPr>
          <w:sz w:val="18"/>
          <w:szCs w:val="20"/>
          <w:rtl/>
        </w:rPr>
        <w:t>יתיב</w:t>
      </w:r>
      <w:r>
        <w:rPr>
          <w:rFonts w:hint="cs"/>
          <w:sz w:val="18"/>
          <w:szCs w:val="20"/>
          <w:rtl/>
        </w:rPr>
        <w:t xml:space="preserve">, ע"פ </w:t>
      </w:r>
      <w:r>
        <w:rPr>
          <w:sz w:val="18"/>
          <w:szCs w:val="20"/>
          <w:rtl/>
        </w:rPr>
        <w:t>סוטה כא, א</w:t>
      </w:r>
      <w:r>
        <w:rPr>
          <w:rtl/>
        </w:rPr>
        <w:t>)</w:t>
      </w:r>
      <w:r>
        <w:rPr>
          <w:rFonts w:hint="cs"/>
          <w:rtl/>
        </w:rPr>
        <w:t>.</w:t>
      </w:r>
    </w:p>
    <w:p w14:paraId="2BD7C5E7" w14:textId="77777777" w:rsidR="00273399" w:rsidRDefault="00273399" w:rsidP="00273399">
      <w:pPr>
        <w:pStyle w:val="a5"/>
        <w:rPr>
          <w:rtl/>
        </w:rPr>
      </w:pPr>
      <w:r>
        <w:rPr>
          <w:rFonts w:hint="cs"/>
          <w:rtl/>
        </w:rPr>
        <w:t>יש שפרשו "תורתן אומנותן - באומנותן מייחדים ייחודים כמו בתורתן" ("</w:t>
      </w:r>
      <w:r>
        <w:rPr>
          <w:rFonts w:hint="cs"/>
          <w:sz w:val="18"/>
          <w:szCs w:val="20"/>
          <w:rtl/>
        </w:rPr>
        <w:t>אורח לחיים", מטות; מצוטט ע"י יש"י חסידה, "ביאורי החסידות על הש"ס"; והשוה לתיאור האבות ע"י הרמב"ם במו"נ ג', נ"א</w:t>
      </w:r>
      <w:r>
        <w:rPr>
          <w:rFonts w:hint="cs"/>
          <w:rtl/>
        </w:rPr>
        <w:t>).</w:t>
      </w:r>
    </w:p>
  </w:footnote>
  <w:footnote w:id="243">
    <w:p w14:paraId="0FCFF9ED" w14:textId="77777777" w:rsidR="00273399" w:rsidRDefault="00273399" w:rsidP="00273399">
      <w:pPr>
        <w:pStyle w:val="a5"/>
        <w:rPr>
          <w:rFonts w:hint="cs"/>
          <w:rtl/>
        </w:rPr>
      </w:pPr>
      <w:r>
        <w:rPr>
          <w:rStyle w:val="a4"/>
        </w:rPr>
        <w:footnoteRef/>
      </w:r>
      <w:r>
        <w:rPr>
          <w:rFonts w:hint="cs"/>
          <w:rtl/>
        </w:rPr>
        <w:t xml:space="preserve"> השוה: </w:t>
      </w:r>
      <w:r>
        <w:rPr>
          <w:rFonts w:hint="cs"/>
          <w:sz w:val="26"/>
          <w:rtl/>
        </w:rPr>
        <w:t xml:space="preserve">להלן </w:t>
      </w:r>
      <w:r>
        <w:rPr>
          <w:rFonts w:hint="cs"/>
          <w:rtl/>
        </w:rPr>
        <w:t xml:space="preserve">לג, ב </w:t>
      </w:r>
      <w:r>
        <w:rPr>
          <w:rFonts w:hint="cs"/>
          <w:sz w:val="18"/>
          <w:szCs w:val="20"/>
          <w:rtl/>
        </w:rPr>
        <w:t xml:space="preserve">ובהערות לסוגייתנו של הר"ע יוסף, מאור ישראל, ח"א, עמ' ע"ב; </w:t>
      </w:r>
      <w:r>
        <w:rPr>
          <w:rtl/>
        </w:rPr>
        <w:t>ברכות כח</w:t>
      </w:r>
      <w:r>
        <w:rPr>
          <w:rFonts w:hint="cs"/>
          <w:rtl/>
        </w:rPr>
        <w:t xml:space="preserve">, </w:t>
      </w:r>
      <w:r>
        <w:rPr>
          <w:rtl/>
        </w:rPr>
        <w:t>א</w:t>
      </w:r>
      <w:r>
        <w:rPr>
          <w:rFonts w:hint="cs"/>
          <w:sz w:val="18"/>
          <w:szCs w:val="20"/>
          <w:rtl/>
        </w:rPr>
        <w:t xml:space="preserve"> ובביאור הר"ר </w:t>
      </w:r>
      <w:r>
        <w:rPr>
          <w:sz w:val="18"/>
          <w:szCs w:val="20"/>
          <w:rtl/>
        </w:rPr>
        <w:t>מרגליו</w:t>
      </w:r>
      <w:r>
        <w:rPr>
          <w:rFonts w:hint="cs"/>
          <w:sz w:val="18"/>
          <w:szCs w:val="20"/>
          <w:rtl/>
        </w:rPr>
        <w:t>ת, ניצוצי אור, על אתר, עמ' 19, וביסוד המשנה ועריכתה, עמ' נ"ג</w:t>
      </w:r>
      <w:r>
        <w:rPr>
          <w:rFonts w:hint="cs"/>
          <w:rtl/>
        </w:rPr>
        <w:t xml:space="preserve">; שם </w:t>
      </w:r>
      <w:r>
        <w:rPr>
          <w:rtl/>
        </w:rPr>
        <w:t>לה</w:t>
      </w:r>
      <w:r>
        <w:rPr>
          <w:rFonts w:hint="cs"/>
          <w:rtl/>
        </w:rPr>
        <w:t xml:space="preserve">, </w:t>
      </w:r>
      <w:r>
        <w:rPr>
          <w:rtl/>
        </w:rPr>
        <w:t>ב</w:t>
      </w:r>
      <w:r>
        <w:rPr>
          <w:rFonts w:hint="cs"/>
          <w:rtl/>
        </w:rPr>
        <w:t xml:space="preserve"> </w:t>
      </w:r>
      <w:r>
        <w:rPr>
          <w:rFonts w:hint="cs"/>
          <w:sz w:val="18"/>
          <w:szCs w:val="20"/>
          <w:rtl/>
        </w:rPr>
        <w:t>ובביאוריהם של ר' יהונתן אייבשיץ ושל הראשון לציון, הרב בצמ"ח</w:t>
      </w:r>
      <w:r>
        <w:rPr>
          <w:sz w:val="18"/>
          <w:szCs w:val="20"/>
          <w:rtl/>
        </w:rPr>
        <w:t xml:space="preserve"> </w:t>
      </w:r>
      <w:r>
        <w:rPr>
          <w:rFonts w:hint="cs"/>
          <w:sz w:val="18"/>
          <w:szCs w:val="20"/>
          <w:rtl/>
        </w:rPr>
        <w:t>עזיאל, בחידושיהם על אתר, וב</w:t>
      </w:r>
      <w:r>
        <w:rPr>
          <w:rFonts w:hint="cs"/>
          <w:color w:val="000000"/>
          <w:sz w:val="18"/>
          <w:szCs w:val="20"/>
          <w:rtl/>
        </w:rPr>
        <w:t>שדי חמד, מערכת ו', ט"ו, וב</w:t>
      </w:r>
      <w:r>
        <w:rPr>
          <w:color w:val="000000"/>
          <w:sz w:val="18"/>
          <w:szCs w:val="20"/>
          <w:rtl/>
        </w:rPr>
        <w:t>שו"ת שרידי אש ח</w:t>
      </w:r>
      <w:r>
        <w:rPr>
          <w:rFonts w:hint="cs"/>
          <w:color w:val="000000"/>
          <w:sz w:val="18"/>
          <w:szCs w:val="20"/>
          <w:rtl/>
        </w:rPr>
        <w:t>"</w:t>
      </w:r>
      <w:r>
        <w:rPr>
          <w:color w:val="000000"/>
          <w:sz w:val="18"/>
          <w:szCs w:val="20"/>
          <w:rtl/>
        </w:rPr>
        <w:t>ב סימן ס</w:t>
      </w:r>
      <w:r>
        <w:rPr>
          <w:rFonts w:hint="cs"/>
          <w:color w:val="000000"/>
          <w:sz w:val="18"/>
          <w:szCs w:val="20"/>
          <w:rtl/>
        </w:rPr>
        <w:t>"</w:t>
      </w:r>
      <w:r>
        <w:rPr>
          <w:color w:val="000000"/>
          <w:sz w:val="18"/>
          <w:szCs w:val="20"/>
          <w:rtl/>
        </w:rPr>
        <w:t>ו</w:t>
      </w:r>
      <w:r>
        <w:rPr>
          <w:rFonts w:hint="cs"/>
          <w:rtl/>
        </w:rPr>
        <w:t xml:space="preserve">; </w:t>
      </w:r>
      <w:r>
        <w:rPr>
          <w:rFonts w:hint="cs"/>
          <w:sz w:val="18"/>
          <w:szCs w:val="20"/>
          <w:rtl/>
        </w:rPr>
        <w:t xml:space="preserve">דברי </w:t>
      </w:r>
      <w:r>
        <w:rPr>
          <w:sz w:val="18"/>
          <w:szCs w:val="20"/>
          <w:rtl/>
        </w:rPr>
        <w:t>רבי ירמיה מש</w:t>
      </w:r>
      <w:r>
        <w:rPr>
          <w:rFonts w:hint="cs"/>
          <w:sz w:val="18"/>
          <w:szCs w:val="20"/>
          <w:rtl/>
        </w:rPr>
        <w:t>מ</w:t>
      </w:r>
      <w:r>
        <w:rPr>
          <w:sz w:val="18"/>
          <w:szCs w:val="20"/>
          <w:rtl/>
        </w:rPr>
        <w:t>ו</w:t>
      </w:r>
      <w:r>
        <w:rPr>
          <w:rFonts w:hint="cs"/>
          <w:sz w:val="18"/>
          <w:szCs w:val="20"/>
          <w:rtl/>
        </w:rPr>
        <w:t xml:space="preserve">, </w:t>
      </w:r>
      <w:r>
        <w:rPr>
          <w:sz w:val="26"/>
          <w:rtl/>
        </w:rPr>
        <w:t>סוכה מה</w:t>
      </w:r>
      <w:r>
        <w:rPr>
          <w:rFonts w:hint="cs"/>
          <w:sz w:val="26"/>
          <w:rtl/>
        </w:rPr>
        <w:t xml:space="preserve">, </w:t>
      </w:r>
      <w:r>
        <w:rPr>
          <w:sz w:val="26"/>
          <w:rtl/>
        </w:rPr>
        <w:t>ב</w:t>
      </w:r>
      <w:r>
        <w:rPr>
          <w:rFonts w:hint="cs"/>
          <w:sz w:val="26"/>
          <w:rtl/>
        </w:rPr>
        <w:t xml:space="preserve">; </w:t>
      </w:r>
      <w:r>
        <w:rPr>
          <w:rFonts w:hint="cs"/>
          <w:sz w:val="18"/>
          <w:szCs w:val="20"/>
          <w:rtl/>
        </w:rPr>
        <w:t xml:space="preserve">השיעור שבנו של רשב"י נשלח על ידו ללמוד מפי תלמידיו, </w:t>
      </w:r>
      <w:r>
        <w:rPr>
          <w:sz w:val="18"/>
          <w:szCs w:val="20"/>
          <w:rtl/>
        </w:rPr>
        <w:t>רבי יונתן בן עסמיי ורבי יהודה בן גרים</w:t>
      </w:r>
      <w:r>
        <w:rPr>
          <w:rFonts w:hint="cs"/>
          <w:sz w:val="18"/>
          <w:szCs w:val="20"/>
          <w:rtl/>
        </w:rPr>
        <w:t xml:space="preserve">, </w:t>
      </w:r>
      <w:r>
        <w:rPr>
          <w:rtl/>
        </w:rPr>
        <w:t>מועד קטן ט</w:t>
      </w:r>
      <w:r>
        <w:rPr>
          <w:rFonts w:hint="cs"/>
          <w:rtl/>
        </w:rPr>
        <w:t xml:space="preserve">, </w:t>
      </w:r>
      <w:r>
        <w:rPr>
          <w:rtl/>
        </w:rPr>
        <w:t>א</w:t>
      </w:r>
      <w:r>
        <w:rPr>
          <w:rFonts w:hint="cs"/>
          <w:rtl/>
        </w:rPr>
        <w:t xml:space="preserve">; </w:t>
      </w:r>
      <w:r>
        <w:rPr>
          <w:rtl/>
        </w:rPr>
        <w:t>נדרים מט, ב</w:t>
      </w:r>
      <w:r>
        <w:rPr>
          <w:rFonts w:hint="cs"/>
          <w:sz w:val="18"/>
          <w:szCs w:val="20"/>
          <w:rtl/>
        </w:rPr>
        <w:t xml:space="preserve"> ובחידושי מהר"ץ חיות שם</w:t>
      </w:r>
      <w:r>
        <w:rPr>
          <w:rFonts w:hint="cs"/>
          <w:rtl/>
        </w:rPr>
        <w:t>;</w:t>
      </w:r>
      <w:r>
        <w:rPr>
          <w:rFonts w:hint="cs"/>
          <w:sz w:val="18"/>
          <w:szCs w:val="20"/>
          <w:rtl/>
        </w:rPr>
        <w:t xml:space="preserve"> מאמרי </w:t>
      </w:r>
      <w:r>
        <w:rPr>
          <w:sz w:val="18"/>
          <w:szCs w:val="20"/>
          <w:rtl/>
        </w:rPr>
        <w:t>רבי יוחנן משום רבי שמעון בן יוחי</w:t>
      </w:r>
      <w:r>
        <w:rPr>
          <w:rFonts w:hint="cs"/>
          <w:sz w:val="18"/>
          <w:szCs w:val="20"/>
          <w:rtl/>
        </w:rPr>
        <w:t xml:space="preserve"> ב</w:t>
      </w:r>
      <w:r>
        <w:rPr>
          <w:rtl/>
        </w:rPr>
        <w:t>סוטה מב</w:t>
      </w:r>
      <w:r>
        <w:rPr>
          <w:rFonts w:hint="cs"/>
          <w:rtl/>
        </w:rPr>
        <w:t>, סע"</w:t>
      </w:r>
      <w:r>
        <w:rPr>
          <w:rtl/>
        </w:rPr>
        <w:t xml:space="preserve">א </w:t>
      </w:r>
      <w:r>
        <w:rPr>
          <w:rFonts w:hint="cs"/>
          <w:rtl/>
        </w:rPr>
        <w:t>וב</w:t>
      </w:r>
      <w:r>
        <w:rPr>
          <w:rtl/>
        </w:rPr>
        <w:t>מנחות צט</w:t>
      </w:r>
      <w:r>
        <w:rPr>
          <w:rFonts w:hint="cs"/>
          <w:rtl/>
        </w:rPr>
        <w:t xml:space="preserve">, </w:t>
      </w:r>
      <w:r>
        <w:rPr>
          <w:rtl/>
        </w:rPr>
        <w:t>ב</w:t>
      </w:r>
      <w:r>
        <w:rPr>
          <w:rFonts w:hint="cs"/>
          <w:rtl/>
        </w:rPr>
        <w:t xml:space="preserve">; סוגיית הירושלמי בשבת פ"א ה"ב </w:t>
      </w:r>
      <w:r>
        <w:rPr>
          <w:rFonts w:hint="cs"/>
          <w:sz w:val="18"/>
          <w:szCs w:val="20"/>
          <w:rtl/>
        </w:rPr>
        <w:t>ומש"כ ע"כ בברכי יוסף</w:t>
      </w:r>
      <w:r>
        <w:rPr>
          <w:sz w:val="18"/>
          <w:szCs w:val="20"/>
          <w:rtl/>
        </w:rPr>
        <w:t xml:space="preserve"> </w:t>
      </w:r>
      <w:r>
        <w:rPr>
          <w:rFonts w:hint="cs"/>
          <w:sz w:val="18"/>
          <w:szCs w:val="20"/>
          <w:rtl/>
        </w:rPr>
        <w:t xml:space="preserve">או"ח, </w:t>
      </w:r>
      <w:r>
        <w:rPr>
          <w:sz w:val="18"/>
          <w:szCs w:val="20"/>
          <w:rtl/>
        </w:rPr>
        <w:t>סימן ע</w:t>
      </w:r>
      <w:r>
        <w:rPr>
          <w:rFonts w:hint="cs"/>
          <w:sz w:val="18"/>
          <w:szCs w:val="20"/>
          <w:rtl/>
        </w:rPr>
        <w:t xml:space="preserve">, </w:t>
      </w:r>
      <w:r>
        <w:rPr>
          <w:sz w:val="18"/>
          <w:szCs w:val="20"/>
          <w:rtl/>
        </w:rPr>
        <w:t>ב</w:t>
      </w:r>
      <w:r>
        <w:rPr>
          <w:rFonts w:hint="cs"/>
          <w:sz w:val="18"/>
          <w:szCs w:val="20"/>
          <w:rtl/>
        </w:rPr>
        <w:t xml:space="preserve"> וב</w:t>
      </w:r>
      <w:r>
        <w:rPr>
          <w:sz w:val="18"/>
          <w:szCs w:val="20"/>
          <w:rtl/>
        </w:rPr>
        <w:t>שו"ת משנה הלכות חי</w:t>
      </w:r>
      <w:r>
        <w:rPr>
          <w:rFonts w:hint="cs"/>
          <w:sz w:val="18"/>
          <w:szCs w:val="20"/>
          <w:rtl/>
        </w:rPr>
        <w:t>"</w:t>
      </w:r>
      <w:r>
        <w:rPr>
          <w:sz w:val="18"/>
          <w:szCs w:val="20"/>
          <w:rtl/>
        </w:rPr>
        <w:t>ג</w:t>
      </w:r>
      <w:r>
        <w:rPr>
          <w:rFonts w:hint="cs"/>
          <w:sz w:val="18"/>
          <w:szCs w:val="20"/>
          <w:rtl/>
        </w:rPr>
        <w:t xml:space="preserve">, </w:t>
      </w:r>
      <w:r>
        <w:rPr>
          <w:sz w:val="18"/>
          <w:szCs w:val="20"/>
          <w:rtl/>
        </w:rPr>
        <w:t>קע</w:t>
      </w:r>
      <w:r>
        <w:rPr>
          <w:rFonts w:hint="cs"/>
          <w:sz w:val="18"/>
          <w:szCs w:val="20"/>
          <w:rtl/>
        </w:rPr>
        <w:t>"</w:t>
      </w:r>
      <w:r>
        <w:rPr>
          <w:sz w:val="18"/>
          <w:szCs w:val="20"/>
          <w:rtl/>
        </w:rPr>
        <w:t>ב</w:t>
      </w:r>
      <w:r>
        <w:rPr>
          <w:rFonts w:hint="cs"/>
          <w:rtl/>
        </w:rPr>
        <w:t>; ובמאמריו על חשיבות התפילה ב</w:t>
      </w:r>
      <w:r>
        <w:rPr>
          <w:rtl/>
        </w:rPr>
        <w:t>ברכות ז</w:t>
      </w:r>
      <w:r>
        <w:rPr>
          <w:rFonts w:hint="cs"/>
          <w:rtl/>
        </w:rPr>
        <w:t xml:space="preserve">, </w:t>
      </w:r>
      <w:r>
        <w:rPr>
          <w:rtl/>
        </w:rPr>
        <w:t xml:space="preserve">ב </w:t>
      </w:r>
      <w:r>
        <w:rPr>
          <w:rFonts w:hint="cs"/>
          <w:rtl/>
        </w:rPr>
        <w:t xml:space="preserve">ושם </w:t>
      </w:r>
      <w:r>
        <w:rPr>
          <w:rtl/>
        </w:rPr>
        <w:t>ח</w:t>
      </w:r>
      <w:r>
        <w:rPr>
          <w:rFonts w:hint="cs"/>
          <w:rtl/>
        </w:rPr>
        <w:t>,</w:t>
      </w:r>
      <w:r>
        <w:rPr>
          <w:rtl/>
        </w:rPr>
        <w:t xml:space="preserve"> א</w:t>
      </w:r>
      <w:r>
        <w:rPr>
          <w:rFonts w:hint="cs"/>
          <w:rtl/>
        </w:rPr>
        <w:t>.</w:t>
      </w:r>
      <w:r>
        <w:rPr>
          <w:rtl/>
        </w:rPr>
        <w:t xml:space="preserve"> </w:t>
      </w:r>
    </w:p>
  </w:footnote>
  <w:footnote w:id="244">
    <w:p w14:paraId="38B3A5C1" w14:textId="77777777" w:rsidR="00273399" w:rsidRDefault="00273399" w:rsidP="00273399">
      <w:pPr>
        <w:pStyle w:val="a5"/>
        <w:rPr>
          <w:rFonts w:hint="cs"/>
          <w:rtl/>
        </w:rPr>
      </w:pPr>
      <w:r>
        <w:rPr>
          <w:rStyle w:val="a4"/>
          <w:rtl/>
        </w:rPr>
        <w:footnoteRef/>
      </w:r>
      <w:r>
        <w:rPr>
          <w:szCs w:val="22"/>
        </w:rPr>
        <w:t xml:space="preserve"> </w:t>
      </w:r>
      <w:r>
        <w:rPr>
          <w:rFonts w:hint="cs"/>
          <w:rtl/>
        </w:rPr>
        <w:t xml:space="preserve">לדברים שהובאו בשמו יש להשוות לשני מעשים המסופרים עליו: </w:t>
      </w:r>
    </w:p>
    <w:p w14:paraId="5EEAC0D7" w14:textId="77777777" w:rsidR="00273399" w:rsidRDefault="00273399" w:rsidP="00273399">
      <w:pPr>
        <w:pStyle w:val="a5"/>
        <w:rPr>
          <w:rFonts w:hint="cs"/>
          <w:sz w:val="24"/>
          <w:rtl/>
        </w:rPr>
      </w:pPr>
      <w:r>
        <w:rPr>
          <w:rFonts w:hint="cs"/>
          <w:rtl/>
        </w:rPr>
        <w:t>כך מובא ב</w:t>
      </w:r>
      <w:r>
        <w:rPr>
          <w:sz w:val="24"/>
          <w:rtl/>
        </w:rPr>
        <w:t xml:space="preserve">תענית </w:t>
      </w:r>
      <w:r>
        <w:rPr>
          <w:rFonts w:hint="cs"/>
          <w:sz w:val="24"/>
          <w:rtl/>
        </w:rPr>
        <w:t>(</w:t>
      </w:r>
      <w:r>
        <w:rPr>
          <w:sz w:val="18"/>
          <w:szCs w:val="20"/>
          <w:rtl/>
        </w:rPr>
        <w:t>כא</w:t>
      </w:r>
      <w:r>
        <w:rPr>
          <w:rFonts w:hint="cs"/>
          <w:sz w:val="18"/>
          <w:szCs w:val="20"/>
          <w:rtl/>
        </w:rPr>
        <w:t xml:space="preserve">, </w:t>
      </w:r>
      <w:r>
        <w:rPr>
          <w:sz w:val="18"/>
          <w:szCs w:val="20"/>
          <w:rtl/>
        </w:rPr>
        <w:t>א</w:t>
      </w:r>
      <w:r>
        <w:rPr>
          <w:rFonts w:hint="cs"/>
          <w:sz w:val="24"/>
          <w:rtl/>
        </w:rPr>
        <w:t>):</w:t>
      </w:r>
    </w:p>
    <w:p w14:paraId="6EF4EF3D" w14:textId="77777777" w:rsidR="00273399" w:rsidRDefault="00273399" w:rsidP="00273399">
      <w:pPr>
        <w:pStyle w:val="a5"/>
        <w:ind w:left="720"/>
        <w:rPr>
          <w:rFonts w:hint="cs"/>
          <w:sz w:val="24"/>
          <w:rtl/>
        </w:rPr>
      </w:pPr>
      <w:r>
        <w:rPr>
          <w:rFonts w:hint="cs"/>
          <w:sz w:val="24"/>
          <w:rtl/>
        </w:rPr>
        <w:t>"</w:t>
      </w:r>
      <w:r>
        <w:rPr>
          <w:sz w:val="24"/>
          <w:rtl/>
        </w:rPr>
        <w:t>אילפא ורבי</w:t>
      </w:r>
      <w:r>
        <w:rPr>
          <w:rFonts w:hint="cs"/>
          <w:sz w:val="24"/>
          <w:rtl/>
        </w:rPr>
        <w:t xml:space="preserve"> </w:t>
      </w:r>
      <w:r>
        <w:rPr>
          <w:sz w:val="24"/>
          <w:rtl/>
        </w:rPr>
        <w:t xml:space="preserve">יוחנן הוו גרסי באורייתא, דחיקא להו מילתא טובא, אמרי: ניקום וניזיל וניעבד עיסקא, ונקיים בנפשין </w:t>
      </w:r>
      <w:r>
        <w:rPr>
          <w:rFonts w:hint="cs"/>
          <w:sz w:val="24"/>
          <w:rtl/>
        </w:rPr>
        <w:t>'</w:t>
      </w:r>
      <w:r>
        <w:rPr>
          <w:sz w:val="24"/>
          <w:rtl/>
        </w:rPr>
        <w:t>אֶפֶס כִּי לֹא יִהְיֶה-בְּךָ אֶבְיוֹן</w:t>
      </w:r>
      <w:r>
        <w:rPr>
          <w:rFonts w:hint="cs"/>
          <w:sz w:val="24"/>
          <w:rtl/>
        </w:rPr>
        <w:t>' (</w:t>
      </w:r>
      <w:r>
        <w:rPr>
          <w:sz w:val="18"/>
          <w:szCs w:val="20"/>
          <w:rtl/>
        </w:rPr>
        <w:t>דברים טו</w:t>
      </w:r>
      <w:r>
        <w:rPr>
          <w:rFonts w:hint="cs"/>
          <w:sz w:val="18"/>
          <w:szCs w:val="20"/>
          <w:rtl/>
        </w:rPr>
        <w:t>, ד</w:t>
      </w:r>
      <w:r>
        <w:rPr>
          <w:rFonts w:hint="cs"/>
          <w:sz w:val="24"/>
          <w:rtl/>
        </w:rPr>
        <w:t>)</w:t>
      </w:r>
      <w:r>
        <w:rPr>
          <w:sz w:val="24"/>
          <w:rtl/>
        </w:rPr>
        <w:t>. אזלו אותבי תותי גודא רעיעא. הוו קא כרכי ריפתא. אתו תרי מלאכי השרת, שמעיה רבי יוחנן דאמר חד לחבריה: נישדי עלייהו האי גודא ונקטלינהו, שמניחין חיי עולם הבא ועוסקין בחיי שעה! אמר ליה אידך: שבקינהו, דאיכא בהו חד דקיימא ליה שעתא. רבי יוחנן שמע, אילפא לא שמע. אמר ליה רבי יוחנן לאילפא: שמע מר מידי? אמר ליה: לא. אמר: מדשמעי אנא ואילפא לא שמע</w:t>
      </w:r>
      <w:r>
        <w:rPr>
          <w:rFonts w:hint="cs"/>
          <w:sz w:val="24"/>
          <w:rtl/>
        </w:rPr>
        <w:t>,</w:t>
      </w:r>
      <w:r>
        <w:rPr>
          <w:sz w:val="24"/>
          <w:rtl/>
        </w:rPr>
        <w:t xml:space="preserve"> שמע מינה לדידי קיימא לי שעתא. אמר ליה רבי יוחנן: איהדר ואוקי בנפשאי </w:t>
      </w:r>
      <w:r>
        <w:rPr>
          <w:rFonts w:hint="cs"/>
          <w:sz w:val="24"/>
          <w:rtl/>
        </w:rPr>
        <w:t>'כִּי לֹא יֶחְדַּל אֶבְיוֹן מִקֶּרֶב הָאָרֶץ' (</w:t>
      </w:r>
      <w:r>
        <w:rPr>
          <w:rFonts w:hint="cs"/>
          <w:sz w:val="18"/>
          <w:szCs w:val="20"/>
          <w:rtl/>
        </w:rPr>
        <w:t>שם יא</w:t>
      </w:r>
      <w:r>
        <w:rPr>
          <w:rFonts w:hint="cs"/>
          <w:sz w:val="24"/>
          <w:rtl/>
        </w:rPr>
        <w:t>)</w:t>
      </w:r>
      <w:r>
        <w:rPr>
          <w:sz w:val="24"/>
          <w:rtl/>
        </w:rPr>
        <w:t>. רבי יוחנן הדר, אלפא לא הדר. עד דאתא אילפא</w:t>
      </w:r>
      <w:r>
        <w:rPr>
          <w:rFonts w:hint="cs"/>
          <w:sz w:val="24"/>
          <w:rtl/>
        </w:rPr>
        <w:t xml:space="preserve">, </w:t>
      </w:r>
      <w:r>
        <w:rPr>
          <w:sz w:val="24"/>
          <w:rtl/>
        </w:rPr>
        <w:t>מליך רבי יוחנן. אמרו לו: אי אתיב מר וגריס לא הוה מליך מר. אזל תלא נפשיה באסקריא  דספינתא, אמר: אי איכא דשאיל לי במתניתא דרבי חייא ורבי אושעיא ולא פשטינא ליה ממתניתין</w:t>
      </w:r>
      <w:r>
        <w:rPr>
          <w:rFonts w:hint="cs"/>
          <w:sz w:val="24"/>
          <w:rtl/>
        </w:rPr>
        <w:t>,</w:t>
      </w:r>
      <w:r>
        <w:rPr>
          <w:sz w:val="24"/>
          <w:rtl/>
        </w:rPr>
        <w:t xml:space="preserve"> נפילנא מאסקריא דספינתא וטבענא</w:t>
      </w:r>
      <w:r>
        <w:rPr>
          <w:rFonts w:hint="cs"/>
          <w:sz w:val="24"/>
          <w:rtl/>
        </w:rPr>
        <w:t>"</w:t>
      </w:r>
      <w:r>
        <w:rPr>
          <w:sz w:val="24"/>
          <w:rtl/>
        </w:rPr>
        <w:t>.</w:t>
      </w:r>
    </w:p>
    <w:p w14:paraId="458AF005" w14:textId="77777777" w:rsidR="00273399" w:rsidRDefault="00273399" w:rsidP="00273399">
      <w:pPr>
        <w:pStyle w:val="a5"/>
        <w:rPr>
          <w:rFonts w:hint="cs"/>
          <w:sz w:val="24"/>
          <w:rtl/>
        </w:rPr>
      </w:pPr>
      <w:r>
        <w:rPr>
          <w:rFonts w:hint="cs"/>
          <w:sz w:val="24"/>
          <w:rtl/>
        </w:rPr>
        <w:t>וב</w:t>
      </w:r>
      <w:r>
        <w:rPr>
          <w:sz w:val="24"/>
          <w:rtl/>
        </w:rPr>
        <w:t xml:space="preserve">שיר השירים רבה </w:t>
      </w:r>
      <w:r>
        <w:rPr>
          <w:rFonts w:hint="cs"/>
          <w:sz w:val="24"/>
          <w:rtl/>
        </w:rPr>
        <w:t xml:space="preserve">מסופר </w:t>
      </w:r>
      <w:r>
        <w:rPr>
          <w:sz w:val="24"/>
          <w:rtl/>
        </w:rPr>
        <w:t>(</w:t>
      </w:r>
      <w:r>
        <w:rPr>
          <w:sz w:val="18"/>
          <w:szCs w:val="20"/>
          <w:rtl/>
        </w:rPr>
        <w:t>ח</w:t>
      </w:r>
      <w:r>
        <w:rPr>
          <w:rFonts w:hint="cs"/>
          <w:sz w:val="18"/>
          <w:szCs w:val="20"/>
          <w:rtl/>
        </w:rPr>
        <w:t xml:space="preserve">, </w:t>
      </w:r>
      <w:r>
        <w:rPr>
          <w:sz w:val="18"/>
          <w:szCs w:val="20"/>
          <w:rtl/>
        </w:rPr>
        <w:t>א</w:t>
      </w:r>
      <w:r>
        <w:rPr>
          <w:rFonts w:hint="cs"/>
          <w:sz w:val="18"/>
          <w:szCs w:val="20"/>
          <w:rtl/>
        </w:rPr>
        <w:t xml:space="preserve">, </w:t>
      </w:r>
      <w:r>
        <w:rPr>
          <w:sz w:val="18"/>
          <w:szCs w:val="20"/>
          <w:rtl/>
        </w:rPr>
        <w:t>ז</w:t>
      </w:r>
      <w:r>
        <w:rPr>
          <w:rFonts w:hint="cs"/>
          <w:sz w:val="18"/>
          <w:szCs w:val="20"/>
          <w:rtl/>
        </w:rPr>
        <w:t xml:space="preserve">; </w:t>
      </w:r>
      <w:r>
        <w:rPr>
          <w:sz w:val="18"/>
          <w:szCs w:val="20"/>
          <w:rtl/>
        </w:rPr>
        <w:t>פסיקתא דרב כהנא</w:t>
      </w:r>
      <w:r>
        <w:rPr>
          <w:rFonts w:hint="cs"/>
          <w:sz w:val="18"/>
          <w:szCs w:val="20"/>
          <w:rtl/>
        </w:rPr>
        <w:t xml:space="preserve">, </w:t>
      </w:r>
      <w:r>
        <w:rPr>
          <w:sz w:val="18"/>
          <w:szCs w:val="20"/>
          <w:rtl/>
        </w:rPr>
        <w:t>מנדלבוים</w:t>
      </w:r>
      <w:r>
        <w:rPr>
          <w:rFonts w:hint="cs"/>
          <w:sz w:val="18"/>
          <w:szCs w:val="20"/>
          <w:rtl/>
        </w:rPr>
        <w:t xml:space="preserve">, </w:t>
      </w:r>
      <w:r>
        <w:rPr>
          <w:sz w:val="18"/>
          <w:szCs w:val="20"/>
          <w:rtl/>
        </w:rPr>
        <w:t>פרשה כז</w:t>
      </w:r>
      <w:r>
        <w:rPr>
          <w:rFonts w:hint="cs"/>
          <w:sz w:val="18"/>
          <w:szCs w:val="20"/>
          <w:rtl/>
        </w:rPr>
        <w:t xml:space="preserve">; </w:t>
      </w:r>
      <w:r>
        <w:rPr>
          <w:sz w:val="18"/>
          <w:szCs w:val="20"/>
          <w:rtl/>
        </w:rPr>
        <w:t>ילק</w:t>
      </w:r>
      <w:r>
        <w:rPr>
          <w:rFonts w:hint="cs"/>
          <w:sz w:val="18"/>
          <w:szCs w:val="20"/>
          <w:rtl/>
        </w:rPr>
        <w:t>"</w:t>
      </w:r>
      <w:r>
        <w:rPr>
          <w:sz w:val="18"/>
          <w:szCs w:val="20"/>
          <w:rtl/>
        </w:rPr>
        <w:t>ש</w:t>
      </w:r>
      <w:r>
        <w:rPr>
          <w:rFonts w:hint="cs"/>
          <w:sz w:val="18"/>
          <w:szCs w:val="20"/>
          <w:rtl/>
        </w:rPr>
        <w:t xml:space="preserve">, </w:t>
      </w:r>
      <w:r>
        <w:rPr>
          <w:sz w:val="18"/>
          <w:szCs w:val="20"/>
          <w:rtl/>
        </w:rPr>
        <w:t>משפטים רמז שס</w:t>
      </w:r>
      <w:r>
        <w:rPr>
          <w:rFonts w:hint="cs"/>
          <w:sz w:val="18"/>
          <w:szCs w:val="20"/>
          <w:rtl/>
        </w:rPr>
        <w:t>"</w:t>
      </w:r>
      <w:r>
        <w:rPr>
          <w:sz w:val="18"/>
          <w:szCs w:val="20"/>
          <w:rtl/>
        </w:rPr>
        <w:t>ג</w:t>
      </w:r>
      <w:r>
        <w:rPr>
          <w:rFonts w:hint="cs"/>
          <w:sz w:val="24"/>
          <w:rtl/>
        </w:rPr>
        <w:t>):</w:t>
      </w:r>
    </w:p>
    <w:p w14:paraId="7E26C934" w14:textId="77777777" w:rsidR="00273399" w:rsidRDefault="00273399" w:rsidP="00273399">
      <w:pPr>
        <w:pStyle w:val="a5"/>
        <w:ind w:left="720"/>
        <w:rPr>
          <w:rFonts w:hint="cs"/>
          <w:rtl/>
        </w:rPr>
      </w:pPr>
      <w:r>
        <w:rPr>
          <w:rFonts w:hint="cs"/>
          <w:sz w:val="24"/>
          <w:rtl/>
        </w:rPr>
        <w:t>"</w:t>
      </w:r>
      <w:r>
        <w:rPr>
          <w:sz w:val="24"/>
          <w:rtl/>
        </w:rPr>
        <w:t>ר' יוחנן הוה מטייל וסליק מטבריה לציפורין, והוה רבי חייא בר אבא סמך ליה, מטון חד בית חקלא</w:t>
      </w:r>
      <w:r>
        <w:rPr>
          <w:rFonts w:hint="cs"/>
          <w:sz w:val="24"/>
          <w:rtl/>
        </w:rPr>
        <w:t>,</w:t>
      </w:r>
      <w:r>
        <w:rPr>
          <w:sz w:val="24"/>
          <w:rtl/>
        </w:rPr>
        <w:t xml:space="preserve"> אמר ר</w:t>
      </w:r>
      <w:r>
        <w:rPr>
          <w:rFonts w:hint="cs"/>
          <w:sz w:val="24"/>
          <w:rtl/>
        </w:rPr>
        <w:t>'</w:t>
      </w:r>
      <w:r>
        <w:rPr>
          <w:sz w:val="24"/>
          <w:rtl/>
        </w:rPr>
        <w:t xml:space="preserve"> יוחנן</w:t>
      </w:r>
      <w:r>
        <w:rPr>
          <w:rFonts w:hint="cs"/>
          <w:sz w:val="24"/>
          <w:rtl/>
        </w:rPr>
        <w:t>:</w:t>
      </w:r>
      <w:r>
        <w:rPr>
          <w:sz w:val="24"/>
          <w:rtl/>
        </w:rPr>
        <w:t xml:space="preserve"> הדין בית חקלא הות דידי וזבינתיה בגין מלעי באוריתא</w:t>
      </w:r>
      <w:r>
        <w:rPr>
          <w:rFonts w:hint="cs"/>
          <w:sz w:val="24"/>
          <w:rtl/>
        </w:rPr>
        <w:t xml:space="preserve">. </w:t>
      </w:r>
      <w:r>
        <w:rPr>
          <w:sz w:val="24"/>
          <w:rtl/>
        </w:rPr>
        <w:t>מטון חד בית כרם</w:t>
      </w:r>
      <w:r>
        <w:rPr>
          <w:rFonts w:hint="cs"/>
          <w:sz w:val="24"/>
          <w:rtl/>
        </w:rPr>
        <w:t>,</w:t>
      </w:r>
      <w:r>
        <w:rPr>
          <w:sz w:val="24"/>
          <w:rtl/>
        </w:rPr>
        <w:t xml:space="preserve"> ואמר ר</w:t>
      </w:r>
      <w:r>
        <w:rPr>
          <w:rFonts w:hint="cs"/>
          <w:sz w:val="24"/>
          <w:rtl/>
        </w:rPr>
        <w:t>'</w:t>
      </w:r>
      <w:r>
        <w:rPr>
          <w:sz w:val="24"/>
          <w:rtl/>
        </w:rPr>
        <w:t xml:space="preserve"> יוחנן</w:t>
      </w:r>
      <w:r>
        <w:rPr>
          <w:rFonts w:hint="cs"/>
          <w:sz w:val="24"/>
          <w:rtl/>
        </w:rPr>
        <w:t>:</w:t>
      </w:r>
      <w:r>
        <w:rPr>
          <w:sz w:val="24"/>
          <w:rtl/>
        </w:rPr>
        <w:t xml:space="preserve"> הדין בית כרם דידי הוה וזבינתיה בגין מלעי באוריתא</w:t>
      </w:r>
      <w:r>
        <w:rPr>
          <w:rFonts w:hint="cs"/>
          <w:sz w:val="24"/>
          <w:rtl/>
        </w:rPr>
        <w:t xml:space="preserve">. </w:t>
      </w:r>
      <w:r>
        <w:rPr>
          <w:sz w:val="24"/>
          <w:rtl/>
        </w:rPr>
        <w:t>מטון חד בית זיתא ואמר כמו כן</w:t>
      </w:r>
      <w:r>
        <w:rPr>
          <w:rFonts w:hint="cs"/>
          <w:sz w:val="24"/>
          <w:rtl/>
        </w:rPr>
        <w:t xml:space="preserve">. </w:t>
      </w:r>
      <w:r>
        <w:rPr>
          <w:sz w:val="24"/>
          <w:rtl/>
        </w:rPr>
        <w:t>שרי ר' חייא בר אבא בכי, א</w:t>
      </w:r>
      <w:r>
        <w:rPr>
          <w:rFonts w:hint="cs"/>
          <w:sz w:val="24"/>
          <w:rtl/>
        </w:rPr>
        <w:t xml:space="preserve">מר </w:t>
      </w:r>
      <w:r>
        <w:rPr>
          <w:sz w:val="24"/>
          <w:rtl/>
        </w:rPr>
        <w:t>ל</w:t>
      </w:r>
      <w:r>
        <w:rPr>
          <w:rFonts w:hint="cs"/>
          <w:sz w:val="24"/>
          <w:rtl/>
        </w:rPr>
        <w:t>יה:</w:t>
      </w:r>
      <w:r>
        <w:rPr>
          <w:sz w:val="24"/>
          <w:rtl/>
        </w:rPr>
        <w:t xml:space="preserve"> </w:t>
      </w:r>
      <w:r>
        <w:rPr>
          <w:rFonts w:hint="cs"/>
          <w:sz w:val="24"/>
          <w:rtl/>
        </w:rPr>
        <w:t>[ל]</w:t>
      </w:r>
      <w:r>
        <w:rPr>
          <w:sz w:val="24"/>
          <w:rtl/>
        </w:rPr>
        <w:t>מה את בכי</w:t>
      </w:r>
      <w:r>
        <w:rPr>
          <w:rFonts w:hint="cs"/>
          <w:sz w:val="24"/>
          <w:rtl/>
        </w:rPr>
        <w:t xml:space="preserve">? </w:t>
      </w:r>
      <w:r>
        <w:rPr>
          <w:sz w:val="24"/>
          <w:rtl/>
        </w:rPr>
        <w:t>א</w:t>
      </w:r>
      <w:r>
        <w:rPr>
          <w:rFonts w:hint="cs"/>
          <w:sz w:val="24"/>
          <w:rtl/>
        </w:rPr>
        <w:t xml:space="preserve">מר </w:t>
      </w:r>
      <w:r>
        <w:rPr>
          <w:sz w:val="24"/>
          <w:rtl/>
        </w:rPr>
        <w:t>ל</w:t>
      </w:r>
      <w:r>
        <w:rPr>
          <w:rFonts w:hint="cs"/>
          <w:sz w:val="24"/>
          <w:rtl/>
        </w:rPr>
        <w:t xml:space="preserve">יה: </w:t>
      </w:r>
      <w:r>
        <w:rPr>
          <w:sz w:val="24"/>
          <w:rtl/>
        </w:rPr>
        <w:t>בכי אנא דלא שבקת לסיבותיך כלום</w:t>
      </w:r>
      <w:r>
        <w:rPr>
          <w:rFonts w:hint="cs"/>
          <w:sz w:val="24"/>
          <w:rtl/>
        </w:rPr>
        <w:t>!</w:t>
      </w:r>
      <w:r>
        <w:rPr>
          <w:sz w:val="24"/>
          <w:rtl/>
        </w:rPr>
        <w:t xml:space="preserve"> א</w:t>
      </w:r>
      <w:r>
        <w:rPr>
          <w:rFonts w:hint="cs"/>
          <w:sz w:val="24"/>
          <w:rtl/>
        </w:rPr>
        <w:t xml:space="preserve">מר </w:t>
      </w:r>
      <w:r>
        <w:rPr>
          <w:sz w:val="24"/>
          <w:rtl/>
        </w:rPr>
        <w:t>ל</w:t>
      </w:r>
      <w:r>
        <w:rPr>
          <w:rFonts w:hint="cs"/>
          <w:sz w:val="24"/>
          <w:rtl/>
        </w:rPr>
        <w:t xml:space="preserve">יה: </w:t>
      </w:r>
      <w:r>
        <w:rPr>
          <w:sz w:val="24"/>
          <w:rtl/>
        </w:rPr>
        <w:t>חייא בני</w:t>
      </w:r>
      <w:r>
        <w:rPr>
          <w:rFonts w:hint="cs"/>
          <w:sz w:val="24"/>
          <w:rtl/>
        </w:rPr>
        <w:t>,</w:t>
      </w:r>
      <w:r>
        <w:rPr>
          <w:sz w:val="24"/>
          <w:rtl/>
        </w:rPr>
        <w:t xml:space="preserve"> ונקלה זו בעיניך מה שעשיתי שמכרתי דבר שניתן לששה ימים</w:t>
      </w:r>
      <w:r>
        <w:rPr>
          <w:rFonts w:hint="cs"/>
          <w:sz w:val="24"/>
          <w:rtl/>
        </w:rPr>
        <w:t xml:space="preserve">... </w:t>
      </w:r>
      <w:r>
        <w:rPr>
          <w:sz w:val="24"/>
          <w:rtl/>
        </w:rPr>
        <w:t>אבל התורה ניתנה לארבעים יום</w:t>
      </w:r>
      <w:r>
        <w:rPr>
          <w:rFonts w:hint="cs"/>
          <w:sz w:val="24"/>
          <w:rtl/>
        </w:rPr>
        <w:t xml:space="preserve">... </w:t>
      </w:r>
      <w:r>
        <w:rPr>
          <w:sz w:val="24"/>
          <w:rtl/>
        </w:rPr>
        <w:t>כד דמך רבי יוחנן היה דורו קורא עליו</w:t>
      </w:r>
      <w:r>
        <w:rPr>
          <w:rFonts w:hint="cs"/>
          <w:sz w:val="24"/>
          <w:rtl/>
        </w:rPr>
        <w:t>:</w:t>
      </w:r>
      <w:r>
        <w:rPr>
          <w:sz w:val="24"/>
          <w:rtl/>
        </w:rPr>
        <w:t xml:space="preserve"> </w:t>
      </w:r>
      <w:r>
        <w:rPr>
          <w:rFonts w:hint="cs"/>
          <w:sz w:val="24"/>
          <w:rtl/>
        </w:rPr>
        <w:t xml:space="preserve">'אִם יִתֵּן אִישׁ אֶת כָּל הוֹן בֵּיתוֹ בָּאַהֲבָה' </w:t>
      </w:r>
      <w:r>
        <w:rPr>
          <w:sz w:val="24"/>
          <w:rtl/>
        </w:rPr>
        <w:t xml:space="preserve">שאהב ר' יוחנן את התורה </w:t>
      </w:r>
      <w:r>
        <w:rPr>
          <w:rFonts w:hint="cs"/>
          <w:sz w:val="24"/>
          <w:rtl/>
        </w:rPr>
        <w:t>'בּוֹז יָבוּזוּ לוֹ' (</w:t>
      </w:r>
      <w:r>
        <w:rPr>
          <w:sz w:val="18"/>
          <w:szCs w:val="20"/>
          <w:rtl/>
        </w:rPr>
        <w:t>שיר השירים ח</w:t>
      </w:r>
      <w:r>
        <w:rPr>
          <w:rFonts w:hint="cs"/>
          <w:sz w:val="18"/>
          <w:szCs w:val="20"/>
          <w:rtl/>
        </w:rPr>
        <w:t>, ז</w:t>
      </w:r>
      <w:r>
        <w:rPr>
          <w:rFonts w:hint="cs"/>
          <w:sz w:val="24"/>
          <w:rtl/>
        </w:rPr>
        <w:t>)".</w:t>
      </w:r>
    </w:p>
  </w:footnote>
  <w:footnote w:id="245">
    <w:p w14:paraId="3101C47B" w14:textId="77777777" w:rsidR="00273399" w:rsidRDefault="00273399" w:rsidP="00273399">
      <w:pPr>
        <w:pStyle w:val="a5"/>
        <w:rPr>
          <w:rFonts w:hint="cs"/>
          <w:rtl/>
        </w:rPr>
      </w:pPr>
      <w:r>
        <w:rPr>
          <w:rStyle w:val="a4"/>
        </w:rPr>
        <w:footnoteRef/>
      </w:r>
      <w:r>
        <w:rPr>
          <w:rFonts w:hint="cs"/>
          <w:rtl/>
        </w:rPr>
        <w:t xml:space="preserve"> כן כתב ה</w:t>
      </w:r>
      <w:r>
        <w:rPr>
          <w:rFonts w:eastAsia="MS Mincho"/>
          <w:rtl/>
        </w:rPr>
        <w:t>ר"מ לייטר</w:t>
      </w:r>
      <w:r>
        <w:rPr>
          <w:rFonts w:hint="cs"/>
          <w:rtl/>
        </w:rPr>
        <w:t xml:space="preserve"> (בספר "בשולי גליוני") על רבי </w:t>
      </w:r>
      <w:r>
        <w:rPr>
          <w:rtl/>
        </w:rPr>
        <w:t>יהודה</w:t>
      </w:r>
      <w:r>
        <w:rPr>
          <w:rFonts w:hint="cs"/>
          <w:rtl/>
        </w:rPr>
        <w:t xml:space="preserve"> הנשיא ועל רבי אלעזר בן רשב"י. אך קצת קשה לכלול ב"חבורה של רשב"י" גם אמוראים שלא חיו בזמנו, אלא אם נפרש את המילה "וחבריו" בפי רבי יוחנן כמו: "וכיוצא בו", "וכל הדומה לו" (ואינו פירוש ל"חברים" שבברייתא). ואכן, מצינו מחד גיסא "וחב(י)ריו" "ממש" (כגון: "</w:t>
      </w:r>
      <w:r>
        <w:rPr>
          <w:rtl/>
        </w:rPr>
        <w:t>כשחלה רבי אליעזר</w:t>
      </w:r>
      <w:r>
        <w:rPr>
          <w:rFonts w:hint="cs"/>
          <w:rtl/>
        </w:rPr>
        <w:t>,</w:t>
      </w:r>
      <w:r>
        <w:rPr>
          <w:rtl/>
        </w:rPr>
        <w:t xml:space="preserve"> נכנסו רבי עקיבא וחביריו לבקרו</w:t>
      </w:r>
      <w:r>
        <w:rPr>
          <w:rFonts w:hint="cs"/>
          <w:rtl/>
        </w:rPr>
        <w:t xml:space="preserve">", </w:t>
      </w:r>
      <w:r>
        <w:rPr>
          <w:sz w:val="18"/>
          <w:szCs w:val="20"/>
          <w:rtl/>
        </w:rPr>
        <w:t>סנהדרין סח</w:t>
      </w:r>
      <w:r>
        <w:rPr>
          <w:rFonts w:hint="cs"/>
          <w:sz w:val="18"/>
          <w:szCs w:val="20"/>
          <w:rtl/>
        </w:rPr>
        <w:t xml:space="preserve">, </w:t>
      </w:r>
      <w:r>
        <w:rPr>
          <w:sz w:val="18"/>
          <w:szCs w:val="20"/>
          <w:rtl/>
        </w:rPr>
        <w:t>א</w:t>
      </w:r>
      <w:r>
        <w:rPr>
          <w:rFonts w:hint="cs"/>
          <w:sz w:val="18"/>
          <w:szCs w:val="20"/>
          <w:rtl/>
        </w:rPr>
        <w:t xml:space="preserve">; </w:t>
      </w:r>
      <w:r>
        <w:rPr>
          <w:rFonts w:hint="cs"/>
          <w:rtl/>
        </w:rPr>
        <w:t>"</w:t>
      </w:r>
      <w:r>
        <w:rPr>
          <w:rtl/>
        </w:rPr>
        <w:t>מה עשה יהודה בן שמוע וחביריו</w:t>
      </w:r>
      <w:r>
        <w:rPr>
          <w:rFonts w:hint="cs"/>
          <w:rtl/>
        </w:rPr>
        <w:t xml:space="preserve">, </w:t>
      </w:r>
      <w:r>
        <w:rPr>
          <w:rtl/>
        </w:rPr>
        <w:t>הלכו</w:t>
      </w:r>
      <w:r>
        <w:rPr>
          <w:rFonts w:hint="cs"/>
          <w:rtl/>
        </w:rPr>
        <w:t>..."</w:t>
      </w:r>
      <w:r>
        <w:rPr>
          <w:rFonts w:hint="cs"/>
          <w:sz w:val="18"/>
          <w:szCs w:val="20"/>
          <w:rtl/>
        </w:rPr>
        <w:t xml:space="preserve">, </w:t>
      </w:r>
      <w:r>
        <w:rPr>
          <w:sz w:val="18"/>
          <w:szCs w:val="20"/>
          <w:rtl/>
        </w:rPr>
        <w:t>ראש השנה יט</w:t>
      </w:r>
      <w:r>
        <w:rPr>
          <w:rFonts w:hint="cs"/>
          <w:sz w:val="18"/>
          <w:szCs w:val="20"/>
          <w:rtl/>
        </w:rPr>
        <w:t xml:space="preserve">, </w:t>
      </w:r>
      <w:r>
        <w:rPr>
          <w:sz w:val="18"/>
          <w:szCs w:val="20"/>
          <w:rtl/>
        </w:rPr>
        <w:t>א</w:t>
      </w:r>
      <w:r>
        <w:rPr>
          <w:rFonts w:hint="cs"/>
          <w:rtl/>
        </w:rPr>
        <w:t>), ומאידך נראה כי לפעמים הכוונה היא כמו "ועוד", "וכיו"ב" ("</w:t>
      </w:r>
      <w:r>
        <w:rPr>
          <w:rtl/>
        </w:rPr>
        <w:t>בעלי משנה, כגון רבי יהודה בן תימא וחביריו</w:t>
      </w:r>
      <w:r>
        <w:rPr>
          <w:rFonts w:hint="cs"/>
          <w:rtl/>
        </w:rPr>
        <w:t>"</w:t>
      </w:r>
      <w:r>
        <w:rPr>
          <w:rFonts w:hint="cs"/>
          <w:sz w:val="18"/>
          <w:szCs w:val="20"/>
          <w:rtl/>
        </w:rPr>
        <w:t xml:space="preserve">, </w:t>
      </w:r>
      <w:r>
        <w:rPr>
          <w:sz w:val="18"/>
          <w:szCs w:val="20"/>
          <w:rtl/>
        </w:rPr>
        <w:t>חגיגה יד</w:t>
      </w:r>
      <w:r>
        <w:rPr>
          <w:rFonts w:hint="cs"/>
          <w:sz w:val="18"/>
          <w:szCs w:val="20"/>
          <w:rtl/>
        </w:rPr>
        <w:t xml:space="preserve">, </w:t>
      </w:r>
      <w:r>
        <w:rPr>
          <w:sz w:val="18"/>
          <w:szCs w:val="20"/>
          <w:rtl/>
        </w:rPr>
        <w:t>א</w:t>
      </w:r>
      <w:r>
        <w:rPr>
          <w:rFonts w:hint="cs"/>
          <w:sz w:val="18"/>
          <w:szCs w:val="20"/>
          <w:rtl/>
        </w:rPr>
        <w:t>;</w:t>
      </w:r>
      <w:r>
        <w:rPr>
          <w:sz w:val="18"/>
          <w:szCs w:val="20"/>
          <w:rtl/>
        </w:rPr>
        <w:t xml:space="preserve"> </w:t>
      </w:r>
      <w:r>
        <w:rPr>
          <w:rFonts w:hint="cs"/>
          <w:rtl/>
        </w:rPr>
        <w:t>"</w:t>
      </w:r>
      <w:r>
        <w:rPr>
          <w:rtl/>
        </w:rPr>
        <w:t>כגון רבי צדוק וחביריו</w:t>
      </w:r>
      <w:r>
        <w:rPr>
          <w:rFonts w:hint="cs"/>
          <w:rtl/>
        </w:rPr>
        <w:t>"</w:t>
      </w:r>
      <w:r>
        <w:rPr>
          <w:rFonts w:hint="cs"/>
          <w:sz w:val="18"/>
          <w:szCs w:val="20"/>
          <w:rtl/>
        </w:rPr>
        <w:t xml:space="preserve">, </w:t>
      </w:r>
      <w:r>
        <w:rPr>
          <w:sz w:val="18"/>
          <w:szCs w:val="20"/>
          <w:rtl/>
        </w:rPr>
        <w:t>קידושין מ</w:t>
      </w:r>
      <w:r>
        <w:rPr>
          <w:rFonts w:hint="cs"/>
          <w:sz w:val="18"/>
          <w:szCs w:val="20"/>
          <w:rtl/>
        </w:rPr>
        <w:t xml:space="preserve">, </w:t>
      </w:r>
      <w:r>
        <w:rPr>
          <w:sz w:val="18"/>
          <w:szCs w:val="20"/>
          <w:rtl/>
        </w:rPr>
        <w:t>א</w:t>
      </w:r>
      <w:r>
        <w:rPr>
          <w:rFonts w:hint="cs"/>
          <w:sz w:val="18"/>
          <w:szCs w:val="20"/>
          <w:rtl/>
        </w:rPr>
        <w:t xml:space="preserve">; </w:t>
      </w:r>
      <w:r>
        <w:rPr>
          <w:rFonts w:hint="cs"/>
          <w:rtl/>
        </w:rPr>
        <w:t>וגם ללא "כגון", כגון: "</w:t>
      </w:r>
      <w:r>
        <w:rPr>
          <w:rtl/>
        </w:rPr>
        <w:t>ועל בן קמצר וחבריו נאמר</w:t>
      </w:r>
      <w:r>
        <w:rPr>
          <w:rFonts w:hint="cs"/>
          <w:rtl/>
        </w:rPr>
        <w:t xml:space="preserve">", </w:t>
      </w:r>
      <w:r>
        <w:rPr>
          <w:sz w:val="18"/>
          <w:szCs w:val="20"/>
          <w:rtl/>
        </w:rPr>
        <w:t>יומא לח</w:t>
      </w:r>
      <w:r>
        <w:rPr>
          <w:rFonts w:hint="cs"/>
          <w:sz w:val="18"/>
          <w:szCs w:val="20"/>
          <w:rtl/>
        </w:rPr>
        <w:t xml:space="preserve">, </w:t>
      </w:r>
      <w:r>
        <w:rPr>
          <w:sz w:val="18"/>
          <w:szCs w:val="20"/>
          <w:rtl/>
        </w:rPr>
        <w:t>ב</w:t>
      </w:r>
      <w:r>
        <w:rPr>
          <w:rFonts w:hint="cs"/>
          <w:sz w:val="18"/>
          <w:szCs w:val="20"/>
          <w:rtl/>
        </w:rPr>
        <w:t xml:space="preserve">; </w:t>
      </w:r>
      <w:r>
        <w:rPr>
          <w:rFonts w:hint="cs"/>
          <w:rtl/>
        </w:rPr>
        <w:t>"</w:t>
      </w:r>
      <w:r>
        <w:rPr>
          <w:rtl/>
        </w:rPr>
        <w:t>רבי עקיבא וחביריו</w:t>
      </w:r>
      <w:r>
        <w:rPr>
          <w:rFonts w:hint="cs"/>
          <w:rtl/>
        </w:rPr>
        <w:t>"</w:t>
      </w:r>
      <w:r>
        <w:rPr>
          <w:rFonts w:hint="cs"/>
          <w:sz w:val="18"/>
          <w:szCs w:val="20"/>
          <w:rtl/>
        </w:rPr>
        <w:t>,</w:t>
      </w:r>
      <w:r>
        <w:rPr>
          <w:sz w:val="18"/>
          <w:szCs w:val="20"/>
          <w:rtl/>
        </w:rPr>
        <w:t xml:space="preserve"> סנהדרין קי</w:t>
      </w:r>
      <w:r>
        <w:rPr>
          <w:rFonts w:hint="cs"/>
          <w:sz w:val="18"/>
          <w:szCs w:val="20"/>
          <w:rtl/>
        </w:rPr>
        <w:t xml:space="preserve">, </w:t>
      </w:r>
      <w:r>
        <w:rPr>
          <w:sz w:val="18"/>
          <w:szCs w:val="20"/>
          <w:rtl/>
        </w:rPr>
        <w:t xml:space="preserve">ב </w:t>
      </w:r>
      <w:r>
        <w:rPr>
          <w:rFonts w:hint="cs"/>
          <w:sz w:val="18"/>
          <w:szCs w:val="20"/>
          <w:rtl/>
        </w:rPr>
        <w:t>ועוד</w:t>
      </w:r>
      <w:r>
        <w:rPr>
          <w:rFonts w:hint="cs"/>
          <w:rtl/>
        </w:rPr>
        <w:t>).</w:t>
      </w:r>
      <w:r>
        <w:rPr>
          <w:rtl/>
        </w:rPr>
        <w:t xml:space="preserve"> </w:t>
      </w:r>
    </w:p>
  </w:footnote>
  <w:footnote w:id="246">
    <w:p w14:paraId="2BDB6E70" w14:textId="77777777" w:rsidR="00273399" w:rsidRDefault="00273399" w:rsidP="00273399">
      <w:pPr>
        <w:pStyle w:val="a5"/>
        <w:rPr>
          <w:rFonts w:hint="cs"/>
          <w:rtl/>
        </w:rPr>
      </w:pPr>
      <w:r>
        <w:rPr>
          <w:rStyle w:val="a4"/>
          <w:rtl/>
        </w:rPr>
        <w:footnoteRef/>
      </w:r>
      <w:r>
        <w:rPr>
          <w:szCs w:val="22"/>
        </w:rPr>
        <w:t xml:space="preserve"> </w:t>
      </w:r>
      <w:r>
        <w:rPr>
          <w:rFonts w:eastAsia="MS Mincho" w:hint="cs"/>
          <w:rtl/>
        </w:rPr>
        <w:t xml:space="preserve">לפי הדפוסים וחלק מכתבי היד זו היתה תפלת </w:t>
      </w:r>
      <w:r>
        <w:rPr>
          <w:rFonts w:eastAsia="MS Mincho"/>
          <w:rtl/>
        </w:rPr>
        <w:t>רבי חייא</w:t>
      </w:r>
      <w:r>
        <w:rPr>
          <w:rFonts w:eastAsia="MS Mincho" w:hint="cs"/>
          <w:rtl/>
        </w:rPr>
        <w:t xml:space="preserve">. לפי כתב יד פלורנס זו היתה תפלתם של </w:t>
      </w:r>
      <w:r>
        <w:rPr>
          <w:rFonts w:hint="cs"/>
          <w:rtl/>
        </w:rPr>
        <w:t>רבי יוחנן ו</w:t>
      </w:r>
      <w:r>
        <w:rPr>
          <w:rFonts w:eastAsia="MS Mincho"/>
          <w:rtl/>
        </w:rPr>
        <w:t>ר</w:t>
      </w:r>
      <w:r>
        <w:rPr>
          <w:rFonts w:eastAsia="MS Mincho" w:hint="cs"/>
          <w:rtl/>
        </w:rPr>
        <w:t>בי</w:t>
      </w:r>
      <w:r>
        <w:rPr>
          <w:rFonts w:eastAsia="MS Mincho"/>
          <w:rtl/>
        </w:rPr>
        <w:t xml:space="preserve"> זירא</w:t>
      </w:r>
      <w:r>
        <w:rPr>
          <w:rFonts w:eastAsia="MS Mincho" w:hint="cs"/>
          <w:rtl/>
        </w:rPr>
        <w:t xml:space="preserve">. </w:t>
      </w:r>
    </w:p>
  </w:footnote>
  <w:footnote w:id="247">
    <w:p w14:paraId="1C288AAB" w14:textId="77777777" w:rsidR="00273399" w:rsidRDefault="00273399" w:rsidP="00273399">
      <w:pPr>
        <w:pStyle w:val="a5"/>
        <w:rPr>
          <w:rtl/>
        </w:rPr>
      </w:pPr>
      <w:r>
        <w:rPr>
          <w:rStyle w:val="a4"/>
          <w:rtl/>
        </w:rPr>
        <w:footnoteRef/>
      </w:r>
      <w:r>
        <w:rPr>
          <w:szCs w:val="22"/>
        </w:rPr>
        <w:t xml:space="preserve"> </w:t>
      </w:r>
      <w:r>
        <w:rPr>
          <w:rFonts w:eastAsia="MS Mincho" w:hint="cs"/>
          <w:rtl/>
        </w:rPr>
        <w:t xml:space="preserve">נוסח שונה מעט מובא בכתב יד </w:t>
      </w:r>
      <w:r>
        <w:rPr>
          <w:rFonts w:eastAsia="MS Mincho" w:hint="cs"/>
          <w:sz w:val="18"/>
          <w:szCs w:val="20"/>
          <w:rtl/>
        </w:rPr>
        <w:t>וטיקן 134, בשלהי מסכת מו"ק</w:t>
      </w:r>
      <w:r>
        <w:rPr>
          <w:rFonts w:eastAsia="MS Mincho" w:hint="cs"/>
          <w:rtl/>
        </w:rPr>
        <w:t>: "</w:t>
      </w:r>
      <w:r>
        <w:rPr>
          <w:rFonts w:eastAsia="MS Mincho"/>
          <w:rtl/>
        </w:rPr>
        <w:t>יהי רצון מלפניך יי' אלקינו שתהא תורתך אומנותינו בעולם הזה ולעולם הבא</w:t>
      </w:r>
      <w:r>
        <w:rPr>
          <w:rFonts w:eastAsia="MS Mincho" w:hint="cs"/>
          <w:rtl/>
        </w:rPr>
        <w:t>".</w:t>
      </w:r>
    </w:p>
  </w:footnote>
  <w:footnote w:id="248">
    <w:p w14:paraId="5A5C7CA4" w14:textId="77777777" w:rsidR="00273399" w:rsidRDefault="00273399" w:rsidP="00273399">
      <w:pPr>
        <w:pStyle w:val="a5"/>
        <w:rPr>
          <w:rFonts w:hint="cs"/>
          <w:sz w:val="18"/>
          <w:szCs w:val="20"/>
          <w:rtl/>
        </w:rPr>
      </w:pPr>
      <w:r>
        <w:rPr>
          <w:rStyle w:val="a4"/>
          <w:rtl/>
        </w:rPr>
        <w:footnoteRef/>
      </w:r>
      <w:r>
        <w:rPr>
          <w:szCs w:val="22"/>
        </w:rPr>
        <w:t xml:space="preserve"> </w:t>
      </w:r>
      <w:r>
        <w:rPr>
          <w:rFonts w:hint="cs"/>
          <w:rtl/>
        </w:rPr>
        <w:t xml:space="preserve">מקור תפלה זו בספר הרקח </w:t>
      </w:r>
      <w:r>
        <w:rPr>
          <w:rFonts w:hint="cs"/>
          <w:sz w:val="18"/>
          <w:szCs w:val="20"/>
          <w:rtl/>
        </w:rPr>
        <w:t>סימן רצ"ו</w:t>
      </w:r>
      <w:r>
        <w:rPr>
          <w:rFonts w:hint="cs"/>
          <w:rtl/>
        </w:rPr>
        <w:t xml:space="preserve">, ושם נדפס מלא: "אומנותי". בחלק מן הסידורים מודפס "תורה תהא </w:t>
      </w:r>
      <w:r>
        <w:rPr>
          <w:rFonts w:eastAsia="MS Mincho"/>
          <w:rtl/>
        </w:rPr>
        <w:t>אֱמוּנָתִי</w:t>
      </w:r>
      <w:r>
        <w:rPr>
          <w:rFonts w:hint="cs"/>
          <w:rtl/>
        </w:rPr>
        <w:t>". יתכן ששינוי זה נוצר על מנת שיתאים גם לבָנות (</w:t>
      </w:r>
      <w:r>
        <w:rPr>
          <w:rFonts w:hint="cs"/>
          <w:sz w:val="18"/>
          <w:szCs w:val="20"/>
          <w:rtl/>
        </w:rPr>
        <w:t>ר' ישכר תמר, עלי תמר,</w:t>
      </w:r>
      <w:r>
        <w:rPr>
          <w:sz w:val="18"/>
          <w:szCs w:val="20"/>
          <w:rtl/>
        </w:rPr>
        <w:t xml:space="preserve"> </w:t>
      </w:r>
      <w:r>
        <w:rPr>
          <w:rFonts w:hint="cs"/>
          <w:sz w:val="18"/>
          <w:szCs w:val="20"/>
          <w:rtl/>
        </w:rPr>
        <w:t xml:space="preserve">מסכת סוכות עמ' קכו, מספר שבאירופה לפני השואה היה נהוג לומר פסוקים אלו גם עם הקטנות, ובנוסח "תורה תהא </w:t>
      </w:r>
      <w:r>
        <w:rPr>
          <w:rFonts w:hint="cs"/>
          <w:b/>
          <w:bCs/>
          <w:sz w:val="18"/>
          <w:szCs w:val="20"/>
          <w:rtl/>
        </w:rPr>
        <w:t>באמונתי</w:t>
      </w:r>
      <w:r>
        <w:rPr>
          <w:rFonts w:hint="cs"/>
          <w:sz w:val="18"/>
          <w:szCs w:val="20"/>
          <w:rtl/>
        </w:rPr>
        <w:t>"</w:t>
      </w:r>
      <w:r>
        <w:rPr>
          <w:rFonts w:hint="cs"/>
          <w:rtl/>
        </w:rPr>
        <w:t>), ויתכן שנוצר בטעות (</w:t>
      </w:r>
      <w:r>
        <w:rPr>
          <w:rFonts w:hint="cs"/>
          <w:sz w:val="18"/>
          <w:szCs w:val="20"/>
          <w:rtl/>
        </w:rPr>
        <w:t xml:space="preserve">אולי הקש מ"רבה </w:t>
      </w:r>
      <w:r>
        <w:rPr>
          <w:sz w:val="18"/>
          <w:szCs w:val="20"/>
          <w:rtl/>
        </w:rPr>
        <w:t>אֱמוּנָ</w:t>
      </w:r>
      <w:r>
        <w:rPr>
          <w:rFonts w:hint="cs"/>
          <w:sz w:val="18"/>
          <w:szCs w:val="20"/>
          <w:rtl/>
        </w:rPr>
        <w:t>תך" הקודם לו</w:t>
      </w:r>
      <w:r>
        <w:rPr>
          <w:rFonts w:hint="cs"/>
          <w:rtl/>
        </w:rPr>
        <w:t xml:space="preserve">). </w:t>
      </w:r>
      <w:r>
        <w:rPr>
          <w:rFonts w:hint="cs"/>
          <w:sz w:val="18"/>
          <w:szCs w:val="20"/>
          <w:rtl/>
        </w:rPr>
        <w:t xml:space="preserve">ראה: קצירת האומ"ר לר"ד יצחקי בספר </w:t>
      </w:r>
      <w:r>
        <w:rPr>
          <w:sz w:val="18"/>
          <w:szCs w:val="20"/>
          <w:rtl/>
        </w:rPr>
        <w:t xml:space="preserve">לוח </w:t>
      </w:r>
      <w:r>
        <w:rPr>
          <w:rFonts w:hint="cs"/>
          <w:sz w:val="18"/>
          <w:szCs w:val="20"/>
          <w:rtl/>
        </w:rPr>
        <w:t>א</w:t>
      </w:r>
      <w:r>
        <w:rPr>
          <w:sz w:val="18"/>
          <w:szCs w:val="20"/>
          <w:rtl/>
        </w:rPr>
        <w:t>רש</w:t>
      </w:r>
      <w:r>
        <w:rPr>
          <w:rFonts w:hint="cs"/>
          <w:sz w:val="18"/>
          <w:szCs w:val="20"/>
          <w:rtl/>
        </w:rPr>
        <w:t>ׁ, תשס"א, עמ' תנ"ה.</w:t>
      </w:r>
    </w:p>
  </w:footnote>
  <w:footnote w:id="249">
    <w:p w14:paraId="29267419" w14:textId="77777777" w:rsidR="00273399" w:rsidRDefault="00273399" w:rsidP="00273399">
      <w:pPr>
        <w:pStyle w:val="a5"/>
        <w:rPr>
          <w:rFonts w:hint="cs"/>
          <w:rtl/>
        </w:rPr>
      </w:pPr>
      <w:r>
        <w:rPr>
          <w:rStyle w:val="a4"/>
          <w:rtl/>
        </w:rPr>
        <w:footnoteRef/>
      </w:r>
      <w:r>
        <w:rPr>
          <w:szCs w:val="22"/>
        </w:rPr>
        <w:t xml:space="preserve"> </w:t>
      </w:r>
      <w:r>
        <w:rPr>
          <w:rFonts w:eastAsia="MS Mincho" w:hint="cs"/>
          <w:rtl/>
        </w:rPr>
        <w:t>השוה לנוסח תחנון המובא ב</w:t>
      </w:r>
      <w:r>
        <w:rPr>
          <w:rFonts w:eastAsia="MS Mincho"/>
          <w:rtl/>
        </w:rPr>
        <w:t xml:space="preserve">סדר רב עמרם גאון </w:t>
      </w:r>
      <w:r>
        <w:rPr>
          <w:rFonts w:eastAsia="MS Mincho" w:hint="cs"/>
          <w:rtl/>
        </w:rPr>
        <w:t>(</w:t>
      </w:r>
      <w:r>
        <w:rPr>
          <w:rFonts w:eastAsia="MS Mincho"/>
          <w:sz w:val="18"/>
          <w:szCs w:val="20"/>
          <w:rtl/>
        </w:rPr>
        <w:t>נפילת אפים</w:t>
      </w:r>
      <w:r>
        <w:rPr>
          <w:rFonts w:eastAsia="MS Mincho" w:hint="cs"/>
          <w:rtl/>
        </w:rPr>
        <w:t>): "</w:t>
      </w:r>
      <w:r>
        <w:rPr>
          <w:rFonts w:eastAsia="MS Mincho"/>
          <w:rtl/>
        </w:rPr>
        <w:t>ונופלין צבור על פניהם ומבקשים רחמים ושואל כל אחד ואחד בקשתו, ואומר</w:t>
      </w:r>
      <w:r>
        <w:rPr>
          <w:rFonts w:eastAsia="MS Mincho" w:hint="cs"/>
          <w:rtl/>
        </w:rPr>
        <w:t xml:space="preserve">... </w:t>
      </w:r>
      <w:r>
        <w:rPr>
          <w:rFonts w:eastAsia="MS Mincho"/>
          <w:rtl/>
        </w:rPr>
        <w:t xml:space="preserve">רבון כל העולמים יהי רצון מלפניך </w:t>
      </w:r>
      <w:r>
        <w:rPr>
          <w:rFonts w:eastAsia="MS Mincho"/>
          <w:b/>
          <w:bCs/>
          <w:rtl/>
        </w:rPr>
        <w:t>שתהא תורתך</w:t>
      </w:r>
      <w:r>
        <w:rPr>
          <w:rFonts w:eastAsia="MS Mincho" w:hint="cs"/>
          <w:b/>
          <w:bCs/>
          <w:rtl/>
        </w:rPr>
        <w:t xml:space="preserve"> </w:t>
      </w:r>
      <w:r>
        <w:rPr>
          <w:rFonts w:eastAsia="MS Mincho"/>
          <w:b/>
          <w:bCs/>
          <w:rtl/>
        </w:rPr>
        <w:t>אומנותי ומלאכתי</w:t>
      </w:r>
      <w:r>
        <w:rPr>
          <w:rFonts w:eastAsia="MS Mincho"/>
          <w:rtl/>
        </w:rPr>
        <w:t xml:space="preserve"> בכל יום ולא אש</w:t>
      </w:r>
      <w:r>
        <w:rPr>
          <w:rFonts w:eastAsia="MS Mincho"/>
          <w:b/>
          <w:bCs/>
          <w:rtl/>
        </w:rPr>
        <w:t>ג</w:t>
      </w:r>
      <w:r>
        <w:rPr>
          <w:rFonts w:eastAsia="MS Mincho"/>
          <w:rtl/>
        </w:rPr>
        <w:t>ה בה, ואל תצריכני למתנת בשר ודם שמתנתן מעוטה וחרפתם מרובה</w:t>
      </w:r>
      <w:r>
        <w:rPr>
          <w:rFonts w:eastAsia="MS Mincho" w:hint="cs"/>
          <w:rtl/>
        </w:rPr>
        <w:t>"</w:t>
      </w:r>
      <w:r>
        <w:rPr>
          <w:rFonts w:eastAsia="MS Mincho"/>
          <w:rtl/>
        </w:rPr>
        <w:t xml:space="preserve">. </w:t>
      </w:r>
      <w:r>
        <w:rPr>
          <w:rFonts w:eastAsia="MS Mincho" w:hint="cs"/>
          <w:rtl/>
        </w:rPr>
        <w:t>כיו"ב מובא ב</w:t>
      </w:r>
      <w:r>
        <w:rPr>
          <w:rFonts w:eastAsia="MS Mincho"/>
          <w:rtl/>
        </w:rPr>
        <w:t xml:space="preserve">מחזור ויטרי </w:t>
      </w:r>
      <w:r>
        <w:rPr>
          <w:rFonts w:eastAsia="MS Mincho" w:hint="cs"/>
          <w:rtl/>
        </w:rPr>
        <w:t>(</w:t>
      </w:r>
      <w:r>
        <w:rPr>
          <w:rFonts w:eastAsia="MS Mincho"/>
          <w:sz w:val="18"/>
          <w:szCs w:val="20"/>
          <w:rtl/>
        </w:rPr>
        <w:t>סימן צ</w:t>
      </w:r>
      <w:r>
        <w:rPr>
          <w:rFonts w:eastAsia="MS Mincho" w:hint="cs"/>
          <w:sz w:val="18"/>
          <w:szCs w:val="20"/>
          <w:rtl/>
        </w:rPr>
        <w:t>"</w:t>
      </w:r>
      <w:r>
        <w:rPr>
          <w:rFonts w:eastAsia="MS Mincho"/>
          <w:sz w:val="18"/>
          <w:szCs w:val="20"/>
          <w:rtl/>
        </w:rPr>
        <w:t>ט</w:t>
      </w:r>
      <w:r>
        <w:rPr>
          <w:rFonts w:eastAsia="MS Mincho" w:hint="cs"/>
          <w:rtl/>
        </w:rPr>
        <w:t>)</w:t>
      </w:r>
      <w:r>
        <w:rPr>
          <w:rFonts w:eastAsia="MS Mincho"/>
          <w:rtl/>
        </w:rPr>
        <w:t xml:space="preserve"> </w:t>
      </w:r>
      <w:r>
        <w:rPr>
          <w:rFonts w:eastAsia="MS Mincho" w:hint="cs"/>
          <w:rtl/>
        </w:rPr>
        <w:t>"</w:t>
      </w:r>
      <w:r>
        <w:rPr>
          <w:rFonts w:eastAsia="MS Mincho"/>
          <w:rtl/>
        </w:rPr>
        <w:t>שתהא תורתך אומנותי</w:t>
      </w:r>
      <w:r>
        <w:rPr>
          <w:rFonts w:eastAsia="MS Mincho" w:hint="cs"/>
          <w:rtl/>
        </w:rPr>
        <w:t xml:space="preserve"> [</w:t>
      </w:r>
      <w:r>
        <w:rPr>
          <w:rFonts w:eastAsia="MS Mincho"/>
          <w:rtl/>
        </w:rPr>
        <w:t>ומלאכתי בכל יום</w:t>
      </w:r>
      <w:r>
        <w:rPr>
          <w:rFonts w:eastAsia="MS Mincho" w:hint="cs"/>
          <w:rtl/>
        </w:rPr>
        <w:t>]</w:t>
      </w:r>
      <w:r>
        <w:rPr>
          <w:rFonts w:eastAsia="MS Mincho"/>
          <w:rtl/>
        </w:rPr>
        <w:t xml:space="preserve"> ולא אש</w:t>
      </w:r>
      <w:r>
        <w:rPr>
          <w:rFonts w:eastAsia="MS Mincho"/>
          <w:b/>
          <w:bCs/>
          <w:rtl/>
        </w:rPr>
        <w:t>נ</w:t>
      </w:r>
      <w:r>
        <w:rPr>
          <w:rFonts w:eastAsia="MS Mincho"/>
          <w:rtl/>
        </w:rPr>
        <w:t>ה בה</w:t>
      </w:r>
      <w:r>
        <w:rPr>
          <w:rFonts w:eastAsia="MS Mincho" w:hint="cs"/>
          <w:rtl/>
        </w:rPr>
        <w:t>" [המוסגר הוא הנוסח המופיע ב</w:t>
      </w:r>
      <w:r>
        <w:rPr>
          <w:rFonts w:eastAsia="MS Mincho"/>
          <w:rtl/>
        </w:rPr>
        <w:t xml:space="preserve">סידור </w:t>
      </w:r>
      <w:r>
        <w:rPr>
          <w:rFonts w:eastAsia="MS Mincho" w:hint="cs"/>
          <w:rtl/>
        </w:rPr>
        <w:t>ה</w:t>
      </w:r>
      <w:r>
        <w:rPr>
          <w:rFonts w:eastAsia="MS Mincho"/>
          <w:rtl/>
        </w:rPr>
        <w:t>רקח</w:t>
      </w:r>
      <w:r>
        <w:rPr>
          <w:rFonts w:eastAsia="MS Mincho" w:hint="cs"/>
          <w:sz w:val="18"/>
          <w:szCs w:val="20"/>
          <w:rtl/>
        </w:rPr>
        <w:t xml:space="preserve">, </w:t>
      </w:r>
      <w:r>
        <w:rPr>
          <w:rFonts w:eastAsia="MS Mincho"/>
          <w:sz w:val="18"/>
          <w:szCs w:val="20"/>
          <w:rtl/>
        </w:rPr>
        <w:t>ע</w:t>
      </w:r>
      <w:r>
        <w:rPr>
          <w:rFonts w:eastAsia="MS Mincho" w:hint="cs"/>
          <w:sz w:val="18"/>
          <w:szCs w:val="20"/>
          <w:rtl/>
        </w:rPr>
        <w:t>"</w:t>
      </w:r>
      <w:r>
        <w:rPr>
          <w:rFonts w:eastAsia="MS Mincho"/>
          <w:sz w:val="18"/>
          <w:szCs w:val="20"/>
          <w:rtl/>
        </w:rPr>
        <w:t>ב</w:t>
      </w:r>
      <w:r>
        <w:rPr>
          <w:rFonts w:eastAsia="MS Mincho" w:hint="cs"/>
          <w:sz w:val="18"/>
          <w:szCs w:val="20"/>
          <w:rtl/>
        </w:rPr>
        <w:t xml:space="preserve">, </w:t>
      </w:r>
      <w:r>
        <w:rPr>
          <w:rFonts w:eastAsia="MS Mincho"/>
          <w:sz w:val="18"/>
          <w:szCs w:val="20"/>
          <w:rtl/>
        </w:rPr>
        <w:t>עמוד ת</w:t>
      </w:r>
      <w:r>
        <w:rPr>
          <w:rFonts w:eastAsia="MS Mincho" w:hint="cs"/>
          <w:sz w:val="18"/>
          <w:szCs w:val="20"/>
          <w:rtl/>
        </w:rPr>
        <w:t>"</w:t>
      </w:r>
      <w:r>
        <w:rPr>
          <w:rFonts w:eastAsia="MS Mincho"/>
          <w:sz w:val="18"/>
          <w:szCs w:val="20"/>
          <w:rtl/>
        </w:rPr>
        <w:t>ה</w:t>
      </w:r>
      <w:r>
        <w:rPr>
          <w:rFonts w:eastAsia="MS Mincho" w:hint="cs"/>
          <w:rtl/>
        </w:rPr>
        <w:t>]. ואולי יש להגיה כבסרע"ג: "</w:t>
      </w:r>
      <w:r>
        <w:rPr>
          <w:rFonts w:eastAsia="MS Mincho"/>
          <w:rtl/>
        </w:rPr>
        <w:t>ולא אשגה</w:t>
      </w:r>
      <w:r>
        <w:rPr>
          <w:rFonts w:eastAsia="MS Mincho" w:hint="cs"/>
          <w:rtl/>
        </w:rPr>
        <w:t>".</w:t>
      </w:r>
    </w:p>
  </w:footnote>
  <w:footnote w:id="250">
    <w:p w14:paraId="4340B8BA" w14:textId="77777777" w:rsidR="00273399" w:rsidRDefault="00273399" w:rsidP="00273399">
      <w:pPr>
        <w:pStyle w:val="a5"/>
        <w:rPr>
          <w:rFonts w:hint="cs"/>
          <w:rtl/>
        </w:rPr>
      </w:pPr>
      <w:r>
        <w:rPr>
          <w:rStyle w:val="a4"/>
          <w:rtl/>
        </w:rPr>
        <w:footnoteRef/>
      </w:r>
      <w:r>
        <w:rPr>
          <w:szCs w:val="22"/>
        </w:rPr>
        <w:t xml:space="preserve"> </w:t>
      </w:r>
      <w:r>
        <w:rPr>
          <w:rFonts w:hint="cs"/>
          <w:rtl/>
        </w:rPr>
        <w:t xml:space="preserve">יש משנים ללשון רבים. </w:t>
      </w:r>
      <w:r>
        <w:rPr>
          <w:rFonts w:hint="cs"/>
          <w:sz w:val="18"/>
          <w:szCs w:val="20"/>
          <w:rtl/>
        </w:rPr>
        <w:t>ראה: קצירת האומ"ר שם, עמ' תנ"ה-תנ"ז</w:t>
      </w:r>
      <w:r>
        <w:rPr>
          <w:rFonts w:hint="cs"/>
          <w:rtl/>
        </w:rPr>
        <w:t>.</w:t>
      </w:r>
    </w:p>
  </w:footnote>
  <w:footnote w:id="251">
    <w:p w14:paraId="24FB82A7" w14:textId="77777777" w:rsidR="00273399" w:rsidRDefault="00273399" w:rsidP="00273399">
      <w:pPr>
        <w:pStyle w:val="a5"/>
        <w:rPr>
          <w:rFonts w:hint="cs"/>
          <w:rtl/>
        </w:rPr>
      </w:pPr>
      <w:r>
        <w:rPr>
          <w:rStyle w:val="a4"/>
          <w:rtl/>
        </w:rPr>
        <w:footnoteRef/>
      </w:r>
      <w:r>
        <w:rPr>
          <w:szCs w:val="22"/>
        </w:rPr>
        <w:t xml:space="preserve"> </w:t>
      </w:r>
      <w:r>
        <w:rPr>
          <w:sz w:val="26"/>
          <w:rtl/>
        </w:rPr>
        <w:t>הלכות תפילה</w:t>
      </w:r>
      <w:r>
        <w:rPr>
          <w:rFonts w:hint="cs"/>
          <w:sz w:val="26"/>
          <w:rtl/>
        </w:rPr>
        <w:t xml:space="preserve">, </w:t>
      </w:r>
      <w:r>
        <w:rPr>
          <w:sz w:val="26"/>
          <w:rtl/>
        </w:rPr>
        <w:t>פרק י</w:t>
      </w:r>
      <w:r>
        <w:rPr>
          <w:rFonts w:hint="cs"/>
          <w:sz w:val="26"/>
          <w:rtl/>
        </w:rPr>
        <w:t>"</w:t>
      </w:r>
      <w:r>
        <w:rPr>
          <w:sz w:val="26"/>
          <w:rtl/>
        </w:rPr>
        <w:t>ב ה</w:t>
      </w:r>
      <w:r>
        <w:rPr>
          <w:rFonts w:hint="cs"/>
          <w:sz w:val="26"/>
          <w:rtl/>
        </w:rPr>
        <w:t>"</w:t>
      </w:r>
      <w:r>
        <w:rPr>
          <w:sz w:val="26"/>
          <w:rtl/>
        </w:rPr>
        <w:t>ט</w:t>
      </w:r>
      <w:r>
        <w:rPr>
          <w:rFonts w:hint="cs"/>
          <w:sz w:val="26"/>
          <w:rtl/>
        </w:rPr>
        <w:t>. צ"ע בהשוואה להגדרתו את "תורתו אמונתו" לעיל. יש לציין כי אלו הן שתי ההלכות היחידות שהרמב"ם מזכיר מושג זה.</w:t>
      </w:r>
    </w:p>
  </w:footnote>
  <w:footnote w:id="252">
    <w:p w14:paraId="5FCFF44B" w14:textId="77777777" w:rsidR="00273399" w:rsidRDefault="00273399" w:rsidP="00273399">
      <w:pPr>
        <w:pStyle w:val="a5"/>
        <w:rPr>
          <w:rFonts w:hint="cs"/>
          <w:rtl/>
        </w:rPr>
      </w:pPr>
      <w:r>
        <w:rPr>
          <w:rStyle w:val="a4"/>
        </w:rPr>
        <w:footnoteRef/>
      </w:r>
      <w:r>
        <w:rPr>
          <w:rFonts w:hint="cs"/>
          <w:rtl/>
        </w:rPr>
        <w:t xml:space="preserve"> כנ"ל (</w:t>
      </w:r>
      <w:r>
        <w:rPr>
          <w:rFonts w:hint="cs"/>
          <w:sz w:val="18"/>
          <w:szCs w:val="20"/>
          <w:rtl/>
        </w:rPr>
        <w:t>הערה 30</w:t>
      </w:r>
      <w:r>
        <w:rPr>
          <w:rFonts w:hint="cs"/>
          <w:rtl/>
        </w:rPr>
        <w:t>) אין לתמוה על שרמב"ם כָלל בספרו הלכות שאין אפשרות ליישמן למעשה בזמננו.</w:t>
      </w:r>
    </w:p>
  </w:footnote>
  <w:footnote w:id="253">
    <w:p w14:paraId="47DBC0DB" w14:textId="77777777" w:rsidR="00273399" w:rsidRDefault="00273399" w:rsidP="00273399">
      <w:pPr>
        <w:pStyle w:val="a5"/>
        <w:rPr>
          <w:rFonts w:hint="cs"/>
          <w:rtl/>
        </w:rPr>
      </w:pPr>
      <w:r>
        <w:rPr>
          <w:rStyle w:val="a4"/>
        </w:rPr>
        <w:footnoteRef/>
      </w:r>
      <w:r>
        <w:rPr>
          <w:rFonts w:hint="cs"/>
          <w:rtl/>
        </w:rPr>
        <w:t xml:space="preserve"> האם זוהי ממש "מצוה" או רק מצוה מן המובחר, והאם המצוה היא לרחוץ כל הגוף במים "חמים" (ומהי דרגת חומם), יעויין בברכי יוסף לחיד"א ובאשל אברהם (מבוצ'אץ') ובביאור הלכה</w:t>
      </w:r>
      <w:r>
        <w:rPr>
          <w:rFonts w:hint="cs"/>
          <w:sz w:val="18"/>
          <w:szCs w:val="20"/>
          <w:rtl/>
        </w:rPr>
        <w:t xml:space="preserve"> בריש סימן זה, </w:t>
      </w:r>
      <w:r>
        <w:rPr>
          <w:rFonts w:hint="cs"/>
          <w:rtl/>
        </w:rPr>
        <w:t>ב</w:t>
      </w:r>
      <w:r>
        <w:rPr>
          <w:rtl/>
        </w:rPr>
        <w:t>שו"ת דברי יציב</w:t>
      </w:r>
      <w:r>
        <w:rPr>
          <w:rFonts w:hint="cs"/>
          <w:sz w:val="18"/>
          <w:szCs w:val="20"/>
          <w:rtl/>
        </w:rPr>
        <w:t xml:space="preserve">, </w:t>
      </w:r>
      <w:r>
        <w:rPr>
          <w:sz w:val="18"/>
          <w:szCs w:val="20"/>
          <w:rtl/>
        </w:rPr>
        <w:t>או"ח</w:t>
      </w:r>
      <w:r>
        <w:rPr>
          <w:rFonts w:hint="cs"/>
          <w:sz w:val="18"/>
          <w:szCs w:val="20"/>
          <w:rtl/>
        </w:rPr>
        <w:t>,</w:t>
      </w:r>
      <w:r>
        <w:rPr>
          <w:sz w:val="18"/>
          <w:szCs w:val="20"/>
          <w:rtl/>
        </w:rPr>
        <w:t xml:space="preserve"> סימן רל</w:t>
      </w:r>
      <w:r>
        <w:rPr>
          <w:rFonts w:hint="cs"/>
          <w:sz w:val="18"/>
          <w:szCs w:val="20"/>
          <w:rtl/>
        </w:rPr>
        <w:t>"</w:t>
      </w:r>
      <w:r>
        <w:rPr>
          <w:sz w:val="18"/>
          <w:szCs w:val="20"/>
          <w:rtl/>
        </w:rPr>
        <w:t>ז</w:t>
      </w:r>
      <w:r>
        <w:rPr>
          <w:rFonts w:hint="cs"/>
          <w:sz w:val="18"/>
          <w:szCs w:val="20"/>
          <w:rtl/>
        </w:rPr>
        <w:t xml:space="preserve">, </w:t>
      </w:r>
      <w:r>
        <w:rPr>
          <w:rFonts w:hint="cs"/>
          <w:sz w:val="26"/>
          <w:rtl/>
        </w:rPr>
        <w:t>ובשמירת שבת כהלכתה</w:t>
      </w:r>
      <w:r>
        <w:rPr>
          <w:rFonts w:hint="cs"/>
          <w:sz w:val="18"/>
          <w:szCs w:val="20"/>
          <w:rtl/>
        </w:rPr>
        <w:t>, פרק מ"ב, סעיף מ"ה (מהדורת תשל"ט)</w:t>
      </w:r>
      <w:r>
        <w:rPr>
          <w:rFonts w:hint="cs"/>
          <w:rtl/>
        </w:rPr>
        <w:t>.</w:t>
      </w:r>
    </w:p>
  </w:footnote>
  <w:footnote w:id="254">
    <w:p w14:paraId="548262B4" w14:textId="77777777" w:rsidR="00273399" w:rsidRDefault="00273399" w:rsidP="00273399">
      <w:pPr>
        <w:pStyle w:val="a5"/>
        <w:rPr>
          <w:rFonts w:hint="cs"/>
          <w:rtl/>
        </w:rPr>
      </w:pPr>
      <w:r>
        <w:rPr>
          <w:rStyle w:val="a4"/>
          <w:rtl/>
        </w:rPr>
        <w:footnoteRef/>
      </w:r>
      <w:r>
        <w:rPr>
          <w:szCs w:val="22"/>
        </w:rPr>
        <w:t xml:space="preserve"> </w:t>
      </w:r>
      <w:r>
        <w:rPr>
          <w:rtl/>
        </w:rPr>
        <w:t>ו</w:t>
      </w:r>
      <w:r>
        <w:rPr>
          <w:rFonts w:hint="cs"/>
          <w:rtl/>
        </w:rPr>
        <w:t xml:space="preserve">מאמר זה שבפי </w:t>
      </w:r>
      <w:r>
        <w:rPr>
          <w:rtl/>
        </w:rPr>
        <w:t xml:space="preserve">רב </w:t>
      </w:r>
      <w:r>
        <w:rPr>
          <w:rFonts w:hint="cs"/>
          <w:rtl/>
        </w:rPr>
        <w:t>תואם את תוכחת רב</w:t>
      </w:r>
      <w:r>
        <w:rPr>
          <w:rtl/>
        </w:rPr>
        <w:t xml:space="preserve"> </w:t>
      </w:r>
      <w:r>
        <w:rPr>
          <w:rFonts w:hint="cs"/>
          <w:rtl/>
        </w:rPr>
        <w:t>ל</w:t>
      </w:r>
      <w:r>
        <w:rPr>
          <w:rtl/>
        </w:rPr>
        <w:t xml:space="preserve">רב כהנא </w:t>
      </w:r>
      <w:r>
        <w:rPr>
          <w:rFonts w:hint="cs"/>
          <w:rtl/>
        </w:rPr>
        <w:t>(</w:t>
      </w:r>
      <w:r>
        <w:rPr>
          <w:sz w:val="18"/>
          <w:szCs w:val="20"/>
          <w:rtl/>
        </w:rPr>
        <w:t>סנהדרין קי</w:t>
      </w:r>
      <w:r>
        <w:rPr>
          <w:rFonts w:hint="cs"/>
          <w:sz w:val="18"/>
          <w:szCs w:val="20"/>
          <w:rtl/>
        </w:rPr>
        <w:t xml:space="preserve">, </w:t>
      </w:r>
      <w:r>
        <w:rPr>
          <w:sz w:val="18"/>
          <w:szCs w:val="20"/>
          <w:rtl/>
        </w:rPr>
        <w:t>א</w:t>
      </w:r>
      <w:r>
        <w:rPr>
          <w:rFonts w:hint="cs"/>
          <w:rtl/>
        </w:rPr>
        <w:t>) על שחפ</w:t>
      </w:r>
      <w:r>
        <w:rPr>
          <w:rtl/>
        </w:rPr>
        <w:t xml:space="preserve">ף </w:t>
      </w:r>
      <w:r>
        <w:rPr>
          <w:rFonts w:hint="cs"/>
          <w:rtl/>
        </w:rPr>
        <w:t xml:space="preserve">את </w:t>
      </w:r>
      <w:r>
        <w:rPr>
          <w:rtl/>
        </w:rPr>
        <w:t>ר</w:t>
      </w:r>
      <w:r>
        <w:rPr>
          <w:rFonts w:hint="cs"/>
          <w:rtl/>
        </w:rPr>
        <w:t>א</w:t>
      </w:r>
      <w:r>
        <w:rPr>
          <w:rtl/>
        </w:rPr>
        <w:t>ש</w:t>
      </w:r>
      <w:r>
        <w:rPr>
          <w:rFonts w:hint="cs"/>
          <w:rtl/>
        </w:rPr>
        <w:t>ו</w:t>
      </w:r>
      <w:r>
        <w:rPr>
          <w:rtl/>
        </w:rPr>
        <w:t xml:space="preserve"> </w:t>
      </w:r>
      <w:r>
        <w:rPr>
          <w:rFonts w:hint="cs"/>
          <w:rtl/>
        </w:rPr>
        <w:t>"</w:t>
      </w:r>
      <w:r>
        <w:rPr>
          <w:rtl/>
        </w:rPr>
        <w:t>בשעה שהיה לו ללמוד תורה</w:t>
      </w:r>
      <w:r>
        <w:rPr>
          <w:rFonts w:hint="cs"/>
          <w:rtl/>
        </w:rPr>
        <w:t>" (</w:t>
      </w:r>
      <w:r>
        <w:rPr>
          <w:rFonts w:hint="cs"/>
          <w:sz w:val="18"/>
          <w:szCs w:val="20"/>
          <w:rtl/>
        </w:rPr>
        <w:t>"</w:t>
      </w:r>
      <w:r>
        <w:rPr>
          <w:sz w:val="18"/>
          <w:szCs w:val="20"/>
          <w:rtl/>
        </w:rPr>
        <w:t>רש"י</w:t>
      </w:r>
      <w:r>
        <w:rPr>
          <w:rFonts w:hint="cs"/>
          <w:sz w:val="18"/>
          <w:szCs w:val="20"/>
          <w:rtl/>
        </w:rPr>
        <w:t>" שם</w:t>
      </w:r>
      <w:r>
        <w:rPr>
          <w:rFonts w:hint="cs"/>
          <w:rtl/>
        </w:rPr>
        <w:t>), ואמר לו:</w:t>
      </w:r>
      <w:r>
        <w:rPr>
          <w:rtl/>
        </w:rPr>
        <w:t xml:space="preserve"> </w:t>
      </w:r>
      <w:r>
        <w:rPr>
          <w:rFonts w:hint="cs"/>
          <w:rtl/>
        </w:rPr>
        <w:t>"</w:t>
      </w:r>
      <w:r>
        <w:rPr>
          <w:rtl/>
        </w:rPr>
        <w:t>לא תמצא תורה במי שמְחַיֶּה עצמו עליה</w:t>
      </w:r>
      <w:r>
        <w:rPr>
          <w:rFonts w:hint="cs"/>
          <w:rtl/>
        </w:rPr>
        <w:t>".</w:t>
      </w:r>
    </w:p>
  </w:footnote>
  <w:footnote w:id="255">
    <w:p w14:paraId="291188BB" w14:textId="77777777" w:rsidR="00273399" w:rsidRDefault="00273399" w:rsidP="00273399">
      <w:pPr>
        <w:pStyle w:val="a5"/>
        <w:rPr>
          <w:rFonts w:hint="cs"/>
          <w:rtl/>
        </w:rPr>
      </w:pPr>
      <w:r>
        <w:rPr>
          <w:rStyle w:val="a4"/>
          <w:rtl/>
        </w:rPr>
        <w:footnoteRef/>
      </w:r>
      <w:r>
        <w:rPr>
          <w:szCs w:val="22"/>
        </w:rPr>
        <w:t xml:space="preserve"> </w:t>
      </w:r>
      <w:r>
        <w:rPr>
          <w:rFonts w:hint="cs"/>
          <w:sz w:val="26"/>
          <w:rtl/>
        </w:rPr>
        <w:t>עוד</w:t>
      </w:r>
      <w:r>
        <w:rPr>
          <w:rFonts w:hint="cs"/>
          <w:rtl/>
        </w:rPr>
        <w:t xml:space="preserve"> </w:t>
      </w:r>
      <w:r>
        <w:rPr>
          <w:rFonts w:hint="cs"/>
          <w:sz w:val="26"/>
          <w:rtl/>
        </w:rPr>
        <w:t>מובא שם</w:t>
      </w:r>
      <w:r>
        <w:rPr>
          <w:rFonts w:hint="cs"/>
          <w:rtl/>
        </w:rPr>
        <w:t xml:space="preserve"> ב</w:t>
      </w:r>
      <w:r>
        <w:rPr>
          <w:sz w:val="26"/>
          <w:rtl/>
        </w:rPr>
        <w:t>כתובות</w:t>
      </w:r>
      <w:r>
        <w:rPr>
          <w:rFonts w:hint="cs"/>
          <w:sz w:val="26"/>
          <w:rtl/>
        </w:rPr>
        <w:t>: "</w:t>
      </w:r>
      <w:r>
        <w:rPr>
          <w:sz w:val="26"/>
          <w:rtl/>
        </w:rPr>
        <w:t>אמרו עליו על רבי יהודה בר אילעאי, שהיה נוטל בד של הדס ומרקד לפני הכלה, ואומר: כלה נאה וחסודה</w:t>
      </w:r>
      <w:r>
        <w:rPr>
          <w:rFonts w:hint="cs"/>
          <w:sz w:val="26"/>
          <w:rtl/>
        </w:rPr>
        <w:t>"</w:t>
      </w:r>
      <w:r>
        <w:rPr>
          <w:sz w:val="26"/>
          <w:rtl/>
        </w:rPr>
        <w:t>.</w:t>
      </w:r>
    </w:p>
  </w:footnote>
  <w:footnote w:id="256">
    <w:p w14:paraId="20B732A5" w14:textId="77777777" w:rsidR="00273399" w:rsidRDefault="00273399" w:rsidP="00273399">
      <w:pPr>
        <w:pStyle w:val="a5"/>
        <w:rPr>
          <w:rFonts w:hint="cs"/>
          <w:sz w:val="32"/>
          <w:szCs w:val="30"/>
          <w:rtl/>
        </w:rPr>
      </w:pPr>
      <w:r>
        <w:rPr>
          <w:rStyle w:val="a4"/>
        </w:rPr>
        <w:footnoteRef/>
      </w:r>
      <w:r>
        <w:rPr>
          <w:rFonts w:hint="cs"/>
          <w:rtl/>
        </w:rPr>
        <w:t xml:space="preserve"> ו</w:t>
      </w:r>
      <w:r>
        <w:rPr>
          <w:rFonts w:hint="cs"/>
          <w:sz w:val="26"/>
          <w:rtl/>
        </w:rPr>
        <w:t>כן כתבו בחידושי הרא"ה ובנימוקי יוסף. ראה סיכום נושא זה ב"בירור הלכה" שבסוף מהדורת התלמוד של מכון הלכה ברורה.</w:t>
      </w:r>
    </w:p>
  </w:footnote>
  <w:footnote w:id="257">
    <w:p w14:paraId="2F1EAD13" w14:textId="77777777" w:rsidR="00273399" w:rsidRDefault="00273399" w:rsidP="00273399">
      <w:pPr>
        <w:pStyle w:val="a5"/>
        <w:rPr>
          <w:rFonts w:hint="cs"/>
          <w:rtl/>
        </w:rPr>
      </w:pPr>
      <w:r>
        <w:rPr>
          <w:rStyle w:val="a4"/>
        </w:rPr>
        <w:footnoteRef/>
      </w:r>
      <w:r>
        <w:rPr>
          <w:rFonts w:hint="cs"/>
          <w:rtl/>
        </w:rPr>
        <w:t xml:space="preserve"> בדרך כלל ישנו חידוש כלשהו (הלכתי או אחר) במעשה שמובא לצד הלכה. אך במעשה זה אודות רבי יהודה לא נוסף שום פרט שלא ידענו כבר מתחילת הברייתא. לפיכך נראה שהחידוש הוא בעובדה שכך נהג ר' יהודה, וכשתי האפשרויות שלהלן. אפשר גם לפרש (וכ"פ הרמב"ן שלהלן) שהחידוש הוא בעצם העובדה שמישהו נהג כהלכה זו, וקמ"ל שזוהי הלכה למעשה.</w:t>
      </w:r>
    </w:p>
  </w:footnote>
  <w:footnote w:id="258">
    <w:p w14:paraId="46E2702B" w14:textId="77777777" w:rsidR="00273399" w:rsidRDefault="00273399" w:rsidP="00273399">
      <w:pPr>
        <w:pStyle w:val="a5"/>
        <w:rPr>
          <w:rtl/>
        </w:rPr>
      </w:pPr>
      <w:r>
        <w:rPr>
          <w:rStyle w:val="a4"/>
          <w:rtl/>
        </w:rPr>
        <w:footnoteRef/>
      </w:r>
      <w:r>
        <w:rPr>
          <w:szCs w:val="22"/>
        </w:rPr>
        <w:t xml:space="preserve"> </w:t>
      </w:r>
      <w:r>
        <w:rPr>
          <w:rFonts w:hint="cs"/>
          <w:sz w:val="26"/>
          <w:rtl/>
        </w:rPr>
        <w:t>לשון ה</w:t>
      </w:r>
      <w:r>
        <w:rPr>
          <w:sz w:val="26"/>
          <w:rtl/>
        </w:rPr>
        <w:t>ש"ך</w:t>
      </w:r>
      <w:r>
        <w:rPr>
          <w:rFonts w:hint="cs"/>
          <w:sz w:val="26"/>
          <w:rtl/>
        </w:rPr>
        <w:t xml:space="preserve"> שם</w:t>
      </w:r>
      <w:r>
        <w:rPr>
          <w:sz w:val="30"/>
          <w:szCs w:val="28"/>
          <w:rtl/>
        </w:rPr>
        <w:t xml:space="preserve"> </w:t>
      </w:r>
      <w:r>
        <w:rPr>
          <w:sz w:val="26"/>
          <w:rtl/>
        </w:rPr>
        <w:t>סק</w:t>
      </w:r>
      <w:r>
        <w:rPr>
          <w:rFonts w:hint="cs"/>
          <w:sz w:val="26"/>
          <w:rtl/>
        </w:rPr>
        <w:t>"</w:t>
      </w:r>
      <w:r>
        <w:rPr>
          <w:sz w:val="26"/>
          <w:rtl/>
        </w:rPr>
        <w:t>א</w:t>
      </w:r>
      <w:r>
        <w:rPr>
          <w:rFonts w:hint="cs"/>
          <w:sz w:val="26"/>
          <w:rtl/>
        </w:rPr>
        <w:t>: "</w:t>
      </w:r>
      <w:r>
        <w:rPr>
          <w:sz w:val="26"/>
          <w:rtl/>
        </w:rPr>
        <w:t>כן הסכימו הפוסקים</w:t>
      </w:r>
      <w:r>
        <w:rPr>
          <w:rFonts w:hint="cs"/>
          <w:sz w:val="26"/>
          <w:rtl/>
        </w:rPr>
        <w:t>".</w:t>
      </w:r>
    </w:p>
  </w:footnote>
  <w:footnote w:id="259">
    <w:p w14:paraId="77F5F949" w14:textId="77777777" w:rsidR="00273399" w:rsidRDefault="00273399" w:rsidP="00273399">
      <w:pPr>
        <w:pStyle w:val="a5"/>
        <w:rPr>
          <w:rFonts w:hint="cs"/>
          <w:rtl/>
        </w:rPr>
      </w:pPr>
      <w:r>
        <w:rPr>
          <w:rStyle w:val="a4"/>
          <w:rtl/>
        </w:rPr>
        <w:footnoteRef/>
      </w:r>
      <w:r>
        <w:rPr>
          <w:szCs w:val="22"/>
        </w:rPr>
        <w:t xml:space="preserve"> </w:t>
      </w:r>
      <w:r>
        <w:rPr>
          <w:rFonts w:hint="cs"/>
          <w:rtl/>
        </w:rPr>
        <w:t>בחידושיו ל</w:t>
      </w:r>
      <w:r>
        <w:rPr>
          <w:rtl/>
        </w:rPr>
        <w:t>כתובות</w:t>
      </w:r>
      <w:r>
        <w:rPr>
          <w:rFonts w:hint="cs"/>
          <w:rtl/>
        </w:rPr>
        <w:t xml:space="preserve">, </w:t>
      </w:r>
      <w:r>
        <w:rPr>
          <w:rFonts w:hint="cs"/>
          <w:sz w:val="18"/>
          <w:szCs w:val="20"/>
          <w:rtl/>
        </w:rPr>
        <w:t>על פי מהדורת זכרון יעקב, תשס"ב, המובאת בפרויקט השו"ת</w:t>
      </w:r>
      <w:r>
        <w:rPr>
          <w:rFonts w:hint="cs"/>
          <w:rtl/>
        </w:rPr>
        <w:t xml:space="preserve">. </w:t>
      </w:r>
    </w:p>
  </w:footnote>
  <w:footnote w:id="260">
    <w:p w14:paraId="3269534A" w14:textId="77777777" w:rsidR="00273399" w:rsidRDefault="00273399" w:rsidP="00273399">
      <w:pPr>
        <w:pStyle w:val="a5"/>
        <w:rPr>
          <w:rFonts w:hint="cs"/>
          <w:rtl/>
        </w:rPr>
      </w:pPr>
      <w:r>
        <w:rPr>
          <w:rStyle w:val="a4"/>
          <w:rtl/>
        </w:rPr>
        <w:footnoteRef/>
      </w:r>
      <w:r>
        <w:rPr>
          <w:szCs w:val="22"/>
        </w:rPr>
        <w:t xml:space="preserve"> </w:t>
      </w:r>
      <w:r>
        <w:rPr>
          <w:rFonts w:hint="cs"/>
          <w:sz w:val="26"/>
          <w:rtl/>
        </w:rPr>
        <w:t xml:space="preserve">שם. את האות </w:t>
      </w:r>
      <w:r>
        <w:rPr>
          <w:rFonts w:hint="cs"/>
          <w:rtl/>
        </w:rPr>
        <w:t>ד' לפני "</w:t>
      </w:r>
      <w:r>
        <w:rPr>
          <w:rtl/>
        </w:rPr>
        <w:t>מייתי</w:t>
      </w:r>
      <w:r>
        <w:rPr>
          <w:rFonts w:hint="cs"/>
          <w:rtl/>
        </w:rPr>
        <w:t>" הוספתי למען ירוץ הקורא בו.</w:t>
      </w:r>
    </w:p>
  </w:footnote>
  <w:footnote w:id="261">
    <w:p w14:paraId="0DAD1BC5" w14:textId="77777777" w:rsidR="00273399" w:rsidRDefault="00273399" w:rsidP="00273399">
      <w:pPr>
        <w:pStyle w:val="a5"/>
        <w:rPr>
          <w:rFonts w:hint="cs"/>
          <w:rtl/>
        </w:rPr>
      </w:pPr>
      <w:r>
        <w:rPr>
          <w:rStyle w:val="a4"/>
          <w:rtl/>
        </w:rPr>
        <w:footnoteRef/>
      </w:r>
      <w:r>
        <w:rPr>
          <w:szCs w:val="22"/>
        </w:rPr>
        <w:t xml:space="preserve"> </w:t>
      </w:r>
      <w:r>
        <w:rPr>
          <w:rFonts w:hint="cs"/>
          <w:rtl/>
        </w:rPr>
        <w:t>"</w:t>
      </w:r>
      <w:r>
        <w:rPr>
          <w:rtl/>
        </w:rPr>
        <w:t>יִרְאַת ה' הִיא תִתְהַלָּל</w:t>
      </w:r>
      <w:r>
        <w:rPr>
          <w:rFonts w:hint="cs"/>
          <w:rtl/>
        </w:rPr>
        <w:t xml:space="preserve"> (</w:t>
      </w:r>
      <w:r>
        <w:rPr>
          <w:sz w:val="18"/>
          <w:szCs w:val="20"/>
          <w:rtl/>
        </w:rPr>
        <w:t>משלי לא</w:t>
      </w:r>
      <w:r>
        <w:rPr>
          <w:rFonts w:hint="cs"/>
          <w:sz w:val="18"/>
          <w:szCs w:val="20"/>
          <w:rtl/>
        </w:rPr>
        <w:t xml:space="preserve">, </w:t>
      </w:r>
      <w:r>
        <w:rPr>
          <w:sz w:val="18"/>
          <w:szCs w:val="20"/>
          <w:rtl/>
        </w:rPr>
        <w:t>ל</w:t>
      </w:r>
      <w:r>
        <w:rPr>
          <w:rFonts w:hint="cs"/>
          <w:rtl/>
        </w:rPr>
        <w:t xml:space="preserve">) </w:t>
      </w:r>
      <w:r>
        <w:rPr>
          <w:rtl/>
        </w:rPr>
        <w:t>- זה דורו של רבי יהודה ברבי אילעאי. אמרו עליו על רבי יהודה ברבי אילעאי שהיו ש</w:t>
      </w:r>
      <w:r>
        <w:rPr>
          <w:rFonts w:hint="cs"/>
          <w:rtl/>
        </w:rPr>
        <w:t>ִ</w:t>
      </w:r>
      <w:r>
        <w:rPr>
          <w:rtl/>
        </w:rPr>
        <w:t xml:space="preserve">שה תלמידים מתכסין בטלית אחת </w:t>
      </w:r>
      <w:r>
        <w:rPr>
          <w:rFonts w:hint="cs"/>
          <w:rtl/>
        </w:rPr>
        <w:t>(</w:t>
      </w:r>
      <w:r>
        <w:rPr>
          <w:rFonts w:hint="cs"/>
          <w:sz w:val="18"/>
          <w:szCs w:val="20"/>
          <w:rtl/>
        </w:rPr>
        <w:t>"</w:t>
      </w:r>
      <w:r>
        <w:rPr>
          <w:sz w:val="18"/>
          <w:szCs w:val="20"/>
          <w:rtl/>
        </w:rPr>
        <w:t>עניים היו</w:t>
      </w:r>
      <w:r>
        <w:rPr>
          <w:rFonts w:hint="cs"/>
          <w:sz w:val="18"/>
          <w:szCs w:val="20"/>
          <w:rtl/>
        </w:rPr>
        <w:t xml:space="preserve">", </w:t>
      </w:r>
      <w:r>
        <w:rPr>
          <w:sz w:val="18"/>
          <w:szCs w:val="20"/>
          <w:rtl/>
        </w:rPr>
        <w:t>רש"י</w:t>
      </w:r>
      <w:r>
        <w:rPr>
          <w:rFonts w:hint="cs"/>
          <w:rtl/>
        </w:rPr>
        <w:t xml:space="preserve">) </w:t>
      </w:r>
      <w:r>
        <w:rPr>
          <w:rtl/>
        </w:rPr>
        <w:t>ועוסקין בתורה</w:t>
      </w:r>
      <w:r>
        <w:rPr>
          <w:rFonts w:hint="cs"/>
          <w:rtl/>
        </w:rPr>
        <w:t>" (</w:t>
      </w:r>
      <w:r>
        <w:rPr>
          <w:sz w:val="18"/>
          <w:szCs w:val="20"/>
          <w:rtl/>
        </w:rPr>
        <w:t>סנהדרין כ</w:t>
      </w:r>
      <w:r>
        <w:rPr>
          <w:rFonts w:hint="cs"/>
          <w:sz w:val="18"/>
          <w:szCs w:val="20"/>
          <w:rtl/>
        </w:rPr>
        <w:t xml:space="preserve">, </w:t>
      </w:r>
      <w:r>
        <w:rPr>
          <w:sz w:val="18"/>
          <w:szCs w:val="20"/>
          <w:rtl/>
        </w:rPr>
        <w:t>א</w:t>
      </w:r>
      <w:r>
        <w:rPr>
          <w:rFonts w:hint="cs"/>
          <w:rtl/>
        </w:rPr>
        <w:t>)</w:t>
      </w:r>
      <w:r>
        <w:rPr>
          <w:rtl/>
        </w:rPr>
        <w:t>.</w:t>
      </w:r>
      <w:r>
        <w:rPr>
          <w:rFonts w:hint="cs"/>
          <w:rtl/>
        </w:rPr>
        <w:t xml:space="preserve"> </w:t>
      </w:r>
    </w:p>
    <w:p w14:paraId="450F1EE5" w14:textId="77777777" w:rsidR="00273399" w:rsidRDefault="00273399" w:rsidP="00273399">
      <w:pPr>
        <w:pStyle w:val="a5"/>
        <w:rPr>
          <w:rFonts w:hint="cs"/>
          <w:rtl/>
        </w:rPr>
      </w:pPr>
      <w:r>
        <w:rPr>
          <w:rFonts w:hint="cs"/>
          <w:rtl/>
        </w:rPr>
        <w:t>שבח זה מתעצם ביודענו כי עניות זו לא היתה מתוך חוסר בחירה, כמסופר ב</w:t>
      </w:r>
      <w:r>
        <w:rPr>
          <w:rtl/>
        </w:rPr>
        <w:t xml:space="preserve">מסכת נדרים </w:t>
      </w:r>
      <w:r>
        <w:rPr>
          <w:rFonts w:hint="cs"/>
          <w:rtl/>
        </w:rPr>
        <w:t>(</w:t>
      </w:r>
      <w:r>
        <w:rPr>
          <w:sz w:val="18"/>
          <w:szCs w:val="20"/>
          <w:rtl/>
        </w:rPr>
        <w:t>מט</w:t>
      </w:r>
      <w:r>
        <w:rPr>
          <w:rFonts w:hint="cs"/>
          <w:sz w:val="18"/>
          <w:szCs w:val="20"/>
          <w:rtl/>
        </w:rPr>
        <w:t xml:space="preserve">, </w:t>
      </w:r>
      <w:r>
        <w:rPr>
          <w:sz w:val="18"/>
          <w:szCs w:val="20"/>
          <w:rtl/>
        </w:rPr>
        <w:t>ב</w:t>
      </w:r>
      <w:r>
        <w:rPr>
          <w:rFonts w:hint="cs"/>
          <w:rtl/>
        </w:rPr>
        <w:t>): "</w:t>
      </w:r>
      <w:r>
        <w:rPr>
          <w:rtl/>
        </w:rPr>
        <w:t xml:space="preserve">ר' יהודה כד אזיל לבי מדרשא שקיל גולפא </w:t>
      </w:r>
      <w:r>
        <w:rPr>
          <w:rFonts w:hint="cs"/>
          <w:rtl/>
        </w:rPr>
        <w:t>(</w:t>
      </w:r>
      <w:r>
        <w:rPr>
          <w:rFonts w:hint="cs"/>
          <w:sz w:val="18"/>
          <w:szCs w:val="20"/>
          <w:rtl/>
        </w:rPr>
        <w:t>"</w:t>
      </w:r>
      <w:r>
        <w:rPr>
          <w:sz w:val="18"/>
          <w:szCs w:val="20"/>
          <w:rtl/>
        </w:rPr>
        <w:t>קנקן</w:t>
      </w:r>
      <w:r>
        <w:rPr>
          <w:rFonts w:hint="cs"/>
          <w:sz w:val="18"/>
          <w:szCs w:val="20"/>
          <w:rtl/>
        </w:rPr>
        <w:t>,</w:t>
      </w:r>
      <w:r>
        <w:rPr>
          <w:sz w:val="18"/>
          <w:szCs w:val="20"/>
          <w:rtl/>
        </w:rPr>
        <w:t xml:space="preserve"> והיה מביאו לבית המדרש כדי שישב עליו</w:t>
      </w:r>
      <w:r>
        <w:rPr>
          <w:rFonts w:hint="cs"/>
          <w:sz w:val="18"/>
          <w:szCs w:val="20"/>
          <w:rtl/>
        </w:rPr>
        <w:t>",</w:t>
      </w:r>
      <w:r>
        <w:rPr>
          <w:sz w:val="18"/>
          <w:szCs w:val="20"/>
          <w:rtl/>
        </w:rPr>
        <w:t xml:space="preserve"> ר"ן</w:t>
      </w:r>
      <w:r>
        <w:rPr>
          <w:rFonts w:hint="cs"/>
          <w:rtl/>
        </w:rPr>
        <w:t xml:space="preserve">) </w:t>
      </w:r>
      <w:r>
        <w:rPr>
          <w:rtl/>
        </w:rPr>
        <w:t>על כתפיה, אמר: גדולה מלאכה שמכבדת את בעליה</w:t>
      </w:r>
      <w:r>
        <w:rPr>
          <w:rFonts w:hint="cs"/>
          <w:rtl/>
        </w:rPr>
        <w:t xml:space="preserve"> (</w:t>
      </w:r>
      <w:r>
        <w:rPr>
          <w:rFonts w:hint="cs"/>
          <w:sz w:val="18"/>
          <w:szCs w:val="20"/>
          <w:rtl/>
        </w:rPr>
        <w:t>"</w:t>
      </w:r>
      <w:r>
        <w:rPr>
          <w:sz w:val="18"/>
          <w:szCs w:val="20"/>
          <w:rtl/>
        </w:rPr>
        <w:t>שלא היה יושב ע"ג קרקע</w:t>
      </w:r>
      <w:r>
        <w:rPr>
          <w:rFonts w:hint="cs"/>
          <w:sz w:val="18"/>
          <w:szCs w:val="20"/>
          <w:rtl/>
        </w:rPr>
        <w:t>"</w:t>
      </w:r>
      <w:r>
        <w:rPr>
          <w:rFonts w:hint="cs"/>
          <w:rtl/>
        </w:rPr>
        <w:t>)</w:t>
      </w:r>
      <w:r>
        <w:rPr>
          <w:rtl/>
        </w:rPr>
        <w:t xml:space="preserve">. רבי שמעון שקיל צנא </w:t>
      </w:r>
      <w:r>
        <w:rPr>
          <w:rFonts w:hint="cs"/>
          <w:rtl/>
        </w:rPr>
        <w:t>(</w:t>
      </w:r>
      <w:r>
        <w:rPr>
          <w:rFonts w:hint="cs"/>
          <w:sz w:val="14"/>
          <w:szCs w:val="16"/>
          <w:rtl/>
        </w:rPr>
        <w:t>=</w:t>
      </w:r>
      <w:r>
        <w:rPr>
          <w:rFonts w:hint="cs"/>
          <w:sz w:val="18"/>
          <w:szCs w:val="20"/>
          <w:rtl/>
        </w:rPr>
        <w:t>היה נושא סל</w:t>
      </w:r>
      <w:r>
        <w:rPr>
          <w:rFonts w:hint="cs"/>
          <w:rtl/>
        </w:rPr>
        <w:t xml:space="preserve">) </w:t>
      </w:r>
      <w:r>
        <w:rPr>
          <w:rtl/>
        </w:rPr>
        <w:t>על כתפיה, אמר: גדולה מלאכה שמכבדת את בעליה. דביתהו דרבי יהודה נפקת נקטת עמרא עבדה גלימא דהוטבי</w:t>
      </w:r>
      <w:r>
        <w:rPr>
          <w:rFonts w:hint="cs"/>
          <w:rtl/>
        </w:rPr>
        <w:t xml:space="preserve"> (</w:t>
      </w:r>
      <w:r>
        <w:rPr>
          <w:rFonts w:hint="cs"/>
          <w:sz w:val="14"/>
          <w:szCs w:val="16"/>
          <w:rtl/>
        </w:rPr>
        <w:t>=</w:t>
      </w:r>
      <w:r>
        <w:rPr>
          <w:rFonts w:hint="cs"/>
          <w:sz w:val="18"/>
          <w:szCs w:val="20"/>
          <w:rtl/>
        </w:rPr>
        <w:t>אשתו של רבי יהודה יצאה, קנתה צמר ועשתה טלית עבה וקשה; ע"פ מילון רע"צ מלמד</w:t>
      </w:r>
      <w:r>
        <w:rPr>
          <w:rFonts w:hint="cs"/>
          <w:rtl/>
        </w:rPr>
        <w:t>).</w:t>
      </w:r>
      <w:r>
        <w:rPr>
          <w:rtl/>
        </w:rPr>
        <w:t xml:space="preserve"> כד נפקת</w:t>
      </w:r>
      <w:r>
        <w:rPr>
          <w:rFonts w:hint="cs"/>
          <w:rtl/>
        </w:rPr>
        <w:t xml:space="preserve"> </w:t>
      </w:r>
      <w:r>
        <w:rPr>
          <w:rtl/>
        </w:rPr>
        <w:t>לשוקא מיכסיא ביה, וכד נפיק רבי יהודה לצלויי הוה מיכסי ומצלי</w:t>
      </w:r>
      <w:r>
        <w:rPr>
          <w:rFonts w:hint="cs"/>
          <w:rtl/>
        </w:rPr>
        <w:t>.</w:t>
      </w:r>
      <w:r>
        <w:rPr>
          <w:rtl/>
        </w:rPr>
        <w:t xml:space="preserve"> וכד מיכסי ביה הוה מברך: </w:t>
      </w:r>
      <w:r>
        <w:rPr>
          <w:rFonts w:hint="cs"/>
          <w:rtl/>
        </w:rPr>
        <w:t>'</w:t>
      </w:r>
      <w:r>
        <w:rPr>
          <w:rtl/>
        </w:rPr>
        <w:t>ברוך שעטני מעיל</w:t>
      </w:r>
      <w:r>
        <w:rPr>
          <w:rFonts w:hint="cs"/>
          <w:rtl/>
        </w:rPr>
        <w:t>' (</w:t>
      </w:r>
      <w:r>
        <w:rPr>
          <w:rFonts w:hint="cs"/>
          <w:sz w:val="18"/>
          <w:szCs w:val="20"/>
          <w:rtl/>
        </w:rPr>
        <w:t>"</w:t>
      </w:r>
      <w:r>
        <w:rPr>
          <w:sz w:val="18"/>
          <w:szCs w:val="20"/>
          <w:rtl/>
        </w:rPr>
        <w:t>שהיה חשוב בעיניו כמעיל</w:t>
      </w:r>
      <w:r>
        <w:rPr>
          <w:rFonts w:hint="cs"/>
          <w:sz w:val="18"/>
          <w:szCs w:val="20"/>
          <w:rtl/>
        </w:rPr>
        <w:t>",</w:t>
      </w:r>
      <w:r>
        <w:rPr>
          <w:sz w:val="18"/>
          <w:szCs w:val="20"/>
          <w:rtl/>
        </w:rPr>
        <w:t xml:space="preserve"> ר"ן</w:t>
      </w:r>
      <w:r>
        <w:rPr>
          <w:rFonts w:hint="cs"/>
          <w:rtl/>
        </w:rPr>
        <w:t>)</w:t>
      </w:r>
      <w:r>
        <w:rPr>
          <w:rtl/>
        </w:rPr>
        <w:t>. זימנא חדא גזר רבן שמעון בן גמליאל תעניתא, ר' יהודה לא אתא לבי תעניתא, אמרין ליה</w:t>
      </w:r>
      <w:r>
        <w:rPr>
          <w:rFonts w:hint="cs"/>
          <w:rtl/>
        </w:rPr>
        <w:t xml:space="preserve"> (</w:t>
      </w:r>
      <w:r>
        <w:rPr>
          <w:rFonts w:hint="cs"/>
          <w:sz w:val="18"/>
          <w:szCs w:val="20"/>
          <w:rtl/>
        </w:rPr>
        <w:t>אמרו לרשב"ג</w:t>
      </w:r>
      <w:r>
        <w:rPr>
          <w:rFonts w:hint="cs"/>
          <w:rtl/>
        </w:rPr>
        <w:t>)</w:t>
      </w:r>
      <w:r>
        <w:rPr>
          <w:rtl/>
        </w:rPr>
        <w:t xml:space="preserve">: לא אית ליה כסויא, שדר ליה גלימא ולא קביל. דלי ציפתא </w:t>
      </w:r>
      <w:r>
        <w:rPr>
          <w:rFonts w:hint="cs"/>
          <w:rtl/>
        </w:rPr>
        <w:t>(</w:t>
      </w:r>
      <w:r>
        <w:rPr>
          <w:rFonts w:hint="cs"/>
          <w:sz w:val="18"/>
          <w:szCs w:val="20"/>
          <w:rtl/>
        </w:rPr>
        <w:t>"</w:t>
      </w:r>
      <w:r>
        <w:rPr>
          <w:sz w:val="18"/>
          <w:szCs w:val="20"/>
          <w:rtl/>
        </w:rPr>
        <w:t>הגביה המחצלת</w:t>
      </w:r>
      <w:r>
        <w:rPr>
          <w:rFonts w:hint="cs"/>
          <w:sz w:val="18"/>
          <w:szCs w:val="20"/>
          <w:rtl/>
        </w:rPr>
        <w:t>,</w:t>
      </w:r>
      <w:r>
        <w:rPr>
          <w:sz w:val="18"/>
          <w:szCs w:val="20"/>
          <w:rtl/>
        </w:rPr>
        <w:t xml:space="preserve"> וסמך שימצא שם מעות הרבה בנס</w:t>
      </w:r>
      <w:r>
        <w:rPr>
          <w:rFonts w:hint="cs"/>
          <w:sz w:val="18"/>
          <w:szCs w:val="20"/>
          <w:rtl/>
        </w:rPr>
        <w:t xml:space="preserve">", </w:t>
      </w:r>
      <w:r>
        <w:rPr>
          <w:sz w:val="18"/>
          <w:szCs w:val="20"/>
          <w:rtl/>
        </w:rPr>
        <w:t>תוספות</w:t>
      </w:r>
      <w:r>
        <w:rPr>
          <w:rFonts w:hint="cs"/>
          <w:rtl/>
        </w:rPr>
        <w:t xml:space="preserve">) </w:t>
      </w:r>
      <w:r>
        <w:rPr>
          <w:rtl/>
        </w:rPr>
        <w:t>ואמר ליה לשלוחא: חזי מאי איכא</w:t>
      </w:r>
      <w:r>
        <w:rPr>
          <w:rFonts w:hint="cs"/>
          <w:rtl/>
        </w:rPr>
        <w:t>!</w:t>
      </w:r>
      <w:r>
        <w:rPr>
          <w:rtl/>
        </w:rPr>
        <w:t xml:space="preserve"> מיהו לא ניחא לי דאיתהני בהדין עלמא</w:t>
      </w:r>
      <w:r>
        <w:rPr>
          <w:rFonts w:hint="cs"/>
          <w:rtl/>
        </w:rPr>
        <w:t>"</w:t>
      </w:r>
      <w:r>
        <w:rPr>
          <w:rtl/>
        </w:rPr>
        <w:t>.</w:t>
      </w:r>
    </w:p>
    <w:p w14:paraId="70211839" w14:textId="77777777" w:rsidR="00273399" w:rsidRDefault="00273399" w:rsidP="00273399">
      <w:pPr>
        <w:pStyle w:val="a5"/>
        <w:rPr>
          <w:rFonts w:hint="cs"/>
          <w:rtl/>
        </w:rPr>
      </w:pPr>
      <w:r>
        <w:rPr>
          <w:rFonts w:hint="cs"/>
          <w:sz w:val="26"/>
          <w:rtl/>
        </w:rPr>
        <w:t>על יחסו של רבי יהודה למלאכה וללימוד אומנות ראה דבריו ב</w:t>
      </w:r>
      <w:r>
        <w:rPr>
          <w:sz w:val="26"/>
          <w:rtl/>
        </w:rPr>
        <w:t xml:space="preserve">קידושין </w:t>
      </w:r>
      <w:r>
        <w:rPr>
          <w:sz w:val="18"/>
          <w:szCs w:val="20"/>
          <w:rtl/>
        </w:rPr>
        <w:t>כט</w:t>
      </w:r>
      <w:r>
        <w:rPr>
          <w:rFonts w:hint="cs"/>
          <w:sz w:val="18"/>
          <w:szCs w:val="20"/>
          <w:rtl/>
        </w:rPr>
        <w:t xml:space="preserve">, </w:t>
      </w:r>
      <w:r>
        <w:rPr>
          <w:sz w:val="18"/>
          <w:szCs w:val="20"/>
          <w:rtl/>
        </w:rPr>
        <w:t>א</w:t>
      </w:r>
      <w:r>
        <w:rPr>
          <w:rFonts w:hint="cs"/>
          <w:sz w:val="18"/>
          <w:szCs w:val="20"/>
          <w:rtl/>
        </w:rPr>
        <w:t xml:space="preserve">, </w:t>
      </w:r>
      <w:r>
        <w:rPr>
          <w:rFonts w:hint="cs"/>
          <w:sz w:val="26"/>
          <w:rtl/>
        </w:rPr>
        <w:t xml:space="preserve">ומאמר </w:t>
      </w:r>
      <w:r>
        <w:rPr>
          <w:sz w:val="26"/>
          <w:rtl/>
        </w:rPr>
        <w:t>רבי יוחנן מש</w:t>
      </w:r>
      <w:r>
        <w:rPr>
          <w:rFonts w:hint="cs"/>
          <w:sz w:val="26"/>
          <w:rtl/>
        </w:rPr>
        <w:t>מ</w:t>
      </w:r>
      <w:r>
        <w:rPr>
          <w:sz w:val="26"/>
          <w:rtl/>
        </w:rPr>
        <w:t>ו</w:t>
      </w:r>
      <w:r>
        <w:rPr>
          <w:rFonts w:hint="cs"/>
          <w:sz w:val="26"/>
          <w:rtl/>
        </w:rPr>
        <w:t xml:space="preserve"> ב</w:t>
      </w:r>
      <w:r>
        <w:rPr>
          <w:sz w:val="26"/>
          <w:rtl/>
        </w:rPr>
        <w:t xml:space="preserve">ברכות </w:t>
      </w:r>
      <w:r>
        <w:rPr>
          <w:sz w:val="18"/>
          <w:szCs w:val="20"/>
          <w:rtl/>
        </w:rPr>
        <w:t>לה</w:t>
      </w:r>
      <w:r>
        <w:rPr>
          <w:rFonts w:hint="cs"/>
          <w:sz w:val="18"/>
          <w:szCs w:val="20"/>
          <w:rtl/>
        </w:rPr>
        <w:t xml:space="preserve">, </w:t>
      </w:r>
      <w:r>
        <w:rPr>
          <w:sz w:val="18"/>
          <w:szCs w:val="20"/>
          <w:rtl/>
        </w:rPr>
        <w:t>ב</w:t>
      </w:r>
      <w:r>
        <w:rPr>
          <w:rFonts w:hint="cs"/>
          <w:sz w:val="18"/>
          <w:szCs w:val="20"/>
          <w:rtl/>
        </w:rPr>
        <w:t xml:space="preserve"> </w:t>
      </w:r>
      <w:r>
        <w:rPr>
          <w:rFonts w:hint="cs"/>
          <w:sz w:val="26"/>
          <w:rtl/>
        </w:rPr>
        <w:t>שהובא לעיל.</w:t>
      </w:r>
    </w:p>
  </w:footnote>
  <w:footnote w:id="262">
    <w:p w14:paraId="40AB252A" w14:textId="77777777" w:rsidR="00273399" w:rsidRDefault="00273399" w:rsidP="00273399">
      <w:pPr>
        <w:pStyle w:val="a5"/>
        <w:rPr>
          <w:rFonts w:hint="cs"/>
          <w:rtl/>
        </w:rPr>
      </w:pPr>
      <w:r>
        <w:rPr>
          <w:rStyle w:val="a4"/>
          <w:rtl/>
        </w:rPr>
        <w:footnoteRef/>
      </w:r>
      <w:r>
        <w:rPr>
          <w:szCs w:val="22"/>
        </w:rPr>
        <w:t xml:space="preserve"> </w:t>
      </w:r>
      <w:r>
        <w:rPr>
          <w:rFonts w:hint="cs"/>
          <w:rtl/>
        </w:rPr>
        <w:t>וע"ע ב</w:t>
      </w:r>
      <w:r>
        <w:rPr>
          <w:rtl/>
        </w:rPr>
        <w:t xml:space="preserve">שו"ת דברי יציב </w:t>
      </w:r>
      <w:r>
        <w:rPr>
          <w:rFonts w:hint="cs"/>
          <w:rtl/>
        </w:rPr>
        <w:t>(</w:t>
      </w:r>
      <w:r>
        <w:rPr>
          <w:sz w:val="18"/>
          <w:szCs w:val="20"/>
          <w:rtl/>
        </w:rPr>
        <w:t xml:space="preserve">יו"ד סימן </w:t>
      </w:r>
      <w:r>
        <w:rPr>
          <w:rFonts w:hint="cs"/>
          <w:sz w:val="18"/>
          <w:szCs w:val="20"/>
          <w:rtl/>
        </w:rPr>
        <w:t>דל"</w:t>
      </w:r>
      <w:r>
        <w:rPr>
          <w:sz w:val="18"/>
          <w:szCs w:val="20"/>
          <w:rtl/>
        </w:rPr>
        <w:t>ק</w:t>
      </w:r>
      <w:r>
        <w:rPr>
          <w:rFonts w:hint="cs"/>
          <w:rtl/>
        </w:rPr>
        <w:t>) בבואו לתרץ את קושיית ה</w:t>
      </w:r>
      <w:r>
        <w:rPr>
          <w:rtl/>
        </w:rPr>
        <w:t xml:space="preserve">תוספות </w:t>
      </w:r>
      <w:r>
        <w:rPr>
          <w:rFonts w:hint="cs"/>
          <w:rtl/>
        </w:rPr>
        <w:t>(</w:t>
      </w:r>
      <w:r>
        <w:rPr>
          <w:sz w:val="18"/>
          <w:szCs w:val="20"/>
          <w:rtl/>
        </w:rPr>
        <w:t>פסחים ג</w:t>
      </w:r>
      <w:r>
        <w:rPr>
          <w:rFonts w:hint="cs"/>
          <w:sz w:val="18"/>
          <w:szCs w:val="20"/>
          <w:rtl/>
        </w:rPr>
        <w:t>,</w:t>
      </w:r>
      <w:r>
        <w:rPr>
          <w:rFonts w:hint="cs"/>
          <w:szCs w:val="20"/>
          <w:rtl/>
        </w:rPr>
        <w:t xml:space="preserve"> </w:t>
      </w:r>
      <w:r>
        <w:rPr>
          <w:sz w:val="18"/>
          <w:szCs w:val="20"/>
          <w:rtl/>
        </w:rPr>
        <w:t xml:space="preserve">ב </w:t>
      </w:r>
      <w:r>
        <w:rPr>
          <w:rFonts w:hint="cs"/>
          <w:sz w:val="18"/>
          <w:szCs w:val="20"/>
          <w:rtl/>
        </w:rPr>
        <w:t xml:space="preserve">ד"ה </w:t>
      </w:r>
      <w:r>
        <w:rPr>
          <w:sz w:val="18"/>
          <w:szCs w:val="20"/>
          <w:rtl/>
        </w:rPr>
        <w:t>מאלי</w:t>
      </w:r>
      <w:r>
        <w:rPr>
          <w:rFonts w:hint="cs"/>
          <w:sz w:val="18"/>
          <w:szCs w:val="20"/>
          <w:rtl/>
        </w:rPr>
        <w:t>ָ</w:t>
      </w:r>
      <w:r>
        <w:rPr>
          <w:sz w:val="18"/>
          <w:szCs w:val="20"/>
          <w:rtl/>
        </w:rPr>
        <w:t>ה</w:t>
      </w:r>
      <w:r>
        <w:rPr>
          <w:rFonts w:hint="cs"/>
          <w:rtl/>
        </w:rPr>
        <w:t xml:space="preserve">) מדוע </w:t>
      </w:r>
      <w:r>
        <w:rPr>
          <w:rtl/>
        </w:rPr>
        <w:t>רבי יהודה בן בתירא לא עלה לרגל</w:t>
      </w:r>
      <w:r>
        <w:rPr>
          <w:rFonts w:hint="cs"/>
          <w:rtl/>
        </w:rPr>
        <w:t>, וזו לשונו: "</w:t>
      </w:r>
      <w:r>
        <w:rPr>
          <w:rtl/>
        </w:rPr>
        <w:t>גדול תלמוד תורה יותר מבנין ביהמ"ק שכל זמן שברוך בן נריה קיים לא הניחו עזרא ועלה</w:t>
      </w:r>
      <w:r>
        <w:rPr>
          <w:rFonts w:hint="cs"/>
          <w:rtl/>
        </w:rPr>
        <w:t>..</w:t>
      </w:r>
      <w:r>
        <w:rPr>
          <w:rtl/>
        </w:rPr>
        <w:t>. והאמת שלפענ"ד שאף שנאמר שבנין ביהמ"ק חמו</w:t>
      </w:r>
      <w:r>
        <w:rPr>
          <w:rFonts w:hint="cs"/>
          <w:rtl/>
        </w:rPr>
        <w:t>ּ</w:t>
      </w:r>
      <w:r>
        <w:rPr>
          <w:rtl/>
        </w:rPr>
        <w:t>ר, מ"מ נאמר עוסק במצוה פטור מן המצוה, ובפרט מי שתורתו אומנתו</w:t>
      </w:r>
      <w:r>
        <w:rPr>
          <w:rFonts w:hint="cs"/>
          <w:rtl/>
        </w:rPr>
        <w:t xml:space="preserve">... </w:t>
      </w:r>
      <w:r>
        <w:rPr>
          <w:rtl/>
        </w:rPr>
        <w:t>ואני מתקשה עוד יותר, דתלמוד תורה חיובא עליו, ובנין ביהמ"ק מצותה על הציבור דייקא</w:t>
      </w:r>
      <w:r>
        <w:rPr>
          <w:rFonts w:hint="cs"/>
          <w:rtl/>
        </w:rPr>
        <w:t>..</w:t>
      </w:r>
      <w:r>
        <w:rPr>
          <w:rtl/>
        </w:rPr>
        <w:t xml:space="preserve">. ואולי  אפשר דבאמת לכך היה פטור רבי יהודה בן בתירא לעלות לירושלים, </w:t>
      </w:r>
      <w:r>
        <w:rPr>
          <w:rFonts w:hint="cs"/>
          <w:rtl/>
        </w:rPr>
        <w:t>[לפי]</w:t>
      </w:r>
      <w:r>
        <w:rPr>
          <w:rtl/>
        </w:rPr>
        <w:t xml:space="preserve"> שהיתה</w:t>
      </w:r>
      <w:r>
        <w:rPr>
          <w:rFonts w:hint="cs"/>
          <w:rtl/>
        </w:rPr>
        <w:t xml:space="preserve"> </w:t>
      </w:r>
      <w:r>
        <w:rPr>
          <w:rtl/>
        </w:rPr>
        <w:t>תורתו</w:t>
      </w:r>
      <w:r>
        <w:rPr>
          <w:rFonts w:hint="cs"/>
          <w:rtl/>
        </w:rPr>
        <w:t xml:space="preserve"> </w:t>
      </w:r>
      <w:r>
        <w:rPr>
          <w:rtl/>
        </w:rPr>
        <w:t>אומנתו, ועוסק בת"ת עתה פטור מלבוא לחיוב המ</w:t>
      </w:r>
      <w:r>
        <w:rPr>
          <w:rFonts w:hint="cs"/>
          <w:rtl/>
        </w:rPr>
        <w:t xml:space="preserve">צות </w:t>
      </w:r>
      <w:r>
        <w:rPr>
          <w:rtl/>
        </w:rPr>
        <w:t>ע</w:t>
      </w:r>
      <w:r>
        <w:rPr>
          <w:rFonts w:hint="cs"/>
          <w:rtl/>
        </w:rPr>
        <w:t>שה</w:t>
      </w:r>
      <w:r>
        <w:rPr>
          <w:rtl/>
        </w:rPr>
        <w:t xml:space="preserve"> שיבוא בפסח</w:t>
      </w:r>
      <w:r>
        <w:rPr>
          <w:rFonts w:hint="cs"/>
          <w:rtl/>
        </w:rPr>
        <w:t>" (</w:t>
      </w:r>
      <w:r>
        <w:rPr>
          <w:rFonts w:hint="cs"/>
          <w:sz w:val="18"/>
          <w:szCs w:val="20"/>
          <w:rtl/>
        </w:rPr>
        <w:t xml:space="preserve">וע"ע: </w:t>
      </w:r>
      <w:r>
        <w:rPr>
          <w:sz w:val="18"/>
          <w:szCs w:val="20"/>
          <w:rtl/>
        </w:rPr>
        <w:t>שו"ת יחל ישראל סימן ה</w:t>
      </w:r>
      <w:r>
        <w:rPr>
          <w:rFonts w:hint="cs"/>
          <w:sz w:val="18"/>
          <w:szCs w:val="20"/>
          <w:rtl/>
        </w:rPr>
        <w:t>' לרי"מ לאו</w:t>
      </w:r>
      <w:r>
        <w:rPr>
          <w:rFonts w:hint="cs"/>
          <w:rtl/>
        </w:rPr>
        <w:t>).</w:t>
      </w:r>
    </w:p>
  </w:footnote>
  <w:footnote w:id="263">
    <w:p w14:paraId="00BD89D0" w14:textId="77777777" w:rsidR="00273399" w:rsidRDefault="00273399" w:rsidP="00273399">
      <w:pPr>
        <w:pStyle w:val="a5"/>
        <w:rPr>
          <w:rFonts w:hint="cs"/>
          <w:rtl/>
        </w:rPr>
      </w:pPr>
      <w:r>
        <w:rPr>
          <w:rStyle w:val="a4"/>
          <w:rtl/>
        </w:rPr>
        <w:footnoteRef/>
      </w:r>
      <w:r>
        <w:rPr>
          <w:szCs w:val="22"/>
        </w:rPr>
        <w:t xml:space="preserve"> </w:t>
      </w:r>
      <w:r>
        <w:rPr>
          <w:rFonts w:hint="cs"/>
          <w:rtl/>
        </w:rPr>
        <w:t>=בית מדרש, חדר לימוד.</w:t>
      </w:r>
    </w:p>
  </w:footnote>
  <w:footnote w:id="264">
    <w:p w14:paraId="025CA3F8" w14:textId="77777777" w:rsidR="00273399" w:rsidRDefault="00273399" w:rsidP="00273399">
      <w:pPr>
        <w:pStyle w:val="a5"/>
        <w:rPr>
          <w:rFonts w:hint="cs"/>
          <w:rtl/>
        </w:rPr>
      </w:pPr>
      <w:r>
        <w:rPr>
          <w:rStyle w:val="a4"/>
        </w:rPr>
        <w:footnoteRef/>
      </w:r>
      <w:r>
        <w:rPr>
          <w:rFonts w:hint="cs"/>
          <w:rtl/>
        </w:rPr>
        <w:t xml:space="preserve"> וע"ע </w:t>
      </w:r>
      <w:r>
        <w:rPr>
          <w:rFonts w:eastAsia="MS Mincho" w:hint="cs"/>
          <w:rtl/>
        </w:rPr>
        <w:t>פסקי תשובות, סימן צ', כג והערות 255 - 256.</w:t>
      </w:r>
    </w:p>
  </w:footnote>
  <w:footnote w:id="265">
    <w:p w14:paraId="370B0570" w14:textId="77777777" w:rsidR="00273399" w:rsidRDefault="00273399" w:rsidP="00273399">
      <w:pPr>
        <w:pStyle w:val="a5"/>
        <w:rPr>
          <w:rFonts w:hint="cs"/>
          <w:rtl/>
        </w:rPr>
      </w:pPr>
      <w:r>
        <w:rPr>
          <w:rStyle w:val="a4"/>
          <w:rtl/>
        </w:rPr>
        <w:footnoteRef/>
      </w:r>
      <w:r>
        <w:rPr>
          <w:szCs w:val="22"/>
        </w:rPr>
        <w:t xml:space="preserve"> </w:t>
      </w:r>
      <w:r>
        <w:rPr>
          <w:rFonts w:eastAsia="MS Mincho" w:hint="cs"/>
          <w:sz w:val="26"/>
          <w:rtl/>
        </w:rPr>
        <w:t xml:space="preserve">ראה למשל: </w:t>
      </w:r>
      <w:r>
        <w:rPr>
          <w:rFonts w:eastAsia="MS Mincho"/>
          <w:sz w:val="26"/>
          <w:rtl/>
        </w:rPr>
        <w:t>שו</w:t>
      </w:r>
      <w:r>
        <w:rPr>
          <w:rFonts w:eastAsia="MS Mincho" w:hint="cs"/>
          <w:sz w:val="26"/>
          <w:rtl/>
        </w:rPr>
        <w:t>"</w:t>
      </w:r>
      <w:r>
        <w:rPr>
          <w:rFonts w:eastAsia="MS Mincho"/>
          <w:sz w:val="26"/>
          <w:rtl/>
        </w:rPr>
        <w:t>ע</w:t>
      </w:r>
      <w:r>
        <w:rPr>
          <w:rFonts w:eastAsia="MS Mincho" w:hint="cs"/>
          <w:sz w:val="26"/>
          <w:rtl/>
        </w:rPr>
        <w:t xml:space="preserve"> </w:t>
      </w:r>
      <w:r>
        <w:rPr>
          <w:rFonts w:eastAsia="MS Mincho"/>
          <w:sz w:val="18"/>
          <w:szCs w:val="20"/>
          <w:rtl/>
        </w:rPr>
        <w:t>יו</w:t>
      </w:r>
      <w:r>
        <w:rPr>
          <w:rFonts w:eastAsia="MS Mincho" w:hint="cs"/>
          <w:sz w:val="18"/>
          <w:szCs w:val="20"/>
          <w:rtl/>
        </w:rPr>
        <w:t>"</w:t>
      </w:r>
      <w:r>
        <w:rPr>
          <w:rFonts w:eastAsia="MS Mincho"/>
          <w:sz w:val="18"/>
          <w:szCs w:val="20"/>
          <w:rtl/>
        </w:rPr>
        <w:t>ד</w:t>
      </w:r>
      <w:r>
        <w:rPr>
          <w:rFonts w:eastAsia="MS Mincho" w:hint="cs"/>
          <w:sz w:val="18"/>
          <w:szCs w:val="20"/>
          <w:rtl/>
        </w:rPr>
        <w:t xml:space="preserve">, </w:t>
      </w:r>
      <w:r>
        <w:rPr>
          <w:rFonts w:eastAsia="MS Mincho"/>
          <w:sz w:val="18"/>
          <w:szCs w:val="20"/>
          <w:rtl/>
        </w:rPr>
        <w:t>סימן רמג</w:t>
      </w:r>
      <w:r>
        <w:rPr>
          <w:rFonts w:eastAsia="MS Mincho" w:hint="cs"/>
          <w:sz w:val="18"/>
          <w:szCs w:val="20"/>
          <w:rtl/>
        </w:rPr>
        <w:t xml:space="preserve">; </w:t>
      </w:r>
      <w:r>
        <w:rPr>
          <w:rFonts w:eastAsia="MS Mincho"/>
          <w:sz w:val="26"/>
          <w:rtl/>
        </w:rPr>
        <w:t xml:space="preserve">שו"ת תשב"ץ </w:t>
      </w:r>
      <w:r>
        <w:rPr>
          <w:rFonts w:eastAsia="MS Mincho"/>
          <w:sz w:val="18"/>
          <w:szCs w:val="20"/>
          <w:rtl/>
        </w:rPr>
        <w:t>ח</w:t>
      </w:r>
      <w:r>
        <w:rPr>
          <w:rFonts w:eastAsia="MS Mincho" w:hint="cs"/>
          <w:sz w:val="18"/>
          <w:szCs w:val="20"/>
          <w:rtl/>
        </w:rPr>
        <w:t>"</w:t>
      </w:r>
      <w:r>
        <w:rPr>
          <w:rFonts w:eastAsia="MS Mincho"/>
          <w:sz w:val="18"/>
          <w:szCs w:val="20"/>
          <w:rtl/>
        </w:rPr>
        <w:t>א סימ</w:t>
      </w:r>
      <w:r>
        <w:rPr>
          <w:rFonts w:eastAsia="MS Mincho" w:hint="cs"/>
          <w:sz w:val="18"/>
          <w:szCs w:val="20"/>
          <w:rtl/>
        </w:rPr>
        <w:t>נים קמ"א-</w:t>
      </w:r>
      <w:r>
        <w:rPr>
          <w:rFonts w:eastAsia="MS Mincho"/>
          <w:sz w:val="18"/>
          <w:szCs w:val="20"/>
          <w:rtl/>
        </w:rPr>
        <w:t>קמ</w:t>
      </w:r>
      <w:r>
        <w:rPr>
          <w:rFonts w:eastAsia="MS Mincho" w:hint="cs"/>
          <w:sz w:val="18"/>
          <w:szCs w:val="20"/>
          <w:rtl/>
        </w:rPr>
        <w:t>"</w:t>
      </w:r>
      <w:r>
        <w:rPr>
          <w:rFonts w:eastAsia="MS Mincho"/>
          <w:sz w:val="18"/>
          <w:szCs w:val="20"/>
          <w:rtl/>
        </w:rPr>
        <w:t>ח</w:t>
      </w:r>
      <w:r>
        <w:rPr>
          <w:rFonts w:eastAsia="MS Mincho" w:hint="cs"/>
          <w:sz w:val="18"/>
          <w:szCs w:val="20"/>
          <w:rtl/>
        </w:rPr>
        <w:t xml:space="preserve">; </w:t>
      </w:r>
      <w:r>
        <w:rPr>
          <w:rFonts w:eastAsia="MS Mincho"/>
          <w:sz w:val="26"/>
          <w:rtl/>
        </w:rPr>
        <w:t xml:space="preserve">שו"ת משפטי עוזיאל </w:t>
      </w:r>
      <w:r>
        <w:rPr>
          <w:rFonts w:eastAsia="MS Mincho"/>
          <w:sz w:val="18"/>
          <w:szCs w:val="20"/>
          <w:rtl/>
        </w:rPr>
        <w:t>כרך ב</w:t>
      </w:r>
      <w:r>
        <w:rPr>
          <w:rFonts w:eastAsia="MS Mincho" w:hint="cs"/>
          <w:sz w:val="18"/>
          <w:szCs w:val="20"/>
          <w:rtl/>
        </w:rPr>
        <w:t xml:space="preserve">, </w:t>
      </w:r>
      <w:r>
        <w:rPr>
          <w:rFonts w:eastAsia="MS Mincho"/>
          <w:sz w:val="18"/>
          <w:szCs w:val="20"/>
          <w:rtl/>
        </w:rPr>
        <w:t>יו"ד סימן ל</w:t>
      </w:r>
      <w:r>
        <w:rPr>
          <w:rFonts w:eastAsia="MS Mincho" w:hint="cs"/>
          <w:sz w:val="18"/>
          <w:szCs w:val="20"/>
          <w:rtl/>
        </w:rPr>
        <w:t>"</w:t>
      </w:r>
      <w:r>
        <w:rPr>
          <w:rFonts w:eastAsia="MS Mincho"/>
          <w:sz w:val="18"/>
          <w:szCs w:val="20"/>
          <w:rtl/>
        </w:rPr>
        <w:t>ט</w:t>
      </w:r>
      <w:r>
        <w:rPr>
          <w:rFonts w:eastAsia="MS Mincho" w:hint="cs"/>
          <w:sz w:val="18"/>
          <w:szCs w:val="20"/>
          <w:rtl/>
        </w:rPr>
        <w:t xml:space="preserve">; </w:t>
      </w:r>
      <w:r>
        <w:rPr>
          <w:rFonts w:eastAsia="MS Mincho"/>
          <w:sz w:val="26"/>
          <w:rtl/>
        </w:rPr>
        <w:t xml:space="preserve">שו"ת שרידי אש </w:t>
      </w:r>
      <w:r>
        <w:rPr>
          <w:rFonts w:eastAsia="MS Mincho"/>
          <w:sz w:val="18"/>
          <w:szCs w:val="20"/>
          <w:rtl/>
        </w:rPr>
        <w:t>ח</w:t>
      </w:r>
      <w:r>
        <w:rPr>
          <w:rFonts w:eastAsia="MS Mincho" w:hint="cs"/>
          <w:sz w:val="18"/>
          <w:szCs w:val="20"/>
          <w:rtl/>
        </w:rPr>
        <w:t>"</w:t>
      </w:r>
      <w:r>
        <w:rPr>
          <w:rFonts w:eastAsia="MS Mincho"/>
          <w:sz w:val="18"/>
          <w:szCs w:val="20"/>
          <w:rtl/>
        </w:rPr>
        <w:t>א סימן קל</w:t>
      </w:r>
      <w:r>
        <w:rPr>
          <w:rFonts w:eastAsia="MS Mincho" w:hint="cs"/>
          <w:sz w:val="18"/>
          <w:szCs w:val="20"/>
          <w:rtl/>
        </w:rPr>
        <w:t>"</w:t>
      </w:r>
      <w:r>
        <w:rPr>
          <w:rFonts w:eastAsia="MS Mincho"/>
          <w:sz w:val="18"/>
          <w:szCs w:val="20"/>
          <w:rtl/>
        </w:rPr>
        <w:t>ח</w:t>
      </w:r>
      <w:r>
        <w:rPr>
          <w:rFonts w:eastAsia="MS Mincho" w:hint="cs"/>
          <w:sz w:val="18"/>
          <w:szCs w:val="20"/>
          <w:rtl/>
        </w:rPr>
        <w:t xml:space="preserve">; </w:t>
      </w:r>
      <w:r>
        <w:rPr>
          <w:rFonts w:eastAsia="MS Mincho"/>
          <w:sz w:val="26"/>
          <w:rtl/>
        </w:rPr>
        <w:t xml:space="preserve">שו"ת ציץ אליעזר </w:t>
      </w:r>
      <w:r>
        <w:rPr>
          <w:rFonts w:eastAsia="MS Mincho"/>
          <w:sz w:val="18"/>
          <w:szCs w:val="20"/>
          <w:rtl/>
        </w:rPr>
        <w:t>ח</w:t>
      </w:r>
      <w:r>
        <w:rPr>
          <w:rFonts w:eastAsia="MS Mincho" w:hint="cs"/>
          <w:sz w:val="18"/>
          <w:szCs w:val="20"/>
          <w:rtl/>
        </w:rPr>
        <w:t>"</w:t>
      </w:r>
      <w:r>
        <w:rPr>
          <w:rFonts w:eastAsia="MS Mincho"/>
          <w:sz w:val="18"/>
          <w:szCs w:val="20"/>
          <w:rtl/>
        </w:rPr>
        <w:t>ב סימן כ</w:t>
      </w:r>
      <w:r>
        <w:rPr>
          <w:rFonts w:eastAsia="MS Mincho" w:hint="cs"/>
          <w:sz w:val="18"/>
          <w:szCs w:val="20"/>
          <w:rtl/>
        </w:rPr>
        <w:t>"</w:t>
      </w:r>
      <w:r>
        <w:rPr>
          <w:rFonts w:eastAsia="MS Mincho"/>
          <w:sz w:val="18"/>
          <w:szCs w:val="20"/>
          <w:rtl/>
        </w:rPr>
        <w:t>ה</w:t>
      </w:r>
      <w:r>
        <w:rPr>
          <w:rFonts w:eastAsia="MS Mincho" w:hint="cs"/>
          <w:sz w:val="18"/>
          <w:szCs w:val="20"/>
          <w:rtl/>
        </w:rPr>
        <w:t>;</w:t>
      </w:r>
      <w:r>
        <w:rPr>
          <w:rFonts w:eastAsia="MS Mincho"/>
          <w:sz w:val="18"/>
          <w:szCs w:val="20"/>
          <w:rtl/>
        </w:rPr>
        <w:t xml:space="preserve"> </w:t>
      </w:r>
      <w:r>
        <w:rPr>
          <w:rFonts w:eastAsia="MS Mincho"/>
          <w:sz w:val="26"/>
          <w:rtl/>
        </w:rPr>
        <w:t>שו"ת דברי יציב</w:t>
      </w:r>
      <w:r>
        <w:rPr>
          <w:rFonts w:eastAsia="MS Mincho" w:hint="cs"/>
          <w:sz w:val="18"/>
          <w:szCs w:val="20"/>
          <w:rtl/>
        </w:rPr>
        <w:t xml:space="preserve">, </w:t>
      </w:r>
      <w:r>
        <w:rPr>
          <w:rFonts w:eastAsia="MS Mincho"/>
          <w:sz w:val="18"/>
          <w:szCs w:val="20"/>
          <w:rtl/>
        </w:rPr>
        <w:t>א</w:t>
      </w:r>
      <w:r>
        <w:rPr>
          <w:rFonts w:eastAsia="MS Mincho" w:hint="cs"/>
          <w:sz w:val="18"/>
          <w:szCs w:val="20"/>
          <w:rtl/>
        </w:rPr>
        <w:t>ב</w:t>
      </w:r>
      <w:r>
        <w:rPr>
          <w:rFonts w:eastAsia="MS Mincho"/>
          <w:sz w:val="18"/>
          <w:szCs w:val="20"/>
          <w:rtl/>
        </w:rPr>
        <w:t>ה"ע סימן ט</w:t>
      </w:r>
      <w:r>
        <w:rPr>
          <w:rFonts w:eastAsia="MS Mincho" w:hint="cs"/>
          <w:sz w:val="18"/>
          <w:szCs w:val="20"/>
          <w:rtl/>
        </w:rPr>
        <w:t xml:space="preserve">' סע' ט-י; </w:t>
      </w:r>
      <w:r>
        <w:rPr>
          <w:sz w:val="26"/>
          <w:rtl/>
        </w:rPr>
        <w:t xml:space="preserve">שו"ת יביע אומר </w:t>
      </w:r>
      <w:r>
        <w:rPr>
          <w:sz w:val="18"/>
          <w:szCs w:val="20"/>
          <w:rtl/>
        </w:rPr>
        <w:t>ח</w:t>
      </w:r>
      <w:r>
        <w:rPr>
          <w:rFonts w:hint="cs"/>
          <w:sz w:val="18"/>
          <w:szCs w:val="20"/>
          <w:rtl/>
        </w:rPr>
        <w:t>"</w:t>
      </w:r>
      <w:r>
        <w:rPr>
          <w:sz w:val="18"/>
          <w:szCs w:val="20"/>
          <w:rtl/>
        </w:rPr>
        <w:t>ז</w:t>
      </w:r>
      <w:r>
        <w:rPr>
          <w:rFonts w:hint="cs"/>
          <w:sz w:val="18"/>
          <w:szCs w:val="20"/>
          <w:rtl/>
        </w:rPr>
        <w:t xml:space="preserve">, </w:t>
      </w:r>
      <w:r>
        <w:rPr>
          <w:sz w:val="18"/>
          <w:szCs w:val="20"/>
          <w:rtl/>
        </w:rPr>
        <w:t>חו"מ סימן י</w:t>
      </w:r>
      <w:r>
        <w:rPr>
          <w:rFonts w:hint="cs"/>
          <w:sz w:val="18"/>
          <w:szCs w:val="20"/>
          <w:rtl/>
        </w:rPr>
        <w:t>'.</w:t>
      </w:r>
    </w:p>
  </w:footnote>
  <w:footnote w:id="266">
    <w:p w14:paraId="3CDC5C56" w14:textId="77777777" w:rsidR="00273399" w:rsidRDefault="00273399" w:rsidP="00273399">
      <w:pPr>
        <w:pStyle w:val="a5"/>
        <w:rPr>
          <w:rFonts w:hint="cs"/>
          <w:rtl/>
        </w:rPr>
      </w:pPr>
      <w:r>
        <w:rPr>
          <w:rStyle w:val="a4"/>
          <w:rtl/>
        </w:rPr>
        <w:footnoteRef/>
      </w:r>
      <w:r>
        <w:rPr>
          <w:szCs w:val="22"/>
        </w:rPr>
        <w:t xml:space="preserve"> </w:t>
      </w:r>
      <w:r>
        <w:rPr>
          <w:rFonts w:hint="cs"/>
          <w:rtl/>
        </w:rPr>
        <w:t xml:space="preserve">נמנה כמה מהן: </w:t>
      </w:r>
    </w:p>
    <w:p w14:paraId="6CCF14C6" w14:textId="77777777" w:rsidR="00273399" w:rsidRDefault="00273399" w:rsidP="00273399">
      <w:pPr>
        <w:pStyle w:val="a5"/>
        <w:numPr>
          <w:ilvl w:val="0"/>
          <w:numId w:val="3"/>
        </w:numPr>
        <w:ind w:right="0"/>
        <w:rPr>
          <w:rFonts w:hint="cs"/>
          <w:szCs w:val="22"/>
          <w:rtl/>
        </w:rPr>
      </w:pPr>
      <w:r>
        <w:rPr>
          <w:rFonts w:hint="cs"/>
          <w:rtl/>
        </w:rPr>
        <w:t>"</w:t>
      </w:r>
      <w:r>
        <w:rPr>
          <w:rFonts w:eastAsia="MS Mincho"/>
          <w:rtl/>
        </w:rPr>
        <w:t xml:space="preserve">רבי יוחנן רמי: כתיב </w:t>
      </w:r>
      <w:r>
        <w:rPr>
          <w:rFonts w:eastAsia="MS Mincho" w:hint="cs"/>
          <w:rtl/>
        </w:rPr>
        <w:t>'</w:t>
      </w:r>
      <w:r>
        <w:rPr>
          <w:rFonts w:eastAsia="MS Mincho"/>
          <w:rtl/>
        </w:rPr>
        <w:t>וְעָשִׂיתָ לְּךָ אֲרוֹן עֵץ</w:t>
      </w:r>
      <w:r>
        <w:rPr>
          <w:rFonts w:eastAsia="MS Mincho" w:hint="cs"/>
          <w:rtl/>
        </w:rPr>
        <w:t>' (</w:t>
      </w:r>
      <w:r>
        <w:rPr>
          <w:rFonts w:eastAsia="MS Mincho"/>
          <w:sz w:val="18"/>
          <w:szCs w:val="20"/>
          <w:rtl/>
        </w:rPr>
        <w:t>דברים י</w:t>
      </w:r>
      <w:r>
        <w:rPr>
          <w:rFonts w:eastAsia="MS Mincho" w:hint="cs"/>
          <w:sz w:val="18"/>
          <w:szCs w:val="20"/>
          <w:rtl/>
        </w:rPr>
        <w:t>, א</w:t>
      </w:r>
      <w:r>
        <w:rPr>
          <w:rFonts w:eastAsia="MS Mincho" w:hint="cs"/>
          <w:rtl/>
        </w:rPr>
        <w:t>)</w:t>
      </w:r>
      <w:r>
        <w:rPr>
          <w:rFonts w:eastAsia="MS Mincho"/>
          <w:rtl/>
        </w:rPr>
        <w:t>, וכתיב</w:t>
      </w:r>
      <w:r>
        <w:rPr>
          <w:rFonts w:eastAsia="MS Mincho" w:hint="cs"/>
          <w:rtl/>
        </w:rPr>
        <w:t xml:space="preserve"> '</w:t>
      </w:r>
      <w:r>
        <w:rPr>
          <w:rFonts w:eastAsia="MS Mincho"/>
          <w:rtl/>
        </w:rPr>
        <w:t>וְעָשׂוּ אֲרוֹן עֲצֵי שִׁטִּים</w:t>
      </w:r>
      <w:r>
        <w:rPr>
          <w:rFonts w:eastAsia="MS Mincho" w:hint="cs"/>
          <w:rtl/>
        </w:rPr>
        <w:t>'</w:t>
      </w:r>
      <w:r>
        <w:rPr>
          <w:rFonts w:eastAsia="MS Mincho"/>
          <w:rtl/>
        </w:rPr>
        <w:t xml:space="preserve"> </w:t>
      </w:r>
      <w:r>
        <w:rPr>
          <w:rFonts w:eastAsia="MS Mincho" w:hint="cs"/>
          <w:rtl/>
        </w:rPr>
        <w:t>(</w:t>
      </w:r>
      <w:r>
        <w:rPr>
          <w:rFonts w:eastAsia="MS Mincho"/>
          <w:sz w:val="18"/>
          <w:szCs w:val="20"/>
          <w:rtl/>
        </w:rPr>
        <w:t>שמות כה</w:t>
      </w:r>
      <w:r>
        <w:rPr>
          <w:rFonts w:eastAsia="MS Mincho" w:hint="cs"/>
          <w:sz w:val="18"/>
          <w:szCs w:val="20"/>
          <w:rtl/>
        </w:rPr>
        <w:t>,</w:t>
      </w:r>
      <w:r>
        <w:rPr>
          <w:rFonts w:eastAsia="MS Mincho"/>
          <w:sz w:val="18"/>
          <w:szCs w:val="20"/>
          <w:rtl/>
        </w:rPr>
        <w:t xml:space="preserve"> י</w:t>
      </w:r>
      <w:r>
        <w:rPr>
          <w:rFonts w:eastAsia="MS Mincho" w:hint="cs"/>
          <w:rtl/>
        </w:rPr>
        <w:t xml:space="preserve">) </w:t>
      </w:r>
      <w:r>
        <w:rPr>
          <w:rFonts w:eastAsia="MS Mincho"/>
          <w:rtl/>
        </w:rPr>
        <w:t>- מכאן לתלמיד חכם שבני עירו מצווין לעשות לו מלאכתו</w:t>
      </w:r>
      <w:r>
        <w:rPr>
          <w:rFonts w:eastAsia="MS Mincho" w:hint="cs"/>
          <w:rtl/>
        </w:rPr>
        <w:t>" (</w:t>
      </w:r>
      <w:r>
        <w:rPr>
          <w:rFonts w:eastAsia="MS Mincho"/>
          <w:sz w:val="18"/>
          <w:szCs w:val="20"/>
          <w:rtl/>
        </w:rPr>
        <w:t>יומא עב</w:t>
      </w:r>
      <w:r>
        <w:rPr>
          <w:rFonts w:eastAsia="MS Mincho" w:hint="cs"/>
          <w:sz w:val="18"/>
          <w:szCs w:val="20"/>
          <w:rtl/>
        </w:rPr>
        <w:t xml:space="preserve">, </w:t>
      </w:r>
      <w:r>
        <w:rPr>
          <w:rFonts w:eastAsia="MS Mincho"/>
          <w:sz w:val="18"/>
          <w:szCs w:val="20"/>
          <w:rtl/>
        </w:rPr>
        <w:t>ב</w:t>
      </w:r>
      <w:r>
        <w:rPr>
          <w:rFonts w:eastAsia="MS Mincho" w:hint="cs"/>
          <w:rtl/>
        </w:rPr>
        <w:t>), ופרש רש"י: "</w:t>
      </w:r>
      <w:r>
        <w:rPr>
          <w:rtl/>
        </w:rPr>
        <w:t>מצווין לעשות מלאכתו - שהארון בתחילה הטיל הכתוב המלאכה על משה ואחר כך הטילו על הציבור, ואף על גב דקראי לאו בהאי סידרא כתיבי</w:t>
      </w:r>
      <w:r>
        <w:rPr>
          <w:rFonts w:hint="cs"/>
          <w:rtl/>
        </w:rPr>
        <w:t>,</w:t>
      </w:r>
      <w:r>
        <w:rPr>
          <w:rtl/>
        </w:rPr>
        <w:t xml:space="preserve"> אסמכתא בעלמא הוא דקאמר</w:t>
      </w:r>
      <w:r>
        <w:rPr>
          <w:rFonts w:hint="cs"/>
          <w:rtl/>
        </w:rPr>
        <w:t>"</w:t>
      </w:r>
      <w:r>
        <w:rPr>
          <w:rtl/>
        </w:rPr>
        <w:t>.</w:t>
      </w:r>
      <w:r>
        <w:rPr>
          <w:rFonts w:hint="cs"/>
          <w:rtl/>
        </w:rPr>
        <w:t xml:space="preserve"> ועל כך אמר</w:t>
      </w:r>
      <w:r>
        <w:rPr>
          <w:rtl/>
        </w:rPr>
        <w:t xml:space="preserve"> רבי יוחנן</w:t>
      </w:r>
      <w:r>
        <w:rPr>
          <w:rFonts w:hint="cs"/>
          <w:rtl/>
        </w:rPr>
        <w:t>: "</w:t>
      </w:r>
      <w:r>
        <w:rPr>
          <w:rtl/>
        </w:rPr>
        <w:t>איזהו תלמיד חכם שבני עירו מצווין לעשות לו מלאכתו</w:t>
      </w:r>
      <w:r>
        <w:rPr>
          <w:rFonts w:hint="cs"/>
          <w:rtl/>
        </w:rPr>
        <w:t xml:space="preserve">, </w:t>
      </w:r>
      <w:r>
        <w:rPr>
          <w:rtl/>
        </w:rPr>
        <w:t>זה שמניח חפצו ועוסק בחפצי  שמים</w:t>
      </w:r>
      <w:r>
        <w:rPr>
          <w:rFonts w:hint="cs"/>
          <w:rtl/>
        </w:rPr>
        <w:t xml:space="preserve">. </w:t>
      </w:r>
      <w:r>
        <w:rPr>
          <w:rtl/>
        </w:rPr>
        <w:t>והני מילי</w:t>
      </w:r>
      <w:r>
        <w:rPr>
          <w:rFonts w:hint="cs"/>
          <w:rtl/>
        </w:rPr>
        <w:t xml:space="preserve">, </w:t>
      </w:r>
      <w:r>
        <w:rPr>
          <w:rtl/>
        </w:rPr>
        <w:t>למיטרח בריפתיה</w:t>
      </w:r>
      <w:r>
        <w:rPr>
          <w:rFonts w:hint="cs"/>
          <w:rtl/>
        </w:rPr>
        <w:t>" (</w:t>
      </w:r>
      <w:r>
        <w:rPr>
          <w:rFonts w:hint="cs"/>
          <w:sz w:val="18"/>
          <w:szCs w:val="20"/>
          <w:rtl/>
        </w:rPr>
        <w:t>להלן</w:t>
      </w:r>
      <w:r>
        <w:rPr>
          <w:sz w:val="18"/>
          <w:szCs w:val="20"/>
          <w:rtl/>
        </w:rPr>
        <w:t xml:space="preserve"> קיד</w:t>
      </w:r>
      <w:r>
        <w:rPr>
          <w:rFonts w:hint="cs"/>
          <w:sz w:val="18"/>
          <w:szCs w:val="20"/>
          <w:rtl/>
        </w:rPr>
        <w:t xml:space="preserve">, </w:t>
      </w:r>
      <w:r>
        <w:rPr>
          <w:sz w:val="18"/>
          <w:szCs w:val="20"/>
          <w:rtl/>
        </w:rPr>
        <w:t>א</w:t>
      </w:r>
      <w:r>
        <w:rPr>
          <w:rFonts w:hint="cs"/>
          <w:rtl/>
        </w:rPr>
        <w:t>), ופרש רש"י: "</w:t>
      </w:r>
      <w:r>
        <w:rPr>
          <w:rtl/>
        </w:rPr>
        <w:t>למיטרח בריפתיה -  דבר שאינו יכול לטרוח בו, וחייו תלויין בו</w:t>
      </w:r>
      <w:r>
        <w:rPr>
          <w:rFonts w:hint="cs"/>
          <w:rtl/>
        </w:rPr>
        <w:t xml:space="preserve">; </w:t>
      </w:r>
      <w:r>
        <w:rPr>
          <w:rtl/>
        </w:rPr>
        <w:t>אם יודע להשיב במסכת שהוא עוסק בה</w:t>
      </w:r>
      <w:r>
        <w:rPr>
          <w:rFonts w:hint="cs"/>
          <w:rtl/>
        </w:rPr>
        <w:t xml:space="preserve">, </w:t>
      </w:r>
      <w:r>
        <w:rPr>
          <w:rtl/>
        </w:rPr>
        <w:t>ממנים אותו פרנס באתריה</w:t>
      </w:r>
      <w:r>
        <w:rPr>
          <w:rFonts w:hint="cs"/>
          <w:rtl/>
        </w:rPr>
        <w:t>"</w:t>
      </w:r>
      <w:r>
        <w:rPr>
          <w:rtl/>
        </w:rPr>
        <w:t>.</w:t>
      </w:r>
      <w:r>
        <w:rPr>
          <w:rFonts w:hint="cs"/>
          <w:rtl/>
        </w:rPr>
        <w:t xml:space="preserve"> </w:t>
      </w:r>
      <w:r>
        <w:rPr>
          <w:rFonts w:hint="cs"/>
          <w:sz w:val="18"/>
          <w:szCs w:val="20"/>
          <w:rtl/>
        </w:rPr>
        <w:t xml:space="preserve">דברי </w:t>
      </w:r>
      <w:r>
        <w:rPr>
          <w:sz w:val="18"/>
          <w:szCs w:val="20"/>
          <w:rtl/>
        </w:rPr>
        <w:t>רבי יוחנן</w:t>
      </w:r>
      <w:r>
        <w:rPr>
          <w:rFonts w:hint="cs"/>
          <w:sz w:val="14"/>
          <w:szCs w:val="16"/>
          <w:rtl/>
        </w:rPr>
        <w:t xml:space="preserve"> </w:t>
      </w:r>
      <w:r>
        <w:rPr>
          <w:rFonts w:hint="cs"/>
          <w:sz w:val="18"/>
          <w:szCs w:val="20"/>
          <w:rtl/>
        </w:rPr>
        <w:t>הובאו ברי"ף וברא"ש על אתר, ב</w:t>
      </w:r>
      <w:r>
        <w:rPr>
          <w:sz w:val="18"/>
          <w:szCs w:val="20"/>
          <w:rtl/>
        </w:rPr>
        <w:t>שו"ת רבינו גרשום מאור הגולה סימן ס</w:t>
      </w:r>
      <w:r>
        <w:rPr>
          <w:rFonts w:hint="cs"/>
          <w:sz w:val="18"/>
          <w:szCs w:val="20"/>
          <w:rtl/>
        </w:rPr>
        <w:t>"</w:t>
      </w:r>
      <w:r>
        <w:rPr>
          <w:sz w:val="18"/>
          <w:szCs w:val="20"/>
          <w:rtl/>
        </w:rPr>
        <w:t>ח</w:t>
      </w:r>
      <w:r>
        <w:rPr>
          <w:rFonts w:hint="cs"/>
          <w:sz w:val="18"/>
          <w:szCs w:val="20"/>
          <w:rtl/>
        </w:rPr>
        <w:t>, ב</w:t>
      </w:r>
      <w:r>
        <w:rPr>
          <w:sz w:val="18"/>
          <w:szCs w:val="20"/>
          <w:rtl/>
        </w:rPr>
        <w:t>שו"ת תשב"ץ ח</w:t>
      </w:r>
      <w:r>
        <w:rPr>
          <w:rFonts w:hint="cs"/>
          <w:sz w:val="18"/>
          <w:szCs w:val="20"/>
          <w:rtl/>
        </w:rPr>
        <w:t>"</w:t>
      </w:r>
      <w:r>
        <w:rPr>
          <w:sz w:val="18"/>
          <w:szCs w:val="20"/>
          <w:rtl/>
        </w:rPr>
        <w:t>א סימן קמ</w:t>
      </w:r>
      <w:r>
        <w:rPr>
          <w:rFonts w:hint="cs"/>
          <w:sz w:val="18"/>
          <w:szCs w:val="20"/>
          <w:rtl/>
        </w:rPr>
        <w:t>"</w:t>
      </w:r>
      <w:r>
        <w:rPr>
          <w:sz w:val="18"/>
          <w:szCs w:val="20"/>
          <w:rtl/>
        </w:rPr>
        <w:t>ו</w:t>
      </w:r>
      <w:r>
        <w:rPr>
          <w:rFonts w:hint="cs"/>
          <w:sz w:val="18"/>
          <w:szCs w:val="20"/>
          <w:rtl/>
        </w:rPr>
        <w:t>, ב</w:t>
      </w:r>
      <w:r>
        <w:rPr>
          <w:sz w:val="18"/>
          <w:szCs w:val="20"/>
          <w:rtl/>
        </w:rPr>
        <w:t>שו"ת שרידי אש ח</w:t>
      </w:r>
      <w:r>
        <w:rPr>
          <w:rFonts w:hint="cs"/>
          <w:sz w:val="18"/>
          <w:szCs w:val="20"/>
          <w:rtl/>
        </w:rPr>
        <w:t>"</w:t>
      </w:r>
      <w:r>
        <w:rPr>
          <w:sz w:val="18"/>
          <w:szCs w:val="20"/>
          <w:rtl/>
        </w:rPr>
        <w:t>א סימן קל</w:t>
      </w:r>
      <w:r>
        <w:rPr>
          <w:rFonts w:hint="cs"/>
          <w:sz w:val="18"/>
          <w:szCs w:val="20"/>
          <w:rtl/>
        </w:rPr>
        <w:t>"</w:t>
      </w:r>
      <w:r>
        <w:rPr>
          <w:sz w:val="18"/>
          <w:szCs w:val="20"/>
          <w:rtl/>
        </w:rPr>
        <w:t>ח</w:t>
      </w:r>
      <w:r>
        <w:rPr>
          <w:rFonts w:hint="cs"/>
          <w:sz w:val="18"/>
          <w:szCs w:val="20"/>
          <w:rtl/>
        </w:rPr>
        <w:t>,</w:t>
      </w:r>
      <w:r>
        <w:rPr>
          <w:sz w:val="18"/>
          <w:szCs w:val="20"/>
          <w:rtl/>
        </w:rPr>
        <w:t xml:space="preserve"> </w:t>
      </w:r>
      <w:r>
        <w:rPr>
          <w:rFonts w:hint="cs"/>
          <w:sz w:val="18"/>
          <w:szCs w:val="20"/>
          <w:rtl/>
        </w:rPr>
        <w:t>וב</w:t>
      </w:r>
      <w:r>
        <w:rPr>
          <w:sz w:val="18"/>
          <w:szCs w:val="20"/>
          <w:rtl/>
        </w:rPr>
        <w:t>שו"ת דברי יציב</w:t>
      </w:r>
      <w:r>
        <w:rPr>
          <w:rFonts w:hint="cs"/>
          <w:sz w:val="18"/>
          <w:szCs w:val="20"/>
          <w:rtl/>
        </w:rPr>
        <w:t xml:space="preserve">, </w:t>
      </w:r>
      <w:r>
        <w:rPr>
          <w:sz w:val="18"/>
          <w:szCs w:val="20"/>
          <w:rtl/>
        </w:rPr>
        <w:t>א</w:t>
      </w:r>
      <w:r>
        <w:rPr>
          <w:rFonts w:hint="cs"/>
          <w:sz w:val="18"/>
          <w:szCs w:val="20"/>
          <w:rtl/>
        </w:rPr>
        <w:t>ב</w:t>
      </w:r>
      <w:r>
        <w:rPr>
          <w:sz w:val="18"/>
          <w:szCs w:val="20"/>
          <w:rtl/>
        </w:rPr>
        <w:t>ה"ע סימן ט</w:t>
      </w:r>
      <w:r>
        <w:rPr>
          <w:rFonts w:hint="cs"/>
          <w:sz w:val="18"/>
          <w:szCs w:val="20"/>
          <w:rtl/>
        </w:rPr>
        <w:t>', סעיף ט'.</w:t>
      </w:r>
    </w:p>
    <w:p w14:paraId="5F5CDF59" w14:textId="77777777" w:rsidR="00273399" w:rsidRDefault="00273399" w:rsidP="00273399">
      <w:pPr>
        <w:pStyle w:val="a5"/>
        <w:numPr>
          <w:ilvl w:val="0"/>
          <w:numId w:val="3"/>
        </w:numPr>
        <w:ind w:right="0"/>
        <w:rPr>
          <w:rFonts w:hint="cs"/>
          <w:szCs w:val="22"/>
          <w:rtl/>
        </w:rPr>
      </w:pPr>
      <w:r>
        <w:rPr>
          <w:rFonts w:hint="cs"/>
          <w:rtl/>
        </w:rPr>
        <w:t>אחת התשובות לשאלה "</w:t>
      </w:r>
      <w:r>
        <w:rPr>
          <w:rtl/>
        </w:rPr>
        <w:t>מפני מה נענש אברהם אבינו ונשתעבדו בניו למצרים מאתים ועשר שנים</w:t>
      </w:r>
      <w:r>
        <w:rPr>
          <w:rFonts w:hint="cs"/>
          <w:rtl/>
        </w:rPr>
        <w:t>" היא זו (</w:t>
      </w:r>
      <w:r>
        <w:rPr>
          <w:sz w:val="18"/>
          <w:szCs w:val="20"/>
          <w:rtl/>
        </w:rPr>
        <w:t>נדרים לב</w:t>
      </w:r>
      <w:r>
        <w:rPr>
          <w:rFonts w:hint="cs"/>
          <w:sz w:val="18"/>
          <w:szCs w:val="20"/>
          <w:rtl/>
        </w:rPr>
        <w:t xml:space="preserve">, </w:t>
      </w:r>
      <w:r>
        <w:rPr>
          <w:sz w:val="18"/>
          <w:szCs w:val="20"/>
          <w:rtl/>
        </w:rPr>
        <w:t>א</w:t>
      </w:r>
      <w:r>
        <w:rPr>
          <w:rFonts w:hint="cs"/>
          <w:rtl/>
        </w:rPr>
        <w:t>): "</w:t>
      </w:r>
      <w:r>
        <w:rPr>
          <w:rtl/>
        </w:rPr>
        <w:t>אמר רבי אבהו אמר רבי אלעזר: מפני שעשה אנגרייא בת</w:t>
      </w:r>
      <w:r>
        <w:rPr>
          <w:rFonts w:hint="cs"/>
          <w:rtl/>
        </w:rPr>
        <w:t xml:space="preserve">למידי </w:t>
      </w:r>
      <w:r>
        <w:rPr>
          <w:rtl/>
        </w:rPr>
        <w:t>ח</w:t>
      </w:r>
      <w:r>
        <w:rPr>
          <w:rFonts w:hint="cs"/>
          <w:rtl/>
        </w:rPr>
        <w:t>כמים",</w:t>
      </w:r>
      <w:r>
        <w:rPr>
          <w:rtl/>
        </w:rPr>
        <w:t xml:space="preserve"> ר"ן</w:t>
      </w:r>
      <w:r>
        <w:rPr>
          <w:rFonts w:hint="cs"/>
          <w:rtl/>
        </w:rPr>
        <w:t>: "</w:t>
      </w:r>
      <w:r>
        <w:rPr>
          <w:rtl/>
        </w:rPr>
        <w:t>שעשה אנגרייא בתלמידי חכמים - שהוליכן למלחמה</w:t>
      </w:r>
      <w:r>
        <w:rPr>
          <w:rFonts w:hint="cs"/>
          <w:rtl/>
        </w:rPr>
        <w:t>,</w:t>
      </w:r>
      <w:r>
        <w:rPr>
          <w:rtl/>
        </w:rPr>
        <w:t xml:space="preserve"> כדכתיב וַיָּרֶק אֶת חֲנִיכָיו </w:t>
      </w:r>
      <w:r>
        <w:rPr>
          <w:rFonts w:hint="cs"/>
          <w:rtl/>
        </w:rPr>
        <w:t>(</w:t>
      </w:r>
      <w:r>
        <w:rPr>
          <w:sz w:val="18"/>
          <w:szCs w:val="20"/>
          <w:rtl/>
        </w:rPr>
        <w:t>בראשית יד</w:t>
      </w:r>
      <w:r>
        <w:rPr>
          <w:rFonts w:hint="cs"/>
          <w:sz w:val="18"/>
          <w:szCs w:val="20"/>
          <w:rtl/>
        </w:rPr>
        <w:t xml:space="preserve">, </w:t>
      </w:r>
      <w:r>
        <w:rPr>
          <w:sz w:val="18"/>
          <w:szCs w:val="20"/>
          <w:rtl/>
        </w:rPr>
        <w:t>יד</w:t>
      </w:r>
      <w:r>
        <w:rPr>
          <w:rFonts w:hint="cs"/>
          <w:rtl/>
        </w:rPr>
        <w:t xml:space="preserve">) </w:t>
      </w:r>
      <w:r>
        <w:rPr>
          <w:rtl/>
        </w:rPr>
        <w:t>דהיינו בני אדם שחנך לתורה</w:t>
      </w:r>
      <w:r>
        <w:rPr>
          <w:rFonts w:hint="cs"/>
          <w:rtl/>
        </w:rPr>
        <w:t>"</w:t>
      </w:r>
      <w:r>
        <w:rPr>
          <w:rtl/>
        </w:rPr>
        <w:t>.</w:t>
      </w:r>
      <w:r>
        <w:rPr>
          <w:rFonts w:hint="cs"/>
          <w:rtl/>
        </w:rPr>
        <w:t xml:space="preserve"> </w:t>
      </w:r>
    </w:p>
    <w:p w14:paraId="08F13712" w14:textId="77777777" w:rsidR="00273399" w:rsidRDefault="00273399" w:rsidP="00273399">
      <w:pPr>
        <w:pStyle w:val="a5"/>
        <w:numPr>
          <w:ilvl w:val="0"/>
          <w:numId w:val="3"/>
        </w:numPr>
        <w:ind w:right="0"/>
        <w:rPr>
          <w:rFonts w:hint="cs"/>
          <w:szCs w:val="22"/>
          <w:rtl/>
        </w:rPr>
      </w:pPr>
      <w:r>
        <w:rPr>
          <w:rFonts w:hint="cs"/>
          <w:rtl/>
        </w:rPr>
        <w:t>"</w:t>
      </w:r>
      <w:r>
        <w:rPr>
          <w:rtl/>
        </w:rPr>
        <w:t>אמר רב יהודה: הכל לאיגלי גפא, ואפילו מיתמי</w:t>
      </w:r>
      <w:r>
        <w:rPr>
          <w:rFonts w:hint="cs"/>
          <w:rtl/>
        </w:rPr>
        <w:t xml:space="preserve">, </w:t>
      </w:r>
      <w:r>
        <w:rPr>
          <w:rtl/>
        </w:rPr>
        <w:t>אבל רבנן - לא. מאי טעמא</w:t>
      </w:r>
      <w:r>
        <w:rPr>
          <w:rFonts w:hint="cs"/>
          <w:rtl/>
        </w:rPr>
        <w:t xml:space="preserve">? </w:t>
      </w:r>
      <w:r>
        <w:rPr>
          <w:rtl/>
        </w:rPr>
        <w:t>רבנן לא</w:t>
      </w:r>
      <w:r>
        <w:rPr>
          <w:rFonts w:hint="cs"/>
          <w:rtl/>
        </w:rPr>
        <w:t xml:space="preserve"> </w:t>
      </w:r>
      <w:r>
        <w:rPr>
          <w:rtl/>
        </w:rPr>
        <w:t>צריכי נטירותא</w:t>
      </w:r>
      <w:r>
        <w:rPr>
          <w:rFonts w:hint="cs"/>
          <w:rtl/>
        </w:rPr>
        <w:t xml:space="preserve">; </w:t>
      </w:r>
      <w:r>
        <w:rPr>
          <w:rtl/>
        </w:rPr>
        <w:t>לכריא דפתיא</w:t>
      </w:r>
      <w:r>
        <w:rPr>
          <w:rFonts w:hint="cs"/>
          <w:rtl/>
        </w:rPr>
        <w:t xml:space="preserve">, </w:t>
      </w:r>
      <w:r>
        <w:rPr>
          <w:rtl/>
        </w:rPr>
        <w:t>ואפילו מרבנן. ולא אמרן אלא דלא נפקא באוכלוזא,</w:t>
      </w:r>
      <w:r>
        <w:rPr>
          <w:rFonts w:hint="cs"/>
          <w:rtl/>
        </w:rPr>
        <w:t xml:space="preserve"> </w:t>
      </w:r>
      <w:r>
        <w:rPr>
          <w:rtl/>
        </w:rPr>
        <w:t>אבל לאוכלוזא - לא, דרבנן לאו בני מיפק באוכלוזא נינהו</w:t>
      </w:r>
      <w:r>
        <w:rPr>
          <w:rFonts w:hint="cs"/>
          <w:rtl/>
        </w:rPr>
        <w:t>" (</w:t>
      </w:r>
      <w:r>
        <w:rPr>
          <w:sz w:val="18"/>
          <w:szCs w:val="20"/>
          <w:rtl/>
        </w:rPr>
        <w:t>בבא מציעא קח</w:t>
      </w:r>
      <w:r>
        <w:rPr>
          <w:rFonts w:hint="cs"/>
          <w:sz w:val="18"/>
          <w:szCs w:val="20"/>
          <w:rtl/>
        </w:rPr>
        <w:t xml:space="preserve">, </w:t>
      </w:r>
      <w:r>
        <w:rPr>
          <w:sz w:val="18"/>
          <w:szCs w:val="20"/>
          <w:rtl/>
        </w:rPr>
        <w:t>א</w:t>
      </w:r>
      <w:r>
        <w:rPr>
          <w:rFonts w:hint="cs"/>
          <w:sz w:val="18"/>
          <w:szCs w:val="20"/>
          <w:rtl/>
        </w:rPr>
        <w:t xml:space="preserve">; </w:t>
      </w:r>
      <w:r>
        <w:rPr>
          <w:sz w:val="18"/>
          <w:szCs w:val="20"/>
          <w:rtl/>
        </w:rPr>
        <w:t>בבא בתרא ח</w:t>
      </w:r>
      <w:r>
        <w:rPr>
          <w:rFonts w:hint="cs"/>
          <w:sz w:val="18"/>
          <w:szCs w:val="20"/>
          <w:rtl/>
        </w:rPr>
        <w:t xml:space="preserve">, </w:t>
      </w:r>
      <w:r>
        <w:rPr>
          <w:sz w:val="18"/>
          <w:szCs w:val="20"/>
          <w:rtl/>
        </w:rPr>
        <w:t>א</w:t>
      </w:r>
      <w:r>
        <w:rPr>
          <w:rFonts w:hint="cs"/>
          <w:rtl/>
        </w:rPr>
        <w:t xml:space="preserve">), </w:t>
      </w:r>
      <w:r>
        <w:rPr>
          <w:rtl/>
        </w:rPr>
        <w:t>רש"י</w:t>
      </w:r>
      <w:r>
        <w:rPr>
          <w:rFonts w:hint="cs"/>
          <w:rtl/>
        </w:rPr>
        <w:t>: "</w:t>
      </w:r>
      <w:r>
        <w:rPr>
          <w:rtl/>
        </w:rPr>
        <w:t>לאגלי גפא - הכל מסייעין לגדור חומת העיר ולהעמיד שעריה, שלא יכנס צבא שונאים לעיר</w:t>
      </w:r>
      <w:r>
        <w:rPr>
          <w:rFonts w:hint="cs"/>
          <w:rtl/>
        </w:rPr>
        <w:t xml:space="preserve">... </w:t>
      </w:r>
      <w:r>
        <w:rPr>
          <w:rtl/>
        </w:rPr>
        <w:t>לא צריכי נטירותא - תורתו משמרתו, כדכתיב</w:t>
      </w:r>
      <w:r>
        <w:rPr>
          <w:rFonts w:hint="cs"/>
          <w:rtl/>
        </w:rPr>
        <w:t>:</w:t>
      </w:r>
      <w:r>
        <w:rPr>
          <w:rtl/>
        </w:rPr>
        <w:t xml:space="preserve"> </w:t>
      </w:r>
      <w:r>
        <w:rPr>
          <w:rFonts w:hint="cs"/>
          <w:rtl/>
        </w:rPr>
        <w:t>'</w:t>
      </w:r>
      <w:r>
        <w:rPr>
          <w:rtl/>
        </w:rPr>
        <w:t>בְּשָׁכְבְּךָ תִּשְׁמֹר עָלֶיךָ</w:t>
      </w:r>
      <w:r>
        <w:rPr>
          <w:rFonts w:hint="cs"/>
          <w:rtl/>
        </w:rPr>
        <w:t xml:space="preserve">' </w:t>
      </w:r>
      <w:r>
        <w:rPr>
          <w:rtl/>
        </w:rPr>
        <w:t>(</w:t>
      </w:r>
      <w:r>
        <w:rPr>
          <w:sz w:val="18"/>
          <w:szCs w:val="20"/>
          <w:rtl/>
        </w:rPr>
        <w:t>משלי ו</w:t>
      </w:r>
      <w:r>
        <w:rPr>
          <w:rFonts w:hint="cs"/>
          <w:szCs w:val="20"/>
          <w:rtl/>
        </w:rPr>
        <w:t>, כב</w:t>
      </w:r>
      <w:r>
        <w:rPr>
          <w:rtl/>
        </w:rPr>
        <w:t>)</w:t>
      </w:r>
      <w:r>
        <w:rPr>
          <w:rFonts w:hint="cs"/>
          <w:rtl/>
        </w:rPr>
        <w:t xml:space="preserve">. </w:t>
      </w:r>
      <w:r>
        <w:rPr>
          <w:rtl/>
        </w:rPr>
        <w:t>לכריא דפתיא - לכרות מעין או בורות למים לשתות. ואפילו מרבנן - שהרי גם הם צריכים לשתות</w:t>
      </w:r>
      <w:r>
        <w:rPr>
          <w:rFonts w:hint="cs"/>
          <w:rtl/>
        </w:rPr>
        <w:t xml:space="preserve">... </w:t>
      </w:r>
      <w:r>
        <w:rPr>
          <w:rtl/>
        </w:rPr>
        <w:t>דלא נפקי באכלוזא -  שאין יוצאין בעלי בתים עצמן</w:t>
      </w:r>
      <w:r>
        <w:rPr>
          <w:rFonts w:hint="cs"/>
          <w:rtl/>
        </w:rPr>
        <w:t xml:space="preserve">... </w:t>
      </w:r>
      <w:r>
        <w:rPr>
          <w:rtl/>
        </w:rPr>
        <w:t>לחפור, אלא גובין מעות ושוכרין פועלים. לאו בני מיפק וכו' - גנאי הוא להן</w:t>
      </w:r>
      <w:r>
        <w:rPr>
          <w:rFonts w:hint="cs"/>
          <w:rtl/>
        </w:rPr>
        <w:t>"</w:t>
      </w:r>
      <w:r>
        <w:rPr>
          <w:rtl/>
        </w:rPr>
        <w:t>.</w:t>
      </w:r>
    </w:p>
    <w:p w14:paraId="28DA69EF" w14:textId="77777777" w:rsidR="00273399" w:rsidRDefault="00273399" w:rsidP="00273399">
      <w:pPr>
        <w:pStyle w:val="a5"/>
        <w:numPr>
          <w:ilvl w:val="0"/>
          <w:numId w:val="3"/>
        </w:numPr>
        <w:ind w:right="0"/>
        <w:rPr>
          <w:rFonts w:hint="cs"/>
          <w:rtl/>
        </w:rPr>
      </w:pPr>
      <w:r>
        <w:rPr>
          <w:rFonts w:hint="cs"/>
          <w:rtl/>
        </w:rPr>
        <w:t>"</w:t>
      </w:r>
      <w:r>
        <w:rPr>
          <w:rtl/>
        </w:rPr>
        <w:t>רבי יהודה נשיאה רמא דשורא אדרבנן</w:t>
      </w:r>
      <w:r>
        <w:rPr>
          <w:rFonts w:hint="cs"/>
          <w:rtl/>
        </w:rPr>
        <w:t xml:space="preserve"> (</w:t>
      </w:r>
      <w:r>
        <w:rPr>
          <w:rFonts w:hint="cs"/>
          <w:sz w:val="18"/>
          <w:szCs w:val="20"/>
          <w:rtl/>
        </w:rPr>
        <w:t>"</w:t>
      </w:r>
      <w:r>
        <w:rPr>
          <w:sz w:val="18"/>
          <w:szCs w:val="20"/>
          <w:rtl/>
        </w:rPr>
        <w:t>הטיל יציאת חומת העיר על החכמים</w:t>
      </w:r>
      <w:r>
        <w:rPr>
          <w:rFonts w:hint="cs"/>
          <w:sz w:val="18"/>
          <w:szCs w:val="20"/>
          <w:rtl/>
        </w:rPr>
        <w:t>,</w:t>
      </w:r>
      <w:r>
        <w:rPr>
          <w:sz w:val="18"/>
          <w:szCs w:val="20"/>
          <w:rtl/>
        </w:rPr>
        <w:t xml:space="preserve"> כמו על שאר בני אדם</w:t>
      </w:r>
      <w:r>
        <w:rPr>
          <w:rFonts w:hint="cs"/>
          <w:sz w:val="18"/>
          <w:szCs w:val="20"/>
          <w:rtl/>
        </w:rPr>
        <w:t xml:space="preserve">", </w:t>
      </w:r>
      <w:r>
        <w:rPr>
          <w:sz w:val="18"/>
          <w:szCs w:val="20"/>
          <w:rtl/>
        </w:rPr>
        <w:t>רש"י</w:t>
      </w:r>
      <w:r>
        <w:rPr>
          <w:rFonts w:hint="cs"/>
          <w:rtl/>
        </w:rPr>
        <w:t>)</w:t>
      </w:r>
      <w:r>
        <w:rPr>
          <w:rtl/>
        </w:rPr>
        <w:t>, אמר ריש לקיש: רבנן לא צריכי</w:t>
      </w:r>
      <w:r>
        <w:rPr>
          <w:rFonts w:hint="cs"/>
          <w:rtl/>
        </w:rPr>
        <w:t xml:space="preserve"> </w:t>
      </w:r>
      <w:r>
        <w:rPr>
          <w:rtl/>
        </w:rPr>
        <w:t>נטירותא</w:t>
      </w:r>
      <w:r>
        <w:rPr>
          <w:rFonts w:hint="cs"/>
          <w:rtl/>
        </w:rPr>
        <w:t xml:space="preserve">", ולדבריו הסכים גם </w:t>
      </w:r>
      <w:r>
        <w:rPr>
          <w:rtl/>
        </w:rPr>
        <w:t>רבי יוחנן</w:t>
      </w:r>
      <w:r>
        <w:rPr>
          <w:rFonts w:hint="cs"/>
          <w:rtl/>
        </w:rPr>
        <w:t xml:space="preserve"> (</w:t>
      </w:r>
      <w:r>
        <w:rPr>
          <w:sz w:val="18"/>
          <w:szCs w:val="20"/>
          <w:rtl/>
        </w:rPr>
        <w:t>בבא בתרא ז</w:t>
      </w:r>
      <w:r>
        <w:rPr>
          <w:rFonts w:hint="cs"/>
          <w:sz w:val="18"/>
          <w:szCs w:val="20"/>
          <w:rtl/>
        </w:rPr>
        <w:t xml:space="preserve">, </w:t>
      </w:r>
      <w:r>
        <w:rPr>
          <w:sz w:val="18"/>
          <w:szCs w:val="20"/>
          <w:rtl/>
        </w:rPr>
        <w:t>ב</w:t>
      </w:r>
      <w:r>
        <w:rPr>
          <w:rFonts w:hint="cs"/>
          <w:rtl/>
        </w:rPr>
        <w:t>).</w:t>
      </w:r>
    </w:p>
  </w:footnote>
  <w:footnote w:id="267">
    <w:p w14:paraId="5E1EB8BC" w14:textId="77777777" w:rsidR="00273399" w:rsidRDefault="00273399" w:rsidP="00273399">
      <w:pPr>
        <w:pStyle w:val="a5"/>
        <w:rPr>
          <w:rFonts w:eastAsia="MS Mincho" w:hint="cs"/>
          <w:rtl/>
        </w:rPr>
      </w:pPr>
      <w:r>
        <w:rPr>
          <w:rStyle w:val="a4"/>
          <w:rtl/>
        </w:rPr>
        <w:footnoteRef/>
      </w:r>
      <w:r>
        <w:rPr>
          <w:szCs w:val="22"/>
        </w:rPr>
        <w:t xml:space="preserve"> </w:t>
      </w:r>
      <w:r>
        <w:rPr>
          <w:rFonts w:eastAsia="MS Mincho" w:hint="cs"/>
          <w:rtl/>
        </w:rPr>
        <w:t>בביאור דבריו כתב ב</w:t>
      </w:r>
      <w:r>
        <w:rPr>
          <w:rFonts w:eastAsia="MS Mincho"/>
          <w:rtl/>
        </w:rPr>
        <w:t xml:space="preserve">שו"ת מהר"ם אלשקר </w:t>
      </w:r>
      <w:r>
        <w:rPr>
          <w:rFonts w:eastAsia="MS Mincho" w:hint="cs"/>
          <w:rtl/>
        </w:rPr>
        <w:t>(</w:t>
      </w:r>
      <w:r>
        <w:rPr>
          <w:rFonts w:eastAsia="MS Mincho"/>
          <w:sz w:val="18"/>
          <w:szCs w:val="20"/>
          <w:rtl/>
        </w:rPr>
        <w:t>סימן י</w:t>
      </w:r>
      <w:r>
        <w:rPr>
          <w:rFonts w:eastAsia="MS Mincho" w:hint="cs"/>
          <w:sz w:val="18"/>
          <w:szCs w:val="20"/>
          <w:rtl/>
        </w:rPr>
        <w:t>"</w:t>
      </w:r>
      <w:r>
        <w:rPr>
          <w:rFonts w:eastAsia="MS Mincho"/>
          <w:sz w:val="18"/>
          <w:szCs w:val="20"/>
          <w:rtl/>
        </w:rPr>
        <w:t>ט</w:t>
      </w:r>
      <w:r>
        <w:rPr>
          <w:rFonts w:eastAsia="MS Mincho" w:hint="cs"/>
          <w:rtl/>
        </w:rPr>
        <w:t>): "</w:t>
      </w:r>
      <w:r>
        <w:rPr>
          <w:rFonts w:eastAsia="MS Mincho"/>
          <w:rtl/>
        </w:rPr>
        <w:t>ונראה דמה שכתב הרא"ש ז"ל כדי להתפרנס</w:t>
      </w:r>
      <w:r>
        <w:rPr>
          <w:rFonts w:eastAsia="MS Mincho" w:hint="cs"/>
          <w:rtl/>
        </w:rPr>
        <w:t xml:space="preserve"> </w:t>
      </w:r>
      <w:r>
        <w:rPr>
          <w:rFonts w:eastAsia="MS Mincho"/>
          <w:rtl/>
        </w:rPr>
        <w:t>כדי חייו</w:t>
      </w:r>
      <w:r>
        <w:rPr>
          <w:rFonts w:eastAsia="MS Mincho" w:hint="cs"/>
          <w:rtl/>
        </w:rPr>
        <w:t>,</w:t>
      </w:r>
      <w:r>
        <w:rPr>
          <w:rFonts w:eastAsia="MS Mincho"/>
          <w:rtl/>
        </w:rPr>
        <w:t xml:space="preserve"> ל</w:t>
      </w:r>
      <w:r>
        <w:rPr>
          <w:rFonts w:eastAsia="MS Mincho" w:hint="cs"/>
          <w:rtl/>
        </w:rPr>
        <w:t xml:space="preserve">או </w:t>
      </w:r>
      <w:r>
        <w:rPr>
          <w:rFonts w:eastAsia="MS Mincho"/>
          <w:rtl/>
        </w:rPr>
        <w:t>ד</w:t>
      </w:r>
      <w:r>
        <w:rPr>
          <w:rFonts w:eastAsia="MS Mincho" w:hint="cs"/>
          <w:rtl/>
        </w:rPr>
        <w:t>וקא</w:t>
      </w:r>
      <w:r>
        <w:rPr>
          <w:rFonts w:eastAsia="MS Mincho"/>
          <w:rtl/>
        </w:rPr>
        <w:t xml:space="preserve"> כדי חייו בצמצום</w:t>
      </w:r>
      <w:r>
        <w:rPr>
          <w:rFonts w:eastAsia="MS Mincho" w:hint="cs"/>
          <w:rtl/>
        </w:rPr>
        <w:t>,</w:t>
      </w:r>
      <w:r>
        <w:rPr>
          <w:rFonts w:eastAsia="MS Mincho"/>
          <w:rtl/>
        </w:rPr>
        <w:t xml:space="preserve"> אלא כל שיהי</w:t>
      </w:r>
      <w:r>
        <w:rPr>
          <w:rFonts w:eastAsia="MS Mincho" w:hint="cs"/>
          <w:rtl/>
        </w:rPr>
        <w:t>ה</w:t>
      </w:r>
      <w:r>
        <w:rPr>
          <w:rFonts w:eastAsia="MS Mincho"/>
          <w:rtl/>
        </w:rPr>
        <w:t xml:space="preserve"> מתעס</w:t>
      </w:r>
      <w:r>
        <w:rPr>
          <w:rFonts w:eastAsia="MS Mincho" w:hint="cs"/>
          <w:rtl/>
        </w:rPr>
        <w:t>ק</w:t>
      </w:r>
      <w:r>
        <w:rPr>
          <w:rFonts w:eastAsia="MS Mincho"/>
          <w:rtl/>
        </w:rPr>
        <w:t xml:space="preserve"> כדי להחיות את נפשו</w:t>
      </w:r>
      <w:r>
        <w:rPr>
          <w:rFonts w:eastAsia="MS Mincho" w:hint="cs"/>
          <w:rtl/>
        </w:rPr>
        <w:t>,</w:t>
      </w:r>
      <w:r>
        <w:rPr>
          <w:rFonts w:eastAsia="MS Mincho"/>
          <w:rtl/>
        </w:rPr>
        <w:t xml:space="preserve"> כדי חייו קרינן ביה. ודיקא דכתב </w:t>
      </w:r>
      <w:r>
        <w:rPr>
          <w:rFonts w:eastAsia="MS Mincho" w:hint="cs"/>
          <w:rtl/>
        </w:rPr>
        <w:t>'</w:t>
      </w:r>
      <w:r>
        <w:rPr>
          <w:rFonts w:eastAsia="MS Mincho"/>
          <w:rtl/>
        </w:rPr>
        <w:t>ולא להתעשר</w:t>
      </w:r>
      <w:r>
        <w:rPr>
          <w:rFonts w:eastAsia="MS Mincho" w:hint="cs"/>
          <w:rtl/>
        </w:rPr>
        <w:t>'</w:t>
      </w:r>
      <w:r>
        <w:rPr>
          <w:rFonts w:eastAsia="MS Mincho"/>
          <w:rtl/>
        </w:rPr>
        <w:t xml:space="preserve"> ולא כתב </w:t>
      </w:r>
      <w:r>
        <w:rPr>
          <w:rFonts w:eastAsia="MS Mincho" w:hint="cs"/>
          <w:rtl/>
        </w:rPr>
        <w:t>'</w:t>
      </w:r>
      <w:r>
        <w:rPr>
          <w:rFonts w:eastAsia="MS Mincho"/>
          <w:rtl/>
        </w:rPr>
        <w:t>ולא ליותר מכדי חייו</w:t>
      </w:r>
      <w:r>
        <w:rPr>
          <w:rFonts w:eastAsia="MS Mincho" w:hint="cs"/>
          <w:rtl/>
        </w:rPr>
        <w:t>'</w:t>
      </w:r>
      <w:r>
        <w:rPr>
          <w:rFonts w:eastAsia="MS Mincho"/>
          <w:rtl/>
        </w:rPr>
        <w:t>. ודבר זה פשוט הוא שיבואו על האדם פתאום כמה מקרים</w:t>
      </w:r>
      <w:r>
        <w:rPr>
          <w:rFonts w:eastAsia="MS Mincho" w:hint="cs"/>
          <w:rtl/>
        </w:rPr>
        <w:t>,</w:t>
      </w:r>
      <w:r>
        <w:rPr>
          <w:rFonts w:eastAsia="MS Mincho"/>
          <w:rtl/>
        </w:rPr>
        <w:t xml:space="preserve"> מחולאים וזולתם</w:t>
      </w:r>
      <w:r>
        <w:rPr>
          <w:rFonts w:eastAsia="MS Mincho" w:hint="cs"/>
          <w:rtl/>
        </w:rPr>
        <w:t>,</w:t>
      </w:r>
      <w:r>
        <w:rPr>
          <w:rFonts w:eastAsia="MS Mincho"/>
          <w:rtl/>
        </w:rPr>
        <w:t xml:space="preserve"> שיצטרך בהם להוצאה מרובה ודבר שאין לו קצבה הוא</w:t>
      </w:r>
      <w:r>
        <w:rPr>
          <w:rFonts w:eastAsia="MS Mincho" w:hint="cs"/>
          <w:rtl/>
        </w:rPr>
        <w:t xml:space="preserve">... </w:t>
      </w:r>
      <w:r>
        <w:rPr>
          <w:rFonts w:eastAsia="MS Mincho"/>
          <w:rtl/>
        </w:rPr>
        <w:t>כללא דמילתא דנקיטנא מכלל דבריהם דהני רבוואתא דת"ח שעושה את תורתו קבע ואינו מתבטל מלמודו כי אם כדי לזון את בניו ואת ביתו</w:t>
      </w:r>
      <w:r>
        <w:rPr>
          <w:rFonts w:eastAsia="MS Mincho" w:hint="cs"/>
          <w:rtl/>
        </w:rPr>
        <w:t xml:space="preserve"> </w:t>
      </w:r>
      <w:r>
        <w:rPr>
          <w:rFonts w:eastAsia="MS Mincho"/>
          <w:rtl/>
        </w:rPr>
        <w:t>ולפרנס</w:t>
      </w:r>
      <w:r>
        <w:rPr>
          <w:rFonts w:eastAsia="MS Mincho" w:hint="cs"/>
          <w:rtl/>
        </w:rPr>
        <w:t>,</w:t>
      </w:r>
      <w:r>
        <w:rPr>
          <w:rFonts w:eastAsia="MS Mincho"/>
          <w:rtl/>
        </w:rPr>
        <w:t xml:space="preserve"> ואפילו שהוא עשיר</w:t>
      </w:r>
      <w:r>
        <w:rPr>
          <w:rFonts w:eastAsia="MS Mincho" w:hint="cs"/>
          <w:rtl/>
        </w:rPr>
        <w:t>,</w:t>
      </w:r>
      <w:r>
        <w:rPr>
          <w:rFonts w:eastAsia="MS Mincho"/>
          <w:rtl/>
        </w:rPr>
        <w:t xml:space="preserve"> הרי הוא פטור מכל מיני מסים וארנוניות</w:t>
      </w:r>
      <w:r>
        <w:rPr>
          <w:rFonts w:eastAsia="MS Mincho" w:hint="cs"/>
          <w:rtl/>
        </w:rPr>
        <w:t>"</w:t>
      </w:r>
      <w:r>
        <w:rPr>
          <w:rFonts w:eastAsia="MS Mincho"/>
          <w:rtl/>
        </w:rPr>
        <w:t>.</w:t>
      </w:r>
    </w:p>
    <w:p w14:paraId="5BA1E601" w14:textId="77777777" w:rsidR="00273399" w:rsidRDefault="00273399" w:rsidP="00273399">
      <w:pPr>
        <w:pStyle w:val="a5"/>
        <w:rPr>
          <w:rFonts w:hint="cs"/>
          <w:rtl/>
        </w:rPr>
      </w:pPr>
      <w:r>
        <w:rPr>
          <w:rFonts w:eastAsia="MS Mincho" w:hint="cs"/>
          <w:rtl/>
        </w:rPr>
        <w:t xml:space="preserve">וכתב </w:t>
      </w:r>
      <w:r>
        <w:rPr>
          <w:rFonts w:eastAsia="MS Mincho"/>
          <w:rtl/>
        </w:rPr>
        <w:t>הגר"ח בן עטר</w:t>
      </w:r>
      <w:r>
        <w:rPr>
          <w:rFonts w:eastAsia="MS Mincho" w:hint="cs"/>
          <w:rtl/>
        </w:rPr>
        <w:t>,</w:t>
      </w:r>
      <w:r>
        <w:rPr>
          <w:rFonts w:eastAsia="MS Mincho"/>
          <w:rtl/>
        </w:rPr>
        <w:t xml:space="preserve"> </w:t>
      </w:r>
      <w:r>
        <w:rPr>
          <w:rFonts w:eastAsia="MS Mincho" w:hint="cs"/>
          <w:rtl/>
        </w:rPr>
        <w:t>בעל אור החיים הקדוש (</w:t>
      </w:r>
      <w:r>
        <w:rPr>
          <w:rFonts w:eastAsia="MS Mincho" w:hint="cs"/>
          <w:sz w:val="18"/>
          <w:szCs w:val="20"/>
          <w:rtl/>
        </w:rPr>
        <w:t>"</w:t>
      </w:r>
      <w:r>
        <w:rPr>
          <w:rFonts w:eastAsia="MS Mincho"/>
          <w:sz w:val="18"/>
          <w:szCs w:val="20"/>
          <w:rtl/>
        </w:rPr>
        <w:t>ראשון לציון</w:t>
      </w:r>
      <w:r>
        <w:rPr>
          <w:rFonts w:eastAsia="MS Mincho" w:hint="cs"/>
          <w:sz w:val="18"/>
          <w:szCs w:val="20"/>
          <w:rtl/>
        </w:rPr>
        <w:t xml:space="preserve">", </w:t>
      </w:r>
      <w:r>
        <w:rPr>
          <w:rFonts w:eastAsia="MS Mincho"/>
          <w:sz w:val="18"/>
          <w:szCs w:val="20"/>
          <w:rtl/>
        </w:rPr>
        <w:t>יו"ד סי' רמג</w:t>
      </w:r>
      <w:r>
        <w:rPr>
          <w:rFonts w:eastAsia="MS Mincho" w:hint="cs"/>
          <w:sz w:val="18"/>
          <w:szCs w:val="20"/>
          <w:rtl/>
        </w:rPr>
        <w:t>; מובא ב</w:t>
      </w:r>
      <w:r>
        <w:rPr>
          <w:sz w:val="18"/>
          <w:szCs w:val="20"/>
          <w:rtl/>
        </w:rPr>
        <w:t>שו"ת יביע אומר</w:t>
      </w:r>
      <w:r>
        <w:rPr>
          <w:rFonts w:hint="cs"/>
          <w:sz w:val="18"/>
          <w:szCs w:val="20"/>
          <w:rtl/>
        </w:rPr>
        <w:t xml:space="preserve"> הנ"ל</w:t>
      </w:r>
      <w:r>
        <w:rPr>
          <w:rFonts w:eastAsia="MS Mincho"/>
          <w:rtl/>
        </w:rPr>
        <w:t>) שאם הוא טורח לצורך פרנסתו ופרנסת בני ביתו, להרויח מה שמוכרח ביותר לאדם בינוני, דהיינו לחם לאכול ובגד ללבוש, אפי' אם יוציא את רוב היום לשם כך, שפיר מקרי תורתו אומנותו, כל שקובע שאר עתותיו ללמוד תורה ביום ובלילה, אבל אם יש לאל ידו להתפרנס, כגון שיש לו קרן שעושה פירות, אינו יכול להתבטל מתורתו אלא רק מקצת היום לצורך הרוחה, וישאר לו רוב היום ללמוד תורה</w:t>
      </w:r>
      <w:r>
        <w:rPr>
          <w:rFonts w:eastAsia="MS Mincho" w:hint="cs"/>
          <w:rtl/>
        </w:rPr>
        <w:t xml:space="preserve">, </w:t>
      </w:r>
      <w:r>
        <w:rPr>
          <w:rFonts w:eastAsia="MS Mincho"/>
          <w:rtl/>
        </w:rPr>
        <w:t>שמכיון שיש לו כדי פרנסה, אין להתיר לו להתעסק במשא ומתן לצורך תכשיטין ונדוניות גדולות אלא אם כן ישאר לו רוב היום לתורה. ומיהו נראה שאפי' אם יש לו כדי פרנסתו והותר, אין למונעו מלעסוק קצת היום במשא ומתן כדי לחסוך ולהניח לעת זקנה, או חולי, או הפסד ממון וכיו"ב.</w:t>
      </w:r>
    </w:p>
  </w:footnote>
  <w:footnote w:id="268">
    <w:p w14:paraId="6D0188CE" w14:textId="77777777" w:rsidR="00273399" w:rsidRDefault="00273399" w:rsidP="00273399">
      <w:pPr>
        <w:pStyle w:val="a5"/>
        <w:rPr>
          <w:rFonts w:hint="cs"/>
          <w:rtl/>
        </w:rPr>
      </w:pPr>
      <w:r>
        <w:rPr>
          <w:rStyle w:val="a4"/>
        </w:rPr>
        <w:footnoteRef/>
      </w:r>
      <w:r>
        <w:rPr>
          <w:rFonts w:hint="cs"/>
          <w:rtl/>
        </w:rPr>
        <w:t xml:space="preserve"> ע"ע במאמרי, </w:t>
      </w:r>
      <w:r>
        <w:rPr>
          <w:rtl/>
        </w:rPr>
        <w:t>"תורתו אומנותו</w:t>
      </w:r>
      <w:r>
        <w:rPr>
          <w:rFonts w:hint="cs"/>
          <w:rtl/>
        </w:rPr>
        <w:t xml:space="preserve"> </w:t>
      </w:r>
      <w:r>
        <w:rPr>
          <w:rtl/>
        </w:rPr>
        <w:t>- מלשון חז"ל ועד לשו</w:t>
      </w:r>
      <w:r>
        <w:rPr>
          <w:rFonts w:hint="cs"/>
          <w:rtl/>
        </w:rPr>
        <w:t>ן ימינו",</w:t>
      </w:r>
      <w:r>
        <w:rPr>
          <w:rtl/>
        </w:rPr>
        <w:t xml:space="preserve"> המעיין</w:t>
      </w:r>
      <w:r>
        <w:rPr>
          <w:rFonts w:hint="cs"/>
          <w:rtl/>
        </w:rPr>
        <w:t>,</w:t>
      </w:r>
      <w:r>
        <w:rPr>
          <w:rtl/>
        </w:rPr>
        <w:t xml:space="preserve"> טבת תשע"א</w:t>
      </w:r>
      <w:r>
        <w:rPr>
          <w:rFonts w:hint="cs"/>
          <w:rtl/>
        </w:rPr>
        <w:t>, עמ' 63 - 77. שם פורסמו (עם שינויים) חלק מהדברים בפרק זה.</w:t>
      </w:r>
    </w:p>
  </w:footnote>
  <w:footnote w:id="269">
    <w:p w14:paraId="6EEA3BDF" w14:textId="77777777" w:rsidR="000015C4" w:rsidRDefault="000015C4" w:rsidP="000015C4">
      <w:pPr>
        <w:pStyle w:val="a5"/>
        <w:rPr>
          <w:rFonts w:hint="cs"/>
          <w:rtl/>
        </w:rPr>
      </w:pPr>
      <w:r>
        <w:rPr>
          <w:rStyle w:val="a4"/>
          <w:rtl/>
        </w:rPr>
        <w:footnoteRef/>
      </w:r>
      <w:r>
        <w:rPr>
          <w:szCs w:val="22"/>
        </w:rPr>
        <w:t xml:space="preserve"> </w:t>
      </w:r>
      <w:r>
        <w:rPr>
          <w:rFonts w:hint="cs"/>
          <w:rtl/>
        </w:rPr>
        <w:t>ב"נר" שבלשון המשנה עסיקינן, דהיינו כלי קיבול לשמן ולפתילה. ראה להלן דף כא, ב ד"ה "מאי נר חנוכה".</w:t>
      </w:r>
    </w:p>
  </w:footnote>
  <w:footnote w:id="270">
    <w:p w14:paraId="2B07CFBA" w14:textId="77777777" w:rsidR="000015C4" w:rsidRDefault="000015C4" w:rsidP="000015C4">
      <w:pPr>
        <w:pStyle w:val="a5"/>
        <w:rPr>
          <w:rFonts w:hint="cs"/>
          <w:rtl/>
        </w:rPr>
      </w:pPr>
      <w:r>
        <w:rPr>
          <w:rStyle w:val="a4"/>
          <w:rtl/>
        </w:rPr>
        <w:footnoteRef/>
      </w:r>
      <w:r>
        <w:rPr>
          <w:szCs w:val="22"/>
        </w:rPr>
        <w:t xml:space="preserve"> </w:t>
      </w:r>
      <w:r>
        <w:rPr>
          <w:rFonts w:hint="cs"/>
          <w:rtl/>
        </w:rPr>
        <w:t xml:space="preserve">ראה: </w:t>
      </w:r>
      <w:r>
        <w:rPr>
          <w:sz w:val="26"/>
          <w:rtl/>
        </w:rPr>
        <w:t>פסחים ח</w:t>
      </w:r>
      <w:r>
        <w:rPr>
          <w:rFonts w:hint="cs"/>
          <w:sz w:val="26"/>
          <w:rtl/>
        </w:rPr>
        <w:t xml:space="preserve">, </w:t>
      </w:r>
      <w:r>
        <w:rPr>
          <w:sz w:val="26"/>
          <w:rtl/>
        </w:rPr>
        <w:t>א</w:t>
      </w:r>
      <w:r>
        <w:rPr>
          <w:rFonts w:hint="cs"/>
          <w:sz w:val="26"/>
          <w:rtl/>
        </w:rPr>
        <w:t xml:space="preserve">; </w:t>
      </w:r>
      <w:r>
        <w:rPr>
          <w:sz w:val="26"/>
          <w:rtl/>
        </w:rPr>
        <w:t xml:space="preserve">ברכי יוסף </w:t>
      </w:r>
      <w:r>
        <w:rPr>
          <w:sz w:val="18"/>
          <w:szCs w:val="20"/>
          <w:rtl/>
        </w:rPr>
        <w:t>או</w:t>
      </w:r>
      <w:r>
        <w:rPr>
          <w:rFonts w:hint="cs"/>
          <w:sz w:val="18"/>
          <w:szCs w:val="20"/>
          <w:rtl/>
        </w:rPr>
        <w:t>"</w:t>
      </w:r>
      <w:r>
        <w:rPr>
          <w:sz w:val="18"/>
          <w:szCs w:val="20"/>
          <w:rtl/>
        </w:rPr>
        <w:t>ח</w:t>
      </w:r>
      <w:r>
        <w:rPr>
          <w:rFonts w:hint="cs"/>
          <w:sz w:val="18"/>
          <w:szCs w:val="20"/>
          <w:rtl/>
        </w:rPr>
        <w:t xml:space="preserve"> </w:t>
      </w:r>
      <w:r>
        <w:rPr>
          <w:sz w:val="18"/>
          <w:szCs w:val="20"/>
          <w:rtl/>
        </w:rPr>
        <w:t>תל</w:t>
      </w:r>
      <w:r>
        <w:rPr>
          <w:rFonts w:hint="cs"/>
          <w:sz w:val="18"/>
          <w:szCs w:val="20"/>
          <w:rtl/>
        </w:rPr>
        <w:t>"</w:t>
      </w:r>
      <w:r>
        <w:rPr>
          <w:sz w:val="18"/>
          <w:szCs w:val="20"/>
          <w:rtl/>
        </w:rPr>
        <w:t>ג סק</w:t>
      </w:r>
      <w:r>
        <w:rPr>
          <w:rFonts w:hint="cs"/>
          <w:sz w:val="18"/>
          <w:szCs w:val="20"/>
          <w:rtl/>
        </w:rPr>
        <w:t>"</w:t>
      </w:r>
      <w:r>
        <w:rPr>
          <w:sz w:val="18"/>
          <w:szCs w:val="20"/>
          <w:rtl/>
        </w:rPr>
        <w:t>ד</w:t>
      </w:r>
      <w:r>
        <w:rPr>
          <w:rFonts w:hint="cs"/>
          <w:sz w:val="26"/>
          <w:rtl/>
        </w:rPr>
        <w:t>.</w:t>
      </w:r>
    </w:p>
  </w:footnote>
  <w:footnote w:id="271">
    <w:p w14:paraId="65B8D3D5" w14:textId="77777777" w:rsidR="000015C4" w:rsidRDefault="000015C4" w:rsidP="000015C4">
      <w:pPr>
        <w:pStyle w:val="a5"/>
        <w:rPr>
          <w:rFonts w:hint="cs"/>
          <w:color w:val="800000"/>
          <w:rtl/>
        </w:rPr>
      </w:pPr>
      <w:r>
        <w:rPr>
          <w:rStyle w:val="a4"/>
          <w:rtl/>
        </w:rPr>
        <w:footnoteRef/>
      </w:r>
      <w:r>
        <w:rPr>
          <w:szCs w:val="22"/>
        </w:rPr>
        <w:t xml:space="preserve"> </w:t>
      </w:r>
      <w:r>
        <w:rPr>
          <w:rFonts w:hint="cs"/>
          <w:rtl/>
        </w:rPr>
        <w:t>הוספת "</w:t>
      </w:r>
      <w:r>
        <w:rPr>
          <w:rtl/>
        </w:rPr>
        <w:t>ב</w:t>
      </w:r>
      <w:r>
        <w:rPr>
          <w:rFonts w:hint="cs"/>
          <w:rtl/>
        </w:rPr>
        <w:t>ּ</w:t>
      </w:r>
      <w:r>
        <w:rPr>
          <w:rtl/>
        </w:rPr>
        <w:t>ַסֵּפֶר</w:t>
      </w:r>
      <w:r>
        <w:rPr>
          <w:rFonts w:hint="cs"/>
          <w:rtl/>
        </w:rPr>
        <w:t>" מבהירה כי פירוש "יקרא" איננו כמו "</w:t>
      </w:r>
      <w:r>
        <w:rPr>
          <w:rtl/>
        </w:rPr>
        <w:t>וַיִּקְרָא שֵׁם</w:t>
      </w:r>
      <w:r>
        <w:rPr>
          <w:rFonts w:hint="cs"/>
          <w:rtl/>
        </w:rPr>
        <w:t>" (</w:t>
      </w:r>
      <w:r>
        <w:rPr>
          <w:sz w:val="18"/>
          <w:szCs w:val="20"/>
          <w:rtl/>
        </w:rPr>
        <w:t>בראשית כו</w:t>
      </w:r>
      <w:r>
        <w:rPr>
          <w:rFonts w:hint="cs"/>
          <w:sz w:val="18"/>
          <w:szCs w:val="20"/>
          <w:rtl/>
        </w:rPr>
        <w:t xml:space="preserve">, </w:t>
      </w:r>
      <w:r>
        <w:rPr>
          <w:sz w:val="18"/>
          <w:szCs w:val="20"/>
          <w:rtl/>
        </w:rPr>
        <w:t>כ</w:t>
      </w:r>
      <w:r>
        <w:rPr>
          <w:rFonts w:hint="cs"/>
          <w:rtl/>
        </w:rPr>
        <w:t>) ולא "</w:t>
      </w:r>
      <w:r>
        <w:rPr>
          <w:rtl/>
        </w:rPr>
        <w:t>וַיִּקְרָא לְרָחֵל</w:t>
      </w:r>
      <w:r>
        <w:rPr>
          <w:rFonts w:hint="cs"/>
          <w:rtl/>
        </w:rPr>
        <w:t>" (</w:t>
      </w:r>
      <w:r>
        <w:rPr>
          <w:rFonts w:hint="cs"/>
          <w:sz w:val="18"/>
          <w:szCs w:val="20"/>
          <w:rtl/>
        </w:rPr>
        <w:t xml:space="preserve">שם </w:t>
      </w:r>
      <w:r>
        <w:rPr>
          <w:sz w:val="18"/>
          <w:szCs w:val="20"/>
          <w:rtl/>
        </w:rPr>
        <w:t>לא</w:t>
      </w:r>
      <w:r>
        <w:rPr>
          <w:rFonts w:hint="cs"/>
          <w:sz w:val="18"/>
          <w:szCs w:val="20"/>
          <w:rtl/>
        </w:rPr>
        <w:t xml:space="preserve">, </w:t>
      </w:r>
      <w:r>
        <w:rPr>
          <w:sz w:val="18"/>
          <w:szCs w:val="20"/>
          <w:rtl/>
        </w:rPr>
        <w:t>ד</w:t>
      </w:r>
      <w:r>
        <w:rPr>
          <w:rFonts w:hint="cs"/>
          <w:rtl/>
        </w:rPr>
        <w:t>) ולא "</w:t>
      </w:r>
      <w:r>
        <w:rPr>
          <w:rtl/>
        </w:rPr>
        <w:t>וַיִּקְרָא לְפָנָיו כָּכָה</w:t>
      </w:r>
      <w:r>
        <w:rPr>
          <w:rFonts w:hint="cs"/>
          <w:rtl/>
        </w:rPr>
        <w:t xml:space="preserve"> </w:t>
      </w:r>
      <w:r>
        <w:rPr>
          <w:rtl/>
        </w:rPr>
        <w:t>יֵעָשֶׂה לָאִישׁ</w:t>
      </w:r>
      <w:r>
        <w:rPr>
          <w:rFonts w:hint="cs"/>
          <w:rtl/>
        </w:rPr>
        <w:t>" (</w:t>
      </w:r>
      <w:r>
        <w:rPr>
          <w:sz w:val="18"/>
          <w:szCs w:val="20"/>
          <w:rtl/>
        </w:rPr>
        <w:t>אסתר ו</w:t>
      </w:r>
      <w:r>
        <w:rPr>
          <w:rFonts w:hint="cs"/>
          <w:sz w:val="18"/>
          <w:szCs w:val="20"/>
          <w:rtl/>
        </w:rPr>
        <w:t xml:space="preserve">, </w:t>
      </w:r>
      <w:r>
        <w:rPr>
          <w:sz w:val="18"/>
          <w:szCs w:val="20"/>
          <w:rtl/>
        </w:rPr>
        <w:t>יא</w:t>
      </w:r>
      <w:r>
        <w:rPr>
          <w:rFonts w:hint="cs"/>
          <w:rtl/>
        </w:rPr>
        <w:t>), אלא "</w:t>
      </w:r>
      <w:r>
        <w:rPr>
          <w:rtl/>
        </w:rPr>
        <w:t>לִקְרֹא בַסֵּפֶר</w:t>
      </w:r>
      <w:r>
        <w:rPr>
          <w:rFonts w:hint="cs"/>
          <w:rtl/>
        </w:rPr>
        <w:t>" (</w:t>
      </w:r>
      <w:r>
        <w:rPr>
          <w:sz w:val="18"/>
          <w:szCs w:val="20"/>
          <w:rtl/>
        </w:rPr>
        <w:t>ירמיה</w:t>
      </w:r>
      <w:r>
        <w:rPr>
          <w:rFonts w:hint="cs"/>
          <w:sz w:val="18"/>
          <w:szCs w:val="20"/>
          <w:rtl/>
        </w:rPr>
        <w:t xml:space="preserve"> </w:t>
      </w:r>
      <w:r>
        <w:rPr>
          <w:sz w:val="18"/>
          <w:szCs w:val="20"/>
          <w:rtl/>
        </w:rPr>
        <w:t>לו</w:t>
      </w:r>
      <w:r>
        <w:rPr>
          <w:rFonts w:hint="cs"/>
          <w:sz w:val="18"/>
          <w:szCs w:val="20"/>
          <w:rtl/>
        </w:rPr>
        <w:t>,</w:t>
      </w:r>
      <w:r>
        <w:rPr>
          <w:sz w:val="18"/>
          <w:szCs w:val="20"/>
          <w:rtl/>
        </w:rPr>
        <w:t xml:space="preserve"> </w:t>
      </w:r>
      <w:r>
        <w:rPr>
          <w:rFonts w:hint="cs"/>
          <w:sz w:val="18"/>
          <w:szCs w:val="20"/>
          <w:rtl/>
        </w:rPr>
        <w:t>ח</w:t>
      </w:r>
      <w:r>
        <w:rPr>
          <w:rFonts w:hint="cs"/>
          <w:rtl/>
        </w:rPr>
        <w:t>). הערה זו נפסקה בשו"ע: "</w:t>
      </w:r>
      <w:r>
        <w:rPr>
          <w:rtl/>
        </w:rPr>
        <w:t>ואין קורין בספר לאור הנר</w:t>
      </w:r>
      <w:r>
        <w:rPr>
          <w:rFonts w:hint="cs"/>
          <w:rtl/>
        </w:rPr>
        <w:t xml:space="preserve">, </w:t>
      </w:r>
      <w:r>
        <w:rPr>
          <w:rtl/>
        </w:rPr>
        <w:t>ואפילו אינו מוציא בפיו</w:t>
      </w:r>
      <w:r>
        <w:rPr>
          <w:rFonts w:hint="cs"/>
          <w:rtl/>
        </w:rPr>
        <w:t>" (</w:t>
      </w:r>
      <w:r>
        <w:rPr>
          <w:rFonts w:hint="cs"/>
          <w:sz w:val="18"/>
          <w:szCs w:val="20"/>
          <w:rtl/>
        </w:rPr>
        <w:t>כדלהלן הערה 10</w:t>
      </w:r>
      <w:r>
        <w:rPr>
          <w:rFonts w:hint="cs"/>
          <w:rtl/>
        </w:rPr>
        <w:t xml:space="preserve">). </w:t>
      </w:r>
      <w:r>
        <w:rPr>
          <w:rFonts w:hint="cs"/>
          <w:color w:val="800000"/>
          <w:rtl/>
        </w:rPr>
        <w:t>ועי' בפירוש מצודת דוד (שפרבר) על משנה זו.</w:t>
      </w:r>
    </w:p>
  </w:footnote>
  <w:footnote w:id="272">
    <w:p w14:paraId="7EA3743B" w14:textId="77777777" w:rsidR="000015C4" w:rsidRDefault="000015C4" w:rsidP="000015C4">
      <w:pPr>
        <w:pStyle w:val="a5"/>
        <w:rPr>
          <w:rFonts w:hint="cs"/>
          <w:rtl/>
        </w:rPr>
      </w:pPr>
      <w:r>
        <w:rPr>
          <w:rStyle w:val="a4"/>
          <w:rtl/>
        </w:rPr>
        <w:footnoteRef/>
      </w:r>
      <w:r>
        <w:rPr>
          <w:szCs w:val="22"/>
        </w:rPr>
        <w:t xml:space="preserve"> </w:t>
      </w:r>
      <w:r>
        <w:rPr>
          <w:rFonts w:hint="cs"/>
          <w:rtl/>
        </w:rPr>
        <w:t>שנינו זאת רק בברייתא להלן</w:t>
      </w:r>
      <w:r>
        <w:rPr>
          <w:rFonts w:hint="cs"/>
          <w:sz w:val="24"/>
          <w:rtl/>
        </w:rPr>
        <w:t xml:space="preserve"> </w:t>
      </w:r>
      <w:r>
        <w:rPr>
          <w:rtl/>
        </w:rPr>
        <w:t>דף יב</w:t>
      </w:r>
      <w:r>
        <w:rPr>
          <w:rFonts w:hint="cs"/>
          <w:rtl/>
        </w:rPr>
        <w:t xml:space="preserve">, </w:t>
      </w:r>
      <w:r>
        <w:rPr>
          <w:rtl/>
        </w:rPr>
        <w:t>ב</w:t>
      </w:r>
      <w:r>
        <w:rPr>
          <w:rFonts w:hint="cs"/>
          <w:rtl/>
        </w:rPr>
        <w:t xml:space="preserve"> "</w:t>
      </w:r>
      <w:r>
        <w:rPr>
          <w:rtl/>
        </w:rPr>
        <w:t>לא יקרא לאור הנר שמא יטה</w:t>
      </w:r>
      <w:r>
        <w:rPr>
          <w:rFonts w:hint="cs"/>
          <w:rtl/>
        </w:rPr>
        <w:t>" (</w:t>
      </w:r>
      <w:r>
        <w:rPr>
          <w:rFonts w:hint="cs"/>
          <w:sz w:val="18"/>
          <w:szCs w:val="20"/>
          <w:rtl/>
        </w:rPr>
        <w:t>ועיין שם ביוסף דעת של הרב יוסף בן ארזה, עמ' ל"ח</w:t>
      </w:r>
      <w:r>
        <w:rPr>
          <w:rFonts w:hint="cs"/>
          <w:rtl/>
        </w:rPr>
        <w:t>)</w:t>
      </w:r>
      <w:r>
        <w:rPr>
          <w:rtl/>
        </w:rPr>
        <w:t>.</w:t>
      </w:r>
      <w:r>
        <w:rPr>
          <w:rFonts w:hint="cs"/>
          <w:rtl/>
        </w:rPr>
        <w:t xml:space="preserve"> </w:t>
      </w:r>
    </w:p>
  </w:footnote>
  <w:footnote w:id="273">
    <w:p w14:paraId="5FAF042D" w14:textId="77777777" w:rsidR="000015C4" w:rsidRDefault="000015C4" w:rsidP="000015C4">
      <w:pPr>
        <w:pStyle w:val="a5"/>
        <w:rPr>
          <w:rFonts w:hint="cs"/>
          <w:rtl/>
        </w:rPr>
      </w:pPr>
      <w:r>
        <w:rPr>
          <w:rStyle w:val="a4"/>
          <w:rtl/>
        </w:rPr>
        <w:footnoteRef/>
      </w:r>
      <w:r>
        <w:rPr>
          <w:szCs w:val="22"/>
        </w:rPr>
        <w:t xml:space="preserve"> </w:t>
      </w:r>
      <w:r>
        <w:rPr>
          <w:rFonts w:hint="cs"/>
          <w:rtl/>
        </w:rPr>
        <w:t xml:space="preserve">כלומר, </w:t>
      </w:r>
      <w:r>
        <w:rPr>
          <w:rtl/>
        </w:rPr>
        <w:t xml:space="preserve">להשתמש </w:t>
      </w:r>
      <w:r>
        <w:rPr>
          <w:rFonts w:hint="cs"/>
          <w:rtl/>
        </w:rPr>
        <w:t xml:space="preserve">לאור </w:t>
      </w:r>
      <w:r>
        <w:rPr>
          <w:rtl/>
        </w:rPr>
        <w:t xml:space="preserve">נר </w:t>
      </w:r>
      <w:r>
        <w:rPr>
          <w:rFonts w:hint="cs"/>
          <w:rtl/>
        </w:rPr>
        <w:t>ה</w:t>
      </w:r>
      <w:r>
        <w:rPr>
          <w:rtl/>
        </w:rPr>
        <w:t>שבת</w:t>
      </w:r>
      <w:r>
        <w:rPr>
          <w:rFonts w:hint="cs"/>
          <w:rtl/>
        </w:rPr>
        <w:t>. כן נוסח כתבי היד. מנוסח הדפוס "</w:t>
      </w:r>
      <w:r>
        <w:rPr>
          <w:rtl/>
        </w:rPr>
        <w:t>מותר להשתמש בנר של שבת</w:t>
      </w:r>
      <w:r>
        <w:rPr>
          <w:rFonts w:hint="cs"/>
          <w:rtl/>
        </w:rPr>
        <w:t>" עלולים להבין בטעות שמותר להזיז את הנר ממקומו ולהשתמש בנר עצמו (</w:t>
      </w:r>
      <w:r>
        <w:rPr>
          <w:rFonts w:hint="cs"/>
          <w:sz w:val="18"/>
          <w:szCs w:val="20"/>
          <w:rtl/>
        </w:rPr>
        <w:t xml:space="preserve">הערת </w:t>
      </w:r>
      <w:r>
        <w:rPr>
          <w:rFonts w:eastAsia="MS Mincho"/>
          <w:sz w:val="18"/>
          <w:szCs w:val="20"/>
          <w:rtl/>
        </w:rPr>
        <w:t>הר"י קאפח</w:t>
      </w:r>
      <w:r>
        <w:rPr>
          <w:rFonts w:hint="cs"/>
          <w:rtl/>
        </w:rPr>
        <w:t>).</w:t>
      </w:r>
    </w:p>
  </w:footnote>
  <w:footnote w:id="274">
    <w:p w14:paraId="58401F38" w14:textId="77777777" w:rsidR="000015C4" w:rsidRDefault="000015C4" w:rsidP="000015C4">
      <w:pPr>
        <w:pStyle w:val="a5"/>
        <w:rPr>
          <w:rtl/>
        </w:rPr>
      </w:pPr>
      <w:r>
        <w:rPr>
          <w:rStyle w:val="a4"/>
          <w:rtl/>
        </w:rPr>
        <w:footnoteRef/>
      </w:r>
      <w:r>
        <w:rPr>
          <w:szCs w:val="22"/>
        </w:rPr>
        <w:t xml:space="preserve"> </w:t>
      </w:r>
      <w:r>
        <w:rPr>
          <w:rtl/>
        </w:rPr>
        <w:t xml:space="preserve">רש"י </w:t>
      </w:r>
      <w:r>
        <w:rPr>
          <w:rFonts w:hint="cs"/>
          <w:sz w:val="18"/>
          <w:szCs w:val="20"/>
          <w:rtl/>
        </w:rPr>
        <w:t xml:space="preserve">ד"ה </w:t>
      </w:r>
      <w:r>
        <w:rPr>
          <w:sz w:val="18"/>
          <w:szCs w:val="20"/>
          <w:rtl/>
        </w:rPr>
        <w:t>ולא יפלה את כֵּליו</w:t>
      </w:r>
      <w:r>
        <w:rPr>
          <w:rFonts w:hint="cs"/>
          <w:rtl/>
        </w:rPr>
        <w:t xml:space="preserve"> מבאר ש</w:t>
      </w:r>
      <w:r>
        <w:rPr>
          <w:rFonts w:eastAsia="MS Mincho"/>
          <w:sz w:val="26"/>
          <w:rtl/>
        </w:rPr>
        <w:t xml:space="preserve">"כלים" </w:t>
      </w:r>
      <w:r>
        <w:rPr>
          <w:rFonts w:eastAsia="MS Mincho" w:hint="cs"/>
          <w:sz w:val="26"/>
          <w:rtl/>
        </w:rPr>
        <w:t xml:space="preserve">כאן </w:t>
      </w:r>
      <w:r>
        <w:rPr>
          <w:rFonts w:eastAsia="MS Mincho"/>
          <w:sz w:val="26"/>
          <w:rtl/>
        </w:rPr>
        <w:t>משמעות</w:t>
      </w:r>
      <w:r>
        <w:rPr>
          <w:rFonts w:eastAsia="MS Mincho" w:hint="cs"/>
          <w:sz w:val="26"/>
          <w:rtl/>
        </w:rPr>
        <w:t>ם</w:t>
      </w:r>
      <w:r>
        <w:rPr>
          <w:rFonts w:eastAsia="MS Mincho"/>
          <w:sz w:val="26"/>
          <w:rtl/>
        </w:rPr>
        <w:t xml:space="preserve"> "בגדים"</w:t>
      </w:r>
      <w:r>
        <w:rPr>
          <w:rFonts w:eastAsia="MS Mincho" w:hint="cs"/>
          <w:sz w:val="26"/>
          <w:rtl/>
        </w:rPr>
        <w:t>. ע"ע</w:t>
      </w:r>
      <w:r>
        <w:rPr>
          <w:rFonts w:eastAsia="MS Mincho"/>
          <w:sz w:val="26"/>
          <w:rtl/>
        </w:rPr>
        <w:t xml:space="preserve"> יבמות קכ, א ורש"י ד"ה מנחשי.</w:t>
      </w:r>
    </w:p>
  </w:footnote>
  <w:footnote w:id="275">
    <w:p w14:paraId="2EFA7E43" w14:textId="77777777" w:rsidR="000015C4" w:rsidRDefault="000015C4" w:rsidP="000015C4">
      <w:pPr>
        <w:pStyle w:val="a5"/>
        <w:rPr>
          <w:rFonts w:hint="cs"/>
          <w:rtl/>
        </w:rPr>
      </w:pPr>
      <w:r>
        <w:rPr>
          <w:rStyle w:val="a4"/>
        </w:rPr>
        <w:footnoteRef/>
      </w:r>
      <w:r>
        <w:rPr>
          <w:rFonts w:hint="cs"/>
          <w:rtl/>
        </w:rPr>
        <w:t xml:space="preserve"> </w:t>
      </w:r>
      <w:r>
        <w:rPr>
          <w:rFonts w:eastAsia="MS Mincho"/>
          <w:sz w:val="26"/>
          <w:rtl/>
        </w:rPr>
        <w:t xml:space="preserve">צ"ע שמא ישנו קשר בין שתי קריאות אלה לאופנים השונים של הקריאה </w:t>
      </w:r>
      <w:r>
        <w:rPr>
          <w:rFonts w:eastAsia="MS Mincho" w:hint="cs"/>
          <w:sz w:val="26"/>
          <w:rtl/>
        </w:rPr>
        <w:t>(</w:t>
      </w:r>
      <w:r>
        <w:rPr>
          <w:rFonts w:hint="cs"/>
          <w:sz w:val="18"/>
          <w:szCs w:val="20"/>
          <w:rtl/>
        </w:rPr>
        <w:t>"יִפְלֶה" / "יַפְלֶה" / "יְפַלֶּה"</w:t>
      </w:r>
      <w:r>
        <w:rPr>
          <w:rFonts w:hint="cs"/>
          <w:rtl/>
        </w:rPr>
        <w:t>)</w:t>
      </w:r>
      <w:r>
        <w:rPr>
          <w:rFonts w:eastAsia="MS Mincho" w:hint="cs"/>
          <w:sz w:val="26"/>
          <w:rtl/>
        </w:rPr>
        <w:t xml:space="preserve"> </w:t>
      </w:r>
      <w:r>
        <w:rPr>
          <w:rFonts w:eastAsia="MS Mincho"/>
          <w:sz w:val="26"/>
          <w:rtl/>
        </w:rPr>
        <w:t>או הכתיבה</w:t>
      </w:r>
      <w:r>
        <w:rPr>
          <w:rFonts w:eastAsia="MS Mincho" w:hint="cs"/>
          <w:sz w:val="26"/>
          <w:rtl/>
        </w:rPr>
        <w:t xml:space="preserve"> (</w:t>
      </w:r>
      <w:r>
        <w:rPr>
          <w:rFonts w:eastAsia="MS Mincho"/>
          <w:sz w:val="18"/>
          <w:szCs w:val="20"/>
          <w:rtl/>
        </w:rPr>
        <w:t>"יפל</w:t>
      </w:r>
      <w:r>
        <w:rPr>
          <w:rFonts w:eastAsia="MS Mincho"/>
          <w:b/>
          <w:bCs/>
          <w:sz w:val="18"/>
          <w:szCs w:val="20"/>
          <w:rtl/>
        </w:rPr>
        <w:t>א</w:t>
      </w:r>
      <w:r>
        <w:rPr>
          <w:rFonts w:eastAsia="MS Mincho"/>
          <w:sz w:val="18"/>
          <w:szCs w:val="20"/>
          <w:rtl/>
        </w:rPr>
        <w:t xml:space="preserve">" </w:t>
      </w:r>
      <w:r>
        <w:rPr>
          <w:rFonts w:eastAsia="MS Mincho" w:hint="cs"/>
          <w:sz w:val="18"/>
          <w:szCs w:val="20"/>
          <w:rtl/>
        </w:rPr>
        <w:t xml:space="preserve">/ </w:t>
      </w:r>
      <w:r>
        <w:rPr>
          <w:rFonts w:eastAsia="MS Mincho"/>
          <w:sz w:val="18"/>
          <w:szCs w:val="20"/>
          <w:rtl/>
        </w:rPr>
        <w:t>"יפל</w:t>
      </w:r>
      <w:r>
        <w:rPr>
          <w:rFonts w:eastAsia="MS Mincho"/>
          <w:b/>
          <w:bCs/>
          <w:sz w:val="18"/>
          <w:szCs w:val="20"/>
          <w:rtl/>
        </w:rPr>
        <w:t>ה</w:t>
      </w:r>
      <w:r>
        <w:rPr>
          <w:rFonts w:eastAsia="MS Mincho"/>
          <w:sz w:val="18"/>
          <w:szCs w:val="20"/>
          <w:rtl/>
        </w:rPr>
        <w:t>"</w:t>
      </w:r>
      <w:r>
        <w:rPr>
          <w:rFonts w:eastAsia="MS Mincho" w:hint="cs"/>
          <w:sz w:val="26"/>
          <w:rtl/>
        </w:rPr>
        <w:t>)</w:t>
      </w:r>
      <w:r>
        <w:rPr>
          <w:rFonts w:eastAsia="MS Mincho"/>
          <w:sz w:val="26"/>
          <w:rtl/>
        </w:rPr>
        <w:t xml:space="preserve"> של</w:t>
      </w:r>
      <w:r>
        <w:rPr>
          <w:rFonts w:eastAsia="MS Mincho" w:hint="cs"/>
          <w:sz w:val="26"/>
          <w:rtl/>
        </w:rPr>
        <w:t>הלן</w:t>
      </w:r>
      <w:r>
        <w:rPr>
          <w:rFonts w:eastAsia="MS Mincho"/>
          <w:sz w:val="26"/>
          <w:rtl/>
        </w:rPr>
        <w:t>.</w:t>
      </w:r>
    </w:p>
  </w:footnote>
  <w:footnote w:id="276">
    <w:p w14:paraId="5ACA9ECA" w14:textId="77777777" w:rsidR="000015C4" w:rsidRDefault="000015C4" w:rsidP="000015C4">
      <w:pPr>
        <w:pStyle w:val="a5"/>
        <w:rPr>
          <w:rFonts w:hint="cs"/>
          <w:rtl/>
        </w:rPr>
      </w:pPr>
      <w:r>
        <w:rPr>
          <w:rStyle w:val="a4"/>
          <w:rtl/>
        </w:rPr>
        <w:footnoteRef/>
      </w:r>
      <w:r>
        <w:rPr>
          <w:szCs w:val="22"/>
        </w:rPr>
        <w:t xml:space="preserve"> </w:t>
      </w:r>
      <w:r>
        <w:rPr>
          <w:rFonts w:hint="cs"/>
          <w:rtl/>
        </w:rPr>
        <w:t>כוונת התלמוד בהבנה זו היא לומר שגזירה זו מקיפה את כל השבת, מבואו ועד צאתו, וזוהי הרחקה לאיסור התורה שבהריגת בעל חי. אכמ"ל בביאור צדדי המחלוקת אם מותר להרוג כינה בשבת. ראה כאן ב</w:t>
      </w:r>
      <w:r>
        <w:rPr>
          <w:rtl/>
        </w:rPr>
        <w:t xml:space="preserve">חידושי הרמב"ן </w:t>
      </w:r>
      <w:r>
        <w:rPr>
          <w:rFonts w:hint="cs"/>
          <w:rtl/>
        </w:rPr>
        <w:t>ו</w:t>
      </w:r>
      <w:r>
        <w:rPr>
          <w:rtl/>
        </w:rPr>
        <w:t>הריטב"א</w:t>
      </w:r>
      <w:r>
        <w:rPr>
          <w:rFonts w:hint="cs"/>
          <w:rtl/>
        </w:rPr>
        <w:t>, וב</w:t>
      </w:r>
      <w:r>
        <w:rPr>
          <w:rtl/>
        </w:rPr>
        <w:t>שו</w:t>
      </w:r>
      <w:r>
        <w:rPr>
          <w:rFonts w:hint="cs"/>
          <w:rtl/>
        </w:rPr>
        <w:t>"</w:t>
      </w:r>
      <w:r>
        <w:rPr>
          <w:rtl/>
        </w:rPr>
        <w:t>ע</w:t>
      </w:r>
      <w:r>
        <w:rPr>
          <w:rFonts w:hint="cs"/>
          <w:rtl/>
        </w:rPr>
        <w:t xml:space="preserve"> </w:t>
      </w:r>
      <w:r>
        <w:rPr>
          <w:sz w:val="18"/>
          <w:szCs w:val="20"/>
          <w:rtl/>
        </w:rPr>
        <w:t>או</w:t>
      </w:r>
      <w:r>
        <w:rPr>
          <w:rFonts w:hint="cs"/>
          <w:sz w:val="18"/>
          <w:szCs w:val="20"/>
          <w:rtl/>
        </w:rPr>
        <w:t>"</w:t>
      </w:r>
      <w:r>
        <w:rPr>
          <w:sz w:val="18"/>
          <w:szCs w:val="20"/>
          <w:rtl/>
        </w:rPr>
        <w:t>ח שט</w:t>
      </w:r>
      <w:r>
        <w:rPr>
          <w:rFonts w:hint="cs"/>
          <w:sz w:val="18"/>
          <w:szCs w:val="20"/>
          <w:rtl/>
        </w:rPr>
        <w:t>"</w:t>
      </w:r>
      <w:r>
        <w:rPr>
          <w:sz w:val="18"/>
          <w:szCs w:val="20"/>
          <w:rtl/>
        </w:rPr>
        <w:t>ז</w:t>
      </w:r>
      <w:r>
        <w:rPr>
          <w:rFonts w:hint="cs"/>
          <w:sz w:val="18"/>
          <w:szCs w:val="20"/>
          <w:rtl/>
        </w:rPr>
        <w:t xml:space="preserve">, </w:t>
      </w:r>
      <w:r>
        <w:rPr>
          <w:sz w:val="18"/>
          <w:szCs w:val="20"/>
          <w:rtl/>
        </w:rPr>
        <w:t>סעיף ט</w:t>
      </w:r>
      <w:r>
        <w:rPr>
          <w:rFonts w:hint="cs"/>
          <w:sz w:val="18"/>
          <w:szCs w:val="20"/>
          <w:rtl/>
        </w:rPr>
        <w:t>'</w:t>
      </w:r>
      <w:r>
        <w:rPr>
          <w:rFonts w:hint="cs"/>
          <w:rtl/>
        </w:rPr>
        <w:t>.</w:t>
      </w:r>
    </w:p>
  </w:footnote>
  <w:footnote w:id="277">
    <w:p w14:paraId="2A3A8C0B" w14:textId="77777777" w:rsidR="000015C4" w:rsidRDefault="000015C4" w:rsidP="000015C4">
      <w:pPr>
        <w:pStyle w:val="a5"/>
        <w:rPr>
          <w:rFonts w:hint="cs"/>
          <w:rtl/>
        </w:rPr>
      </w:pPr>
      <w:r>
        <w:rPr>
          <w:rStyle w:val="a4"/>
        </w:rPr>
        <w:footnoteRef/>
      </w:r>
      <w:r>
        <w:rPr>
          <w:rFonts w:hint="cs"/>
          <w:rtl/>
        </w:rPr>
        <w:t xml:space="preserve"> </w:t>
      </w:r>
      <w:r>
        <w:rPr>
          <w:rFonts w:eastAsia="MS Mincho"/>
          <w:sz w:val="26"/>
          <w:rtl/>
        </w:rPr>
        <w:t>וכך הודפס אל נכון במהדורת משנה סדורה של מו"ר הרב אליהו דורדק. אמנם, בכמה מהדורות של המשנה פִסקו כאופן ה</w:t>
      </w:r>
      <w:r>
        <w:rPr>
          <w:rFonts w:eastAsia="MS Mincho" w:hint="cs"/>
          <w:sz w:val="26"/>
          <w:rtl/>
        </w:rPr>
        <w:t>רא</w:t>
      </w:r>
      <w:r>
        <w:rPr>
          <w:rFonts w:eastAsia="MS Mincho"/>
          <w:sz w:val="26"/>
          <w:rtl/>
        </w:rPr>
        <w:t>ש</w:t>
      </w:r>
      <w:r>
        <w:rPr>
          <w:rFonts w:eastAsia="MS Mincho" w:hint="cs"/>
          <w:sz w:val="26"/>
          <w:rtl/>
        </w:rPr>
        <w:t>ון</w:t>
      </w:r>
      <w:r>
        <w:rPr>
          <w:rFonts w:eastAsia="MS Mincho"/>
          <w:sz w:val="26"/>
          <w:rtl/>
        </w:rPr>
        <w:t xml:space="preserve">, אליבא דרבי אליעזר, וצ"ע (ראה מהדורת הר"י קאפח של פיהמ"ש לרמב"ם ומשניות מבוארות בידי </w:t>
      </w:r>
      <w:r>
        <w:rPr>
          <w:rFonts w:ascii="Arial" w:hAnsi="Arial" w:hint="cs"/>
          <w:rtl/>
        </w:rPr>
        <w:t>הרב קהתי).</w:t>
      </w:r>
    </w:p>
  </w:footnote>
  <w:footnote w:id="278">
    <w:p w14:paraId="231B419D" w14:textId="77777777" w:rsidR="000015C4" w:rsidRDefault="000015C4" w:rsidP="000015C4">
      <w:pPr>
        <w:pStyle w:val="a5"/>
        <w:rPr>
          <w:rFonts w:hint="cs"/>
          <w:rtl/>
        </w:rPr>
      </w:pPr>
      <w:r>
        <w:rPr>
          <w:rStyle w:val="a4"/>
        </w:rPr>
        <w:footnoteRef/>
      </w:r>
      <w:r>
        <w:rPr>
          <w:rFonts w:hint="cs"/>
          <w:rtl/>
        </w:rPr>
        <w:t xml:space="preserve"> פירוש זה הוגהּ גם ב</w:t>
      </w:r>
      <w:r>
        <w:rPr>
          <w:rtl/>
        </w:rPr>
        <w:t>שו</w:t>
      </w:r>
      <w:r>
        <w:rPr>
          <w:rFonts w:hint="cs"/>
          <w:rtl/>
        </w:rPr>
        <w:t>"</w:t>
      </w:r>
      <w:r>
        <w:rPr>
          <w:rtl/>
        </w:rPr>
        <w:t>ע</w:t>
      </w:r>
      <w:r>
        <w:rPr>
          <w:rFonts w:hint="cs"/>
          <w:rtl/>
        </w:rPr>
        <w:t xml:space="preserve"> </w:t>
      </w:r>
      <w:r>
        <w:rPr>
          <w:rtl/>
        </w:rPr>
        <w:t>או</w:t>
      </w:r>
      <w:r>
        <w:rPr>
          <w:rFonts w:hint="cs"/>
          <w:rtl/>
        </w:rPr>
        <w:t>"</w:t>
      </w:r>
      <w:r>
        <w:rPr>
          <w:rtl/>
        </w:rPr>
        <w:t>ח רעה</w:t>
      </w:r>
      <w:r>
        <w:rPr>
          <w:rFonts w:hint="cs"/>
          <w:rtl/>
        </w:rPr>
        <w:t xml:space="preserve">, </w:t>
      </w:r>
      <w:r>
        <w:rPr>
          <w:rtl/>
        </w:rPr>
        <w:t>א</w:t>
      </w:r>
      <w:r>
        <w:rPr>
          <w:rFonts w:hint="cs"/>
          <w:rtl/>
        </w:rPr>
        <w:t>: "</w:t>
      </w:r>
      <w:r>
        <w:rPr>
          <w:rtl/>
        </w:rPr>
        <w:t>אין פולין (פי</w:t>
      </w:r>
      <w:r>
        <w:rPr>
          <w:rFonts w:hint="cs"/>
          <w:rtl/>
        </w:rPr>
        <w:t>רוש:</w:t>
      </w:r>
      <w:r>
        <w:rPr>
          <w:rtl/>
        </w:rPr>
        <w:t xml:space="preserve"> לבער את הכנים מהבגדים, תרגום </w:t>
      </w:r>
      <w:r>
        <w:rPr>
          <w:rFonts w:hint="cs"/>
          <w:rtl/>
        </w:rPr>
        <w:t xml:space="preserve">בִּעַרְתִּי </w:t>
      </w:r>
      <w:r>
        <w:rPr>
          <w:rtl/>
        </w:rPr>
        <w:t>הַקֹּדֶשׁ</w:t>
      </w:r>
      <w:r>
        <w:rPr>
          <w:rFonts w:hint="cs"/>
          <w:rtl/>
        </w:rPr>
        <w:t xml:space="preserve"> - פַּלֵּיתִי</w:t>
      </w:r>
      <w:r>
        <w:rPr>
          <w:rtl/>
        </w:rPr>
        <w:t>)</w:t>
      </w:r>
      <w:r>
        <w:rPr>
          <w:rFonts w:hint="cs"/>
          <w:rtl/>
        </w:rPr>
        <w:t xml:space="preserve"> </w:t>
      </w:r>
      <w:r>
        <w:rPr>
          <w:rtl/>
        </w:rPr>
        <w:t>ואין קורין בספר לאור הנר</w:t>
      </w:r>
      <w:r>
        <w:rPr>
          <w:rFonts w:hint="cs"/>
          <w:rtl/>
        </w:rPr>
        <w:t xml:space="preserve">, </w:t>
      </w:r>
      <w:r>
        <w:rPr>
          <w:rtl/>
        </w:rPr>
        <w:t>ואפילו אינו מוציא בפיו, שמא יטה</w:t>
      </w:r>
      <w:r>
        <w:rPr>
          <w:rFonts w:hint="cs"/>
          <w:rtl/>
        </w:rPr>
        <w:t>"</w:t>
      </w:r>
      <w:r>
        <w:rPr>
          <w:rtl/>
        </w:rPr>
        <w:t>.</w:t>
      </w:r>
    </w:p>
  </w:footnote>
  <w:footnote w:id="279">
    <w:p w14:paraId="67B0DFAD" w14:textId="77777777" w:rsidR="000015C4" w:rsidRDefault="000015C4" w:rsidP="000015C4">
      <w:pPr>
        <w:pStyle w:val="a5"/>
        <w:rPr>
          <w:rFonts w:hint="cs"/>
          <w:rtl/>
        </w:rPr>
      </w:pPr>
      <w:r>
        <w:rPr>
          <w:rStyle w:val="a4"/>
          <w:rtl/>
        </w:rPr>
        <w:footnoteRef/>
      </w:r>
      <w:r>
        <w:rPr>
          <w:szCs w:val="22"/>
        </w:rPr>
        <w:t xml:space="preserve"> </w:t>
      </w:r>
      <w:r>
        <w:rPr>
          <w:rFonts w:hint="cs"/>
          <w:rtl/>
        </w:rPr>
        <w:t>צ"ע מדוע בחר רש"י להוכיח דווקא מתרגום פסוק זה, ולא בתרגום אחד מהפסוקים הקודמים לו, כגון: "</w:t>
      </w:r>
      <w:r>
        <w:rPr>
          <w:rtl/>
        </w:rPr>
        <w:t>וּבִעַרְתָּ הָרָע מִקִּרְבֶּךָ</w:t>
      </w:r>
      <w:r>
        <w:rPr>
          <w:rFonts w:hint="cs"/>
          <w:rtl/>
        </w:rPr>
        <w:t>" (</w:t>
      </w:r>
      <w:r>
        <w:rPr>
          <w:rtl/>
        </w:rPr>
        <w:t>דברים יג</w:t>
      </w:r>
      <w:r>
        <w:rPr>
          <w:rFonts w:hint="cs"/>
          <w:rtl/>
        </w:rPr>
        <w:t xml:space="preserve">, </w:t>
      </w:r>
      <w:r>
        <w:rPr>
          <w:rtl/>
        </w:rPr>
        <w:t>ו</w:t>
      </w:r>
      <w:r>
        <w:rPr>
          <w:rFonts w:hint="cs"/>
          <w:sz w:val="18"/>
          <w:szCs w:val="20"/>
          <w:rtl/>
        </w:rPr>
        <w:t xml:space="preserve">; ועוד עשרה כיו"ב בספר דברים: </w:t>
      </w:r>
      <w:r>
        <w:rPr>
          <w:sz w:val="18"/>
          <w:szCs w:val="20"/>
          <w:rtl/>
        </w:rPr>
        <w:t>יז</w:t>
      </w:r>
      <w:r>
        <w:rPr>
          <w:rFonts w:hint="cs"/>
          <w:sz w:val="18"/>
          <w:szCs w:val="20"/>
          <w:rtl/>
        </w:rPr>
        <w:t xml:space="preserve">, </w:t>
      </w:r>
      <w:r>
        <w:rPr>
          <w:sz w:val="18"/>
          <w:szCs w:val="20"/>
          <w:rtl/>
        </w:rPr>
        <w:t>ז</w:t>
      </w:r>
      <w:r>
        <w:rPr>
          <w:rFonts w:hint="cs"/>
          <w:sz w:val="18"/>
          <w:szCs w:val="20"/>
          <w:rtl/>
        </w:rPr>
        <w:t xml:space="preserve">; שם יב; </w:t>
      </w:r>
      <w:r>
        <w:rPr>
          <w:sz w:val="18"/>
          <w:szCs w:val="20"/>
          <w:rtl/>
        </w:rPr>
        <w:t>יט</w:t>
      </w:r>
      <w:r>
        <w:rPr>
          <w:rFonts w:hint="cs"/>
          <w:sz w:val="18"/>
          <w:szCs w:val="20"/>
          <w:rtl/>
        </w:rPr>
        <w:t>,</w:t>
      </w:r>
      <w:r>
        <w:rPr>
          <w:sz w:val="18"/>
          <w:szCs w:val="20"/>
          <w:rtl/>
        </w:rPr>
        <w:t xml:space="preserve"> יג</w:t>
      </w:r>
      <w:r>
        <w:rPr>
          <w:rFonts w:hint="cs"/>
          <w:sz w:val="18"/>
          <w:szCs w:val="20"/>
          <w:rtl/>
        </w:rPr>
        <w:t xml:space="preserve">; שם </w:t>
      </w:r>
      <w:r>
        <w:rPr>
          <w:sz w:val="18"/>
          <w:szCs w:val="20"/>
          <w:rtl/>
        </w:rPr>
        <w:t>יט</w:t>
      </w:r>
      <w:r>
        <w:rPr>
          <w:rFonts w:hint="cs"/>
          <w:sz w:val="18"/>
          <w:szCs w:val="20"/>
          <w:rtl/>
        </w:rPr>
        <w:t xml:space="preserve">; </w:t>
      </w:r>
      <w:r>
        <w:rPr>
          <w:sz w:val="18"/>
          <w:szCs w:val="20"/>
          <w:rtl/>
        </w:rPr>
        <w:t>כא</w:t>
      </w:r>
      <w:r>
        <w:rPr>
          <w:rFonts w:hint="cs"/>
          <w:sz w:val="18"/>
          <w:szCs w:val="20"/>
          <w:rtl/>
        </w:rPr>
        <w:t xml:space="preserve">, </w:t>
      </w:r>
      <w:r>
        <w:rPr>
          <w:sz w:val="18"/>
          <w:szCs w:val="20"/>
          <w:rtl/>
        </w:rPr>
        <w:t>ט</w:t>
      </w:r>
      <w:r>
        <w:rPr>
          <w:rFonts w:hint="cs"/>
          <w:sz w:val="18"/>
          <w:szCs w:val="20"/>
          <w:rtl/>
        </w:rPr>
        <w:t>;</w:t>
      </w:r>
      <w:r>
        <w:rPr>
          <w:sz w:val="18"/>
          <w:szCs w:val="20"/>
          <w:rtl/>
        </w:rPr>
        <w:t xml:space="preserve"> </w:t>
      </w:r>
      <w:r>
        <w:rPr>
          <w:rFonts w:hint="cs"/>
          <w:sz w:val="18"/>
          <w:szCs w:val="20"/>
          <w:rtl/>
        </w:rPr>
        <w:t xml:space="preserve">שם </w:t>
      </w:r>
      <w:r>
        <w:rPr>
          <w:sz w:val="18"/>
          <w:szCs w:val="20"/>
          <w:rtl/>
        </w:rPr>
        <w:t>כא</w:t>
      </w:r>
      <w:r>
        <w:rPr>
          <w:rFonts w:hint="cs"/>
          <w:sz w:val="18"/>
          <w:szCs w:val="20"/>
          <w:rtl/>
        </w:rPr>
        <w:t xml:space="preserve">; </w:t>
      </w:r>
      <w:r>
        <w:rPr>
          <w:sz w:val="18"/>
          <w:szCs w:val="20"/>
          <w:rtl/>
        </w:rPr>
        <w:t>כב</w:t>
      </w:r>
      <w:r>
        <w:rPr>
          <w:rFonts w:hint="cs"/>
          <w:sz w:val="18"/>
          <w:szCs w:val="20"/>
          <w:rtl/>
        </w:rPr>
        <w:t xml:space="preserve">, </w:t>
      </w:r>
      <w:r>
        <w:rPr>
          <w:sz w:val="18"/>
          <w:szCs w:val="20"/>
          <w:rtl/>
        </w:rPr>
        <w:t>כא</w:t>
      </w:r>
      <w:r>
        <w:rPr>
          <w:rFonts w:hint="cs"/>
          <w:sz w:val="18"/>
          <w:szCs w:val="20"/>
          <w:rtl/>
        </w:rPr>
        <w:t>;</w:t>
      </w:r>
      <w:r>
        <w:rPr>
          <w:sz w:val="18"/>
          <w:szCs w:val="20"/>
          <w:rtl/>
        </w:rPr>
        <w:t xml:space="preserve"> </w:t>
      </w:r>
      <w:r>
        <w:rPr>
          <w:rFonts w:hint="cs"/>
          <w:sz w:val="18"/>
          <w:szCs w:val="20"/>
          <w:rtl/>
        </w:rPr>
        <w:t xml:space="preserve">שם </w:t>
      </w:r>
      <w:r>
        <w:rPr>
          <w:sz w:val="18"/>
          <w:szCs w:val="20"/>
          <w:rtl/>
        </w:rPr>
        <w:t>כב</w:t>
      </w:r>
      <w:r>
        <w:rPr>
          <w:rFonts w:hint="cs"/>
          <w:sz w:val="18"/>
          <w:szCs w:val="20"/>
          <w:rtl/>
        </w:rPr>
        <w:t xml:space="preserve">; שם </w:t>
      </w:r>
      <w:r>
        <w:rPr>
          <w:sz w:val="18"/>
          <w:szCs w:val="20"/>
          <w:rtl/>
        </w:rPr>
        <w:t>כד</w:t>
      </w:r>
      <w:r>
        <w:rPr>
          <w:rFonts w:hint="cs"/>
          <w:sz w:val="18"/>
          <w:szCs w:val="20"/>
          <w:rtl/>
        </w:rPr>
        <w:t xml:space="preserve">; </w:t>
      </w:r>
      <w:r>
        <w:rPr>
          <w:sz w:val="18"/>
          <w:szCs w:val="20"/>
          <w:rtl/>
        </w:rPr>
        <w:t>כד</w:t>
      </w:r>
      <w:r>
        <w:rPr>
          <w:rFonts w:hint="cs"/>
          <w:sz w:val="18"/>
          <w:szCs w:val="20"/>
          <w:rtl/>
        </w:rPr>
        <w:t xml:space="preserve">, </w:t>
      </w:r>
      <w:r>
        <w:rPr>
          <w:sz w:val="18"/>
          <w:szCs w:val="20"/>
          <w:rtl/>
        </w:rPr>
        <w:t>ז</w:t>
      </w:r>
      <w:r>
        <w:rPr>
          <w:rFonts w:hint="cs"/>
          <w:rtl/>
        </w:rPr>
        <w:t>), שכולם תורגמו "תְפַלֵּי" (</w:t>
      </w:r>
      <w:r>
        <w:rPr>
          <w:rFonts w:hint="cs"/>
          <w:sz w:val="18"/>
          <w:szCs w:val="20"/>
          <w:rtl/>
        </w:rPr>
        <w:t>וכהוכחת היעב"ץ שלהלן</w:t>
      </w:r>
      <w:r>
        <w:rPr>
          <w:rFonts w:hint="cs"/>
          <w:rtl/>
        </w:rPr>
        <w:t>).</w:t>
      </w:r>
      <w:r>
        <w:rPr>
          <w:rtl/>
        </w:rPr>
        <w:t xml:space="preserve"> </w:t>
      </w:r>
      <w:r>
        <w:rPr>
          <w:rFonts w:hint="cs"/>
          <w:rtl/>
        </w:rPr>
        <w:t xml:space="preserve">ולא זו בלבד שהם קודמים; ביעור הרע קרוב מבחינה עניינית לביעור </w:t>
      </w:r>
      <w:r>
        <w:rPr>
          <w:rtl/>
        </w:rPr>
        <w:t>כִּנים</w:t>
      </w:r>
      <w:r>
        <w:rPr>
          <w:rFonts w:hint="cs"/>
          <w:rtl/>
        </w:rPr>
        <w:t>, יותר מאשר ביעור קודש! שמא ניתן להציע שרש"י בחר בכתוב שעניינו עצם פעולת הסילוק, מפני שביעור ה</w:t>
      </w:r>
      <w:r>
        <w:rPr>
          <w:rtl/>
        </w:rPr>
        <w:t>כִּנים</w:t>
      </w:r>
      <w:r>
        <w:rPr>
          <w:rFonts w:hint="cs"/>
          <w:rtl/>
        </w:rPr>
        <w:t xml:space="preserve"> שנאסר כאן היינו הוצאת ה</w:t>
      </w:r>
      <w:r>
        <w:rPr>
          <w:rtl/>
        </w:rPr>
        <w:t>כִּנים</w:t>
      </w:r>
      <w:r>
        <w:rPr>
          <w:rFonts w:hint="cs"/>
          <w:rtl/>
        </w:rPr>
        <w:t xml:space="preserve"> מהבגד (</w:t>
      </w:r>
      <w:r>
        <w:rPr>
          <w:rFonts w:hint="cs"/>
          <w:sz w:val="18"/>
          <w:szCs w:val="20"/>
          <w:rtl/>
        </w:rPr>
        <w:t>שלב ג'</w:t>
      </w:r>
      <w:r>
        <w:rPr>
          <w:rFonts w:hint="cs"/>
          <w:rtl/>
        </w:rPr>
        <w:t>), אף אם איננו הורגן (</w:t>
      </w:r>
      <w:r>
        <w:rPr>
          <w:rFonts w:hint="cs"/>
          <w:sz w:val="18"/>
          <w:szCs w:val="20"/>
          <w:rtl/>
        </w:rPr>
        <w:t>שלב ד'</w:t>
      </w:r>
      <w:r>
        <w:rPr>
          <w:rFonts w:hint="cs"/>
          <w:rtl/>
        </w:rPr>
        <w:t>). לוּ הדגים מהפסוקים הקודמים שעניינם עונש מוות, עלולים היינו לפרש שלאור הנר אסור רק להוציא להורג את ה</w:t>
      </w:r>
      <w:r>
        <w:rPr>
          <w:rtl/>
        </w:rPr>
        <w:t>כִּנים</w:t>
      </w:r>
      <w:r>
        <w:rPr>
          <w:rFonts w:hint="cs"/>
          <w:rtl/>
        </w:rPr>
        <w:t>, אך להוציאם מהבגד ולהותירם בחיים - לא אסרה משנתנו. לכן בחר רש"י בתרגום הכתוב המאוחר, בביעור מעשרות, שבו אין עניין בהשחתה ובהשמדה של המבוער, אלא בהוצאתו ובסילוקו מרשות המבער, וכפי שהכתוב הולך ומפרט: לא רק "</w:t>
      </w:r>
      <w:r>
        <w:rPr>
          <w:rtl/>
        </w:rPr>
        <w:t>בִּעַרְתִּי הַקֹּדֶשׁ מִן הַבַּיִת</w:t>
      </w:r>
      <w:r>
        <w:rPr>
          <w:rFonts w:hint="cs"/>
          <w:rtl/>
        </w:rPr>
        <w:t>", אלא: "</w:t>
      </w:r>
      <w:r>
        <w:rPr>
          <w:rtl/>
        </w:rPr>
        <w:t>וְגַם נְתַתִּיו לַלֵּוִי וְלַגֵּר לַיָּתוֹם וְלָאַלְמָנָה</w:t>
      </w:r>
      <w:r>
        <w:rPr>
          <w:rFonts w:hint="cs"/>
          <w:rtl/>
        </w:rPr>
        <w:t>" (</w:t>
      </w:r>
      <w:r>
        <w:rPr>
          <w:rFonts w:hint="cs"/>
          <w:sz w:val="18"/>
          <w:szCs w:val="20"/>
          <w:rtl/>
        </w:rPr>
        <w:t>וראה אנציקלופדיה תלמודית, ד', ערך בִעור מעשרות</w:t>
      </w:r>
      <w:r>
        <w:rPr>
          <w:rFonts w:hint="cs"/>
          <w:rtl/>
        </w:rPr>
        <w:t>).</w:t>
      </w:r>
    </w:p>
  </w:footnote>
  <w:footnote w:id="280">
    <w:p w14:paraId="0781E02B" w14:textId="77777777" w:rsidR="000015C4" w:rsidRDefault="000015C4" w:rsidP="000015C4">
      <w:pPr>
        <w:pStyle w:val="a5"/>
        <w:rPr>
          <w:rFonts w:hint="cs"/>
          <w:rtl/>
        </w:rPr>
      </w:pPr>
      <w:r>
        <w:rPr>
          <w:rStyle w:val="a4"/>
        </w:rPr>
        <w:footnoteRef/>
      </w:r>
      <w:r>
        <w:rPr>
          <w:rFonts w:hint="cs"/>
          <w:rtl/>
        </w:rPr>
        <w:t xml:space="preserve"> </w:t>
      </w:r>
      <w:r>
        <w:rPr>
          <w:rFonts w:eastAsia="MS Mincho"/>
          <w:sz w:val="26"/>
          <w:rtl/>
        </w:rPr>
        <w:t xml:space="preserve">כן הוא לפי תרגום הר"י קאפח. </w:t>
      </w:r>
      <w:r>
        <w:rPr>
          <w:rFonts w:eastAsia="MS Mincho" w:hint="cs"/>
          <w:sz w:val="26"/>
          <w:rtl/>
        </w:rPr>
        <w:t xml:space="preserve">ברם, </w:t>
      </w:r>
      <w:r>
        <w:rPr>
          <w:rFonts w:eastAsia="MS Mincho"/>
          <w:sz w:val="26"/>
          <w:rtl/>
        </w:rPr>
        <w:t>בתרגום המודפס (מאת ר' יוסף ב"ר יצחק בן אלפואל) נאמר: "להסיר הכִּנים מבגדיו", והיינו כרש"י. ר' תנחום הירושלמי (במילונו בשפה הערבית) אומר כי המלה הערבית שבה משתמש כאן הרמב"ם</w:t>
      </w:r>
      <w:r>
        <w:rPr>
          <w:rFonts w:eastAsia="MS Mincho" w:hint="cs"/>
          <w:sz w:val="26"/>
          <w:rtl/>
        </w:rPr>
        <w:t>,</w:t>
      </w:r>
      <w:r>
        <w:rPr>
          <w:rFonts w:eastAsia="MS Mincho"/>
          <w:sz w:val="26"/>
          <w:rtl/>
        </w:rPr>
        <w:t xml:space="preserve"> יש אומרים שהיא נגזרת מהתרגום הארמי "תפלי", במשמע: לבדוק ולהוציא ולהרחיק. ידידי ר' דורון יעקב, שתרגם עבורי את הדברים מערבית, הוסיף והתייעץ עם פרופ' בלאו יבל"א, שאמר לו כי אי אפשר להכריע: פעולות שהן קשורות ותלויות זו בזו יכולות להיות מובעות באותו פועל, ולכן אין לדעת אם "יפלי" ברמב"ם כוונתו לסלק או רק לבדוק.</w:t>
      </w:r>
    </w:p>
  </w:footnote>
  <w:footnote w:id="281">
    <w:p w14:paraId="1C818FD0" w14:textId="77777777" w:rsidR="000015C4" w:rsidRDefault="000015C4" w:rsidP="000015C4">
      <w:pPr>
        <w:pStyle w:val="a5"/>
        <w:rPr>
          <w:rtl/>
        </w:rPr>
      </w:pPr>
      <w:r>
        <w:rPr>
          <w:rStyle w:val="a4"/>
          <w:rtl/>
        </w:rPr>
        <w:footnoteRef/>
      </w:r>
      <w:r>
        <w:rPr>
          <w:szCs w:val="22"/>
        </w:rPr>
        <w:t xml:space="preserve"> </w:t>
      </w:r>
      <w:r>
        <w:rPr>
          <w:rFonts w:hint="cs"/>
          <w:rtl/>
        </w:rPr>
        <w:t>ברור שרש"י אינו אוסר הוצאת ה</w:t>
      </w:r>
      <w:r>
        <w:rPr>
          <w:rtl/>
        </w:rPr>
        <w:t xml:space="preserve">כִּנים </w:t>
      </w:r>
      <w:r>
        <w:rPr>
          <w:rFonts w:hint="cs"/>
          <w:rtl/>
        </w:rPr>
        <w:t>בלבד (</w:t>
      </w:r>
      <w:r>
        <w:rPr>
          <w:rFonts w:hint="cs"/>
          <w:sz w:val="18"/>
          <w:szCs w:val="20"/>
          <w:rtl/>
        </w:rPr>
        <w:t>שלב ג'</w:t>
      </w:r>
      <w:r>
        <w:rPr>
          <w:rFonts w:hint="cs"/>
          <w:rtl/>
        </w:rPr>
        <w:t>) ומתיר את החיפוש אחריהן (</w:t>
      </w:r>
      <w:r>
        <w:rPr>
          <w:rFonts w:hint="cs"/>
          <w:sz w:val="18"/>
          <w:szCs w:val="20"/>
          <w:rtl/>
        </w:rPr>
        <w:t>שלב א'</w:t>
      </w:r>
      <w:r>
        <w:rPr>
          <w:rFonts w:hint="cs"/>
          <w:rtl/>
        </w:rPr>
        <w:t>), שהרי החיפוש מצריך התבוננות רבה יותר מאשר הוצאת ה</w:t>
      </w:r>
      <w:r>
        <w:rPr>
          <w:rtl/>
        </w:rPr>
        <w:t>כִּנים</w:t>
      </w:r>
      <w:r>
        <w:rPr>
          <w:rFonts w:hint="cs"/>
          <w:rtl/>
        </w:rPr>
        <w:t>, ולכן בו יש יותר מקום לגזור שמא יטה.</w:t>
      </w:r>
    </w:p>
  </w:footnote>
  <w:footnote w:id="282">
    <w:p w14:paraId="3176EF43" w14:textId="77777777" w:rsidR="000015C4" w:rsidRDefault="000015C4" w:rsidP="000015C4">
      <w:pPr>
        <w:pStyle w:val="a5"/>
        <w:rPr>
          <w:rFonts w:hint="cs"/>
          <w:rtl/>
        </w:rPr>
      </w:pPr>
      <w:r>
        <w:rPr>
          <w:rStyle w:val="a4"/>
        </w:rPr>
        <w:footnoteRef/>
      </w:r>
      <w:r>
        <w:rPr>
          <w:rFonts w:hint="cs"/>
          <w:rtl/>
        </w:rPr>
        <w:t xml:space="preserve"> ברור </w:t>
      </w:r>
      <w:r>
        <w:rPr>
          <w:rFonts w:eastAsia="MS Mincho"/>
          <w:sz w:val="26"/>
          <w:rtl/>
        </w:rPr>
        <w:t xml:space="preserve">שהרמב"ם </w:t>
      </w:r>
      <w:r>
        <w:rPr>
          <w:rFonts w:hint="cs"/>
          <w:rtl/>
        </w:rPr>
        <w:t xml:space="preserve">אינו אוסר את </w:t>
      </w:r>
      <w:r>
        <w:rPr>
          <w:rtl/>
        </w:rPr>
        <w:t>בד</w:t>
      </w:r>
      <w:r>
        <w:rPr>
          <w:rFonts w:hint="cs"/>
          <w:rtl/>
        </w:rPr>
        <w:t>י</w:t>
      </w:r>
      <w:r>
        <w:rPr>
          <w:rtl/>
        </w:rPr>
        <w:t>ק</w:t>
      </w:r>
      <w:r>
        <w:rPr>
          <w:rFonts w:hint="cs"/>
          <w:rtl/>
        </w:rPr>
        <w:t>ת</w:t>
      </w:r>
      <w:r>
        <w:rPr>
          <w:rtl/>
        </w:rPr>
        <w:t xml:space="preserve"> </w:t>
      </w:r>
      <w:r>
        <w:rPr>
          <w:rFonts w:hint="cs"/>
          <w:rtl/>
        </w:rPr>
        <w:t>ה</w:t>
      </w:r>
      <w:r>
        <w:rPr>
          <w:rtl/>
        </w:rPr>
        <w:t>בגד</w:t>
      </w:r>
      <w:r>
        <w:rPr>
          <w:rFonts w:hint="cs"/>
          <w:rtl/>
        </w:rPr>
        <w:t xml:space="preserve"> בלבד (</w:t>
      </w:r>
      <w:r>
        <w:rPr>
          <w:rFonts w:hint="cs"/>
          <w:sz w:val="18"/>
          <w:szCs w:val="20"/>
          <w:rtl/>
        </w:rPr>
        <w:t>שלב א'</w:t>
      </w:r>
      <w:r>
        <w:rPr>
          <w:rFonts w:hint="cs"/>
          <w:rtl/>
        </w:rPr>
        <w:t xml:space="preserve">) ומתיר </w:t>
      </w:r>
      <w:r>
        <w:rPr>
          <w:rFonts w:eastAsia="MS Mincho"/>
          <w:sz w:val="26"/>
          <w:rtl/>
        </w:rPr>
        <w:t xml:space="preserve">את </w:t>
      </w:r>
      <w:r>
        <w:rPr>
          <w:rFonts w:hint="cs"/>
          <w:rtl/>
        </w:rPr>
        <w:t>הוצאת ה</w:t>
      </w:r>
      <w:r>
        <w:rPr>
          <w:rtl/>
        </w:rPr>
        <w:t>כִּנים</w:t>
      </w:r>
      <w:r>
        <w:rPr>
          <w:rFonts w:hint="cs"/>
          <w:rtl/>
        </w:rPr>
        <w:t xml:space="preserve"> ממנו (</w:t>
      </w:r>
      <w:r>
        <w:rPr>
          <w:rFonts w:hint="cs"/>
          <w:sz w:val="18"/>
          <w:szCs w:val="20"/>
          <w:rtl/>
        </w:rPr>
        <w:t>שלב ג'</w:t>
      </w:r>
      <w:r>
        <w:rPr>
          <w:rFonts w:hint="cs"/>
          <w:rtl/>
        </w:rPr>
        <w:t>). מסתבר שהוא נקט בפעולת הבדיקה כפעולה הראשונה והעיקרית המאפיינת מעשה זה, וכגורם העיקרי לגזירת חכמים שלא לעשות מעשה זה לאור הנר</w:t>
      </w:r>
      <w:r>
        <w:rPr>
          <w:rFonts w:eastAsia="MS Mincho"/>
          <w:sz w:val="26"/>
          <w:rtl/>
        </w:rPr>
        <w:t>.</w:t>
      </w:r>
    </w:p>
  </w:footnote>
  <w:footnote w:id="283">
    <w:p w14:paraId="3AC5A8DE" w14:textId="77777777" w:rsidR="000015C4" w:rsidRDefault="000015C4" w:rsidP="000015C4">
      <w:pPr>
        <w:pStyle w:val="a5"/>
        <w:rPr>
          <w:rFonts w:hint="cs"/>
          <w:rtl/>
        </w:rPr>
      </w:pPr>
      <w:r>
        <w:rPr>
          <w:rStyle w:val="a4"/>
        </w:rPr>
        <w:footnoteRef/>
      </w:r>
      <w:r>
        <w:rPr>
          <w:rFonts w:hint="cs"/>
          <w:rtl/>
        </w:rPr>
        <w:t xml:space="preserve"> </w:t>
      </w:r>
      <w:r>
        <w:rPr>
          <w:rFonts w:eastAsia="MS Mincho"/>
          <w:rtl/>
        </w:rPr>
        <w:t xml:space="preserve">לוּ הסתייע רש"י בכתוב "אֲשֶׁר </w:t>
      </w:r>
      <w:r>
        <w:rPr>
          <w:rFonts w:eastAsia="MS Mincho"/>
          <w:b/>
          <w:bCs/>
          <w:rtl/>
        </w:rPr>
        <w:t>יַפְלֶה</w:t>
      </w:r>
      <w:r>
        <w:rPr>
          <w:rFonts w:eastAsia="MS Mincho"/>
          <w:rtl/>
        </w:rPr>
        <w:t xml:space="preserve"> ה' בֵּין מִצְרַיִם וּבֵין יִשְׂרָאֵל" (</w:t>
      </w:r>
      <w:r>
        <w:rPr>
          <w:rFonts w:eastAsia="MS Mincho"/>
          <w:sz w:val="18"/>
          <w:szCs w:val="20"/>
          <w:rtl/>
        </w:rPr>
        <w:t>שמות יא, ז</w:t>
      </w:r>
      <w:r>
        <w:rPr>
          <w:rFonts w:eastAsia="MS Mincho"/>
          <w:rtl/>
        </w:rPr>
        <w:t>) והיה מפרש שהוא לשון "הבְדלה והפְרדה"</w:t>
      </w:r>
      <w:r>
        <w:rPr>
          <w:rFonts w:eastAsia="MS Mincho" w:hint="cs"/>
          <w:rtl/>
        </w:rPr>
        <w:t xml:space="preserve"> (וכפירושו שם "</w:t>
      </w:r>
      <w:r>
        <w:rPr>
          <w:rFonts w:eastAsia="MS Mincho"/>
          <w:rtl/>
        </w:rPr>
        <w:t>יַפְלֶה - יבדיל</w:t>
      </w:r>
      <w:r>
        <w:rPr>
          <w:rFonts w:eastAsia="MS Mincho" w:hint="cs"/>
          <w:rtl/>
        </w:rPr>
        <w:t>", ע"פ תרגום אונקלוס: "</w:t>
      </w:r>
      <w:r>
        <w:rPr>
          <w:rFonts w:eastAsia="MS Mincho"/>
          <w:rtl/>
        </w:rPr>
        <w:t>יפריש</w:t>
      </w:r>
      <w:r>
        <w:rPr>
          <w:rFonts w:eastAsia="MS Mincho" w:hint="cs"/>
          <w:rtl/>
        </w:rPr>
        <w:t>")</w:t>
      </w:r>
      <w:r>
        <w:rPr>
          <w:rFonts w:eastAsia="MS Mincho"/>
          <w:rtl/>
        </w:rPr>
        <w:t>, היה ניתן להסביר שבביעור הכִּנים מן הבגד גם הבגד מופרד מן הכִּנים שהיו בו, ויאות לומר "לא יפלה את כליו [מן הכִּנים שבכליו]".</w:t>
      </w:r>
      <w:r>
        <w:rPr>
          <w:rFonts w:eastAsia="MS Mincho" w:hint="cs"/>
          <w:rtl/>
        </w:rPr>
        <w:t xml:space="preserve"> אך, כאמור, רש"י חִבֵּר את "</w:t>
      </w:r>
      <w:r>
        <w:rPr>
          <w:rtl/>
        </w:rPr>
        <w:t>יפלה את כֵּליו</w:t>
      </w:r>
      <w:r>
        <w:rPr>
          <w:rFonts w:hint="cs"/>
          <w:rtl/>
        </w:rPr>
        <w:t xml:space="preserve">" עם ביעור מעשרות, ואם כן מקבלי הפעולה של "יפלה" אינם הכלים אלא </w:t>
      </w:r>
      <w:r>
        <w:rPr>
          <w:rFonts w:eastAsia="MS Mincho"/>
          <w:rtl/>
        </w:rPr>
        <w:t>הכִּנים</w:t>
      </w:r>
      <w:r>
        <w:rPr>
          <w:rFonts w:hint="cs"/>
          <w:rtl/>
        </w:rPr>
        <w:t xml:space="preserve">, שהרי </w:t>
      </w:r>
      <w:r>
        <w:rPr>
          <w:rFonts w:eastAsia="MS Mincho"/>
          <w:rtl/>
        </w:rPr>
        <w:t xml:space="preserve">הכִּנים </w:t>
      </w:r>
      <w:r>
        <w:rPr>
          <w:rFonts w:hint="cs"/>
          <w:rtl/>
        </w:rPr>
        <w:t>הן המסולקות והמבוערות.</w:t>
      </w:r>
    </w:p>
  </w:footnote>
  <w:footnote w:id="284">
    <w:p w14:paraId="4BEC2A15" w14:textId="77777777" w:rsidR="000015C4" w:rsidRDefault="000015C4" w:rsidP="000015C4">
      <w:pPr>
        <w:pStyle w:val="a5"/>
        <w:rPr>
          <w:rtl/>
        </w:rPr>
      </w:pPr>
      <w:r>
        <w:rPr>
          <w:rStyle w:val="a4"/>
          <w:rtl/>
        </w:rPr>
        <w:footnoteRef/>
      </w:r>
      <w:r>
        <w:rPr>
          <w:szCs w:val="22"/>
        </w:rPr>
        <w:t xml:space="preserve"> </w:t>
      </w:r>
      <w:r>
        <w:rPr>
          <w:rFonts w:hint="cs"/>
          <w:rtl/>
        </w:rPr>
        <w:t xml:space="preserve">שתי קושיות סִגנוניות כאן: </w:t>
      </w:r>
      <w:r>
        <w:rPr>
          <w:rFonts w:hint="cs"/>
          <w:b/>
          <w:bCs/>
          <w:rtl/>
        </w:rPr>
        <w:t xml:space="preserve">א) </w:t>
      </w:r>
      <w:r>
        <w:rPr>
          <w:rFonts w:hint="cs"/>
          <w:rtl/>
        </w:rPr>
        <w:t>במשפט זה חסר המושא (מקבל הפעולה): "</w:t>
      </w:r>
      <w:r>
        <w:rPr>
          <w:rFonts w:eastAsia="MS Mincho"/>
          <w:rtl/>
        </w:rPr>
        <w:t>כִּנים</w:t>
      </w:r>
      <w:r>
        <w:rPr>
          <w:rFonts w:eastAsia="MS Mincho" w:hint="cs"/>
          <w:rtl/>
        </w:rPr>
        <w:t>"</w:t>
      </w:r>
      <w:r>
        <w:rPr>
          <w:rFonts w:hint="cs"/>
          <w:rtl/>
        </w:rPr>
        <w:t xml:space="preserve">.  </w:t>
      </w:r>
      <w:r>
        <w:rPr>
          <w:rFonts w:hint="cs"/>
          <w:b/>
          <w:bCs/>
          <w:rtl/>
        </w:rPr>
        <w:t xml:space="preserve">ב) </w:t>
      </w:r>
      <w:r>
        <w:rPr>
          <w:rFonts w:hint="cs"/>
          <w:rtl/>
        </w:rPr>
        <w:t>יש כאן שימוש נדיר במלת היחס המקדימה את "</w:t>
      </w:r>
      <w:r>
        <w:rPr>
          <w:rtl/>
        </w:rPr>
        <w:t>כליו"</w:t>
      </w:r>
      <w:r>
        <w:rPr>
          <w:rFonts w:hint="cs"/>
          <w:rtl/>
        </w:rPr>
        <w:t>: "</w:t>
      </w:r>
      <w:r>
        <w:rPr>
          <w:rtl/>
        </w:rPr>
        <w:t>אֶת</w:t>
      </w:r>
      <w:r>
        <w:rPr>
          <w:rFonts w:hint="cs"/>
          <w:rtl/>
        </w:rPr>
        <w:t>" במשמעות "מן" (</w:t>
      </w:r>
      <w:r>
        <w:rPr>
          <w:rFonts w:hint="cs"/>
          <w:sz w:val="18"/>
          <w:szCs w:val="20"/>
          <w:rtl/>
        </w:rPr>
        <w:t>המקוצרת לפעמים לאות מ' השימוש</w:t>
      </w:r>
      <w:r>
        <w:rPr>
          <w:rFonts w:hint="cs"/>
          <w:rtl/>
        </w:rPr>
        <w:t>). אמנם, כפי שהעירני שכֵני</w:t>
      </w:r>
      <w:r>
        <w:rPr>
          <w:rFonts w:hint="cs"/>
          <w:sz w:val="26"/>
          <w:rtl/>
        </w:rPr>
        <w:t xml:space="preserve"> הרב יצחק סמואל</w:t>
      </w:r>
      <w:r>
        <w:rPr>
          <w:rFonts w:hint="cs"/>
          <w:rtl/>
        </w:rPr>
        <w:t xml:space="preserve">, מצאנו </w:t>
      </w:r>
      <w:r>
        <w:rPr>
          <w:rtl/>
        </w:rPr>
        <w:t>כבר בלשון המקרא תופעות חריגות כאלה</w:t>
      </w:r>
      <w:r>
        <w:rPr>
          <w:rFonts w:hint="cs"/>
          <w:rtl/>
        </w:rPr>
        <w:t xml:space="preserve">, </w:t>
      </w:r>
      <w:r>
        <w:rPr>
          <w:rtl/>
        </w:rPr>
        <w:t xml:space="preserve">כגון בדברי הימים </w:t>
      </w:r>
      <w:r>
        <w:rPr>
          <w:rFonts w:hint="cs"/>
          <w:rtl/>
        </w:rPr>
        <w:t>(</w:t>
      </w:r>
      <w:r>
        <w:rPr>
          <w:sz w:val="18"/>
          <w:szCs w:val="20"/>
          <w:rtl/>
        </w:rPr>
        <w:t>א' ב, יח</w:t>
      </w:r>
      <w:r>
        <w:rPr>
          <w:rFonts w:hint="cs"/>
          <w:rtl/>
        </w:rPr>
        <w:t>)</w:t>
      </w:r>
      <w:r>
        <w:rPr>
          <w:rtl/>
        </w:rPr>
        <w:t>: "וְכָלֵב בֶּן חֶצְרוֹן הוֹלִיד אֶת עֲזוּבָה אִשָּׁה וְאֶת יְרִיעוֹת</w:t>
      </w:r>
      <w:r>
        <w:rPr>
          <w:rFonts w:hint="cs"/>
          <w:rtl/>
        </w:rPr>
        <w:t>,</w:t>
      </w:r>
      <w:r>
        <w:rPr>
          <w:rtl/>
        </w:rPr>
        <w:t xml:space="preserve"> וְאֵלֶּה בָנֶיהָ יֵשֶׁר וְשׁוֹבָב וְאַרְדּוֹן", </w:t>
      </w:r>
      <w:r>
        <w:rPr>
          <w:rFonts w:hint="cs"/>
          <w:rtl/>
        </w:rPr>
        <w:t xml:space="preserve">ופרש </w:t>
      </w:r>
      <w:r>
        <w:rPr>
          <w:rtl/>
        </w:rPr>
        <w:t>רד"ק: "ולפי דעתי 'אֶת' זה כמו 'מִן', וכן 'כְּצֵאתִי אֶת הָעִיר' (</w:t>
      </w:r>
      <w:r>
        <w:rPr>
          <w:sz w:val="18"/>
          <w:szCs w:val="20"/>
          <w:rtl/>
        </w:rPr>
        <w:t>שמות ט, כט</w:t>
      </w:r>
      <w:r>
        <w:rPr>
          <w:rFonts w:hint="cs"/>
          <w:rtl/>
        </w:rPr>
        <w:t xml:space="preserve">) </w:t>
      </w:r>
      <w:r>
        <w:rPr>
          <w:rtl/>
        </w:rPr>
        <w:t>ואחרים זולתו</w:t>
      </w:r>
      <w:r>
        <w:rPr>
          <w:rFonts w:hint="cs"/>
          <w:rtl/>
        </w:rPr>
        <w:t xml:space="preserve"> </w:t>
      </w:r>
      <w:r>
        <w:rPr>
          <w:rtl/>
        </w:rPr>
        <w:t>(</w:t>
      </w:r>
      <w:r>
        <w:rPr>
          <w:szCs w:val="20"/>
          <w:rtl/>
        </w:rPr>
        <w:t>ראה בראשית ו, יג רש"י ד"ה את הארץ</w:t>
      </w:r>
      <w:r>
        <w:rPr>
          <w:rFonts w:hint="cs"/>
          <w:szCs w:val="20"/>
          <w:rtl/>
        </w:rPr>
        <w:t>, ו</w:t>
      </w:r>
      <w:r>
        <w:rPr>
          <w:sz w:val="18"/>
          <w:szCs w:val="20"/>
          <w:rtl/>
        </w:rPr>
        <w:t xml:space="preserve">רד"ק </w:t>
      </w:r>
      <w:r>
        <w:rPr>
          <w:rFonts w:hint="cs"/>
          <w:sz w:val="18"/>
          <w:szCs w:val="20"/>
          <w:rtl/>
        </w:rPr>
        <w:t>ל</w:t>
      </w:r>
      <w:r>
        <w:rPr>
          <w:sz w:val="18"/>
          <w:szCs w:val="20"/>
          <w:rtl/>
        </w:rPr>
        <w:t>יחזקאל ו</w:t>
      </w:r>
      <w:r>
        <w:rPr>
          <w:rFonts w:hint="cs"/>
          <w:sz w:val="18"/>
          <w:szCs w:val="20"/>
          <w:rtl/>
        </w:rPr>
        <w:t xml:space="preserve">, </w:t>
      </w:r>
      <w:r>
        <w:rPr>
          <w:sz w:val="18"/>
          <w:szCs w:val="20"/>
          <w:rtl/>
        </w:rPr>
        <w:t xml:space="preserve">ט </w:t>
      </w:r>
      <w:r>
        <w:rPr>
          <w:rFonts w:hint="cs"/>
          <w:sz w:val="18"/>
          <w:szCs w:val="20"/>
          <w:rtl/>
        </w:rPr>
        <w:t>"</w:t>
      </w:r>
      <w:r>
        <w:rPr>
          <w:sz w:val="18"/>
          <w:szCs w:val="20"/>
          <w:rtl/>
        </w:rPr>
        <w:t>נִשְׁבַּרְתִּי אֶת לִבָּם הַזּוֹנֶה</w:t>
      </w:r>
      <w:r>
        <w:rPr>
          <w:rFonts w:hint="cs"/>
          <w:sz w:val="18"/>
          <w:szCs w:val="20"/>
          <w:rtl/>
        </w:rPr>
        <w:t>"</w:t>
      </w:r>
      <w:r>
        <w:rPr>
          <w:rtl/>
        </w:rPr>
        <w:t>), וכן פירוש הפסוק</w:t>
      </w:r>
      <w:r>
        <w:rPr>
          <w:rFonts w:hint="cs"/>
          <w:rtl/>
        </w:rPr>
        <w:t>:</w:t>
      </w:r>
      <w:r>
        <w:rPr>
          <w:rtl/>
        </w:rPr>
        <w:t xml:space="preserve"> וְכָלֵב בֶּן חֶצְרוֹן הוֹלִיד מן עֲזוּבָה אשתו מן יְרִיעוֹת</w:t>
      </w:r>
      <w:r>
        <w:rPr>
          <w:rFonts w:hint="cs"/>
          <w:rtl/>
        </w:rPr>
        <w:t xml:space="preserve">, </w:t>
      </w:r>
      <w:r>
        <w:rPr>
          <w:rtl/>
        </w:rPr>
        <w:t>שתיהם היו נשיו</w:t>
      </w:r>
      <w:r>
        <w:rPr>
          <w:rFonts w:hint="cs"/>
          <w:rtl/>
        </w:rPr>
        <w:t>,</w:t>
      </w:r>
      <w:r>
        <w:rPr>
          <w:rtl/>
        </w:rPr>
        <w:t xml:space="preserve"> ומשתיהן היו לו בני</w:t>
      </w:r>
      <w:r>
        <w:rPr>
          <w:rFonts w:hint="cs"/>
          <w:rtl/>
        </w:rPr>
        <w:t>ם,</w:t>
      </w:r>
      <w:r>
        <w:rPr>
          <w:rtl/>
        </w:rPr>
        <w:t xml:space="preserve"> וק</w:t>
      </w:r>
      <w:r>
        <w:rPr>
          <w:rFonts w:hint="cs"/>
          <w:rtl/>
        </w:rPr>
        <w:t>ִ</w:t>
      </w:r>
      <w:r>
        <w:rPr>
          <w:rtl/>
        </w:rPr>
        <w:t>צ</w:t>
      </w:r>
      <w:r>
        <w:rPr>
          <w:rFonts w:hint="cs"/>
          <w:rtl/>
        </w:rPr>
        <w:t>ֵּ</w:t>
      </w:r>
      <w:r>
        <w:rPr>
          <w:rtl/>
        </w:rPr>
        <w:t>ר התולדה ולא זכר את בני האחת</w:t>
      </w:r>
      <w:r>
        <w:rPr>
          <w:rFonts w:hint="cs"/>
          <w:rtl/>
        </w:rPr>
        <w:t xml:space="preserve">...". אעפ"כ, מידי דוחק לא יצאנו, וכבר כתב </w:t>
      </w:r>
      <w:r>
        <w:rPr>
          <w:rtl/>
        </w:rPr>
        <w:t>הרמב"ן בהקדמתו לפירושו על הרי"ף, "מלחמת ה'": "ואתה המסתכל בספרי אל תאמר בלבבך כי כל תשובתי על הרב רבי זרחיה ז"ל (</w:t>
      </w:r>
      <w:r>
        <w:rPr>
          <w:sz w:val="18"/>
          <w:szCs w:val="20"/>
          <w:rtl/>
        </w:rPr>
        <w:t>בעל המאור</w:t>
      </w:r>
      <w:r>
        <w:rPr>
          <w:rtl/>
        </w:rPr>
        <w:t>) כולן בעיני תשובות נִצחות, ומכריחות אותך להודות בהם על פני עקשותך, ותתפאר בהיותך</w:t>
      </w:r>
      <w:r>
        <w:rPr>
          <w:rFonts w:hint="cs"/>
          <w:rtl/>
        </w:rPr>
        <w:t xml:space="preserve"> </w:t>
      </w:r>
      <w:r>
        <w:rPr>
          <w:rtl/>
        </w:rPr>
        <w:t>מספק אחת מהן על לומדיה, או תטריח על דעתך להכנס בנקב המחט לדחות מעליך הכרח ראיותי, אין הדבר כן, כי יודע כל לומד תלמודנו שאין במחלוקת מפרשיו ראיות גמורות, ולא ברוב קושיות חלוטות, שאין בחכמה הזאת מופת ברור כגון</w:t>
      </w:r>
      <w:r>
        <w:rPr>
          <w:rFonts w:hint="cs"/>
          <w:rtl/>
        </w:rPr>
        <w:t xml:space="preserve"> </w:t>
      </w:r>
      <w:r>
        <w:rPr>
          <w:rtl/>
        </w:rPr>
        <w:t>חשבוני התשבורת</w:t>
      </w:r>
      <w:r>
        <w:rPr>
          <w:rFonts w:hint="cs"/>
          <w:rtl/>
        </w:rPr>
        <w:t xml:space="preserve"> </w:t>
      </w:r>
      <w:r>
        <w:rPr>
          <w:rtl/>
        </w:rPr>
        <w:t>ונ</w:t>
      </w:r>
      <w:r>
        <w:rPr>
          <w:rFonts w:hint="cs"/>
          <w:rtl/>
        </w:rPr>
        <w:t>ִ</w:t>
      </w:r>
      <w:r>
        <w:rPr>
          <w:rtl/>
        </w:rPr>
        <w:t>סיוני התכונה. אבל נשים כל מאֹדֵנו ודיינו בכל מחלוקת בהרחיק אחת מן הדעות בסברות מכריעות, ונדחוק עליה השמועות, ונשים יתרון הכשר לבעל דינה מפשטי ההלכות והוגן הסוגיות עם</w:t>
      </w:r>
      <w:r>
        <w:rPr>
          <w:rFonts w:hint="cs"/>
          <w:rtl/>
        </w:rPr>
        <w:t xml:space="preserve"> </w:t>
      </w:r>
      <w:r>
        <w:rPr>
          <w:rtl/>
        </w:rPr>
        <w:t>הסכמת השכל הנכון, וזאת תכלית יכלתינו וכוונת כל חכם וירא האלוקים בחכמת הגמרא"</w:t>
      </w:r>
      <w:r>
        <w:rPr>
          <w:rFonts w:hint="cs"/>
          <w:rtl/>
        </w:rPr>
        <w:t xml:space="preserve"> (</w:t>
      </w:r>
      <w:r>
        <w:rPr>
          <w:sz w:val="18"/>
          <w:szCs w:val="20"/>
          <w:rtl/>
        </w:rPr>
        <w:t>בהקדמת שו"ת יביע אומר גרס</w:t>
      </w:r>
      <w:r>
        <w:rPr>
          <w:rFonts w:hint="cs"/>
          <w:sz w:val="18"/>
          <w:szCs w:val="20"/>
          <w:rtl/>
        </w:rPr>
        <w:t xml:space="preserve"> הר"ע יוסף</w:t>
      </w:r>
      <w:r>
        <w:rPr>
          <w:sz w:val="18"/>
          <w:szCs w:val="20"/>
          <w:rtl/>
        </w:rPr>
        <w:t xml:space="preserve"> "נשים כל מא</w:t>
      </w:r>
      <w:r>
        <w:rPr>
          <w:rFonts w:hint="cs"/>
          <w:sz w:val="18"/>
          <w:szCs w:val="20"/>
          <w:rtl/>
        </w:rPr>
        <w:t>ו</w:t>
      </w:r>
      <w:r>
        <w:rPr>
          <w:sz w:val="18"/>
          <w:szCs w:val="20"/>
          <w:rtl/>
        </w:rPr>
        <w:t>דנו וד</w:t>
      </w:r>
      <w:r>
        <w:rPr>
          <w:b/>
          <w:bCs/>
          <w:sz w:val="18"/>
          <w:szCs w:val="20"/>
          <w:rtl/>
        </w:rPr>
        <w:t>עת</w:t>
      </w:r>
      <w:r>
        <w:rPr>
          <w:sz w:val="18"/>
          <w:szCs w:val="20"/>
          <w:rtl/>
        </w:rPr>
        <w:t>ינו" במקום "ודיינו"</w:t>
      </w:r>
      <w:r>
        <w:rPr>
          <w:rFonts w:hint="cs"/>
          <w:sz w:val="18"/>
          <w:szCs w:val="20"/>
          <w:rtl/>
        </w:rPr>
        <w:t>.</w:t>
      </w:r>
      <w:r>
        <w:rPr>
          <w:sz w:val="18"/>
          <w:szCs w:val="20"/>
          <w:rtl/>
        </w:rPr>
        <w:t xml:space="preserve"> </w:t>
      </w:r>
      <w:r>
        <w:rPr>
          <w:rFonts w:hint="cs"/>
          <w:sz w:val="18"/>
          <w:szCs w:val="20"/>
          <w:rtl/>
        </w:rPr>
        <w:t xml:space="preserve">כדי </w:t>
      </w:r>
      <w:r>
        <w:rPr>
          <w:sz w:val="18"/>
          <w:szCs w:val="20"/>
          <w:rtl/>
        </w:rPr>
        <w:t xml:space="preserve">ליישב </w:t>
      </w:r>
      <w:r>
        <w:rPr>
          <w:rFonts w:hint="cs"/>
          <w:sz w:val="18"/>
          <w:szCs w:val="20"/>
          <w:rtl/>
        </w:rPr>
        <w:t xml:space="preserve">את </w:t>
      </w:r>
      <w:r>
        <w:rPr>
          <w:sz w:val="18"/>
          <w:szCs w:val="20"/>
          <w:rtl/>
        </w:rPr>
        <w:t>הנוסח המודפס</w:t>
      </w:r>
      <w:r>
        <w:rPr>
          <w:rFonts w:hint="cs"/>
          <w:sz w:val="18"/>
          <w:szCs w:val="20"/>
          <w:rtl/>
        </w:rPr>
        <w:t xml:space="preserve"> הציע ר' מיכאל דושינסקי מגולת פראג להוסיף פסִיק לפני </w:t>
      </w:r>
      <w:r>
        <w:rPr>
          <w:sz w:val="18"/>
          <w:szCs w:val="20"/>
          <w:rtl/>
        </w:rPr>
        <w:t>"ודיינו"</w:t>
      </w:r>
      <w:r>
        <w:rPr>
          <w:rFonts w:hint="cs"/>
          <w:sz w:val="18"/>
          <w:szCs w:val="20"/>
          <w:rtl/>
        </w:rPr>
        <w:t xml:space="preserve"> ולפרש ש"</w:t>
      </w:r>
      <w:r>
        <w:rPr>
          <w:sz w:val="18"/>
          <w:szCs w:val="20"/>
          <w:rtl/>
        </w:rPr>
        <w:t>נשים כל מאֹדֵנו</w:t>
      </w:r>
      <w:r>
        <w:rPr>
          <w:rFonts w:hint="cs"/>
          <w:sz w:val="18"/>
          <w:szCs w:val="20"/>
          <w:rtl/>
        </w:rPr>
        <w:t>" משמעו:</w:t>
      </w:r>
      <w:r>
        <w:rPr>
          <w:sz w:val="18"/>
          <w:szCs w:val="20"/>
          <w:rtl/>
        </w:rPr>
        <w:t xml:space="preserve"> נשתדל </w:t>
      </w:r>
      <w:r>
        <w:rPr>
          <w:rFonts w:hint="cs"/>
          <w:sz w:val="18"/>
          <w:szCs w:val="20"/>
          <w:rtl/>
        </w:rPr>
        <w:t>מאוד, ו</w:t>
      </w:r>
      <w:r>
        <w:rPr>
          <w:sz w:val="18"/>
          <w:szCs w:val="20"/>
          <w:rtl/>
        </w:rPr>
        <w:t>"ודיינו"</w:t>
      </w:r>
      <w:r>
        <w:rPr>
          <w:rFonts w:hint="cs"/>
          <w:sz w:val="18"/>
          <w:szCs w:val="20"/>
          <w:rtl/>
        </w:rPr>
        <w:t xml:space="preserve"> איננו שם עצם בתפקיד של מושא נוסף של הנשוא "נשים", כי אם נשוא אחר של האבר הבא במשפט: ודי לנו אם נרחיק וכו'</w:t>
      </w:r>
      <w:r>
        <w:rPr>
          <w:rFonts w:hint="cs"/>
          <w:rtl/>
        </w:rPr>
        <w:t>).</w:t>
      </w:r>
    </w:p>
  </w:footnote>
  <w:footnote w:id="285">
    <w:p w14:paraId="3E1754E0" w14:textId="77777777" w:rsidR="000015C4" w:rsidRDefault="000015C4" w:rsidP="000015C4">
      <w:pPr>
        <w:pStyle w:val="a5"/>
        <w:rPr>
          <w:rFonts w:hint="cs"/>
          <w:rtl/>
        </w:rPr>
      </w:pPr>
      <w:r>
        <w:rPr>
          <w:rStyle w:val="a4"/>
        </w:rPr>
        <w:footnoteRef/>
      </w:r>
      <w:r>
        <w:rPr>
          <w:rFonts w:hint="cs"/>
          <w:rtl/>
        </w:rPr>
        <w:t xml:space="preserve"> מבאר אלמוני של </w:t>
      </w:r>
      <w:r>
        <w:rPr>
          <w:rtl/>
        </w:rPr>
        <w:t>איכה רבה (</w:t>
      </w:r>
      <w:r>
        <w:rPr>
          <w:sz w:val="18"/>
          <w:szCs w:val="20"/>
          <w:rtl/>
        </w:rPr>
        <w:t>פרשה א</w:t>
      </w:r>
      <w:r>
        <w:rPr>
          <w:rFonts w:hint="cs"/>
          <w:sz w:val="18"/>
          <w:szCs w:val="20"/>
          <w:rtl/>
        </w:rPr>
        <w:t xml:space="preserve">, </w:t>
      </w:r>
      <w:r>
        <w:rPr>
          <w:sz w:val="18"/>
          <w:szCs w:val="20"/>
          <w:rtl/>
        </w:rPr>
        <w:t xml:space="preserve">יג </w:t>
      </w:r>
      <w:r>
        <w:rPr>
          <w:rFonts w:hint="cs"/>
          <w:sz w:val="18"/>
          <w:szCs w:val="20"/>
          <w:rtl/>
        </w:rPr>
        <w:t xml:space="preserve">במהדורת </w:t>
      </w:r>
      <w:r>
        <w:rPr>
          <w:sz w:val="18"/>
          <w:szCs w:val="20"/>
          <w:rtl/>
        </w:rPr>
        <w:t>וילנ</w:t>
      </w:r>
      <w:r>
        <w:rPr>
          <w:rFonts w:hint="cs"/>
          <w:sz w:val="18"/>
          <w:szCs w:val="20"/>
          <w:rtl/>
        </w:rPr>
        <w:t>ה</w:t>
      </w:r>
      <w:r>
        <w:rPr>
          <w:rtl/>
        </w:rPr>
        <w:t xml:space="preserve">) </w:t>
      </w:r>
      <w:r>
        <w:rPr>
          <w:rFonts w:hint="cs"/>
          <w:rtl/>
        </w:rPr>
        <w:t>העתיק משפט זה ככה"נ מהערוך (בתוך סוגריים) כדי לבאר את לשון המדרש על אותו איש מ"אתינס", שהיה "</w:t>
      </w:r>
      <w:r>
        <w:rPr>
          <w:rtl/>
        </w:rPr>
        <w:t>מפלי</w:t>
      </w:r>
      <w:r>
        <w:rPr>
          <w:rFonts w:hint="cs"/>
          <w:rtl/>
        </w:rPr>
        <w:t>" (</w:t>
      </w:r>
      <w:r>
        <w:rPr>
          <w:rFonts w:hint="cs"/>
          <w:sz w:val="18"/>
          <w:szCs w:val="20"/>
          <w:rtl/>
        </w:rPr>
        <w:t xml:space="preserve">במהדורת </w:t>
      </w:r>
      <w:r>
        <w:rPr>
          <w:sz w:val="18"/>
          <w:szCs w:val="20"/>
          <w:rtl/>
          <w:lang w:eastAsia="he-IL"/>
        </w:rPr>
        <w:t>בובר</w:t>
      </w:r>
      <w:r>
        <w:rPr>
          <w:rFonts w:hint="cs"/>
          <w:sz w:val="18"/>
          <w:szCs w:val="20"/>
          <w:rtl/>
          <w:lang w:eastAsia="he-IL"/>
        </w:rPr>
        <w:t>:</w:t>
      </w:r>
      <w:r>
        <w:rPr>
          <w:sz w:val="18"/>
          <w:szCs w:val="20"/>
          <w:rtl/>
          <w:lang w:eastAsia="he-IL"/>
        </w:rPr>
        <w:t xml:space="preserve"> </w:t>
      </w:r>
      <w:r>
        <w:rPr>
          <w:rFonts w:hint="cs"/>
          <w:sz w:val="18"/>
          <w:szCs w:val="20"/>
          <w:rtl/>
          <w:lang w:eastAsia="he-IL"/>
        </w:rPr>
        <w:t>"</w:t>
      </w:r>
      <w:r>
        <w:rPr>
          <w:sz w:val="18"/>
          <w:szCs w:val="20"/>
          <w:rtl/>
          <w:lang w:eastAsia="he-IL"/>
        </w:rPr>
        <w:t>מפלי</w:t>
      </w:r>
      <w:r>
        <w:rPr>
          <w:rFonts w:hint="cs"/>
          <w:sz w:val="18"/>
          <w:szCs w:val="20"/>
          <w:rtl/>
          <w:lang w:eastAsia="he-IL"/>
        </w:rPr>
        <w:t>(</w:t>
      </w:r>
      <w:r>
        <w:rPr>
          <w:sz w:val="18"/>
          <w:szCs w:val="20"/>
          <w:rtl/>
          <w:lang w:eastAsia="he-IL"/>
        </w:rPr>
        <w:t>י</w:t>
      </w:r>
      <w:r>
        <w:rPr>
          <w:rFonts w:hint="cs"/>
          <w:sz w:val="18"/>
          <w:szCs w:val="20"/>
          <w:rtl/>
          <w:lang w:eastAsia="he-IL"/>
        </w:rPr>
        <w:t>)</w:t>
      </w:r>
      <w:r>
        <w:rPr>
          <w:sz w:val="18"/>
          <w:szCs w:val="20"/>
          <w:rtl/>
          <w:lang w:eastAsia="he-IL"/>
        </w:rPr>
        <w:t>א</w:t>
      </w:r>
      <w:r>
        <w:rPr>
          <w:rFonts w:hint="cs"/>
          <w:sz w:val="18"/>
          <w:szCs w:val="20"/>
          <w:rtl/>
          <w:lang w:eastAsia="he-IL"/>
        </w:rPr>
        <w:t>"</w:t>
      </w:r>
      <w:r>
        <w:rPr>
          <w:rFonts w:hint="cs"/>
          <w:rtl/>
        </w:rPr>
        <w:t>)</w:t>
      </w:r>
      <w:r>
        <w:rPr>
          <w:rtl/>
        </w:rPr>
        <w:t xml:space="preserve"> בבני ירושלם</w:t>
      </w:r>
      <w:r>
        <w:rPr>
          <w:rFonts w:hint="cs"/>
          <w:rtl/>
        </w:rPr>
        <w:t>. אך נראה כי שם מדובר במִלה אחרת לגמרי, הקשורה ל"</w:t>
      </w:r>
      <w:r>
        <w:rPr>
          <w:rtl/>
        </w:rPr>
        <w:t>מפליא ליצנות</w:t>
      </w:r>
      <w:r>
        <w:rPr>
          <w:rFonts w:hint="cs"/>
          <w:rtl/>
        </w:rPr>
        <w:t>" בבבלי (</w:t>
      </w:r>
      <w:r>
        <w:rPr>
          <w:sz w:val="18"/>
          <w:szCs w:val="20"/>
          <w:rtl/>
        </w:rPr>
        <w:t>עבודה זרה מד</w:t>
      </w:r>
      <w:r>
        <w:rPr>
          <w:rFonts w:hint="cs"/>
          <w:sz w:val="18"/>
          <w:szCs w:val="20"/>
          <w:rtl/>
        </w:rPr>
        <w:t xml:space="preserve">, </w:t>
      </w:r>
      <w:r>
        <w:rPr>
          <w:sz w:val="18"/>
          <w:szCs w:val="20"/>
          <w:rtl/>
        </w:rPr>
        <w:t>א</w:t>
      </w:r>
      <w:r>
        <w:rPr>
          <w:rFonts w:hint="cs"/>
          <w:rtl/>
        </w:rPr>
        <w:t>), או כפירוש רש"י או כפירוש ה</w:t>
      </w:r>
      <w:r>
        <w:rPr>
          <w:rtl/>
        </w:rPr>
        <w:t>תוספות</w:t>
      </w:r>
      <w:r>
        <w:rPr>
          <w:rFonts w:hint="cs"/>
          <w:rtl/>
        </w:rPr>
        <w:t xml:space="preserve"> ע"פ ה</w:t>
      </w:r>
      <w:r>
        <w:rPr>
          <w:rtl/>
        </w:rPr>
        <w:t>ערוך</w:t>
      </w:r>
      <w:r>
        <w:rPr>
          <w:rFonts w:hint="cs"/>
          <w:sz w:val="18"/>
          <w:szCs w:val="20"/>
          <w:rtl/>
        </w:rPr>
        <w:t xml:space="preserve">, </w:t>
      </w:r>
      <w:r>
        <w:rPr>
          <w:sz w:val="18"/>
          <w:szCs w:val="20"/>
          <w:rtl/>
        </w:rPr>
        <w:t>ערך פלא</w:t>
      </w:r>
      <w:r>
        <w:rPr>
          <w:rtl/>
        </w:rPr>
        <w:t>.</w:t>
      </w:r>
      <w:r>
        <w:rPr>
          <w:rFonts w:hint="cs"/>
          <w:rtl/>
        </w:rPr>
        <w:t xml:space="preserve"> וכן כתבו מפרשי המדרש, מתנות כהונה ורד"ל.</w:t>
      </w:r>
      <w:r>
        <w:rPr>
          <w:rtl/>
          <w:lang w:eastAsia="he-IL"/>
        </w:rPr>
        <w:t xml:space="preserve"> </w:t>
      </w:r>
    </w:p>
  </w:footnote>
  <w:footnote w:id="286">
    <w:p w14:paraId="201FE8C6" w14:textId="77777777" w:rsidR="000015C4" w:rsidRDefault="000015C4" w:rsidP="000015C4">
      <w:pPr>
        <w:pStyle w:val="a5"/>
        <w:rPr>
          <w:rFonts w:hint="cs"/>
          <w:rtl/>
        </w:rPr>
      </w:pPr>
      <w:r>
        <w:rPr>
          <w:rStyle w:val="a4"/>
        </w:rPr>
        <w:footnoteRef/>
      </w:r>
      <w:r>
        <w:rPr>
          <w:rFonts w:hint="cs"/>
          <w:rtl/>
        </w:rPr>
        <w:t xml:space="preserve"> הוא חי סמוך אחר הערוך (</w:t>
      </w:r>
      <w:r>
        <w:rPr>
          <w:rFonts w:hint="cs"/>
          <w:sz w:val="18"/>
          <w:szCs w:val="20"/>
          <w:rtl/>
        </w:rPr>
        <w:t>בספרו מוזכרים מסעי הצלב שבשנת ד'תתנ"ו, 1096</w:t>
      </w:r>
      <w:r>
        <w:rPr>
          <w:rFonts w:hint="cs"/>
          <w:rtl/>
        </w:rPr>
        <w:t>). ישנם דעות שונות לגבי ארץ מגוריו.</w:t>
      </w:r>
    </w:p>
  </w:footnote>
  <w:footnote w:id="287">
    <w:p w14:paraId="0331ADC7" w14:textId="77777777" w:rsidR="000015C4" w:rsidRDefault="000015C4" w:rsidP="000015C4">
      <w:pPr>
        <w:pStyle w:val="a5"/>
        <w:rPr>
          <w:rFonts w:hint="cs"/>
          <w:rtl/>
        </w:rPr>
      </w:pPr>
      <w:r>
        <w:rPr>
          <w:rStyle w:val="a4"/>
        </w:rPr>
        <w:footnoteRef/>
      </w:r>
      <w:r>
        <w:rPr>
          <w:rFonts w:hint="cs"/>
          <w:rtl/>
        </w:rPr>
        <w:t xml:space="preserve"> יש מכַנים ספר זה "</w:t>
      </w:r>
      <w:r>
        <w:rPr>
          <w:rtl/>
        </w:rPr>
        <w:t>פסיקתא</w:t>
      </w:r>
      <w:r>
        <w:rPr>
          <w:rFonts w:hint="cs"/>
          <w:rtl/>
        </w:rPr>
        <w:t xml:space="preserve"> </w:t>
      </w:r>
      <w:r>
        <w:rPr>
          <w:rtl/>
        </w:rPr>
        <w:t>זוטרתא</w:t>
      </w:r>
      <w:r>
        <w:rPr>
          <w:rFonts w:hint="cs"/>
          <w:rtl/>
        </w:rPr>
        <w:t xml:space="preserve">". </w:t>
      </w:r>
    </w:p>
  </w:footnote>
  <w:footnote w:id="288">
    <w:p w14:paraId="23E46776" w14:textId="77777777" w:rsidR="000015C4" w:rsidRDefault="000015C4" w:rsidP="000015C4">
      <w:pPr>
        <w:pStyle w:val="a5"/>
        <w:rPr>
          <w:rFonts w:hint="cs"/>
          <w:rtl/>
        </w:rPr>
      </w:pPr>
      <w:r>
        <w:rPr>
          <w:rStyle w:val="a4"/>
          <w:rtl/>
        </w:rPr>
        <w:footnoteRef/>
      </w:r>
      <w:r>
        <w:rPr>
          <w:szCs w:val="22"/>
        </w:rPr>
        <w:t xml:space="preserve"> </w:t>
      </w:r>
      <w:r>
        <w:rPr>
          <w:rFonts w:hint="cs"/>
          <w:rtl/>
        </w:rPr>
        <w:t xml:space="preserve"> נראה שכוונתו לפרש ששורש פ"ר ושורש פ"ל מתחלפים, הואיל ומוצא אחד לעיצורים </w:t>
      </w:r>
      <w:r>
        <w:rPr>
          <w:rtl/>
        </w:rPr>
        <w:t>רי"ש ולמ"ד</w:t>
      </w:r>
      <w:r>
        <w:rPr>
          <w:rFonts w:hint="cs"/>
          <w:rtl/>
        </w:rPr>
        <w:t xml:space="preserve">, ע"פ דברי </w:t>
      </w:r>
      <w:r>
        <w:rPr>
          <w:rtl/>
        </w:rPr>
        <w:t>רש"י: "</w:t>
      </w:r>
      <w:r>
        <w:rPr>
          <w:rFonts w:hint="cs"/>
          <w:rtl/>
        </w:rPr>
        <w:t>...</w:t>
      </w:r>
      <w:r>
        <w:rPr>
          <w:rtl/>
        </w:rPr>
        <w:t>ש</w:t>
      </w:r>
      <w:r>
        <w:rPr>
          <w:rFonts w:hint="cs"/>
          <w:rtl/>
        </w:rPr>
        <w:t>ֶׁ</w:t>
      </w:r>
      <w:r>
        <w:rPr>
          <w:rtl/>
        </w:rPr>
        <w:t>כ</w:t>
      </w:r>
      <w:r>
        <w:rPr>
          <w:rFonts w:hint="cs"/>
          <w:rtl/>
        </w:rPr>
        <w:t>ּ</w:t>
      </w:r>
      <w:r>
        <w:rPr>
          <w:rtl/>
        </w:rPr>
        <w:t>ל האותיות שמוצאיהם ממקום אחד מתחלפות זו בזו</w:t>
      </w:r>
      <w:r>
        <w:rPr>
          <w:rFonts w:hint="cs"/>
          <w:rtl/>
        </w:rPr>
        <w:t>:</w:t>
      </w:r>
      <w:r>
        <w:rPr>
          <w:rtl/>
        </w:rPr>
        <w:t xml:space="preserve"> בי"ת בפ"א</w:t>
      </w:r>
      <w:r>
        <w:rPr>
          <w:rFonts w:hint="cs"/>
          <w:rtl/>
        </w:rPr>
        <w:t xml:space="preserve"> </w:t>
      </w:r>
      <w:r>
        <w:rPr>
          <w:rtl/>
        </w:rPr>
        <w:t xml:space="preserve">ובוי"ו, גימ"ל בכ"ף וקו"ף, </w:t>
      </w:r>
      <w:r>
        <w:rPr>
          <w:b/>
          <w:bCs/>
          <w:rtl/>
        </w:rPr>
        <w:t>נו"ן בלמ"ד</w:t>
      </w:r>
      <w:r>
        <w:rPr>
          <w:rFonts w:hint="cs"/>
          <w:b/>
          <w:bCs/>
          <w:rtl/>
        </w:rPr>
        <w:t xml:space="preserve"> </w:t>
      </w:r>
      <w:r>
        <w:rPr>
          <w:b/>
          <w:bCs/>
          <w:rtl/>
        </w:rPr>
        <w:t>ורי"ש</w:t>
      </w:r>
      <w:r>
        <w:rPr>
          <w:rFonts w:hint="cs"/>
          <w:rtl/>
        </w:rPr>
        <w:t>,</w:t>
      </w:r>
      <w:r>
        <w:rPr>
          <w:rtl/>
        </w:rPr>
        <w:t xml:space="preserve"> וזי"ן בצד"י..."</w:t>
      </w:r>
      <w:r>
        <w:rPr>
          <w:rFonts w:hint="cs"/>
          <w:rtl/>
        </w:rPr>
        <w:t xml:space="preserve"> (</w:t>
      </w:r>
      <w:r>
        <w:rPr>
          <w:rFonts w:hint="cs"/>
          <w:sz w:val="18"/>
          <w:szCs w:val="20"/>
          <w:rtl/>
        </w:rPr>
        <w:t xml:space="preserve">פירושו </w:t>
      </w:r>
      <w:r>
        <w:rPr>
          <w:sz w:val="18"/>
          <w:szCs w:val="20"/>
          <w:rtl/>
        </w:rPr>
        <w:t>לויקרא יט, טז</w:t>
      </w:r>
      <w:r>
        <w:rPr>
          <w:rFonts w:hint="cs"/>
          <w:sz w:val="18"/>
          <w:szCs w:val="20"/>
          <w:rtl/>
        </w:rPr>
        <w:t xml:space="preserve"> ד"ה </w:t>
      </w:r>
      <w:r>
        <w:rPr>
          <w:sz w:val="18"/>
          <w:szCs w:val="20"/>
          <w:rtl/>
        </w:rPr>
        <w:t>לֹא תֵלֵךְ רָכִיל</w:t>
      </w:r>
      <w:r>
        <w:rPr>
          <w:rFonts w:hint="cs"/>
          <w:sz w:val="26"/>
          <w:rtl/>
        </w:rPr>
        <w:t xml:space="preserve">; </w:t>
      </w:r>
      <w:r>
        <w:rPr>
          <w:rFonts w:hint="cs"/>
          <w:sz w:val="18"/>
          <w:szCs w:val="20"/>
          <w:rtl/>
        </w:rPr>
        <w:t>על חילופי ל' ור' ראה ברמב"ן לשמות כב, טו ולהלן דף קי, א</w:t>
      </w:r>
      <w:r>
        <w:rPr>
          <w:rFonts w:hint="cs"/>
          <w:rtl/>
        </w:rPr>
        <w:t>). אף שאין בעל "</w:t>
      </w:r>
      <w:r>
        <w:rPr>
          <w:rtl/>
        </w:rPr>
        <w:t>לקח טוב</w:t>
      </w:r>
      <w:r>
        <w:rPr>
          <w:rFonts w:hint="cs"/>
          <w:rtl/>
        </w:rPr>
        <w:t>" מזכיר במפורש את התרגום, נראה שאף הוא מתבסס עליו.</w:t>
      </w:r>
    </w:p>
  </w:footnote>
  <w:footnote w:id="289">
    <w:p w14:paraId="0C61EE3E" w14:textId="77777777" w:rsidR="000015C4" w:rsidRDefault="000015C4" w:rsidP="000015C4">
      <w:pPr>
        <w:pStyle w:val="a5"/>
        <w:rPr>
          <w:rFonts w:hint="cs"/>
          <w:rtl/>
        </w:rPr>
      </w:pPr>
      <w:r>
        <w:rPr>
          <w:rStyle w:val="a4"/>
          <w:rtl/>
        </w:rPr>
        <w:footnoteRef/>
      </w:r>
      <w:r>
        <w:rPr>
          <w:szCs w:val="22"/>
        </w:rPr>
        <w:t xml:space="preserve"> </w:t>
      </w:r>
      <w:r>
        <w:rPr>
          <w:rFonts w:hint="cs"/>
          <w:rtl/>
        </w:rPr>
        <w:t xml:space="preserve">ע"פ </w:t>
      </w:r>
      <w:r>
        <w:rPr>
          <w:rtl/>
        </w:rPr>
        <w:t>תהלים מה</w:t>
      </w:r>
      <w:r>
        <w:rPr>
          <w:rFonts w:hint="cs"/>
          <w:rtl/>
        </w:rPr>
        <w:t xml:space="preserve">, </w:t>
      </w:r>
      <w:r>
        <w:rPr>
          <w:rtl/>
        </w:rPr>
        <w:t>ב</w:t>
      </w:r>
      <w:r>
        <w:rPr>
          <w:rFonts w:hint="cs"/>
          <w:rtl/>
        </w:rPr>
        <w:t xml:space="preserve">. מטבע לשון זה משמש בלשון ימי הביניים לציון חידוש שהגה </w:t>
      </w:r>
      <w:r>
        <w:rPr>
          <w:rtl/>
        </w:rPr>
        <w:t>לִבּ</w:t>
      </w:r>
      <w:r>
        <w:rPr>
          <w:rFonts w:hint="cs"/>
          <w:rtl/>
        </w:rPr>
        <w:t>ו של הכותב.</w:t>
      </w:r>
    </w:p>
  </w:footnote>
  <w:footnote w:id="290">
    <w:p w14:paraId="23FD78DF" w14:textId="77777777" w:rsidR="000015C4" w:rsidRDefault="000015C4" w:rsidP="000015C4">
      <w:pPr>
        <w:pStyle w:val="a5"/>
        <w:rPr>
          <w:rtl/>
        </w:rPr>
      </w:pPr>
      <w:r>
        <w:rPr>
          <w:rStyle w:val="a4"/>
          <w:rtl/>
        </w:rPr>
        <w:footnoteRef/>
      </w:r>
      <w:r>
        <w:rPr>
          <w:szCs w:val="22"/>
        </w:rPr>
        <w:t xml:space="preserve"> </w:t>
      </w:r>
      <w:r>
        <w:rPr>
          <w:rFonts w:hint="cs"/>
          <w:rtl/>
        </w:rPr>
        <w:t>השימוש בפֹעַל זה במשמעות זו (של חיבור, קישור, הדבקה ושיוך של מִלה לחברתה) מייחד מחבר זה, והוא נוקט בו במקומות נוספים (</w:t>
      </w:r>
      <w:r>
        <w:rPr>
          <w:sz w:val="18"/>
          <w:szCs w:val="20"/>
          <w:rtl/>
        </w:rPr>
        <w:t>בראשית כה</w:t>
      </w:r>
      <w:r>
        <w:rPr>
          <w:rFonts w:hint="cs"/>
          <w:sz w:val="18"/>
          <w:szCs w:val="20"/>
          <w:rtl/>
        </w:rPr>
        <w:t>,</w:t>
      </w:r>
      <w:r>
        <w:rPr>
          <w:sz w:val="18"/>
          <w:szCs w:val="20"/>
          <w:rtl/>
        </w:rPr>
        <w:t xml:space="preserve"> כז</w:t>
      </w:r>
      <w:r>
        <w:rPr>
          <w:rFonts w:hint="cs"/>
          <w:sz w:val="18"/>
          <w:szCs w:val="20"/>
          <w:rtl/>
        </w:rPr>
        <w:t>;</w:t>
      </w:r>
      <w:r>
        <w:rPr>
          <w:sz w:val="18"/>
          <w:szCs w:val="20"/>
          <w:rtl/>
        </w:rPr>
        <w:t xml:space="preserve"> כט</w:t>
      </w:r>
      <w:r>
        <w:rPr>
          <w:rFonts w:hint="cs"/>
          <w:sz w:val="18"/>
          <w:szCs w:val="20"/>
          <w:rtl/>
        </w:rPr>
        <w:t xml:space="preserve">, </w:t>
      </w:r>
      <w:r>
        <w:rPr>
          <w:sz w:val="18"/>
          <w:szCs w:val="20"/>
          <w:rtl/>
        </w:rPr>
        <w:t>יא</w:t>
      </w:r>
      <w:r>
        <w:rPr>
          <w:rFonts w:hint="cs"/>
          <w:sz w:val="18"/>
          <w:szCs w:val="20"/>
          <w:rtl/>
        </w:rPr>
        <w:t xml:space="preserve">; </w:t>
      </w:r>
      <w:r>
        <w:rPr>
          <w:sz w:val="18"/>
          <w:szCs w:val="20"/>
          <w:rtl/>
        </w:rPr>
        <w:t>לב</w:t>
      </w:r>
      <w:r>
        <w:rPr>
          <w:rFonts w:hint="cs"/>
          <w:sz w:val="18"/>
          <w:szCs w:val="20"/>
          <w:rtl/>
        </w:rPr>
        <w:t>,</w:t>
      </w:r>
      <w:r>
        <w:rPr>
          <w:sz w:val="18"/>
          <w:szCs w:val="20"/>
          <w:rtl/>
        </w:rPr>
        <w:t xml:space="preserve"> לג</w:t>
      </w:r>
      <w:r>
        <w:rPr>
          <w:rFonts w:hint="cs"/>
          <w:sz w:val="18"/>
          <w:szCs w:val="20"/>
          <w:rtl/>
        </w:rPr>
        <w:t xml:space="preserve">; </w:t>
      </w:r>
      <w:r>
        <w:rPr>
          <w:sz w:val="18"/>
          <w:szCs w:val="20"/>
          <w:rtl/>
        </w:rPr>
        <w:t>לד</w:t>
      </w:r>
      <w:r>
        <w:rPr>
          <w:rFonts w:hint="cs"/>
          <w:sz w:val="18"/>
          <w:szCs w:val="20"/>
          <w:rtl/>
        </w:rPr>
        <w:t xml:space="preserve">, ב; שם </w:t>
      </w:r>
      <w:r>
        <w:rPr>
          <w:sz w:val="18"/>
          <w:szCs w:val="20"/>
          <w:rtl/>
        </w:rPr>
        <w:t>ח</w:t>
      </w:r>
      <w:r>
        <w:rPr>
          <w:rFonts w:hint="cs"/>
          <w:sz w:val="18"/>
          <w:szCs w:val="20"/>
          <w:rtl/>
        </w:rPr>
        <w:t xml:space="preserve">; </w:t>
      </w:r>
      <w:r>
        <w:rPr>
          <w:sz w:val="18"/>
          <w:szCs w:val="20"/>
          <w:rtl/>
        </w:rPr>
        <w:t>לח</w:t>
      </w:r>
      <w:r>
        <w:rPr>
          <w:rFonts w:hint="cs"/>
          <w:sz w:val="18"/>
          <w:szCs w:val="20"/>
          <w:rtl/>
        </w:rPr>
        <w:t xml:space="preserve">, </w:t>
      </w:r>
      <w:r>
        <w:rPr>
          <w:sz w:val="18"/>
          <w:szCs w:val="20"/>
          <w:rtl/>
        </w:rPr>
        <w:t>ה</w:t>
      </w:r>
      <w:r>
        <w:rPr>
          <w:rFonts w:hint="cs"/>
          <w:sz w:val="18"/>
          <w:szCs w:val="20"/>
          <w:rtl/>
        </w:rPr>
        <w:t>;</w:t>
      </w:r>
      <w:r>
        <w:rPr>
          <w:sz w:val="18"/>
          <w:szCs w:val="20"/>
          <w:rtl/>
        </w:rPr>
        <w:t xml:space="preserve"> מא</w:t>
      </w:r>
      <w:r>
        <w:rPr>
          <w:rFonts w:hint="cs"/>
          <w:sz w:val="18"/>
          <w:szCs w:val="20"/>
          <w:rtl/>
        </w:rPr>
        <w:t>,</w:t>
      </w:r>
      <w:r>
        <w:rPr>
          <w:sz w:val="18"/>
          <w:szCs w:val="20"/>
          <w:rtl/>
        </w:rPr>
        <w:t>כג</w:t>
      </w:r>
      <w:r>
        <w:rPr>
          <w:rFonts w:hint="cs"/>
          <w:sz w:val="18"/>
          <w:szCs w:val="20"/>
          <w:rtl/>
        </w:rPr>
        <w:t>;</w:t>
      </w:r>
      <w:r>
        <w:rPr>
          <w:sz w:val="18"/>
          <w:szCs w:val="20"/>
          <w:rtl/>
        </w:rPr>
        <w:t xml:space="preserve"> מז</w:t>
      </w:r>
      <w:r>
        <w:rPr>
          <w:rFonts w:hint="cs"/>
          <w:sz w:val="18"/>
          <w:szCs w:val="20"/>
          <w:rtl/>
        </w:rPr>
        <w:t xml:space="preserve">, </w:t>
      </w:r>
      <w:r>
        <w:rPr>
          <w:sz w:val="18"/>
          <w:szCs w:val="20"/>
          <w:rtl/>
        </w:rPr>
        <w:t>יג</w:t>
      </w:r>
      <w:r>
        <w:rPr>
          <w:rFonts w:hint="cs"/>
          <w:sz w:val="18"/>
          <w:szCs w:val="20"/>
          <w:rtl/>
        </w:rPr>
        <w:t>;</w:t>
      </w:r>
      <w:r>
        <w:rPr>
          <w:sz w:val="18"/>
          <w:szCs w:val="20"/>
          <w:rtl/>
        </w:rPr>
        <w:t xml:space="preserve"> שמות א</w:t>
      </w:r>
      <w:r>
        <w:rPr>
          <w:rFonts w:hint="cs"/>
          <w:sz w:val="18"/>
          <w:szCs w:val="20"/>
          <w:rtl/>
        </w:rPr>
        <w:t xml:space="preserve">, </w:t>
      </w:r>
      <w:r>
        <w:rPr>
          <w:sz w:val="18"/>
          <w:szCs w:val="20"/>
          <w:rtl/>
        </w:rPr>
        <w:t>יא</w:t>
      </w:r>
      <w:r>
        <w:rPr>
          <w:rFonts w:hint="cs"/>
          <w:sz w:val="18"/>
          <w:szCs w:val="20"/>
          <w:rtl/>
        </w:rPr>
        <w:t>;</w:t>
      </w:r>
      <w:r>
        <w:rPr>
          <w:sz w:val="18"/>
          <w:szCs w:val="20"/>
          <w:rtl/>
        </w:rPr>
        <w:t xml:space="preserve"> ג</w:t>
      </w:r>
      <w:r>
        <w:rPr>
          <w:rFonts w:hint="cs"/>
          <w:sz w:val="18"/>
          <w:szCs w:val="20"/>
          <w:rtl/>
        </w:rPr>
        <w:t>,</w:t>
      </w:r>
      <w:r>
        <w:rPr>
          <w:sz w:val="18"/>
          <w:szCs w:val="20"/>
          <w:rtl/>
        </w:rPr>
        <w:t xml:space="preserve"> ג</w:t>
      </w:r>
      <w:r>
        <w:rPr>
          <w:rFonts w:hint="cs"/>
          <w:sz w:val="18"/>
          <w:szCs w:val="20"/>
          <w:rtl/>
        </w:rPr>
        <w:t>;</w:t>
      </w:r>
      <w:r>
        <w:rPr>
          <w:sz w:val="18"/>
          <w:szCs w:val="20"/>
          <w:rtl/>
        </w:rPr>
        <w:t xml:space="preserve"> </w:t>
      </w:r>
      <w:r>
        <w:rPr>
          <w:rFonts w:hint="cs"/>
          <w:sz w:val="18"/>
          <w:szCs w:val="20"/>
          <w:rtl/>
        </w:rPr>
        <w:t>שם</w:t>
      </w:r>
      <w:r>
        <w:rPr>
          <w:sz w:val="18"/>
          <w:szCs w:val="20"/>
          <w:rtl/>
        </w:rPr>
        <w:t xml:space="preserve"> יד</w:t>
      </w:r>
      <w:r>
        <w:rPr>
          <w:rFonts w:hint="cs"/>
          <w:sz w:val="18"/>
          <w:szCs w:val="20"/>
          <w:rtl/>
        </w:rPr>
        <w:t xml:space="preserve">; </w:t>
      </w:r>
      <w:r>
        <w:rPr>
          <w:sz w:val="18"/>
          <w:szCs w:val="20"/>
          <w:rtl/>
        </w:rPr>
        <w:t>ז</w:t>
      </w:r>
      <w:r>
        <w:rPr>
          <w:rFonts w:hint="cs"/>
          <w:sz w:val="18"/>
          <w:szCs w:val="20"/>
          <w:rtl/>
        </w:rPr>
        <w:t xml:space="preserve">, </w:t>
      </w:r>
      <w:r>
        <w:rPr>
          <w:sz w:val="18"/>
          <w:szCs w:val="20"/>
          <w:rtl/>
        </w:rPr>
        <w:t>ט</w:t>
      </w:r>
      <w:r>
        <w:rPr>
          <w:rFonts w:hint="cs"/>
          <w:sz w:val="18"/>
          <w:szCs w:val="20"/>
          <w:rtl/>
        </w:rPr>
        <w:t>;</w:t>
      </w:r>
      <w:r>
        <w:rPr>
          <w:sz w:val="18"/>
          <w:szCs w:val="20"/>
          <w:rtl/>
        </w:rPr>
        <w:t xml:space="preserve"> יא</w:t>
      </w:r>
      <w:r>
        <w:rPr>
          <w:rFonts w:hint="cs"/>
          <w:sz w:val="18"/>
          <w:szCs w:val="20"/>
          <w:rtl/>
        </w:rPr>
        <w:t>,</w:t>
      </w:r>
      <w:r>
        <w:rPr>
          <w:sz w:val="18"/>
          <w:szCs w:val="20"/>
          <w:rtl/>
        </w:rPr>
        <w:t xml:space="preserve"> ז</w:t>
      </w:r>
      <w:r>
        <w:rPr>
          <w:rFonts w:hint="cs"/>
          <w:sz w:val="18"/>
          <w:szCs w:val="20"/>
          <w:rtl/>
        </w:rPr>
        <w:t>; וע"ע ב</w:t>
      </w:r>
      <w:r>
        <w:rPr>
          <w:sz w:val="18"/>
          <w:szCs w:val="20"/>
          <w:rtl/>
        </w:rPr>
        <w:t>בראשית מז</w:t>
      </w:r>
      <w:r>
        <w:rPr>
          <w:rFonts w:hint="cs"/>
          <w:sz w:val="18"/>
          <w:szCs w:val="20"/>
          <w:rtl/>
        </w:rPr>
        <w:t xml:space="preserve">, </w:t>
      </w:r>
      <w:r>
        <w:rPr>
          <w:sz w:val="18"/>
          <w:szCs w:val="20"/>
          <w:rtl/>
        </w:rPr>
        <w:t>כט</w:t>
      </w:r>
      <w:r>
        <w:rPr>
          <w:rFonts w:hint="cs"/>
          <w:rtl/>
        </w:rPr>
        <w:t>).</w:t>
      </w:r>
    </w:p>
  </w:footnote>
  <w:footnote w:id="291">
    <w:p w14:paraId="4E12CD44" w14:textId="77777777" w:rsidR="000015C4" w:rsidRDefault="000015C4" w:rsidP="000015C4">
      <w:pPr>
        <w:pStyle w:val="a5"/>
        <w:rPr>
          <w:rFonts w:hint="cs"/>
          <w:rtl/>
        </w:rPr>
      </w:pPr>
      <w:r>
        <w:rPr>
          <w:rStyle w:val="a4"/>
          <w:rtl/>
        </w:rPr>
        <w:footnoteRef/>
      </w:r>
      <w:r>
        <w:rPr>
          <w:szCs w:val="22"/>
        </w:rPr>
        <w:t xml:space="preserve"> </w:t>
      </w:r>
      <w:r>
        <w:rPr>
          <w:rFonts w:hint="cs"/>
          <w:rtl/>
        </w:rPr>
        <w:t>כלומר, יש מפרשים. נראה שאין כוונתו להגדיר פירוש זה "דרש" (לעומת פשט). מסתבר שראה פירוש זה בספר לקח טוב (בכמה מקומות הוא מביא דברים בשמו</w:t>
      </w:r>
      <w:r>
        <w:rPr>
          <w:rFonts w:hint="cs"/>
          <w:sz w:val="18"/>
          <w:szCs w:val="20"/>
          <w:rtl/>
        </w:rPr>
        <w:t>, כגון ב</w:t>
      </w:r>
      <w:r>
        <w:rPr>
          <w:sz w:val="18"/>
          <w:szCs w:val="20"/>
          <w:rtl/>
        </w:rPr>
        <w:t>בראשית</w:t>
      </w:r>
      <w:r>
        <w:rPr>
          <w:rFonts w:hint="cs"/>
          <w:sz w:val="18"/>
          <w:szCs w:val="20"/>
          <w:rtl/>
        </w:rPr>
        <w:t xml:space="preserve"> פרק</w:t>
      </w:r>
      <w:r>
        <w:rPr>
          <w:sz w:val="18"/>
          <w:szCs w:val="20"/>
          <w:rtl/>
        </w:rPr>
        <w:t xml:space="preserve"> מד</w:t>
      </w:r>
      <w:r>
        <w:rPr>
          <w:rFonts w:hint="cs"/>
          <w:sz w:val="18"/>
          <w:szCs w:val="20"/>
          <w:rtl/>
        </w:rPr>
        <w:t>: "</w:t>
      </w:r>
      <w:r>
        <w:rPr>
          <w:sz w:val="18"/>
          <w:szCs w:val="20"/>
          <w:rtl/>
        </w:rPr>
        <w:t>ראיתי דרשת ר'  טוביה בלקחו הטוב</w:t>
      </w:r>
      <w:r>
        <w:rPr>
          <w:rFonts w:hint="cs"/>
          <w:sz w:val="18"/>
          <w:szCs w:val="20"/>
          <w:rtl/>
        </w:rPr>
        <w:t>"</w:t>
      </w:r>
      <w:r>
        <w:rPr>
          <w:rFonts w:hint="cs"/>
          <w:rtl/>
        </w:rPr>
        <w:t>).</w:t>
      </w:r>
    </w:p>
  </w:footnote>
  <w:footnote w:id="292">
    <w:p w14:paraId="425983C4" w14:textId="77777777" w:rsidR="000015C4" w:rsidRDefault="000015C4" w:rsidP="000015C4">
      <w:pPr>
        <w:pStyle w:val="a5"/>
        <w:rPr>
          <w:rFonts w:hint="cs"/>
          <w:rtl/>
        </w:rPr>
      </w:pPr>
      <w:r>
        <w:rPr>
          <w:rStyle w:val="a4"/>
          <w:rtl/>
        </w:rPr>
        <w:footnoteRef/>
      </w:r>
      <w:r>
        <w:rPr>
          <w:szCs w:val="22"/>
        </w:rPr>
        <w:t xml:space="preserve"> </w:t>
      </w:r>
      <w:r>
        <w:rPr>
          <w:rFonts w:hint="cs"/>
          <w:rtl/>
        </w:rPr>
        <w:t>ע"ע שם בהמשך הפרשה: "</w:t>
      </w:r>
      <w:r>
        <w:rPr>
          <w:b/>
          <w:bCs/>
          <w:rtl/>
        </w:rPr>
        <w:t>וְהִפְלֵיתִי</w:t>
      </w:r>
      <w:r>
        <w:rPr>
          <w:rtl/>
        </w:rPr>
        <w:t xml:space="preserve"> בַיּוֹם הַהוּא אֶת אֶרֶץ גֹּשֶׁן אֲשֶׁר עַמִּי עֹמֵד עָלֶיהָ לְבִלְתִּי הֱיוֹת שָׁם עָרֹב</w:t>
      </w:r>
      <w:r>
        <w:rPr>
          <w:rFonts w:hint="cs"/>
          <w:rtl/>
        </w:rPr>
        <w:t>" (</w:t>
      </w:r>
      <w:r>
        <w:rPr>
          <w:sz w:val="18"/>
          <w:szCs w:val="20"/>
          <w:rtl/>
        </w:rPr>
        <w:t xml:space="preserve">שמות </w:t>
      </w:r>
      <w:r>
        <w:rPr>
          <w:rFonts w:hint="cs"/>
          <w:sz w:val="18"/>
          <w:szCs w:val="20"/>
          <w:rtl/>
        </w:rPr>
        <w:t>ח,</w:t>
      </w:r>
      <w:r>
        <w:rPr>
          <w:sz w:val="18"/>
          <w:szCs w:val="20"/>
          <w:rtl/>
        </w:rPr>
        <w:t xml:space="preserve"> </w:t>
      </w:r>
      <w:r>
        <w:rPr>
          <w:rFonts w:hint="cs"/>
          <w:sz w:val="18"/>
          <w:szCs w:val="20"/>
          <w:rtl/>
        </w:rPr>
        <w:t>יח</w:t>
      </w:r>
      <w:r>
        <w:rPr>
          <w:rFonts w:hint="cs"/>
          <w:rtl/>
        </w:rPr>
        <w:t>)... "</w:t>
      </w:r>
      <w:r>
        <w:rPr>
          <w:rtl/>
        </w:rPr>
        <w:t>וְ</w:t>
      </w:r>
      <w:r>
        <w:rPr>
          <w:b/>
          <w:bCs/>
          <w:rtl/>
        </w:rPr>
        <w:t xml:space="preserve">הִפְלָה </w:t>
      </w:r>
      <w:r>
        <w:rPr>
          <w:rFonts w:hint="cs"/>
          <w:rtl/>
        </w:rPr>
        <w:t xml:space="preserve">ה' </w:t>
      </w:r>
      <w:r>
        <w:rPr>
          <w:rtl/>
        </w:rPr>
        <w:t>בֵּין מִקְנֵה יִשְׂרָאֵל וּבֵין מִקְנֵה מִצְרָיִם</w:t>
      </w:r>
      <w:r>
        <w:rPr>
          <w:rFonts w:hint="cs"/>
          <w:rtl/>
        </w:rPr>
        <w:t>"</w:t>
      </w:r>
      <w:r>
        <w:rPr>
          <w:rtl/>
        </w:rPr>
        <w:t xml:space="preserve"> </w:t>
      </w:r>
      <w:r>
        <w:rPr>
          <w:rFonts w:hint="cs"/>
          <w:rtl/>
        </w:rPr>
        <w:t>(</w:t>
      </w:r>
      <w:r>
        <w:rPr>
          <w:sz w:val="18"/>
          <w:szCs w:val="20"/>
          <w:rtl/>
        </w:rPr>
        <w:t>שמות ט</w:t>
      </w:r>
      <w:r>
        <w:rPr>
          <w:rFonts w:ascii="Arial" w:hAnsi="Arial" w:hint="cs"/>
          <w:color w:val="0000FF"/>
          <w:rtl/>
        </w:rPr>
        <w:t>.</w:t>
      </w:r>
      <w:r>
        <w:rPr>
          <w:sz w:val="18"/>
          <w:szCs w:val="20"/>
          <w:rtl/>
        </w:rPr>
        <w:t xml:space="preserve"> ד</w:t>
      </w:r>
      <w:r>
        <w:rPr>
          <w:rFonts w:hint="cs"/>
          <w:rtl/>
        </w:rPr>
        <w:t xml:space="preserve">). </w:t>
      </w:r>
      <w:r>
        <w:rPr>
          <w:rtl/>
        </w:rPr>
        <w:t xml:space="preserve">רש"י </w:t>
      </w:r>
      <w:r>
        <w:rPr>
          <w:rFonts w:hint="cs"/>
          <w:rtl/>
        </w:rPr>
        <w:t>פרש "</w:t>
      </w:r>
      <w:r>
        <w:rPr>
          <w:rtl/>
        </w:rPr>
        <w:t xml:space="preserve">וְהִפְלֵיתִי - והפרשתי, וכן </w:t>
      </w:r>
      <w:r>
        <w:rPr>
          <w:rFonts w:hint="cs"/>
          <w:rtl/>
        </w:rPr>
        <w:t>'</w:t>
      </w:r>
      <w:r>
        <w:rPr>
          <w:rtl/>
        </w:rPr>
        <w:t>וְהִפְלָה</w:t>
      </w:r>
      <w:r>
        <w:rPr>
          <w:rFonts w:hint="cs"/>
          <w:rtl/>
        </w:rPr>
        <w:t xml:space="preserve"> </w:t>
      </w:r>
      <w:r>
        <w:rPr>
          <w:rtl/>
        </w:rPr>
        <w:t>ה'</w:t>
      </w:r>
      <w:r>
        <w:rPr>
          <w:rFonts w:hint="cs"/>
          <w:rtl/>
        </w:rPr>
        <w:t>'</w:t>
      </w:r>
      <w:r>
        <w:rPr>
          <w:rtl/>
        </w:rPr>
        <w:t xml:space="preserve">, וכן </w:t>
      </w:r>
      <w:r>
        <w:rPr>
          <w:rFonts w:hint="cs"/>
          <w:rtl/>
        </w:rPr>
        <w:t>'</w:t>
      </w:r>
      <w:r>
        <w:rPr>
          <w:rtl/>
        </w:rPr>
        <w:t xml:space="preserve">לֹא נִפְלֵאת הִוא מִמְּךָ </w:t>
      </w:r>
      <w:r>
        <w:rPr>
          <w:rFonts w:hint="cs"/>
          <w:rtl/>
        </w:rPr>
        <w:t>[</w:t>
      </w:r>
      <w:r>
        <w:rPr>
          <w:rtl/>
        </w:rPr>
        <w:t>וְלֹא רְחֹקָה הִוא</w:t>
      </w:r>
      <w:r>
        <w:rPr>
          <w:rFonts w:hint="cs"/>
          <w:rtl/>
        </w:rPr>
        <w:t>]' (</w:t>
      </w:r>
      <w:r>
        <w:rPr>
          <w:sz w:val="18"/>
          <w:szCs w:val="20"/>
          <w:rtl/>
        </w:rPr>
        <w:t>דברים ל</w:t>
      </w:r>
      <w:r>
        <w:rPr>
          <w:rFonts w:hint="cs"/>
          <w:sz w:val="18"/>
          <w:szCs w:val="20"/>
          <w:rtl/>
        </w:rPr>
        <w:t>,</w:t>
      </w:r>
      <w:r>
        <w:rPr>
          <w:sz w:val="18"/>
          <w:szCs w:val="20"/>
          <w:rtl/>
        </w:rPr>
        <w:t xml:space="preserve"> יא</w:t>
      </w:r>
      <w:r>
        <w:rPr>
          <w:rFonts w:hint="cs"/>
          <w:rtl/>
        </w:rPr>
        <w:t>) -</w:t>
      </w:r>
      <w:r>
        <w:rPr>
          <w:rtl/>
        </w:rPr>
        <w:t xml:space="preserve"> לא מובדלת ומופרשת היא ממך</w:t>
      </w:r>
      <w:r>
        <w:rPr>
          <w:rFonts w:hint="cs"/>
          <w:rtl/>
        </w:rPr>
        <w:t>"... "</w:t>
      </w:r>
      <w:r>
        <w:rPr>
          <w:rtl/>
        </w:rPr>
        <w:t>וְהִפְלָה</w:t>
      </w:r>
      <w:r>
        <w:rPr>
          <w:b/>
          <w:bCs/>
          <w:rtl/>
        </w:rPr>
        <w:t xml:space="preserve"> </w:t>
      </w:r>
      <w:r>
        <w:rPr>
          <w:rFonts w:hint="cs"/>
          <w:rtl/>
        </w:rPr>
        <w:t xml:space="preserve">- </w:t>
      </w:r>
      <w:r>
        <w:rPr>
          <w:rtl/>
        </w:rPr>
        <w:t>והבדיל</w:t>
      </w:r>
      <w:r>
        <w:rPr>
          <w:rFonts w:hint="cs"/>
          <w:rtl/>
        </w:rPr>
        <w:t xml:space="preserve">". לעומת זאת, כתב בעל "שכל </w:t>
      </w:r>
      <w:r>
        <w:rPr>
          <w:rtl/>
        </w:rPr>
        <w:t>טוב</w:t>
      </w:r>
      <w:r>
        <w:rPr>
          <w:rFonts w:hint="cs"/>
          <w:rtl/>
        </w:rPr>
        <w:t>": "</w:t>
      </w:r>
      <w:r>
        <w:rPr>
          <w:rtl/>
        </w:rPr>
        <w:t xml:space="preserve">(והפלאתי) [והפליתי] ביום ההוא. אע"פ שהתיבה נדרשת לשון פלא, כלומר אעשה פלאות לארץ גושן שיהיו באי עולם מפליאין בעיניהם האיך ארץ זו לקתה וארץ זו לא לקתה, יש לגבורי כח לדרוש התיבה ולהדבירה על אופן העלמה, ודומה לדבר </w:t>
      </w:r>
      <w:r>
        <w:rPr>
          <w:rFonts w:hint="cs"/>
          <w:rtl/>
        </w:rPr>
        <w:t>'</w:t>
      </w:r>
      <w:r>
        <w:rPr>
          <w:rtl/>
        </w:rPr>
        <w:t>כִּי יִפָּלֵא מִמְּךָ דָבָר</w:t>
      </w:r>
      <w:r>
        <w:rPr>
          <w:rFonts w:hint="cs"/>
          <w:rtl/>
        </w:rPr>
        <w:t>' (</w:t>
      </w:r>
      <w:r>
        <w:rPr>
          <w:sz w:val="18"/>
          <w:szCs w:val="20"/>
          <w:rtl/>
        </w:rPr>
        <w:t>דברים יז</w:t>
      </w:r>
      <w:r>
        <w:rPr>
          <w:rFonts w:hint="cs"/>
          <w:sz w:val="18"/>
          <w:szCs w:val="20"/>
          <w:rtl/>
        </w:rPr>
        <w:t xml:space="preserve">, </w:t>
      </w:r>
      <w:r>
        <w:rPr>
          <w:sz w:val="18"/>
          <w:szCs w:val="20"/>
          <w:rtl/>
        </w:rPr>
        <w:t>ח</w:t>
      </w:r>
      <w:r>
        <w:rPr>
          <w:rFonts w:hint="cs"/>
          <w:sz w:val="18"/>
          <w:szCs w:val="20"/>
          <w:rtl/>
        </w:rPr>
        <w:t xml:space="preserve">; </w:t>
      </w:r>
      <w:r>
        <w:rPr>
          <w:sz w:val="18"/>
          <w:szCs w:val="20"/>
          <w:rtl/>
        </w:rPr>
        <w:t>רש"י</w:t>
      </w:r>
      <w:r>
        <w:rPr>
          <w:rFonts w:hint="cs"/>
          <w:sz w:val="18"/>
          <w:szCs w:val="20"/>
          <w:rtl/>
        </w:rPr>
        <w:t xml:space="preserve"> שם: "</w:t>
      </w:r>
      <w:r>
        <w:rPr>
          <w:sz w:val="18"/>
          <w:szCs w:val="20"/>
          <w:rtl/>
        </w:rPr>
        <w:t xml:space="preserve">כל הפלאה </w:t>
      </w:r>
      <w:r>
        <w:rPr>
          <w:rFonts w:hint="cs"/>
          <w:sz w:val="18"/>
          <w:szCs w:val="20"/>
          <w:rtl/>
        </w:rPr>
        <w:t xml:space="preserve">- </w:t>
      </w:r>
      <w:r>
        <w:rPr>
          <w:sz w:val="18"/>
          <w:szCs w:val="20"/>
          <w:rtl/>
        </w:rPr>
        <w:t>לשון הבדלה ופרישה, שהדבר נבדל ומכוסה ממך</w:t>
      </w:r>
      <w:r>
        <w:rPr>
          <w:rFonts w:hint="cs"/>
          <w:sz w:val="18"/>
          <w:szCs w:val="20"/>
          <w:rtl/>
        </w:rPr>
        <w:t>"</w:t>
      </w:r>
      <w:r>
        <w:rPr>
          <w:rFonts w:hint="cs"/>
          <w:rtl/>
        </w:rPr>
        <w:t>)</w:t>
      </w:r>
      <w:r>
        <w:rPr>
          <w:rtl/>
        </w:rPr>
        <w:t xml:space="preserve">, שהרי לא נאמר </w:t>
      </w:r>
      <w:r>
        <w:rPr>
          <w:rFonts w:hint="cs"/>
          <w:rtl/>
        </w:rPr>
        <w:t>'</w:t>
      </w:r>
      <w:r>
        <w:rPr>
          <w:rtl/>
        </w:rPr>
        <w:t>והפליתי ביום ההוא לארץ גושן</w:t>
      </w:r>
      <w:r>
        <w:rPr>
          <w:rFonts w:hint="cs"/>
          <w:rtl/>
        </w:rPr>
        <w:t>',</w:t>
      </w:r>
      <w:r>
        <w:rPr>
          <w:rtl/>
        </w:rPr>
        <w:t xml:space="preserve"> אי נמי </w:t>
      </w:r>
      <w:r>
        <w:rPr>
          <w:rFonts w:hint="cs"/>
          <w:rtl/>
        </w:rPr>
        <w:t>'</w:t>
      </w:r>
      <w:r>
        <w:rPr>
          <w:rtl/>
        </w:rPr>
        <w:t>עם ארץ גושן</w:t>
      </w:r>
      <w:r>
        <w:rPr>
          <w:rFonts w:hint="cs"/>
          <w:rtl/>
        </w:rPr>
        <w:t>'</w:t>
      </w:r>
      <w:r>
        <w:rPr>
          <w:rtl/>
        </w:rPr>
        <w:t xml:space="preserve">, אלא </w:t>
      </w:r>
      <w:r>
        <w:rPr>
          <w:rFonts w:hint="cs"/>
          <w:rtl/>
        </w:rPr>
        <w:t>'</w:t>
      </w:r>
      <w:r>
        <w:rPr>
          <w:rtl/>
        </w:rPr>
        <w:t>אֶת אֶרֶץ גֹּשֶׁן</w:t>
      </w:r>
      <w:r>
        <w:rPr>
          <w:rFonts w:hint="cs"/>
          <w:rtl/>
        </w:rPr>
        <w:t>'!</w:t>
      </w:r>
      <w:r>
        <w:rPr>
          <w:rtl/>
        </w:rPr>
        <w:t xml:space="preserve"> וכך פשוטו של פסוק</w:t>
      </w:r>
      <w:r>
        <w:rPr>
          <w:rFonts w:hint="cs"/>
          <w:rtl/>
        </w:rPr>
        <w:t>:</w:t>
      </w:r>
      <w:r>
        <w:rPr>
          <w:rtl/>
        </w:rPr>
        <w:t xml:space="preserve"> והעלמתי ביום ההוא את ארץ גושן</w:t>
      </w:r>
      <w:r>
        <w:rPr>
          <w:rFonts w:hint="cs"/>
          <w:rtl/>
        </w:rPr>
        <w:t>... "</w:t>
      </w:r>
      <w:r>
        <w:rPr>
          <w:rtl/>
        </w:rPr>
        <w:t>וְהִפְלָ</w:t>
      </w:r>
      <w:r>
        <w:rPr>
          <w:b/>
          <w:bCs/>
          <w:rtl/>
        </w:rPr>
        <w:t>ה</w:t>
      </w:r>
      <w:r>
        <w:rPr>
          <w:rFonts w:hint="cs"/>
          <w:rtl/>
        </w:rPr>
        <w:t xml:space="preserve"> </w:t>
      </w:r>
      <w:r>
        <w:rPr>
          <w:rtl/>
        </w:rPr>
        <w:t>ה'</w:t>
      </w:r>
      <w:r>
        <w:rPr>
          <w:rFonts w:hint="cs"/>
          <w:rtl/>
        </w:rPr>
        <w:t xml:space="preserve"> - </w:t>
      </w:r>
      <w:r>
        <w:rPr>
          <w:rtl/>
        </w:rPr>
        <w:t>ה' כתיב</w:t>
      </w:r>
      <w:r>
        <w:rPr>
          <w:rFonts w:hint="cs"/>
          <w:rtl/>
        </w:rPr>
        <w:t xml:space="preserve"> [</w:t>
      </w:r>
      <w:r>
        <w:rPr>
          <w:rFonts w:hint="cs"/>
          <w:sz w:val="18"/>
          <w:szCs w:val="20"/>
          <w:rtl/>
        </w:rPr>
        <w:t>ולא כתוב עם א' סופית, '</w:t>
      </w:r>
      <w:r>
        <w:rPr>
          <w:sz w:val="18"/>
          <w:szCs w:val="20"/>
          <w:rtl/>
        </w:rPr>
        <w:t>וְהִפְלָ</w:t>
      </w:r>
      <w:r>
        <w:rPr>
          <w:rFonts w:hint="cs"/>
          <w:sz w:val="18"/>
          <w:szCs w:val="20"/>
          <w:rtl/>
        </w:rPr>
        <w:t>א'; אפ"ר</w:t>
      </w:r>
      <w:r>
        <w:rPr>
          <w:rFonts w:hint="cs"/>
          <w:rtl/>
        </w:rPr>
        <w:t>]</w:t>
      </w:r>
      <w:r>
        <w:rPr>
          <w:rtl/>
        </w:rPr>
        <w:t xml:space="preserve">, ואין לדרשו בלשון פלאות, ולא בלשון העלמה, כגון </w:t>
      </w:r>
      <w:r>
        <w:rPr>
          <w:rFonts w:hint="cs"/>
          <w:rtl/>
        </w:rPr>
        <w:t>'</w:t>
      </w:r>
      <w:r>
        <w:rPr>
          <w:rtl/>
        </w:rPr>
        <w:t>כִּי יִפָּלֵא מִמְּךָ דָבָר</w:t>
      </w:r>
      <w:r>
        <w:rPr>
          <w:rFonts w:hint="cs"/>
          <w:rtl/>
        </w:rPr>
        <w:t>' (</w:t>
      </w:r>
      <w:r>
        <w:rPr>
          <w:sz w:val="18"/>
          <w:szCs w:val="20"/>
          <w:rtl/>
        </w:rPr>
        <w:t>דברים יז</w:t>
      </w:r>
      <w:r>
        <w:rPr>
          <w:rFonts w:hint="cs"/>
          <w:sz w:val="18"/>
          <w:szCs w:val="20"/>
          <w:rtl/>
        </w:rPr>
        <w:t xml:space="preserve">, </w:t>
      </w:r>
      <w:r>
        <w:rPr>
          <w:sz w:val="18"/>
          <w:szCs w:val="20"/>
          <w:rtl/>
        </w:rPr>
        <w:t>ח</w:t>
      </w:r>
      <w:r>
        <w:rPr>
          <w:rFonts w:hint="cs"/>
          <w:rtl/>
        </w:rPr>
        <w:t>)</w:t>
      </w:r>
      <w:r>
        <w:rPr>
          <w:rtl/>
        </w:rPr>
        <w:t xml:space="preserve">, זולתי בלשון חיפוש, ודומה לו בלשון תרגום </w:t>
      </w:r>
      <w:r>
        <w:rPr>
          <w:rFonts w:hint="cs"/>
          <w:rtl/>
        </w:rPr>
        <w:t>'</w:t>
      </w:r>
      <w:r>
        <w:rPr>
          <w:rtl/>
        </w:rPr>
        <w:t>לֹא תְפַאֵר אַחֲרֶיךָ</w:t>
      </w:r>
      <w:r>
        <w:rPr>
          <w:rFonts w:hint="cs"/>
          <w:rtl/>
        </w:rPr>
        <w:t xml:space="preserve">' </w:t>
      </w:r>
      <w:r>
        <w:rPr>
          <w:rtl/>
        </w:rPr>
        <w:t>(</w:t>
      </w:r>
      <w:r>
        <w:rPr>
          <w:sz w:val="18"/>
          <w:szCs w:val="20"/>
          <w:rtl/>
        </w:rPr>
        <w:t>דברים כד, כ</w:t>
      </w:r>
      <w:r>
        <w:rPr>
          <w:rtl/>
        </w:rPr>
        <w:t>)</w:t>
      </w:r>
      <w:r>
        <w:rPr>
          <w:rFonts w:hint="cs"/>
          <w:rtl/>
        </w:rPr>
        <w:t xml:space="preserve"> - '</w:t>
      </w:r>
      <w:r>
        <w:rPr>
          <w:rtl/>
        </w:rPr>
        <w:t xml:space="preserve">לא </w:t>
      </w:r>
      <w:r>
        <w:rPr>
          <w:rFonts w:hint="cs"/>
          <w:rtl/>
        </w:rPr>
        <w:t xml:space="preserve">תְפַלֵּי </w:t>
      </w:r>
      <w:r>
        <w:rPr>
          <w:rtl/>
        </w:rPr>
        <w:t>בתרך</w:t>
      </w:r>
      <w:r>
        <w:rPr>
          <w:rFonts w:hint="cs"/>
          <w:rtl/>
        </w:rPr>
        <w:t>'</w:t>
      </w:r>
      <w:r>
        <w:rPr>
          <w:rtl/>
        </w:rPr>
        <w:t xml:space="preserve">, וכן </w:t>
      </w:r>
      <w:r>
        <w:rPr>
          <w:rFonts w:hint="cs"/>
          <w:rtl/>
        </w:rPr>
        <w:t>'</w:t>
      </w:r>
      <w:r>
        <w:rPr>
          <w:rtl/>
        </w:rPr>
        <w:t>בִּעַרְתִּי הַקּ</w:t>
      </w:r>
      <w:r>
        <w:rPr>
          <w:rFonts w:hint="cs"/>
          <w:rtl/>
        </w:rPr>
        <w:t>ו</w:t>
      </w:r>
      <w:r>
        <w:rPr>
          <w:rtl/>
        </w:rPr>
        <w:t>ֹדֶשׁ</w:t>
      </w:r>
      <w:r>
        <w:rPr>
          <w:rFonts w:hint="cs"/>
          <w:rtl/>
        </w:rPr>
        <w:t>'</w:t>
      </w:r>
      <w:r>
        <w:rPr>
          <w:rtl/>
        </w:rPr>
        <w:t xml:space="preserve"> (</w:t>
      </w:r>
      <w:r>
        <w:rPr>
          <w:sz w:val="18"/>
          <w:szCs w:val="20"/>
          <w:rtl/>
        </w:rPr>
        <w:t>שם כו</w:t>
      </w:r>
      <w:r>
        <w:rPr>
          <w:rFonts w:hint="cs"/>
          <w:sz w:val="18"/>
          <w:szCs w:val="20"/>
          <w:rtl/>
        </w:rPr>
        <w:t>,</w:t>
      </w:r>
      <w:r>
        <w:rPr>
          <w:sz w:val="18"/>
          <w:szCs w:val="20"/>
          <w:rtl/>
        </w:rPr>
        <w:t xml:space="preserve"> יג</w:t>
      </w:r>
      <w:r>
        <w:rPr>
          <w:rtl/>
        </w:rPr>
        <w:t xml:space="preserve">) </w:t>
      </w:r>
      <w:r>
        <w:rPr>
          <w:rFonts w:hint="cs"/>
          <w:rtl/>
        </w:rPr>
        <w:t>-</w:t>
      </w:r>
      <w:r>
        <w:rPr>
          <w:rtl/>
        </w:rPr>
        <w:t xml:space="preserve"> </w:t>
      </w:r>
      <w:r>
        <w:rPr>
          <w:rFonts w:hint="cs"/>
          <w:rtl/>
        </w:rPr>
        <w:t>'פַּלֵּיתִי</w:t>
      </w:r>
      <w:r>
        <w:rPr>
          <w:rtl/>
        </w:rPr>
        <w:t xml:space="preserve"> מעשר קודשא</w:t>
      </w:r>
      <w:r>
        <w:rPr>
          <w:rFonts w:hint="cs"/>
          <w:rtl/>
        </w:rPr>
        <w:t>',</w:t>
      </w:r>
      <w:r>
        <w:rPr>
          <w:rtl/>
        </w:rPr>
        <w:t xml:space="preserve"> ובדברי רבותינו </w:t>
      </w:r>
      <w:r>
        <w:rPr>
          <w:rFonts w:hint="cs"/>
          <w:rtl/>
        </w:rPr>
        <w:t>'</w:t>
      </w:r>
      <w:r>
        <w:rPr>
          <w:rtl/>
        </w:rPr>
        <w:t>לא יפלה את כליו לאור הנר</w:t>
      </w:r>
      <w:r>
        <w:rPr>
          <w:rFonts w:hint="cs"/>
          <w:rtl/>
        </w:rPr>
        <w:t>' -</w:t>
      </w:r>
      <w:r>
        <w:rPr>
          <w:rtl/>
        </w:rPr>
        <w:t xml:space="preserve"> דכולהו לשון חיפוש</w:t>
      </w:r>
      <w:r>
        <w:rPr>
          <w:rFonts w:hint="cs"/>
          <w:rtl/>
        </w:rPr>
        <w:t xml:space="preserve">, </w:t>
      </w:r>
      <w:r>
        <w:rPr>
          <w:rtl/>
        </w:rPr>
        <w:t>והכי משמע</w:t>
      </w:r>
      <w:r>
        <w:rPr>
          <w:rFonts w:hint="cs"/>
          <w:rtl/>
        </w:rPr>
        <w:t>..." וכו'.</w:t>
      </w:r>
    </w:p>
  </w:footnote>
  <w:footnote w:id="293">
    <w:p w14:paraId="7F20DCC7" w14:textId="77777777" w:rsidR="000015C4" w:rsidRDefault="000015C4" w:rsidP="000015C4">
      <w:pPr>
        <w:pStyle w:val="a5"/>
        <w:rPr>
          <w:rtl/>
        </w:rPr>
      </w:pPr>
      <w:r>
        <w:rPr>
          <w:rStyle w:val="a4"/>
          <w:rtl/>
        </w:rPr>
        <w:footnoteRef/>
      </w:r>
      <w:r>
        <w:rPr>
          <w:szCs w:val="22"/>
        </w:rPr>
        <w:t xml:space="preserve"> </w:t>
      </w:r>
      <w:r>
        <w:rPr>
          <w:rFonts w:hint="cs"/>
          <w:rtl/>
        </w:rPr>
        <w:t>"ד'</w:t>
      </w:r>
      <w:r>
        <w:rPr>
          <w:rtl/>
        </w:rPr>
        <w:t>זֵיתְךָ</w:t>
      </w:r>
      <w:r>
        <w:rPr>
          <w:rFonts w:hint="cs"/>
          <w:rtl/>
        </w:rPr>
        <w:t xml:space="preserve">' לשון יחיד" (משך חכמה </w:t>
      </w:r>
      <w:r>
        <w:rPr>
          <w:rFonts w:hint="cs"/>
          <w:sz w:val="18"/>
          <w:szCs w:val="20"/>
          <w:rtl/>
        </w:rPr>
        <w:t>על אתר</w:t>
      </w:r>
      <w:r>
        <w:rPr>
          <w:rFonts w:hint="cs"/>
          <w:rtl/>
        </w:rPr>
        <w:t>).</w:t>
      </w:r>
    </w:p>
  </w:footnote>
  <w:footnote w:id="294">
    <w:p w14:paraId="2AC2B1AF" w14:textId="77777777" w:rsidR="000015C4" w:rsidRDefault="000015C4" w:rsidP="000015C4">
      <w:pPr>
        <w:pStyle w:val="a5"/>
        <w:rPr>
          <w:rtl/>
        </w:rPr>
      </w:pPr>
      <w:r>
        <w:rPr>
          <w:rStyle w:val="a4"/>
          <w:rtl/>
        </w:rPr>
        <w:footnoteRef/>
      </w:r>
      <w:r>
        <w:rPr>
          <w:szCs w:val="22"/>
        </w:rPr>
        <w:t xml:space="preserve"> </w:t>
      </w:r>
      <w:r>
        <w:rPr>
          <w:rFonts w:hint="cs"/>
          <w:rtl/>
        </w:rPr>
        <w:t>הכלל התשיעי,</w:t>
      </w:r>
      <w:r>
        <w:rPr>
          <w:rtl/>
        </w:rPr>
        <w:t xml:space="preserve"> </w:t>
      </w:r>
      <w:r>
        <w:rPr>
          <w:rFonts w:hint="cs"/>
          <w:rtl/>
        </w:rPr>
        <w:t xml:space="preserve">לפי תרגום </w:t>
      </w:r>
      <w:r>
        <w:rPr>
          <w:rFonts w:hint="cs"/>
          <w:sz w:val="24"/>
          <w:rtl/>
        </w:rPr>
        <w:t>הר"י קאפח</w:t>
      </w:r>
      <w:r>
        <w:rPr>
          <w:rFonts w:hint="cs"/>
          <w:sz w:val="18"/>
          <w:szCs w:val="20"/>
          <w:rtl/>
        </w:rPr>
        <w:t>, עמ' ל"ו במהדורת ירושלים תשל"א</w:t>
      </w:r>
      <w:r>
        <w:rPr>
          <w:rFonts w:hint="cs"/>
          <w:sz w:val="24"/>
          <w:rtl/>
        </w:rPr>
        <w:t xml:space="preserve">. </w:t>
      </w:r>
    </w:p>
  </w:footnote>
  <w:footnote w:id="295">
    <w:p w14:paraId="0A2755ED" w14:textId="77777777" w:rsidR="000015C4" w:rsidRDefault="000015C4" w:rsidP="000015C4">
      <w:pPr>
        <w:pStyle w:val="a5"/>
        <w:rPr>
          <w:rFonts w:hint="cs"/>
          <w:rtl/>
        </w:rPr>
      </w:pPr>
      <w:r>
        <w:rPr>
          <w:rStyle w:val="a4"/>
          <w:rtl/>
        </w:rPr>
        <w:footnoteRef/>
      </w:r>
      <w:r>
        <w:rPr>
          <w:szCs w:val="22"/>
        </w:rPr>
        <w:t xml:space="preserve"> </w:t>
      </w:r>
      <w:r>
        <w:rPr>
          <w:rFonts w:hint="cs"/>
          <w:rtl/>
        </w:rPr>
        <w:t>כלומר, בנוסף לשכחת עומר, פרט הכתוב עוד שתי דוגמאות.</w:t>
      </w:r>
    </w:p>
  </w:footnote>
  <w:footnote w:id="296">
    <w:p w14:paraId="2218264A" w14:textId="77777777" w:rsidR="000015C4" w:rsidRDefault="000015C4" w:rsidP="000015C4">
      <w:pPr>
        <w:pStyle w:val="a5"/>
        <w:rPr>
          <w:rFonts w:hint="cs"/>
          <w:rtl/>
        </w:rPr>
      </w:pPr>
      <w:r>
        <w:rPr>
          <w:rStyle w:val="a4"/>
          <w:rtl/>
        </w:rPr>
        <w:footnoteRef/>
      </w:r>
      <w:r>
        <w:rPr>
          <w:szCs w:val="22"/>
        </w:rPr>
        <w:t xml:space="preserve"> </w:t>
      </w:r>
      <w:r>
        <w:rPr>
          <w:rFonts w:hint="cs"/>
          <w:rtl/>
        </w:rPr>
        <w:t xml:space="preserve">ע"פ </w:t>
      </w:r>
      <w:r>
        <w:rPr>
          <w:rtl/>
        </w:rPr>
        <w:t>פאה פ</w:t>
      </w:r>
      <w:r>
        <w:rPr>
          <w:rFonts w:hint="cs"/>
          <w:rtl/>
        </w:rPr>
        <w:t>"</w:t>
      </w:r>
      <w:r>
        <w:rPr>
          <w:rtl/>
        </w:rPr>
        <w:t>ו מ</w:t>
      </w:r>
      <w:r>
        <w:rPr>
          <w:rFonts w:hint="cs"/>
          <w:rtl/>
        </w:rPr>
        <w:t>"</w:t>
      </w:r>
      <w:r>
        <w:rPr>
          <w:rtl/>
        </w:rPr>
        <w:t>ד</w:t>
      </w:r>
      <w:r>
        <w:rPr>
          <w:rFonts w:hint="cs"/>
          <w:rtl/>
        </w:rPr>
        <w:t>: "</w:t>
      </w:r>
      <w:r>
        <w:rPr>
          <w:rtl/>
        </w:rPr>
        <w:t>שלפניו אינו שכחה</w:t>
      </w:r>
      <w:r>
        <w:rPr>
          <w:rFonts w:hint="cs"/>
          <w:rtl/>
        </w:rPr>
        <w:t>,</w:t>
      </w:r>
      <w:r>
        <w:rPr>
          <w:rtl/>
        </w:rPr>
        <w:t xml:space="preserve"> ושלאחריו שכחה</w:t>
      </w:r>
      <w:r>
        <w:rPr>
          <w:rFonts w:hint="cs"/>
          <w:rtl/>
        </w:rPr>
        <w:t>,</w:t>
      </w:r>
      <w:r>
        <w:rPr>
          <w:rtl/>
        </w:rPr>
        <w:t xml:space="preserve"> מפני שהוא בבל תשוב</w:t>
      </w:r>
      <w:r>
        <w:rPr>
          <w:rFonts w:hint="cs"/>
          <w:rtl/>
        </w:rPr>
        <w:t>.</w:t>
      </w:r>
      <w:r>
        <w:rPr>
          <w:rtl/>
        </w:rPr>
        <w:t xml:space="preserve"> זה הכלל</w:t>
      </w:r>
      <w:r>
        <w:rPr>
          <w:rFonts w:hint="cs"/>
          <w:rtl/>
        </w:rPr>
        <w:t>:</w:t>
      </w:r>
      <w:r>
        <w:rPr>
          <w:rtl/>
        </w:rPr>
        <w:t xml:space="preserve"> כל שהוא בבל תשוב שכחה</w:t>
      </w:r>
      <w:r>
        <w:rPr>
          <w:rFonts w:hint="cs"/>
          <w:rtl/>
        </w:rPr>
        <w:t>,</w:t>
      </w:r>
      <w:r>
        <w:rPr>
          <w:rtl/>
        </w:rPr>
        <w:t xml:space="preserve"> ושאינו בבל תשוב אינו שכחה</w:t>
      </w:r>
      <w:r>
        <w:rPr>
          <w:rFonts w:hint="cs"/>
          <w:rtl/>
        </w:rPr>
        <w:t>".</w:t>
      </w:r>
    </w:p>
  </w:footnote>
  <w:footnote w:id="297">
    <w:p w14:paraId="13819969" w14:textId="77777777" w:rsidR="000015C4" w:rsidRDefault="000015C4" w:rsidP="000015C4">
      <w:pPr>
        <w:pStyle w:val="a5"/>
        <w:rPr>
          <w:rFonts w:hint="cs"/>
          <w:rtl/>
        </w:rPr>
      </w:pPr>
      <w:r>
        <w:rPr>
          <w:rStyle w:val="a4"/>
          <w:rtl/>
        </w:rPr>
        <w:footnoteRef/>
      </w:r>
      <w:r>
        <w:rPr>
          <w:szCs w:val="22"/>
        </w:rPr>
        <w:t xml:space="preserve"> </w:t>
      </w:r>
      <w:r>
        <w:rPr>
          <w:rFonts w:hint="cs"/>
          <w:rtl/>
        </w:rPr>
        <w:t xml:space="preserve">מציאות חקלאית זו משתקפת בדברי הנביא </w:t>
      </w:r>
      <w:r>
        <w:rPr>
          <w:rtl/>
        </w:rPr>
        <w:t>ישעיה</w:t>
      </w:r>
      <w:r>
        <w:rPr>
          <w:rFonts w:hint="cs"/>
          <w:rtl/>
        </w:rPr>
        <w:t xml:space="preserve">: בתארו איך </w:t>
      </w:r>
      <w:r>
        <w:rPr>
          <w:rtl/>
        </w:rPr>
        <w:t>יעקור סנחר</w:t>
      </w:r>
      <w:r>
        <w:rPr>
          <w:rFonts w:hint="cs"/>
          <w:rtl/>
        </w:rPr>
        <w:t>י</w:t>
      </w:r>
      <w:r>
        <w:rPr>
          <w:rtl/>
        </w:rPr>
        <w:t>ב וי</w:t>
      </w:r>
      <w:r>
        <w:rPr>
          <w:rFonts w:hint="cs"/>
          <w:rtl/>
        </w:rPr>
        <w:t>ַ</w:t>
      </w:r>
      <w:r>
        <w:rPr>
          <w:rtl/>
        </w:rPr>
        <w:t xml:space="preserve">גלה הכל </w:t>
      </w:r>
      <w:r>
        <w:rPr>
          <w:rFonts w:hint="cs"/>
          <w:rtl/>
        </w:rPr>
        <w:t xml:space="preserve">מלבד </w:t>
      </w:r>
      <w:r>
        <w:rPr>
          <w:rtl/>
        </w:rPr>
        <w:t xml:space="preserve">מעט אנשים </w:t>
      </w:r>
      <w:r>
        <w:rPr>
          <w:rFonts w:hint="cs"/>
          <w:rtl/>
        </w:rPr>
        <w:t>(</w:t>
      </w:r>
      <w:r>
        <w:rPr>
          <w:rFonts w:hint="cs"/>
          <w:sz w:val="18"/>
          <w:szCs w:val="20"/>
          <w:rtl/>
        </w:rPr>
        <w:t xml:space="preserve">כמו </w:t>
      </w:r>
      <w:r>
        <w:rPr>
          <w:sz w:val="18"/>
          <w:szCs w:val="20"/>
          <w:rtl/>
        </w:rPr>
        <w:t xml:space="preserve">חזקיהו וסיעתו </w:t>
      </w:r>
      <w:r>
        <w:rPr>
          <w:rFonts w:hint="cs"/>
          <w:sz w:val="18"/>
          <w:szCs w:val="20"/>
          <w:rtl/>
        </w:rPr>
        <w:t>ב</w:t>
      </w:r>
      <w:r>
        <w:rPr>
          <w:sz w:val="18"/>
          <w:szCs w:val="20"/>
          <w:rtl/>
        </w:rPr>
        <w:t>ירושלים</w:t>
      </w:r>
      <w:r>
        <w:rPr>
          <w:rFonts w:hint="cs"/>
          <w:sz w:val="18"/>
          <w:szCs w:val="20"/>
          <w:rtl/>
        </w:rPr>
        <w:t>; ע"פ רש"י ורד"ק</w:t>
      </w:r>
      <w:r>
        <w:rPr>
          <w:rFonts w:hint="cs"/>
          <w:rtl/>
        </w:rPr>
        <w:t>), הוא מְדַמֶּה זאת כך (</w:t>
      </w:r>
      <w:r>
        <w:rPr>
          <w:sz w:val="18"/>
          <w:szCs w:val="20"/>
          <w:rtl/>
        </w:rPr>
        <w:t>יז</w:t>
      </w:r>
      <w:r>
        <w:rPr>
          <w:rFonts w:hint="cs"/>
          <w:sz w:val="18"/>
          <w:szCs w:val="20"/>
          <w:rtl/>
        </w:rPr>
        <w:t xml:space="preserve">, </w:t>
      </w:r>
      <w:r>
        <w:rPr>
          <w:sz w:val="18"/>
          <w:szCs w:val="20"/>
          <w:rtl/>
        </w:rPr>
        <w:t>ו</w:t>
      </w:r>
      <w:r>
        <w:rPr>
          <w:rtl/>
        </w:rPr>
        <w:t>)</w:t>
      </w:r>
      <w:r>
        <w:rPr>
          <w:rFonts w:hint="cs"/>
          <w:rtl/>
        </w:rPr>
        <w:t>: "</w:t>
      </w:r>
      <w:r>
        <w:rPr>
          <w:rtl/>
        </w:rPr>
        <w:t>וְנִשְׁאַר בּוֹ עוֹלֵלֹת כְּנֹקֶף זַיִת</w:t>
      </w:r>
      <w:r>
        <w:rPr>
          <w:rFonts w:hint="cs"/>
          <w:rtl/>
        </w:rPr>
        <w:t xml:space="preserve">, </w:t>
      </w:r>
      <w:r>
        <w:rPr>
          <w:rtl/>
        </w:rPr>
        <w:t>שְׁנַיִם שְׁלֹשָׁה גַּרְגְּרִים בְּרֹאשׁ</w:t>
      </w:r>
      <w:r>
        <w:rPr>
          <w:rFonts w:hint="cs"/>
          <w:rtl/>
        </w:rPr>
        <w:t xml:space="preserve"> </w:t>
      </w:r>
      <w:r>
        <w:rPr>
          <w:rtl/>
        </w:rPr>
        <w:t>אָמִיר</w:t>
      </w:r>
      <w:r>
        <w:rPr>
          <w:rFonts w:hint="cs"/>
          <w:rtl/>
        </w:rPr>
        <w:t xml:space="preserve">, </w:t>
      </w:r>
      <w:r>
        <w:rPr>
          <w:rtl/>
        </w:rPr>
        <w:t>אַרְבָּעָה חֲמִשָּׁה בִּסְעִפֶיהָ פֹּרִיָּה</w:t>
      </w:r>
      <w:r>
        <w:rPr>
          <w:rFonts w:hint="cs"/>
          <w:rtl/>
        </w:rPr>
        <w:t>".</w:t>
      </w:r>
    </w:p>
    <w:p w14:paraId="6DE71148" w14:textId="77777777" w:rsidR="000015C4" w:rsidRDefault="000015C4" w:rsidP="000015C4">
      <w:pPr>
        <w:pStyle w:val="a5"/>
        <w:rPr>
          <w:rFonts w:hint="cs"/>
          <w:rtl/>
        </w:rPr>
      </w:pPr>
      <w:r>
        <w:rPr>
          <w:rFonts w:hint="cs"/>
          <w:rtl/>
        </w:rPr>
        <w:t>גם בתיאור קיבוץ הגליות שעתיד להיות, מְדַמֶּה ישעיה את איסוף נדחי ישראל מארצות פזוריהם לליקוט הזיתים הבודדים שנותרו לאחר החבטה (</w:t>
      </w:r>
      <w:r>
        <w:rPr>
          <w:sz w:val="18"/>
          <w:szCs w:val="20"/>
          <w:rtl/>
        </w:rPr>
        <w:t>כז</w:t>
      </w:r>
      <w:r>
        <w:rPr>
          <w:rFonts w:hint="cs"/>
          <w:sz w:val="18"/>
          <w:szCs w:val="20"/>
          <w:rtl/>
        </w:rPr>
        <w:t xml:space="preserve">, </w:t>
      </w:r>
      <w:r>
        <w:rPr>
          <w:sz w:val="18"/>
          <w:szCs w:val="20"/>
          <w:rtl/>
        </w:rPr>
        <w:t>יב</w:t>
      </w:r>
      <w:r>
        <w:rPr>
          <w:rFonts w:hint="cs"/>
          <w:sz w:val="18"/>
          <w:szCs w:val="20"/>
          <w:rtl/>
        </w:rPr>
        <w:t>-יג</w:t>
      </w:r>
      <w:r>
        <w:rPr>
          <w:rFonts w:hint="cs"/>
          <w:rtl/>
        </w:rPr>
        <w:t>):</w:t>
      </w:r>
      <w:r>
        <w:rPr>
          <w:rtl/>
        </w:rPr>
        <w:t xml:space="preserve"> </w:t>
      </w:r>
      <w:r>
        <w:rPr>
          <w:rFonts w:hint="cs"/>
          <w:rtl/>
        </w:rPr>
        <w:t>"</w:t>
      </w:r>
      <w:r>
        <w:rPr>
          <w:rtl/>
        </w:rPr>
        <w:t xml:space="preserve">וְהָיָה בַּיּוֹם הַהוּא יַחְבֹּט </w:t>
      </w:r>
      <w:r>
        <w:rPr>
          <w:rFonts w:hint="cs"/>
          <w:rtl/>
        </w:rPr>
        <w:t>ה'</w:t>
      </w:r>
      <w:r>
        <w:rPr>
          <w:rtl/>
        </w:rPr>
        <w:t xml:space="preserve"> מִשִּׁבֹּלֶת הַנָּהָר עַד נַחַל מִצְרָיִם</w:t>
      </w:r>
      <w:r>
        <w:rPr>
          <w:rFonts w:hint="cs"/>
          <w:rtl/>
        </w:rPr>
        <w:t>,</w:t>
      </w:r>
      <w:r>
        <w:rPr>
          <w:rtl/>
        </w:rPr>
        <w:t xml:space="preserve"> וְאַתֶּם תְּלֻקְּטוּ לְאַחַד אֶחָד בְּנֵי יִשְׂרָאֵל</w:t>
      </w:r>
      <w:r>
        <w:rPr>
          <w:rFonts w:hint="cs"/>
          <w:rtl/>
        </w:rPr>
        <w:t xml:space="preserve">... </w:t>
      </w:r>
      <w:r>
        <w:rPr>
          <w:rtl/>
        </w:rPr>
        <w:t>וּבָאוּ הָאֹבְדִים בְּאֶרֶץ אַשּׁוּר וְהַנִּדָּחִים בְּאֶרֶץ מִצְרָיִם</w:t>
      </w:r>
      <w:r>
        <w:rPr>
          <w:rFonts w:hint="cs"/>
          <w:rtl/>
        </w:rPr>
        <w:t>".</w:t>
      </w:r>
      <w:r>
        <w:rPr>
          <w:rtl/>
        </w:rPr>
        <w:t xml:space="preserve"> רש"י</w:t>
      </w:r>
      <w:r>
        <w:rPr>
          <w:rFonts w:hint="cs"/>
          <w:rtl/>
        </w:rPr>
        <w:t xml:space="preserve"> (</w:t>
      </w:r>
      <w:r>
        <w:rPr>
          <w:rFonts w:hint="cs"/>
          <w:sz w:val="18"/>
          <w:szCs w:val="20"/>
          <w:rtl/>
        </w:rPr>
        <w:t>ע"פ מהדורת הכתר</w:t>
      </w:r>
      <w:r>
        <w:rPr>
          <w:rFonts w:hint="cs"/>
          <w:rtl/>
        </w:rPr>
        <w:t>): "</w:t>
      </w:r>
      <w:r>
        <w:rPr>
          <w:rtl/>
        </w:rPr>
        <w:t>חיבוט ולקיטה נופלין זה על זה</w:t>
      </w:r>
      <w:r>
        <w:rPr>
          <w:rFonts w:hint="cs"/>
          <w:rtl/>
        </w:rPr>
        <w:t>,</w:t>
      </w:r>
      <w:r>
        <w:rPr>
          <w:rtl/>
        </w:rPr>
        <w:t xml:space="preserve"> </w:t>
      </w:r>
      <w:r>
        <w:rPr>
          <w:rFonts w:hint="cs"/>
          <w:rtl/>
        </w:rPr>
        <w:t>ה</w:t>
      </w:r>
      <w:r>
        <w:rPr>
          <w:rtl/>
        </w:rPr>
        <w:t>חובט</w:t>
      </w:r>
      <w:r>
        <w:rPr>
          <w:rFonts w:hint="cs"/>
          <w:rtl/>
        </w:rPr>
        <w:t xml:space="preserve"> את</w:t>
      </w:r>
      <w:r>
        <w:rPr>
          <w:rtl/>
        </w:rPr>
        <w:t xml:space="preserve"> זיתיו וח</w:t>
      </w:r>
      <w:r>
        <w:rPr>
          <w:rFonts w:hint="cs"/>
          <w:rtl/>
        </w:rPr>
        <w:t>ו</w:t>
      </w:r>
      <w:r>
        <w:rPr>
          <w:rtl/>
        </w:rPr>
        <w:t>זר ומלקטן</w:t>
      </w:r>
      <w:r>
        <w:rPr>
          <w:rFonts w:hint="cs"/>
          <w:rtl/>
        </w:rPr>
        <w:t>,</w:t>
      </w:r>
      <w:r>
        <w:rPr>
          <w:rtl/>
        </w:rPr>
        <w:t xml:space="preserve"> </w:t>
      </w:r>
      <w:r>
        <w:rPr>
          <w:rFonts w:hint="cs"/>
          <w:rtl/>
        </w:rPr>
        <w:t>א</w:t>
      </w:r>
      <w:r>
        <w:rPr>
          <w:rtl/>
        </w:rPr>
        <w:t>ו</w:t>
      </w:r>
      <w:r>
        <w:rPr>
          <w:rFonts w:hint="cs"/>
          <w:rtl/>
        </w:rPr>
        <w:t xml:space="preserve"> </w:t>
      </w:r>
      <w:r>
        <w:rPr>
          <w:rtl/>
        </w:rPr>
        <w:t>אחרים מלקטין אות</w:t>
      </w:r>
      <w:r>
        <w:rPr>
          <w:rFonts w:hint="cs"/>
          <w:rtl/>
        </w:rPr>
        <w:t>ם</w:t>
      </w:r>
      <w:r>
        <w:rPr>
          <w:rtl/>
        </w:rPr>
        <w:t xml:space="preserve"> מן הארץ</w:t>
      </w:r>
      <w:r>
        <w:rPr>
          <w:rFonts w:hint="cs"/>
          <w:rtl/>
        </w:rPr>
        <w:t>,</w:t>
      </w:r>
      <w:r>
        <w:rPr>
          <w:rtl/>
        </w:rPr>
        <w:t xml:space="preserve"> כך הקב"ה יתחיל האסיפה</w:t>
      </w:r>
      <w:r>
        <w:rPr>
          <w:rFonts w:hint="cs"/>
          <w:rtl/>
        </w:rPr>
        <w:t>".</w:t>
      </w:r>
    </w:p>
  </w:footnote>
  <w:footnote w:id="298">
    <w:p w14:paraId="548EE394" w14:textId="77777777" w:rsidR="000015C4" w:rsidRDefault="000015C4" w:rsidP="000015C4">
      <w:pPr>
        <w:pStyle w:val="a5"/>
        <w:rPr>
          <w:rFonts w:hint="cs"/>
          <w:rtl/>
        </w:rPr>
      </w:pPr>
      <w:r>
        <w:rPr>
          <w:rStyle w:val="a4"/>
          <w:rtl/>
        </w:rPr>
        <w:footnoteRef/>
      </w:r>
      <w:r>
        <w:rPr>
          <w:szCs w:val="22"/>
        </w:rPr>
        <w:t xml:space="preserve"> </w:t>
      </w:r>
      <w:r>
        <w:rPr>
          <w:rFonts w:hint="cs"/>
          <w:rtl/>
        </w:rPr>
        <w:t>ר' יונה אבן ג'נאח, המכונה גם בשמו הערבי: "אבו אל-וליד מרואן", או ב</w:t>
      </w:r>
      <w:r>
        <w:rPr>
          <w:rFonts w:eastAsia="MS Mincho"/>
          <w:rtl/>
        </w:rPr>
        <w:t>שמו הלטיני</w:t>
      </w:r>
      <w:r>
        <w:rPr>
          <w:rFonts w:eastAsia="MS Mincho" w:hint="cs"/>
          <w:rtl/>
        </w:rPr>
        <w:t>:</w:t>
      </w:r>
      <w:r>
        <w:rPr>
          <w:rFonts w:eastAsia="MS Mincho"/>
          <w:rtl/>
        </w:rPr>
        <w:t xml:space="preserve"> </w:t>
      </w:r>
      <w:r>
        <w:rPr>
          <w:rFonts w:hint="cs"/>
          <w:rtl/>
        </w:rPr>
        <w:t>"ר' מרינוס", חי בספרד (</w:t>
      </w:r>
      <w:r>
        <w:rPr>
          <w:rtl/>
        </w:rPr>
        <w:t>ד'תש</w:t>
      </w:r>
      <w:r>
        <w:rPr>
          <w:rFonts w:hint="cs"/>
          <w:rtl/>
        </w:rPr>
        <w:t>"</w:t>
      </w:r>
      <w:r>
        <w:rPr>
          <w:rtl/>
        </w:rPr>
        <w:t>נ</w:t>
      </w:r>
      <w:r>
        <w:rPr>
          <w:rFonts w:hint="cs"/>
          <w:rtl/>
        </w:rPr>
        <w:t xml:space="preserve"> - </w:t>
      </w:r>
      <w:r>
        <w:rPr>
          <w:rtl/>
        </w:rPr>
        <w:t>ד'תת"י</w:t>
      </w:r>
      <w:r>
        <w:rPr>
          <w:rFonts w:hint="cs"/>
          <w:rtl/>
        </w:rPr>
        <w:t>; 990 - 1050)</w:t>
      </w:r>
      <w:r>
        <w:rPr>
          <w:rFonts w:eastAsia="MS Mincho" w:hint="cs"/>
          <w:rtl/>
        </w:rPr>
        <w:t>. פירוש זה מובא ב</w:t>
      </w:r>
      <w:r>
        <w:rPr>
          <w:rFonts w:hint="cs"/>
          <w:rtl/>
        </w:rPr>
        <w:t>ספר השרשים (</w:t>
      </w:r>
      <w:r>
        <w:rPr>
          <w:rFonts w:hint="cs"/>
          <w:sz w:val="18"/>
          <w:szCs w:val="20"/>
          <w:rtl/>
        </w:rPr>
        <w:t>עמ' 394</w:t>
      </w:r>
      <w:r>
        <w:rPr>
          <w:rFonts w:hint="cs"/>
          <w:rtl/>
        </w:rPr>
        <w:t xml:space="preserve">) שהוא </w:t>
      </w:r>
      <w:r>
        <w:rPr>
          <w:rFonts w:eastAsia="MS Mincho"/>
          <w:rtl/>
        </w:rPr>
        <w:t>מילון השורשים שבמקרא</w:t>
      </w:r>
      <w:r>
        <w:rPr>
          <w:rFonts w:eastAsia="MS Mincho" w:hint="cs"/>
          <w:rtl/>
        </w:rPr>
        <w:t>.</w:t>
      </w:r>
      <w:r>
        <w:rPr>
          <w:rFonts w:hint="cs"/>
          <w:rtl/>
        </w:rPr>
        <w:t xml:space="preserve"> הוא כתב גם את </w:t>
      </w:r>
      <w:r>
        <w:rPr>
          <w:rFonts w:eastAsia="MS Mincho" w:hint="cs"/>
          <w:rtl/>
        </w:rPr>
        <w:t xml:space="preserve">"ספר </w:t>
      </w:r>
      <w:r>
        <w:rPr>
          <w:rFonts w:eastAsia="MS Mincho"/>
          <w:rtl/>
        </w:rPr>
        <w:t>הר</w:t>
      </w:r>
      <w:r>
        <w:rPr>
          <w:rFonts w:eastAsia="MS Mincho" w:hint="cs"/>
          <w:rtl/>
        </w:rPr>
        <w:t>ִ</w:t>
      </w:r>
      <w:r>
        <w:rPr>
          <w:rFonts w:eastAsia="MS Mincho"/>
          <w:rtl/>
        </w:rPr>
        <w:t>קמה</w:t>
      </w:r>
      <w:r>
        <w:rPr>
          <w:rFonts w:eastAsia="MS Mincho" w:hint="cs"/>
          <w:rtl/>
        </w:rPr>
        <w:t xml:space="preserve">" המתאר את </w:t>
      </w:r>
      <w:r>
        <w:rPr>
          <w:rFonts w:eastAsia="MS Mincho"/>
          <w:rtl/>
        </w:rPr>
        <w:t>הדקדוק המקראי.</w:t>
      </w:r>
    </w:p>
  </w:footnote>
  <w:footnote w:id="299">
    <w:p w14:paraId="08BD7850" w14:textId="77777777" w:rsidR="000015C4" w:rsidRDefault="000015C4" w:rsidP="000015C4">
      <w:pPr>
        <w:pStyle w:val="a5"/>
        <w:rPr>
          <w:rFonts w:hint="cs"/>
          <w:rtl/>
        </w:rPr>
      </w:pPr>
      <w:r>
        <w:rPr>
          <w:rStyle w:val="a4"/>
        </w:rPr>
        <w:footnoteRef/>
      </w:r>
      <w:r>
        <w:rPr>
          <w:rFonts w:hint="cs"/>
          <w:rtl/>
        </w:rPr>
        <w:t xml:space="preserve"> כך בתרגום המיוחס ל"יונתן" המודפס במקראות גדולות. נוסח אחר: "תְבַקְרוּנוּן". בתרגום הקטוע המכונה "ירושלמי" נדפס: "תתבקרון".</w:t>
      </w:r>
      <w:r>
        <w:rPr>
          <w:rtl/>
        </w:rPr>
        <w:t xml:space="preserve"> </w:t>
      </w:r>
      <w:r>
        <w:rPr>
          <w:rFonts w:hint="cs"/>
          <w:rtl/>
        </w:rPr>
        <w:t>נוסח אחר: "</w:t>
      </w:r>
      <w:r>
        <w:rPr>
          <w:rtl/>
        </w:rPr>
        <w:t>תווקרון</w:t>
      </w:r>
      <w:r>
        <w:rPr>
          <w:rFonts w:hint="cs"/>
          <w:rtl/>
        </w:rPr>
        <w:t xml:space="preserve">". ואולם, בעל </w:t>
      </w:r>
      <w:r>
        <w:rPr>
          <w:rFonts w:hint="cs"/>
          <w:sz w:val="26"/>
          <w:rtl/>
        </w:rPr>
        <w:t>"הכתב והקבלה" משער שהנוסח המקורי של תרגום זו היה "לא תבערינון", "ונראה שבטעות נתחלף בדפוס הק' במקום ע'".</w:t>
      </w:r>
    </w:p>
  </w:footnote>
  <w:footnote w:id="300">
    <w:p w14:paraId="67BD5CD7" w14:textId="77777777" w:rsidR="000015C4" w:rsidRDefault="000015C4" w:rsidP="000015C4">
      <w:pPr>
        <w:pStyle w:val="a5"/>
        <w:rPr>
          <w:rFonts w:hint="cs"/>
          <w:rtl/>
        </w:rPr>
      </w:pPr>
      <w:r>
        <w:rPr>
          <w:rStyle w:val="a4"/>
          <w:rtl/>
        </w:rPr>
        <w:footnoteRef/>
      </w:r>
      <w:r>
        <w:rPr>
          <w:szCs w:val="22"/>
        </w:rPr>
        <w:t xml:space="preserve"> </w:t>
      </w:r>
      <w:r>
        <w:rPr>
          <w:rFonts w:hint="cs"/>
          <w:rtl/>
        </w:rPr>
        <w:t xml:space="preserve">"אל </w:t>
      </w:r>
      <w:r>
        <w:rPr>
          <w:rFonts w:hint="cs"/>
          <w:b/>
          <w:bCs/>
          <w:rtl/>
        </w:rPr>
        <w:t>תחפש</w:t>
      </w:r>
      <w:r>
        <w:rPr>
          <w:rFonts w:hint="cs"/>
          <w:rtl/>
        </w:rPr>
        <w:t xml:space="preserve"> לקבץ כל מה שחבטת מן הזיתים עד תכלית, אבל תניח ממנו לעניים שארית" (</w:t>
      </w:r>
      <w:r>
        <w:rPr>
          <w:rFonts w:hint="cs"/>
          <w:sz w:val="18"/>
          <w:szCs w:val="20"/>
          <w:rtl/>
        </w:rPr>
        <w:t>ראה הערה 30</w:t>
      </w:r>
      <w:r>
        <w:rPr>
          <w:rFonts w:hint="cs"/>
          <w:rtl/>
        </w:rPr>
        <w:t xml:space="preserve">). </w:t>
      </w:r>
    </w:p>
  </w:footnote>
  <w:footnote w:id="301">
    <w:p w14:paraId="669FA4C1" w14:textId="77777777" w:rsidR="000015C4" w:rsidRDefault="000015C4" w:rsidP="000015C4">
      <w:pPr>
        <w:pStyle w:val="a5"/>
        <w:rPr>
          <w:rFonts w:hint="cs"/>
          <w:rtl/>
        </w:rPr>
      </w:pPr>
      <w:r>
        <w:rPr>
          <w:rStyle w:val="a4"/>
        </w:rPr>
        <w:footnoteRef/>
      </w:r>
      <w:r>
        <w:rPr>
          <w:rFonts w:hint="cs"/>
          <w:rtl/>
        </w:rPr>
        <w:t xml:space="preserve"> </w:t>
      </w:r>
      <w:r>
        <w:rPr>
          <w:rtl/>
        </w:rPr>
        <w:t xml:space="preserve">רש"י </w:t>
      </w:r>
      <w:r>
        <w:rPr>
          <w:rFonts w:hint="cs"/>
          <w:rtl/>
        </w:rPr>
        <w:t>ל</w:t>
      </w:r>
      <w:r>
        <w:rPr>
          <w:rtl/>
        </w:rPr>
        <w:t>ישעיה י</w:t>
      </w:r>
      <w:r>
        <w:rPr>
          <w:rFonts w:hint="cs"/>
          <w:rtl/>
        </w:rPr>
        <w:t xml:space="preserve">, </w:t>
      </w:r>
      <w:r>
        <w:rPr>
          <w:rtl/>
        </w:rPr>
        <w:t>לג</w:t>
      </w:r>
      <w:r>
        <w:rPr>
          <w:rFonts w:hint="cs"/>
          <w:rtl/>
        </w:rPr>
        <w:t xml:space="preserve"> ד"ה</w:t>
      </w:r>
      <w:r>
        <w:rPr>
          <w:rtl/>
        </w:rPr>
        <w:t xml:space="preserve"> מסעף פֻּארָה במערצה</w:t>
      </w:r>
      <w:r>
        <w:rPr>
          <w:rFonts w:hint="cs"/>
          <w:rtl/>
        </w:rPr>
        <w:t>: "</w:t>
      </w:r>
      <w:r>
        <w:rPr>
          <w:rtl/>
        </w:rPr>
        <w:t>פ</w:t>
      </w:r>
      <w:r>
        <w:rPr>
          <w:rFonts w:hint="cs"/>
          <w:rtl/>
        </w:rPr>
        <w:t>ֹ</w:t>
      </w:r>
      <w:r>
        <w:rPr>
          <w:rtl/>
        </w:rPr>
        <w:t xml:space="preserve">ארותיו </w:t>
      </w:r>
      <w:r>
        <w:rPr>
          <w:rFonts w:hint="cs"/>
          <w:rtl/>
        </w:rPr>
        <w:t xml:space="preserve">- </w:t>
      </w:r>
      <w:r>
        <w:rPr>
          <w:rtl/>
        </w:rPr>
        <w:t>עיקר ענפי אילנותיו</w:t>
      </w:r>
      <w:r>
        <w:rPr>
          <w:rFonts w:hint="cs"/>
          <w:rtl/>
        </w:rPr>
        <w:t xml:space="preserve">... </w:t>
      </w:r>
      <w:r>
        <w:rPr>
          <w:rtl/>
        </w:rPr>
        <w:t>אין פֻּארָה זו לשון גת</w:t>
      </w:r>
      <w:r>
        <w:rPr>
          <w:rFonts w:hint="cs"/>
          <w:rtl/>
        </w:rPr>
        <w:t>,</w:t>
      </w:r>
      <w:r>
        <w:rPr>
          <w:rtl/>
        </w:rPr>
        <w:t xml:space="preserve"> שהרי לא נכתב בוי"ו</w:t>
      </w:r>
      <w:r>
        <w:rPr>
          <w:rFonts w:hint="cs"/>
          <w:rtl/>
        </w:rPr>
        <w:t>...</w:t>
      </w:r>
      <w:r>
        <w:rPr>
          <w:rtl/>
        </w:rPr>
        <w:t xml:space="preserve"> אלא באל"ף</w:t>
      </w:r>
      <w:r>
        <w:rPr>
          <w:rFonts w:hint="cs"/>
          <w:rtl/>
        </w:rPr>
        <w:t xml:space="preserve">". </w:t>
      </w:r>
      <w:r>
        <w:rPr>
          <w:rtl/>
        </w:rPr>
        <w:t xml:space="preserve">רד"ק </w:t>
      </w:r>
      <w:r>
        <w:rPr>
          <w:rFonts w:hint="cs"/>
          <w:rtl/>
        </w:rPr>
        <w:t>(</w:t>
      </w:r>
      <w:r>
        <w:rPr>
          <w:rtl/>
        </w:rPr>
        <w:t xml:space="preserve">יחזקאל </w:t>
      </w:r>
      <w:r>
        <w:rPr>
          <w:sz w:val="18"/>
          <w:szCs w:val="20"/>
          <w:rtl/>
        </w:rPr>
        <w:t>לא</w:t>
      </w:r>
      <w:r>
        <w:rPr>
          <w:rFonts w:hint="cs"/>
          <w:sz w:val="18"/>
          <w:szCs w:val="20"/>
          <w:rtl/>
        </w:rPr>
        <w:t xml:space="preserve">, </w:t>
      </w:r>
      <w:r>
        <w:rPr>
          <w:sz w:val="18"/>
          <w:szCs w:val="20"/>
          <w:rtl/>
        </w:rPr>
        <w:t>ה</w:t>
      </w:r>
      <w:r>
        <w:rPr>
          <w:rFonts w:hint="cs"/>
          <w:sz w:val="18"/>
          <w:szCs w:val="20"/>
          <w:rtl/>
        </w:rPr>
        <w:t xml:space="preserve"> </w:t>
      </w:r>
      <w:r>
        <w:rPr>
          <w:rFonts w:hint="cs"/>
          <w:sz w:val="26"/>
          <w:rtl/>
        </w:rPr>
        <w:t>וב</w:t>
      </w:r>
      <w:r>
        <w:rPr>
          <w:sz w:val="26"/>
          <w:rtl/>
        </w:rPr>
        <w:t>ספר השרשים</w:t>
      </w:r>
      <w:r>
        <w:rPr>
          <w:rFonts w:hint="cs"/>
          <w:sz w:val="18"/>
          <w:szCs w:val="20"/>
          <w:rtl/>
        </w:rPr>
        <w:t>, פא"ר</w:t>
      </w:r>
      <w:r>
        <w:rPr>
          <w:rFonts w:hint="cs"/>
          <w:rtl/>
        </w:rPr>
        <w:t>) כותב כי "</w:t>
      </w:r>
      <w:r>
        <w:rPr>
          <w:rtl/>
        </w:rPr>
        <w:t>סעיף</w:t>
      </w:r>
      <w:r>
        <w:rPr>
          <w:rFonts w:hint="cs"/>
          <w:rtl/>
        </w:rPr>
        <w:t>", "</w:t>
      </w:r>
      <w:r>
        <w:rPr>
          <w:rtl/>
        </w:rPr>
        <w:t>סרע</w:t>
      </w:r>
      <w:r>
        <w:rPr>
          <w:rFonts w:hint="cs"/>
          <w:rtl/>
        </w:rPr>
        <w:t xml:space="preserve">ף", </w:t>
      </w:r>
      <w:r>
        <w:rPr>
          <w:rtl/>
        </w:rPr>
        <w:t xml:space="preserve"> ו</w:t>
      </w:r>
      <w:r>
        <w:rPr>
          <w:rFonts w:hint="cs"/>
          <w:rtl/>
        </w:rPr>
        <w:t>"</w:t>
      </w:r>
      <w:r>
        <w:rPr>
          <w:rtl/>
        </w:rPr>
        <w:t>פֻּארָה</w:t>
      </w:r>
      <w:r>
        <w:rPr>
          <w:rFonts w:hint="cs"/>
          <w:rtl/>
        </w:rPr>
        <w:t>" /</w:t>
      </w:r>
      <w:r>
        <w:rPr>
          <w:rtl/>
        </w:rPr>
        <w:t xml:space="preserve"> </w:t>
      </w:r>
      <w:r>
        <w:rPr>
          <w:rFonts w:hint="cs"/>
          <w:rtl/>
        </w:rPr>
        <w:t>"</w:t>
      </w:r>
      <w:r>
        <w:rPr>
          <w:rtl/>
        </w:rPr>
        <w:t>פֹארָ</w:t>
      </w:r>
      <w:r>
        <w:rPr>
          <w:rFonts w:hint="cs"/>
          <w:rtl/>
        </w:rPr>
        <w:t>ה"</w:t>
      </w:r>
      <w:r>
        <w:rPr>
          <w:rtl/>
        </w:rPr>
        <w:t xml:space="preserve"> </w:t>
      </w:r>
      <w:r>
        <w:rPr>
          <w:rFonts w:hint="cs"/>
          <w:rtl/>
        </w:rPr>
        <w:t>הן מִלים נרדפות. ובן דורו ומקומו, ר' מנחם בן שמעון (</w:t>
      </w:r>
      <w:r>
        <w:rPr>
          <w:szCs w:val="20"/>
          <w:rtl/>
        </w:rPr>
        <w:t>יחזקאל</w:t>
      </w:r>
      <w:r>
        <w:rPr>
          <w:rtl/>
        </w:rPr>
        <w:t xml:space="preserve"> </w:t>
      </w:r>
      <w:r>
        <w:rPr>
          <w:rFonts w:hint="cs"/>
          <w:sz w:val="18"/>
          <w:szCs w:val="20"/>
          <w:rtl/>
        </w:rPr>
        <w:t>יז, ו</w:t>
      </w:r>
      <w:r>
        <w:rPr>
          <w:rFonts w:hint="cs"/>
          <w:rtl/>
        </w:rPr>
        <w:t>), כותב כך על המִלים "דליות", "בדים", "</w:t>
      </w:r>
      <w:r>
        <w:rPr>
          <w:rtl/>
        </w:rPr>
        <w:t>פאר</w:t>
      </w:r>
      <w:r>
        <w:rPr>
          <w:rFonts w:hint="cs"/>
          <w:rtl/>
        </w:rPr>
        <w:t xml:space="preserve">ות" ו"ענפים". וכך כותב </w:t>
      </w:r>
      <w:r>
        <w:rPr>
          <w:rtl/>
        </w:rPr>
        <w:t>הרמב"ן</w:t>
      </w:r>
      <w:r>
        <w:rPr>
          <w:rFonts w:hint="cs"/>
          <w:rtl/>
        </w:rPr>
        <w:t xml:space="preserve"> (ב</w:t>
      </w:r>
      <w:r>
        <w:rPr>
          <w:rtl/>
        </w:rPr>
        <w:t>השגות</w:t>
      </w:r>
      <w:r>
        <w:rPr>
          <w:rFonts w:hint="cs"/>
          <w:rtl/>
        </w:rPr>
        <w:t>יו ל</w:t>
      </w:r>
      <w:r>
        <w:rPr>
          <w:rtl/>
        </w:rPr>
        <w:t>הלכות לולב לראב"ד</w:t>
      </w:r>
      <w:r>
        <w:rPr>
          <w:rFonts w:hint="cs"/>
          <w:sz w:val="18"/>
          <w:szCs w:val="20"/>
          <w:rtl/>
        </w:rPr>
        <w:t>, "ענין הדס קטום"</w:t>
      </w:r>
      <w:r>
        <w:rPr>
          <w:rFonts w:hint="cs"/>
          <w:rtl/>
        </w:rPr>
        <w:t>): "</w:t>
      </w:r>
      <w:r>
        <w:rPr>
          <w:rtl/>
        </w:rPr>
        <w:t>הענפים העליונים שהן גזע האילן שדרכן של כורמים לזמור אותן ולקוץ ראשן בכל שנה כדי שיוסיפו, הן  הנקראין דליות, והענפים השלמים הן נקראין בדין</w:t>
      </w:r>
      <w:r>
        <w:rPr>
          <w:rFonts w:hint="cs"/>
          <w:rtl/>
        </w:rPr>
        <w:t>,</w:t>
      </w:r>
      <w:r>
        <w:rPr>
          <w:rtl/>
        </w:rPr>
        <w:t xml:space="preserve"> או פארות בלשון מקרא, ויונתן בן עוזיאל תרגם בו (</w:t>
      </w:r>
      <w:r>
        <w:rPr>
          <w:sz w:val="18"/>
          <w:szCs w:val="20"/>
          <w:rtl/>
        </w:rPr>
        <w:t>יחזקאל יז</w:t>
      </w:r>
      <w:r>
        <w:rPr>
          <w:rFonts w:hint="cs"/>
          <w:sz w:val="18"/>
          <w:szCs w:val="20"/>
          <w:rtl/>
        </w:rPr>
        <w:t>,</w:t>
      </w:r>
      <w:r>
        <w:rPr>
          <w:sz w:val="18"/>
          <w:szCs w:val="20"/>
          <w:rtl/>
        </w:rPr>
        <w:t xml:space="preserve"> ו</w:t>
      </w:r>
      <w:r>
        <w:rPr>
          <w:rtl/>
        </w:rPr>
        <w:t>) עו</w:t>
      </w:r>
      <w:r>
        <w:rPr>
          <w:rFonts w:hint="cs"/>
          <w:rtl/>
        </w:rPr>
        <w:t>ֹ</w:t>
      </w:r>
      <w:r>
        <w:rPr>
          <w:rtl/>
        </w:rPr>
        <w:t>ב</w:t>
      </w:r>
      <w:r>
        <w:rPr>
          <w:rFonts w:hint="cs"/>
          <w:rtl/>
        </w:rPr>
        <w:t>ְ</w:t>
      </w:r>
      <w:r>
        <w:rPr>
          <w:rtl/>
        </w:rPr>
        <w:t>ר</w:t>
      </w:r>
      <w:r>
        <w:rPr>
          <w:rFonts w:hint="cs"/>
          <w:rtl/>
        </w:rPr>
        <w:t>ָ</w:t>
      </w:r>
      <w:r>
        <w:rPr>
          <w:rtl/>
        </w:rPr>
        <w:t>ת</w:t>
      </w:r>
      <w:r>
        <w:rPr>
          <w:rFonts w:hint="cs"/>
          <w:rtl/>
        </w:rPr>
        <w:t>ֵ</w:t>
      </w:r>
      <w:r>
        <w:rPr>
          <w:rtl/>
        </w:rPr>
        <w:t>יה</w:t>
      </w:r>
      <w:r>
        <w:rPr>
          <w:rFonts w:hint="cs"/>
          <w:rtl/>
        </w:rPr>
        <w:t>ּ</w:t>
      </w:r>
      <w:r>
        <w:rPr>
          <w:rtl/>
        </w:rPr>
        <w:t>, וכן תרגם אונקלוס</w:t>
      </w:r>
      <w:r>
        <w:rPr>
          <w:rFonts w:hint="cs"/>
          <w:rtl/>
        </w:rPr>
        <w:t xml:space="preserve"> </w:t>
      </w:r>
      <w:r>
        <w:rPr>
          <w:rtl/>
        </w:rPr>
        <w:t>זְמוֹרָה (</w:t>
      </w:r>
      <w:r>
        <w:rPr>
          <w:rFonts w:hint="cs"/>
          <w:sz w:val="20"/>
          <w:szCs w:val="20"/>
          <w:rtl/>
        </w:rPr>
        <w:t>"</w:t>
      </w:r>
      <w:r>
        <w:rPr>
          <w:sz w:val="20"/>
          <w:szCs w:val="20"/>
          <w:rtl/>
        </w:rPr>
        <w:t>עו</w:t>
      </w:r>
      <w:r>
        <w:rPr>
          <w:rFonts w:hint="cs"/>
          <w:sz w:val="20"/>
          <w:szCs w:val="20"/>
          <w:rtl/>
        </w:rPr>
        <w:t>ֹ</w:t>
      </w:r>
      <w:r>
        <w:rPr>
          <w:sz w:val="20"/>
          <w:szCs w:val="20"/>
          <w:rtl/>
        </w:rPr>
        <w:t>ב</w:t>
      </w:r>
      <w:r>
        <w:rPr>
          <w:rFonts w:hint="cs"/>
          <w:sz w:val="20"/>
          <w:szCs w:val="20"/>
          <w:rtl/>
        </w:rPr>
        <w:t>ַ</w:t>
      </w:r>
      <w:r>
        <w:rPr>
          <w:sz w:val="20"/>
          <w:szCs w:val="20"/>
          <w:rtl/>
        </w:rPr>
        <w:t>ר</w:t>
      </w:r>
      <w:r>
        <w:rPr>
          <w:rFonts w:hint="cs"/>
          <w:sz w:val="20"/>
          <w:szCs w:val="20"/>
          <w:rtl/>
        </w:rPr>
        <w:t>ְ</w:t>
      </w:r>
      <w:r>
        <w:rPr>
          <w:sz w:val="20"/>
          <w:szCs w:val="20"/>
          <w:rtl/>
        </w:rPr>
        <w:t>ת</w:t>
      </w:r>
      <w:r>
        <w:rPr>
          <w:rFonts w:hint="cs"/>
          <w:sz w:val="20"/>
          <w:szCs w:val="20"/>
          <w:rtl/>
        </w:rPr>
        <w:t>ָּא";</w:t>
      </w:r>
      <w:r>
        <w:rPr>
          <w:sz w:val="18"/>
          <w:szCs w:val="20"/>
          <w:rtl/>
        </w:rPr>
        <w:t xml:space="preserve"> במדבר יג</w:t>
      </w:r>
      <w:r>
        <w:rPr>
          <w:rFonts w:hint="cs"/>
          <w:sz w:val="18"/>
          <w:szCs w:val="20"/>
          <w:rtl/>
        </w:rPr>
        <w:t>,</w:t>
      </w:r>
      <w:r>
        <w:rPr>
          <w:sz w:val="18"/>
          <w:szCs w:val="20"/>
          <w:rtl/>
        </w:rPr>
        <w:t xml:space="preserve"> כג</w:t>
      </w:r>
      <w:r>
        <w:rPr>
          <w:rtl/>
        </w:rPr>
        <w:t>), והוא הענף שכ</w:t>
      </w:r>
      <w:r>
        <w:rPr>
          <w:rFonts w:hint="cs"/>
          <w:rtl/>
        </w:rPr>
        <w:t>ִ</w:t>
      </w:r>
      <w:r>
        <w:rPr>
          <w:rtl/>
        </w:rPr>
        <w:t>סחו ראשו</w:t>
      </w:r>
      <w:r>
        <w:rPr>
          <w:rFonts w:hint="cs"/>
          <w:rtl/>
        </w:rPr>
        <w:t>,</w:t>
      </w:r>
      <w:r>
        <w:rPr>
          <w:rtl/>
        </w:rPr>
        <w:t xml:space="preserve"> ועל שם שנזמר נקרא כך, וכן תרגומו על שם שהעבירו ממנה קצתה נקראת עוברתא</w:t>
      </w:r>
      <w:r>
        <w:rPr>
          <w:rFonts w:hint="cs"/>
          <w:rtl/>
        </w:rPr>
        <w:t>.</w:t>
      </w:r>
      <w:r>
        <w:rPr>
          <w:rtl/>
        </w:rPr>
        <w:t xml:space="preserve"> ומזה הלשון אמרו חכמים (</w:t>
      </w:r>
      <w:r>
        <w:rPr>
          <w:sz w:val="18"/>
          <w:szCs w:val="20"/>
          <w:rtl/>
        </w:rPr>
        <w:t>פאה פ"ז מ"ה</w:t>
      </w:r>
      <w:r>
        <w:rPr>
          <w:rtl/>
        </w:rPr>
        <w:t>) המדל בגפנים, וכולן לשון זמירה וכ</w:t>
      </w:r>
      <w:r>
        <w:rPr>
          <w:rFonts w:hint="cs"/>
          <w:rtl/>
        </w:rPr>
        <w:t>ִ</w:t>
      </w:r>
      <w:r>
        <w:rPr>
          <w:rtl/>
        </w:rPr>
        <w:t>סוח הן</w:t>
      </w:r>
      <w:r>
        <w:rPr>
          <w:rFonts w:hint="cs"/>
          <w:rtl/>
        </w:rPr>
        <w:t xml:space="preserve">". </w:t>
      </w:r>
      <w:r>
        <w:rPr>
          <w:rFonts w:hint="cs"/>
          <w:sz w:val="26"/>
          <w:rtl/>
        </w:rPr>
        <w:t xml:space="preserve">וראה הגדרת ה"משך חכמה" להלן </w:t>
      </w:r>
      <w:r>
        <w:rPr>
          <w:rFonts w:hint="cs"/>
          <w:sz w:val="18"/>
          <w:szCs w:val="20"/>
          <w:rtl/>
        </w:rPr>
        <w:t>ליד הערה 51</w:t>
      </w:r>
      <w:r>
        <w:rPr>
          <w:rFonts w:hint="cs"/>
          <w:sz w:val="26"/>
          <w:rtl/>
        </w:rPr>
        <w:t>. וצ"ע כיצד התגלגלה מִלה זו להורות בלשון חכמים על</w:t>
      </w:r>
      <w:r>
        <w:rPr>
          <w:rFonts w:hint="cs"/>
          <w:rtl/>
        </w:rPr>
        <w:t xml:space="preserve"> "</w:t>
      </w:r>
      <w:r>
        <w:rPr>
          <w:rtl/>
        </w:rPr>
        <w:t>נימין של כינור</w:t>
      </w:r>
      <w:r>
        <w:rPr>
          <w:rFonts w:hint="cs"/>
          <w:rtl/>
        </w:rPr>
        <w:t>,</w:t>
      </w:r>
      <w:r>
        <w:rPr>
          <w:rtl/>
        </w:rPr>
        <w:t xml:space="preserve"> קורד</w:t>
      </w:r>
      <w:r>
        <w:rPr>
          <w:rFonts w:hint="cs"/>
          <w:rtl/>
        </w:rPr>
        <w:t>י</w:t>
      </w:r>
      <w:r>
        <w:rPr>
          <w:rtl/>
        </w:rPr>
        <w:t>ש בלעז</w:t>
      </w:r>
      <w:r>
        <w:rPr>
          <w:rFonts w:hint="cs"/>
          <w:rtl/>
        </w:rPr>
        <w:t>" (</w:t>
      </w:r>
      <w:r>
        <w:rPr>
          <w:rtl/>
        </w:rPr>
        <w:t xml:space="preserve">רש"י עבודה זרה </w:t>
      </w:r>
      <w:r>
        <w:rPr>
          <w:sz w:val="18"/>
          <w:szCs w:val="20"/>
          <w:rtl/>
        </w:rPr>
        <w:t>מז</w:t>
      </w:r>
      <w:r>
        <w:rPr>
          <w:rFonts w:hint="cs"/>
          <w:sz w:val="18"/>
          <w:szCs w:val="20"/>
          <w:rtl/>
        </w:rPr>
        <w:t xml:space="preserve">, </w:t>
      </w:r>
      <w:r>
        <w:rPr>
          <w:sz w:val="18"/>
          <w:szCs w:val="20"/>
          <w:rtl/>
        </w:rPr>
        <w:t>א</w:t>
      </w:r>
      <w:r>
        <w:rPr>
          <w:rFonts w:hint="cs"/>
          <w:sz w:val="18"/>
          <w:szCs w:val="20"/>
          <w:rtl/>
        </w:rPr>
        <w:t xml:space="preserve"> </w:t>
      </w:r>
      <w:r>
        <w:rPr>
          <w:sz w:val="18"/>
          <w:szCs w:val="20"/>
          <w:rtl/>
        </w:rPr>
        <w:t>ד"ה לפארות</w:t>
      </w:r>
      <w:r>
        <w:rPr>
          <w:rFonts w:hint="cs"/>
          <w:rtl/>
        </w:rPr>
        <w:t>), כלומר: מיתרים של כלי נגינה (</w:t>
      </w:r>
      <w:r>
        <w:rPr>
          <w:rFonts w:hint="cs"/>
          <w:sz w:val="18"/>
          <w:szCs w:val="20"/>
          <w:rtl/>
        </w:rPr>
        <w:t>ע"פ אוצר לעזי רש"י</w:t>
      </w:r>
      <w:r>
        <w:rPr>
          <w:rFonts w:hint="cs"/>
          <w:rtl/>
        </w:rPr>
        <w:t>)</w:t>
      </w:r>
      <w:r>
        <w:rPr>
          <w:rtl/>
        </w:rPr>
        <w:t>.</w:t>
      </w:r>
      <w:r>
        <w:rPr>
          <w:rFonts w:hint="cs"/>
          <w:rtl/>
        </w:rPr>
        <w:t xml:space="preserve"> האם משום שהמיתרים היו עשויים בתחילה מענפים?</w:t>
      </w:r>
    </w:p>
  </w:footnote>
  <w:footnote w:id="302">
    <w:p w14:paraId="15807B99" w14:textId="77777777" w:rsidR="000015C4" w:rsidRDefault="000015C4" w:rsidP="000015C4">
      <w:pPr>
        <w:pStyle w:val="a5"/>
        <w:rPr>
          <w:rFonts w:hint="cs"/>
          <w:rtl/>
        </w:rPr>
      </w:pPr>
      <w:r>
        <w:rPr>
          <w:rStyle w:val="a4"/>
          <w:rtl/>
        </w:rPr>
        <w:footnoteRef/>
      </w:r>
      <w:r>
        <w:rPr>
          <w:szCs w:val="22"/>
        </w:rPr>
        <w:t xml:space="preserve"> </w:t>
      </w:r>
      <w:r>
        <w:rPr>
          <w:rFonts w:hint="cs"/>
          <w:rtl/>
        </w:rPr>
        <w:t>ראב"ע מוסיף להדגים כיצד הפעלים "</w:t>
      </w:r>
      <w:r>
        <w:rPr>
          <w:rtl/>
        </w:rPr>
        <w:t>עִצְּמוֹ</w:t>
      </w:r>
      <w:r>
        <w:rPr>
          <w:rFonts w:hint="cs"/>
          <w:rtl/>
        </w:rPr>
        <w:t>", "</w:t>
      </w:r>
      <w:r>
        <w:rPr>
          <w:rtl/>
        </w:rPr>
        <w:t>מְסָעֵף</w:t>
      </w:r>
      <w:r>
        <w:rPr>
          <w:rFonts w:hint="cs"/>
          <w:rtl/>
        </w:rPr>
        <w:t>" ו"</w:t>
      </w:r>
      <w:r>
        <w:rPr>
          <w:rtl/>
        </w:rPr>
        <w:t>תְפַאֵר</w:t>
      </w:r>
      <w:r>
        <w:rPr>
          <w:rFonts w:hint="cs"/>
          <w:rtl/>
        </w:rPr>
        <w:t>" נגזרו משמות העצם "עֶצֶם", "</w:t>
      </w:r>
      <w:r>
        <w:rPr>
          <w:rtl/>
        </w:rPr>
        <w:t>סע</w:t>
      </w:r>
      <w:r>
        <w:rPr>
          <w:rFonts w:hint="cs"/>
          <w:rtl/>
        </w:rPr>
        <w:t>ִ</w:t>
      </w:r>
      <w:r>
        <w:rPr>
          <w:rtl/>
        </w:rPr>
        <w:t>יף</w:t>
      </w:r>
      <w:r>
        <w:rPr>
          <w:rFonts w:hint="cs"/>
          <w:rtl/>
        </w:rPr>
        <w:t>"</w:t>
      </w:r>
      <w:r>
        <w:rPr>
          <w:rtl/>
        </w:rPr>
        <w:t xml:space="preserve"> ו</w:t>
      </w:r>
      <w:r>
        <w:rPr>
          <w:rFonts w:hint="cs"/>
          <w:rtl/>
        </w:rPr>
        <w:t>"</w:t>
      </w:r>
      <w:r>
        <w:rPr>
          <w:rtl/>
        </w:rPr>
        <w:t>פֻּארָה</w:t>
      </w:r>
      <w:r>
        <w:rPr>
          <w:rFonts w:hint="cs"/>
          <w:rtl/>
        </w:rPr>
        <w:t xml:space="preserve">". </w:t>
      </w:r>
    </w:p>
  </w:footnote>
  <w:footnote w:id="303">
    <w:p w14:paraId="7D125D3E" w14:textId="77777777" w:rsidR="000015C4" w:rsidRDefault="000015C4" w:rsidP="000015C4">
      <w:pPr>
        <w:pStyle w:val="a5"/>
        <w:rPr>
          <w:rtl/>
        </w:rPr>
      </w:pPr>
      <w:r>
        <w:rPr>
          <w:rStyle w:val="a4"/>
          <w:rtl/>
        </w:rPr>
        <w:footnoteRef/>
      </w:r>
      <w:r>
        <w:rPr>
          <w:szCs w:val="22"/>
        </w:rPr>
        <w:t xml:space="preserve"> </w:t>
      </w:r>
      <w:r>
        <w:rPr>
          <w:rFonts w:hint="cs"/>
          <w:rtl/>
        </w:rPr>
        <w:t>פֹעַל זה נמצא בראש תפִלת "</w:t>
      </w:r>
      <w:r>
        <w:rPr>
          <w:rtl/>
        </w:rPr>
        <w:t>נ</w:t>
      </w:r>
      <w:r>
        <w:rPr>
          <w:rFonts w:hint="cs"/>
          <w:rtl/>
        </w:rPr>
        <w:t xml:space="preserve">ִשְׁמַת כָּל חַי תְּבָרֵךְ אֶת שִׁמְךָ ה"א, וְרוּחַ כָּל בָּשָׂר </w:t>
      </w:r>
      <w:r>
        <w:rPr>
          <w:rFonts w:hint="cs"/>
          <w:b/>
          <w:bCs/>
          <w:rtl/>
        </w:rPr>
        <w:t xml:space="preserve">תְּפָאֵר </w:t>
      </w:r>
      <w:r>
        <w:rPr>
          <w:rFonts w:hint="cs"/>
          <w:rtl/>
        </w:rPr>
        <w:t>וּתְרוֹמֵם זִכְרְךָ" וכו', וכיו"ב אנו אומרים בפסוקי דזמרה</w:t>
      </w:r>
      <w:r>
        <w:rPr>
          <w:rtl/>
        </w:rPr>
        <w:t>: "</w:t>
      </w:r>
      <w:r>
        <w:rPr>
          <w:b/>
          <w:bCs/>
          <w:rtl/>
        </w:rPr>
        <w:t>יְפָאֵר</w:t>
      </w:r>
      <w:r>
        <w:rPr>
          <w:rtl/>
        </w:rPr>
        <w:t xml:space="preserve"> עֲנָוִים בִּישׁוּעָה</w:t>
      </w:r>
      <w:r>
        <w:rPr>
          <w:rFonts w:hint="cs"/>
          <w:rtl/>
        </w:rPr>
        <w:t xml:space="preserve">", </w:t>
      </w:r>
      <w:r>
        <w:rPr>
          <w:sz w:val="18"/>
          <w:szCs w:val="20"/>
          <w:rtl/>
        </w:rPr>
        <w:t>תהילים קמט</w:t>
      </w:r>
      <w:r>
        <w:rPr>
          <w:rFonts w:hint="cs"/>
          <w:sz w:val="18"/>
          <w:szCs w:val="20"/>
          <w:rtl/>
        </w:rPr>
        <w:t>,</w:t>
      </w:r>
      <w:r>
        <w:rPr>
          <w:sz w:val="18"/>
          <w:szCs w:val="20"/>
          <w:rtl/>
        </w:rPr>
        <w:t xml:space="preserve"> ד</w:t>
      </w:r>
      <w:r>
        <w:rPr>
          <w:rFonts w:hint="cs"/>
          <w:sz w:val="18"/>
          <w:szCs w:val="20"/>
          <w:rtl/>
        </w:rPr>
        <w:t>,</w:t>
      </w:r>
      <w:r>
        <w:rPr>
          <w:rFonts w:hint="cs"/>
          <w:rtl/>
        </w:rPr>
        <w:t xml:space="preserve"> ובהפטרות פרשת ראה ופרשת כי תבוא </w:t>
      </w:r>
      <w:r>
        <w:rPr>
          <w:rtl/>
        </w:rPr>
        <w:t xml:space="preserve">"וְלִקְדוֹשׁ יִשְׂרָאֵל כִּי </w:t>
      </w:r>
      <w:r>
        <w:rPr>
          <w:b/>
          <w:bCs/>
          <w:rtl/>
        </w:rPr>
        <w:t>פֵאֲרָךְ</w:t>
      </w:r>
      <w:r>
        <w:rPr>
          <w:rtl/>
        </w:rPr>
        <w:t>"</w:t>
      </w:r>
      <w:r>
        <w:rPr>
          <w:rFonts w:hint="cs"/>
          <w:rtl/>
        </w:rPr>
        <w:t xml:space="preserve">, </w:t>
      </w:r>
      <w:r>
        <w:rPr>
          <w:sz w:val="18"/>
          <w:szCs w:val="20"/>
          <w:rtl/>
        </w:rPr>
        <w:t>ישעיה נה, ה</w:t>
      </w:r>
      <w:r>
        <w:rPr>
          <w:rFonts w:hint="cs"/>
          <w:sz w:val="18"/>
          <w:szCs w:val="20"/>
          <w:rtl/>
        </w:rPr>
        <w:t>; ס, ט</w:t>
      </w:r>
      <w:r>
        <w:rPr>
          <w:rFonts w:hint="cs"/>
          <w:rtl/>
        </w:rPr>
        <w:t>.</w:t>
      </w:r>
    </w:p>
  </w:footnote>
  <w:footnote w:id="304">
    <w:p w14:paraId="44900A5C" w14:textId="77777777" w:rsidR="000015C4" w:rsidRDefault="000015C4" w:rsidP="000015C4">
      <w:pPr>
        <w:pStyle w:val="a5"/>
        <w:rPr>
          <w:rFonts w:hint="cs"/>
          <w:rtl/>
        </w:rPr>
      </w:pPr>
      <w:r>
        <w:rPr>
          <w:rStyle w:val="a4"/>
          <w:rtl/>
        </w:rPr>
        <w:footnoteRef/>
      </w:r>
      <w:r>
        <w:rPr>
          <w:szCs w:val="22"/>
        </w:rPr>
        <w:t xml:space="preserve"> </w:t>
      </w:r>
      <w:r>
        <w:rPr>
          <w:rFonts w:hint="cs"/>
          <w:rtl/>
        </w:rPr>
        <w:t>"להבדיל הענין", כלשונו.</w:t>
      </w:r>
    </w:p>
  </w:footnote>
  <w:footnote w:id="305">
    <w:p w14:paraId="64EA488E" w14:textId="77777777" w:rsidR="000015C4" w:rsidRDefault="000015C4" w:rsidP="000015C4">
      <w:pPr>
        <w:pStyle w:val="a5"/>
        <w:rPr>
          <w:rFonts w:hint="cs"/>
          <w:sz w:val="26"/>
          <w:rtl/>
        </w:rPr>
      </w:pPr>
      <w:r>
        <w:rPr>
          <w:rStyle w:val="a4"/>
        </w:rPr>
        <w:footnoteRef/>
      </w:r>
      <w:r>
        <w:rPr>
          <w:rFonts w:hint="cs"/>
          <w:sz w:val="26"/>
          <w:rtl/>
        </w:rPr>
        <w:t xml:space="preserve"> וכך מנוקד ברוב מהדורות המקרא, וכן הדפיס הר"מ ברויאר ע"פ כתבי היד (</w:t>
      </w:r>
      <w:r>
        <w:rPr>
          <w:rFonts w:hint="cs"/>
          <w:sz w:val="18"/>
          <w:szCs w:val="20"/>
          <w:rtl/>
        </w:rPr>
        <w:t>כת"י לנינגרד וכתי"י ששון</w:t>
      </w:r>
      <w:r>
        <w:rPr>
          <w:rFonts w:hint="cs"/>
          <w:sz w:val="26"/>
          <w:rtl/>
        </w:rPr>
        <w:t xml:space="preserve">), בניגוד לדפוס ונציה של מקראות גדולות אשר "קָמץ את פיו" (והשפיע אף על א' אבן שושן במילונו ובקונקורדנציה לתנ"ך. אגב, הוא מגדיר </w:t>
      </w:r>
      <w:r>
        <w:rPr>
          <w:rFonts w:hint="cs"/>
          <w:rtl/>
        </w:rPr>
        <w:t xml:space="preserve">פֹעַל זה </w:t>
      </w:r>
      <w:r>
        <w:rPr>
          <w:rFonts w:hint="cs"/>
          <w:sz w:val="26"/>
          <w:rtl/>
        </w:rPr>
        <w:t>באופן מוזר: "</w:t>
      </w:r>
      <w:r>
        <w:rPr>
          <w:rFonts w:hint="cs"/>
          <w:b/>
          <w:bCs/>
          <w:sz w:val="26"/>
          <w:rtl/>
        </w:rPr>
        <w:t>שִבֵּר</w:t>
      </w:r>
      <w:r>
        <w:rPr>
          <w:rFonts w:hint="cs"/>
          <w:sz w:val="26"/>
          <w:rtl/>
        </w:rPr>
        <w:t xml:space="preserve"> את ענפי עצי הפרי ע"י חביטה חזקה בהם במקלות להשרת פרי </w:t>
      </w:r>
      <w:r>
        <w:rPr>
          <w:rFonts w:hint="cs"/>
          <w:b/>
          <w:bCs/>
          <w:sz w:val="26"/>
          <w:rtl/>
        </w:rPr>
        <w:t>הבֹסר</w:t>
      </w:r>
      <w:r>
        <w:rPr>
          <w:rFonts w:hint="cs"/>
          <w:sz w:val="26"/>
          <w:rtl/>
        </w:rPr>
        <w:t>", לזרויות שהדגשתי טרם מצאתי מקור).</w:t>
      </w:r>
    </w:p>
    <w:p w14:paraId="0AEE6753" w14:textId="77777777" w:rsidR="000015C4" w:rsidRDefault="000015C4" w:rsidP="000015C4">
      <w:pPr>
        <w:pStyle w:val="a5"/>
        <w:rPr>
          <w:rFonts w:hint="cs"/>
          <w:rtl/>
        </w:rPr>
      </w:pPr>
      <w:r>
        <w:rPr>
          <w:rFonts w:hint="cs"/>
          <w:sz w:val="26"/>
          <w:rtl/>
        </w:rPr>
        <w:t>בפירושו ל</w:t>
      </w:r>
      <w:r>
        <w:rPr>
          <w:sz w:val="26"/>
          <w:rtl/>
        </w:rPr>
        <w:t xml:space="preserve">הלכות מתנות עניים </w:t>
      </w:r>
      <w:r>
        <w:rPr>
          <w:sz w:val="18"/>
          <w:szCs w:val="20"/>
          <w:rtl/>
        </w:rPr>
        <w:t>פ</w:t>
      </w:r>
      <w:r>
        <w:rPr>
          <w:rFonts w:hint="cs"/>
          <w:sz w:val="18"/>
          <w:szCs w:val="20"/>
          <w:rtl/>
        </w:rPr>
        <w:t>"</w:t>
      </w:r>
      <w:r>
        <w:rPr>
          <w:sz w:val="18"/>
          <w:szCs w:val="20"/>
          <w:rtl/>
        </w:rPr>
        <w:t>א ה</w:t>
      </w:r>
      <w:r>
        <w:rPr>
          <w:rFonts w:hint="cs"/>
          <w:sz w:val="18"/>
          <w:szCs w:val="20"/>
          <w:rtl/>
        </w:rPr>
        <w:t>"</w:t>
      </w:r>
      <w:r>
        <w:rPr>
          <w:sz w:val="18"/>
          <w:szCs w:val="20"/>
          <w:rtl/>
        </w:rPr>
        <w:t>ו</w:t>
      </w:r>
      <w:r>
        <w:rPr>
          <w:rFonts w:hint="cs"/>
          <w:sz w:val="18"/>
          <w:szCs w:val="20"/>
          <w:rtl/>
        </w:rPr>
        <w:t xml:space="preserve"> </w:t>
      </w:r>
      <w:r>
        <w:rPr>
          <w:rFonts w:hint="cs"/>
          <w:sz w:val="26"/>
          <w:rtl/>
        </w:rPr>
        <w:t xml:space="preserve">העיר הר"י קאפח על הניקוד המשובש </w:t>
      </w:r>
      <w:r>
        <w:rPr>
          <w:rFonts w:hint="cs"/>
          <w:rtl/>
        </w:rPr>
        <w:t>"ת</w:t>
      </w:r>
      <w:r>
        <w:rPr>
          <w:rtl/>
        </w:rPr>
        <w:t>ְפָאֵר</w:t>
      </w:r>
      <w:r>
        <w:rPr>
          <w:rFonts w:hint="cs"/>
          <w:rtl/>
        </w:rPr>
        <w:t xml:space="preserve">" המצוי </w:t>
      </w:r>
      <w:r>
        <w:rPr>
          <w:rFonts w:hint="cs"/>
          <w:sz w:val="26"/>
          <w:rtl/>
        </w:rPr>
        <w:t>בכמה מהדורות מנוקדות של משנה תורה לרמב"ם (</w:t>
      </w:r>
      <w:r>
        <w:rPr>
          <w:rFonts w:hint="cs"/>
          <w:sz w:val="18"/>
          <w:szCs w:val="20"/>
          <w:rtl/>
        </w:rPr>
        <w:t>כגון רמב"ם לעם של מוסד הרב קוק</w:t>
      </w:r>
      <w:r>
        <w:rPr>
          <w:rFonts w:hint="cs"/>
          <w:sz w:val="26"/>
          <w:rtl/>
        </w:rPr>
        <w:t xml:space="preserve">). הוא דוחה את ההסתמכות על תנא דבי ר' ישמעאל בחולין שפרש </w:t>
      </w:r>
      <w:r>
        <w:rPr>
          <w:rFonts w:hint="cs"/>
          <w:rtl/>
        </w:rPr>
        <w:t>"</w:t>
      </w:r>
      <w:r>
        <w:rPr>
          <w:rtl/>
        </w:rPr>
        <w:t>תְפַאֵר</w:t>
      </w:r>
      <w:r>
        <w:rPr>
          <w:rFonts w:hint="cs"/>
          <w:rtl/>
        </w:rPr>
        <w:t>" מ</w:t>
      </w:r>
      <w:r>
        <w:rPr>
          <w:rFonts w:hint="cs"/>
          <w:sz w:val="26"/>
          <w:rtl/>
        </w:rPr>
        <w:t>לשון פאר ותפארת, כי אינו אלא "דרש". כאמור, ניקוד משובש זה מקורו בדפוס ונציה.</w:t>
      </w:r>
    </w:p>
  </w:footnote>
  <w:footnote w:id="306">
    <w:p w14:paraId="76FE98AA" w14:textId="77777777" w:rsidR="000015C4" w:rsidRDefault="000015C4" w:rsidP="000015C4">
      <w:pPr>
        <w:pStyle w:val="a5"/>
        <w:rPr>
          <w:rFonts w:hint="cs"/>
          <w:rtl/>
        </w:rPr>
      </w:pPr>
      <w:r>
        <w:rPr>
          <w:rStyle w:val="a4"/>
          <w:rtl/>
        </w:rPr>
        <w:footnoteRef/>
      </w:r>
      <w:r>
        <w:rPr>
          <w:szCs w:val="22"/>
        </w:rPr>
        <w:t xml:space="preserve"> </w:t>
      </w:r>
      <w:r>
        <w:rPr>
          <w:rFonts w:hint="cs"/>
          <w:rtl/>
        </w:rPr>
        <w:t>כלומר, בבניינים הכבדים (פִעֵל, פֻעַל והִתפַעֵל) תנוקד האות הראשונה של השורש בתנועה גדולה - קמץ, צירי או חולם - כשלא ניתן להדגיש בדגש חזק את אות השורש האמצעית (אותיות אהחע"ר). הלכך: "לְפָאֵר, לְבָרֵךְ" לעומת: "לְהַלֵּל, לְשַבֵּחַ, לְהַדֵּר, לְעַלֵּה וּלְקַלֵּס"; "</w:t>
      </w:r>
      <w:r>
        <w:rPr>
          <w:rtl/>
        </w:rPr>
        <w:t>מְפ</w:t>
      </w:r>
      <w:r>
        <w:rPr>
          <w:rFonts w:hint="cs"/>
          <w:rtl/>
        </w:rPr>
        <w:t>ו</w:t>
      </w:r>
      <w:r>
        <w:rPr>
          <w:rtl/>
        </w:rPr>
        <w:t>ֹאָר</w:t>
      </w:r>
      <w:r>
        <w:rPr>
          <w:rFonts w:hint="cs"/>
          <w:rtl/>
        </w:rPr>
        <w:t>,</w:t>
      </w:r>
      <w:r>
        <w:rPr>
          <w:rtl/>
        </w:rPr>
        <w:t xml:space="preserve"> מְבוֹרָךְ</w:t>
      </w:r>
      <w:r>
        <w:rPr>
          <w:rFonts w:hint="cs"/>
          <w:rtl/>
        </w:rPr>
        <w:t>" לעומת "</w:t>
      </w:r>
      <w:r>
        <w:rPr>
          <w:rtl/>
        </w:rPr>
        <w:t>מְשֻׁבָּח</w:t>
      </w:r>
      <w:r>
        <w:rPr>
          <w:rFonts w:hint="cs"/>
          <w:rtl/>
        </w:rPr>
        <w:t xml:space="preserve">, </w:t>
      </w:r>
      <w:r>
        <w:rPr>
          <w:rtl/>
        </w:rPr>
        <w:t>מְהֻלָּל</w:t>
      </w:r>
      <w:r>
        <w:rPr>
          <w:rFonts w:hint="cs"/>
          <w:rtl/>
        </w:rPr>
        <w:t>"; "</w:t>
      </w:r>
      <w:r>
        <w:rPr>
          <w:rtl/>
        </w:rPr>
        <w:t>בֵּאֵר</w:t>
      </w:r>
      <w:r>
        <w:rPr>
          <w:rFonts w:hint="cs"/>
          <w:rtl/>
        </w:rPr>
        <w:t xml:space="preserve">, </w:t>
      </w:r>
      <w:r>
        <w:rPr>
          <w:rtl/>
        </w:rPr>
        <w:t>בֵּרֵךְ</w:t>
      </w:r>
      <w:r>
        <w:rPr>
          <w:rFonts w:hint="cs"/>
          <w:rtl/>
        </w:rPr>
        <w:t>" לעומת "</w:t>
      </w:r>
      <w:r>
        <w:rPr>
          <w:rtl/>
        </w:rPr>
        <w:t>הִלֵּל</w:t>
      </w:r>
      <w:r>
        <w:rPr>
          <w:rFonts w:hint="cs"/>
          <w:rtl/>
        </w:rPr>
        <w:t xml:space="preserve">, קִלֵּס". </w:t>
      </w:r>
    </w:p>
  </w:footnote>
  <w:footnote w:id="307">
    <w:p w14:paraId="2033B6D5" w14:textId="77777777" w:rsidR="000015C4" w:rsidRDefault="000015C4" w:rsidP="000015C4">
      <w:pPr>
        <w:pStyle w:val="a5"/>
        <w:rPr>
          <w:rFonts w:hint="cs"/>
          <w:rtl/>
        </w:rPr>
      </w:pPr>
      <w:r>
        <w:rPr>
          <w:rStyle w:val="a4"/>
        </w:rPr>
        <w:footnoteRef/>
      </w:r>
      <w:r>
        <w:rPr>
          <w:rFonts w:hint="cs"/>
          <w:rtl/>
        </w:rPr>
        <w:t xml:space="preserve"> מדרש הגדול</w:t>
      </w:r>
      <w:r>
        <w:rPr>
          <w:rtl/>
        </w:rPr>
        <w:t xml:space="preserve"> </w:t>
      </w:r>
      <w:r>
        <w:rPr>
          <w:rFonts w:hint="cs"/>
          <w:rtl/>
        </w:rPr>
        <w:t>ו</w:t>
      </w:r>
      <w:r>
        <w:rPr>
          <w:rtl/>
        </w:rPr>
        <w:t>מדרש תנאים לדברים</w:t>
      </w:r>
      <w:r>
        <w:rPr>
          <w:rFonts w:hint="cs"/>
          <w:rtl/>
        </w:rPr>
        <w:t>. הדרשה השניה נמצאת גם בספרי.</w:t>
      </w:r>
    </w:p>
  </w:footnote>
  <w:footnote w:id="308">
    <w:p w14:paraId="7AF9D3A1" w14:textId="77777777" w:rsidR="000015C4" w:rsidRDefault="000015C4" w:rsidP="000015C4">
      <w:pPr>
        <w:pStyle w:val="a5"/>
        <w:rPr>
          <w:rFonts w:hint="cs"/>
          <w:rtl/>
        </w:rPr>
      </w:pPr>
      <w:r>
        <w:rPr>
          <w:rStyle w:val="a4"/>
          <w:rtl/>
        </w:rPr>
        <w:footnoteRef/>
      </w:r>
      <w:r>
        <w:rPr>
          <w:szCs w:val="22"/>
        </w:rPr>
        <w:t xml:space="preserve"> </w:t>
      </w:r>
      <w:r>
        <w:rPr>
          <w:sz w:val="26"/>
          <w:rtl/>
        </w:rPr>
        <w:t>פרשת כי תצא</w:t>
      </w:r>
      <w:r>
        <w:rPr>
          <w:rFonts w:hint="cs"/>
          <w:sz w:val="26"/>
          <w:rtl/>
        </w:rPr>
        <w:t xml:space="preserve"> על אתר:</w:t>
      </w:r>
      <w:r>
        <w:rPr>
          <w:rFonts w:hint="cs"/>
          <w:rtl/>
        </w:rPr>
        <w:t xml:space="preserve"> "...</w:t>
      </w:r>
      <w:r>
        <w:rPr>
          <w:rtl/>
        </w:rPr>
        <w:t>הזית</w:t>
      </w:r>
      <w:r>
        <w:rPr>
          <w:szCs w:val="22"/>
          <w:rtl/>
        </w:rPr>
        <w:t xml:space="preserve"> </w:t>
      </w:r>
      <w:r>
        <w:rPr>
          <w:rtl/>
        </w:rPr>
        <w:t>צריך</w:t>
      </w:r>
      <w:r>
        <w:rPr>
          <w:rFonts w:hint="cs"/>
          <w:rtl/>
        </w:rPr>
        <w:t xml:space="preserve"> </w:t>
      </w:r>
      <w:r>
        <w:rPr>
          <w:rtl/>
        </w:rPr>
        <w:t>עבודה גדולה טרם יהנו ממנו</w:t>
      </w:r>
      <w:r>
        <w:rPr>
          <w:rFonts w:hint="cs"/>
          <w:rtl/>
        </w:rPr>
        <w:t>...</w:t>
      </w:r>
      <w:r>
        <w:rPr>
          <w:rtl/>
        </w:rPr>
        <w:t xml:space="preserve"> ונמשל</w:t>
      </w:r>
      <w:r>
        <w:rPr>
          <w:szCs w:val="22"/>
          <w:rtl/>
        </w:rPr>
        <w:t xml:space="preserve"> </w:t>
      </w:r>
      <w:r>
        <w:rPr>
          <w:rtl/>
        </w:rPr>
        <w:t>לזה</w:t>
      </w:r>
      <w:r>
        <w:rPr>
          <w:rFonts w:hint="cs"/>
          <w:rtl/>
        </w:rPr>
        <w:t xml:space="preserve"> </w:t>
      </w:r>
      <w:r>
        <w:rPr>
          <w:rtl/>
        </w:rPr>
        <w:t>עבודה</w:t>
      </w:r>
      <w:r>
        <w:rPr>
          <w:rFonts w:hint="cs"/>
          <w:rtl/>
        </w:rPr>
        <w:t xml:space="preserve"> </w:t>
      </w:r>
      <w:r>
        <w:rPr>
          <w:rtl/>
        </w:rPr>
        <w:t>שלימה ותמה עבודת הבורא</w:t>
      </w:r>
      <w:r>
        <w:rPr>
          <w:rFonts w:hint="cs"/>
          <w:rtl/>
        </w:rPr>
        <w:t xml:space="preserve">... </w:t>
      </w:r>
      <w:r>
        <w:rPr>
          <w:rtl/>
        </w:rPr>
        <w:t>כי היא קשה</w:t>
      </w:r>
      <w:r>
        <w:rPr>
          <w:szCs w:val="22"/>
          <w:rtl/>
        </w:rPr>
        <w:t xml:space="preserve"> </w:t>
      </w:r>
      <w:r>
        <w:rPr>
          <w:rtl/>
        </w:rPr>
        <w:t>בתחלה</w:t>
      </w:r>
      <w:r>
        <w:rPr>
          <w:rFonts w:hint="cs"/>
          <w:rtl/>
        </w:rPr>
        <w:t xml:space="preserve"> </w:t>
      </w:r>
      <w:r>
        <w:rPr>
          <w:rtl/>
        </w:rPr>
        <w:t>ומאירה לבסוף, והנה צריך לראות ולהזהר מאוד שאחר שהרגילו עצמם בעבודה</w:t>
      </w:r>
      <w:r>
        <w:rPr>
          <w:szCs w:val="22"/>
          <w:rtl/>
        </w:rPr>
        <w:t xml:space="preserve"> </w:t>
      </w:r>
      <w:r>
        <w:rPr>
          <w:rtl/>
        </w:rPr>
        <w:t>זאת</w:t>
      </w:r>
      <w:r>
        <w:rPr>
          <w:rFonts w:hint="cs"/>
          <w:rtl/>
        </w:rPr>
        <w:t xml:space="preserve"> </w:t>
      </w:r>
      <w:r>
        <w:rPr>
          <w:rtl/>
        </w:rPr>
        <w:t>ועבדו ותקנו לזה נפשם וגופם, שלא יהיה להם התפארות מזה, כי ע"י</w:t>
      </w:r>
      <w:r>
        <w:rPr>
          <w:szCs w:val="22"/>
          <w:rtl/>
        </w:rPr>
        <w:t xml:space="preserve"> </w:t>
      </w:r>
      <w:r>
        <w:rPr>
          <w:rtl/>
        </w:rPr>
        <w:t>התפארות</w:t>
      </w:r>
      <w:r>
        <w:rPr>
          <w:rFonts w:hint="cs"/>
          <w:rtl/>
        </w:rPr>
        <w:t xml:space="preserve"> </w:t>
      </w:r>
      <w:r>
        <w:rPr>
          <w:rtl/>
        </w:rPr>
        <w:t>יכול לאבד ח"ו חלקו וכל עבודתו אין שוה כלום, ואף שאין הקב"ה מקפח שכר</w:t>
      </w:r>
      <w:r>
        <w:rPr>
          <w:szCs w:val="22"/>
          <w:rtl/>
        </w:rPr>
        <w:t xml:space="preserve"> </w:t>
      </w:r>
      <w:r>
        <w:rPr>
          <w:rtl/>
        </w:rPr>
        <w:t>כל</w:t>
      </w:r>
      <w:r>
        <w:rPr>
          <w:rFonts w:hint="cs"/>
          <w:rtl/>
        </w:rPr>
        <w:t xml:space="preserve"> </w:t>
      </w:r>
      <w:r>
        <w:rPr>
          <w:rtl/>
        </w:rPr>
        <w:t xml:space="preserve">בריה, עכ"ז יכול להיות </w:t>
      </w:r>
      <w:r>
        <w:rPr>
          <w:rFonts w:hint="cs"/>
          <w:rtl/>
        </w:rPr>
        <w:t xml:space="preserve">[שאדם אחר] </w:t>
      </w:r>
      <w:r>
        <w:rPr>
          <w:rtl/>
        </w:rPr>
        <w:t>אשר זכה ע"י שפלותו ונמיכת רוחו יטול חלקו וחלק</w:t>
      </w:r>
      <w:r>
        <w:rPr>
          <w:szCs w:val="22"/>
          <w:rtl/>
        </w:rPr>
        <w:t xml:space="preserve"> </w:t>
      </w:r>
      <w:r>
        <w:rPr>
          <w:rtl/>
        </w:rPr>
        <w:t>של</w:t>
      </w:r>
      <w:r>
        <w:rPr>
          <w:rFonts w:hint="cs"/>
          <w:rtl/>
        </w:rPr>
        <w:t xml:space="preserve"> </w:t>
      </w:r>
      <w:r>
        <w:rPr>
          <w:rtl/>
        </w:rPr>
        <w:t>זה בעל התפארות, אף שהוא לא עבד כ"כ, יכול לבוא יותר מזה ע"י שפלות</w:t>
      </w:r>
      <w:r>
        <w:rPr>
          <w:szCs w:val="22"/>
          <w:rtl/>
        </w:rPr>
        <w:t xml:space="preserve"> </w:t>
      </w:r>
      <w:r>
        <w:rPr>
          <w:rtl/>
        </w:rPr>
        <w:t>שזה</w:t>
      </w:r>
      <w:r>
        <w:rPr>
          <w:rFonts w:hint="cs"/>
          <w:rtl/>
        </w:rPr>
        <w:t xml:space="preserve"> </w:t>
      </w:r>
      <w:r>
        <w:rPr>
          <w:rtl/>
        </w:rPr>
        <w:t>העיקר.</w:t>
      </w:r>
      <w:r>
        <w:rPr>
          <w:rFonts w:hint="cs"/>
          <w:rtl/>
        </w:rPr>
        <w:t xml:space="preserve"> </w:t>
      </w:r>
      <w:r>
        <w:rPr>
          <w:rtl/>
        </w:rPr>
        <w:t>ובזה יתפרש</w:t>
      </w:r>
      <w:r>
        <w:rPr>
          <w:szCs w:val="22"/>
          <w:rtl/>
        </w:rPr>
        <w:t xml:space="preserve"> </w:t>
      </w:r>
      <w:r>
        <w:rPr>
          <w:rtl/>
        </w:rPr>
        <w:t>פסוק זה, כי תחבוט זיתך וגופך ותתקנם בעבודה ושתוכל לדבר לפני</w:t>
      </w:r>
      <w:r>
        <w:rPr>
          <w:szCs w:val="22"/>
          <w:rtl/>
        </w:rPr>
        <w:br/>
      </w:r>
      <w:r>
        <w:rPr>
          <w:rtl/>
        </w:rPr>
        <w:t>בוראך, אזי תראה</w:t>
      </w:r>
      <w:r>
        <w:rPr>
          <w:szCs w:val="22"/>
          <w:rtl/>
        </w:rPr>
        <w:t xml:space="preserve"> </w:t>
      </w:r>
      <w:r>
        <w:rPr>
          <w:rtl/>
        </w:rPr>
        <w:t>שלא תפאר אחריך, ר"ל שלא יהיה לך התפארות ח"ו מזה, כי</w:t>
      </w:r>
      <w:r>
        <w:rPr>
          <w:rFonts w:hint="cs"/>
          <w:rtl/>
        </w:rPr>
        <w:t xml:space="preserve"> </w:t>
      </w:r>
      <w:r>
        <w:rPr>
          <w:rtl/>
        </w:rPr>
        <w:t>כשיהיה לך התפארות מזאת</w:t>
      </w:r>
      <w:r>
        <w:rPr>
          <w:szCs w:val="22"/>
          <w:rtl/>
        </w:rPr>
        <w:t xml:space="preserve"> </w:t>
      </w:r>
      <w:r>
        <w:rPr>
          <w:rtl/>
        </w:rPr>
        <w:t>לגר ליתום ולאלמנה יהיה, ורמז על נמוכי הרוח שהם</w:t>
      </w:r>
      <w:r>
        <w:rPr>
          <w:rFonts w:hint="cs"/>
          <w:rtl/>
        </w:rPr>
        <w:t xml:space="preserve"> </w:t>
      </w:r>
      <w:r>
        <w:rPr>
          <w:rtl/>
        </w:rPr>
        <w:t>יטלו חלקך</w:t>
      </w:r>
      <w:r>
        <w:rPr>
          <w:rFonts w:hint="cs"/>
          <w:rtl/>
        </w:rPr>
        <w:t xml:space="preserve">. </w:t>
      </w:r>
      <w:r>
        <w:rPr>
          <w:rtl/>
        </w:rPr>
        <w:t>עוד ירמז לבל יחשוב האדם</w:t>
      </w:r>
      <w:r>
        <w:rPr>
          <w:rFonts w:hint="cs"/>
          <w:rtl/>
        </w:rPr>
        <w:t xml:space="preserve">... </w:t>
      </w:r>
      <w:r>
        <w:rPr>
          <w:rtl/>
        </w:rPr>
        <w:t>שאחר מותו יאמרו דבר זה</w:t>
      </w:r>
      <w:r>
        <w:rPr>
          <w:rFonts w:hint="cs"/>
          <w:rtl/>
        </w:rPr>
        <w:t xml:space="preserve"> </w:t>
      </w:r>
      <w:r>
        <w:rPr>
          <w:rtl/>
        </w:rPr>
        <w:t>משמו ויהיו שפתותיו דובבות בקבר, וזהו לא תפאר אחריך שלא</w:t>
      </w:r>
      <w:r>
        <w:rPr>
          <w:szCs w:val="22"/>
          <w:rtl/>
        </w:rPr>
        <w:t xml:space="preserve"> </w:t>
      </w:r>
      <w:r>
        <w:rPr>
          <w:rtl/>
        </w:rPr>
        <w:t>תחשוב שיהיה</w:t>
      </w:r>
      <w:r>
        <w:rPr>
          <w:rFonts w:hint="cs"/>
          <w:rtl/>
        </w:rPr>
        <w:t xml:space="preserve"> </w:t>
      </w:r>
      <w:r>
        <w:rPr>
          <w:rtl/>
        </w:rPr>
        <w:t>התפארות אחריך היינו אחר מותך רק יעשה לשמה</w:t>
      </w:r>
      <w:r>
        <w:rPr>
          <w:rFonts w:hint="cs"/>
          <w:rtl/>
        </w:rPr>
        <w:t>"</w:t>
      </w:r>
      <w:r>
        <w:rPr>
          <w:rtl/>
        </w:rPr>
        <w:t>.</w:t>
      </w:r>
    </w:p>
  </w:footnote>
  <w:footnote w:id="309">
    <w:p w14:paraId="5D38C7EA" w14:textId="77777777" w:rsidR="000015C4" w:rsidRDefault="000015C4" w:rsidP="000015C4">
      <w:pPr>
        <w:pStyle w:val="a5"/>
        <w:rPr>
          <w:rFonts w:hint="cs"/>
          <w:rtl/>
        </w:rPr>
      </w:pPr>
      <w:r>
        <w:rPr>
          <w:rStyle w:val="a4"/>
        </w:rPr>
        <w:footnoteRef/>
      </w:r>
      <w:r>
        <w:rPr>
          <w:rFonts w:hint="cs"/>
          <w:rtl/>
        </w:rPr>
        <w:t xml:space="preserve"> מאת </w:t>
      </w:r>
      <w:r>
        <w:rPr>
          <w:rtl/>
        </w:rPr>
        <w:t xml:space="preserve">רבי אברהם בן יעקב סבע </w:t>
      </w:r>
      <w:r>
        <w:rPr>
          <w:rFonts w:hint="cs"/>
          <w:rtl/>
        </w:rPr>
        <w:t>(</w:t>
      </w:r>
      <w:r>
        <w:rPr>
          <w:rFonts w:hint="cs"/>
          <w:sz w:val="18"/>
          <w:szCs w:val="20"/>
          <w:rtl/>
        </w:rPr>
        <w:t xml:space="preserve">נפטר בשנת </w:t>
      </w:r>
      <w:r>
        <w:rPr>
          <w:sz w:val="18"/>
          <w:szCs w:val="20"/>
          <w:rtl/>
        </w:rPr>
        <w:t>ה'רס"ט</w:t>
      </w:r>
      <w:r>
        <w:rPr>
          <w:rFonts w:hint="cs"/>
          <w:sz w:val="18"/>
          <w:szCs w:val="20"/>
          <w:rtl/>
        </w:rPr>
        <w:t xml:space="preserve">; </w:t>
      </w:r>
      <w:r>
        <w:rPr>
          <w:sz w:val="18"/>
          <w:szCs w:val="20"/>
          <w:rtl/>
        </w:rPr>
        <w:t>1508</w:t>
      </w:r>
      <w:r>
        <w:rPr>
          <w:rFonts w:hint="cs"/>
          <w:sz w:val="18"/>
          <w:szCs w:val="20"/>
          <w:rtl/>
        </w:rPr>
        <w:t xml:space="preserve"> למניינם</w:t>
      </w:r>
      <w:r>
        <w:rPr>
          <w:rFonts w:hint="cs"/>
          <w:rtl/>
        </w:rPr>
        <w:t>): "</w:t>
      </w:r>
      <w:r>
        <w:rPr>
          <w:rtl/>
        </w:rPr>
        <w:t>כלומר לא תפאר</w:t>
      </w:r>
      <w:r>
        <w:rPr>
          <w:szCs w:val="22"/>
          <w:rtl/>
        </w:rPr>
        <w:t xml:space="preserve"> </w:t>
      </w:r>
      <w:r>
        <w:rPr>
          <w:rtl/>
        </w:rPr>
        <w:t>הבאים</w:t>
      </w:r>
      <w:r>
        <w:rPr>
          <w:rFonts w:hint="cs"/>
          <w:rtl/>
        </w:rPr>
        <w:t xml:space="preserve"> </w:t>
      </w:r>
      <w:r>
        <w:rPr>
          <w:rtl/>
        </w:rPr>
        <w:t>אחריך בחשבך שיותר ראוי שישאר זה לבניך מלתתו לעניים</w:t>
      </w:r>
      <w:r>
        <w:rPr>
          <w:rFonts w:hint="cs"/>
          <w:rtl/>
        </w:rPr>
        <w:t>,</w:t>
      </w:r>
      <w:r>
        <w:rPr>
          <w:rtl/>
        </w:rPr>
        <w:t xml:space="preserve"> אלא</w:t>
      </w:r>
      <w:r>
        <w:rPr>
          <w:rFonts w:hint="cs"/>
          <w:rtl/>
        </w:rPr>
        <w:t>:</w:t>
      </w:r>
      <w:r>
        <w:rPr>
          <w:rtl/>
        </w:rPr>
        <w:t xml:space="preserve"> לגר</w:t>
      </w:r>
      <w:r>
        <w:rPr>
          <w:szCs w:val="22"/>
          <w:rtl/>
        </w:rPr>
        <w:t xml:space="preserve"> </w:t>
      </w:r>
      <w:r>
        <w:rPr>
          <w:rtl/>
        </w:rPr>
        <w:t>ליתום</w:t>
      </w:r>
      <w:r>
        <w:rPr>
          <w:rFonts w:hint="cs"/>
          <w:rtl/>
        </w:rPr>
        <w:t xml:space="preserve"> </w:t>
      </w:r>
      <w:r>
        <w:rPr>
          <w:rtl/>
        </w:rPr>
        <w:t>ולאלמנה יהיה</w:t>
      </w:r>
      <w:r>
        <w:rPr>
          <w:rFonts w:hint="cs"/>
          <w:rtl/>
        </w:rPr>
        <w:t xml:space="preserve">" (פרשת </w:t>
      </w:r>
      <w:r>
        <w:rPr>
          <w:rtl/>
        </w:rPr>
        <w:t xml:space="preserve">כי תצא </w:t>
      </w:r>
      <w:r>
        <w:rPr>
          <w:sz w:val="18"/>
          <w:szCs w:val="20"/>
          <w:rtl/>
        </w:rPr>
        <w:t>ד"ה ואמר לא</w:t>
      </w:r>
      <w:r>
        <w:rPr>
          <w:rFonts w:hint="cs"/>
          <w:rtl/>
        </w:rPr>
        <w:t xml:space="preserve">). </w:t>
      </w:r>
    </w:p>
  </w:footnote>
  <w:footnote w:id="310">
    <w:p w14:paraId="665A42BC" w14:textId="77777777" w:rsidR="000015C4" w:rsidRDefault="000015C4" w:rsidP="000015C4">
      <w:pPr>
        <w:pStyle w:val="a5"/>
        <w:rPr>
          <w:rFonts w:hint="cs"/>
          <w:rtl/>
        </w:rPr>
      </w:pPr>
      <w:r>
        <w:rPr>
          <w:rStyle w:val="a4"/>
        </w:rPr>
        <w:footnoteRef/>
      </w:r>
      <w:r>
        <w:rPr>
          <w:rFonts w:ascii="Arial" w:hAnsi="Arial" w:hint="cs"/>
          <w:rtl/>
        </w:rPr>
        <w:t xml:space="preserve"> מאת </w:t>
      </w:r>
      <w:r>
        <w:rPr>
          <w:rFonts w:ascii="Arial" w:hAnsi="Arial"/>
          <w:rtl/>
        </w:rPr>
        <w:t>רבי שלמה אפרים מלונטשיץ</w:t>
      </w:r>
      <w:r>
        <w:rPr>
          <w:rFonts w:ascii="Arial" w:hAnsi="Arial" w:hint="cs"/>
          <w:rtl/>
        </w:rPr>
        <w:t xml:space="preserve"> (</w:t>
      </w:r>
      <w:r>
        <w:rPr>
          <w:rFonts w:ascii="Arial" w:hAnsi="Arial" w:hint="cs"/>
          <w:sz w:val="18"/>
          <w:szCs w:val="20"/>
          <w:rtl/>
        </w:rPr>
        <w:t xml:space="preserve">נפטר בשנת </w:t>
      </w:r>
      <w:r>
        <w:rPr>
          <w:rFonts w:ascii="Arial" w:hAnsi="Arial"/>
          <w:sz w:val="18"/>
          <w:szCs w:val="20"/>
          <w:rtl/>
        </w:rPr>
        <w:t>ה'שע"ט</w:t>
      </w:r>
      <w:r>
        <w:rPr>
          <w:rFonts w:ascii="Arial" w:hAnsi="Arial" w:hint="cs"/>
          <w:sz w:val="18"/>
          <w:szCs w:val="20"/>
          <w:rtl/>
        </w:rPr>
        <w:t xml:space="preserve">; </w:t>
      </w:r>
      <w:r>
        <w:rPr>
          <w:rFonts w:ascii="Arial" w:hAnsi="Arial"/>
          <w:sz w:val="20"/>
          <w:szCs w:val="20"/>
        </w:rPr>
        <w:t>1619</w:t>
      </w:r>
      <w:r>
        <w:rPr>
          <w:rFonts w:ascii="Arial" w:hAnsi="Arial" w:hint="cs"/>
          <w:sz w:val="18"/>
          <w:szCs w:val="20"/>
          <w:rtl/>
        </w:rPr>
        <w:t xml:space="preserve"> למניינם</w:t>
      </w:r>
      <w:r>
        <w:rPr>
          <w:rFonts w:ascii="Arial" w:hAnsi="Arial" w:hint="cs"/>
          <w:rtl/>
        </w:rPr>
        <w:t xml:space="preserve">): </w:t>
      </w:r>
      <w:r>
        <w:rPr>
          <w:rFonts w:hint="cs"/>
          <w:rtl/>
        </w:rPr>
        <w:t>"</w:t>
      </w:r>
      <w:r>
        <w:rPr>
          <w:rtl/>
        </w:rPr>
        <w:t>וכפי הרמז הוא מזהירו על גזל</w:t>
      </w:r>
      <w:r>
        <w:rPr>
          <w:szCs w:val="22"/>
          <w:rtl/>
        </w:rPr>
        <w:t xml:space="preserve"> </w:t>
      </w:r>
      <w:r>
        <w:rPr>
          <w:rtl/>
        </w:rPr>
        <w:t>עניים שלא יעזוב חילו ליורשיו</w:t>
      </w:r>
      <w:r>
        <w:rPr>
          <w:rFonts w:hint="cs"/>
          <w:rtl/>
        </w:rPr>
        <w:t xml:space="preserve"> </w:t>
      </w:r>
      <w:r>
        <w:rPr>
          <w:rtl/>
        </w:rPr>
        <w:t>אחריו</w:t>
      </w:r>
      <w:r>
        <w:rPr>
          <w:rFonts w:hint="cs"/>
          <w:rtl/>
        </w:rPr>
        <w:t xml:space="preserve">... </w:t>
      </w:r>
      <w:r>
        <w:rPr>
          <w:rtl/>
        </w:rPr>
        <w:t>לא תבקש לפאר</w:t>
      </w:r>
      <w:r>
        <w:rPr>
          <w:szCs w:val="22"/>
          <w:rtl/>
        </w:rPr>
        <w:t xml:space="preserve"> </w:t>
      </w:r>
      <w:r>
        <w:rPr>
          <w:rtl/>
        </w:rPr>
        <w:t>מה</w:t>
      </w:r>
      <w:r>
        <w:rPr>
          <w:rFonts w:hint="cs"/>
          <w:rtl/>
        </w:rPr>
        <w:t xml:space="preserve"> </w:t>
      </w:r>
      <w:r>
        <w:rPr>
          <w:rtl/>
        </w:rPr>
        <w:t>שיהיה אחריך</w:t>
      </w:r>
      <w:r>
        <w:rPr>
          <w:rFonts w:hint="cs"/>
          <w:rtl/>
        </w:rPr>
        <w:t xml:space="preserve"> </w:t>
      </w:r>
      <w:r>
        <w:rPr>
          <w:rtl/>
        </w:rPr>
        <w:t>כי מי יגיד לאדם מה שיהיה אחריו</w:t>
      </w:r>
      <w:r>
        <w:rPr>
          <w:rFonts w:hint="cs"/>
          <w:rtl/>
        </w:rPr>
        <w:t xml:space="preserve">... </w:t>
      </w:r>
      <w:r>
        <w:rPr>
          <w:rtl/>
        </w:rPr>
        <w:t>על כן לא יבקש וידרוש במה שיהיה אחריו, כדרך שעושין</w:t>
      </w:r>
      <w:r>
        <w:rPr>
          <w:szCs w:val="22"/>
          <w:rtl/>
        </w:rPr>
        <w:t xml:space="preserve"> </w:t>
      </w:r>
      <w:r>
        <w:rPr>
          <w:rtl/>
        </w:rPr>
        <w:t>רוב</w:t>
      </w:r>
      <w:r>
        <w:rPr>
          <w:rFonts w:hint="cs"/>
          <w:rtl/>
        </w:rPr>
        <w:t xml:space="preserve"> </w:t>
      </w:r>
      <w:r>
        <w:rPr>
          <w:rtl/>
        </w:rPr>
        <w:t>עשירי דורינו עושים עושר ולא במשפט והם אבירי לבב הרחוקים מצדקה,</w:t>
      </w:r>
      <w:r>
        <w:rPr>
          <w:szCs w:val="22"/>
          <w:rtl/>
        </w:rPr>
        <w:t xml:space="preserve"> </w:t>
      </w:r>
      <w:r>
        <w:rPr>
          <w:rtl/>
        </w:rPr>
        <w:t>וטוענים</w:t>
      </w:r>
      <w:r>
        <w:rPr>
          <w:rFonts w:hint="cs"/>
          <w:rtl/>
        </w:rPr>
        <w:t xml:space="preserve"> </w:t>
      </w:r>
      <w:r>
        <w:rPr>
          <w:rtl/>
        </w:rPr>
        <w:t>שהם עושים כן בעבור בניהם</w:t>
      </w:r>
      <w:r>
        <w:rPr>
          <w:rFonts w:hint="cs"/>
          <w:rtl/>
        </w:rPr>
        <w:t>,</w:t>
      </w:r>
      <w:r>
        <w:rPr>
          <w:rtl/>
        </w:rPr>
        <w:t xml:space="preserve"> והמה מאומה לא ישאו בעמלם לעולם הנצחי</w:t>
      </w:r>
      <w:r>
        <w:rPr>
          <w:rFonts w:hint="cs"/>
          <w:rtl/>
        </w:rPr>
        <w:t xml:space="preserve">, </w:t>
      </w:r>
      <w:r>
        <w:rPr>
          <w:rtl/>
        </w:rPr>
        <w:t>אוי</w:t>
      </w:r>
      <w:r>
        <w:rPr>
          <w:rFonts w:hint="cs"/>
          <w:rtl/>
        </w:rPr>
        <w:t xml:space="preserve"> </w:t>
      </w:r>
      <w:r>
        <w:rPr>
          <w:rtl/>
        </w:rPr>
        <w:t>לאותה כלימה ובושה</w:t>
      </w:r>
      <w:r>
        <w:rPr>
          <w:rFonts w:hint="cs"/>
          <w:rtl/>
        </w:rPr>
        <w:t xml:space="preserve">" (פרשת </w:t>
      </w:r>
      <w:r>
        <w:rPr>
          <w:rtl/>
        </w:rPr>
        <w:t>כי תצא</w:t>
      </w:r>
      <w:r>
        <w:rPr>
          <w:rFonts w:hint="cs"/>
          <w:rtl/>
        </w:rPr>
        <w:t xml:space="preserve"> </w:t>
      </w:r>
      <w:r>
        <w:rPr>
          <w:rFonts w:hint="cs"/>
          <w:sz w:val="18"/>
          <w:szCs w:val="20"/>
          <w:rtl/>
        </w:rPr>
        <w:t>על אתר</w:t>
      </w:r>
      <w:r>
        <w:rPr>
          <w:rFonts w:hint="cs"/>
          <w:rtl/>
        </w:rPr>
        <w:t>). נראה שברקע דבריו עומד הכתוב ב</w:t>
      </w:r>
      <w:r>
        <w:rPr>
          <w:rtl/>
        </w:rPr>
        <w:t xml:space="preserve">תהלים </w:t>
      </w:r>
      <w:r>
        <w:rPr>
          <w:rFonts w:hint="cs"/>
          <w:rtl/>
        </w:rPr>
        <w:t>(</w:t>
      </w:r>
      <w:r>
        <w:rPr>
          <w:sz w:val="18"/>
          <w:szCs w:val="20"/>
          <w:rtl/>
        </w:rPr>
        <w:t>מט</w:t>
      </w:r>
      <w:r>
        <w:rPr>
          <w:rFonts w:hint="cs"/>
          <w:sz w:val="18"/>
          <w:szCs w:val="20"/>
          <w:rtl/>
        </w:rPr>
        <w:t xml:space="preserve">, </w:t>
      </w:r>
      <w:r>
        <w:rPr>
          <w:sz w:val="18"/>
          <w:szCs w:val="20"/>
          <w:rtl/>
        </w:rPr>
        <w:t>יז</w:t>
      </w:r>
      <w:r>
        <w:rPr>
          <w:rFonts w:hint="cs"/>
          <w:sz w:val="18"/>
          <w:szCs w:val="20"/>
          <w:rtl/>
        </w:rPr>
        <w:t>-יח</w:t>
      </w:r>
      <w:r>
        <w:rPr>
          <w:rtl/>
        </w:rPr>
        <w:t>)</w:t>
      </w:r>
      <w:r>
        <w:rPr>
          <w:rFonts w:hint="cs"/>
          <w:rtl/>
        </w:rPr>
        <w:t>: "</w:t>
      </w:r>
      <w:r>
        <w:rPr>
          <w:rtl/>
        </w:rPr>
        <w:t>אַל תִּירָא כִּי יַעֲשִׁר אִישׁ כִּי יִרְבֶּה כְּבוֹד בֵּיתוֹ</w:t>
      </w:r>
      <w:r>
        <w:rPr>
          <w:rFonts w:hint="cs"/>
          <w:rtl/>
        </w:rPr>
        <w:t xml:space="preserve">, </w:t>
      </w:r>
      <w:r>
        <w:rPr>
          <w:rtl/>
        </w:rPr>
        <w:t xml:space="preserve">כִּי לֹא בְמוֹתוֹ יִקַּח הַכֹּל לֹא יֵרֵד </w:t>
      </w:r>
      <w:r>
        <w:rPr>
          <w:b/>
          <w:bCs/>
          <w:rtl/>
        </w:rPr>
        <w:t>אַחֲרָיו</w:t>
      </w:r>
      <w:r>
        <w:rPr>
          <w:rtl/>
        </w:rPr>
        <w:t xml:space="preserve"> כְּבוֹדוֹ</w:t>
      </w:r>
      <w:r>
        <w:rPr>
          <w:rFonts w:hint="cs"/>
          <w:rtl/>
        </w:rPr>
        <w:t>".</w:t>
      </w:r>
    </w:p>
  </w:footnote>
  <w:footnote w:id="311">
    <w:p w14:paraId="2FBF0143" w14:textId="77777777" w:rsidR="000015C4" w:rsidRDefault="000015C4" w:rsidP="000015C4">
      <w:pPr>
        <w:pStyle w:val="a5"/>
        <w:rPr>
          <w:rFonts w:hint="cs"/>
          <w:rtl/>
        </w:rPr>
      </w:pPr>
      <w:r>
        <w:rPr>
          <w:rStyle w:val="a4"/>
          <w:rtl/>
        </w:rPr>
        <w:footnoteRef/>
      </w:r>
      <w:r>
        <w:rPr>
          <w:szCs w:val="22"/>
        </w:rPr>
        <w:t xml:space="preserve"> </w:t>
      </w:r>
      <w:r>
        <w:rPr>
          <w:rFonts w:hint="cs"/>
          <w:rtl/>
        </w:rPr>
        <w:t>דרשות אלו רחוקות מפשוטו של מקרא, וכנראה לא היו באות לעולם אלמלא העובדה שהתורה בחרה בביטוי מיוחד במקום ניסוח חד משמעי ופשוט. "כי כאן היה ראוי לכתוב לשון מבואר, ובפרט כי 'ענף' הוא לשון רגיל במקרא, לכן נדרש..." (</w:t>
      </w:r>
      <w:r>
        <w:rPr>
          <w:rFonts w:hint="cs"/>
          <w:sz w:val="26"/>
          <w:rtl/>
        </w:rPr>
        <w:t>משך חכמה</w:t>
      </w:r>
      <w:r>
        <w:rPr>
          <w:rFonts w:hint="cs"/>
          <w:sz w:val="18"/>
          <w:szCs w:val="20"/>
          <w:rtl/>
        </w:rPr>
        <w:t xml:space="preserve"> בעקבות המלבי"ם, איילת השחר רי"ב</w:t>
      </w:r>
      <w:r>
        <w:rPr>
          <w:rFonts w:hint="cs"/>
          <w:rtl/>
        </w:rPr>
        <w:t>).</w:t>
      </w:r>
    </w:p>
  </w:footnote>
  <w:footnote w:id="312">
    <w:p w14:paraId="4DA02E72" w14:textId="77777777" w:rsidR="000015C4" w:rsidRDefault="000015C4" w:rsidP="000015C4">
      <w:pPr>
        <w:pStyle w:val="a5"/>
        <w:rPr>
          <w:rFonts w:hint="cs"/>
          <w:rtl/>
        </w:rPr>
      </w:pPr>
      <w:r>
        <w:rPr>
          <w:rStyle w:val="a4"/>
          <w:rtl/>
        </w:rPr>
        <w:footnoteRef/>
      </w:r>
      <w:r>
        <w:rPr>
          <w:szCs w:val="22"/>
        </w:rPr>
        <w:t xml:space="preserve"> </w:t>
      </w:r>
      <w:r>
        <w:rPr>
          <w:rFonts w:hint="cs"/>
          <w:rtl/>
        </w:rPr>
        <w:t xml:space="preserve">כנראה שהוא הגדיר דרשה זו כ"אגדה המיישבת </w:t>
      </w:r>
      <w:r>
        <w:rPr>
          <w:rtl/>
        </w:rPr>
        <w:t>דברי המקרא דבר דבור על אופ</w:t>
      </w:r>
      <w:r>
        <w:rPr>
          <w:rFonts w:hint="cs"/>
          <w:rtl/>
        </w:rPr>
        <w:t>ְ</w:t>
      </w:r>
      <w:r>
        <w:rPr>
          <w:rtl/>
        </w:rPr>
        <w:t>ניו</w:t>
      </w:r>
      <w:r>
        <w:rPr>
          <w:rFonts w:hint="cs"/>
          <w:rtl/>
        </w:rPr>
        <w:t>" (</w:t>
      </w:r>
      <w:r>
        <w:rPr>
          <w:rFonts w:hint="cs"/>
          <w:sz w:val="18"/>
          <w:szCs w:val="20"/>
          <w:rtl/>
        </w:rPr>
        <w:t>ע"פ דבריו ב</w:t>
      </w:r>
      <w:r>
        <w:rPr>
          <w:sz w:val="18"/>
          <w:szCs w:val="20"/>
          <w:rtl/>
        </w:rPr>
        <w:t>בראשית ג</w:t>
      </w:r>
      <w:r>
        <w:rPr>
          <w:rFonts w:hint="cs"/>
          <w:sz w:val="18"/>
          <w:szCs w:val="20"/>
          <w:rtl/>
        </w:rPr>
        <w:t xml:space="preserve">, </w:t>
      </w:r>
      <w:r>
        <w:rPr>
          <w:sz w:val="18"/>
          <w:szCs w:val="20"/>
          <w:rtl/>
        </w:rPr>
        <w:t xml:space="preserve">ח </w:t>
      </w:r>
      <w:r>
        <w:rPr>
          <w:rFonts w:hint="cs"/>
          <w:sz w:val="18"/>
          <w:szCs w:val="20"/>
          <w:rtl/>
        </w:rPr>
        <w:t xml:space="preserve">ע"פ </w:t>
      </w:r>
      <w:r>
        <w:rPr>
          <w:sz w:val="18"/>
          <w:szCs w:val="20"/>
          <w:rtl/>
        </w:rPr>
        <w:t>משלי כה</w:t>
      </w:r>
      <w:r>
        <w:rPr>
          <w:rFonts w:hint="cs"/>
          <w:sz w:val="18"/>
          <w:szCs w:val="20"/>
          <w:rtl/>
        </w:rPr>
        <w:t xml:space="preserve">, </w:t>
      </w:r>
      <w:r>
        <w:rPr>
          <w:sz w:val="18"/>
          <w:szCs w:val="20"/>
          <w:rtl/>
        </w:rPr>
        <w:t>יא</w:t>
      </w:r>
      <w:r>
        <w:rPr>
          <w:rFonts w:hint="cs"/>
          <w:rtl/>
        </w:rPr>
        <w:t>).</w:t>
      </w:r>
    </w:p>
    <w:p w14:paraId="1522B3B8" w14:textId="77777777" w:rsidR="000015C4" w:rsidRDefault="000015C4" w:rsidP="000015C4">
      <w:pPr>
        <w:pStyle w:val="a5"/>
        <w:rPr>
          <w:rFonts w:hint="cs"/>
          <w:rtl/>
        </w:rPr>
      </w:pPr>
      <w:r>
        <w:rPr>
          <w:rtl/>
        </w:rPr>
        <w:t xml:space="preserve"> ובשאר מדרשות ואני לא באתי אלא לפשוטו של מקרא ולאגדה  המישבת  </w:t>
      </w:r>
    </w:p>
  </w:footnote>
  <w:footnote w:id="313">
    <w:p w14:paraId="6F554753" w14:textId="77777777" w:rsidR="000015C4" w:rsidRDefault="000015C4" w:rsidP="000015C4">
      <w:pPr>
        <w:pStyle w:val="a5"/>
        <w:rPr>
          <w:rFonts w:hint="cs"/>
          <w:rtl/>
        </w:rPr>
      </w:pPr>
      <w:r>
        <w:rPr>
          <w:rStyle w:val="a4"/>
        </w:rPr>
        <w:footnoteRef/>
      </w:r>
      <w:r>
        <w:rPr>
          <w:rFonts w:hint="cs"/>
          <w:rtl/>
        </w:rPr>
        <w:t xml:space="preserve"> ולא בגידולי שדה בלבד, שבהם כתבה התורה במפורש פעמיים בחומש ויקרא (</w:t>
      </w:r>
      <w:r>
        <w:rPr>
          <w:sz w:val="18"/>
          <w:szCs w:val="20"/>
          <w:rtl/>
        </w:rPr>
        <w:t>יט</w:t>
      </w:r>
      <w:r>
        <w:rPr>
          <w:rFonts w:hint="cs"/>
          <w:sz w:val="18"/>
          <w:szCs w:val="20"/>
          <w:rtl/>
        </w:rPr>
        <w:t xml:space="preserve">, </w:t>
      </w:r>
      <w:r>
        <w:rPr>
          <w:sz w:val="18"/>
          <w:szCs w:val="20"/>
          <w:rtl/>
        </w:rPr>
        <w:t>ט</w:t>
      </w:r>
      <w:r>
        <w:rPr>
          <w:rFonts w:hint="cs"/>
          <w:sz w:val="18"/>
          <w:szCs w:val="20"/>
          <w:rtl/>
        </w:rPr>
        <w:t xml:space="preserve">; </w:t>
      </w:r>
      <w:r>
        <w:rPr>
          <w:sz w:val="18"/>
          <w:szCs w:val="20"/>
          <w:rtl/>
        </w:rPr>
        <w:t>כג</w:t>
      </w:r>
      <w:r>
        <w:rPr>
          <w:rFonts w:hint="cs"/>
          <w:sz w:val="18"/>
          <w:szCs w:val="20"/>
          <w:rtl/>
        </w:rPr>
        <w:t xml:space="preserve">, </w:t>
      </w:r>
      <w:r>
        <w:rPr>
          <w:sz w:val="18"/>
          <w:szCs w:val="20"/>
          <w:rtl/>
        </w:rPr>
        <w:t>כב</w:t>
      </w:r>
      <w:r>
        <w:rPr>
          <w:rFonts w:hint="cs"/>
          <w:rtl/>
        </w:rPr>
        <w:t>): "</w:t>
      </w:r>
      <w:r>
        <w:rPr>
          <w:rtl/>
        </w:rPr>
        <w:t xml:space="preserve">וּבְקֻצְרְכֶם אֶת קְצִיר אַרְצְכֶם לֹא תְכַלֶּה פְּאַת שָׂדְךָ לִקְצֹר </w:t>
      </w:r>
      <w:r>
        <w:rPr>
          <w:rFonts w:hint="cs"/>
          <w:rtl/>
        </w:rPr>
        <w:t xml:space="preserve">/ </w:t>
      </w:r>
      <w:r>
        <w:rPr>
          <w:rtl/>
        </w:rPr>
        <w:t>בְּקֻצְרֶךָ</w:t>
      </w:r>
      <w:r>
        <w:rPr>
          <w:rFonts w:hint="cs"/>
          <w:rtl/>
        </w:rPr>
        <w:t>".</w:t>
      </w:r>
    </w:p>
  </w:footnote>
  <w:footnote w:id="314">
    <w:p w14:paraId="359E1ECF" w14:textId="77777777" w:rsidR="000015C4" w:rsidRDefault="000015C4" w:rsidP="000015C4">
      <w:pPr>
        <w:pStyle w:val="a5"/>
        <w:rPr>
          <w:rFonts w:hint="cs"/>
          <w:rtl/>
        </w:rPr>
      </w:pPr>
      <w:r>
        <w:rPr>
          <w:rStyle w:val="a4"/>
          <w:rtl/>
        </w:rPr>
        <w:footnoteRef/>
      </w:r>
      <w:r>
        <w:rPr>
          <w:szCs w:val="22"/>
        </w:rPr>
        <w:t xml:space="preserve"> </w:t>
      </w:r>
      <w:r>
        <w:rPr>
          <w:rFonts w:hint="cs"/>
          <w:rtl/>
        </w:rPr>
        <w:t>נוסף ע"פ כתבי יד.</w:t>
      </w:r>
    </w:p>
  </w:footnote>
  <w:footnote w:id="315">
    <w:p w14:paraId="0E10B528" w14:textId="77777777" w:rsidR="000015C4" w:rsidRDefault="000015C4" w:rsidP="000015C4">
      <w:pPr>
        <w:pStyle w:val="a5"/>
        <w:rPr>
          <w:rFonts w:hint="cs"/>
          <w:rtl/>
        </w:rPr>
      </w:pPr>
      <w:r>
        <w:rPr>
          <w:rStyle w:val="a4"/>
          <w:rtl/>
        </w:rPr>
        <w:footnoteRef/>
      </w:r>
      <w:r>
        <w:rPr>
          <w:szCs w:val="22"/>
        </w:rPr>
        <w:t xml:space="preserve"> </w:t>
      </w:r>
      <w:r>
        <w:rPr>
          <w:rFonts w:hint="cs"/>
          <w:rtl/>
        </w:rPr>
        <w:t>לעז זה (שאינו קיים בלעז!) חסר בחלק מכתבי היד (</w:t>
      </w:r>
      <w:r>
        <w:rPr>
          <w:rFonts w:hint="cs"/>
          <w:sz w:val="18"/>
          <w:szCs w:val="20"/>
          <w:rtl/>
        </w:rPr>
        <w:t>ע"פ אוצר לעזי רש"י</w:t>
      </w:r>
      <w:r>
        <w:rPr>
          <w:rFonts w:hint="cs"/>
          <w:rtl/>
        </w:rPr>
        <w:t xml:space="preserve">). </w:t>
      </w:r>
    </w:p>
  </w:footnote>
  <w:footnote w:id="316">
    <w:p w14:paraId="32027DB9" w14:textId="77777777" w:rsidR="000015C4" w:rsidRDefault="000015C4" w:rsidP="000015C4">
      <w:pPr>
        <w:pStyle w:val="a5"/>
        <w:rPr>
          <w:rtl/>
        </w:rPr>
      </w:pPr>
      <w:r>
        <w:rPr>
          <w:rStyle w:val="a4"/>
          <w:rtl/>
        </w:rPr>
        <w:footnoteRef/>
      </w:r>
      <w:r>
        <w:rPr>
          <w:szCs w:val="22"/>
        </w:rPr>
        <w:t xml:space="preserve"> </w:t>
      </w:r>
      <w:r>
        <w:rPr>
          <w:rFonts w:hint="cs"/>
          <w:rtl/>
        </w:rPr>
        <w:t>תופעה זו מדגים רש"י בעזרת הפעלים "</w:t>
      </w:r>
      <w:r>
        <w:rPr>
          <w:rtl/>
        </w:rPr>
        <w:t>תְשָׁרֵשׁ</w:t>
      </w:r>
      <w:r>
        <w:rPr>
          <w:rFonts w:hint="cs"/>
          <w:rtl/>
        </w:rPr>
        <w:t>" (</w:t>
      </w:r>
      <w:r>
        <w:rPr>
          <w:rFonts w:hint="cs"/>
          <w:sz w:val="18"/>
          <w:szCs w:val="20"/>
          <w:rtl/>
        </w:rPr>
        <w:t>בבנין פִעֵל</w:t>
      </w:r>
      <w:r>
        <w:rPr>
          <w:rFonts w:hint="cs"/>
          <w:rtl/>
        </w:rPr>
        <w:t xml:space="preserve">) שמשמעו </w:t>
      </w:r>
      <w:r>
        <w:rPr>
          <w:rtl/>
        </w:rPr>
        <w:t>עקיר</w:t>
      </w:r>
      <w:r>
        <w:rPr>
          <w:rFonts w:hint="cs"/>
          <w:rtl/>
        </w:rPr>
        <w:t>ת השורש (</w:t>
      </w:r>
      <w:r>
        <w:rPr>
          <w:rFonts w:hint="cs"/>
          <w:sz w:val="18"/>
          <w:szCs w:val="20"/>
          <w:rtl/>
        </w:rPr>
        <w:t>הפך ה"מַשְרִיש" בבניין הִפעיל</w:t>
      </w:r>
      <w:r>
        <w:rPr>
          <w:rFonts w:hint="cs"/>
          <w:rtl/>
        </w:rPr>
        <w:t>),</w:t>
      </w:r>
      <w:r>
        <w:rPr>
          <w:rtl/>
        </w:rPr>
        <w:t xml:space="preserve"> ו</w:t>
      </w:r>
      <w:r>
        <w:rPr>
          <w:rFonts w:hint="cs"/>
          <w:rtl/>
        </w:rPr>
        <w:t>"</w:t>
      </w:r>
      <w:r>
        <w:rPr>
          <w:rtl/>
        </w:rPr>
        <w:t>וַיְזַנֵּב</w:t>
      </w:r>
      <w:r>
        <w:rPr>
          <w:rFonts w:hint="cs"/>
          <w:rtl/>
        </w:rPr>
        <w:t xml:space="preserve">" שמשמעו </w:t>
      </w:r>
      <w:r>
        <w:rPr>
          <w:rtl/>
        </w:rPr>
        <w:t>נט</w:t>
      </w:r>
      <w:r>
        <w:rPr>
          <w:rFonts w:hint="cs"/>
          <w:rtl/>
        </w:rPr>
        <w:t>י</w:t>
      </w:r>
      <w:r>
        <w:rPr>
          <w:rtl/>
        </w:rPr>
        <w:t xml:space="preserve">לת </w:t>
      </w:r>
      <w:r>
        <w:rPr>
          <w:rFonts w:hint="cs"/>
          <w:rtl/>
        </w:rPr>
        <w:t>ה</w:t>
      </w:r>
      <w:r>
        <w:rPr>
          <w:rtl/>
        </w:rPr>
        <w:t>זנב</w:t>
      </w:r>
      <w:r>
        <w:rPr>
          <w:rFonts w:hint="cs"/>
          <w:rtl/>
        </w:rPr>
        <w:t>.</w:t>
      </w:r>
    </w:p>
  </w:footnote>
  <w:footnote w:id="317">
    <w:p w14:paraId="249DF2E8" w14:textId="77777777" w:rsidR="000015C4" w:rsidRDefault="000015C4" w:rsidP="000015C4">
      <w:pPr>
        <w:pStyle w:val="a5"/>
        <w:rPr>
          <w:rFonts w:hint="cs"/>
          <w:rtl/>
        </w:rPr>
      </w:pPr>
      <w:r>
        <w:rPr>
          <w:rStyle w:val="a4"/>
          <w:rtl/>
        </w:rPr>
        <w:footnoteRef/>
      </w:r>
      <w:r>
        <w:rPr>
          <w:szCs w:val="22"/>
        </w:rPr>
        <w:t xml:space="preserve"> </w:t>
      </w:r>
      <w:r>
        <w:rPr>
          <w:rFonts w:hint="cs"/>
          <w:rtl/>
        </w:rPr>
        <w:t xml:space="preserve">בלי הבנת לעזי רש"י, הגיע בעל </w:t>
      </w:r>
      <w:r>
        <w:rPr>
          <w:rFonts w:hint="cs"/>
          <w:sz w:val="24"/>
          <w:rtl/>
        </w:rPr>
        <w:t>שפתי חכמים (</w:t>
      </w:r>
      <w:r>
        <w:rPr>
          <w:rFonts w:hint="cs"/>
          <w:sz w:val="18"/>
          <w:szCs w:val="20"/>
          <w:rtl/>
        </w:rPr>
        <w:t>בפרשת כי תצא אות ר'</w:t>
      </w:r>
      <w:r>
        <w:rPr>
          <w:rFonts w:hint="cs"/>
          <w:sz w:val="24"/>
          <w:rtl/>
        </w:rPr>
        <w:t xml:space="preserve">) להבנה שרש"י בפירושו לתלמוד מקיש ממשמעות הפֹעַל </w:t>
      </w:r>
      <w:r>
        <w:rPr>
          <w:rFonts w:hint="cs"/>
          <w:rtl/>
        </w:rPr>
        <w:t>"</w:t>
      </w:r>
      <w:r>
        <w:rPr>
          <w:rtl/>
        </w:rPr>
        <w:t>תְשָׁרֵשׁ</w:t>
      </w:r>
      <w:r>
        <w:rPr>
          <w:rFonts w:hint="cs"/>
          <w:rtl/>
        </w:rPr>
        <w:t>" על משמעות "</w:t>
      </w:r>
      <w:r>
        <w:rPr>
          <w:rtl/>
        </w:rPr>
        <w:t>תפאר</w:t>
      </w:r>
      <w:r>
        <w:rPr>
          <w:rFonts w:hint="cs"/>
          <w:rtl/>
        </w:rPr>
        <w:t>", ולכן פירושו: "</w:t>
      </w:r>
      <w:r>
        <w:rPr>
          <w:rFonts w:hint="cs"/>
          <w:sz w:val="24"/>
          <w:rtl/>
        </w:rPr>
        <w:t xml:space="preserve">עקירה", כלומר קטיפת הזיתים. וכנראה שהבין שגם </w:t>
      </w:r>
      <w:r>
        <w:rPr>
          <w:rFonts w:hint="cs"/>
          <w:rtl/>
        </w:rPr>
        <w:t>"</w:t>
      </w:r>
      <w:r>
        <w:rPr>
          <w:rtl/>
        </w:rPr>
        <w:t>וַיְזַנֵּב בְּךָ</w:t>
      </w:r>
      <w:r>
        <w:rPr>
          <w:rFonts w:hint="cs"/>
          <w:rtl/>
        </w:rPr>
        <w:t>" הובא ע"י רש"י גם כן להבהרת המשמעות, ו</w:t>
      </w:r>
      <w:r>
        <w:rPr>
          <w:rtl/>
        </w:rPr>
        <w:t>נט</w:t>
      </w:r>
      <w:r>
        <w:rPr>
          <w:rFonts w:hint="cs"/>
          <w:rtl/>
        </w:rPr>
        <w:t>י</w:t>
      </w:r>
      <w:r>
        <w:rPr>
          <w:rtl/>
        </w:rPr>
        <w:t>ל</w:t>
      </w:r>
      <w:r>
        <w:rPr>
          <w:rFonts w:hint="cs"/>
          <w:rtl/>
        </w:rPr>
        <w:t>ת הפאר כ</w:t>
      </w:r>
      <w:r>
        <w:rPr>
          <w:rtl/>
        </w:rPr>
        <w:t>נט</w:t>
      </w:r>
      <w:r>
        <w:rPr>
          <w:rFonts w:hint="cs"/>
          <w:rtl/>
        </w:rPr>
        <w:t>י</w:t>
      </w:r>
      <w:r>
        <w:rPr>
          <w:rtl/>
        </w:rPr>
        <w:t>ל</w:t>
      </w:r>
      <w:r>
        <w:rPr>
          <w:rFonts w:hint="cs"/>
          <w:rtl/>
        </w:rPr>
        <w:t>ת ה</w:t>
      </w:r>
      <w:r>
        <w:rPr>
          <w:rtl/>
        </w:rPr>
        <w:t>זנב</w:t>
      </w:r>
      <w:r>
        <w:rPr>
          <w:rFonts w:hint="cs"/>
          <w:rtl/>
        </w:rPr>
        <w:t>.</w:t>
      </w:r>
      <w:r>
        <w:rPr>
          <w:rFonts w:hint="cs"/>
          <w:sz w:val="26"/>
          <w:rtl/>
        </w:rPr>
        <w:t xml:space="preserve"> וע"ע: </w:t>
      </w:r>
      <w:r>
        <w:rPr>
          <w:sz w:val="26"/>
          <w:rtl/>
        </w:rPr>
        <w:t>רש"י ב</w:t>
      </w:r>
      <w:r>
        <w:rPr>
          <w:rFonts w:hint="cs"/>
          <w:sz w:val="26"/>
          <w:rtl/>
        </w:rPr>
        <w:t>"</w:t>
      </w:r>
      <w:r>
        <w:rPr>
          <w:sz w:val="26"/>
          <w:rtl/>
        </w:rPr>
        <w:t>ק</w:t>
      </w:r>
      <w:r>
        <w:rPr>
          <w:rFonts w:hint="cs"/>
          <w:sz w:val="26"/>
          <w:rtl/>
        </w:rPr>
        <w:t xml:space="preserve"> </w:t>
      </w:r>
      <w:r>
        <w:rPr>
          <w:sz w:val="18"/>
          <w:szCs w:val="20"/>
          <w:rtl/>
        </w:rPr>
        <w:t>צד</w:t>
      </w:r>
      <w:r>
        <w:rPr>
          <w:rFonts w:hint="cs"/>
          <w:sz w:val="18"/>
          <w:szCs w:val="20"/>
          <w:rtl/>
        </w:rPr>
        <w:t xml:space="preserve">, </w:t>
      </w:r>
      <w:r>
        <w:rPr>
          <w:sz w:val="18"/>
          <w:szCs w:val="20"/>
          <w:rtl/>
        </w:rPr>
        <w:t>א ד"ה חייב בפרט</w:t>
      </w:r>
      <w:r>
        <w:rPr>
          <w:rFonts w:hint="cs"/>
          <w:sz w:val="18"/>
          <w:szCs w:val="20"/>
          <w:rtl/>
        </w:rPr>
        <w:t xml:space="preserve"> </w:t>
      </w:r>
      <w:r>
        <w:rPr>
          <w:rFonts w:hint="cs"/>
          <w:sz w:val="26"/>
          <w:rtl/>
        </w:rPr>
        <w:t xml:space="preserve">ובלעזי רש"י </w:t>
      </w:r>
      <w:r>
        <w:rPr>
          <w:rFonts w:hint="cs"/>
          <w:sz w:val="18"/>
          <w:szCs w:val="20"/>
          <w:rtl/>
        </w:rPr>
        <w:t>שם</w:t>
      </w:r>
      <w:r>
        <w:rPr>
          <w:rFonts w:hint="cs"/>
          <w:rtl/>
        </w:rPr>
        <w:t>.</w:t>
      </w:r>
    </w:p>
  </w:footnote>
  <w:footnote w:id="318">
    <w:p w14:paraId="5A7C79CF" w14:textId="77777777" w:rsidR="000015C4" w:rsidRDefault="000015C4" w:rsidP="000015C4">
      <w:pPr>
        <w:pStyle w:val="a5"/>
        <w:rPr>
          <w:rtl/>
        </w:rPr>
      </w:pPr>
      <w:r>
        <w:rPr>
          <w:rStyle w:val="a4"/>
          <w:rtl/>
        </w:rPr>
        <w:footnoteRef/>
      </w:r>
      <w:r>
        <w:rPr>
          <w:szCs w:val="22"/>
        </w:rPr>
        <w:t xml:space="preserve"> </w:t>
      </w:r>
      <w:r>
        <w:rPr>
          <w:rFonts w:hint="cs"/>
          <w:sz w:val="26"/>
          <w:rtl/>
        </w:rPr>
        <w:t>כן נראה להגיה לענ"ד.</w:t>
      </w:r>
    </w:p>
  </w:footnote>
  <w:footnote w:id="319">
    <w:p w14:paraId="7459D7A2" w14:textId="77777777" w:rsidR="000015C4" w:rsidRDefault="000015C4" w:rsidP="000015C4">
      <w:pPr>
        <w:pStyle w:val="a5"/>
        <w:rPr>
          <w:rFonts w:hint="cs"/>
          <w:rtl/>
        </w:rPr>
      </w:pPr>
      <w:r>
        <w:rPr>
          <w:rStyle w:val="a4"/>
          <w:rtl/>
        </w:rPr>
        <w:footnoteRef/>
      </w:r>
      <w:r>
        <w:rPr>
          <w:szCs w:val="22"/>
        </w:rPr>
        <w:t xml:space="preserve"> </w:t>
      </w:r>
      <w:r>
        <w:rPr>
          <w:rFonts w:hint="cs"/>
          <w:rtl/>
        </w:rPr>
        <w:t>בשני פסוקים אלו כמה נוסחאות לגבי הכתיב (</w:t>
      </w:r>
      <w:r>
        <w:rPr>
          <w:sz w:val="18"/>
          <w:szCs w:val="20"/>
          <w:rtl/>
        </w:rPr>
        <w:t xml:space="preserve">"פֹּארוֹת" </w:t>
      </w:r>
      <w:r>
        <w:rPr>
          <w:rFonts w:hint="cs"/>
          <w:sz w:val="18"/>
          <w:szCs w:val="20"/>
          <w:rtl/>
        </w:rPr>
        <w:t xml:space="preserve">/ </w:t>
      </w:r>
      <w:r>
        <w:rPr>
          <w:sz w:val="18"/>
          <w:szCs w:val="20"/>
          <w:rtl/>
        </w:rPr>
        <w:t>"פֹּרֹאות"</w:t>
      </w:r>
      <w:r>
        <w:rPr>
          <w:rFonts w:hint="cs"/>
          <w:sz w:val="18"/>
          <w:szCs w:val="20"/>
          <w:rtl/>
        </w:rPr>
        <w:t xml:space="preserve"> / </w:t>
      </w:r>
      <w:r>
        <w:rPr>
          <w:sz w:val="18"/>
          <w:szCs w:val="20"/>
          <w:rtl/>
        </w:rPr>
        <w:t>"פֹּארֹת"</w:t>
      </w:r>
      <w:r>
        <w:rPr>
          <w:rFonts w:hint="cs"/>
          <w:rtl/>
        </w:rPr>
        <w:t xml:space="preserve">). ראה </w:t>
      </w:r>
      <w:r>
        <w:rPr>
          <w:rtl/>
        </w:rPr>
        <w:t xml:space="preserve">מנחת שי </w:t>
      </w:r>
      <w:r>
        <w:rPr>
          <w:rFonts w:hint="cs"/>
          <w:rtl/>
        </w:rPr>
        <w:t>ו</w:t>
      </w:r>
      <w:r>
        <w:rPr>
          <w:rtl/>
        </w:rPr>
        <w:t>ר"מ ברויאר, הנוסח ומקורותיו</w:t>
      </w:r>
      <w:r>
        <w:rPr>
          <w:rFonts w:hint="cs"/>
          <w:rtl/>
        </w:rPr>
        <w:t xml:space="preserve">. אך אין זה נוגע לפירוש וגם לא </w:t>
      </w:r>
      <w:r>
        <w:rPr>
          <w:rtl/>
        </w:rPr>
        <w:t>לקרי: האל"ף נחה בכל מקום</w:t>
      </w:r>
      <w:r>
        <w:rPr>
          <w:rFonts w:hint="cs"/>
          <w:rtl/>
        </w:rPr>
        <w:t>.</w:t>
      </w:r>
    </w:p>
  </w:footnote>
  <w:footnote w:id="320">
    <w:p w14:paraId="35B24F19" w14:textId="77777777" w:rsidR="000015C4" w:rsidRDefault="000015C4" w:rsidP="000015C4">
      <w:pPr>
        <w:pStyle w:val="a5"/>
        <w:rPr>
          <w:rFonts w:hint="cs"/>
          <w:rtl/>
        </w:rPr>
      </w:pPr>
      <w:r>
        <w:rPr>
          <w:rStyle w:val="a4"/>
        </w:rPr>
        <w:footnoteRef/>
      </w:r>
      <w:r>
        <w:rPr>
          <w:rFonts w:hint="cs"/>
          <w:rtl/>
        </w:rPr>
        <w:t xml:space="preserve"> השוה מדרש </w:t>
      </w:r>
      <w:r>
        <w:rPr>
          <w:rtl/>
        </w:rPr>
        <w:t>איכה רבה</w:t>
      </w:r>
      <w:r>
        <w:rPr>
          <w:rFonts w:hint="cs"/>
          <w:rtl/>
        </w:rPr>
        <w:t xml:space="preserve">, </w:t>
      </w:r>
      <w:r>
        <w:rPr>
          <w:rFonts w:hint="cs"/>
          <w:sz w:val="18"/>
          <w:szCs w:val="20"/>
          <w:rtl/>
        </w:rPr>
        <w:t xml:space="preserve">סוף </w:t>
      </w:r>
      <w:r>
        <w:rPr>
          <w:sz w:val="18"/>
          <w:szCs w:val="20"/>
          <w:rtl/>
        </w:rPr>
        <w:t>פרשה א</w:t>
      </w:r>
      <w:r>
        <w:rPr>
          <w:rFonts w:hint="cs"/>
          <w:sz w:val="18"/>
          <w:szCs w:val="20"/>
          <w:rtl/>
        </w:rPr>
        <w:t>'</w:t>
      </w:r>
      <w:r>
        <w:rPr>
          <w:rFonts w:hint="cs"/>
          <w:rtl/>
        </w:rPr>
        <w:t>, על פסוק זה: "</w:t>
      </w:r>
      <w:r>
        <w:rPr>
          <w:rtl/>
        </w:rPr>
        <w:t>תָּבֹא כָל רָעָתָם לְפָנֶיךָ וְעוֹלֵל לָמוֹ כַּאֲשֶׁר עוֹלַלְתָּ לִי</w:t>
      </w:r>
      <w:r>
        <w:rPr>
          <w:rFonts w:hint="cs"/>
          <w:rtl/>
        </w:rPr>
        <w:t xml:space="preserve"> -  </w:t>
      </w:r>
      <w:r>
        <w:rPr>
          <w:rtl/>
        </w:rPr>
        <w:t>דקדק עמהון כמה דדקדקתה עלי</w:t>
      </w:r>
      <w:r>
        <w:rPr>
          <w:rFonts w:hint="cs"/>
          <w:rtl/>
        </w:rPr>
        <w:t>"</w:t>
      </w:r>
      <w:r>
        <w:rPr>
          <w:rtl/>
        </w:rPr>
        <w:t xml:space="preserve">. </w:t>
      </w:r>
      <w:r>
        <w:rPr>
          <w:rFonts w:hint="cs"/>
          <w:rtl/>
        </w:rPr>
        <w:t>וצ"ע מהו הקשר בין "</w:t>
      </w:r>
      <w:r>
        <w:rPr>
          <w:rtl/>
        </w:rPr>
        <w:t>עוֹלֵל לָמוֹ</w:t>
      </w:r>
      <w:r>
        <w:rPr>
          <w:rFonts w:hint="cs"/>
          <w:rtl/>
        </w:rPr>
        <w:t xml:space="preserve">" לדקדוק? </w:t>
      </w:r>
    </w:p>
    <w:p w14:paraId="149145A1" w14:textId="77777777" w:rsidR="000015C4" w:rsidRDefault="000015C4" w:rsidP="000015C4">
      <w:pPr>
        <w:pStyle w:val="a5"/>
        <w:rPr>
          <w:rFonts w:hint="cs"/>
          <w:rtl/>
        </w:rPr>
      </w:pPr>
      <w:r>
        <w:rPr>
          <w:rFonts w:hint="cs"/>
          <w:rtl/>
        </w:rPr>
        <w:t xml:space="preserve">הר"ש סירליאו בפירוש הירושלמי כותב: "ופירש תעולל מלשון עלילה, שכל מעליל הוא מדקדק במה שאין האדם נזהר ממנו". הרב </w:t>
      </w:r>
      <w:r>
        <w:rPr>
          <w:rtl/>
        </w:rPr>
        <w:t xml:space="preserve">יהושע בוך </w:t>
      </w:r>
      <w:r>
        <w:rPr>
          <w:rFonts w:hint="cs"/>
          <w:rtl/>
        </w:rPr>
        <w:t>נר"ו הציע לבאר ש</w:t>
      </w:r>
      <w:r>
        <w:rPr>
          <w:rtl/>
        </w:rPr>
        <w:t>המילים "לא תעולל" נדרשות כאילו כתוב "לא תאולל" (מן אל</w:t>
      </w:r>
      <w:r>
        <w:rPr>
          <w:rFonts w:hint="cs"/>
          <w:rtl/>
        </w:rPr>
        <w:t>"</w:t>
      </w:r>
      <w:r>
        <w:rPr>
          <w:rtl/>
        </w:rPr>
        <w:t>ל בארמית</w:t>
      </w:r>
      <w:r>
        <w:rPr>
          <w:rFonts w:hint="cs"/>
          <w:sz w:val="18"/>
          <w:szCs w:val="20"/>
          <w:rtl/>
        </w:rPr>
        <w:t xml:space="preserve">, כבתרגום </w:t>
      </w:r>
      <w:r>
        <w:rPr>
          <w:sz w:val="18"/>
          <w:szCs w:val="20"/>
          <w:rtl/>
        </w:rPr>
        <w:t>אונקלוס</w:t>
      </w:r>
      <w:r>
        <w:rPr>
          <w:rFonts w:hint="cs"/>
          <w:sz w:val="18"/>
          <w:szCs w:val="20"/>
          <w:rtl/>
        </w:rPr>
        <w:t xml:space="preserve"> ל</w:t>
      </w:r>
      <w:r>
        <w:rPr>
          <w:sz w:val="18"/>
          <w:szCs w:val="20"/>
          <w:rtl/>
        </w:rPr>
        <w:t>בראשית מב</w:t>
      </w:r>
      <w:r>
        <w:rPr>
          <w:rFonts w:hint="cs"/>
          <w:sz w:val="18"/>
          <w:szCs w:val="20"/>
          <w:rtl/>
        </w:rPr>
        <w:t xml:space="preserve">, </w:t>
      </w:r>
      <w:r>
        <w:rPr>
          <w:sz w:val="18"/>
          <w:szCs w:val="20"/>
          <w:rtl/>
        </w:rPr>
        <w:t>ט</w:t>
      </w:r>
      <w:r>
        <w:rPr>
          <w:rFonts w:hint="cs"/>
          <w:sz w:val="18"/>
          <w:szCs w:val="20"/>
          <w:rtl/>
        </w:rPr>
        <w:t xml:space="preserve"> "</w:t>
      </w:r>
      <w:r>
        <w:rPr>
          <w:sz w:val="18"/>
          <w:szCs w:val="20"/>
          <w:rtl/>
        </w:rPr>
        <w:t>מְרַגְּלִים</w:t>
      </w:r>
      <w:r>
        <w:rPr>
          <w:rFonts w:hint="cs"/>
          <w:sz w:val="18"/>
          <w:szCs w:val="20"/>
          <w:rtl/>
        </w:rPr>
        <w:t>" - "</w:t>
      </w:r>
      <w:r>
        <w:rPr>
          <w:sz w:val="18"/>
          <w:szCs w:val="20"/>
          <w:rtl/>
        </w:rPr>
        <w:t>אלילי</w:t>
      </w:r>
      <w:r>
        <w:rPr>
          <w:rFonts w:hint="cs"/>
          <w:sz w:val="18"/>
          <w:szCs w:val="20"/>
          <w:rtl/>
        </w:rPr>
        <w:t>" ול</w:t>
      </w:r>
      <w:r>
        <w:rPr>
          <w:sz w:val="18"/>
          <w:szCs w:val="20"/>
          <w:rtl/>
        </w:rPr>
        <w:t>במדבר יג</w:t>
      </w:r>
      <w:r>
        <w:rPr>
          <w:rFonts w:hint="cs"/>
          <w:sz w:val="18"/>
          <w:szCs w:val="20"/>
          <w:rtl/>
        </w:rPr>
        <w:t xml:space="preserve">, </w:t>
      </w:r>
      <w:r>
        <w:rPr>
          <w:sz w:val="18"/>
          <w:szCs w:val="20"/>
          <w:rtl/>
        </w:rPr>
        <w:t xml:space="preserve">ב </w:t>
      </w:r>
      <w:r>
        <w:rPr>
          <w:rFonts w:hint="cs"/>
          <w:sz w:val="18"/>
          <w:szCs w:val="20"/>
          <w:rtl/>
        </w:rPr>
        <w:t>"</w:t>
      </w:r>
      <w:r>
        <w:rPr>
          <w:sz w:val="18"/>
          <w:szCs w:val="20"/>
          <w:rtl/>
        </w:rPr>
        <w:t>וְיָתֻרוּ</w:t>
      </w:r>
      <w:r>
        <w:rPr>
          <w:rFonts w:hint="cs"/>
          <w:sz w:val="18"/>
          <w:szCs w:val="20"/>
          <w:rtl/>
        </w:rPr>
        <w:t>" - "</w:t>
      </w:r>
      <w:r>
        <w:rPr>
          <w:sz w:val="18"/>
          <w:szCs w:val="20"/>
          <w:rtl/>
        </w:rPr>
        <w:t>ויאללון</w:t>
      </w:r>
      <w:r>
        <w:rPr>
          <w:rFonts w:hint="cs"/>
          <w:sz w:val="18"/>
          <w:szCs w:val="20"/>
          <w:rtl/>
        </w:rPr>
        <w:t>"</w:t>
      </w:r>
      <w:r>
        <w:rPr>
          <w:rtl/>
        </w:rPr>
        <w:t xml:space="preserve">), והכוונה: לא תחקור ותדרוש ותבדוק היטב </w:t>
      </w:r>
      <w:r>
        <w:rPr>
          <w:rFonts w:hint="cs"/>
          <w:rtl/>
        </w:rPr>
        <w:t xml:space="preserve">(כתרגומי ארץ ישראל </w:t>
      </w:r>
      <w:r>
        <w:rPr>
          <w:rFonts w:hint="cs"/>
          <w:sz w:val="18"/>
          <w:szCs w:val="20"/>
          <w:rtl/>
        </w:rPr>
        <w:t>הנ"ל בהערה 31</w:t>
      </w:r>
      <w:r>
        <w:rPr>
          <w:rFonts w:hint="cs"/>
          <w:rtl/>
        </w:rPr>
        <w:t xml:space="preserve">) </w:t>
      </w:r>
      <w:r>
        <w:rPr>
          <w:rtl/>
        </w:rPr>
        <w:t xml:space="preserve">כדי לבצור הכל. </w:t>
      </w:r>
    </w:p>
  </w:footnote>
  <w:footnote w:id="321">
    <w:p w14:paraId="2428F946" w14:textId="77777777" w:rsidR="000015C4" w:rsidRDefault="000015C4" w:rsidP="000015C4">
      <w:pPr>
        <w:pStyle w:val="a5"/>
        <w:rPr>
          <w:rFonts w:hint="cs"/>
          <w:rtl/>
        </w:rPr>
      </w:pPr>
      <w:r>
        <w:rPr>
          <w:rStyle w:val="a4"/>
          <w:rtl/>
        </w:rPr>
        <w:footnoteRef/>
      </w:r>
      <w:r>
        <w:t xml:space="preserve"> </w:t>
      </w:r>
      <w:r>
        <w:rPr>
          <w:rFonts w:hint="cs"/>
          <w:rtl/>
        </w:rPr>
        <w:t>צ"ע מה פירוש "</w:t>
      </w:r>
      <w:r>
        <w:rPr>
          <w:rtl/>
        </w:rPr>
        <w:t>פַּאֲרֵי</w:t>
      </w:r>
      <w:r>
        <w:rPr>
          <w:rFonts w:hint="cs"/>
          <w:rtl/>
        </w:rPr>
        <w:t>" שבפסוק זה. רש"י על אתר מפרש</w:t>
      </w:r>
      <w:r>
        <w:rPr>
          <w:rtl/>
        </w:rPr>
        <w:t xml:space="preserve"> </w:t>
      </w:r>
      <w:r>
        <w:rPr>
          <w:rFonts w:hint="cs"/>
          <w:rtl/>
        </w:rPr>
        <w:t>(בעקבות "</w:t>
      </w:r>
      <w:r>
        <w:rPr>
          <w:rtl/>
        </w:rPr>
        <w:t>שבח קובעיא</w:t>
      </w:r>
      <w:r>
        <w:rPr>
          <w:rFonts w:hint="cs"/>
          <w:rtl/>
        </w:rPr>
        <w:t>" שבתרגום אונקלוס) ש"</w:t>
      </w:r>
      <w:r>
        <w:rPr>
          <w:rtl/>
        </w:rPr>
        <w:t>פַּאֲרֵי</w:t>
      </w:r>
      <w:r>
        <w:rPr>
          <w:rFonts w:hint="cs"/>
          <w:rtl/>
        </w:rPr>
        <w:t>" הוא תואר של "</w:t>
      </w:r>
      <w:r>
        <w:rPr>
          <w:rtl/>
        </w:rPr>
        <w:t>הַמִּגְבָּע</w:t>
      </w:r>
      <w:r>
        <w:rPr>
          <w:rFonts w:hint="cs"/>
          <w:rtl/>
        </w:rPr>
        <w:t>ו</w:t>
      </w:r>
      <w:r>
        <w:rPr>
          <w:rtl/>
        </w:rPr>
        <w:t>ֹת</w:t>
      </w:r>
      <w:r>
        <w:rPr>
          <w:rFonts w:hint="cs"/>
          <w:rtl/>
        </w:rPr>
        <w:t>" (</w:t>
      </w:r>
      <w:r>
        <w:rPr>
          <w:rFonts w:hint="cs"/>
          <w:sz w:val="18"/>
          <w:szCs w:val="20"/>
          <w:rtl/>
        </w:rPr>
        <w:t xml:space="preserve">ובא במִבנֶה של צורת סמיכות, אך </w:t>
      </w:r>
      <w:r>
        <w:rPr>
          <w:rFonts w:hint="cs"/>
          <w:rtl/>
        </w:rPr>
        <w:t xml:space="preserve">פירושו: </w:t>
      </w:r>
      <w:r>
        <w:rPr>
          <w:szCs w:val="20"/>
          <w:rtl/>
        </w:rPr>
        <w:t>המגבעות</w:t>
      </w:r>
      <w:r>
        <w:rPr>
          <w:rtl/>
        </w:rPr>
        <w:t xml:space="preserve"> המפוארות</w:t>
      </w:r>
      <w:r>
        <w:rPr>
          <w:rFonts w:hint="cs"/>
          <w:rtl/>
        </w:rPr>
        <w:t>), אבל בפירושו לרשימת התכשיטים והבגדים שב</w:t>
      </w:r>
      <w:r>
        <w:rPr>
          <w:rtl/>
        </w:rPr>
        <w:t>ישעיה</w:t>
      </w:r>
      <w:r>
        <w:rPr>
          <w:rFonts w:hint="cs"/>
          <w:rtl/>
        </w:rPr>
        <w:t xml:space="preserve"> </w:t>
      </w:r>
      <w:r>
        <w:rPr>
          <w:sz w:val="18"/>
          <w:szCs w:val="20"/>
          <w:rtl/>
        </w:rPr>
        <w:t>ג</w:t>
      </w:r>
      <w:r>
        <w:rPr>
          <w:rFonts w:hint="cs"/>
          <w:sz w:val="18"/>
          <w:szCs w:val="20"/>
          <w:rtl/>
        </w:rPr>
        <w:t xml:space="preserve">, </w:t>
      </w:r>
      <w:r>
        <w:rPr>
          <w:sz w:val="18"/>
          <w:szCs w:val="20"/>
          <w:rtl/>
        </w:rPr>
        <w:t>כ</w:t>
      </w:r>
      <w:r>
        <w:rPr>
          <w:rFonts w:hint="cs"/>
          <w:sz w:val="18"/>
          <w:szCs w:val="20"/>
          <w:rtl/>
        </w:rPr>
        <w:t xml:space="preserve"> </w:t>
      </w:r>
      <w:r>
        <w:rPr>
          <w:rFonts w:hint="cs"/>
          <w:rtl/>
        </w:rPr>
        <w:t>כתב: "</w:t>
      </w:r>
      <w:r>
        <w:rPr>
          <w:rtl/>
        </w:rPr>
        <w:t>הַפְּאֵרִים - תרגום</w:t>
      </w:r>
      <w:r>
        <w:rPr>
          <w:rFonts w:hint="cs"/>
          <w:rtl/>
        </w:rPr>
        <w:t xml:space="preserve"> '</w:t>
      </w:r>
      <w:r>
        <w:rPr>
          <w:rtl/>
        </w:rPr>
        <w:t>כ</w:t>
      </w:r>
      <w:r>
        <w:rPr>
          <w:rFonts w:hint="cs"/>
          <w:rtl/>
        </w:rPr>
        <w:t>ְּ</w:t>
      </w:r>
      <w:r>
        <w:rPr>
          <w:rtl/>
        </w:rPr>
        <w:t>ל</w:t>
      </w:r>
      <w:r>
        <w:rPr>
          <w:rFonts w:hint="cs"/>
          <w:rtl/>
        </w:rPr>
        <w:t>ִ</w:t>
      </w:r>
      <w:r>
        <w:rPr>
          <w:rtl/>
        </w:rPr>
        <w:t>יל</w:t>
      </w:r>
      <w:r>
        <w:rPr>
          <w:rFonts w:hint="cs"/>
          <w:rtl/>
        </w:rPr>
        <w:t>ַ</w:t>
      </w:r>
      <w:r>
        <w:rPr>
          <w:rtl/>
        </w:rPr>
        <w:t>י</w:t>
      </w:r>
      <w:r>
        <w:rPr>
          <w:rFonts w:hint="cs"/>
          <w:rtl/>
        </w:rPr>
        <w:t>ָ</w:t>
      </w:r>
      <w:r>
        <w:rPr>
          <w:rtl/>
        </w:rPr>
        <w:t>א</w:t>
      </w:r>
      <w:r>
        <w:rPr>
          <w:rFonts w:hint="cs"/>
          <w:rtl/>
        </w:rPr>
        <w:t>',</w:t>
      </w:r>
      <w:r>
        <w:rPr>
          <w:rtl/>
        </w:rPr>
        <w:t xml:space="preserve"> כמו </w:t>
      </w:r>
      <w:r>
        <w:rPr>
          <w:rFonts w:hint="cs"/>
          <w:rtl/>
        </w:rPr>
        <w:t>'</w:t>
      </w:r>
      <w:r>
        <w:rPr>
          <w:rtl/>
        </w:rPr>
        <w:t>פארי המגבעות</w:t>
      </w:r>
      <w:r>
        <w:rPr>
          <w:rFonts w:hint="cs"/>
          <w:rtl/>
        </w:rPr>
        <w:t>'" (</w:t>
      </w:r>
      <w:r>
        <w:rPr>
          <w:rFonts w:hint="cs"/>
          <w:szCs w:val="20"/>
          <w:rtl/>
        </w:rPr>
        <w:t>ולא כר"א אבן עזרא שם</w:t>
      </w:r>
      <w:r>
        <w:rPr>
          <w:rFonts w:hint="cs"/>
          <w:rtl/>
        </w:rPr>
        <w:t>). משמע שגם בתורה "</w:t>
      </w:r>
      <w:r>
        <w:rPr>
          <w:rtl/>
        </w:rPr>
        <w:t>פַּאֲרֵי</w:t>
      </w:r>
      <w:r>
        <w:rPr>
          <w:rFonts w:hint="cs"/>
          <w:rtl/>
        </w:rPr>
        <w:t>" הוא שם עצם, ופירושו "מגבעות" או "כובעים", וכמו שפֵרש רש"י את "</w:t>
      </w:r>
      <w:r>
        <w:rPr>
          <w:b/>
          <w:bCs/>
          <w:rtl/>
        </w:rPr>
        <w:t>פַּאֲרֵי</w:t>
      </w:r>
      <w:r>
        <w:rPr>
          <w:rtl/>
        </w:rPr>
        <w:t xml:space="preserve"> פִשְׁתִּים יִהְיוּ עַל רֹאשָׁם</w:t>
      </w:r>
      <w:r>
        <w:rPr>
          <w:rFonts w:hint="cs"/>
          <w:rtl/>
        </w:rPr>
        <w:t xml:space="preserve">" ביחזקאל </w:t>
      </w:r>
      <w:r>
        <w:rPr>
          <w:rFonts w:hint="cs"/>
          <w:szCs w:val="20"/>
          <w:rtl/>
        </w:rPr>
        <w:t>מד, יח</w:t>
      </w:r>
      <w:r>
        <w:rPr>
          <w:rFonts w:hint="cs"/>
          <w:rtl/>
        </w:rPr>
        <w:t xml:space="preserve"> (</w:t>
      </w:r>
      <w:r>
        <w:rPr>
          <w:szCs w:val="20"/>
          <w:rtl/>
        </w:rPr>
        <w:t>קאפייל</w:t>
      </w:r>
      <w:r>
        <w:rPr>
          <w:rFonts w:hint="cs"/>
          <w:sz w:val="18"/>
          <w:szCs w:val="20"/>
          <w:rtl/>
        </w:rPr>
        <w:t>"</w:t>
      </w:r>
      <w:r>
        <w:rPr>
          <w:szCs w:val="20"/>
          <w:rtl/>
        </w:rPr>
        <w:t>ש</w:t>
      </w:r>
      <w:r>
        <w:rPr>
          <w:rFonts w:hint="cs"/>
          <w:szCs w:val="20"/>
          <w:rtl/>
        </w:rPr>
        <w:t xml:space="preserve"> ב</w:t>
      </w:r>
      <w:r>
        <w:rPr>
          <w:szCs w:val="20"/>
          <w:rtl/>
        </w:rPr>
        <w:t>לעז</w:t>
      </w:r>
      <w:r>
        <w:rPr>
          <w:rFonts w:hint="cs"/>
          <w:szCs w:val="20"/>
          <w:rtl/>
        </w:rPr>
        <w:t xml:space="preserve">, </w:t>
      </w:r>
      <w:r>
        <w:rPr>
          <w:rFonts w:hint="cs"/>
          <w:sz w:val="18"/>
          <w:szCs w:val="20"/>
          <w:rtl/>
        </w:rPr>
        <w:t>ע"פ אוצר לעזי רש"י</w:t>
      </w:r>
      <w:r>
        <w:rPr>
          <w:rFonts w:hint="cs"/>
          <w:rtl/>
        </w:rPr>
        <w:t xml:space="preserve">), וכך מפרשים רד"ק ורי"ד מטראני </w:t>
      </w:r>
      <w:r>
        <w:rPr>
          <w:rFonts w:hint="cs"/>
          <w:sz w:val="18"/>
          <w:szCs w:val="20"/>
          <w:rtl/>
        </w:rPr>
        <w:t xml:space="preserve">אגב פירושיהם </w:t>
      </w:r>
      <w:r>
        <w:rPr>
          <w:rFonts w:hint="cs"/>
          <w:szCs w:val="20"/>
          <w:rtl/>
        </w:rPr>
        <w:t>ליחזקאל</w:t>
      </w:r>
      <w:r>
        <w:rPr>
          <w:rFonts w:hint="cs"/>
          <w:rtl/>
        </w:rPr>
        <w:t xml:space="preserve"> </w:t>
      </w:r>
      <w:r>
        <w:rPr>
          <w:rFonts w:hint="cs"/>
          <w:sz w:val="18"/>
          <w:szCs w:val="20"/>
          <w:rtl/>
        </w:rPr>
        <w:t>כד יז, וע"ע בפירוש ר' עמוס חכם בפירוש דעת מקרא בשמות</w:t>
      </w:r>
      <w:r>
        <w:rPr>
          <w:rFonts w:hint="cs"/>
          <w:rtl/>
        </w:rPr>
        <w:t>.</w:t>
      </w:r>
    </w:p>
    <w:p w14:paraId="52EFA65B" w14:textId="77777777" w:rsidR="000015C4" w:rsidRDefault="000015C4" w:rsidP="000015C4">
      <w:pPr>
        <w:pStyle w:val="a5"/>
        <w:rPr>
          <w:rFonts w:hint="cs"/>
          <w:rtl/>
        </w:rPr>
      </w:pPr>
      <w:r>
        <w:rPr>
          <w:rFonts w:hint="cs"/>
          <w:rtl/>
        </w:rPr>
        <w:t>לבירור דעת ה</w:t>
      </w:r>
      <w:r>
        <w:rPr>
          <w:rtl/>
        </w:rPr>
        <w:t>רמב"ן</w:t>
      </w:r>
      <w:r>
        <w:rPr>
          <w:rFonts w:hint="cs"/>
          <w:rtl/>
        </w:rPr>
        <w:t xml:space="preserve"> בשאלה זו יש להשוות גם לדבריו ב</w:t>
      </w:r>
      <w:r>
        <w:rPr>
          <w:rtl/>
        </w:rPr>
        <w:t>שמות כח</w:t>
      </w:r>
      <w:r>
        <w:rPr>
          <w:rFonts w:hint="cs"/>
          <w:rtl/>
        </w:rPr>
        <w:t xml:space="preserve">, </w:t>
      </w:r>
      <w:r>
        <w:rPr>
          <w:rtl/>
        </w:rPr>
        <w:t>ב</w:t>
      </w:r>
      <w:r>
        <w:rPr>
          <w:rFonts w:hint="cs"/>
          <w:rtl/>
        </w:rPr>
        <w:t xml:space="preserve"> ("</w:t>
      </w:r>
      <w:r>
        <w:rPr>
          <w:rtl/>
        </w:rPr>
        <w:t>יקראם הכתוב פארי</w:t>
      </w:r>
      <w:r>
        <w:rPr>
          <w:rFonts w:hint="cs"/>
          <w:rtl/>
        </w:rPr>
        <w:t xml:space="preserve"> </w:t>
      </w:r>
      <w:r>
        <w:rPr>
          <w:rtl/>
        </w:rPr>
        <w:t>המגבעות</w:t>
      </w:r>
      <w:r>
        <w:rPr>
          <w:rFonts w:hint="cs"/>
          <w:rtl/>
        </w:rPr>
        <w:t xml:space="preserve">... </w:t>
      </w:r>
      <w:r>
        <w:rPr>
          <w:rtl/>
        </w:rPr>
        <w:t>שהם פאר ושבח</w:t>
      </w:r>
      <w:r>
        <w:rPr>
          <w:rFonts w:hint="cs"/>
          <w:rtl/>
        </w:rPr>
        <w:t>") ושם</w:t>
      </w:r>
      <w:r>
        <w:rPr>
          <w:rtl/>
        </w:rPr>
        <w:t xml:space="preserve"> לט</w:t>
      </w:r>
      <w:r>
        <w:rPr>
          <w:rFonts w:hint="cs"/>
          <w:rtl/>
        </w:rPr>
        <w:t xml:space="preserve">, </w:t>
      </w:r>
      <w:r>
        <w:rPr>
          <w:rtl/>
        </w:rPr>
        <w:t xml:space="preserve">כז </w:t>
      </w:r>
      <w:r>
        <w:rPr>
          <w:rFonts w:hint="cs"/>
          <w:rtl/>
        </w:rPr>
        <w:t>("</w:t>
      </w:r>
      <w:r>
        <w:rPr>
          <w:rtl/>
        </w:rPr>
        <w:t>ולשון פארי</w:t>
      </w:r>
      <w:r>
        <w:rPr>
          <w:rFonts w:hint="cs"/>
          <w:rtl/>
        </w:rPr>
        <w:t xml:space="preserve"> </w:t>
      </w:r>
      <w:r>
        <w:rPr>
          <w:rtl/>
        </w:rPr>
        <w:t>המגבעות</w:t>
      </w:r>
      <w:r>
        <w:rPr>
          <w:rFonts w:hint="cs"/>
          <w:rtl/>
        </w:rPr>
        <w:t xml:space="preserve">, </w:t>
      </w:r>
      <w:r>
        <w:rPr>
          <w:rtl/>
        </w:rPr>
        <w:t xml:space="preserve">שהיו עולות על הראש כפארים, מלשון </w:t>
      </w:r>
      <w:r>
        <w:rPr>
          <w:rFonts w:hint="cs"/>
          <w:rtl/>
        </w:rPr>
        <w:t>'</w:t>
      </w:r>
      <w:r>
        <w:rPr>
          <w:rtl/>
        </w:rPr>
        <w:t>הַפְּאֵרִים וְהַצְּעָדוֹת</w:t>
      </w:r>
      <w:r>
        <w:rPr>
          <w:rFonts w:hint="cs"/>
          <w:rtl/>
        </w:rPr>
        <w:t>', '</w:t>
      </w:r>
      <w:r>
        <w:rPr>
          <w:rtl/>
        </w:rPr>
        <w:t>פַּאֲרֵי פִשְׁתִּים יִהְיוּ עַל רֹאשָׁם</w:t>
      </w:r>
      <w:r>
        <w:rPr>
          <w:rFonts w:hint="cs"/>
          <w:rtl/>
        </w:rPr>
        <w:t>'").</w:t>
      </w:r>
    </w:p>
    <w:p w14:paraId="4ECDC62D" w14:textId="77777777" w:rsidR="000015C4" w:rsidRDefault="000015C4" w:rsidP="000015C4">
      <w:pPr>
        <w:pStyle w:val="a5"/>
        <w:rPr>
          <w:rFonts w:hint="cs"/>
          <w:rtl/>
        </w:rPr>
      </w:pPr>
      <w:r>
        <w:rPr>
          <w:rFonts w:hint="cs"/>
          <w:rtl/>
        </w:rPr>
        <w:t>את "</w:t>
      </w:r>
      <w:r>
        <w:rPr>
          <w:b/>
          <w:bCs/>
          <w:rtl/>
        </w:rPr>
        <w:t>פְּאֵרְ</w:t>
      </w:r>
      <w:r>
        <w:rPr>
          <w:rtl/>
        </w:rPr>
        <w:t>ךָ חֲבוֹשׁ עָלֶיךָ</w:t>
      </w:r>
      <w:r>
        <w:rPr>
          <w:rFonts w:hint="cs"/>
          <w:rtl/>
        </w:rPr>
        <w:t xml:space="preserve">" שביחזקאל </w:t>
      </w:r>
      <w:r>
        <w:rPr>
          <w:rFonts w:hint="cs"/>
          <w:sz w:val="18"/>
          <w:szCs w:val="20"/>
          <w:rtl/>
        </w:rPr>
        <w:t xml:space="preserve">כד, יז </w:t>
      </w:r>
      <w:r>
        <w:rPr>
          <w:rFonts w:hint="cs"/>
          <w:rtl/>
        </w:rPr>
        <w:t>דרשו חז"ל (</w:t>
      </w:r>
      <w:r>
        <w:rPr>
          <w:sz w:val="18"/>
          <w:szCs w:val="20"/>
          <w:rtl/>
        </w:rPr>
        <w:t>מועד קטן טו</w:t>
      </w:r>
      <w:r>
        <w:rPr>
          <w:rFonts w:hint="cs"/>
          <w:sz w:val="18"/>
          <w:szCs w:val="20"/>
          <w:rtl/>
        </w:rPr>
        <w:t xml:space="preserve">, </w:t>
      </w:r>
      <w:r>
        <w:rPr>
          <w:sz w:val="18"/>
          <w:szCs w:val="20"/>
          <w:rtl/>
        </w:rPr>
        <w:t>א</w:t>
      </w:r>
      <w:r>
        <w:rPr>
          <w:rFonts w:hint="cs"/>
          <w:rtl/>
        </w:rPr>
        <w:t>)</w:t>
      </w:r>
      <w:r>
        <w:rPr>
          <w:rtl/>
        </w:rPr>
        <w:t xml:space="preserve"> </w:t>
      </w:r>
      <w:r>
        <w:rPr>
          <w:rFonts w:hint="cs"/>
          <w:rtl/>
        </w:rPr>
        <w:t>על התפלין ("לפי שיש בהם שמו של הקב"ה שהוא פארנו"</w:t>
      </w:r>
      <w:r>
        <w:rPr>
          <w:rFonts w:hint="cs"/>
          <w:sz w:val="18"/>
          <w:szCs w:val="20"/>
          <w:rtl/>
        </w:rPr>
        <w:t xml:space="preserve">; לשון </w:t>
      </w:r>
      <w:r>
        <w:rPr>
          <w:rFonts w:hint="cs"/>
          <w:sz w:val="20"/>
          <w:szCs w:val="20"/>
          <w:rtl/>
        </w:rPr>
        <w:t xml:space="preserve">רס"ג בפירושו לויקרא י, ו, כמובא בפירוש הר"י קאפח להלכות </w:t>
      </w:r>
      <w:r>
        <w:rPr>
          <w:sz w:val="20"/>
          <w:szCs w:val="20"/>
          <w:rtl/>
        </w:rPr>
        <w:t xml:space="preserve">אבל </w:t>
      </w:r>
      <w:r>
        <w:rPr>
          <w:rFonts w:hint="cs"/>
          <w:sz w:val="18"/>
          <w:szCs w:val="20"/>
          <w:rtl/>
        </w:rPr>
        <w:t>עמ' קמ"ב</w:t>
      </w:r>
      <w:r>
        <w:rPr>
          <w:rFonts w:hint="cs"/>
          <w:rtl/>
        </w:rPr>
        <w:t>), אך יש מפרשים (</w:t>
      </w:r>
      <w:r>
        <w:rPr>
          <w:rFonts w:hint="cs"/>
          <w:szCs w:val="20"/>
          <w:rtl/>
        </w:rPr>
        <w:t>רד"ק, רי"ד מטראני ור' מנחם בן שמעון</w:t>
      </w:r>
      <w:r>
        <w:rPr>
          <w:rFonts w:hint="cs"/>
          <w:rtl/>
        </w:rPr>
        <w:t>) שזהו כיסוי הראש בכובע או מגבעת או סוּדר, ונפקא מינה האם אָבֵל צריך להִמנע מ"חבישת" תפלין בראשו או שהוא צריך לגלות ראשו! חז"ל הולכים לשיטתם בפרשנות הכתוב "רָאשֵׁיכֶם אַל תִּפְרָעוּ" (</w:t>
      </w:r>
      <w:r>
        <w:rPr>
          <w:rFonts w:hint="cs"/>
          <w:sz w:val="18"/>
          <w:szCs w:val="20"/>
          <w:rtl/>
        </w:rPr>
        <w:t>ויקרא י, ו</w:t>
      </w:r>
      <w:r>
        <w:rPr>
          <w:rFonts w:hint="cs"/>
          <w:rtl/>
        </w:rPr>
        <w:t>) שאיננו "אל תפרעו מן הכובע" אלא "אל תגדילו פרע" (</w:t>
      </w:r>
      <w:r>
        <w:rPr>
          <w:rtl/>
          <w:lang w:eastAsia="he-IL"/>
        </w:rPr>
        <w:t>ספרא</w:t>
      </w:r>
      <w:r>
        <w:rPr>
          <w:rFonts w:hint="cs"/>
          <w:sz w:val="18"/>
          <w:szCs w:val="20"/>
          <w:rtl/>
          <w:lang w:eastAsia="he-IL"/>
        </w:rPr>
        <w:t>,</w:t>
      </w:r>
      <w:r>
        <w:rPr>
          <w:sz w:val="18"/>
          <w:szCs w:val="20"/>
          <w:rtl/>
          <w:lang w:eastAsia="he-IL"/>
        </w:rPr>
        <w:t xml:space="preserve"> שמיני א</w:t>
      </w:r>
      <w:r>
        <w:rPr>
          <w:rFonts w:hint="cs"/>
          <w:sz w:val="18"/>
          <w:szCs w:val="20"/>
          <w:rtl/>
          <w:lang w:eastAsia="he-IL"/>
        </w:rPr>
        <w:t xml:space="preserve">, </w:t>
      </w:r>
      <w:r>
        <w:rPr>
          <w:rFonts w:hint="cs"/>
          <w:sz w:val="18"/>
          <w:szCs w:val="20"/>
          <w:rtl/>
        </w:rPr>
        <w:t>מ</w:t>
      </w:r>
      <w:r>
        <w:rPr>
          <w:rFonts w:hint="cs"/>
          <w:rtl/>
        </w:rPr>
        <w:t>), ולכן למדו משם שכל אָבֵל (מלבד אהרן ובניו) אסור בתספורת (</w:t>
      </w:r>
      <w:r>
        <w:rPr>
          <w:sz w:val="18"/>
          <w:szCs w:val="20"/>
          <w:rtl/>
        </w:rPr>
        <w:t xml:space="preserve">מועד קטן </w:t>
      </w:r>
      <w:r>
        <w:rPr>
          <w:rFonts w:hint="cs"/>
          <w:sz w:val="18"/>
          <w:szCs w:val="20"/>
          <w:rtl/>
        </w:rPr>
        <w:t>יד, ב</w:t>
      </w:r>
      <w:r>
        <w:rPr>
          <w:rFonts w:hint="cs"/>
          <w:rtl/>
        </w:rPr>
        <w:t>). אך רד"ק ורי"ד מפרשים שלפי פשט הכתובים חייב כל אָבֵל בפריעת</w:t>
      </w:r>
      <w:r>
        <w:rPr>
          <w:rFonts w:hint="cs"/>
          <w:b/>
          <w:bCs/>
          <w:rtl/>
        </w:rPr>
        <w:t xml:space="preserve"> </w:t>
      </w:r>
      <w:r>
        <w:rPr>
          <w:rFonts w:hint="cs"/>
          <w:rtl/>
        </w:rPr>
        <w:t>הראש ובגילויו, שהורדת פאר המגבעת והסרת המצנפת והעטרה הם סימן אֵבל (</w:t>
      </w:r>
      <w:r>
        <w:rPr>
          <w:rFonts w:hint="cs"/>
          <w:sz w:val="18"/>
          <w:szCs w:val="20"/>
          <w:rtl/>
        </w:rPr>
        <w:t>ע"פ</w:t>
      </w:r>
      <w:r>
        <w:rPr>
          <w:sz w:val="18"/>
          <w:szCs w:val="20"/>
          <w:rtl/>
        </w:rPr>
        <w:t xml:space="preserve"> יחזקאל כא</w:t>
      </w:r>
      <w:r>
        <w:rPr>
          <w:rFonts w:hint="cs"/>
          <w:sz w:val="18"/>
          <w:szCs w:val="20"/>
          <w:rtl/>
        </w:rPr>
        <w:t>,</w:t>
      </w:r>
      <w:r>
        <w:rPr>
          <w:sz w:val="18"/>
          <w:szCs w:val="20"/>
          <w:rtl/>
        </w:rPr>
        <w:t xml:space="preserve"> לא</w:t>
      </w:r>
      <w:r>
        <w:rPr>
          <w:rFonts w:hint="cs"/>
          <w:sz w:val="18"/>
          <w:szCs w:val="20"/>
          <w:rtl/>
        </w:rPr>
        <w:t>;</w:t>
      </w:r>
      <w:r>
        <w:rPr>
          <w:rFonts w:hint="cs"/>
          <w:sz w:val="14"/>
          <w:szCs w:val="16"/>
          <w:rtl/>
        </w:rPr>
        <w:t xml:space="preserve"> </w:t>
      </w:r>
      <w:r>
        <w:rPr>
          <w:rFonts w:hint="cs"/>
          <w:sz w:val="18"/>
          <w:szCs w:val="20"/>
          <w:rtl/>
        </w:rPr>
        <w:t xml:space="preserve">וע"ע בשו"ת שרידי אש לרב יחיאל יעקב </w:t>
      </w:r>
      <w:r>
        <w:rPr>
          <w:rFonts w:hint="eastAsia"/>
          <w:sz w:val="18"/>
          <w:szCs w:val="20"/>
          <w:rtl/>
        </w:rPr>
        <w:t>ויינברג</w:t>
      </w:r>
      <w:r>
        <w:rPr>
          <w:rFonts w:hint="cs"/>
          <w:sz w:val="18"/>
          <w:szCs w:val="20"/>
          <w:rtl/>
        </w:rPr>
        <w:t xml:space="preserve">, </w:t>
      </w:r>
      <w:r>
        <w:rPr>
          <w:rFonts w:hint="eastAsia"/>
          <w:sz w:val="18"/>
          <w:szCs w:val="20"/>
          <w:rtl/>
        </w:rPr>
        <w:t xml:space="preserve">ח"ג, ל' </w:t>
      </w:r>
      <w:r>
        <w:rPr>
          <w:rFonts w:hint="cs"/>
          <w:sz w:val="18"/>
          <w:szCs w:val="20"/>
          <w:rtl/>
        </w:rPr>
        <w:t>וב</w:t>
      </w:r>
      <w:r>
        <w:rPr>
          <w:rFonts w:hint="eastAsia"/>
          <w:sz w:val="18"/>
          <w:szCs w:val="20"/>
          <w:rtl/>
        </w:rPr>
        <w:t>מהדור</w:t>
      </w:r>
      <w:r>
        <w:rPr>
          <w:rFonts w:hint="cs"/>
          <w:sz w:val="18"/>
          <w:szCs w:val="20"/>
          <w:rtl/>
        </w:rPr>
        <w:t>ת הועד להוצאת כתביו, ירושלים תשס"א</w:t>
      </w:r>
      <w:r>
        <w:rPr>
          <w:rFonts w:hint="cs"/>
          <w:sz w:val="18"/>
          <w:szCs w:val="20"/>
          <w:vertAlign w:val="superscript"/>
          <w:rtl/>
        </w:rPr>
        <w:t>2</w:t>
      </w:r>
      <w:r>
        <w:rPr>
          <w:rFonts w:hint="cs"/>
          <w:sz w:val="18"/>
          <w:szCs w:val="20"/>
          <w:rtl/>
        </w:rPr>
        <w:t xml:space="preserve">, </w:t>
      </w:r>
      <w:r>
        <w:rPr>
          <w:rFonts w:hint="eastAsia"/>
          <w:sz w:val="18"/>
          <w:szCs w:val="20"/>
          <w:rtl/>
        </w:rPr>
        <w:t>ח"א</w:t>
      </w:r>
      <w:r>
        <w:rPr>
          <w:rFonts w:hint="cs"/>
          <w:sz w:val="18"/>
          <w:szCs w:val="20"/>
          <w:rtl/>
        </w:rPr>
        <w:t>, ע"ח</w:t>
      </w:r>
      <w:r>
        <w:rPr>
          <w:rFonts w:hint="eastAsia"/>
          <w:sz w:val="18"/>
          <w:szCs w:val="20"/>
          <w:rtl/>
        </w:rPr>
        <w:t xml:space="preserve"> </w:t>
      </w:r>
      <w:r>
        <w:rPr>
          <w:rFonts w:hint="cs"/>
          <w:sz w:val="18"/>
          <w:szCs w:val="20"/>
          <w:rtl/>
        </w:rPr>
        <w:t>הערות 10, 15</w:t>
      </w:r>
      <w:r>
        <w:rPr>
          <w:rFonts w:hint="eastAsia"/>
          <w:rtl/>
        </w:rPr>
        <w:t>)</w:t>
      </w:r>
      <w:r>
        <w:rPr>
          <w:rFonts w:hint="cs"/>
          <w:rtl/>
        </w:rPr>
        <w:t>.</w:t>
      </w:r>
    </w:p>
    <w:p w14:paraId="47389360" w14:textId="77777777" w:rsidR="000015C4" w:rsidRDefault="000015C4" w:rsidP="000015C4">
      <w:pPr>
        <w:pStyle w:val="a5"/>
        <w:rPr>
          <w:rFonts w:hint="cs"/>
          <w:rtl/>
        </w:rPr>
      </w:pPr>
      <w:r>
        <w:rPr>
          <w:rFonts w:hint="cs"/>
          <w:rtl/>
        </w:rPr>
        <w:t>אגב, למושג "פריעת</w:t>
      </w:r>
      <w:r>
        <w:rPr>
          <w:rFonts w:hint="cs"/>
          <w:b/>
          <w:bCs/>
          <w:rtl/>
        </w:rPr>
        <w:t xml:space="preserve"> </w:t>
      </w:r>
      <w:r>
        <w:rPr>
          <w:rFonts w:hint="cs"/>
          <w:rtl/>
        </w:rPr>
        <w:t xml:space="preserve">ראש" שני מובנים, ולכן עלול הלומד לסבור בטעות שיש מחלוקת בין </w:t>
      </w:r>
      <w:r>
        <w:rPr>
          <w:rtl/>
        </w:rPr>
        <w:t>רב אחאי גאון</w:t>
      </w:r>
      <w:r>
        <w:rPr>
          <w:rFonts w:hint="cs"/>
          <w:rtl/>
        </w:rPr>
        <w:t>, בעל ה</w:t>
      </w:r>
      <w:r>
        <w:rPr>
          <w:rtl/>
        </w:rPr>
        <w:t>שאילתות</w:t>
      </w:r>
      <w:r>
        <w:rPr>
          <w:rFonts w:hint="cs"/>
          <w:rtl/>
        </w:rPr>
        <w:t>, הכותב: "</w:t>
      </w:r>
      <w:r>
        <w:rPr>
          <w:rtl/>
        </w:rPr>
        <w:t>כל אבילים חייבי</w:t>
      </w:r>
      <w:r>
        <w:rPr>
          <w:rFonts w:hint="cs"/>
          <w:rtl/>
        </w:rPr>
        <w:t xml:space="preserve">ם </w:t>
      </w:r>
      <w:r>
        <w:rPr>
          <w:rtl/>
        </w:rPr>
        <w:t>בפריעת הראש</w:t>
      </w:r>
      <w:r>
        <w:rPr>
          <w:rFonts w:hint="cs"/>
          <w:rtl/>
        </w:rPr>
        <w:t>" (</w:t>
      </w:r>
      <w:r>
        <w:rPr>
          <w:sz w:val="18"/>
          <w:szCs w:val="20"/>
          <w:rtl/>
        </w:rPr>
        <w:t>פרשת ויחי שאילתא לה</w:t>
      </w:r>
      <w:r>
        <w:rPr>
          <w:rFonts w:hint="cs"/>
          <w:rtl/>
        </w:rPr>
        <w:t>), ובין ה</w:t>
      </w:r>
      <w:r>
        <w:rPr>
          <w:rtl/>
        </w:rPr>
        <w:t>רמב"ם</w:t>
      </w:r>
      <w:r>
        <w:rPr>
          <w:rFonts w:hint="cs"/>
          <w:rtl/>
        </w:rPr>
        <w:t xml:space="preserve"> הכותב: "</w:t>
      </w:r>
      <w:r>
        <w:rPr>
          <w:rtl/>
        </w:rPr>
        <w:t>מנין לאבל שאסור</w:t>
      </w:r>
      <w:r>
        <w:rPr>
          <w:rFonts w:hint="cs"/>
          <w:rtl/>
        </w:rPr>
        <w:t xml:space="preserve"> </w:t>
      </w:r>
      <w:r>
        <w:rPr>
          <w:rtl/>
        </w:rPr>
        <w:t>בפריעת</w:t>
      </w:r>
      <w:r>
        <w:rPr>
          <w:rFonts w:hint="cs"/>
          <w:rtl/>
        </w:rPr>
        <w:t xml:space="preserve"> </w:t>
      </w:r>
      <w:r>
        <w:rPr>
          <w:rtl/>
        </w:rPr>
        <w:t xml:space="preserve">הראש, שהרי נאמר ליחזקאל </w:t>
      </w:r>
      <w:r>
        <w:rPr>
          <w:rFonts w:hint="cs"/>
          <w:rtl/>
        </w:rPr>
        <w:t>[ו]</w:t>
      </w:r>
      <w:r>
        <w:rPr>
          <w:rtl/>
        </w:rPr>
        <w:t>לא תעטה על שפם</w:t>
      </w:r>
      <w:r>
        <w:rPr>
          <w:rFonts w:hint="cs"/>
          <w:rtl/>
        </w:rPr>
        <w:t xml:space="preserve"> -</w:t>
      </w:r>
      <w:r>
        <w:rPr>
          <w:rtl/>
        </w:rPr>
        <w:t xml:space="preserve"> מכלל ששאר האבלים חייבין בעטיפת הראש</w:t>
      </w:r>
      <w:r>
        <w:rPr>
          <w:rFonts w:hint="cs"/>
          <w:rtl/>
        </w:rPr>
        <w:t>" (</w:t>
      </w:r>
      <w:r>
        <w:rPr>
          <w:sz w:val="18"/>
          <w:szCs w:val="20"/>
          <w:rtl/>
        </w:rPr>
        <w:t>הלכות אבל פ</w:t>
      </w:r>
      <w:r>
        <w:rPr>
          <w:rFonts w:hint="cs"/>
          <w:sz w:val="18"/>
          <w:szCs w:val="20"/>
          <w:rtl/>
        </w:rPr>
        <w:t>"</w:t>
      </w:r>
      <w:r>
        <w:rPr>
          <w:sz w:val="18"/>
          <w:szCs w:val="20"/>
          <w:rtl/>
        </w:rPr>
        <w:t>ה הל</w:t>
      </w:r>
      <w:r>
        <w:rPr>
          <w:rFonts w:hint="cs"/>
          <w:sz w:val="18"/>
          <w:szCs w:val="20"/>
          <w:rtl/>
        </w:rPr>
        <w:t>'</w:t>
      </w:r>
      <w:r>
        <w:rPr>
          <w:sz w:val="18"/>
          <w:szCs w:val="20"/>
          <w:rtl/>
        </w:rPr>
        <w:t xml:space="preserve"> יט</w:t>
      </w:r>
      <w:r>
        <w:rPr>
          <w:rFonts w:hint="cs"/>
          <w:rtl/>
        </w:rPr>
        <w:t>).</w:t>
      </w:r>
      <w:r>
        <w:rPr>
          <w:rtl/>
        </w:rPr>
        <w:t xml:space="preserve"> </w:t>
      </w:r>
    </w:p>
    <w:p w14:paraId="607A9A59" w14:textId="77777777" w:rsidR="000015C4" w:rsidRDefault="000015C4" w:rsidP="000015C4">
      <w:pPr>
        <w:pStyle w:val="a5"/>
        <w:rPr>
          <w:rFonts w:cs="Times New Roman" w:hint="cs"/>
          <w:sz w:val="20"/>
          <w:rtl/>
        </w:rPr>
      </w:pPr>
      <w:r>
        <w:rPr>
          <w:rFonts w:hint="cs"/>
          <w:rtl/>
        </w:rPr>
        <w:t>האמת היא שאין ביניהם אלא הבדל ניסוח: בשאילתות נקט בלשון התורה (וכוונתו ל</w:t>
      </w:r>
      <w:r>
        <w:rPr>
          <w:rFonts w:hint="cs"/>
          <w:b/>
          <w:bCs/>
          <w:rtl/>
        </w:rPr>
        <w:t>גידול</w:t>
      </w:r>
      <w:r>
        <w:rPr>
          <w:rFonts w:hint="cs"/>
          <w:rtl/>
        </w:rPr>
        <w:t xml:space="preserve"> שער הראש, כמסורת חז"ל), אך הרמב"ם נקט בלשון חכמים, שבה "פריעה" - היינו </w:t>
      </w:r>
      <w:r>
        <w:rPr>
          <w:rFonts w:hint="cs"/>
          <w:b/>
          <w:bCs/>
          <w:rtl/>
        </w:rPr>
        <w:t>גילוי</w:t>
      </w:r>
      <w:r>
        <w:rPr>
          <w:rFonts w:hint="cs"/>
          <w:rtl/>
        </w:rPr>
        <w:t xml:space="preserve">, וכלשון </w:t>
      </w:r>
      <w:r>
        <w:rPr>
          <w:rtl/>
        </w:rPr>
        <w:t>רב</w:t>
      </w:r>
      <w:r>
        <w:rPr>
          <w:rFonts w:hint="cs"/>
          <w:rtl/>
        </w:rPr>
        <w:t xml:space="preserve"> ו</w:t>
      </w:r>
      <w:r>
        <w:rPr>
          <w:rtl/>
        </w:rPr>
        <w:t>שמואל</w:t>
      </w:r>
      <w:r>
        <w:rPr>
          <w:rFonts w:hint="cs"/>
          <w:rtl/>
        </w:rPr>
        <w:t xml:space="preserve"> שנחלקו אם </w:t>
      </w:r>
      <w:r>
        <w:rPr>
          <w:rtl/>
        </w:rPr>
        <w:t>פריעת הראש</w:t>
      </w:r>
      <w:r>
        <w:rPr>
          <w:rFonts w:hint="cs"/>
          <w:rtl/>
        </w:rPr>
        <w:t xml:space="preserve"> לאָבֵל בשבת היא </w:t>
      </w:r>
      <w:r>
        <w:rPr>
          <w:rtl/>
        </w:rPr>
        <w:t>חובה</w:t>
      </w:r>
      <w:r>
        <w:rPr>
          <w:rFonts w:hint="cs"/>
          <w:rtl/>
        </w:rPr>
        <w:t xml:space="preserve"> או </w:t>
      </w:r>
      <w:r>
        <w:rPr>
          <w:rtl/>
        </w:rPr>
        <w:t>רשות</w:t>
      </w:r>
      <w:r>
        <w:rPr>
          <w:rFonts w:hint="cs"/>
          <w:rtl/>
        </w:rPr>
        <w:t>, וכך שואל התלמוד: "</w:t>
      </w:r>
      <w:r>
        <w:rPr>
          <w:b/>
          <w:bCs/>
          <w:rtl/>
        </w:rPr>
        <w:t>פריעת</w:t>
      </w:r>
      <w:r>
        <w:rPr>
          <w:rtl/>
        </w:rPr>
        <w:t xml:space="preserve"> הראש נמי לאו כולי עלמא עבידי ד</w:t>
      </w:r>
      <w:r>
        <w:rPr>
          <w:b/>
          <w:bCs/>
          <w:rtl/>
        </w:rPr>
        <w:t xml:space="preserve">מגלו </w:t>
      </w:r>
      <w:r>
        <w:rPr>
          <w:rtl/>
        </w:rPr>
        <w:t>רישייהו!</w:t>
      </w:r>
      <w:r>
        <w:rPr>
          <w:rFonts w:hint="cs"/>
          <w:rtl/>
        </w:rPr>
        <w:t>" (</w:t>
      </w:r>
      <w:r>
        <w:rPr>
          <w:sz w:val="18"/>
          <w:szCs w:val="20"/>
          <w:rtl/>
        </w:rPr>
        <w:t>מועד קטן כד</w:t>
      </w:r>
      <w:r>
        <w:rPr>
          <w:rFonts w:hint="cs"/>
          <w:sz w:val="18"/>
          <w:szCs w:val="20"/>
          <w:rtl/>
        </w:rPr>
        <w:t xml:space="preserve">, </w:t>
      </w:r>
      <w:r>
        <w:rPr>
          <w:sz w:val="18"/>
          <w:szCs w:val="20"/>
          <w:rtl/>
        </w:rPr>
        <w:t>א</w:t>
      </w:r>
      <w:r>
        <w:rPr>
          <w:rFonts w:hint="cs"/>
          <w:rtl/>
        </w:rPr>
        <w:t xml:space="preserve">) ופֵרש </w:t>
      </w:r>
      <w:r>
        <w:rPr>
          <w:rtl/>
        </w:rPr>
        <w:t>רש"י</w:t>
      </w:r>
      <w:r>
        <w:rPr>
          <w:rFonts w:hint="cs"/>
          <w:rtl/>
        </w:rPr>
        <w:t>: "</w:t>
      </w:r>
      <w:r>
        <w:rPr>
          <w:rtl/>
        </w:rPr>
        <w:t>פריעת הראש - שמגלה האבל ראשו בשבת, ואינו מתעטף</w:t>
      </w:r>
      <w:r>
        <w:rPr>
          <w:rFonts w:hint="cs"/>
          <w:rtl/>
        </w:rPr>
        <w:t>" (וע"ע ב</w:t>
      </w:r>
      <w:r>
        <w:rPr>
          <w:rtl/>
        </w:rPr>
        <w:t xml:space="preserve">שו"ת יביע אומר </w:t>
      </w:r>
      <w:r>
        <w:rPr>
          <w:sz w:val="18"/>
          <w:szCs w:val="20"/>
          <w:rtl/>
        </w:rPr>
        <w:t>ח</w:t>
      </w:r>
      <w:r>
        <w:rPr>
          <w:rFonts w:hint="cs"/>
          <w:sz w:val="18"/>
          <w:szCs w:val="20"/>
          <w:rtl/>
        </w:rPr>
        <w:t>"</w:t>
      </w:r>
      <w:r>
        <w:rPr>
          <w:sz w:val="18"/>
          <w:szCs w:val="20"/>
          <w:rtl/>
        </w:rPr>
        <w:t>ז יו"ד סימן כב</w:t>
      </w:r>
      <w:r>
        <w:rPr>
          <w:rFonts w:hint="cs"/>
          <w:sz w:val="18"/>
          <w:szCs w:val="20"/>
          <w:rtl/>
        </w:rPr>
        <w:t>,</w:t>
      </w:r>
      <w:r>
        <w:rPr>
          <w:rtl/>
        </w:rPr>
        <w:t xml:space="preserve"> </w:t>
      </w:r>
      <w:r>
        <w:rPr>
          <w:rFonts w:hint="cs"/>
          <w:sz w:val="18"/>
          <w:szCs w:val="20"/>
          <w:rtl/>
        </w:rPr>
        <w:t xml:space="preserve">שבמהלך תשובתו בענין מצות "פריעה" בברית מילה, האריך </w:t>
      </w:r>
      <w:r>
        <w:rPr>
          <w:rFonts w:hint="cs"/>
          <w:rtl/>
        </w:rPr>
        <w:t>בדוגמאות למשמע זה).</w:t>
      </w:r>
    </w:p>
  </w:footnote>
  <w:footnote w:id="322">
    <w:p w14:paraId="5A802551" w14:textId="77777777" w:rsidR="000015C4" w:rsidRDefault="000015C4" w:rsidP="000015C4">
      <w:pPr>
        <w:pStyle w:val="a5"/>
        <w:rPr>
          <w:rFonts w:hint="cs"/>
          <w:rtl/>
        </w:rPr>
      </w:pPr>
      <w:r>
        <w:rPr>
          <w:rStyle w:val="a4"/>
        </w:rPr>
        <w:footnoteRef/>
      </w:r>
      <w:r>
        <w:rPr>
          <w:rFonts w:hint="cs"/>
          <w:rtl/>
        </w:rPr>
        <w:t xml:space="preserve"> הרב </w:t>
      </w:r>
      <w:r>
        <w:rPr>
          <w:rtl/>
        </w:rPr>
        <w:t xml:space="preserve">יהושע בוך </w:t>
      </w:r>
      <w:r>
        <w:rPr>
          <w:rFonts w:hint="cs"/>
          <w:rtl/>
        </w:rPr>
        <w:t xml:space="preserve">נר"ו הציע לגרוס בדברי </w:t>
      </w:r>
      <w:r>
        <w:rPr>
          <w:rtl/>
        </w:rPr>
        <w:t>רבי יונה</w:t>
      </w:r>
      <w:r>
        <w:rPr>
          <w:rFonts w:hint="cs"/>
          <w:rtl/>
        </w:rPr>
        <w:t xml:space="preserve"> "</w:t>
      </w:r>
      <w:r>
        <w:rPr>
          <w:rtl/>
        </w:rPr>
        <w:t>לא תפא</w:t>
      </w:r>
      <w:r>
        <w:rPr>
          <w:b/>
          <w:bCs/>
          <w:rtl/>
        </w:rPr>
        <w:t>ה</w:t>
      </w:r>
      <w:r>
        <w:rPr>
          <w:rtl/>
        </w:rPr>
        <w:t>, כמה דאת אמר:</w:t>
      </w:r>
      <w:r>
        <w:rPr>
          <w:rFonts w:hint="cs"/>
          <w:rtl/>
        </w:rPr>
        <w:t xml:space="preserve"> </w:t>
      </w:r>
      <w:r>
        <w:rPr>
          <w:rtl/>
        </w:rPr>
        <w:t>"לא תקיפו פאת ראשכם ולא תשחית את פאת זקנך"</w:t>
      </w:r>
      <w:r>
        <w:rPr>
          <w:rFonts w:hint="cs"/>
          <w:rtl/>
        </w:rPr>
        <w:t>, כלומר, רבי יונה מבאר שדורשים "</w:t>
      </w:r>
      <w:r>
        <w:rPr>
          <w:sz w:val="26"/>
          <w:rtl/>
        </w:rPr>
        <w:t>לֹא תְפַאֵר</w:t>
      </w:r>
      <w:r>
        <w:rPr>
          <w:rFonts w:hint="cs"/>
          <w:sz w:val="26"/>
          <w:rtl/>
        </w:rPr>
        <w:t xml:space="preserve">" - </w:t>
      </w:r>
      <w:r>
        <w:rPr>
          <w:rFonts w:ascii="Arial" w:hAnsi="Arial"/>
          <w:rtl/>
        </w:rPr>
        <w:t>לא תפאה</w:t>
      </w:r>
      <w:r>
        <w:rPr>
          <w:rFonts w:ascii="Arial" w:hAnsi="Arial" w:hint="cs"/>
          <w:rtl/>
        </w:rPr>
        <w:t xml:space="preserve"> (</w:t>
      </w:r>
      <w:r>
        <w:rPr>
          <w:rFonts w:hint="cs"/>
          <w:sz w:val="26"/>
          <w:rtl/>
        </w:rPr>
        <w:t>מלשון "</w:t>
      </w:r>
      <w:r>
        <w:rPr>
          <w:sz w:val="26"/>
          <w:rtl/>
        </w:rPr>
        <w:t>אַפְאֵיהֶם</w:t>
      </w:r>
      <w:r>
        <w:rPr>
          <w:rFonts w:hint="cs"/>
          <w:sz w:val="26"/>
          <w:rtl/>
        </w:rPr>
        <w:t>"</w:t>
      </w:r>
      <w:r>
        <w:rPr>
          <w:rFonts w:hint="cs"/>
          <w:sz w:val="18"/>
          <w:szCs w:val="20"/>
          <w:rtl/>
        </w:rPr>
        <w:t xml:space="preserve">, </w:t>
      </w:r>
      <w:r>
        <w:rPr>
          <w:sz w:val="18"/>
          <w:szCs w:val="20"/>
          <w:rtl/>
        </w:rPr>
        <w:t>דברים לב,</w:t>
      </w:r>
      <w:r>
        <w:rPr>
          <w:rFonts w:hint="cs"/>
          <w:sz w:val="18"/>
          <w:szCs w:val="20"/>
          <w:rtl/>
        </w:rPr>
        <w:t xml:space="preserve"> </w:t>
      </w:r>
      <w:r>
        <w:rPr>
          <w:sz w:val="18"/>
          <w:szCs w:val="20"/>
          <w:rtl/>
        </w:rPr>
        <w:t>כו</w:t>
      </w:r>
      <w:r>
        <w:rPr>
          <w:rFonts w:hint="cs"/>
          <w:sz w:val="18"/>
          <w:szCs w:val="20"/>
          <w:rtl/>
        </w:rPr>
        <w:t>, ר"א אבן עזרא: "</w:t>
      </w:r>
      <w:r>
        <w:rPr>
          <w:sz w:val="18"/>
          <w:szCs w:val="20"/>
          <w:rtl/>
        </w:rPr>
        <w:t>וטעמו</w:t>
      </w:r>
      <w:r>
        <w:rPr>
          <w:rFonts w:hint="cs"/>
          <w:sz w:val="18"/>
          <w:szCs w:val="20"/>
          <w:rtl/>
        </w:rPr>
        <w:t>,</w:t>
      </w:r>
      <w:r>
        <w:rPr>
          <w:sz w:val="18"/>
          <w:szCs w:val="20"/>
          <w:rtl/>
        </w:rPr>
        <w:t xml:space="preserve"> כמו</w:t>
      </w:r>
      <w:r>
        <w:rPr>
          <w:rFonts w:hint="cs"/>
          <w:sz w:val="18"/>
          <w:szCs w:val="20"/>
          <w:rtl/>
        </w:rPr>
        <w:t>:</w:t>
      </w:r>
      <w:r>
        <w:rPr>
          <w:sz w:val="18"/>
          <w:szCs w:val="20"/>
          <w:rtl/>
        </w:rPr>
        <w:t xml:space="preserve"> אשחיתם</w:t>
      </w:r>
      <w:r>
        <w:rPr>
          <w:rFonts w:hint="cs"/>
          <w:sz w:val="18"/>
          <w:szCs w:val="20"/>
          <w:rtl/>
        </w:rPr>
        <w:t>"</w:t>
      </w:r>
      <w:r>
        <w:rPr>
          <w:rFonts w:ascii="Arial" w:hAnsi="Arial" w:hint="cs"/>
          <w:rtl/>
        </w:rPr>
        <w:t>), כלומר,</w:t>
      </w:r>
      <w:r>
        <w:rPr>
          <w:rtl/>
        </w:rPr>
        <w:t xml:space="preserve"> לא תשמיד ותשחית הכל, אף את הפאה, אלא אתה חייב להשאיר פאה.</w:t>
      </w:r>
    </w:p>
  </w:footnote>
  <w:footnote w:id="323">
    <w:p w14:paraId="01247E3B" w14:textId="77777777" w:rsidR="000015C4" w:rsidRDefault="000015C4" w:rsidP="000015C4">
      <w:pPr>
        <w:pStyle w:val="a5"/>
        <w:rPr>
          <w:rFonts w:hint="cs"/>
          <w:rtl/>
        </w:rPr>
      </w:pPr>
      <w:r>
        <w:rPr>
          <w:rStyle w:val="a4"/>
        </w:rPr>
        <w:footnoteRef/>
      </w:r>
      <w:r>
        <w:rPr>
          <w:rFonts w:hint="cs"/>
          <w:rtl/>
        </w:rPr>
        <w:t xml:space="preserve"> השוה לדברי בן דורו,</w:t>
      </w:r>
      <w:r>
        <w:rPr>
          <w:rFonts w:hint="cs"/>
          <w:sz w:val="30"/>
          <w:szCs w:val="28"/>
          <w:rtl/>
        </w:rPr>
        <w:t xml:space="preserve"> </w:t>
      </w:r>
      <w:r>
        <w:rPr>
          <w:rFonts w:hint="cs"/>
          <w:sz w:val="26"/>
          <w:rtl/>
        </w:rPr>
        <w:t xml:space="preserve">המלבי"ם, </w:t>
      </w:r>
      <w:r>
        <w:rPr>
          <w:rtl/>
        </w:rPr>
        <w:t>ר</w:t>
      </w:r>
      <w:r>
        <w:rPr>
          <w:rFonts w:hint="cs"/>
          <w:rtl/>
        </w:rPr>
        <w:t xml:space="preserve">' </w:t>
      </w:r>
      <w:r>
        <w:rPr>
          <w:rtl/>
        </w:rPr>
        <w:t xml:space="preserve">מאיר ליבוש בן יחיאל מיכל וייזר </w:t>
      </w:r>
      <w:r>
        <w:rPr>
          <w:rFonts w:hint="cs"/>
          <w:rtl/>
        </w:rPr>
        <w:t>(</w:t>
      </w:r>
      <w:r>
        <w:rPr>
          <w:rFonts w:hint="cs"/>
          <w:sz w:val="18"/>
          <w:szCs w:val="20"/>
          <w:rtl/>
        </w:rPr>
        <w:t>נפטר בראש השנה ה'תר"מ; 1879 למניינם</w:t>
      </w:r>
      <w:r>
        <w:rPr>
          <w:rFonts w:hint="cs"/>
          <w:rtl/>
        </w:rPr>
        <w:t>):</w:t>
      </w:r>
    </w:p>
    <w:p w14:paraId="700B3CD3" w14:textId="77777777" w:rsidR="000015C4" w:rsidRDefault="000015C4" w:rsidP="000015C4">
      <w:pPr>
        <w:pStyle w:val="a5"/>
        <w:ind w:left="720"/>
        <w:rPr>
          <w:rFonts w:hint="cs"/>
          <w:rtl/>
        </w:rPr>
      </w:pPr>
      <w:r>
        <w:rPr>
          <w:rFonts w:hint="cs"/>
          <w:rtl/>
        </w:rPr>
        <w:t>"</w:t>
      </w:r>
      <w:r>
        <w:rPr>
          <w:rtl/>
        </w:rPr>
        <w:t>לא תטול תפארתו</w:t>
      </w:r>
      <w:r>
        <w:rPr>
          <w:szCs w:val="22"/>
          <w:rtl/>
        </w:rPr>
        <w:t xml:space="preserve"> </w:t>
      </w:r>
      <w:r>
        <w:rPr>
          <w:rtl/>
        </w:rPr>
        <w:t>ממנו</w:t>
      </w:r>
      <w:r>
        <w:rPr>
          <w:rFonts w:hint="cs"/>
          <w:rtl/>
        </w:rPr>
        <w:t xml:space="preserve">... </w:t>
      </w:r>
      <w:r>
        <w:rPr>
          <w:rtl/>
        </w:rPr>
        <w:t>ו</w:t>
      </w:r>
      <w:r>
        <w:rPr>
          <w:rFonts w:hint="cs"/>
          <w:rtl/>
        </w:rPr>
        <w:t>'</w:t>
      </w:r>
      <w:r>
        <w:rPr>
          <w:rtl/>
        </w:rPr>
        <w:t>תפאר</w:t>
      </w:r>
      <w:r>
        <w:rPr>
          <w:rFonts w:hint="cs"/>
          <w:rtl/>
        </w:rPr>
        <w:t>'</w:t>
      </w:r>
      <w:r>
        <w:rPr>
          <w:rtl/>
        </w:rPr>
        <w:t xml:space="preserve"> הוא מלשון פאר והדר,</w:t>
      </w:r>
      <w:r>
        <w:rPr>
          <w:rFonts w:hint="cs"/>
          <w:rtl/>
        </w:rPr>
        <w:t xml:space="preserve"> </w:t>
      </w:r>
      <w:r>
        <w:rPr>
          <w:rtl/>
        </w:rPr>
        <w:t>שהזיתים הם פאר הזית, וה</w:t>
      </w:r>
      <w:r>
        <w:rPr>
          <w:rFonts w:hint="cs"/>
          <w:rtl/>
        </w:rPr>
        <w:t>ִ</w:t>
      </w:r>
      <w:r>
        <w:rPr>
          <w:rtl/>
        </w:rPr>
        <w:t>זהיר שלא יקח</w:t>
      </w:r>
      <w:r>
        <w:rPr>
          <w:rFonts w:hint="cs"/>
          <w:rtl/>
        </w:rPr>
        <w:t xml:space="preserve"> </w:t>
      </w:r>
      <w:r>
        <w:rPr>
          <w:rtl/>
        </w:rPr>
        <w:t>כל</w:t>
      </w:r>
      <w:r>
        <w:rPr>
          <w:rFonts w:hint="cs"/>
          <w:rtl/>
        </w:rPr>
        <w:t xml:space="preserve"> </w:t>
      </w:r>
      <w:r>
        <w:rPr>
          <w:rtl/>
        </w:rPr>
        <w:t>תפארתו רק ישאיר</w:t>
      </w:r>
      <w:r>
        <w:rPr>
          <w:rFonts w:hint="cs"/>
          <w:rtl/>
        </w:rPr>
        <w:t>;</w:t>
      </w:r>
      <w:r>
        <w:rPr>
          <w:rtl/>
        </w:rPr>
        <w:t xml:space="preserve"> ו</w:t>
      </w:r>
      <w:r>
        <w:rPr>
          <w:rFonts w:hint="cs"/>
          <w:rtl/>
        </w:rPr>
        <w:t>'</w:t>
      </w:r>
      <w:r>
        <w:rPr>
          <w:rtl/>
        </w:rPr>
        <w:t>אחריך</w:t>
      </w:r>
      <w:r>
        <w:rPr>
          <w:rFonts w:hint="cs"/>
          <w:rtl/>
        </w:rPr>
        <w:t xml:space="preserve">' </w:t>
      </w:r>
      <w:r>
        <w:rPr>
          <w:rtl/>
        </w:rPr>
        <w:t>שהוא מיותר הוא דבר בפ</w:t>
      </w:r>
      <w:r>
        <w:rPr>
          <w:rFonts w:hint="cs"/>
          <w:rtl/>
        </w:rPr>
        <w:t xml:space="preserve">ני </w:t>
      </w:r>
      <w:r>
        <w:rPr>
          <w:rtl/>
        </w:rPr>
        <w:t>ע</w:t>
      </w:r>
      <w:r>
        <w:rPr>
          <w:rFonts w:hint="cs"/>
          <w:rtl/>
        </w:rPr>
        <w:t>צמו</w:t>
      </w:r>
      <w:r>
        <w:rPr>
          <w:rtl/>
        </w:rPr>
        <w:t>, ויורה על דבר</w:t>
      </w:r>
      <w:r>
        <w:rPr>
          <w:szCs w:val="22"/>
          <w:rtl/>
        </w:rPr>
        <w:t xml:space="preserve"> </w:t>
      </w:r>
      <w:r>
        <w:rPr>
          <w:rtl/>
        </w:rPr>
        <w:t>שהוא</w:t>
      </w:r>
      <w:r>
        <w:rPr>
          <w:rFonts w:hint="cs"/>
          <w:rtl/>
        </w:rPr>
        <w:t xml:space="preserve"> </w:t>
      </w:r>
      <w:r>
        <w:rPr>
          <w:rtl/>
        </w:rPr>
        <w:t>אחריו וזה שכחה, שרק לאחריו הוא שכחה ולא לפניו. ותפאר ואחריך הם</w:t>
      </w:r>
      <w:r>
        <w:rPr>
          <w:rFonts w:hint="cs"/>
          <w:rtl/>
        </w:rPr>
        <w:t xml:space="preserve"> שני </w:t>
      </w:r>
      <w:r>
        <w:rPr>
          <w:rtl/>
        </w:rPr>
        <w:t>דברים</w:t>
      </w:r>
      <w:r>
        <w:rPr>
          <w:rFonts w:hint="cs"/>
          <w:rtl/>
        </w:rPr>
        <w:t>:</w:t>
      </w:r>
      <w:r>
        <w:rPr>
          <w:rtl/>
        </w:rPr>
        <w:t xml:space="preserve"> </w:t>
      </w:r>
      <w:r>
        <w:rPr>
          <w:rFonts w:hint="cs"/>
          <w:rtl/>
        </w:rPr>
        <w:t>'</w:t>
      </w:r>
      <w:r>
        <w:rPr>
          <w:rtl/>
        </w:rPr>
        <w:t>תפאר</w:t>
      </w:r>
      <w:r>
        <w:rPr>
          <w:rFonts w:hint="cs"/>
          <w:rtl/>
        </w:rPr>
        <w:t>'</w:t>
      </w:r>
      <w:r>
        <w:rPr>
          <w:rtl/>
        </w:rPr>
        <w:t xml:space="preserve"> הוא פאה ובא עליו בלאו, ו</w:t>
      </w:r>
      <w:r>
        <w:rPr>
          <w:rFonts w:hint="cs"/>
          <w:rtl/>
        </w:rPr>
        <w:t>'</w:t>
      </w:r>
      <w:r>
        <w:rPr>
          <w:rtl/>
        </w:rPr>
        <w:t>אחריך</w:t>
      </w:r>
      <w:r>
        <w:rPr>
          <w:rFonts w:hint="cs"/>
          <w:rtl/>
        </w:rPr>
        <w:t>'</w:t>
      </w:r>
      <w:r>
        <w:rPr>
          <w:rtl/>
        </w:rPr>
        <w:t xml:space="preserve"> לשכחה ובא בעשה </w:t>
      </w:r>
      <w:r>
        <w:rPr>
          <w:rFonts w:hint="cs"/>
          <w:rtl/>
        </w:rPr>
        <w:t>'</w:t>
      </w:r>
      <w:r>
        <w:rPr>
          <w:rtl/>
        </w:rPr>
        <w:t>לעני</w:t>
      </w:r>
      <w:r>
        <w:rPr>
          <w:rFonts w:hint="cs"/>
          <w:rtl/>
        </w:rPr>
        <w:t xml:space="preserve"> </w:t>
      </w:r>
      <w:r>
        <w:rPr>
          <w:rtl/>
        </w:rPr>
        <w:t>ולגר</w:t>
      </w:r>
      <w:r>
        <w:rPr>
          <w:rFonts w:hint="cs"/>
          <w:rtl/>
        </w:rPr>
        <w:t xml:space="preserve"> </w:t>
      </w:r>
      <w:r>
        <w:rPr>
          <w:rtl/>
        </w:rPr>
        <w:t>תעזוב</w:t>
      </w:r>
      <w:r>
        <w:rPr>
          <w:rFonts w:hint="cs"/>
          <w:rtl/>
        </w:rPr>
        <w:t>'</w:t>
      </w:r>
      <w:r>
        <w:rPr>
          <w:rtl/>
        </w:rPr>
        <w:t>. וכיון שהם שני דברים היה צ</w:t>
      </w:r>
      <w:r>
        <w:rPr>
          <w:rFonts w:hint="cs"/>
          <w:rtl/>
        </w:rPr>
        <w:t xml:space="preserve">ריך </w:t>
      </w:r>
      <w:r>
        <w:rPr>
          <w:rtl/>
        </w:rPr>
        <w:t>ל</w:t>
      </w:r>
      <w:r>
        <w:rPr>
          <w:rFonts w:hint="cs"/>
          <w:rtl/>
        </w:rPr>
        <w:t>היות</w:t>
      </w:r>
      <w:r>
        <w:rPr>
          <w:rtl/>
        </w:rPr>
        <w:t xml:space="preserve"> האתנחתא על תפאר</w:t>
      </w:r>
      <w:r>
        <w:rPr>
          <w:rFonts w:hint="cs"/>
          <w:rtl/>
        </w:rPr>
        <w:t>!</w:t>
      </w:r>
      <w:r>
        <w:rPr>
          <w:rtl/>
        </w:rPr>
        <w:t xml:space="preserve"> מזה נלמד</w:t>
      </w:r>
      <w:r>
        <w:rPr>
          <w:szCs w:val="22"/>
          <w:rtl/>
        </w:rPr>
        <w:t xml:space="preserve"> </w:t>
      </w:r>
      <w:r>
        <w:rPr>
          <w:rtl/>
        </w:rPr>
        <w:t>ש</w:t>
      </w:r>
      <w:r>
        <w:rPr>
          <w:rFonts w:hint="cs"/>
          <w:rtl/>
        </w:rPr>
        <w:t>'</w:t>
      </w:r>
      <w:r>
        <w:rPr>
          <w:rtl/>
        </w:rPr>
        <w:t>לעני</w:t>
      </w:r>
      <w:r>
        <w:rPr>
          <w:rFonts w:hint="cs"/>
          <w:rtl/>
        </w:rPr>
        <w:t xml:space="preserve"> </w:t>
      </w:r>
      <w:r>
        <w:rPr>
          <w:rtl/>
        </w:rPr>
        <w:t>ולגר</w:t>
      </w:r>
      <w:r>
        <w:rPr>
          <w:rFonts w:hint="cs"/>
          <w:rtl/>
        </w:rPr>
        <w:t>'</w:t>
      </w:r>
      <w:r>
        <w:rPr>
          <w:rtl/>
        </w:rPr>
        <w:t xml:space="preserve"> קאי גם על </w:t>
      </w:r>
      <w:r>
        <w:rPr>
          <w:rFonts w:hint="cs"/>
          <w:rtl/>
        </w:rPr>
        <w:t>'</w:t>
      </w:r>
      <w:r>
        <w:rPr>
          <w:rtl/>
        </w:rPr>
        <w:t>לא תפאר</w:t>
      </w:r>
      <w:r>
        <w:rPr>
          <w:rFonts w:hint="cs"/>
          <w:rtl/>
        </w:rPr>
        <w:t>',</w:t>
      </w:r>
      <w:r>
        <w:rPr>
          <w:rtl/>
        </w:rPr>
        <w:t xml:space="preserve"> והוא כמו שהיה כתוב </w:t>
      </w:r>
      <w:r>
        <w:rPr>
          <w:rFonts w:hint="cs"/>
          <w:rtl/>
        </w:rPr>
        <w:t>'</w:t>
      </w:r>
      <w:r>
        <w:rPr>
          <w:rtl/>
        </w:rPr>
        <w:t>לא תפאר לעני ולגר</w:t>
      </w:r>
      <w:r>
        <w:rPr>
          <w:rFonts w:hint="cs"/>
          <w:rtl/>
        </w:rPr>
        <w:t xml:space="preserve"> </w:t>
      </w:r>
      <w:r>
        <w:rPr>
          <w:rtl/>
        </w:rPr>
        <w:t>וגו',</w:t>
      </w:r>
      <w:r>
        <w:rPr>
          <w:rFonts w:hint="cs"/>
          <w:rtl/>
        </w:rPr>
        <w:t xml:space="preserve"> </w:t>
      </w:r>
      <w:r>
        <w:rPr>
          <w:rtl/>
        </w:rPr>
        <w:t>אחריך לעני ולגר</w:t>
      </w:r>
      <w:r>
        <w:rPr>
          <w:rFonts w:hint="cs"/>
          <w:rtl/>
        </w:rPr>
        <w:t>';</w:t>
      </w:r>
      <w:r>
        <w:rPr>
          <w:rtl/>
        </w:rPr>
        <w:t xml:space="preserve"> ולזה האתנחתא על </w:t>
      </w:r>
      <w:r>
        <w:rPr>
          <w:rFonts w:hint="cs"/>
          <w:rtl/>
        </w:rPr>
        <w:t>'</w:t>
      </w:r>
      <w:r>
        <w:rPr>
          <w:rtl/>
        </w:rPr>
        <w:t>אחריך</w:t>
      </w:r>
      <w:r>
        <w:rPr>
          <w:rFonts w:hint="cs"/>
          <w:rtl/>
        </w:rPr>
        <w:t>'</w:t>
      </w:r>
      <w:r>
        <w:rPr>
          <w:rtl/>
        </w:rPr>
        <w:t xml:space="preserve"> כי </w:t>
      </w:r>
      <w:r>
        <w:rPr>
          <w:rFonts w:hint="cs"/>
          <w:rtl/>
        </w:rPr>
        <w:t>'</w:t>
      </w:r>
      <w:r>
        <w:rPr>
          <w:rtl/>
        </w:rPr>
        <w:t>לעני ולגר</w:t>
      </w:r>
      <w:r>
        <w:rPr>
          <w:rFonts w:hint="cs"/>
          <w:rtl/>
        </w:rPr>
        <w:t>'</w:t>
      </w:r>
      <w:r>
        <w:rPr>
          <w:rtl/>
        </w:rPr>
        <w:t xml:space="preserve"> מוסב על שניהם</w:t>
      </w:r>
      <w:r>
        <w:rPr>
          <w:rFonts w:hint="cs"/>
          <w:rtl/>
        </w:rPr>
        <w:t xml:space="preserve">. </w:t>
      </w:r>
      <w:r>
        <w:rPr>
          <w:rtl/>
        </w:rPr>
        <w:t>וזה</w:t>
      </w:r>
      <w:r>
        <w:rPr>
          <w:rFonts w:hint="cs"/>
          <w:rtl/>
        </w:rPr>
        <w:t xml:space="preserve"> </w:t>
      </w:r>
      <w:r>
        <w:rPr>
          <w:rtl/>
        </w:rPr>
        <w:t xml:space="preserve">דרש בספרי </w:t>
      </w:r>
      <w:r>
        <w:rPr>
          <w:rFonts w:hint="cs"/>
          <w:rtl/>
        </w:rPr>
        <w:t>'</w:t>
      </w:r>
      <w:r>
        <w:rPr>
          <w:rtl/>
        </w:rPr>
        <w:t>לא תפאר לעני</w:t>
      </w:r>
      <w:r>
        <w:rPr>
          <w:rFonts w:hint="cs"/>
          <w:rtl/>
        </w:rPr>
        <w:t>'</w:t>
      </w:r>
      <w:r>
        <w:rPr>
          <w:rtl/>
        </w:rPr>
        <w:t xml:space="preserve"> כו' דקשה ש</w:t>
      </w:r>
      <w:r>
        <w:rPr>
          <w:rFonts w:hint="cs"/>
          <w:rtl/>
        </w:rPr>
        <w:t>'</w:t>
      </w:r>
      <w:r>
        <w:rPr>
          <w:rtl/>
        </w:rPr>
        <w:t>לעני ולגר</w:t>
      </w:r>
      <w:r>
        <w:rPr>
          <w:rFonts w:hint="cs"/>
          <w:rtl/>
        </w:rPr>
        <w:t>'</w:t>
      </w:r>
      <w:r>
        <w:rPr>
          <w:rtl/>
        </w:rPr>
        <w:t xml:space="preserve"> לא סמיך ל</w:t>
      </w:r>
      <w:r>
        <w:rPr>
          <w:rFonts w:hint="cs"/>
          <w:rtl/>
        </w:rPr>
        <w:t>'</w:t>
      </w:r>
      <w:r>
        <w:rPr>
          <w:rtl/>
        </w:rPr>
        <w:t>לא תפאר</w:t>
      </w:r>
      <w:r>
        <w:rPr>
          <w:rFonts w:hint="cs"/>
          <w:rtl/>
        </w:rPr>
        <w:t>'</w:t>
      </w:r>
      <w:r>
        <w:rPr>
          <w:rtl/>
        </w:rPr>
        <w:t>, אבל</w:t>
      </w:r>
      <w:r>
        <w:rPr>
          <w:szCs w:val="22"/>
          <w:rtl/>
        </w:rPr>
        <w:t xml:space="preserve"> </w:t>
      </w:r>
      <w:r>
        <w:rPr>
          <w:rtl/>
        </w:rPr>
        <w:t>לפי</w:t>
      </w:r>
      <w:r>
        <w:rPr>
          <w:rFonts w:hint="cs"/>
          <w:rtl/>
        </w:rPr>
        <w:t xml:space="preserve"> </w:t>
      </w:r>
      <w:r>
        <w:rPr>
          <w:rtl/>
        </w:rPr>
        <w:t>מה שפירשנו ניחא.</w:t>
      </w:r>
      <w:r>
        <w:rPr>
          <w:rFonts w:hint="cs"/>
          <w:rtl/>
        </w:rPr>
        <w:t xml:space="preserve"> </w:t>
      </w:r>
    </w:p>
    <w:p w14:paraId="7A296EF9" w14:textId="77777777" w:rsidR="000015C4" w:rsidRDefault="000015C4" w:rsidP="000015C4">
      <w:pPr>
        <w:pStyle w:val="a5"/>
        <w:ind w:left="720"/>
        <w:rPr>
          <w:rFonts w:hint="cs"/>
          <w:sz w:val="18"/>
          <w:szCs w:val="20"/>
          <w:rtl/>
        </w:rPr>
      </w:pPr>
      <w:r>
        <w:rPr>
          <w:rtl/>
        </w:rPr>
        <w:t xml:space="preserve">ואונקלוס תרגם </w:t>
      </w:r>
      <w:r>
        <w:rPr>
          <w:rFonts w:hint="cs"/>
          <w:rtl/>
        </w:rPr>
        <w:t>'</w:t>
      </w:r>
      <w:r>
        <w:rPr>
          <w:rtl/>
        </w:rPr>
        <w:t>לא תפלי בתרך</w:t>
      </w:r>
      <w:r>
        <w:rPr>
          <w:rFonts w:hint="cs"/>
          <w:rtl/>
        </w:rPr>
        <w:t>'</w:t>
      </w:r>
      <w:r>
        <w:rPr>
          <w:rtl/>
        </w:rPr>
        <w:t xml:space="preserve"> שהוא לשון ח</w:t>
      </w:r>
      <w:r>
        <w:rPr>
          <w:rFonts w:hint="cs"/>
          <w:rtl/>
        </w:rPr>
        <w:t>ִ</w:t>
      </w:r>
      <w:r>
        <w:rPr>
          <w:rtl/>
        </w:rPr>
        <w:t>פוש כמו</w:t>
      </w:r>
      <w:r>
        <w:rPr>
          <w:rFonts w:hint="cs"/>
          <w:rtl/>
        </w:rPr>
        <w:t xml:space="preserve"> '</w:t>
      </w:r>
      <w:r>
        <w:rPr>
          <w:rtl/>
        </w:rPr>
        <w:t>אין</w:t>
      </w:r>
      <w:r>
        <w:rPr>
          <w:rFonts w:hint="cs"/>
          <w:rtl/>
        </w:rPr>
        <w:t xml:space="preserve"> </w:t>
      </w:r>
      <w:r>
        <w:rPr>
          <w:rtl/>
        </w:rPr>
        <w:t>פולין לאור הנר</w:t>
      </w:r>
      <w:r>
        <w:rPr>
          <w:rFonts w:hint="cs"/>
          <w:rtl/>
        </w:rPr>
        <w:t>'</w:t>
      </w:r>
      <w:r>
        <w:rPr>
          <w:rtl/>
        </w:rPr>
        <w:t>, והוא כפי</w:t>
      </w:r>
      <w:r>
        <w:rPr>
          <w:rFonts w:hint="cs"/>
          <w:rtl/>
        </w:rPr>
        <w:t>רוש</w:t>
      </w:r>
      <w:r>
        <w:rPr>
          <w:rtl/>
        </w:rPr>
        <w:t xml:space="preserve"> הא</w:t>
      </w:r>
      <w:r>
        <w:rPr>
          <w:rFonts w:hint="cs"/>
          <w:rtl/>
        </w:rPr>
        <w:t xml:space="preserve">בן </w:t>
      </w:r>
      <w:r>
        <w:rPr>
          <w:rtl/>
        </w:rPr>
        <w:t>ע</w:t>
      </w:r>
      <w:r>
        <w:rPr>
          <w:rFonts w:hint="cs"/>
          <w:rtl/>
        </w:rPr>
        <w:t>זרא</w:t>
      </w:r>
      <w:r>
        <w:rPr>
          <w:rtl/>
        </w:rPr>
        <w:t xml:space="preserve"> </w:t>
      </w:r>
      <w:r>
        <w:rPr>
          <w:rFonts w:hint="cs"/>
          <w:rtl/>
        </w:rPr>
        <w:t>'</w:t>
      </w:r>
      <w:r>
        <w:rPr>
          <w:rtl/>
        </w:rPr>
        <w:t>שלא יחפש בין הענפים ותפאר הוא</w:t>
      </w:r>
      <w:r>
        <w:rPr>
          <w:szCs w:val="22"/>
          <w:rtl/>
        </w:rPr>
        <w:t xml:space="preserve"> </w:t>
      </w:r>
      <w:r>
        <w:rPr>
          <w:rtl/>
        </w:rPr>
        <w:t>מלשון</w:t>
      </w:r>
      <w:r>
        <w:rPr>
          <w:rFonts w:hint="cs"/>
          <w:rtl/>
        </w:rPr>
        <w:t xml:space="preserve"> </w:t>
      </w:r>
      <w:r>
        <w:rPr>
          <w:rtl/>
        </w:rPr>
        <w:t>פארות כמו (</w:t>
      </w:r>
      <w:r>
        <w:rPr>
          <w:sz w:val="18"/>
          <w:szCs w:val="20"/>
          <w:rtl/>
        </w:rPr>
        <w:t>יחזקאל יז</w:t>
      </w:r>
      <w:r>
        <w:rPr>
          <w:rtl/>
        </w:rPr>
        <w:t>) ותשלח פארות</w:t>
      </w:r>
      <w:r>
        <w:rPr>
          <w:rFonts w:hint="cs"/>
          <w:rtl/>
        </w:rPr>
        <w:t>'.</w:t>
      </w:r>
      <w:r>
        <w:rPr>
          <w:rtl/>
        </w:rPr>
        <w:t xml:space="preserve"> ובהשקפה ראשונה יפרשו שלא</w:t>
      </w:r>
      <w:r>
        <w:rPr>
          <w:rFonts w:hint="cs"/>
          <w:rtl/>
        </w:rPr>
        <w:t xml:space="preserve"> </w:t>
      </w:r>
      <w:r>
        <w:rPr>
          <w:rtl/>
        </w:rPr>
        <w:t>כדברי</w:t>
      </w:r>
      <w:r>
        <w:rPr>
          <w:rFonts w:hint="cs"/>
          <w:rtl/>
        </w:rPr>
        <w:t xml:space="preserve"> </w:t>
      </w:r>
      <w:r>
        <w:rPr>
          <w:rtl/>
        </w:rPr>
        <w:t>חז"ל</w:t>
      </w:r>
      <w:r>
        <w:rPr>
          <w:rFonts w:hint="cs"/>
          <w:rtl/>
        </w:rPr>
        <w:t xml:space="preserve"> [</w:t>
      </w:r>
      <w:r>
        <w:rPr>
          <w:rFonts w:hint="cs"/>
          <w:sz w:val="18"/>
          <w:szCs w:val="20"/>
          <w:rtl/>
        </w:rPr>
        <w:t>כי מחפשים מה ששוכחים, וחז"ל פירשוהו על פאה; אפ"ר</w:t>
      </w:r>
      <w:r>
        <w:rPr>
          <w:rFonts w:hint="cs"/>
          <w:rtl/>
        </w:rPr>
        <w:t>]</w:t>
      </w:r>
      <w:r>
        <w:rPr>
          <w:rtl/>
        </w:rPr>
        <w:t xml:space="preserve">, אבל כשנבין דברי הספרי שאמר </w:t>
      </w:r>
      <w:r>
        <w:rPr>
          <w:rFonts w:hint="cs"/>
          <w:rtl/>
        </w:rPr>
        <w:t>'</w:t>
      </w:r>
      <w:r>
        <w:rPr>
          <w:rtl/>
        </w:rPr>
        <w:t>שהראשונים היו חובטין זיתיהם</w:t>
      </w:r>
      <w:r>
        <w:rPr>
          <w:szCs w:val="22"/>
          <w:rtl/>
        </w:rPr>
        <w:t xml:space="preserve"> </w:t>
      </w:r>
      <w:r>
        <w:rPr>
          <w:rtl/>
        </w:rPr>
        <w:t>ונוהגים</w:t>
      </w:r>
      <w:r>
        <w:rPr>
          <w:rFonts w:hint="cs"/>
          <w:rtl/>
        </w:rPr>
        <w:t xml:space="preserve"> </w:t>
      </w:r>
      <w:r>
        <w:rPr>
          <w:rtl/>
        </w:rPr>
        <w:t>בעין יפה</w:t>
      </w:r>
      <w:r>
        <w:rPr>
          <w:rFonts w:hint="cs"/>
          <w:rtl/>
        </w:rPr>
        <w:t>'</w:t>
      </w:r>
      <w:r>
        <w:rPr>
          <w:rtl/>
        </w:rPr>
        <w:t xml:space="preserve"> שאינו מובן כונת הספרי, וכאשר נבאר תמצא שכולם לדבר</w:t>
      </w:r>
      <w:r>
        <w:rPr>
          <w:szCs w:val="22"/>
          <w:rtl/>
        </w:rPr>
        <w:t xml:space="preserve"> </w:t>
      </w:r>
      <w:r>
        <w:rPr>
          <w:rtl/>
        </w:rPr>
        <w:t>אחד</w:t>
      </w:r>
      <w:r>
        <w:rPr>
          <w:rFonts w:hint="cs"/>
          <w:rtl/>
        </w:rPr>
        <w:t xml:space="preserve"> </w:t>
      </w:r>
      <w:r>
        <w:rPr>
          <w:rtl/>
        </w:rPr>
        <w:t>נתכוונו</w:t>
      </w:r>
      <w:r>
        <w:rPr>
          <w:rFonts w:hint="cs"/>
          <w:rtl/>
        </w:rPr>
        <w:t>.</w:t>
      </w:r>
      <w:r>
        <w:rPr>
          <w:rtl/>
        </w:rPr>
        <w:t xml:space="preserve"> וזה כי בלשון הכתוב כאן לקיטת הזיתים נקרא </w:t>
      </w:r>
      <w:r>
        <w:rPr>
          <w:rFonts w:hint="cs"/>
          <w:rtl/>
        </w:rPr>
        <w:t>'</w:t>
      </w:r>
      <w:r>
        <w:rPr>
          <w:rtl/>
        </w:rPr>
        <w:t>חבטה</w:t>
      </w:r>
      <w:r>
        <w:rPr>
          <w:rFonts w:hint="cs"/>
          <w:rtl/>
        </w:rPr>
        <w:t>'</w:t>
      </w:r>
      <w:r>
        <w:rPr>
          <w:rtl/>
        </w:rPr>
        <w:t xml:space="preserve"> ובלשון</w:t>
      </w:r>
      <w:r>
        <w:rPr>
          <w:rFonts w:hint="cs"/>
          <w:rtl/>
        </w:rPr>
        <w:t xml:space="preserve"> </w:t>
      </w:r>
      <w:r>
        <w:rPr>
          <w:rtl/>
        </w:rPr>
        <w:t>המשנה</w:t>
      </w:r>
      <w:r>
        <w:rPr>
          <w:rFonts w:hint="cs"/>
          <w:rtl/>
        </w:rPr>
        <w:t xml:space="preserve"> </w:t>
      </w:r>
      <w:r>
        <w:rPr>
          <w:rtl/>
        </w:rPr>
        <w:t xml:space="preserve">יכונה בשם </w:t>
      </w:r>
      <w:r>
        <w:rPr>
          <w:rFonts w:hint="cs"/>
          <w:rtl/>
        </w:rPr>
        <w:t>'</w:t>
      </w:r>
      <w:r>
        <w:rPr>
          <w:rtl/>
        </w:rPr>
        <w:t>מסיקה</w:t>
      </w:r>
      <w:r>
        <w:rPr>
          <w:rFonts w:hint="cs"/>
          <w:rtl/>
        </w:rPr>
        <w:t>'</w:t>
      </w:r>
      <w:r>
        <w:rPr>
          <w:rtl/>
        </w:rPr>
        <w:t>, כי הראשונים היו מלקטים זיתיהם ע"י חבטה במקלות</w:t>
      </w:r>
      <w:r>
        <w:rPr>
          <w:rFonts w:hint="cs"/>
          <w:rtl/>
        </w:rPr>
        <w:t xml:space="preserve"> </w:t>
      </w:r>
      <w:r>
        <w:rPr>
          <w:rtl/>
        </w:rPr>
        <w:t>כמ</w:t>
      </w:r>
      <w:r>
        <w:rPr>
          <w:rFonts w:hint="cs"/>
          <w:rtl/>
        </w:rPr>
        <w:t xml:space="preserve">ו </w:t>
      </w:r>
      <w:r>
        <w:rPr>
          <w:rtl/>
        </w:rPr>
        <w:t>ש</w:t>
      </w:r>
      <w:r>
        <w:rPr>
          <w:rFonts w:hint="cs"/>
          <w:rtl/>
        </w:rPr>
        <w:t xml:space="preserve">אמר </w:t>
      </w:r>
      <w:r>
        <w:rPr>
          <w:rtl/>
        </w:rPr>
        <w:t>ה</w:t>
      </w:r>
      <w:r>
        <w:rPr>
          <w:rFonts w:hint="cs"/>
          <w:rtl/>
        </w:rPr>
        <w:t xml:space="preserve">כתוב </w:t>
      </w:r>
      <w:r>
        <w:rPr>
          <w:rtl/>
        </w:rPr>
        <w:t>בישעיה (</w:t>
      </w:r>
      <w:r>
        <w:rPr>
          <w:sz w:val="18"/>
          <w:szCs w:val="20"/>
          <w:rtl/>
        </w:rPr>
        <w:t>כח</w:t>
      </w:r>
      <w:r>
        <w:rPr>
          <w:rFonts w:hint="cs"/>
          <w:sz w:val="18"/>
          <w:szCs w:val="20"/>
          <w:rtl/>
        </w:rPr>
        <w:t>,</w:t>
      </w:r>
      <w:r>
        <w:rPr>
          <w:sz w:val="18"/>
          <w:szCs w:val="20"/>
          <w:rtl/>
        </w:rPr>
        <w:t xml:space="preserve"> כז</w:t>
      </w:r>
      <w:r>
        <w:rPr>
          <w:rtl/>
        </w:rPr>
        <w:t xml:space="preserve">) </w:t>
      </w:r>
      <w:r>
        <w:rPr>
          <w:rFonts w:hint="cs"/>
          <w:rtl/>
        </w:rPr>
        <w:t>'</w:t>
      </w:r>
      <w:r>
        <w:rPr>
          <w:rtl/>
        </w:rPr>
        <w:t>בַמַּטֶּה יֵחָבֶט קֶצַח</w:t>
      </w:r>
      <w:r>
        <w:rPr>
          <w:rFonts w:hint="cs"/>
          <w:rtl/>
        </w:rPr>
        <w:t>'</w:t>
      </w:r>
      <w:r>
        <w:rPr>
          <w:rtl/>
        </w:rPr>
        <w:t>, ודרך החובט להתרחק קצת מן הזית וע</w:t>
      </w:r>
      <w:r>
        <w:rPr>
          <w:rFonts w:hint="cs"/>
          <w:rtl/>
        </w:rPr>
        <w:t>"</w:t>
      </w:r>
      <w:r>
        <w:rPr>
          <w:rtl/>
        </w:rPr>
        <w:t>י</w:t>
      </w:r>
      <w:r>
        <w:rPr>
          <w:rFonts w:hint="cs"/>
          <w:rtl/>
        </w:rPr>
        <w:t xml:space="preserve"> </w:t>
      </w:r>
      <w:r>
        <w:rPr>
          <w:rtl/>
        </w:rPr>
        <w:t>ז</w:t>
      </w:r>
      <w:r>
        <w:rPr>
          <w:rFonts w:hint="cs"/>
          <w:rtl/>
        </w:rPr>
        <w:t>ה</w:t>
      </w:r>
      <w:r>
        <w:rPr>
          <w:szCs w:val="22"/>
          <w:rtl/>
        </w:rPr>
        <w:t xml:space="preserve"> </w:t>
      </w:r>
      <w:r>
        <w:rPr>
          <w:rtl/>
        </w:rPr>
        <w:t>בקצה</w:t>
      </w:r>
      <w:r>
        <w:rPr>
          <w:rFonts w:hint="cs"/>
          <w:rtl/>
        </w:rPr>
        <w:t xml:space="preserve"> </w:t>
      </w:r>
      <w:r>
        <w:rPr>
          <w:rtl/>
        </w:rPr>
        <w:t>הזית שלצד הארץ נשאר זיתים סביב מחמת שהחבטה לא הגיע</w:t>
      </w:r>
      <w:r>
        <w:rPr>
          <w:rFonts w:hint="cs"/>
          <w:rtl/>
        </w:rPr>
        <w:t>[ה]</w:t>
      </w:r>
      <w:r>
        <w:rPr>
          <w:rtl/>
        </w:rPr>
        <w:t xml:space="preserve"> לשם וגם בין</w:t>
      </w:r>
      <w:r>
        <w:rPr>
          <w:szCs w:val="22"/>
          <w:rtl/>
        </w:rPr>
        <w:t xml:space="preserve"> </w:t>
      </w:r>
      <w:r>
        <w:rPr>
          <w:rtl/>
        </w:rPr>
        <w:t>הענפים</w:t>
      </w:r>
      <w:r>
        <w:rPr>
          <w:rFonts w:hint="cs"/>
          <w:rtl/>
        </w:rPr>
        <w:t xml:space="preserve"> </w:t>
      </w:r>
      <w:r>
        <w:rPr>
          <w:rtl/>
        </w:rPr>
        <w:t>מקום שלא הגיע</w:t>
      </w:r>
      <w:r>
        <w:rPr>
          <w:rFonts w:hint="cs"/>
          <w:rtl/>
        </w:rPr>
        <w:t>[ה]</w:t>
      </w:r>
      <w:r>
        <w:rPr>
          <w:rtl/>
        </w:rPr>
        <w:t xml:space="preserve"> החבטה נשאר מעט, והכל נשאר לקיום מצות פאה</w:t>
      </w:r>
      <w:r>
        <w:rPr>
          <w:rFonts w:hint="cs"/>
          <w:rtl/>
        </w:rPr>
        <w:t>,</w:t>
      </w:r>
      <w:r>
        <w:rPr>
          <w:rtl/>
        </w:rPr>
        <w:t xml:space="preserve"> שפאה א</w:t>
      </w:r>
      <w:r>
        <w:rPr>
          <w:rFonts w:hint="cs"/>
          <w:rtl/>
        </w:rPr>
        <w:t xml:space="preserve">ין </w:t>
      </w:r>
      <w:r>
        <w:rPr>
          <w:rtl/>
        </w:rPr>
        <w:t>ל</w:t>
      </w:r>
      <w:r>
        <w:rPr>
          <w:rFonts w:hint="cs"/>
          <w:rtl/>
        </w:rPr>
        <w:t>ה</w:t>
      </w:r>
      <w:r>
        <w:rPr>
          <w:szCs w:val="22"/>
          <w:rtl/>
        </w:rPr>
        <w:t xml:space="preserve"> </w:t>
      </w:r>
      <w:r>
        <w:rPr>
          <w:rtl/>
        </w:rPr>
        <w:t>ש</w:t>
      </w:r>
      <w:r>
        <w:rPr>
          <w:rFonts w:hint="cs"/>
          <w:rtl/>
        </w:rPr>
        <w:t>ִ</w:t>
      </w:r>
      <w:r>
        <w:rPr>
          <w:rtl/>
        </w:rPr>
        <w:t>עור</w:t>
      </w:r>
      <w:r>
        <w:rPr>
          <w:rFonts w:hint="cs"/>
          <w:rtl/>
        </w:rPr>
        <w:t xml:space="preserve"> </w:t>
      </w:r>
      <w:r>
        <w:rPr>
          <w:rtl/>
        </w:rPr>
        <w:t>למעלה</w:t>
      </w:r>
      <w:r>
        <w:rPr>
          <w:rFonts w:hint="cs"/>
          <w:rtl/>
        </w:rPr>
        <w:t xml:space="preserve">. </w:t>
      </w:r>
      <w:r>
        <w:rPr>
          <w:rtl/>
        </w:rPr>
        <w:t>ובימי המשנה שהיו מלקטים ע"י שהיו מנענעים את הזית בכח</w:t>
      </w:r>
      <w:r>
        <w:rPr>
          <w:szCs w:val="22"/>
          <w:rtl/>
        </w:rPr>
        <w:t xml:space="preserve"> </w:t>
      </w:r>
      <w:r>
        <w:rPr>
          <w:rtl/>
        </w:rPr>
        <w:t>ובחוזק</w:t>
      </w:r>
      <w:r>
        <w:rPr>
          <w:rFonts w:hint="cs"/>
          <w:rtl/>
        </w:rPr>
        <w:t xml:space="preserve"> [</w:t>
      </w:r>
      <w:r>
        <w:rPr>
          <w:rtl/>
        </w:rPr>
        <w:t xml:space="preserve">וע"י שבעת הנדנוד ישמע קול, יקרא בשם מסיקה כמו </w:t>
      </w:r>
      <w:r>
        <w:rPr>
          <w:rFonts w:hint="cs"/>
          <w:rtl/>
        </w:rPr>
        <w:t>'</w:t>
      </w:r>
      <w:r>
        <w:rPr>
          <w:rtl/>
        </w:rPr>
        <w:t>מַשַּׁק גֵּבִים</w:t>
      </w:r>
      <w:r>
        <w:rPr>
          <w:rFonts w:hint="cs"/>
          <w:rtl/>
        </w:rPr>
        <w:t xml:space="preserve">' </w:t>
      </w:r>
      <w:r>
        <w:rPr>
          <w:rtl/>
        </w:rPr>
        <w:t>(</w:t>
      </w:r>
      <w:r>
        <w:rPr>
          <w:sz w:val="18"/>
          <w:szCs w:val="20"/>
          <w:rtl/>
        </w:rPr>
        <w:t>ישעיהו לג</w:t>
      </w:r>
      <w:r>
        <w:rPr>
          <w:rFonts w:hint="cs"/>
          <w:sz w:val="18"/>
          <w:szCs w:val="20"/>
          <w:rtl/>
        </w:rPr>
        <w:t xml:space="preserve">, </w:t>
      </w:r>
      <w:r>
        <w:rPr>
          <w:sz w:val="18"/>
          <w:szCs w:val="20"/>
          <w:rtl/>
        </w:rPr>
        <w:t>ד</w:t>
      </w:r>
      <w:r>
        <w:rPr>
          <w:rtl/>
        </w:rPr>
        <w:t>)</w:t>
      </w:r>
      <w:r>
        <w:rPr>
          <w:rFonts w:hint="cs"/>
          <w:rtl/>
        </w:rPr>
        <w:t xml:space="preserve">] </w:t>
      </w:r>
      <w:r>
        <w:rPr>
          <w:rtl/>
        </w:rPr>
        <w:t>והיה באפשרם ללק</w:t>
      </w:r>
      <w:r>
        <w:rPr>
          <w:rFonts w:hint="cs"/>
          <w:rtl/>
        </w:rPr>
        <w:t>ו</w:t>
      </w:r>
      <w:r>
        <w:rPr>
          <w:rtl/>
        </w:rPr>
        <w:t>ט הכל</w:t>
      </w:r>
      <w:r>
        <w:rPr>
          <w:rFonts w:hint="cs"/>
          <w:rtl/>
        </w:rPr>
        <w:t>,</w:t>
      </w:r>
      <w:r>
        <w:rPr>
          <w:rtl/>
        </w:rPr>
        <w:t xml:space="preserve"> רק שבהכרח השאירו ש</w:t>
      </w:r>
      <w:r>
        <w:rPr>
          <w:rFonts w:hint="cs"/>
          <w:rtl/>
        </w:rPr>
        <w:t>ִ</w:t>
      </w:r>
      <w:r>
        <w:rPr>
          <w:rtl/>
        </w:rPr>
        <w:t>עור פאה מצומצם</w:t>
      </w:r>
      <w:r>
        <w:rPr>
          <w:rFonts w:hint="cs"/>
          <w:rtl/>
        </w:rPr>
        <w:t xml:space="preserve">. </w:t>
      </w:r>
      <w:r>
        <w:rPr>
          <w:rtl/>
        </w:rPr>
        <w:t>וז</w:t>
      </w:r>
      <w:r>
        <w:rPr>
          <w:rFonts w:hint="cs"/>
          <w:rtl/>
        </w:rPr>
        <w:t xml:space="preserve">הו </w:t>
      </w:r>
      <w:r>
        <w:rPr>
          <w:rtl/>
        </w:rPr>
        <w:t>ש</w:t>
      </w:r>
      <w:r>
        <w:rPr>
          <w:rFonts w:hint="cs"/>
          <w:rtl/>
        </w:rPr>
        <w:t xml:space="preserve">אמר </w:t>
      </w:r>
      <w:r>
        <w:rPr>
          <w:rtl/>
        </w:rPr>
        <w:t>הספרי</w:t>
      </w:r>
      <w:r>
        <w:rPr>
          <w:rFonts w:hint="cs"/>
          <w:rtl/>
        </w:rPr>
        <w:t>: '</w:t>
      </w:r>
      <w:r>
        <w:rPr>
          <w:rtl/>
        </w:rPr>
        <w:t>הראשונים היו נוהגים בעין יפה</w:t>
      </w:r>
      <w:r>
        <w:rPr>
          <w:rFonts w:hint="cs"/>
          <w:rtl/>
        </w:rPr>
        <w:t>'.</w:t>
      </w:r>
      <w:r>
        <w:rPr>
          <w:rtl/>
        </w:rPr>
        <w:t xml:space="preserve"> ובין לפי</w:t>
      </w:r>
      <w:r>
        <w:rPr>
          <w:rFonts w:hint="cs"/>
          <w:rtl/>
        </w:rPr>
        <w:t>רוש</w:t>
      </w:r>
      <w:r>
        <w:rPr>
          <w:rtl/>
        </w:rPr>
        <w:t xml:space="preserve"> חז"ל ובין לפי</w:t>
      </w:r>
      <w:r>
        <w:rPr>
          <w:rFonts w:hint="cs"/>
          <w:rtl/>
        </w:rPr>
        <w:t>רוש</w:t>
      </w:r>
      <w:r>
        <w:rPr>
          <w:rtl/>
        </w:rPr>
        <w:t xml:space="preserve"> אונקלוס</w:t>
      </w:r>
      <w:r>
        <w:rPr>
          <w:rFonts w:hint="cs"/>
          <w:rtl/>
        </w:rPr>
        <w:t xml:space="preserve"> </w:t>
      </w:r>
      <w:r>
        <w:rPr>
          <w:rtl/>
        </w:rPr>
        <w:t>והפשטנים</w:t>
      </w:r>
      <w:r>
        <w:rPr>
          <w:rFonts w:hint="cs"/>
          <w:rtl/>
        </w:rPr>
        <w:t>,</w:t>
      </w:r>
      <w:r>
        <w:rPr>
          <w:rtl/>
        </w:rPr>
        <w:t xml:space="preserve"> לשון תפאר היא על הפאה, וחידש הכתוב בכאן הפאה והשכחה</w:t>
      </w:r>
      <w:r>
        <w:rPr>
          <w:szCs w:val="22"/>
          <w:rtl/>
        </w:rPr>
        <w:t xml:space="preserve"> </w:t>
      </w:r>
      <w:r>
        <w:rPr>
          <w:rtl/>
        </w:rPr>
        <w:t>בזית</w:t>
      </w:r>
      <w:r>
        <w:rPr>
          <w:rFonts w:hint="cs"/>
          <w:rtl/>
        </w:rPr>
        <w:t xml:space="preserve"> </w:t>
      </w:r>
      <w:r>
        <w:rPr>
          <w:rtl/>
        </w:rPr>
        <w:t>וממנו נלמד לשאר אילנות</w:t>
      </w:r>
      <w:r>
        <w:rPr>
          <w:rFonts w:hint="cs"/>
          <w:rtl/>
        </w:rPr>
        <w:t>".</w:t>
      </w:r>
    </w:p>
  </w:footnote>
  <w:footnote w:id="324">
    <w:p w14:paraId="229349A9" w14:textId="77777777" w:rsidR="000015C4" w:rsidRDefault="000015C4" w:rsidP="000015C4">
      <w:pPr>
        <w:pStyle w:val="a5"/>
        <w:rPr>
          <w:rFonts w:hint="cs"/>
          <w:rtl/>
        </w:rPr>
      </w:pPr>
      <w:r>
        <w:rPr>
          <w:rStyle w:val="a4"/>
          <w:rtl/>
        </w:rPr>
        <w:footnoteRef/>
      </w:r>
      <w:r>
        <w:t xml:space="preserve"> </w:t>
      </w:r>
      <w:r>
        <w:rPr>
          <w:rFonts w:hint="cs"/>
          <w:rtl/>
        </w:rPr>
        <w:t>ר"א</w:t>
      </w:r>
      <w:r>
        <w:rPr>
          <w:rtl/>
        </w:rPr>
        <w:t xml:space="preserve"> אבן עזרא</w:t>
      </w:r>
      <w:r>
        <w:rPr>
          <w:rFonts w:hint="cs"/>
          <w:rtl/>
        </w:rPr>
        <w:t xml:space="preserve"> כותב (</w:t>
      </w:r>
      <w:r>
        <w:rPr>
          <w:rFonts w:hint="cs"/>
          <w:sz w:val="18"/>
          <w:szCs w:val="20"/>
          <w:rtl/>
        </w:rPr>
        <w:t>ב</w:t>
      </w:r>
      <w:r>
        <w:rPr>
          <w:sz w:val="18"/>
          <w:szCs w:val="20"/>
          <w:rtl/>
        </w:rPr>
        <w:t xml:space="preserve">פירוש הקצר </w:t>
      </w:r>
      <w:r>
        <w:rPr>
          <w:rFonts w:hint="cs"/>
          <w:sz w:val="18"/>
          <w:szCs w:val="20"/>
          <w:rtl/>
        </w:rPr>
        <w:t>ל</w:t>
      </w:r>
      <w:r>
        <w:rPr>
          <w:sz w:val="18"/>
          <w:szCs w:val="20"/>
          <w:rtl/>
        </w:rPr>
        <w:t>שמות כז</w:t>
      </w:r>
      <w:r>
        <w:rPr>
          <w:rFonts w:hint="cs"/>
          <w:sz w:val="18"/>
          <w:szCs w:val="20"/>
          <w:rtl/>
        </w:rPr>
        <w:t xml:space="preserve">, </w:t>
      </w:r>
      <w:r>
        <w:rPr>
          <w:sz w:val="18"/>
          <w:szCs w:val="20"/>
          <w:rtl/>
        </w:rPr>
        <w:t>ג</w:t>
      </w:r>
      <w:r>
        <w:rPr>
          <w:rFonts w:hint="cs"/>
          <w:rtl/>
        </w:rPr>
        <w:t xml:space="preserve">) של"דִשֵּן" שלוש הוראות: הסרת </w:t>
      </w:r>
      <w:r>
        <w:rPr>
          <w:rtl/>
        </w:rPr>
        <w:t xml:space="preserve">הדשן </w:t>
      </w:r>
      <w:r>
        <w:rPr>
          <w:rFonts w:hint="cs"/>
          <w:rtl/>
        </w:rPr>
        <w:t xml:space="preserve">(כמו דישון המזבח), יֵעָשׂה </w:t>
      </w:r>
      <w:r>
        <w:rPr>
          <w:rtl/>
        </w:rPr>
        <w:t xml:space="preserve">דָשֵׁן וְשָׁמֵן </w:t>
      </w:r>
      <w:r>
        <w:rPr>
          <w:rFonts w:hint="cs"/>
          <w:rtl/>
        </w:rPr>
        <w:t>(כמו: "</w:t>
      </w:r>
      <w:r>
        <w:rPr>
          <w:rtl/>
        </w:rPr>
        <w:t>דִּשַּׁנְתָּ בַשֶּׁמֶן</w:t>
      </w:r>
      <w:r>
        <w:rPr>
          <w:rFonts w:hint="cs"/>
          <w:rtl/>
        </w:rPr>
        <w:t xml:space="preserve">", </w:t>
      </w:r>
      <w:r>
        <w:rPr>
          <w:sz w:val="18"/>
          <w:szCs w:val="20"/>
          <w:rtl/>
        </w:rPr>
        <w:t>תהלים כג</w:t>
      </w:r>
      <w:r>
        <w:rPr>
          <w:rFonts w:hint="cs"/>
          <w:sz w:val="18"/>
          <w:szCs w:val="20"/>
          <w:rtl/>
        </w:rPr>
        <w:t xml:space="preserve">, </w:t>
      </w:r>
      <w:r>
        <w:rPr>
          <w:sz w:val="18"/>
          <w:szCs w:val="20"/>
          <w:rtl/>
        </w:rPr>
        <w:t>ה</w:t>
      </w:r>
      <w:r>
        <w:rPr>
          <w:rFonts w:hint="cs"/>
          <w:rtl/>
        </w:rPr>
        <w:t>) או</w:t>
      </w:r>
      <w:r>
        <w:rPr>
          <w:rtl/>
        </w:rPr>
        <w:t xml:space="preserve"> </w:t>
      </w:r>
      <w:r>
        <w:rPr>
          <w:rFonts w:hint="cs"/>
          <w:rtl/>
        </w:rPr>
        <w:t xml:space="preserve">יֵעָשׂה </w:t>
      </w:r>
      <w:r>
        <w:rPr>
          <w:rtl/>
        </w:rPr>
        <w:t>דֶּשֶׁן</w:t>
      </w:r>
      <w:r>
        <w:rPr>
          <w:rFonts w:hint="cs"/>
          <w:rtl/>
        </w:rPr>
        <w:t xml:space="preserve"> ואֵפֶר (כמו "</w:t>
      </w:r>
      <w:r>
        <w:rPr>
          <w:rtl/>
        </w:rPr>
        <w:t>יְדַשְּׁנֶה</w:t>
      </w:r>
      <w:r>
        <w:rPr>
          <w:rFonts w:hint="cs"/>
          <w:rtl/>
        </w:rPr>
        <w:t>"</w:t>
      </w:r>
      <w:r>
        <w:rPr>
          <w:rFonts w:hint="cs"/>
          <w:sz w:val="18"/>
          <w:szCs w:val="20"/>
          <w:rtl/>
        </w:rPr>
        <w:t>, ש</w:t>
      </w:r>
      <w:r>
        <w:rPr>
          <w:sz w:val="18"/>
          <w:szCs w:val="20"/>
          <w:rtl/>
        </w:rPr>
        <w:t>ם כ</w:t>
      </w:r>
      <w:r>
        <w:rPr>
          <w:rFonts w:hint="cs"/>
          <w:sz w:val="18"/>
          <w:szCs w:val="20"/>
          <w:rtl/>
        </w:rPr>
        <w:t xml:space="preserve">, </w:t>
      </w:r>
      <w:r>
        <w:rPr>
          <w:sz w:val="18"/>
          <w:szCs w:val="20"/>
          <w:rtl/>
        </w:rPr>
        <w:t>ד</w:t>
      </w:r>
      <w:r>
        <w:rPr>
          <w:rFonts w:hint="cs"/>
          <w:rtl/>
        </w:rPr>
        <w:t>).</w:t>
      </w:r>
    </w:p>
  </w:footnote>
  <w:footnote w:id="325">
    <w:p w14:paraId="077D8DF9" w14:textId="77777777" w:rsidR="000015C4" w:rsidRDefault="000015C4" w:rsidP="000015C4">
      <w:pPr>
        <w:pStyle w:val="a5"/>
        <w:rPr>
          <w:rFonts w:hint="cs"/>
          <w:rtl/>
        </w:rPr>
      </w:pPr>
      <w:r>
        <w:rPr>
          <w:rStyle w:val="a4"/>
        </w:rPr>
        <w:footnoteRef/>
      </w:r>
      <w:r>
        <w:rPr>
          <w:rFonts w:hint="cs"/>
          <w:rtl/>
        </w:rPr>
        <w:t xml:space="preserve"> השוה לפירוש הר"ש סירליאו (שם): "דלענין עוללות לא אצטריך, דהא כתיב בפרשת קדושים</w:t>
      </w:r>
      <w:r>
        <w:rPr>
          <w:rtl/>
        </w:rPr>
        <w:t xml:space="preserve"> </w:t>
      </w:r>
      <w:r>
        <w:rPr>
          <w:rFonts w:hint="cs"/>
          <w:rtl/>
        </w:rPr>
        <w:t>'</w:t>
      </w:r>
      <w:r>
        <w:rPr>
          <w:rtl/>
        </w:rPr>
        <w:t>וְכַרְמְךָ לֹא תְעוֹלֵל</w:t>
      </w:r>
      <w:r>
        <w:rPr>
          <w:rFonts w:hint="cs"/>
          <w:rtl/>
        </w:rPr>
        <w:t>' [לכן, הכתוב בפרשת כי תצא] לאזהרת פאה לכרם הוא דאתא".</w:t>
      </w:r>
    </w:p>
  </w:footnote>
  <w:footnote w:id="326">
    <w:p w14:paraId="76BC380F" w14:textId="77777777" w:rsidR="000015C4" w:rsidRDefault="000015C4" w:rsidP="000015C4">
      <w:pPr>
        <w:pStyle w:val="a5"/>
        <w:rPr>
          <w:rFonts w:hint="cs"/>
          <w:rtl/>
        </w:rPr>
      </w:pPr>
      <w:r>
        <w:rPr>
          <w:rStyle w:val="a4"/>
          <w:rtl/>
        </w:rPr>
        <w:footnoteRef/>
      </w:r>
      <w:r>
        <w:rPr>
          <w:szCs w:val="22"/>
        </w:rPr>
        <w:t xml:space="preserve"> </w:t>
      </w:r>
      <w:r>
        <w:rPr>
          <w:rtl/>
        </w:rPr>
        <w:t xml:space="preserve">"תְפַאֵר" </w:t>
      </w:r>
      <w:r>
        <w:rPr>
          <w:rFonts w:hint="cs"/>
          <w:rtl/>
        </w:rPr>
        <w:t>דומה ל"</w:t>
      </w:r>
      <w:r>
        <w:rPr>
          <w:rtl/>
        </w:rPr>
        <w:t>תְ</w:t>
      </w:r>
      <w:r>
        <w:rPr>
          <w:rFonts w:hint="cs"/>
          <w:rtl/>
        </w:rPr>
        <w:t>ב</w:t>
      </w:r>
      <w:r>
        <w:rPr>
          <w:rtl/>
        </w:rPr>
        <w:t>ַ</w:t>
      </w:r>
      <w:r>
        <w:rPr>
          <w:rFonts w:hint="cs"/>
          <w:rtl/>
        </w:rPr>
        <w:t>ע</w:t>
      </w:r>
      <w:r>
        <w:rPr>
          <w:rtl/>
        </w:rPr>
        <w:t>ֵר</w:t>
      </w:r>
      <w:r>
        <w:rPr>
          <w:rFonts w:hint="cs"/>
          <w:rtl/>
        </w:rPr>
        <w:t xml:space="preserve">" לא רק </w:t>
      </w:r>
      <w:r>
        <w:rPr>
          <w:rFonts w:hint="cs"/>
          <w:sz w:val="26"/>
          <w:rtl/>
        </w:rPr>
        <w:t>מבחינת המשמעות (</w:t>
      </w:r>
      <w:r>
        <w:rPr>
          <w:rFonts w:hint="cs"/>
          <w:rtl/>
        </w:rPr>
        <w:t>דמיון סימנטי) אלא גם</w:t>
      </w:r>
      <w:r>
        <w:rPr>
          <w:rFonts w:hint="cs"/>
          <w:sz w:val="18"/>
          <w:szCs w:val="20"/>
          <w:rtl/>
        </w:rPr>
        <w:t xml:space="preserve"> </w:t>
      </w:r>
      <w:r>
        <w:rPr>
          <w:rFonts w:hint="cs"/>
          <w:sz w:val="26"/>
          <w:rtl/>
        </w:rPr>
        <w:t>מבחינת הצליל, ההיגוי</w:t>
      </w:r>
      <w:r>
        <w:rPr>
          <w:rFonts w:hint="cs"/>
          <w:rtl/>
        </w:rPr>
        <w:t xml:space="preserve"> (דמיון פונֶטי): לשני העיצורים הראשונים בשורשים פא"ר / בע"ר מוצא משותף (פ/ב - עיצורים שפתיים; א/ע - גרוניים), וכדברי </w:t>
      </w:r>
      <w:r>
        <w:rPr>
          <w:rtl/>
        </w:rPr>
        <w:t>רש"י</w:t>
      </w:r>
      <w:r>
        <w:rPr>
          <w:rFonts w:hint="cs"/>
          <w:rtl/>
        </w:rPr>
        <w:t xml:space="preserve"> </w:t>
      </w:r>
      <w:r>
        <w:rPr>
          <w:rFonts w:hint="cs"/>
          <w:sz w:val="18"/>
          <w:szCs w:val="20"/>
          <w:rtl/>
        </w:rPr>
        <w:t>הנ"ל בהערה 20</w:t>
      </w:r>
      <w:r>
        <w:rPr>
          <w:rFonts w:hint="cs"/>
          <w:rtl/>
        </w:rPr>
        <w:t>. וכך כתב "מרפא לשון": "</w:t>
      </w:r>
      <w:r>
        <w:rPr>
          <w:rtl/>
        </w:rPr>
        <w:t xml:space="preserve">לא </w:t>
      </w:r>
      <w:r>
        <w:rPr>
          <w:rFonts w:hint="cs"/>
          <w:rtl/>
        </w:rPr>
        <w:t>תְפַלֵּי</w:t>
      </w:r>
      <w:r>
        <w:rPr>
          <w:rtl/>
        </w:rPr>
        <w:t xml:space="preserve"> </w:t>
      </w:r>
      <w:r>
        <w:rPr>
          <w:rFonts w:hint="cs"/>
          <w:rtl/>
        </w:rPr>
        <w:t xml:space="preserve">- כתרגום לא </w:t>
      </w:r>
      <w:r>
        <w:rPr>
          <w:rtl/>
        </w:rPr>
        <w:t>תְ</w:t>
      </w:r>
      <w:r>
        <w:rPr>
          <w:rFonts w:hint="cs"/>
          <w:rtl/>
        </w:rPr>
        <w:t>ב</w:t>
      </w:r>
      <w:r>
        <w:rPr>
          <w:rtl/>
        </w:rPr>
        <w:t>ַ</w:t>
      </w:r>
      <w:r>
        <w:rPr>
          <w:rFonts w:hint="cs"/>
          <w:rtl/>
        </w:rPr>
        <w:t>ע</w:t>
      </w:r>
      <w:r>
        <w:rPr>
          <w:rtl/>
        </w:rPr>
        <w:t>ֵר</w:t>
      </w:r>
      <w:r>
        <w:rPr>
          <w:rFonts w:hint="cs"/>
          <w:rtl/>
        </w:rPr>
        <w:t>. נראה שכוונתו שאותיות פ' וא' במִלת '</w:t>
      </w:r>
      <w:r>
        <w:rPr>
          <w:rtl/>
        </w:rPr>
        <w:t>תְפַאֵר</w:t>
      </w:r>
      <w:r>
        <w:rPr>
          <w:rFonts w:hint="cs"/>
          <w:rtl/>
        </w:rPr>
        <w:t xml:space="preserve">' במקום ב' וע' - שהם ממוצא אחד. וכן כתב היא"ר. ויתכן שהוא כפירוש רש"י... וכדתנא דבי ר"י. והתרגום שמר הענין". וכ"כ </w:t>
      </w:r>
      <w:r>
        <w:rPr>
          <w:rFonts w:hint="cs"/>
          <w:sz w:val="26"/>
          <w:rtl/>
        </w:rPr>
        <w:t xml:space="preserve">ר' יעקב צבי מֶקלנבורג, בעל הכתב והקבלה, בביאור התרגום הארמי: "לתרגומם תפאר לשון ביעור, בחילוף אותיות משווי המוצאות". יצוין פרט נוסף המשותף </w:t>
      </w:r>
      <w:r>
        <w:rPr>
          <w:rFonts w:hint="cs"/>
          <w:rtl/>
        </w:rPr>
        <w:t>ל"פִּאֵר" ול"בִע</w:t>
      </w:r>
      <w:r>
        <w:rPr>
          <w:rtl/>
        </w:rPr>
        <w:t>ֵר</w:t>
      </w:r>
      <w:r>
        <w:rPr>
          <w:rFonts w:hint="cs"/>
          <w:rtl/>
        </w:rPr>
        <w:t>"</w:t>
      </w:r>
      <w:r>
        <w:rPr>
          <w:rFonts w:hint="cs"/>
          <w:sz w:val="26"/>
          <w:rtl/>
        </w:rPr>
        <w:t xml:space="preserve">: </w:t>
      </w:r>
      <w:r>
        <w:rPr>
          <w:rFonts w:hint="cs"/>
          <w:rtl/>
        </w:rPr>
        <w:t>העדר תשלום דגש (</w:t>
      </w:r>
      <w:r>
        <w:rPr>
          <w:rFonts w:hint="cs"/>
          <w:sz w:val="18"/>
          <w:szCs w:val="20"/>
          <w:rtl/>
        </w:rPr>
        <w:t>כנ"ל בהערה 38</w:t>
      </w:r>
      <w:r>
        <w:rPr>
          <w:rFonts w:hint="cs"/>
          <w:rtl/>
        </w:rPr>
        <w:t>).</w:t>
      </w:r>
    </w:p>
  </w:footnote>
  <w:footnote w:id="327">
    <w:p w14:paraId="2DBF96E7" w14:textId="77777777" w:rsidR="000015C4" w:rsidRDefault="000015C4" w:rsidP="000015C4">
      <w:pPr>
        <w:pStyle w:val="a5"/>
        <w:rPr>
          <w:rtl/>
        </w:rPr>
      </w:pPr>
      <w:r>
        <w:rPr>
          <w:rStyle w:val="a4"/>
          <w:rtl/>
        </w:rPr>
        <w:footnoteRef/>
      </w:r>
      <w:r>
        <w:rPr>
          <w:szCs w:val="22"/>
        </w:rPr>
        <w:t xml:space="preserve"> </w:t>
      </w:r>
      <w:r>
        <w:rPr>
          <w:rFonts w:hint="cs"/>
          <w:rtl/>
        </w:rPr>
        <w:t xml:space="preserve">מרש"י שפֵרש כאן, ע"פ תנא דבי ר"י, </w:t>
      </w:r>
      <w:r>
        <w:rPr>
          <w:rtl/>
        </w:rPr>
        <w:t>"שלא תטול תפארתו</w:t>
      </w:r>
      <w:r>
        <w:rPr>
          <w:rFonts w:hint="cs"/>
          <w:rtl/>
        </w:rPr>
        <w:t>", מבואר שעצם נטילת הזיתים היא האסורה.</w:t>
      </w:r>
    </w:p>
  </w:footnote>
  <w:footnote w:id="328">
    <w:p w14:paraId="2A0CF4B6" w14:textId="77777777" w:rsidR="000015C4" w:rsidRDefault="000015C4" w:rsidP="000015C4">
      <w:pPr>
        <w:pStyle w:val="a5"/>
        <w:rPr>
          <w:rtl/>
        </w:rPr>
      </w:pPr>
      <w:r>
        <w:rPr>
          <w:rStyle w:val="a4"/>
          <w:rtl/>
        </w:rPr>
        <w:footnoteRef/>
      </w:r>
      <w:r>
        <w:rPr>
          <w:szCs w:val="22"/>
        </w:rPr>
        <w:t xml:space="preserve"> </w:t>
      </w:r>
      <w:r>
        <w:rPr>
          <w:rFonts w:hint="cs"/>
          <w:rtl/>
        </w:rPr>
        <w:t>ראה נפש הגר על אתר.</w:t>
      </w:r>
    </w:p>
  </w:footnote>
  <w:footnote w:id="329">
    <w:p w14:paraId="4E14A6F5" w14:textId="77777777" w:rsidR="000015C4" w:rsidRDefault="000015C4" w:rsidP="000015C4">
      <w:pPr>
        <w:pStyle w:val="a5"/>
        <w:rPr>
          <w:rFonts w:hint="cs"/>
          <w:rtl/>
        </w:rPr>
      </w:pPr>
      <w:r>
        <w:rPr>
          <w:rStyle w:val="a4"/>
        </w:rPr>
        <w:footnoteRef/>
      </w:r>
      <w:r>
        <w:rPr>
          <w:rFonts w:hint="cs"/>
          <w:rtl/>
        </w:rPr>
        <w:t xml:space="preserve"> </w:t>
      </w:r>
      <w:r>
        <w:rPr>
          <w:rFonts w:eastAsia="MS Mincho"/>
          <w:sz w:val="26"/>
          <w:rtl/>
        </w:rPr>
        <w:t>"מטונימיה" בלעז, דהיינו: תחליף של מִלה עבור מִלה אחרת, כשהחילופים מבוססים על קירבה וסמיכות עניינים נסיבתיים (</w:t>
      </w:r>
      <w:r>
        <w:rPr>
          <w:rFonts w:eastAsia="MS Mincho"/>
          <w:sz w:val="18"/>
          <w:szCs w:val="20"/>
          <w:rtl/>
        </w:rPr>
        <w:t>ע"פ: אהרן קומם, "המטונימיה", בתוך: אשל באר שבע, עמ' 334</w:t>
      </w:r>
      <w:r>
        <w:rPr>
          <w:rFonts w:eastAsia="MS Mincho"/>
          <w:sz w:val="26"/>
          <w:rtl/>
        </w:rPr>
        <w:t>).</w:t>
      </w:r>
    </w:p>
  </w:footnote>
  <w:footnote w:id="330">
    <w:p w14:paraId="0955F1BB" w14:textId="77777777" w:rsidR="000015C4" w:rsidRDefault="000015C4" w:rsidP="000015C4">
      <w:pPr>
        <w:pStyle w:val="a5"/>
        <w:rPr>
          <w:rFonts w:hint="cs"/>
          <w:rtl/>
        </w:rPr>
      </w:pPr>
      <w:r>
        <w:rPr>
          <w:rStyle w:val="a4"/>
          <w:rtl/>
        </w:rPr>
        <w:footnoteRef/>
      </w:r>
      <w:r>
        <w:rPr>
          <w:szCs w:val="22"/>
        </w:rPr>
        <w:t xml:space="preserve"> </w:t>
      </w:r>
      <w:r>
        <w:rPr>
          <w:rFonts w:hint="cs"/>
          <w:rtl/>
        </w:rPr>
        <w:t>תן דעתך: גם ביטוי זה יכול להורות על תהליך הדיון בעניין הרשעים, וגם על ביצוע עונשם (</w:t>
      </w:r>
      <w:r>
        <w:rPr>
          <w:rFonts w:hint="cs"/>
          <w:sz w:val="18"/>
          <w:szCs w:val="20"/>
          <w:rtl/>
        </w:rPr>
        <w:t>ראה: מגילה יז, ב</w:t>
      </w:r>
      <w:r>
        <w:rPr>
          <w:rFonts w:hint="cs"/>
          <w:rtl/>
        </w:rPr>
        <w:t>).</w:t>
      </w:r>
    </w:p>
  </w:footnote>
  <w:footnote w:id="331">
    <w:p w14:paraId="4127358D" w14:textId="77777777" w:rsidR="000015C4" w:rsidRDefault="000015C4" w:rsidP="000015C4">
      <w:pPr>
        <w:pStyle w:val="a5"/>
        <w:rPr>
          <w:rFonts w:hint="cs"/>
          <w:rtl/>
        </w:rPr>
      </w:pPr>
      <w:r>
        <w:rPr>
          <w:rStyle w:val="a4"/>
        </w:rPr>
        <w:footnoteRef/>
      </w:r>
      <w:r>
        <w:rPr>
          <w:rFonts w:hint="cs"/>
          <w:rtl/>
        </w:rPr>
        <w:t xml:space="preserve"> </w:t>
      </w:r>
      <w:r>
        <w:rPr>
          <w:rFonts w:eastAsia="MS Mincho"/>
          <w:sz w:val="26"/>
          <w:rtl/>
        </w:rPr>
        <w:t>יתכן שבשלושה פסוקים בספר מלכים (</w:t>
      </w:r>
      <w:r>
        <w:rPr>
          <w:rFonts w:eastAsia="MS Mincho"/>
          <w:sz w:val="18"/>
          <w:szCs w:val="20"/>
          <w:rtl/>
        </w:rPr>
        <w:t xml:space="preserve">א' יד, י: </w:t>
      </w:r>
      <w:r>
        <w:rPr>
          <w:rFonts w:eastAsia="MS Mincho"/>
          <w:sz w:val="26"/>
          <w:rtl/>
        </w:rPr>
        <w:t>"</w:t>
      </w:r>
      <w:r>
        <w:rPr>
          <w:rFonts w:eastAsia="MS Mincho"/>
          <w:b/>
          <w:bCs/>
          <w:sz w:val="26"/>
          <w:rtl/>
        </w:rPr>
        <w:t>וּבִעַרְתִּי</w:t>
      </w:r>
      <w:r>
        <w:rPr>
          <w:rFonts w:eastAsia="MS Mincho"/>
          <w:sz w:val="26"/>
          <w:rtl/>
        </w:rPr>
        <w:t xml:space="preserve"> אַחֲרֵי בֵית יָרָבְעָם"</w:t>
      </w:r>
      <w:r>
        <w:rPr>
          <w:rFonts w:eastAsia="MS Mincho"/>
          <w:sz w:val="18"/>
          <w:szCs w:val="20"/>
          <w:rtl/>
        </w:rPr>
        <w:t xml:space="preserve">; כא, כא: </w:t>
      </w:r>
      <w:r>
        <w:rPr>
          <w:rFonts w:eastAsia="MS Mincho"/>
          <w:sz w:val="26"/>
          <w:rtl/>
        </w:rPr>
        <w:t>"</w:t>
      </w:r>
      <w:r>
        <w:rPr>
          <w:rFonts w:eastAsia="MS Mincho"/>
          <w:b/>
          <w:bCs/>
          <w:sz w:val="26"/>
          <w:rtl/>
        </w:rPr>
        <w:t>וּבִעַרְתִּי</w:t>
      </w:r>
      <w:r>
        <w:rPr>
          <w:rFonts w:eastAsia="MS Mincho"/>
          <w:sz w:val="26"/>
          <w:rtl/>
        </w:rPr>
        <w:t xml:space="preserve"> אַחֲרֶיךָ" - שניהם בבנין פִעֵל; ופעם בבנין הִפעיל: </w:t>
      </w:r>
      <w:r>
        <w:rPr>
          <w:rFonts w:eastAsia="MS Mincho"/>
          <w:sz w:val="18"/>
          <w:szCs w:val="20"/>
          <w:rtl/>
        </w:rPr>
        <w:t xml:space="preserve">טז, ג: </w:t>
      </w:r>
      <w:r>
        <w:rPr>
          <w:rFonts w:eastAsia="MS Mincho"/>
          <w:sz w:val="26"/>
          <w:rtl/>
        </w:rPr>
        <w:t>"</w:t>
      </w:r>
      <w:r>
        <w:rPr>
          <w:rFonts w:eastAsia="MS Mincho"/>
          <w:b/>
          <w:bCs/>
          <w:sz w:val="26"/>
          <w:rtl/>
        </w:rPr>
        <w:t>מַבְעִיר</w:t>
      </w:r>
      <w:r>
        <w:rPr>
          <w:rFonts w:eastAsia="MS Mincho"/>
          <w:sz w:val="26"/>
          <w:rtl/>
        </w:rPr>
        <w:t xml:space="preserve"> אַחֲרֵי בַעְשָׁא") משמש פֹעַל משורש בע"ר במשמעות קרובה לשורש חפ"ש ולשורש בד"ק. </w:t>
      </w:r>
      <w:r>
        <w:rPr>
          <w:rFonts w:eastAsia="MS Mincho" w:hint="cs"/>
          <w:sz w:val="26"/>
          <w:rtl/>
        </w:rPr>
        <w:t xml:space="preserve">את </w:t>
      </w:r>
      <w:r>
        <w:rPr>
          <w:rFonts w:eastAsia="MS Mincho"/>
          <w:sz w:val="26"/>
          <w:rtl/>
        </w:rPr>
        <w:t>כולם מתרגם יונתן בעזרת שורש פל"י (</w:t>
      </w:r>
      <w:r>
        <w:rPr>
          <w:rFonts w:eastAsia="MS Mincho"/>
          <w:sz w:val="18"/>
          <w:szCs w:val="20"/>
          <w:rtl/>
        </w:rPr>
        <w:t>"ואפלי בתר" וכיו"ב</w:t>
      </w:r>
      <w:r>
        <w:rPr>
          <w:rFonts w:eastAsia="MS Mincho"/>
          <w:sz w:val="26"/>
          <w:rtl/>
        </w:rPr>
        <w:t>)</w:t>
      </w:r>
      <w:r>
        <w:rPr>
          <w:rFonts w:eastAsia="MS Mincho" w:hint="cs"/>
          <w:sz w:val="26"/>
          <w:rtl/>
        </w:rPr>
        <w:t xml:space="preserve">. </w:t>
      </w:r>
      <w:r>
        <w:rPr>
          <w:rFonts w:eastAsia="MS Mincho"/>
          <w:sz w:val="26"/>
          <w:rtl/>
        </w:rPr>
        <w:t xml:space="preserve">לפי הפירוש המקובל, שורש בע"ר משמש כאן במשמעות דומה לשורש שמ"ד או כל"ה, כפי </w:t>
      </w:r>
      <w:r>
        <w:rPr>
          <w:rFonts w:eastAsia="MS Mincho" w:hint="cs"/>
          <w:sz w:val="26"/>
          <w:rtl/>
        </w:rPr>
        <w:t>ש</w:t>
      </w:r>
      <w:r>
        <w:rPr>
          <w:rFonts w:eastAsia="MS Mincho"/>
          <w:sz w:val="26"/>
          <w:rtl/>
        </w:rPr>
        <w:t>פֵרשו רד"ק (</w:t>
      </w:r>
      <w:r>
        <w:rPr>
          <w:rFonts w:eastAsia="MS Mincho"/>
          <w:sz w:val="18"/>
          <w:szCs w:val="20"/>
          <w:rtl/>
        </w:rPr>
        <w:t>טז, ג: "מַבְעִיר - מן ובערת הרע"</w:t>
      </w:r>
      <w:r>
        <w:rPr>
          <w:rFonts w:eastAsia="MS Mincho"/>
          <w:sz w:val="26"/>
          <w:rtl/>
        </w:rPr>
        <w:t>), מצודת ציון (</w:t>
      </w:r>
      <w:r>
        <w:rPr>
          <w:rFonts w:eastAsia="MS Mincho"/>
          <w:sz w:val="18"/>
          <w:szCs w:val="20"/>
          <w:rtl/>
        </w:rPr>
        <w:t>יד, י: "וּבִעַרְתִּי - ענין הפִנוי מהמקום, כמו: בִערתי הקֹדש"</w:t>
      </w:r>
      <w:r>
        <w:rPr>
          <w:rFonts w:eastAsia="MS Mincho"/>
          <w:sz w:val="26"/>
          <w:rtl/>
        </w:rPr>
        <w:t>) ויהודה קיל בסדרת דעת מקרא. אם זהו הפירוש, מתבקשת מִלת יחס אחרת, כגון "אֶת" (</w:t>
      </w:r>
      <w:r>
        <w:rPr>
          <w:rFonts w:eastAsia="MS Mincho"/>
          <w:sz w:val="18"/>
          <w:szCs w:val="20"/>
          <w:rtl/>
        </w:rPr>
        <w:t>ועיין ביישובו של יהודה קיל: טז, ג</w:t>
      </w:r>
      <w:r>
        <w:rPr>
          <w:rFonts w:eastAsia="MS Mincho"/>
          <w:sz w:val="26"/>
          <w:rtl/>
        </w:rPr>
        <w:t xml:space="preserve">). מִלת היחס "אַחֲר-" </w:t>
      </w:r>
      <w:r>
        <w:rPr>
          <w:rFonts w:eastAsia="MS Mincho" w:hint="cs"/>
          <w:sz w:val="26"/>
          <w:rtl/>
        </w:rPr>
        <w:t xml:space="preserve">אף פעם </w:t>
      </w:r>
      <w:r>
        <w:rPr>
          <w:rFonts w:eastAsia="MS Mincho"/>
          <w:sz w:val="26"/>
          <w:rtl/>
        </w:rPr>
        <w:t>אינה באה אחר פֹעַל משורש שמ"ד או כל"ה. היא באה יחד עם פֹעַל משורש רד"ף בעשרות פסוקים וכן עם פֹעַל משורש דר"ש (</w:t>
      </w:r>
      <w:r>
        <w:rPr>
          <w:rFonts w:eastAsia="MS Mincho"/>
          <w:sz w:val="18"/>
          <w:szCs w:val="20"/>
          <w:rtl/>
        </w:rPr>
        <w:t>איוב לט, ח</w:t>
      </w:r>
      <w:r>
        <w:rPr>
          <w:rFonts w:eastAsia="MS Mincho"/>
          <w:sz w:val="26"/>
          <w:rtl/>
        </w:rPr>
        <w:t>)</w:t>
      </w:r>
      <w:r>
        <w:rPr>
          <w:rFonts w:eastAsia="MS Mincho" w:hint="cs"/>
          <w:sz w:val="26"/>
          <w:rtl/>
        </w:rPr>
        <w:t>, וכן עם "מיודענו":</w:t>
      </w:r>
      <w:r>
        <w:rPr>
          <w:rtl/>
        </w:rPr>
        <w:t xml:space="preserve"> "לֹא תְפַאֵר אַחֲרֶיךָ</w:t>
      </w:r>
      <w:r>
        <w:rPr>
          <w:rFonts w:hint="cs"/>
          <w:rtl/>
        </w:rPr>
        <w:t>".</w:t>
      </w:r>
      <w:r>
        <w:rPr>
          <w:rFonts w:eastAsia="MS Mincho" w:hint="cs"/>
          <w:sz w:val="26"/>
          <w:rtl/>
        </w:rPr>
        <w:t xml:space="preserve"> לפיכך, </w:t>
      </w:r>
      <w:r>
        <w:rPr>
          <w:rFonts w:eastAsia="MS Mincho"/>
          <w:sz w:val="26"/>
          <w:rtl/>
        </w:rPr>
        <w:t>מסתבר שבשלושה פסוקים אלו הכוונה היא לחיפוש אחרי מי שמעוניינים להשמידו.</w:t>
      </w:r>
    </w:p>
  </w:footnote>
  <w:footnote w:id="332">
    <w:p w14:paraId="183E38EB" w14:textId="77777777" w:rsidR="000015C4" w:rsidRDefault="000015C4" w:rsidP="000015C4">
      <w:pPr>
        <w:pStyle w:val="a5"/>
        <w:rPr>
          <w:rFonts w:hint="cs"/>
          <w:sz w:val="24"/>
          <w:rtl/>
        </w:rPr>
      </w:pPr>
      <w:r>
        <w:rPr>
          <w:rStyle w:val="a4"/>
          <w:rtl/>
        </w:rPr>
        <w:footnoteRef/>
      </w:r>
      <w:r>
        <w:rPr>
          <w:szCs w:val="22"/>
        </w:rPr>
        <w:t xml:space="preserve"> </w:t>
      </w:r>
      <w:r>
        <w:rPr>
          <w:rFonts w:hint="cs"/>
          <w:rtl/>
        </w:rPr>
        <w:t>שמא ביעור הרע החוזר על עצמו פעמים רבות אינו זהה תמיד מבחינת משמעותו: ב</w:t>
      </w:r>
      <w:r>
        <w:rPr>
          <w:sz w:val="24"/>
          <w:rtl/>
        </w:rPr>
        <w:t xml:space="preserve">דברים </w:t>
      </w:r>
      <w:r>
        <w:rPr>
          <w:sz w:val="18"/>
          <w:szCs w:val="20"/>
          <w:rtl/>
        </w:rPr>
        <w:t>יט</w:t>
      </w:r>
      <w:r>
        <w:rPr>
          <w:rFonts w:hint="cs"/>
          <w:sz w:val="18"/>
          <w:szCs w:val="20"/>
          <w:rtl/>
        </w:rPr>
        <w:t xml:space="preserve">, </w:t>
      </w:r>
      <w:r>
        <w:rPr>
          <w:sz w:val="18"/>
          <w:szCs w:val="20"/>
          <w:rtl/>
        </w:rPr>
        <w:t xml:space="preserve">יט </w:t>
      </w:r>
      <w:r>
        <w:rPr>
          <w:rFonts w:hint="cs"/>
          <w:sz w:val="20"/>
          <w:rtl/>
        </w:rPr>
        <w:t>"</w:t>
      </w:r>
      <w:r>
        <w:rPr>
          <w:sz w:val="24"/>
          <w:rtl/>
        </w:rPr>
        <w:t>וַעֲשִׂיתֶם לוֹ כַּאֲשֶׁר זָמַם לַעֲשׂוֹת לְאָחִיו</w:t>
      </w:r>
      <w:r>
        <w:rPr>
          <w:rFonts w:hint="cs"/>
          <w:sz w:val="24"/>
          <w:rtl/>
        </w:rPr>
        <w:t>,</w:t>
      </w:r>
      <w:r>
        <w:rPr>
          <w:sz w:val="24"/>
          <w:rtl/>
        </w:rPr>
        <w:t xml:space="preserve"> וּבִעַרְתָּ הָרָע מִקִּרְבֶּךָ</w:t>
      </w:r>
      <w:r>
        <w:rPr>
          <w:rFonts w:hint="cs"/>
          <w:sz w:val="24"/>
          <w:rtl/>
        </w:rPr>
        <w:t xml:space="preserve">" שלא פורש עונש מוות, אכן נוח לפרש שביעור הרע היינו הריגת העד הזומם וכילויו. אך ברוב השימושים בביטוי זה, כגון באותו הפרק, </w:t>
      </w:r>
      <w:r>
        <w:rPr>
          <w:sz w:val="18"/>
          <w:szCs w:val="20"/>
          <w:rtl/>
        </w:rPr>
        <w:t>יב</w:t>
      </w:r>
      <w:r>
        <w:rPr>
          <w:rFonts w:hint="cs"/>
          <w:sz w:val="18"/>
          <w:szCs w:val="20"/>
          <w:rtl/>
        </w:rPr>
        <w:t>-יג</w:t>
      </w:r>
      <w:r>
        <w:rPr>
          <w:rFonts w:hint="cs"/>
          <w:sz w:val="24"/>
          <w:rtl/>
        </w:rPr>
        <w:t>:</w:t>
      </w:r>
      <w:r>
        <w:rPr>
          <w:sz w:val="24"/>
          <w:rtl/>
        </w:rPr>
        <w:t xml:space="preserve"> </w:t>
      </w:r>
      <w:r>
        <w:rPr>
          <w:rFonts w:hint="cs"/>
          <w:sz w:val="24"/>
          <w:rtl/>
        </w:rPr>
        <w:t>"</w:t>
      </w:r>
      <w:r>
        <w:rPr>
          <w:sz w:val="24"/>
          <w:rtl/>
        </w:rPr>
        <w:t xml:space="preserve">וְשָׁלְחוּ זִקְנֵי עִירוֹ וְלָקְחוּ אֹתוֹ מִשָּׁם וְנָתְנוּ אֹתוֹ בְּיַד גֹּאֵל הַדָּם </w:t>
      </w:r>
      <w:r>
        <w:rPr>
          <w:b/>
          <w:bCs/>
          <w:sz w:val="24"/>
          <w:rtl/>
        </w:rPr>
        <w:t>וָמֵת</w:t>
      </w:r>
      <w:r>
        <w:rPr>
          <w:rFonts w:hint="cs"/>
          <w:sz w:val="24"/>
          <w:rtl/>
        </w:rPr>
        <w:t xml:space="preserve">. </w:t>
      </w:r>
      <w:r>
        <w:rPr>
          <w:sz w:val="24"/>
          <w:rtl/>
        </w:rPr>
        <w:t xml:space="preserve">לֹא תָחוֹס עֵינְךָ עָלָיו </w:t>
      </w:r>
      <w:r>
        <w:rPr>
          <w:b/>
          <w:bCs/>
          <w:sz w:val="24"/>
          <w:rtl/>
        </w:rPr>
        <w:t xml:space="preserve">וּבִעַרְתָּ </w:t>
      </w:r>
      <w:r>
        <w:rPr>
          <w:sz w:val="24"/>
          <w:rtl/>
        </w:rPr>
        <w:t>דַם הַנָּקִי מִיִּשְׂרָאֵל וְטוֹב לָךְ</w:t>
      </w:r>
      <w:r>
        <w:rPr>
          <w:rFonts w:hint="cs"/>
          <w:sz w:val="24"/>
          <w:rtl/>
        </w:rPr>
        <w:t>" - במקום לפרש שיש כאן חזרה פיוטית על התוכן שנמסר כבר בפסוק הקודם "</w:t>
      </w:r>
      <w:r>
        <w:rPr>
          <w:sz w:val="24"/>
          <w:rtl/>
        </w:rPr>
        <w:t>וָמֵת</w:t>
      </w:r>
      <w:r>
        <w:rPr>
          <w:rFonts w:hint="cs"/>
          <w:sz w:val="24"/>
          <w:rtl/>
        </w:rPr>
        <w:t>", שמא יש לפרש שהוא ציווי נוסף מכאן ואילך לחפש אחר הרעים (</w:t>
      </w:r>
      <w:r>
        <w:rPr>
          <w:rFonts w:hint="cs"/>
          <w:sz w:val="18"/>
          <w:szCs w:val="20"/>
          <w:rtl/>
        </w:rPr>
        <w:t>ובדרך דרש ומוסר: אחר הרע שבקרב כל אחד ואחד</w:t>
      </w:r>
      <w:r>
        <w:rPr>
          <w:rFonts w:hint="cs"/>
          <w:sz w:val="24"/>
          <w:rtl/>
        </w:rPr>
        <w:t>). פירוש זה מתאים מאוד לסוף פרשת עגלה ערופה, שבה אין הורגים כלל, ושם נאמר (</w:t>
      </w:r>
      <w:r>
        <w:rPr>
          <w:sz w:val="18"/>
          <w:szCs w:val="20"/>
          <w:rtl/>
        </w:rPr>
        <w:t>דברים כא</w:t>
      </w:r>
      <w:r>
        <w:rPr>
          <w:rFonts w:hint="cs"/>
          <w:sz w:val="18"/>
          <w:szCs w:val="20"/>
          <w:rtl/>
        </w:rPr>
        <w:t xml:space="preserve">, </w:t>
      </w:r>
      <w:r>
        <w:rPr>
          <w:sz w:val="18"/>
          <w:szCs w:val="20"/>
          <w:rtl/>
        </w:rPr>
        <w:t>ט</w:t>
      </w:r>
      <w:r>
        <w:rPr>
          <w:rFonts w:hint="cs"/>
          <w:sz w:val="24"/>
          <w:rtl/>
        </w:rPr>
        <w:t>):</w:t>
      </w:r>
      <w:r>
        <w:rPr>
          <w:sz w:val="24"/>
          <w:rtl/>
        </w:rPr>
        <w:t xml:space="preserve"> </w:t>
      </w:r>
      <w:r>
        <w:rPr>
          <w:rFonts w:hint="cs"/>
          <w:sz w:val="24"/>
          <w:rtl/>
        </w:rPr>
        <w:t>"</w:t>
      </w:r>
      <w:r>
        <w:rPr>
          <w:sz w:val="24"/>
          <w:rtl/>
        </w:rPr>
        <w:t>וְאַתָּה תְּבַעֵר הַדָּם הַנָּקִי מִקִּרְבֶּךָ</w:t>
      </w:r>
      <w:r>
        <w:rPr>
          <w:rFonts w:hint="cs"/>
          <w:sz w:val="24"/>
          <w:rtl/>
        </w:rPr>
        <w:t xml:space="preserve">", ואולי לכך כיוֵן ר"א </w:t>
      </w:r>
      <w:r>
        <w:rPr>
          <w:sz w:val="24"/>
          <w:rtl/>
        </w:rPr>
        <w:t>אבן עזרא</w:t>
      </w:r>
      <w:r>
        <w:rPr>
          <w:rFonts w:hint="cs"/>
          <w:sz w:val="24"/>
          <w:rtl/>
        </w:rPr>
        <w:t>: "</w:t>
      </w:r>
      <w:r>
        <w:rPr>
          <w:sz w:val="24"/>
          <w:rtl/>
        </w:rPr>
        <w:t>ויש אומרים</w:t>
      </w:r>
      <w:r>
        <w:rPr>
          <w:rFonts w:hint="cs"/>
          <w:sz w:val="24"/>
          <w:rtl/>
        </w:rPr>
        <w:t xml:space="preserve">: </w:t>
      </w:r>
      <w:r>
        <w:rPr>
          <w:sz w:val="24"/>
          <w:rtl/>
        </w:rPr>
        <w:t>אתה חייב לבער שפיכות דמים</w:t>
      </w:r>
      <w:r>
        <w:rPr>
          <w:rFonts w:hint="cs"/>
          <w:sz w:val="24"/>
          <w:rtl/>
        </w:rPr>
        <w:t>" (</w:t>
      </w:r>
      <w:r>
        <w:rPr>
          <w:rFonts w:hint="cs"/>
          <w:sz w:val="18"/>
          <w:szCs w:val="20"/>
          <w:rtl/>
        </w:rPr>
        <w:t>ועיין שם בספר הזִכרון על פירוש רש"י</w:t>
      </w:r>
      <w:r>
        <w:rPr>
          <w:rFonts w:hint="cs"/>
          <w:sz w:val="24"/>
          <w:rtl/>
        </w:rPr>
        <w:t xml:space="preserve">). אולי אין כאן רק ציווי להרוג את </w:t>
      </w:r>
      <w:r>
        <w:rPr>
          <w:sz w:val="24"/>
          <w:rtl/>
        </w:rPr>
        <w:t xml:space="preserve">הרוצח אם </w:t>
      </w:r>
      <w:r>
        <w:rPr>
          <w:rFonts w:hint="cs"/>
          <w:sz w:val="24"/>
          <w:rtl/>
        </w:rPr>
        <w:t>יי</w:t>
      </w:r>
      <w:r>
        <w:rPr>
          <w:sz w:val="24"/>
          <w:rtl/>
        </w:rPr>
        <w:t xml:space="preserve">מצא </w:t>
      </w:r>
      <w:r>
        <w:rPr>
          <w:rFonts w:hint="cs"/>
          <w:sz w:val="24"/>
          <w:rtl/>
        </w:rPr>
        <w:t>ל</w:t>
      </w:r>
      <w:r>
        <w:rPr>
          <w:sz w:val="24"/>
          <w:rtl/>
        </w:rPr>
        <w:t>אחר</w:t>
      </w:r>
      <w:r>
        <w:rPr>
          <w:rFonts w:hint="cs"/>
          <w:sz w:val="24"/>
          <w:rtl/>
        </w:rPr>
        <w:t xml:space="preserve"> עריפת העגלה (כמו שפרשו רש"י ורשב"ם) אלא גם ציווי להמשיך </w:t>
      </w:r>
      <w:r>
        <w:rPr>
          <w:rFonts w:hint="cs"/>
          <w:b/>
          <w:bCs/>
          <w:sz w:val="24"/>
          <w:rtl/>
        </w:rPr>
        <w:t>לבדוק ולחפש</w:t>
      </w:r>
      <w:r>
        <w:rPr>
          <w:rFonts w:hint="cs"/>
          <w:sz w:val="24"/>
          <w:rtl/>
        </w:rPr>
        <w:t xml:space="preserve"> את הרוצח על מנת לבערו.</w:t>
      </w:r>
    </w:p>
  </w:footnote>
  <w:footnote w:id="333">
    <w:p w14:paraId="261A48EB" w14:textId="77777777" w:rsidR="000015C4" w:rsidRDefault="000015C4" w:rsidP="000015C4">
      <w:pPr>
        <w:pStyle w:val="a5"/>
        <w:rPr>
          <w:szCs w:val="28"/>
          <w:rtl/>
        </w:rPr>
      </w:pPr>
      <w:r>
        <w:rPr>
          <w:rStyle w:val="a4"/>
          <w:rtl/>
        </w:rPr>
        <w:footnoteRef/>
      </w:r>
      <w:r>
        <w:rPr>
          <w:szCs w:val="22"/>
        </w:rPr>
        <w:t xml:space="preserve"> </w:t>
      </w:r>
      <w:r>
        <w:rPr>
          <w:rFonts w:hint="cs"/>
          <w:rtl/>
        </w:rPr>
        <w:t>מונח זה נטבע בלשון חכמים למצות "</w:t>
      </w:r>
      <w:r>
        <w:rPr>
          <w:rtl/>
        </w:rPr>
        <w:t>תַּשְׁבִּיתוּ</w:t>
      </w:r>
      <w:r>
        <w:rPr>
          <w:rFonts w:hint="cs"/>
          <w:rtl/>
        </w:rPr>
        <w:t xml:space="preserve"> </w:t>
      </w:r>
      <w:r>
        <w:rPr>
          <w:rtl/>
        </w:rPr>
        <w:t>שְּׂאֹר</w:t>
      </w:r>
      <w:r>
        <w:rPr>
          <w:color w:val="FF00FF"/>
          <w:rtl/>
        </w:rPr>
        <w:t xml:space="preserve"> </w:t>
      </w:r>
      <w:r>
        <w:rPr>
          <w:rtl/>
        </w:rPr>
        <w:t>מִבָּתֵּיכֶם</w:t>
      </w:r>
      <w:r>
        <w:rPr>
          <w:rFonts w:hint="cs"/>
          <w:rtl/>
        </w:rPr>
        <w:t>"</w:t>
      </w:r>
      <w:r>
        <w:rPr>
          <w:rtl/>
        </w:rPr>
        <w:t xml:space="preserve"> </w:t>
      </w:r>
      <w:r>
        <w:rPr>
          <w:rFonts w:hint="cs"/>
          <w:rtl/>
        </w:rPr>
        <w:t>(</w:t>
      </w:r>
      <w:r>
        <w:rPr>
          <w:sz w:val="18"/>
          <w:szCs w:val="20"/>
          <w:rtl/>
        </w:rPr>
        <w:t>שמות יב</w:t>
      </w:r>
      <w:r>
        <w:rPr>
          <w:rFonts w:hint="cs"/>
          <w:sz w:val="18"/>
          <w:szCs w:val="20"/>
          <w:rtl/>
        </w:rPr>
        <w:t xml:space="preserve">, </w:t>
      </w:r>
      <w:r>
        <w:rPr>
          <w:sz w:val="18"/>
          <w:szCs w:val="20"/>
          <w:rtl/>
        </w:rPr>
        <w:t>טו</w:t>
      </w:r>
      <w:r>
        <w:rPr>
          <w:rFonts w:hint="cs"/>
          <w:rtl/>
        </w:rPr>
        <w:t>), ונחלקו חכמים באיזה אופן להשביתו</w:t>
      </w:r>
      <w:r>
        <w:rPr>
          <w:rFonts w:hint="cs"/>
          <w:sz w:val="26"/>
          <w:rtl/>
        </w:rPr>
        <w:t xml:space="preserve">. </w:t>
      </w:r>
      <w:r>
        <w:rPr>
          <w:rFonts w:hint="cs"/>
          <w:sz w:val="18"/>
          <w:szCs w:val="20"/>
          <w:rtl/>
        </w:rPr>
        <w:t>ראה: אנציקלופדיה תלמודית, ד', ערך בִעור חמץ, עמ' כז-לא</w:t>
      </w:r>
      <w:r>
        <w:rPr>
          <w:rFonts w:hint="cs"/>
          <w:rtl/>
        </w:rPr>
        <w:t>.</w:t>
      </w:r>
    </w:p>
  </w:footnote>
  <w:footnote w:id="334">
    <w:p w14:paraId="596C2607" w14:textId="77777777" w:rsidR="000015C4" w:rsidRDefault="000015C4" w:rsidP="000015C4">
      <w:pPr>
        <w:pStyle w:val="a5"/>
        <w:rPr>
          <w:rFonts w:hint="cs"/>
          <w:sz w:val="26"/>
          <w:rtl/>
        </w:rPr>
      </w:pPr>
      <w:r>
        <w:rPr>
          <w:rStyle w:val="a4"/>
          <w:rtl/>
        </w:rPr>
        <w:footnoteRef/>
      </w:r>
      <w:r>
        <w:rPr>
          <w:szCs w:val="22"/>
        </w:rPr>
        <w:t xml:space="preserve"> </w:t>
      </w:r>
      <w:r>
        <w:rPr>
          <w:sz w:val="26"/>
          <w:rtl/>
        </w:rPr>
        <w:t xml:space="preserve">רש"י </w:t>
      </w:r>
      <w:r>
        <w:rPr>
          <w:rFonts w:hint="cs"/>
          <w:szCs w:val="20"/>
          <w:rtl/>
        </w:rPr>
        <w:t xml:space="preserve">שם ד"ה </w:t>
      </w:r>
      <w:r>
        <w:rPr>
          <w:szCs w:val="20"/>
          <w:rtl/>
        </w:rPr>
        <w:t>נאמנין</w:t>
      </w:r>
      <w:r>
        <w:rPr>
          <w:rFonts w:hint="cs"/>
          <w:sz w:val="26"/>
          <w:rtl/>
        </w:rPr>
        <w:t>, והשוה ללשון ה</w:t>
      </w:r>
      <w:r>
        <w:rPr>
          <w:sz w:val="26"/>
          <w:rtl/>
        </w:rPr>
        <w:t>רמב"ם</w:t>
      </w:r>
      <w:r>
        <w:rPr>
          <w:rFonts w:hint="cs"/>
          <w:sz w:val="26"/>
          <w:rtl/>
        </w:rPr>
        <w:t>: "</w:t>
      </w:r>
      <w:r>
        <w:rPr>
          <w:sz w:val="26"/>
          <w:rtl/>
        </w:rPr>
        <w:t>שהכל נאמנים על ביעור</w:t>
      </w:r>
      <w:r>
        <w:rPr>
          <w:rFonts w:hint="cs"/>
          <w:sz w:val="26"/>
          <w:rtl/>
        </w:rPr>
        <w:t xml:space="preserve"> </w:t>
      </w:r>
      <w:r>
        <w:rPr>
          <w:sz w:val="26"/>
          <w:rtl/>
        </w:rPr>
        <w:t>חמץ, והכל כשרין לבדיקה ואפילו נשים ועבדים וקטנים</w:t>
      </w:r>
      <w:r>
        <w:rPr>
          <w:rFonts w:hint="cs"/>
          <w:sz w:val="26"/>
          <w:rtl/>
        </w:rPr>
        <w:t>" (</w:t>
      </w:r>
      <w:r>
        <w:rPr>
          <w:szCs w:val="20"/>
          <w:rtl/>
        </w:rPr>
        <w:t>הלכות חמץ ומצה פ</w:t>
      </w:r>
      <w:r>
        <w:rPr>
          <w:rFonts w:hint="cs"/>
          <w:szCs w:val="20"/>
          <w:rtl/>
        </w:rPr>
        <w:t>"</w:t>
      </w:r>
      <w:r>
        <w:rPr>
          <w:szCs w:val="20"/>
          <w:rtl/>
        </w:rPr>
        <w:t>ב הי</w:t>
      </w:r>
      <w:r>
        <w:rPr>
          <w:rFonts w:hint="cs"/>
          <w:szCs w:val="20"/>
          <w:rtl/>
        </w:rPr>
        <w:t>"</w:t>
      </w:r>
      <w:r>
        <w:rPr>
          <w:szCs w:val="20"/>
          <w:rtl/>
        </w:rPr>
        <w:t>ז</w:t>
      </w:r>
      <w:r>
        <w:rPr>
          <w:rFonts w:hint="cs"/>
          <w:sz w:val="26"/>
          <w:rtl/>
        </w:rPr>
        <w:t>).</w:t>
      </w:r>
    </w:p>
  </w:footnote>
  <w:footnote w:id="335">
    <w:p w14:paraId="24FBBF66" w14:textId="77777777" w:rsidR="000015C4" w:rsidRDefault="000015C4" w:rsidP="000015C4">
      <w:pPr>
        <w:pStyle w:val="a5"/>
        <w:rPr>
          <w:rFonts w:hint="cs"/>
          <w:sz w:val="18"/>
          <w:szCs w:val="20"/>
          <w:rtl/>
        </w:rPr>
      </w:pPr>
      <w:r>
        <w:rPr>
          <w:rStyle w:val="a4"/>
        </w:rPr>
        <w:footnoteRef/>
      </w:r>
      <w:r>
        <w:rPr>
          <w:rFonts w:hint="cs"/>
          <w:rtl/>
        </w:rPr>
        <w:t xml:space="preserve"> </w:t>
      </w:r>
      <w:r>
        <w:rPr>
          <w:rFonts w:eastAsia="MS Mincho"/>
          <w:rtl/>
        </w:rPr>
        <w:t>ראה: העיטור (</w:t>
      </w:r>
      <w:r>
        <w:rPr>
          <w:rFonts w:eastAsia="MS Mincho"/>
          <w:sz w:val="18"/>
          <w:szCs w:val="20"/>
          <w:rtl/>
        </w:rPr>
        <w:t>הלכות ביעור חמץ דף קכ, ב</w:t>
      </w:r>
      <w:r>
        <w:rPr>
          <w:rFonts w:eastAsia="MS Mincho"/>
          <w:rtl/>
        </w:rPr>
        <w:t>): "ואנו מברכין 'על ביעור' שהיא לשון בדיקה ולשון ביעור"; חידושי הריטב"א (</w:t>
      </w:r>
      <w:r>
        <w:rPr>
          <w:rFonts w:eastAsia="MS Mincho"/>
          <w:sz w:val="18"/>
          <w:szCs w:val="20"/>
          <w:rtl/>
        </w:rPr>
        <w:t>פסחים ז, א ד"ה ולכו"ע</w:t>
      </w:r>
      <w:r>
        <w:rPr>
          <w:rFonts w:eastAsia="MS Mincho"/>
          <w:rtl/>
        </w:rPr>
        <w:t>): "כי 'ביעור' כולל הכל: השבתה ושריפה ואף הבדיקה... לפיכך תקנוה בלשון כולל"; הרא"ה מלוניל: "ולכך תקנו לומר לשון ביעור שהוא כולל הכל: בדיקה וביעור וביטול"</w:t>
      </w:r>
      <w:r>
        <w:rPr>
          <w:rFonts w:eastAsia="MS Mincho" w:hint="cs"/>
          <w:rtl/>
        </w:rPr>
        <w:t xml:space="preserve"> </w:t>
      </w:r>
      <w:r>
        <w:rPr>
          <w:rFonts w:eastAsia="MS Mincho"/>
          <w:rtl/>
        </w:rPr>
        <w:t>(</w:t>
      </w:r>
      <w:r>
        <w:rPr>
          <w:rFonts w:eastAsia="MS Mincho"/>
          <w:sz w:val="18"/>
          <w:szCs w:val="20"/>
          <w:rtl/>
        </w:rPr>
        <w:t>מובא בשו"ת יחל ישראל מאת הרי"מ לאו, סימן ז'</w:t>
      </w:r>
      <w:r>
        <w:rPr>
          <w:rFonts w:eastAsia="MS Mincho" w:hint="cs"/>
          <w:sz w:val="18"/>
          <w:szCs w:val="20"/>
          <w:rtl/>
        </w:rPr>
        <w:t xml:space="preserve">; וע"ע </w:t>
      </w:r>
      <w:r>
        <w:rPr>
          <w:rFonts w:eastAsia="MS Mincho"/>
          <w:sz w:val="18"/>
          <w:szCs w:val="20"/>
          <w:rtl/>
        </w:rPr>
        <w:t>רא"ש</w:t>
      </w:r>
      <w:r>
        <w:rPr>
          <w:rFonts w:eastAsia="MS Mincho" w:hint="cs"/>
          <w:sz w:val="18"/>
          <w:szCs w:val="20"/>
          <w:rtl/>
        </w:rPr>
        <w:t>,</w:t>
      </w:r>
      <w:r>
        <w:rPr>
          <w:rFonts w:eastAsia="MS Mincho"/>
          <w:sz w:val="18"/>
          <w:szCs w:val="20"/>
          <w:rtl/>
        </w:rPr>
        <w:t xml:space="preserve"> פסחים פ"א סימן י</w:t>
      </w:r>
      <w:r>
        <w:rPr>
          <w:rFonts w:eastAsia="MS Mincho" w:hint="cs"/>
          <w:sz w:val="18"/>
          <w:szCs w:val="20"/>
          <w:rtl/>
        </w:rPr>
        <w:t>'</w:t>
      </w:r>
      <w:r>
        <w:rPr>
          <w:rFonts w:eastAsia="MS Mincho"/>
          <w:rtl/>
        </w:rPr>
        <w:t>)</w:t>
      </w:r>
      <w:r>
        <w:rPr>
          <w:rFonts w:eastAsia="MS Mincho" w:hint="cs"/>
          <w:rtl/>
        </w:rPr>
        <w:t>. יתכן שעצם החובה לבדוק ו</w:t>
      </w:r>
      <w:r>
        <w:rPr>
          <w:rFonts w:eastAsia="MS Mincho"/>
          <w:rtl/>
        </w:rPr>
        <w:t>לחפש אחר</w:t>
      </w:r>
      <w:r>
        <w:rPr>
          <w:rFonts w:eastAsia="MS Mincho" w:hint="cs"/>
          <w:rtl/>
        </w:rPr>
        <w:t xml:space="preserve"> חמץ (</w:t>
      </w:r>
      <w:r>
        <w:rPr>
          <w:rFonts w:eastAsia="MS Mincho" w:hint="cs"/>
          <w:sz w:val="18"/>
          <w:szCs w:val="20"/>
          <w:rtl/>
        </w:rPr>
        <w:t>היינו "לבער" בלשון חכמים</w:t>
      </w:r>
      <w:r>
        <w:rPr>
          <w:rFonts w:eastAsia="MS Mincho" w:hint="cs"/>
          <w:rtl/>
        </w:rPr>
        <w:t>) היא הרחבה של דין התורה להשביתו (</w:t>
      </w:r>
      <w:r>
        <w:rPr>
          <w:rFonts w:eastAsia="MS Mincho" w:hint="cs"/>
          <w:sz w:val="18"/>
          <w:szCs w:val="20"/>
          <w:rtl/>
        </w:rPr>
        <w:t>היינו "</w:t>
      </w:r>
      <w:r>
        <w:rPr>
          <w:rFonts w:eastAsia="MS Mincho"/>
          <w:sz w:val="18"/>
          <w:szCs w:val="20"/>
          <w:rtl/>
        </w:rPr>
        <w:t>לבער</w:t>
      </w:r>
      <w:r>
        <w:rPr>
          <w:rFonts w:eastAsia="MS Mincho" w:hint="cs"/>
          <w:sz w:val="18"/>
          <w:szCs w:val="20"/>
          <w:rtl/>
        </w:rPr>
        <w:t>" במשמעו הראשוני</w:t>
      </w:r>
      <w:r>
        <w:rPr>
          <w:rFonts w:eastAsia="MS Mincho"/>
          <w:sz w:val="18"/>
          <w:szCs w:val="20"/>
          <w:rtl/>
        </w:rPr>
        <w:t>, כ</w:t>
      </w:r>
      <w:r>
        <w:rPr>
          <w:rFonts w:eastAsia="MS Mincho" w:hint="cs"/>
          <w:sz w:val="18"/>
          <w:szCs w:val="20"/>
          <w:rtl/>
        </w:rPr>
        <w:t>נ"ל: "</w:t>
      </w:r>
      <w:r>
        <w:rPr>
          <w:rFonts w:hint="cs"/>
          <w:szCs w:val="20"/>
          <w:rtl/>
        </w:rPr>
        <w:t>בִּעַרְתִּי</w:t>
      </w:r>
      <w:r>
        <w:rPr>
          <w:rFonts w:eastAsia="MS Mincho" w:hint="cs"/>
          <w:sz w:val="18"/>
          <w:szCs w:val="20"/>
          <w:rtl/>
        </w:rPr>
        <w:t>"</w:t>
      </w:r>
      <w:r>
        <w:rPr>
          <w:rFonts w:eastAsia="MS Mincho"/>
          <w:rtl/>
        </w:rPr>
        <w:t>).</w:t>
      </w:r>
      <w:r>
        <w:rPr>
          <w:rFonts w:eastAsia="MS Mincho" w:hint="cs"/>
          <w:rtl/>
        </w:rPr>
        <w:t xml:space="preserve"> שיטה הלכתית שאיננה מפורסמת כל כך מתועדת ב</w:t>
      </w:r>
      <w:r>
        <w:rPr>
          <w:rtl/>
        </w:rPr>
        <w:t xml:space="preserve">סידור רש"י </w:t>
      </w:r>
      <w:r>
        <w:rPr>
          <w:sz w:val="18"/>
          <w:szCs w:val="20"/>
          <w:rtl/>
        </w:rPr>
        <w:t>סימן שנ</w:t>
      </w:r>
      <w:r>
        <w:rPr>
          <w:rFonts w:hint="cs"/>
          <w:sz w:val="18"/>
          <w:szCs w:val="20"/>
          <w:rtl/>
        </w:rPr>
        <w:t>"</w:t>
      </w:r>
      <w:r>
        <w:rPr>
          <w:sz w:val="18"/>
          <w:szCs w:val="20"/>
          <w:rtl/>
        </w:rPr>
        <w:t>ה</w:t>
      </w:r>
      <w:r>
        <w:rPr>
          <w:rFonts w:hint="cs"/>
          <w:rtl/>
        </w:rPr>
        <w:t>:</w:t>
      </w:r>
      <w:r>
        <w:rPr>
          <w:rtl/>
        </w:rPr>
        <w:t xml:space="preserve"> </w:t>
      </w:r>
      <w:r>
        <w:rPr>
          <w:rFonts w:hint="cs"/>
          <w:rtl/>
        </w:rPr>
        <w:t>"</w:t>
      </w:r>
      <w:r>
        <w:rPr>
          <w:rtl/>
        </w:rPr>
        <w:t xml:space="preserve">אור לארבעה עשר בודקין את החמץ לאור הנר, ובככר ראשון שמוצא מברך בא"י אלהינו מלך העולם אקבו"צ על </w:t>
      </w:r>
      <w:r>
        <w:rPr>
          <w:b/>
          <w:bCs/>
          <w:rtl/>
        </w:rPr>
        <w:t>ביעור</w:t>
      </w:r>
      <w:r>
        <w:rPr>
          <w:rtl/>
        </w:rPr>
        <w:t xml:space="preserve"> חמץ</w:t>
      </w:r>
      <w:r>
        <w:rPr>
          <w:rFonts w:hint="cs"/>
          <w:rtl/>
        </w:rPr>
        <w:t>". נראה להטעים שיטה זו, שלשון ברכה זו נתקנה ע"פ הרובד הקדום של הלשון העברית, ולכן המשמע של בדיקה אינו כלול ב"ביעור". ברם, לשון ברכת מצוות רבות מוכיחה שהן נתקנו בלשון חז"ל (</w:t>
      </w:r>
      <w:r>
        <w:rPr>
          <w:rFonts w:hint="cs"/>
          <w:sz w:val="18"/>
          <w:szCs w:val="20"/>
          <w:rtl/>
        </w:rPr>
        <w:t xml:space="preserve">ראה מאמרו של מורי פרופ' אפרים חזן, </w:t>
      </w:r>
      <w:r>
        <w:rPr>
          <w:sz w:val="18"/>
          <w:szCs w:val="20"/>
          <w:rtl/>
        </w:rPr>
        <w:t xml:space="preserve">"לשון מקרא ולשון חכמים במטבע קצר שבברכה", בתוך: ספר היובל לרב מרדכי ברויאר, </w:t>
      </w:r>
      <w:r>
        <w:rPr>
          <w:rFonts w:hint="cs"/>
          <w:sz w:val="18"/>
          <w:szCs w:val="20"/>
          <w:rtl/>
        </w:rPr>
        <w:t>ב</w:t>
      </w:r>
      <w:r>
        <w:rPr>
          <w:sz w:val="18"/>
          <w:szCs w:val="20"/>
          <w:rtl/>
        </w:rPr>
        <w:t>ער</w:t>
      </w:r>
      <w:r>
        <w:rPr>
          <w:rFonts w:hint="cs"/>
          <w:sz w:val="18"/>
          <w:szCs w:val="20"/>
          <w:rtl/>
        </w:rPr>
        <w:t xml:space="preserve">יכת מורי פרופ' </w:t>
      </w:r>
      <w:r>
        <w:rPr>
          <w:sz w:val="18"/>
          <w:szCs w:val="20"/>
          <w:rtl/>
        </w:rPr>
        <w:t>מ</w:t>
      </w:r>
      <w:r>
        <w:rPr>
          <w:rFonts w:hint="cs"/>
          <w:sz w:val="18"/>
          <w:szCs w:val="20"/>
          <w:rtl/>
        </w:rPr>
        <w:t>שה</w:t>
      </w:r>
      <w:r>
        <w:rPr>
          <w:sz w:val="18"/>
          <w:szCs w:val="20"/>
          <w:rtl/>
        </w:rPr>
        <w:t xml:space="preserve"> בר-אשר</w:t>
      </w:r>
      <w:r>
        <w:rPr>
          <w:rFonts w:hint="cs"/>
          <w:sz w:val="18"/>
          <w:szCs w:val="20"/>
          <w:rtl/>
        </w:rPr>
        <w:t xml:space="preserve">, </w:t>
      </w:r>
      <w:r>
        <w:rPr>
          <w:sz w:val="18"/>
          <w:szCs w:val="20"/>
          <w:rtl/>
        </w:rPr>
        <w:t>ירושלים תשנ"ב, עמ' 696-689</w:t>
      </w:r>
      <w:r>
        <w:rPr>
          <w:rFonts w:hint="cs"/>
          <w:sz w:val="18"/>
          <w:szCs w:val="20"/>
          <w:rtl/>
        </w:rPr>
        <w:t xml:space="preserve">, וע"ע </w:t>
      </w:r>
      <w:r>
        <w:rPr>
          <w:sz w:val="18"/>
          <w:szCs w:val="20"/>
          <w:rtl/>
        </w:rPr>
        <w:t>שו"ת הרשב"א ח</w:t>
      </w:r>
      <w:r>
        <w:rPr>
          <w:rFonts w:hint="cs"/>
          <w:sz w:val="18"/>
          <w:szCs w:val="20"/>
          <w:rtl/>
        </w:rPr>
        <w:t>"</w:t>
      </w:r>
      <w:r>
        <w:rPr>
          <w:sz w:val="18"/>
          <w:szCs w:val="20"/>
          <w:rtl/>
        </w:rPr>
        <w:t>א</w:t>
      </w:r>
      <w:r>
        <w:rPr>
          <w:rFonts w:hint="cs"/>
          <w:sz w:val="18"/>
          <w:szCs w:val="20"/>
          <w:rtl/>
        </w:rPr>
        <w:t xml:space="preserve">, </w:t>
      </w:r>
      <w:r>
        <w:rPr>
          <w:sz w:val="18"/>
          <w:szCs w:val="20"/>
          <w:rtl/>
        </w:rPr>
        <w:t>קנ</w:t>
      </w:r>
      <w:r>
        <w:rPr>
          <w:rFonts w:hint="cs"/>
          <w:sz w:val="18"/>
          <w:szCs w:val="20"/>
          <w:rtl/>
        </w:rPr>
        <w:t>"</w:t>
      </w:r>
      <w:r>
        <w:rPr>
          <w:sz w:val="18"/>
          <w:szCs w:val="20"/>
          <w:rtl/>
        </w:rPr>
        <w:t>ז</w:t>
      </w:r>
      <w:r>
        <w:rPr>
          <w:rFonts w:hint="cs"/>
          <w:rtl/>
        </w:rPr>
        <w:t>), וכאמור בהערה הקודמת, בלשון חכמים התרחבה משמעות "ביעור" לכלול בדיקה, גם לדעת רש"י.</w:t>
      </w:r>
    </w:p>
  </w:footnote>
  <w:footnote w:id="336">
    <w:p w14:paraId="68EA7243" w14:textId="77777777" w:rsidR="000015C4" w:rsidRDefault="000015C4" w:rsidP="000015C4">
      <w:pPr>
        <w:pStyle w:val="a5"/>
        <w:rPr>
          <w:rFonts w:hint="cs"/>
          <w:rtl/>
        </w:rPr>
      </w:pPr>
      <w:r>
        <w:rPr>
          <w:rStyle w:val="a4"/>
        </w:rPr>
        <w:footnoteRef/>
      </w:r>
      <w:r>
        <w:rPr>
          <w:rFonts w:hint="cs"/>
          <w:rtl/>
        </w:rPr>
        <w:t xml:space="preserve"> </w:t>
      </w:r>
      <w:r>
        <w:rPr>
          <w:rFonts w:eastAsia="MS Mincho" w:hint="cs"/>
          <w:sz w:val="26"/>
          <w:rtl/>
        </w:rPr>
        <w:t>השוה ל</w:t>
      </w:r>
      <w:r>
        <w:rPr>
          <w:rFonts w:eastAsia="MS Mincho"/>
          <w:sz w:val="26"/>
          <w:rtl/>
        </w:rPr>
        <w:t>נאמר במדור "שינויי נוסחאות" (</w:t>
      </w:r>
      <w:r>
        <w:rPr>
          <w:rFonts w:eastAsia="MS Mincho"/>
          <w:sz w:val="18"/>
          <w:szCs w:val="20"/>
          <w:rtl/>
        </w:rPr>
        <w:t>במשניות ע"א פירושים</w:t>
      </w:r>
      <w:r>
        <w:rPr>
          <w:rFonts w:eastAsia="MS Mincho"/>
          <w:sz w:val="26"/>
          <w:rtl/>
        </w:rPr>
        <w:t>): "ושמואל אמר... 'להבחין'... וא"כ יסבול המאמר 'ולא יפלה' דמתניתין גם ההוראה דהבדלה בין בגד לבגד וכדומה" וכו'.</w:t>
      </w:r>
    </w:p>
  </w:footnote>
  <w:footnote w:id="337">
    <w:p w14:paraId="052E55C0" w14:textId="77777777" w:rsidR="000015C4" w:rsidRDefault="000015C4" w:rsidP="000015C4">
      <w:pPr>
        <w:pStyle w:val="a5"/>
        <w:rPr>
          <w:rFonts w:hint="cs"/>
          <w:rtl/>
        </w:rPr>
      </w:pPr>
      <w:r>
        <w:rPr>
          <w:rStyle w:val="a4"/>
          <w:rtl/>
        </w:rPr>
        <w:footnoteRef/>
      </w:r>
      <w:r>
        <w:rPr>
          <w:szCs w:val="22"/>
        </w:rPr>
        <w:t xml:space="preserve"> </w:t>
      </w:r>
      <w:r>
        <w:rPr>
          <w:rFonts w:hint="cs"/>
          <w:szCs w:val="22"/>
          <w:rtl/>
        </w:rPr>
        <w:t>תיקנתי ע"פ המובאה בתוספות.</w:t>
      </w:r>
    </w:p>
  </w:footnote>
  <w:footnote w:id="338">
    <w:p w14:paraId="5D9C5F52" w14:textId="77777777" w:rsidR="000015C4" w:rsidRDefault="000015C4" w:rsidP="000015C4">
      <w:pPr>
        <w:pStyle w:val="a5"/>
        <w:rPr>
          <w:rtl/>
        </w:rPr>
      </w:pPr>
      <w:r>
        <w:rPr>
          <w:rStyle w:val="a4"/>
          <w:rtl/>
        </w:rPr>
        <w:footnoteRef/>
      </w:r>
      <w:r>
        <w:t xml:space="preserve"> </w:t>
      </w:r>
      <w:r>
        <w:rPr>
          <w:rFonts w:hint="cs"/>
          <w:rtl/>
        </w:rPr>
        <w:t xml:space="preserve">על כך מוסיף בספר </w:t>
      </w:r>
      <w:r>
        <w:rPr>
          <w:rtl/>
        </w:rPr>
        <w:t>באר שבע</w:t>
      </w:r>
      <w:r>
        <w:rPr>
          <w:rFonts w:hint="cs"/>
          <w:rtl/>
        </w:rPr>
        <w:t>: "</w:t>
      </w:r>
      <w:r>
        <w:rPr>
          <w:rtl/>
        </w:rPr>
        <w:t xml:space="preserve">כמו </w:t>
      </w:r>
      <w:r>
        <w:rPr>
          <w:rFonts w:hint="cs"/>
          <w:rtl/>
        </w:rPr>
        <w:t>'</w:t>
      </w:r>
      <w:r>
        <w:rPr>
          <w:rtl/>
        </w:rPr>
        <w:t>לא יפלה את כליו</w:t>
      </w:r>
      <w:r>
        <w:rPr>
          <w:rFonts w:hint="cs"/>
          <w:rtl/>
        </w:rPr>
        <w:t>'</w:t>
      </w:r>
      <w:r>
        <w:rPr>
          <w:rtl/>
        </w:rPr>
        <w:t>, ומנין שהוא לשון בדיקה</w:t>
      </w:r>
      <w:r>
        <w:rPr>
          <w:rFonts w:hint="cs"/>
          <w:rtl/>
        </w:rPr>
        <w:t>,</w:t>
      </w:r>
      <w:r>
        <w:rPr>
          <w:rtl/>
        </w:rPr>
        <w:t xml:space="preserve"> דכתיב</w:t>
      </w:r>
      <w:r>
        <w:rPr>
          <w:rFonts w:hint="cs"/>
          <w:rtl/>
        </w:rPr>
        <w:t xml:space="preserve"> '</w:t>
      </w:r>
      <w:r>
        <w:rPr>
          <w:rtl/>
        </w:rPr>
        <w:t>לא תפאר אחריך</w:t>
      </w:r>
      <w:r>
        <w:rPr>
          <w:rFonts w:hint="cs"/>
          <w:rtl/>
        </w:rPr>
        <w:t>'</w:t>
      </w:r>
      <w:r>
        <w:rPr>
          <w:rtl/>
        </w:rPr>
        <w:t xml:space="preserve"> ומתרגמינן </w:t>
      </w:r>
      <w:r>
        <w:rPr>
          <w:rFonts w:hint="cs"/>
          <w:rtl/>
        </w:rPr>
        <w:t>'</w:t>
      </w:r>
      <w:r>
        <w:rPr>
          <w:rtl/>
        </w:rPr>
        <w:t>לא תפלי בתרך</w:t>
      </w:r>
      <w:r>
        <w:rPr>
          <w:rFonts w:hint="cs"/>
          <w:rtl/>
        </w:rPr>
        <w:t>'" (</w:t>
      </w:r>
      <w:r>
        <w:rPr>
          <w:sz w:val="18"/>
          <w:szCs w:val="20"/>
          <w:rtl/>
        </w:rPr>
        <w:t>מסכת תמיד כח</w:t>
      </w:r>
      <w:r>
        <w:rPr>
          <w:rFonts w:hint="cs"/>
          <w:sz w:val="18"/>
          <w:szCs w:val="20"/>
          <w:rtl/>
        </w:rPr>
        <w:t xml:space="preserve">, </w:t>
      </w:r>
      <w:r>
        <w:rPr>
          <w:sz w:val="18"/>
          <w:szCs w:val="20"/>
          <w:rtl/>
        </w:rPr>
        <w:t>א</w:t>
      </w:r>
      <w:r>
        <w:rPr>
          <w:rFonts w:hint="cs"/>
          <w:sz w:val="18"/>
          <w:szCs w:val="20"/>
          <w:rtl/>
        </w:rPr>
        <w:t xml:space="preserve"> </w:t>
      </w:r>
      <w:r>
        <w:rPr>
          <w:sz w:val="18"/>
          <w:szCs w:val="20"/>
          <w:rtl/>
        </w:rPr>
        <w:t>ד"ה אין אדם נכנס</w:t>
      </w:r>
      <w:r>
        <w:rPr>
          <w:rFonts w:hint="cs"/>
          <w:rtl/>
        </w:rPr>
        <w:t>).</w:t>
      </w:r>
    </w:p>
  </w:footnote>
  <w:footnote w:id="339">
    <w:p w14:paraId="5301ABF2" w14:textId="77777777" w:rsidR="000015C4" w:rsidRDefault="000015C4" w:rsidP="000015C4">
      <w:pPr>
        <w:pStyle w:val="a5"/>
        <w:rPr>
          <w:rFonts w:eastAsia="MS Mincho" w:hint="cs"/>
          <w:sz w:val="26"/>
          <w:rtl/>
        </w:rPr>
      </w:pPr>
      <w:r>
        <w:rPr>
          <w:rStyle w:val="a4"/>
        </w:rPr>
        <w:footnoteRef/>
      </w:r>
      <w:r>
        <w:rPr>
          <w:rFonts w:hint="cs"/>
          <w:rtl/>
        </w:rPr>
        <w:t xml:space="preserve"> </w:t>
      </w:r>
      <w:r>
        <w:rPr>
          <w:rFonts w:eastAsia="MS Mincho"/>
          <w:sz w:val="26"/>
          <w:rtl/>
        </w:rPr>
        <w:t>כפי שהוער במדור "שינויי נוסחאות" (</w:t>
      </w:r>
      <w:r>
        <w:rPr>
          <w:rFonts w:eastAsia="MS Mincho"/>
          <w:sz w:val="18"/>
          <w:rtl/>
        </w:rPr>
        <w:t>במשניות ע"א פירושים</w:t>
      </w:r>
      <w:r>
        <w:rPr>
          <w:rFonts w:eastAsia="MS Mincho"/>
          <w:sz w:val="26"/>
          <w:rtl/>
        </w:rPr>
        <w:t>) ביחס לנוסח "יפל</w:t>
      </w:r>
      <w:r>
        <w:rPr>
          <w:rFonts w:eastAsia="MS Mincho"/>
          <w:b/>
          <w:bCs/>
          <w:sz w:val="26"/>
          <w:rtl/>
        </w:rPr>
        <w:t>א</w:t>
      </w:r>
      <w:r>
        <w:rPr>
          <w:rFonts w:eastAsia="MS Mincho"/>
          <w:sz w:val="26"/>
          <w:rtl/>
        </w:rPr>
        <w:t>" (</w:t>
      </w:r>
      <w:r>
        <w:rPr>
          <w:rFonts w:eastAsia="MS Mincho"/>
          <w:sz w:val="18"/>
          <w:szCs w:val="20"/>
          <w:rtl/>
        </w:rPr>
        <w:t>המופיע במשנה שבירושלמי ובדפוס פראג</w:t>
      </w:r>
      <w:r>
        <w:rPr>
          <w:rFonts w:eastAsia="MS Mincho"/>
          <w:sz w:val="26"/>
          <w:rtl/>
        </w:rPr>
        <w:t xml:space="preserve">): "גם בלשון הקדש (=בעברית המקראית) באים השרשים פל"א, פל"ה להורות על ברור והבדל דבר מִדָּבָר, בדִבור או במעשה" (ובאופן כללי קיים קשר הדוק בין גזרת ל"א לגזרת ל"ה), ואכמ"ל. </w:t>
      </w:r>
    </w:p>
    <w:p w14:paraId="022E56FB" w14:textId="77777777" w:rsidR="000015C4" w:rsidRDefault="000015C4" w:rsidP="000015C4">
      <w:pPr>
        <w:pStyle w:val="a5"/>
        <w:rPr>
          <w:rFonts w:hint="cs"/>
          <w:rtl/>
        </w:rPr>
      </w:pPr>
      <w:r>
        <w:rPr>
          <w:rFonts w:eastAsia="MS Mincho"/>
          <w:sz w:val="26"/>
          <w:rtl/>
        </w:rPr>
        <w:t>במהדורת הר"י קאפח של פיהמ"ש לרמב"ם נכתב בנוסח המשנה "יפל</w:t>
      </w:r>
      <w:r>
        <w:rPr>
          <w:rFonts w:eastAsia="MS Mincho"/>
          <w:b/>
          <w:bCs/>
          <w:sz w:val="26"/>
          <w:rtl/>
        </w:rPr>
        <w:t>א</w:t>
      </w:r>
      <w:r>
        <w:rPr>
          <w:rFonts w:eastAsia="MS Mincho"/>
          <w:sz w:val="26"/>
          <w:rtl/>
        </w:rPr>
        <w:t>" ובפירוש "יפל</w:t>
      </w:r>
      <w:r>
        <w:rPr>
          <w:rFonts w:eastAsia="MS Mincho"/>
          <w:b/>
          <w:bCs/>
          <w:sz w:val="26"/>
          <w:rtl/>
        </w:rPr>
        <w:t>ה</w:t>
      </w:r>
      <w:r>
        <w:rPr>
          <w:rFonts w:eastAsia="MS Mincho"/>
          <w:sz w:val="26"/>
          <w:rtl/>
        </w:rPr>
        <w:t>". יצויין שבמסכת שבת אין בידינו כתב ידו (אוטוגרף בלעז) של הרמב"ם, כמבואר שם במבוא.</w:t>
      </w:r>
    </w:p>
  </w:footnote>
  <w:footnote w:id="340">
    <w:p w14:paraId="46CB9C85" w14:textId="77777777" w:rsidR="000015C4" w:rsidRDefault="000015C4" w:rsidP="000015C4">
      <w:pPr>
        <w:pStyle w:val="a5"/>
        <w:rPr>
          <w:rFonts w:hint="cs"/>
          <w:rtl/>
        </w:rPr>
      </w:pPr>
      <w:r>
        <w:rPr>
          <w:rStyle w:val="a4"/>
        </w:rPr>
        <w:footnoteRef/>
      </w:r>
      <w:r>
        <w:rPr>
          <w:rFonts w:hint="cs"/>
          <w:rtl/>
        </w:rPr>
        <w:t xml:space="preserve"> </w:t>
      </w:r>
      <w:r>
        <w:rPr>
          <w:rFonts w:eastAsia="MS Mincho"/>
          <w:sz w:val="26"/>
          <w:rtl/>
        </w:rPr>
        <w:t>פירוש היעב"ץ למשנה, משנה לחם</w:t>
      </w:r>
      <w:r>
        <w:rPr>
          <w:rFonts w:eastAsia="MS Mincho"/>
          <w:sz w:val="18"/>
          <w:szCs w:val="20"/>
          <w:rtl/>
        </w:rPr>
        <w:t>, ירושלים תשל"ה, עמ' סד"ר</w:t>
      </w:r>
      <w:r>
        <w:rPr>
          <w:rFonts w:eastAsia="MS Mincho"/>
          <w:sz w:val="26"/>
          <w:rtl/>
        </w:rPr>
        <w:t>.</w:t>
      </w:r>
    </w:p>
  </w:footnote>
  <w:footnote w:id="341">
    <w:p w14:paraId="0C408326" w14:textId="77777777" w:rsidR="000015C4" w:rsidRDefault="000015C4" w:rsidP="000015C4">
      <w:pPr>
        <w:pStyle w:val="a5"/>
        <w:rPr>
          <w:rFonts w:hint="cs"/>
          <w:rtl/>
        </w:rPr>
      </w:pPr>
      <w:r>
        <w:rPr>
          <w:rStyle w:val="a4"/>
        </w:rPr>
        <w:footnoteRef/>
      </w:r>
      <w:r>
        <w:rPr>
          <w:rFonts w:hint="cs"/>
          <w:rtl/>
        </w:rPr>
        <w:t xml:space="preserve"> </w:t>
      </w:r>
      <w:r>
        <w:rPr>
          <w:rFonts w:eastAsia="MS Mincho"/>
          <w:sz w:val="26"/>
          <w:rtl/>
        </w:rPr>
        <w:t>ראה: ר' חנוך ילון, מבוא לניקוד המשנה</w:t>
      </w:r>
      <w:r>
        <w:rPr>
          <w:rFonts w:eastAsia="MS Mincho"/>
          <w:sz w:val="18"/>
          <w:szCs w:val="20"/>
          <w:rtl/>
        </w:rPr>
        <w:t>, עמ' 48</w:t>
      </w:r>
      <w:r>
        <w:rPr>
          <w:rFonts w:eastAsia="MS Mincho"/>
          <w:sz w:val="26"/>
          <w:rtl/>
        </w:rPr>
        <w:t>.</w:t>
      </w:r>
    </w:p>
  </w:footnote>
  <w:footnote w:id="342">
    <w:p w14:paraId="21F3F158" w14:textId="77777777" w:rsidR="000015C4" w:rsidRDefault="000015C4" w:rsidP="000015C4">
      <w:pPr>
        <w:pStyle w:val="a5"/>
        <w:rPr>
          <w:rFonts w:hint="cs"/>
          <w:rtl/>
        </w:rPr>
      </w:pPr>
      <w:r>
        <w:rPr>
          <w:rStyle w:val="a4"/>
        </w:rPr>
        <w:footnoteRef/>
      </w:r>
      <w:r>
        <w:rPr>
          <w:rFonts w:hint="cs"/>
          <w:rtl/>
        </w:rPr>
        <w:t xml:space="preserve"> </w:t>
      </w:r>
      <w:r>
        <w:rPr>
          <w:rtl/>
        </w:rPr>
        <w:t>יש גורסים "ללמדו תורה"</w:t>
      </w:r>
      <w:r>
        <w:rPr>
          <w:rFonts w:hint="cs"/>
          <w:rtl/>
        </w:rPr>
        <w:t xml:space="preserve"> (</w:t>
      </w:r>
      <w:r>
        <w:rPr>
          <w:rFonts w:hint="cs"/>
          <w:sz w:val="18"/>
          <w:szCs w:val="20"/>
          <w:rtl/>
        </w:rPr>
        <w:t xml:space="preserve">כגון </w:t>
      </w:r>
      <w:r>
        <w:rPr>
          <w:rFonts w:eastAsia="MS Mincho"/>
          <w:sz w:val="18"/>
          <w:szCs w:val="20"/>
          <w:rtl/>
        </w:rPr>
        <w:t>כתב יד מינכן</w:t>
      </w:r>
      <w:r>
        <w:rPr>
          <w:rFonts w:hint="cs"/>
          <w:rtl/>
        </w:rPr>
        <w:t>)</w:t>
      </w:r>
      <w:r>
        <w:rPr>
          <w:rtl/>
        </w:rPr>
        <w:t>, והיינו הך, דסתם "ספר" היינו ס"ת.</w:t>
      </w:r>
    </w:p>
  </w:footnote>
  <w:footnote w:id="343">
    <w:p w14:paraId="267E7AB6" w14:textId="77777777" w:rsidR="000015C4" w:rsidRDefault="000015C4" w:rsidP="000015C4">
      <w:pPr>
        <w:pStyle w:val="a5"/>
        <w:rPr>
          <w:rFonts w:hint="cs"/>
          <w:rtl/>
        </w:rPr>
      </w:pPr>
      <w:r>
        <w:rPr>
          <w:rStyle w:val="a4"/>
        </w:rPr>
        <w:footnoteRef/>
      </w:r>
      <w:r>
        <w:rPr>
          <w:rFonts w:hint="cs"/>
          <w:rtl/>
        </w:rPr>
        <w:t xml:space="preserve"> </w:t>
      </w:r>
      <w:r>
        <w:rPr>
          <w:rFonts w:eastAsia="MS Mincho"/>
          <w:rtl/>
        </w:rPr>
        <w:t>כן מפורש בלשון הרשב"ץ (מגן אבות פ"א מ"י ד"ה אהוב את המלאכה): "לשדך על התינוק ללמדו אומנות". אמנם, יש שהוסיפו במשפט השני פֹעַל אחֵר, כגון: הראבי"ה (ח"ג, הלכות יום טוב סימן תשצ"ט): "ואמרינן במסכת שבת... לשדך תינוק ותינוקת, וגם פוסקין על התינוק ללמדו ספר ואומנות"; רבינו ירוחם (תולדות אדם נתיב יב ח"ז): "וכן לשדך תינוקת ולפסוק על התינוק ללמדו ספר וללמדו אומנות".</w:t>
      </w:r>
    </w:p>
  </w:footnote>
  <w:footnote w:id="344">
    <w:p w14:paraId="5D36655E" w14:textId="77777777" w:rsidR="000015C4" w:rsidRDefault="000015C4" w:rsidP="000015C4">
      <w:pPr>
        <w:pStyle w:val="a5"/>
        <w:rPr>
          <w:rFonts w:hint="cs"/>
          <w:rtl/>
        </w:rPr>
      </w:pPr>
      <w:r>
        <w:rPr>
          <w:rStyle w:val="a4"/>
        </w:rPr>
        <w:footnoteRef/>
      </w:r>
      <w:r>
        <w:rPr>
          <w:rFonts w:hint="cs"/>
          <w:rtl/>
        </w:rPr>
        <w:t xml:space="preserve"> כן </w:t>
      </w:r>
      <w:r>
        <w:rPr>
          <w:rFonts w:eastAsia="MS Mincho"/>
          <w:rtl/>
        </w:rPr>
        <w:t>תרגם המיוחס ליונתן</w:t>
      </w:r>
      <w:r>
        <w:rPr>
          <w:rFonts w:eastAsia="MS Mincho" w:hint="cs"/>
          <w:rtl/>
        </w:rPr>
        <w:t xml:space="preserve">. אונקלוס: "ונחו". </w:t>
      </w:r>
      <w:r>
        <w:rPr>
          <w:rFonts w:eastAsia="MS Mincho"/>
          <w:rtl/>
        </w:rPr>
        <w:t>וראה רש"י</w:t>
      </w:r>
      <w:r>
        <w:rPr>
          <w:rFonts w:eastAsia="MS Mincho" w:hint="cs"/>
          <w:rtl/>
        </w:rPr>
        <w:t>, ראב"ע</w:t>
      </w:r>
      <w:r>
        <w:rPr>
          <w:rFonts w:eastAsia="MS Mincho"/>
          <w:rtl/>
        </w:rPr>
        <w:t xml:space="preserve"> ורד"ק שם</w:t>
      </w:r>
      <w:r>
        <w:rPr>
          <w:rFonts w:eastAsia="MS Mincho" w:hint="cs"/>
          <w:rtl/>
        </w:rPr>
        <w:t>.</w:t>
      </w:r>
    </w:p>
  </w:footnote>
  <w:footnote w:id="345">
    <w:p w14:paraId="0ADBAB68" w14:textId="77777777" w:rsidR="000015C4" w:rsidRDefault="000015C4" w:rsidP="000015C4">
      <w:pPr>
        <w:pStyle w:val="a5"/>
        <w:rPr>
          <w:rFonts w:hint="cs"/>
          <w:rtl/>
        </w:rPr>
      </w:pPr>
      <w:r>
        <w:rPr>
          <w:rStyle w:val="a4"/>
        </w:rPr>
        <w:footnoteRef/>
      </w:r>
      <w:r>
        <w:rPr>
          <w:rFonts w:hint="cs"/>
          <w:rtl/>
        </w:rPr>
        <w:t xml:space="preserve"> יתכן שהקשר בין השורשים </w:t>
      </w:r>
      <w:r>
        <w:rPr>
          <w:rFonts w:eastAsia="MS Mincho"/>
          <w:rtl/>
        </w:rPr>
        <w:t>שד"ך</w:t>
      </w:r>
      <w:r>
        <w:rPr>
          <w:rFonts w:eastAsia="MS Mincho" w:hint="cs"/>
          <w:rtl/>
        </w:rPr>
        <w:t>,</w:t>
      </w:r>
      <w:r>
        <w:rPr>
          <w:rFonts w:eastAsia="MS Mincho"/>
          <w:rtl/>
        </w:rPr>
        <w:t xml:space="preserve"> שת"ק </w:t>
      </w:r>
      <w:r>
        <w:rPr>
          <w:rFonts w:eastAsia="MS Mincho" w:hint="cs"/>
          <w:rtl/>
        </w:rPr>
        <w:t xml:space="preserve">ושק"ט איננו רק קשר סימנטי; גם עיצוריהם דומים (הערת ר' </w:t>
      </w:r>
      <w:r>
        <w:rPr>
          <w:rFonts w:eastAsia="MS Mincho"/>
          <w:rtl/>
        </w:rPr>
        <w:t>יהושע בוך</w:t>
      </w:r>
      <w:r>
        <w:rPr>
          <w:rFonts w:eastAsia="MS Mincho" w:hint="cs"/>
          <w:rtl/>
        </w:rPr>
        <w:t>).</w:t>
      </w:r>
    </w:p>
  </w:footnote>
  <w:footnote w:id="346">
    <w:p w14:paraId="284B699C" w14:textId="77777777" w:rsidR="000015C4" w:rsidRDefault="000015C4" w:rsidP="000015C4">
      <w:pPr>
        <w:pStyle w:val="a5"/>
        <w:rPr>
          <w:rFonts w:hint="cs"/>
          <w:rtl/>
        </w:rPr>
      </w:pPr>
      <w:r>
        <w:rPr>
          <w:rStyle w:val="a4"/>
        </w:rPr>
        <w:footnoteRef/>
      </w:r>
      <w:r>
        <w:rPr>
          <w:rFonts w:hint="cs"/>
          <w:rtl/>
        </w:rPr>
        <w:t xml:space="preserve"> </w:t>
      </w:r>
      <w:r>
        <w:rPr>
          <w:rFonts w:eastAsia="MS Mincho"/>
          <w:rtl/>
        </w:rPr>
        <w:t>כבר במגילות מדבר יהודה (</w:t>
      </w:r>
      <w:r>
        <w:rPr>
          <w:rFonts w:eastAsia="MS Mincho"/>
          <w:sz w:val="18"/>
          <w:szCs w:val="20"/>
          <w:rtl/>
        </w:rPr>
        <w:t xml:space="preserve">בספר שהוא מעין חיקוי לספר יחזקאל </w:t>
      </w:r>
      <w:r>
        <w:rPr>
          <w:rFonts w:eastAsia="MS Mincho"/>
          <w:sz w:val="14"/>
          <w:szCs w:val="16"/>
          <w:rtl/>
        </w:rPr>
        <w:t>4</w:t>
      </w:r>
      <w:r>
        <w:rPr>
          <w:rFonts w:eastAsia="MS Mincho"/>
          <w:sz w:val="16"/>
          <w:szCs w:val="16"/>
        </w:rPr>
        <w:t>Q386II</w:t>
      </w:r>
      <w:r>
        <w:rPr>
          <w:rFonts w:eastAsia="MS Mincho"/>
          <w:rtl/>
        </w:rPr>
        <w:t>) מופיע צירוף המִלים "השלום והשדך", הדומה לצירוף המקראי "שָׁלוֹם וָשֶׁקֶט" (</w:t>
      </w:r>
      <w:r>
        <w:rPr>
          <w:rFonts w:eastAsia="MS Mincho"/>
          <w:sz w:val="18"/>
          <w:szCs w:val="20"/>
          <w:rtl/>
        </w:rPr>
        <w:t>דברי הימים א' כב, ט</w:t>
      </w:r>
      <w:r>
        <w:rPr>
          <w:rFonts w:eastAsia="MS Mincho"/>
          <w:rtl/>
        </w:rPr>
        <w:t>). תודה למור</w:t>
      </w:r>
      <w:r>
        <w:rPr>
          <w:rFonts w:eastAsia="MS Mincho" w:hint="cs"/>
          <w:rtl/>
        </w:rPr>
        <w:t>י</w:t>
      </w:r>
      <w:r>
        <w:rPr>
          <w:rFonts w:eastAsia="MS Mincho"/>
          <w:rtl/>
        </w:rPr>
        <w:t xml:space="preserve"> פרופ' משה בר אשר שהחכימני </w:t>
      </w:r>
      <w:r>
        <w:rPr>
          <w:rFonts w:eastAsia="MS Mincho" w:hint="cs"/>
          <w:rtl/>
        </w:rPr>
        <w:t>ב</w:t>
      </w:r>
      <w:r>
        <w:rPr>
          <w:rFonts w:eastAsia="MS Mincho"/>
          <w:rtl/>
        </w:rPr>
        <w:t>סוגיה זו.</w:t>
      </w:r>
    </w:p>
  </w:footnote>
  <w:footnote w:id="347">
    <w:p w14:paraId="701F3B51" w14:textId="77777777" w:rsidR="000015C4" w:rsidRDefault="000015C4" w:rsidP="000015C4">
      <w:pPr>
        <w:pStyle w:val="a5"/>
        <w:rPr>
          <w:rFonts w:hint="cs"/>
          <w:rtl/>
        </w:rPr>
      </w:pPr>
      <w:r>
        <w:rPr>
          <w:rStyle w:val="a4"/>
        </w:rPr>
        <w:footnoteRef/>
      </w:r>
      <w:r>
        <w:rPr>
          <w:rFonts w:hint="cs"/>
          <w:rtl/>
        </w:rPr>
        <w:t xml:space="preserve"> </w:t>
      </w:r>
      <w:r>
        <w:rPr>
          <w:rFonts w:eastAsia="MS Mincho"/>
          <w:rtl/>
        </w:rPr>
        <w:t>רש"י על אתר: באחור ישבחנה - כשיוציא הכסיל כל רוחו בא החכם וישפילנו במענה לשונו. ודומה לו 'מַשְׁבִּיחַ שְׁאוֹן יַמִּים' (</w:t>
      </w:r>
      <w:r>
        <w:rPr>
          <w:rFonts w:eastAsia="MS Mincho"/>
          <w:sz w:val="20"/>
          <w:szCs w:val="20"/>
          <w:rtl/>
        </w:rPr>
        <w:t>תהלים סה, ח</w:t>
      </w:r>
      <w:r>
        <w:rPr>
          <w:rFonts w:eastAsia="MS Mincho"/>
          <w:rtl/>
        </w:rPr>
        <w:t>), 'בְּשׂוֹא גַלָּיו אַתָּה תְשַׁבְּחֵם' (</w:t>
      </w:r>
      <w:r>
        <w:rPr>
          <w:rFonts w:eastAsia="MS Mincho"/>
          <w:sz w:val="20"/>
          <w:szCs w:val="20"/>
          <w:rtl/>
        </w:rPr>
        <w:t>שם פט, י</w:t>
      </w:r>
      <w:r>
        <w:rPr>
          <w:rFonts w:eastAsia="MS Mincho"/>
          <w:rtl/>
        </w:rPr>
        <w:t>)".</w:t>
      </w:r>
    </w:p>
  </w:footnote>
  <w:footnote w:id="348">
    <w:p w14:paraId="793394B9" w14:textId="77777777" w:rsidR="000015C4" w:rsidRDefault="000015C4" w:rsidP="000015C4">
      <w:pPr>
        <w:pStyle w:val="a5"/>
        <w:rPr>
          <w:rFonts w:hint="cs"/>
          <w:rtl/>
        </w:rPr>
      </w:pPr>
      <w:r>
        <w:rPr>
          <w:rStyle w:val="a4"/>
        </w:rPr>
        <w:footnoteRef/>
      </w:r>
      <w:r>
        <w:rPr>
          <w:rFonts w:hint="cs"/>
          <w:rtl/>
        </w:rPr>
        <w:t xml:space="preserve"> כן </w:t>
      </w:r>
      <w:r>
        <w:rPr>
          <w:rFonts w:eastAsia="MS Mincho"/>
          <w:rtl/>
        </w:rPr>
        <w:t>נראה לנקד. יש מנקדים "מַשְׁדִּיךְ".</w:t>
      </w:r>
    </w:p>
  </w:footnote>
  <w:footnote w:id="349">
    <w:p w14:paraId="4ADD789D" w14:textId="77777777" w:rsidR="000015C4" w:rsidRDefault="000015C4" w:rsidP="000015C4">
      <w:pPr>
        <w:pStyle w:val="a5"/>
        <w:rPr>
          <w:rFonts w:eastAsia="MS Mincho" w:hint="cs"/>
          <w:rtl/>
        </w:rPr>
      </w:pPr>
      <w:r>
        <w:rPr>
          <w:rStyle w:val="a4"/>
        </w:rPr>
        <w:footnoteRef/>
      </w:r>
      <w:r>
        <w:rPr>
          <w:rFonts w:hint="cs"/>
          <w:rtl/>
        </w:rPr>
        <w:t xml:space="preserve"> </w:t>
      </w:r>
      <w:r>
        <w:rPr>
          <w:rFonts w:eastAsia="MS Mincho" w:hint="cs"/>
          <w:rtl/>
        </w:rPr>
        <w:t xml:space="preserve">במסכת </w:t>
      </w:r>
      <w:r>
        <w:rPr>
          <w:rFonts w:eastAsia="MS Mincho"/>
          <w:rtl/>
        </w:rPr>
        <w:t xml:space="preserve">תענית </w:t>
      </w:r>
      <w:r>
        <w:rPr>
          <w:rFonts w:eastAsia="MS Mincho"/>
          <w:sz w:val="20"/>
          <w:szCs w:val="20"/>
          <w:rtl/>
        </w:rPr>
        <w:t>כד, א</w:t>
      </w:r>
      <w:r>
        <w:rPr>
          <w:rFonts w:eastAsia="MS Mincho" w:hint="cs"/>
          <w:rtl/>
        </w:rPr>
        <w:t xml:space="preserve"> מובאים</w:t>
      </w:r>
      <w:r>
        <w:rPr>
          <w:rFonts w:eastAsia="MS Mincho"/>
          <w:rtl/>
        </w:rPr>
        <w:t xml:space="preserve"> דרכי שכנוע ופיוס של מלמד תינוקות: </w:t>
      </w:r>
    </w:p>
    <w:p w14:paraId="2D68FF2B" w14:textId="77777777" w:rsidR="000015C4" w:rsidRDefault="000015C4" w:rsidP="000015C4">
      <w:pPr>
        <w:pStyle w:val="a5"/>
        <w:ind w:left="720"/>
        <w:rPr>
          <w:rFonts w:hint="cs"/>
          <w:rtl/>
        </w:rPr>
      </w:pPr>
      <w:r>
        <w:rPr>
          <w:rFonts w:eastAsia="MS Mincho"/>
          <w:rtl/>
        </w:rPr>
        <w:t>"ואית לי פירא דכוורי (מחילות של דגים</w:t>
      </w:r>
      <w:r>
        <w:rPr>
          <w:rFonts w:eastAsia="MS Mincho" w:hint="cs"/>
          <w:sz w:val="18"/>
          <w:szCs w:val="20"/>
          <w:rtl/>
        </w:rPr>
        <w:t>;</w:t>
      </w:r>
      <w:r>
        <w:rPr>
          <w:rFonts w:eastAsia="MS Mincho"/>
          <w:sz w:val="18"/>
          <w:szCs w:val="20"/>
          <w:rtl/>
        </w:rPr>
        <w:t xml:space="preserve"> "רש"י"</w:t>
      </w:r>
      <w:r>
        <w:rPr>
          <w:rFonts w:eastAsia="MS Mincho"/>
          <w:rtl/>
        </w:rPr>
        <w:t>), וכל מאן דפשע (דלא בעי מיקרי</w:t>
      </w:r>
      <w:r>
        <w:rPr>
          <w:rFonts w:eastAsia="MS Mincho" w:hint="cs"/>
          <w:sz w:val="18"/>
          <w:szCs w:val="20"/>
          <w:rtl/>
        </w:rPr>
        <w:t>;</w:t>
      </w:r>
      <w:r>
        <w:rPr>
          <w:rFonts w:eastAsia="MS Mincho"/>
          <w:sz w:val="18"/>
          <w:szCs w:val="20"/>
          <w:rtl/>
        </w:rPr>
        <w:t xml:space="preserve"> "רש"י"</w:t>
      </w:r>
      <w:r>
        <w:rPr>
          <w:rFonts w:eastAsia="MS Mincho"/>
          <w:rtl/>
        </w:rPr>
        <w:t>) - משחדינא ליה מינייהו, ומסדרינן ליה, ומפייסינן ליה, עד דאתי וקרי".</w:t>
      </w:r>
    </w:p>
  </w:footnote>
  <w:footnote w:id="350">
    <w:p w14:paraId="3011F02F" w14:textId="77777777" w:rsidR="000015C4" w:rsidRDefault="000015C4" w:rsidP="000015C4">
      <w:pPr>
        <w:pStyle w:val="a5"/>
        <w:rPr>
          <w:rFonts w:hint="cs"/>
          <w:rtl/>
        </w:rPr>
      </w:pPr>
      <w:r>
        <w:rPr>
          <w:rStyle w:val="a4"/>
        </w:rPr>
        <w:footnoteRef/>
      </w:r>
      <w:r>
        <w:rPr>
          <w:rFonts w:hint="cs"/>
          <w:rtl/>
        </w:rPr>
        <w:t xml:space="preserve"> </w:t>
      </w:r>
      <w:r>
        <w:rPr>
          <w:rFonts w:eastAsia="MS Mincho"/>
          <w:rtl/>
        </w:rPr>
        <w:t>בפסקי הרא"ש (</w:t>
      </w:r>
      <w:r>
        <w:rPr>
          <w:rFonts w:eastAsia="MS Mincho"/>
          <w:sz w:val="20"/>
          <w:szCs w:val="20"/>
          <w:rtl/>
        </w:rPr>
        <w:t>פרק א' סימן ל'</w:t>
      </w:r>
      <w:r>
        <w:rPr>
          <w:rFonts w:eastAsia="MS Mincho"/>
          <w:rtl/>
        </w:rPr>
        <w:t xml:space="preserve">) ישנו הבדל בין הניסוח ברישא ובסיפא: "אין משדכין </w:t>
      </w:r>
      <w:r>
        <w:rPr>
          <w:rFonts w:eastAsia="MS Mincho"/>
          <w:b/>
          <w:bCs/>
          <w:rtl/>
        </w:rPr>
        <w:t>את</w:t>
      </w:r>
      <w:r>
        <w:rPr>
          <w:rFonts w:eastAsia="MS Mincho"/>
          <w:rtl/>
        </w:rPr>
        <w:t xml:space="preserve"> התינוקות ליארס </w:t>
      </w:r>
      <w:r>
        <w:rPr>
          <w:rFonts w:eastAsia="MS Mincho"/>
          <w:b/>
          <w:bCs/>
          <w:rtl/>
        </w:rPr>
        <w:t xml:space="preserve">ועל </w:t>
      </w:r>
      <w:r>
        <w:rPr>
          <w:rFonts w:eastAsia="MS Mincho"/>
          <w:rtl/>
        </w:rPr>
        <w:t>התינוק ללמדו ספר וללמדו אומנות". יש אף מי שהגיה והתאים את הנוסח למודפס בסוגייתנו: "ואין משדכין (על) [את] התינוקת לארס, (ועל) [ואת] התינוק ללמדו תורה או אומנות" (שכל טוב</w:t>
      </w:r>
      <w:r>
        <w:rPr>
          <w:rFonts w:eastAsia="MS Mincho"/>
          <w:sz w:val="18"/>
          <w:szCs w:val="20"/>
          <w:rtl/>
        </w:rPr>
        <w:t>, מהדורת בובר, שמות טז, פרק א</w:t>
      </w:r>
      <w:r>
        <w:rPr>
          <w:rFonts w:eastAsia="MS Mincho"/>
          <w:rtl/>
        </w:rPr>
        <w:t>). אכמ"ל בהכרעה בין הנוסחים, אך רק נציע שמא שני הסגנונות מקורם בבית היוצר של כל ברייתא, והנוסח "על" בסוגייתנו אינו אלא תיקון ע"מ להשוות לברייתא דבי ר' מנשה.</w:t>
      </w:r>
    </w:p>
  </w:footnote>
  <w:footnote w:id="351">
    <w:p w14:paraId="3B381391" w14:textId="77777777" w:rsidR="000015C4" w:rsidRDefault="000015C4" w:rsidP="000015C4">
      <w:pPr>
        <w:pStyle w:val="a5"/>
        <w:rPr>
          <w:rFonts w:hint="cs"/>
          <w:rtl/>
        </w:rPr>
      </w:pPr>
      <w:r>
        <w:rPr>
          <w:rStyle w:val="a4"/>
        </w:rPr>
        <w:footnoteRef/>
      </w:r>
      <w:r>
        <w:rPr>
          <w:rFonts w:hint="cs"/>
          <w:rtl/>
        </w:rPr>
        <w:t xml:space="preserve"> </w:t>
      </w:r>
      <w:r>
        <w:rPr>
          <w:rFonts w:eastAsia="MS Mincho"/>
          <w:rtl/>
        </w:rPr>
        <w:t xml:space="preserve">"תנא דבי מנשה" </w:t>
      </w:r>
      <w:r>
        <w:rPr>
          <w:rFonts w:eastAsia="MS Mincho"/>
          <w:sz w:val="18"/>
          <w:szCs w:val="20"/>
          <w:rtl/>
        </w:rPr>
        <w:t xml:space="preserve">להלן דף קנ, א; </w:t>
      </w:r>
      <w:r>
        <w:rPr>
          <w:rFonts w:eastAsia="MS Mincho"/>
          <w:rtl/>
        </w:rPr>
        <w:t xml:space="preserve">וכן "תנא דבי מנשיא" </w:t>
      </w:r>
      <w:r>
        <w:rPr>
          <w:rFonts w:eastAsia="MS Mincho"/>
          <w:sz w:val="18"/>
          <w:szCs w:val="20"/>
          <w:rtl/>
        </w:rPr>
        <w:t xml:space="preserve">בכתובות ה, א, </w:t>
      </w:r>
      <w:r>
        <w:rPr>
          <w:rFonts w:eastAsia="MS Mincho"/>
          <w:rtl/>
        </w:rPr>
        <w:t xml:space="preserve">ו"תנא ר' מנשה" </w:t>
      </w:r>
      <w:r>
        <w:rPr>
          <w:rFonts w:eastAsia="MS Mincho"/>
          <w:sz w:val="18"/>
          <w:szCs w:val="20"/>
          <w:rtl/>
        </w:rPr>
        <w:t>במדרש תנחומא, בראשית ב'</w:t>
      </w:r>
      <w:r>
        <w:rPr>
          <w:rFonts w:eastAsia="MS Mincho" w:hint="cs"/>
          <w:sz w:val="18"/>
          <w:szCs w:val="20"/>
          <w:rtl/>
        </w:rPr>
        <w:t>.</w:t>
      </w:r>
    </w:p>
  </w:footnote>
  <w:footnote w:id="352">
    <w:p w14:paraId="71536901" w14:textId="77777777" w:rsidR="000015C4" w:rsidRDefault="000015C4" w:rsidP="000015C4">
      <w:pPr>
        <w:pStyle w:val="a5"/>
        <w:rPr>
          <w:rFonts w:hint="cs"/>
          <w:rtl/>
        </w:rPr>
      </w:pPr>
      <w:r>
        <w:rPr>
          <w:rStyle w:val="a4"/>
        </w:rPr>
        <w:footnoteRef/>
      </w:r>
      <w:r>
        <w:rPr>
          <w:rFonts w:hint="cs"/>
          <w:rtl/>
        </w:rPr>
        <w:t xml:space="preserve"> </w:t>
      </w:r>
      <w:r>
        <w:rPr>
          <w:rFonts w:eastAsia="MS Mincho"/>
          <w:rtl/>
        </w:rPr>
        <w:t xml:space="preserve">שבת </w:t>
      </w:r>
      <w:r>
        <w:rPr>
          <w:rFonts w:eastAsia="MS Mincho"/>
          <w:sz w:val="18"/>
          <w:szCs w:val="20"/>
          <w:rtl/>
        </w:rPr>
        <w:t xml:space="preserve">יז, יד </w:t>
      </w:r>
      <w:r>
        <w:rPr>
          <w:rFonts w:eastAsia="MS Mincho" w:hint="cs"/>
          <w:sz w:val="18"/>
          <w:szCs w:val="20"/>
          <w:rtl/>
        </w:rPr>
        <w:t xml:space="preserve">(או: </w:t>
      </w:r>
      <w:r>
        <w:rPr>
          <w:rFonts w:eastAsia="MS Mincho"/>
          <w:sz w:val="18"/>
          <w:szCs w:val="20"/>
          <w:rtl/>
        </w:rPr>
        <w:t>טז, כב</w:t>
      </w:r>
      <w:r>
        <w:rPr>
          <w:rFonts w:eastAsia="MS Mincho" w:hint="cs"/>
          <w:sz w:val="18"/>
          <w:szCs w:val="20"/>
          <w:rtl/>
        </w:rPr>
        <w:t>).</w:t>
      </w:r>
    </w:p>
  </w:footnote>
  <w:footnote w:id="353">
    <w:p w14:paraId="27F04892" w14:textId="77777777" w:rsidR="000015C4" w:rsidRDefault="000015C4" w:rsidP="000015C4">
      <w:pPr>
        <w:pStyle w:val="a5"/>
        <w:rPr>
          <w:rFonts w:hint="cs"/>
          <w:rtl/>
        </w:rPr>
      </w:pPr>
      <w:r>
        <w:rPr>
          <w:rStyle w:val="a4"/>
        </w:rPr>
        <w:footnoteRef/>
      </w:r>
      <w:r>
        <w:rPr>
          <w:rFonts w:hint="cs"/>
          <w:rtl/>
        </w:rPr>
        <w:t xml:space="preserve"> </w:t>
      </w:r>
      <w:r>
        <w:rPr>
          <w:rFonts w:eastAsia="MS Mincho"/>
          <w:rtl/>
        </w:rPr>
        <w:t>אולי צ"ל: "הסכמה".</w:t>
      </w:r>
    </w:p>
  </w:footnote>
  <w:footnote w:id="354">
    <w:p w14:paraId="481CD098" w14:textId="77777777" w:rsidR="000015C4" w:rsidRDefault="000015C4" w:rsidP="000015C4">
      <w:pPr>
        <w:pStyle w:val="a5"/>
        <w:rPr>
          <w:rFonts w:hint="cs"/>
          <w:rtl/>
        </w:rPr>
      </w:pPr>
      <w:r>
        <w:rPr>
          <w:rStyle w:val="a4"/>
        </w:rPr>
        <w:footnoteRef/>
      </w:r>
      <w:r>
        <w:rPr>
          <w:rFonts w:hint="cs"/>
          <w:rtl/>
        </w:rPr>
        <w:t xml:space="preserve"> </w:t>
      </w:r>
      <w:r>
        <w:rPr>
          <w:rFonts w:eastAsia="MS Mincho"/>
          <w:rtl/>
        </w:rPr>
        <w:t xml:space="preserve">ראה </w:t>
      </w:r>
      <w:r>
        <w:rPr>
          <w:rFonts w:eastAsia="MS Mincho"/>
          <w:color w:val="800000"/>
          <w:rtl/>
        </w:rPr>
        <w:t>להלן</w:t>
      </w:r>
      <w:r>
        <w:rPr>
          <w:rFonts w:eastAsia="MS Mincho"/>
          <w:rtl/>
        </w:rPr>
        <w:t xml:space="preserve"> דף קלז, א.</w:t>
      </w:r>
    </w:p>
  </w:footnote>
  <w:footnote w:id="355">
    <w:p w14:paraId="147B42F8" w14:textId="77777777" w:rsidR="000015C4" w:rsidRDefault="000015C4" w:rsidP="000015C4">
      <w:pPr>
        <w:pStyle w:val="a5"/>
        <w:rPr>
          <w:rFonts w:eastAsia="MS Mincho" w:hint="cs"/>
          <w:rtl/>
        </w:rPr>
      </w:pPr>
      <w:r>
        <w:rPr>
          <w:rStyle w:val="a4"/>
        </w:rPr>
        <w:footnoteRef/>
      </w:r>
      <w:r>
        <w:rPr>
          <w:rFonts w:hint="cs"/>
          <w:rtl/>
        </w:rPr>
        <w:t xml:space="preserve"> </w:t>
      </w:r>
      <w:r>
        <w:rPr>
          <w:rFonts w:eastAsia="MS Mincho"/>
          <w:rtl/>
        </w:rPr>
        <w:t xml:space="preserve">כגון נוסח הברייתא המודפס להלן דף קנ, א ובתנחומא הנ"ל, רש"י </w:t>
      </w:r>
      <w:r>
        <w:rPr>
          <w:rFonts w:eastAsia="MS Mincho"/>
          <w:sz w:val="18"/>
          <w:szCs w:val="20"/>
          <w:rtl/>
        </w:rPr>
        <w:t xml:space="preserve">להלן קיג, א ד"ה חפצי שמים, </w:t>
      </w:r>
      <w:r>
        <w:rPr>
          <w:rFonts w:eastAsia="MS Mincho"/>
          <w:rtl/>
        </w:rPr>
        <w:t xml:space="preserve">תוספות </w:t>
      </w:r>
      <w:r>
        <w:rPr>
          <w:rFonts w:eastAsia="MS Mincho"/>
          <w:sz w:val="18"/>
          <w:szCs w:val="20"/>
          <w:rtl/>
        </w:rPr>
        <w:t xml:space="preserve">קנ, א ד"ה ואמר, </w:t>
      </w:r>
      <w:r>
        <w:rPr>
          <w:rFonts w:eastAsia="MS Mincho"/>
          <w:rtl/>
        </w:rPr>
        <w:t xml:space="preserve">פסקי הרא"ש </w:t>
      </w:r>
      <w:r>
        <w:rPr>
          <w:rFonts w:eastAsia="MS Mincho"/>
          <w:sz w:val="18"/>
          <w:szCs w:val="20"/>
          <w:rtl/>
        </w:rPr>
        <w:t xml:space="preserve">א, ל; כג, ד, </w:t>
      </w:r>
      <w:r>
        <w:rPr>
          <w:rFonts w:eastAsia="MS Mincho"/>
          <w:rtl/>
        </w:rPr>
        <w:t xml:space="preserve">ועוד. </w:t>
      </w:r>
    </w:p>
    <w:p w14:paraId="57C4DF36" w14:textId="77777777" w:rsidR="000015C4" w:rsidRDefault="000015C4" w:rsidP="000015C4">
      <w:pPr>
        <w:pStyle w:val="a5"/>
        <w:rPr>
          <w:rFonts w:eastAsia="MS Mincho"/>
          <w:rtl/>
        </w:rPr>
      </w:pPr>
      <w:r>
        <w:rPr>
          <w:rFonts w:eastAsia="MS Mincho"/>
          <w:rtl/>
        </w:rPr>
        <w:t xml:space="preserve">בקטע מדברי הראבי"ה שהובא לעיל, "לשדך תינוק ותינוקת" - משמע שגרס בלשון רבים, אך בהלכות עירובין </w:t>
      </w:r>
      <w:r>
        <w:rPr>
          <w:rFonts w:eastAsia="MS Mincho"/>
          <w:sz w:val="18"/>
          <w:szCs w:val="20"/>
          <w:rtl/>
        </w:rPr>
        <w:t>סימן שצ</w:t>
      </w:r>
      <w:r>
        <w:rPr>
          <w:rFonts w:eastAsia="MS Mincho" w:hint="cs"/>
          <w:sz w:val="18"/>
          <w:szCs w:val="20"/>
          <w:rtl/>
        </w:rPr>
        <w:t>"</w:t>
      </w:r>
      <w:r>
        <w:rPr>
          <w:rFonts w:eastAsia="MS Mincho"/>
          <w:sz w:val="18"/>
          <w:szCs w:val="20"/>
          <w:rtl/>
        </w:rPr>
        <w:t xml:space="preserve">א </w:t>
      </w:r>
      <w:r>
        <w:rPr>
          <w:rFonts w:eastAsia="MS Mincho"/>
          <w:rtl/>
        </w:rPr>
        <w:t>נאמר: "מ[שדכ]ין על התינוקת לארוס".</w:t>
      </w:r>
    </w:p>
    <w:p w14:paraId="36B40085" w14:textId="77777777" w:rsidR="000015C4" w:rsidRDefault="000015C4" w:rsidP="000015C4">
      <w:pPr>
        <w:pStyle w:val="a5"/>
        <w:rPr>
          <w:rFonts w:hint="cs"/>
          <w:rtl/>
        </w:rPr>
      </w:pPr>
      <w:r>
        <w:rPr>
          <w:rFonts w:eastAsia="MS Mincho"/>
          <w:rtl/>
        </w:rPr>
        <w:t xml:space="preserve">כמו כן, בטור ובשו"ע </w:t>
      </w:r>
      <w:r>
        <w:rPr>
          <w:rFonts w:eastAsia="MS Mincho"/>
          <w:sz w:val="18"/>
          <w:szCs w:val="20"/>
          <w:rtl/>
        </w:rPr>
        <w:t xml:space="preserve">או"ח ש"ו, ו' </w:t>
      </w:r>
      <w:r>
        <w:rPr>
          <w:rFonts w:eastAsia="MS Mincho"/>
          <w:rtl/>
        </w:rPr>
        <w:t xml:space="preserve">נאמר הכל רק בלשון זכר: "ולשדך התינוק ליארס וללמדו ספר או אומנות" (וכן לשון האגור </w:t>
      </w:r>
      <w:r>
        <w:rPr>
          <w:rFonts w:eastAsia="MS Mincho"/>
          <w:sz w:val="18"/>
          <w:szCs w:val="20"/>
          <w:rtl/>
        </w:rPr>
        <w:t xml:space="preserve">הלכות הוצאת שבת סימן תמ"ו </w:t>
      </w:r>
      <w:r>
        <w:rPr>
          <w:rFonts w:eastAsia="MS Mincho"/>
          <w:rtl/>
        </w:rPr>
        <w:t xml:space="preserve">ושו"ת רדב"ז </w:t>
      </w:r>
      <w:r>
        <w:rPr>
          <w:rFonts w:eastAsia="MS Mincho"/>
          <w:sz w:val="18"/>
          <w:szCs w:val="20"/>
          <w:rtl/>
        </w:rPr>
        <w:t>ח"א, רי"ג</w:t>
      </w:r>
      <w:r>
        <w:rPr>
          <w:rFonts w:eastAsia="MS Mincho"/>
          <w:rtl/>
        </w:rPr>
        <w:t>).</w:t>
      </w:r>
    </w:p>
  </w:footnote>
  <w:footnote w:id="356">
    <w:p w14:paraId="3284C95B" w14:textId="77777777" w:rsidR="000015C4" w:rsidRDefault="000015C4" w:rsidP="000015C4">
      <w:pPr>
        <w:pStyle w:val="a5"/>
        <w:rPr>
          <w:rFonts w:eastAsia="MS Mincho" w:hint="cs"/>
          <w:rtl/>
        </w:rPr>
      </w:pPr>
      <w:r>
        <w:rPr>
          <w:rStyle w:val="a4"/>
        </w:rPr>
        <w:footnoteRef/>
      </w:r>
      <w:r>
        <w:rPr>
          <w:rFonts w:hint="cs"/>
          <w:rtl/>
        </w:rPr>
        <w:t xml:space="preserve"> </w:t>
      </w:r>
      <w:r>
        <w:rPr>
          <w:rFonts w:eastAsia="MS Mincho"/>
          <w:rtl/>
        </w:rPr>
        <w:t xml:space="preserve">כך מודפס בברייתא בכתובות </w:t>
      </w:r>
      <w:r>
        <w:rPr>
          <w:rFonts w:eastAsia="MS Mincho"/>
          <w:sz w:val="18"/>
          <w:szCs w:val="20"/>
          <w:rtl/>
        </w:rPr>
        <w:t>ה, א</w:t>
      </w:r>
      <w:r>
        <w:rPr>
          <w:rFonts w:eastAsia="MS Mincho"/>
          <w:rtl/>
        </w:rPr>
        <w:t>, וכך בסוגייתנו בכתבי יד (</w:t>
      </w:r>
      <w:r>
        <w:rPr>
          <w:rFonts w:eastAsia="MS Mincho"/>
          <w:sz w:val="18"/>
          <w:szCs w:val="20"/>
          <w:rtl/>
        </w:rPr>
        <w:t>כגון כתב יד מינכן וכתב יד ו</w:t>
      </w:r>
      <w:r>
        <w:rPr>
          <w:rFonts w:eastAsia="MS Mincho" w:hint="cs"/>
          <w:sz w:val="18"/>
          <w:szCs w:val="20"/>
          <w:rtl/>
        </w:rPr>
        <w:t>ט</w:t>
      </w:r>
      <w:r>
        <w:rPr>
          <w:rFonts w:eastAsia="MS Mincho"/>
          <w:sz w:val="18"/>
          <w:szCs w:val="20"/>
          <w:rtl/>
        </w:rPr>
        <w:t>יקן</w:t>
      </w:r>
      <w:r>
        <w:rPr>
          <w:rFonts w:eastAsia="MS Mincho"/>
          <w:rtl/>
        </w:rPr>
        <w:t xml:space="preserve">) ובראשונים (כגון שכל טוב </w:t>
      </w:r>
      <w:r>
        <w:rPr>
          <w:rFonts w:eastAsia="MS Mincho"/>
          <w:sz w:val="18"/>
          <w:szCs w:val="20"/>
          <w:rtl/>
        </w:rPr>
        <w:t xml:space="preserve">הנ"ל, </w:t>
      </w:r>
      <w:r>
        <w:rPr>
          <w:rFonts w:eastAsia="MS Mincho"/>
          <w:rtl/>
        </w:rPr>
        <w:t>הלכות הרי"ף</w:t>
      </w:r>
      <w:r>
        <w:rPr>
          <w:rFonts w:eastAsia="MS Mincho"/>
          <w:sz w:val="18"/>
          <w:szCs w:val="20"/>
          <w:rtl/>
        </w:rPr>
        <w:t xml:space="preserve"> כאן; אמנם להלן סד, א: התינוקות</w:t>
      </w:r>
      <w:r>
        <w:rPr>
          <w:rFonts w:eastAsia="MS Mincho"/>
          <w:rtl/>
        </w:rPr>
        <w:t>). בשאילתות דרב אחאי גאון (</w:t>
      </w:r>
      <w:r>
        <w:rPr>
          <w:rFonts w:eastAsia="MS Mincho"/>
          <w:sz w:val="18"/>
          <w:szCs w:val="20"/>
          <w:rtl/>
        </w:rPr>
        <w:t xml:space="preserve">אחרי מות, צ"ג; </w:t>
      </w:r>
      <w:r>
        <w:rPr>
          <w:rFonts w:eastAsia="MS Mincho"/>
          <w:rtl/>
        </w:rPr>
        <w:t>וכן הוא בהלכות גדולות</w:t>
      </w:r>
      <w:r>
        <w:rPr>
          <w:rFonts w:eastAsia="MS Mincho"/>
          <w:sz w:val="18"/>
          <w:szCs w:val="20"/>
          <w:rtl/>
        </w:rPr>
        <w:t>, הלכות שבת פרק כ"ג, ירושלים תשנ"ב, עמ' קלג</w:t>
      </w:r>
      <w:r>
        <w:rPr>
          <w:rFonts w:eastAsia="MS Mincho"/>
          <w:rtl/>
        </w:rPr>
        <w:t>) ישנה הדגשה שהרישא בלשון נקבה היא: "אין משדכין על התינוקת לארס</w:t>
      </w:r>
      <w:r>
        <w:rPr>
          <w:rFonts w:eastAsia="MS Mincho"/>
          <w:b/>
          <w:bCs/>
          <w:rtl/>
        </w:rPr>
        <w:t>הּ</w:t>
      </w:r>
      <w:r>
        <w:rPr>
          <w:rFonts w:eastAsia="MS Mincho"/>
          <w:rtl/>
        </w:rPr>
        <w:t xml:space="preserve"> ועל תינוק ללמדו ספר וללמדו אומנות". בספר הלכות קצובות (</w:t>
      </w:r>
      <w:r>
        <w:rPr>
          <w:rFonts w:eastAsia="MS Mincho"/>
          <w:sz w:val="18"/>
          <w:szCs w:val="20"/>
          <w:rtl/>
        </w:rPr>
        <w:t>שבת אות כ"ח</w:t>
      </w:r>
      <w:r>
        <w:rPr>
          <w:rFonts w:eastAsia="MS Mincho"/>
          <w:rtl/>
        </w:rPr>
        <w:t xml:space="preserve">) </w:t>
      </w:r>
      <w:r>
        <w:rPr>
          <w:rFonts w:eastAsia="MS Mincho" w:hint="cs"/>
          <w:rtl/>
        </w:rPr>
        <w:t xml:space="preserve">מצינו </w:t>
      </w:r>
      <w:r>
        <w:rPr>
          <w:rFonts w:eastAsia="MS Mincho"/>
          <w:rtl/>
        </w:rPr>
        <w:t>לשון רבות, אך מההמשך מובן שמדובר רק על נקבות: "ובתינוקות מספרים להשיאהּ ומשדכין ובכל דבר של מצוה מותר לחשב ולספר בשבת". במשנה תורה לרמב"ם (</w:t>
      </w:r>
      <w:r>
        <w:rPr>
          <w:rFonts w:eastAsia="MS Mincho"/>
          <w:sz w:val="18"/>
          <w:szCs w:val="20"/>
          <w:rtl/>
        </w:rPr>
        <w:t>הלכות שבת כ"ד, ה'</w:t>
      </w:r>
      <w:r>
        <w:rPr>
          <w:rFonts w:eastAsia="MS Mincho"/>
          <w:rtl/>
        </w:rPr>
        <w:t>) נכתב בלשון נקבה: "ומשדכין על התינוקת לארס, ועל התינוק ללמדו ספר וללמדו אומנות"</w:t>
      </w:r>
      <w:r>
        <w:rPr>
          <w:rFonts w:eastAsia="MS Mincho" w:hint="cs"/>
          <w:rtl/>
        </w:rPr>
        <w:t xml:space="preserve"> (</w:t>
      </w:r>
      <w:r>
        <w:rPr>
          <w:rFonts w:eastAsia="MS Mincho"/>
          <w:rtl/>
        </w:rPr>
        <w:t xml:space="preserve">אך בפיהמ"ש לשבת </w:t>
      </w:r>
      <w:r>
        <w:rPr>
          <w:rFonts w:eastAsia="MS Mincho"/>
          <w:sz w:val="18"/>
          <w:szCs w:val="20"/>
          <w:rtl/>
        </w:rPr>
        <w:t>פכ"ג מ"ג</w:t>
      </w:r>
      <w:r>
        <w:rPr>
          <w:rFonts w:eastAsia="MS Mincho" w:hint="cs"/>
          <w:sz w:val="18"/>
          <w:szCs w:val="20"/>
          <w:rtl/>
        </w:rPr>
        <w:t xml:space="preserve">, עמ' נט במהדורת </w:t>
      </w:r>
      <w:r>
        <w:rPr>
          <w:rFonts w:eastAsia="MS Mincho"/>
          <w:sz w:val="18"/>
          <w:szCs w:val="20"/>
          <w:rtl/>
        </w:rPr>
        <w:t>ר"י קאפח</w:t>
      </w:r>
      <w:r>
        <w:rPr>
          <w:rFonts w:eastAsia="MS Mincho" w:hint="cs"/>
          <w:rtl/>
        </w:rPr>
        <w:t>,</w:t>
      </w:r>
      <w:r>
        <w:rPr>
          <w:rFonts w:eastAsia="MS Mincho"/>
          <w:rtl/>
        </w:rPr>
        <w:t xml:space="preserve"> נקט לשון רבים: "לדבֵּר בשידוכי הזוג ולִמוד התינוקות חכמה או כתב או מלאכה"</w:t>
      </w:r>
      <w:r>
        <w:rPr>
          <w:rFonts w:eastAsia="MS Mincho" w:hint="cs"/>
          <w:rtl/>
        </w:rPr>
        <w:t>)</w:t>
      </w:r>
      <w:r>
        <w:rPr>
          <w:rFonts w:eastAsia="MS Mincho"/>
          <w:rtl/>
        </w:rPr>
        <w:t>. וכ"כ אור זרוע (</w:t>
      </w:r>
      <w:r>
        <w:rPr>
          <w:rFonts w:eastAsia="MS Mincho"/>
          <w:sz w:val="18"/>
          <w:szCs w:val="20"/>
          <w:rtl/>
        </w:rPr>
        <w:t>ח"ב, הלכות ערב שבת סימן ב'</w:t>
      </w:r>
      <w:r>
        <w:rPr>
          <w:rFonts w:eastAsia="MS Mincho"/>
          <w:rtl/>
        </w:rPr>
        <w:t xml:space="preserve">) "לשדך לתינוקת ליארס ותינוק ללמדו ספר" וכיו"ב בשו"ת חוות יאיר </w:t>
      </w:r>
      <w:r>
        <w:rPr>
          <w:rFonts w:eastAsia="MS Mincho"/>
          <w:sz w:val="18"/>
          <w:szCs w:val="20"/>
          <w:rtl/>
        </w:rPr>
        <w:t>סימן נ"ג</w:t>
      </w:r>
      <w:r>
        <w:rPr>
          <w:rFonts w:eastAsia="MS Mincho"/>
          <w:rtl/>
        </w:rPr>
        <w:t xml:space="preserve">. </w:t>
      </w:r>
    </w:p>
    <w:p w14:paraId="2B2D7623" w14:textId="77777777" w:rsidR="000015C4" w:rsidRDefault="000015C4" w:rsidP="000015C4">
      <w:pPr>
        <w:pStyle w:val="a5"/>
        <w:rPr>
          <w:rFonts w:eastAsia="MS Mincho" w:hint="cs"/>
          <w:rtl/>
        </w:rPr>
      </w:pPr>
      <w:r>
        <w:rPr>
          <w:rFonts w:eastAsia="MS Mincho"/>
          <w:rtl/>
        </w:rPr>
        <w:t xml:space="preserve">גם בנושא זה הגיהו מגיהים: בפירוש רד"ק לישעיה </w:t>
      </w:r>
      <w:r>
        <w:rPr>
          <w:rFonts w:eastAsia="MS Mincho"/>
          <w:sz w:val="18"/>
          <w:szCs w:val="20"/>
          <w:rtl/>
        </w:rPr>
        <w:t xml:space="preserve">נח, יג </w:t>
      </w:r>
      <w:r>
        <w:rPr>
          <w:rFonts w:eastAsia="MS Mincho"/>
          <w:rtl/>
        </w:rPr>
        <w:t>מודפס "התינוקות", אך במהדורת הכתר</w:t>
      </w:r>
      <w:r>
        <w:rPr>
          <w:rFonts w:eastAsia="MS Mincho" w:hint="cs"/>
          <w:rtl/>
        </w:rPr>
        <w:t xml:space="preserve"> ע"פ כת"י</w:t>
      </w:r>
      <w:r>
        <w:rPr>
          <w:rFonts w:eastAsia="MS Mincho"/>
          <w:rtl/>
        </w:rPr>
        <w:t>: "התינוקת"</w:t>
      </w:r>
      <w:r>
        <w:rPr>
          <w:rFonts w:eastAsia="MS Mincho" w:hint="cs"/>
          <w:rtl/>
        </w:rPr>
        <w:t>.</w:t>
      </w:r>
      <w:r>
        <w:rPr>
          <w:rFonts w:eastAsia="MS Mincho"/>
          <w:rtl/>
        </w:rPr>
        <w:t xml:space="preserve"> </w:t>
      </w:r>
      <w:r>
        <w:rPr>
          <w:rFonts w:eastAsia="MS Mincho" w:hint="cs"/>
          <w:rtl/>
        </w:rPr>
        <w:t xml:space="preserve">מקרה הפוך ארע כנראה בלשון </w:t>
      </w:r>
      <w:r>
        <w:rPr>
          <w:rFonts w:eastAsia="MS Mincho"/>
          <w:rtl/>
        </w:rPr>
        <w:t>המשנה ברורה</w:t>
      </w:r>
      <w:r>
        <w:rPr>
          <w:rFonts w:eastAsia="MS Mincho" w:hint="cs"/>
          <w:rtl/>
        </w:rPr>
        <w:t>:</w:t>
      </w:r>
    </w:p>
    <w:p w14:paraId="0A19DA89" w14:textId="77777777" w:rsidR="000015C4" w:rsidRDefault="000015C4" w:rsidP="000015C4">
      <w:pPr>
        <w:pStyle w:val="a5"/>
        <w:rPr>
          <w:rFonts w:eastAsia="MS Mincho"/>
          <w:rtl/>
        </w:rPr>
      </w:pPr>
      <w:r>
        <w:rPr>
          <w:rFonts w:eastAsia="MS Mincho" w:hint="cs"/>
          <w:rtl/>
        </w:rPr>
        <w:t xml:space="preserve">את </w:t>
      </w:r>
      <w:r>
        <w:rPr>
          <w:rFonts w:eastAsia="MS Mincho"/>
          <w:rtl/>
        </w:rPr>
        <w:t>לשון השו"ע</w:t>
      </w:r>
      <w:r>
        <w:rPr>
          <w:rFonts w:eastAsia="MS Mincho" w:hint="cs"/>
          <w:rtl/>
        </w:rPr>
        <w:t xml:space="preserve"> (</w:t>
      </w:r>
      <w:r>
        <w:rPr>
          <w:rFonts w:eastAsia="MS Mincho" w:hint="cs"/>
          <w:sz w:val="18"/>
          <w:szCs w:val="20"/>
          <w:rtl/>
        </w:rPr>
        <w:t>ע"פ לשון הטור</w:t>
      </w:r>
      <w:r>
        <w:rPr>
          <w:rFonts w:eastAsia="MS Mincho" w:hint="cs"/>
          <w:rtl/>
        </w:rPr>
        <w:t>) שכתב: "</w:t>
      </w:r>
      <w:r>
        <w:rPr>
          <w:rFonts w:eastAsia="MS Mincho"/>
          <w:rtl/>
        </w:rPr>
        <w:t>חפצי שמים מותר לדבר בהם, כגון: חשבונות של מצוה</w:t>
      </w:r>
      <w:r>
        <w:rPr>
          <w:rFonts w:eastAsia="MS Mincho" w:hint="cs"/>
          <w:rtl/>
        </w:rPr>
        <w:t xml:space="preserve">... </w:t>
      </w:r>
      <w:r>
        <w:rPr>
          <w:rFonts w:eastAsia="MS Mincho"/>
          <w:rtl/>
        </w:rPr>
        <w:t xml:space="preserve">ולשדך </w:t>
      </w:r>
      <w:r>
        <w:rPr>
          <w:rFonts w:eastAsia="MS Mincho"/>
          <w:b/>
          <w:bCs/>
          <w:rtl/>
        </w:rPr>
        <w:t>התינוק</w:t>
      </w:r>
      <w:r>
        <w:rPr>
          <w:rFonts w:eastAsia="MS Mincho" w:hint="cs"/>
          <w:rtl/>
        </w:rPr>
        <w:t xml:space="preserve"> </w:t>
      </w:r>
      <w:r>
        <w:rPr>
          <w:rFonts w:eastAsia="MS Mincho"/>
          <w:rtl/>
        </w:rPr>
        <w:t>ליארס וללמדו ספר או אומנות</w:t>
      </w:r>
      <w:r>
        <w:rPr>
          <w:rFonts w:eastAsia="MS Mincho" w:hint="cs"/>
          <w:rtl/>
        </w:rPr>
        <w:t>"</w:t>
      </w:r>
      <w:r>
        <w:rPr>
          <w:rFonts w:eastAsia="MS Mincho"/>
          <w:rtl/>
        </w:rPr>
        <w:t xml:space="preserve"> מציע</w:t>
      </w:r>
      <w:r>
        <w:rPr>
          <w:rFonts w:eastAsia="MS Mincho" w:hint="cs"/>
          <w:rtl/>
        </w:rPr>
        <w:t xml:space="preserve"> </w:t>
      </w:r>
      <w:r>
        <w:rPr>
          <w:rFonts w:eastAsia="MS Mincho"/>
          <w:rtl/>
        </w:rPr>
        <w:t>המשנה ברורה (</w:t>
      </w:r>
      <w:r>
        <w:rPr>
          <w:rFonts w:eastAsia="MS Mincho"/>
          <w:sz w:val="18"/>
          <w:szCs w:val="20"/>
          <w:rtl/>
        </w:rPr>
        <w:t>סימן ש"ו ס"ק כ"ט</w:t>
      </w:r>
      <w:r>
        <w:rPr>
          <w:rFonts w:eastAsia="MS Mincho"/>
          <w:rtl/>
        </w:rPr>
        <w:t xml:space="preserve">) להגיה: "ולשדך התינוק - צ"ל: </w:t>
      </w:r>
      <w:r>
        <w:rPr>
          <w:rFonts w:eastAsia="MS Mincho"/>
          <w:b/>
          <w:bCs/>
          <w:rtl/>
        </w:rPr>
        <w:t>התינוקת</w:t>
      </w:r>
      <w:r>
        <w:rPr>
          <w:rFonts w:eastAsia="MS Mincho"/>
          <w:rtl/>
        </w:rPr>
        <w:t xml:space="preserve"> (גמרא)". </w:t>
      </w:r>
      <w:r>
        <w:rPr>
          <w:rFonts w:eastAsia="MS Mincho" w:hint="cs"/>
          <w:rtl/>
        </w:rPr>
        <w:t>מסתבר שלא עלה על דעתו שמשדכין את הבת התינוקת ללמדהּ ספר ואומנות, ולכן אין להבין את דבריו כפשטם ולגרוס בשו"ע: "</w:t>
      </w:r>
      <w:r>
        <w:rPr>
          <w:rFonts w:eastAsia="MS Mincho"/>
          <w:rtl/>
        </w:rPr>
        <w:t>ולשדך התינוק</w:t>
      </w:r>
      <w:r>
        <w:rPr>
          <w:rFonts w:eastAsia="MS Mincho" w:hint="cs"/>
          <w:rtl/>
        </w:rPr>
        <w:t xml:space="preserve">ת </w:t>
      </w:r>
      <w:r>
        <w:rPr>
          <w:rFonts w:eastAsia="MS Mincho"/>
          <w:rtl/>
        </w:rPr>
        <w:t>ליארס וללמד</w:t>
      </w:r>
      <w:r>
        <w:rPr>
          <w:rFonts w:eastAsia="MS Mincho"/>
          <w:b/>
          <w:bCs/>
          <w:rtl/>
        </w:rPr>
        <w:t>ו</w:t>
      </w:r>
      <w:r>
        <w:rPr>
          <w:rFonts w:eastAsia="MS Mincho"/>
          <w:rtl/>
        </w:rPr>
        <w:t xml:space="preserve"> ספר או אומנות</w:t>
      </w:r>
      <w:r>
        <w:rPr>
          <w:rFonts w:eastAsia="MS Mincho" w:hint="cs"/>
          <w:rtl/>
        </w:rPr>
        <w:t>". יתכן שכוונתו לגרוס: "</w:t>
      </w:r>
      <w:r>
        <w:rPr>
          <w:rFonts w:eastAsia="MS Mincho"/>
          <w:rtl/>
        </w:rPr>
        <w:t>ולשדך התינוק</w:t>
      </w:r>
      <w:r>
        <w:rPr>
          <w:rFonts w:eastAsia="MS Mincho" w:hint="cs"/>
          <w:rtl/>
        </w:rPr>
        <w:t xml:space="preserve">ת </w:t>
      </w:r>
      <w:r>
        <w:rPr>
          <w:rFonts w:eastAsia="MS Mincho"/>
          <w:rtl/>
        </w:rPr>
        <w:t>ליארס ו</w:t>
      </w:r>
      <w:r>
        <w:rPr>
          <w:rFonts w:eastAsia="MS Mincho" w:hint="cs"/>
          <w:rtl/>
        </w:rPr>
        <w:t xml:space="preserve">[את התינוק] </w:t>
      </w:r>
      <w:r>
        <w:rPr>
          <w:rFonts w:eastAsia="MS Mincho"/>
          <w:rtl/>
        </w:rPr>
        <w:t>ללמדו ספר או אומנות</w:t>
      </w:r>
      <w:r>
        <w:rPr>
          <w:rFonts w:eastAsia="MS Mincho" w:hint="cs"/>
          <w:rtl/>
        </w:rPr>
        <w:t xml:space="preserve">" (ובכותבו בשער הציון "גמרא", היינו ע"פ לשון </w:t>
      </w:r>
      <w:r>
        <w:rPr>
          <w:rFonts w:eastAsia="MS Mincho"/>
          <w:rtl/>
        </w:rPr>
        <w:t>תנא דבי מנשיא</w:t>
      </w:r>
      <w:r>
        <w:rPr>
          <w:rFonts w:eastAsia="MS Mincho" w:hint="cs"/>
          <w:rtl/>
        </w:rPr>
        <w:t xml:space="preserve"> ב</w:t>
      </w:r>
      <w:r>
        <w:rPr>
          <w:rFonts w:eastAsia="MS Mincho"/>
          <w:rtl/>
        </w:rPr>
        <w:t>כתובות</w:t>
      </w:r>
      <w:r>
        <w:rPr>
          <w:rFonts w:eastAsia="MS Mincho" w:hint="cs"/>
          <w:sz w:val="18"/>
          <w:szCs w:val="20"/>
          <w:rtl/>
        </w:rPr>
        <w:t>, וכנוסח כתבי היד במסכת שבת וכנוסח ה</w:t>
      </w:r>
      <w:r>
        <w:rPr>
          <w:rFonts w:eastAsia="MS Mincho"/>
          <w:sz w:val="18"/>
          <w:szCs w:val="20"/>
          <w:rtl/>
        </w:rPr>
        <w:t>ראשונים הנ"</w:t>
      </w:r>
      <w:r>
        <w:rPr>
          <w:rFonts w:eastAsia="MS Mincho" w:hint="cs"/>
          <w:sz w:val="18"/>
          <w:szCs w:val="20"/>
          <w:rtl/>
        </w:rPr>
        <w:t>ל</w:t>
      </w:r>
      <w:r>
        <w:rPr>
          <w:rFonts w:eastAsia="MS Mincho" w:hint="cs"/>
          <w:rtl/>
        </w:rPr>
        <w:t>), אך קשה מדוע לא הגיה את ההגהה הנוספת. יותר נראה שחל בתיקונו טעות דפוס, ובמקום "</w:t>
      </w:r>
      <w:r>
        <w:rPr>
          <w:rFonts w:eastAsia="MS Mincho"/>
          <w:rtl/>
        </w:rPr>
        <w:t>התינוק</w:t>
      </w:r>
      <w:r>
        <w:rPr>
          <w:rFonts w:eastAsia="MS Mincho" w:hint="cs"/>
          <w:rtl/>
        </w:rPr>
        <w:t>ֶ</w:t>
      </w:r>
      <w:r>
        <w:rPr>
          <w:rFonts w:eastAsia="MS Mincho"/>
          <w:rtl/>
        </w:rPr>
        <w:t>ת</w:t>
      </w:r>
      <w:r>
        <w:rPr>
          <w:rFonts w:eastAsia="MS Mincho" w:hint="cs"/>
          <w:rtl/>
        </w:rPr>
        <w:t xml:space="preserve">", </w:t>
      </w:r>
      <w:r>
        <w:rPr>
          <w:rFonts w:eastAsia="MS Mincho"/>
          <w:rtl/>
        </w:rPr>
        <w:t>צ"ל</w:t>
      </w:r>
      <w:r>
        <w:rPr>
          <w:rFonts w:eastAsia="MS Mincho" w:hint="cs"/>
          <w:rtl/>
        </w:rPr>
        <w:t xml:space="preserve"> "</w:t>
      </w:r>
      <w:r>
        <w:rPr>
          <w:rFonts w:eastAsia="MS Mincho"/>
          <w:rtl/>
        </w:rPr>
        <w:t>התינוק</w:t>
      </w:r>
      <w:r>
        <w:rPr>
          <w:rFonts w:eastAsia="MS Mincho" w:hint="cs"/>
          <w:b/>
          <w:bCs/>
          <w:rtl/>
        </w:rPr>
        <w:t>וֹ</w:t>
      </w:r>
      <w:r>
        <w:rPr>
          <w:rFonts w:eastAsia="MS Mincho"/>
          <w:b/>
          <w:bCs/>
          <w:rtl/>
        </w:rPr>
        <w:t>ת</w:t>
      </w:r>
      <w:r>
        <w:rPr>
          <w:rFonts w:eastAsia="MS Mincho" w:hint="cs"/>
          <w:rtl/>
        </w:rPr>
        <w:t xml:space="preserve">" (ובכותבו בשער הציון "גמרא", כוונתו ללשון שתי הסוגיות במסכת </w:t>
      </w:r>
      <w:r>
        <w:rPr>
          <w:rFonts w:eastAsia="MS Mincho"/>
          <w:rtl/>
        </w:rPr>
        <w:t>שבת</w:t>
      </w:r>
      <w:r>
        <w:rPr>
          <w:rFonts w:eastAsia="MS Mincho" w:hint="cs"/>
          <w:rtl/>
        </w:rPr>
        <w:t>). החלפת "</w:t>
      </w:r>
      <w:r>
        <w:rPr>
          <w:rFonts w:eastAsia="MS Mincho"/>
          <w:rtl/>
        </w:rPr>
        <w:t>תינוקת</w:t>
      </w:r>
      <w:r>
        <w:rPr>
          <w:rFonts w:eastAsia="MS Mincho" w:hint="cs"/>
          <w:rtl/>
        </w:rPr>
        <w:t>" ו"</w:t>
      </w:r>
      <w:r>
        <w:rPr>
          <w:rFonts w:eastAsia="MS Mincho"/>
          <w:rtl/>
        </w:rPr>
        <w:t>תינוק</w:t>
      </w:r>
      <w:r>
        <w:rPr>
          <w:rFonts w:eastAsia="MS Mincho" w:hint="cs"/>
          <w:rtl/>
        </w:rPr>
        <w:t>ו</w:t>
      </w:r>
      <w:r>
        <w:rPr>
          <w:rFonts w:eastAsia="MS Mincho"/>
          <w:rtl/>
        </w:rPr>
        <w:t>ת</w:t>
      </w:r>
      <w:r>
        <w:rPr>
          <w:rFonts w:eastAsia="MS Mincho" w:hint="cs"/>
          <w:rtl/>
        </w:rPr>
        <w:t xml:space="preserve">" מובנת מאוד לאור המבטא האשכנזי, והיא מצויה לרוב בספרים שנדפסו במזרח אירופה. </w:t>
      </w:r>
    </w:p>
  </w:footnote>
  <w:footnote w:id="357">
    <w:p w14:paraId="1CE167A1" w14:textId="77777777" w:rsidR="000015C4" w:rsidRDefault="000015C4" w:rsidP="000015C4">
      <w:pPr>
        <w:pStyle w:val="a5"/>
        <w:rPr>
          <w:rtl/>
        </w:rPr>
      </w:pPr>
      <w:r>
        <w:rPr>
          <w:rStyle w:val="a4"/>
        </w:rPr>
        <w:footnoteRef/>
      </w:r>
      <w:r>
        <w:rPr>
          <w:rFonts w:hint="cs"/>
          <w:rtl/>
        </w:rPr>
        <w:t xml:space="preserve"> לולא קיומו של נוסח זה, היה ניתן להסביר שרצון הפייטן </w:t>
      </w:r>
      <w:r>
        <w:rPr>
          <w:rFonts w:eastAsia="MS Mincho" w:hint="cs"/>
          <w:rtl/>
        </w:rPr>
        <w:t>ל</w:t>
      </w:r>
      <w:r>
        <w:rPr>
          <w:rFonts w:hint="cs"/>
          <w:rtl/>
        </w:rPr>
        <w:t>חרוֹז "</w:t>
      </w:r>
      <w:r>
        <w:rPr>
          <w:rFonts w:eastAsia="MS Mincho"/>
          <w:rtl/>
        </w:rPr>
        <w:t>וּלְשַׁדֵּךְ הַבָּנוֹת</w:t>
      </w:r>
      <w:r>
        <w:rPr>
          <w:rFonts w:eastAsia="MS Mincho" w:hint="cs"/>
          <w:rtl/>
        </w:rPr>
        <w:t xml:space="preserve">" </w:t>
      </w:r>
      <w:r>
        <w:rPr>
          <w:rFonts w:hint="cs"/>
          <w:rtl/>
        </w:rPr>
        <w:t>עם "</w:t>
      </w:r>
      <w:r>
        <w:rPr>
          <w:rFonts w:eastAsia="MS Mincho"/>
          <w:rtl/>
        </w:rPr>
        <w:t>חֶשְׁבּוֹנ</w:t>
      </w:r>
      <w:r>
        <w:rPr>
          <w:rFonts w:eastAsia="MS Mincho"/>
          <w:b/>
          <w:bCs/>
          <w:rtl/>
        </w:rPr>
        <w:t>וֹת</w:t>
      </w:r>
      <w:r>
        <w:rPr>
          <w:rFonts w:eastAsia="MS Mincho" w:hint="cs"/>
          <w:rtl/>
        </w:rPr>
        <w:t>" ו"</w:t>
      </w:r>
      <w:r>
        <w:rPr>
          <w:rFonts w:eastAsia="MS Mincho"/>
          <w:rtl/>
        </w:rPr>
        <w:t>בִּנְגִינ</w:t>
      </w:r>
      <w:r>
        <w:rPr>
          <w:rFonts w:eastAsia="MS Mincho"/>
          <w:b/>
          <w:bCs/>
          <w:rtl/>
        </w:rPr>
        <w:t>וֹת</w:t>
      </w:r>
      <w:r>
        <w:rPr>
          <w:rFonts w:eastAsia="MS Mincho"/>
          <w:rtl/>
        </w:rPr>
        <w:t>"</w:t>
      </w:r>
      <w:r>
        <w:rPr>
          <w:rFonts w:eastAsia="MS Mincho" w:hint="cs"/>
          <w:rtl/>
        </w:rPr>
        <w:t>, הוא שאִלֵץ אות</w:t>
      </w:r>
      <w:r>
        <w:rPr>
          <w:rFonts w:hint="cs"/>
          <w:rtl/>
        </w:rPr>
        <w:t>ו לנקוט "</w:t>
      </w:r>
      <w:r>
        <w:rPr>
          <w:rFonts w:eastAsia="MS Mincho"/>
          <w:rtl/>
        </w:rPr>
        <w:t>הַבָּנוֹת</w:t>
      </w:r>
      <w:r>
        <w:rPr>
          <w:rFonts w:eastAsia="MS Mincho" w:hint="cs"/>
          <w:rtl/>
        </w:rPr>
        <w:t>" ולא "הבנים"</w:t>
      </w:r>
      <w:r>
        <w:rPr>
          <w:rFonts w:eastAsia="MS Mincho"/>
          <w:rtl/>
        </w:rPr>
        <w:t>.</w:t>
      </w:r>
    </w:p>
  </w:footnote>
  <w:footnote w:id="358">
    <w:p w14:paraId="0E514543" w14:textId="77777777" w:rsidR="002B4B31" w:rsidRDefault="002B4B31" w:rsidP="002B4B31">
      <w:pPr>
        <w:pStyle w:val="a5"/>
        <w:rPr>
          <w:rtl/>
        </w:rPr>
      </w:pPr>
      <w:r>
        <w:rPr>
          <w:rStyle w:val="a4"/>
        </w:rPr>
        <w:footnoteRef/>
      </w:r>
      <w:r>
        <w:rPr>
          <w:rFonts w:hint="cs"/>
          <w:rtl/>
        </w:rPr>
        <w:t xml:space="preserve"> לפי נוסח הדפוס, בא פועל ממין זכר ביחס לשם "שכינה". על המין הדקדוקי של שם זה ראה להלן דף ל, ב.</w:t>
      </w:r>
    </w:p>
  </w:footnote>
  <w:footnote w:id="359">
    <w:p w14:paraId="5EDAD08A" w14:textId="77777777" w:rsidR="002B4B31" w:rsidRDefault="002B4B31" w:rsidP="002B4B31">
      <w:pPr>
        <w:pStyle w:val="a5"/>
        <w:rPr>
          <w:rFonts w:hint="cs"/>
          <w:rtl/>
        </w:rPr>
      </w:pPr>
      <w:r>
        <w:rPr>
          <w:rStyle w:val="a4"/>
        </w:rPr>
        <w:footnoteRef/>
      </w:r>
      <w:r>
        <w:rPr>
          <w:rFonts w:hint="cs"/>
          <w:rtl/>
        </w:rPr>
        <w:t xml:space="preserve"> כן הנוסח בדפוס וילנה</w:t>
      </w:r>
      <w:r>
        <w:rPr>
          <w:rtl/>
        </w:rPr>
        <w:t xml:space="preserve"> </w:t>
      </w:r>
      <w:r>
        <w:rPr>
          <w:rFonts w:hint="cs"/>
          <w:rtl/>
        </w:rPr>
        <w:t>ו</w:t>
      </w:r>
      <w:r>
        <w:rPr>
          <w:rtl/>
        </w:rPr>
        <w:t>בקטע גניזה</w:t>
      </w:r>
      <w:r>
        <w:rPr>
          <w:rFonts w:hint="cs"/>
          <w:rtl/>
        </w:rPr>
        <w:t>. כך נכתב מתחילה ב</w:t>
      </w:r>
      <w:r>
        <w:rPr>
          <w:rtl/>
        </w:rPr>
        <w:t>כתב יד מינכן</w:t>
      </w:r>
      <w:r>
        <w:rPr>
          <w:rFonts w:hint="cs"/>
          <w:rtl/>
        </w:rPr>
        <w:t xml:space="preserve">, אך </w:t>
      </w:r>
      <w:r>
        <w:rPr>
          <w:rtl/>
        </w:rPr>
        <w:t>בין השורות נוס</w:t>
      </w:r>
      <w:r>
        <w:rPr>
          <w:rFonts w:hint="cs"/>
          <w:rtl/>
        </w:rPr>
        <w:t>פה</w:t>
      </w:r>
      <w:r>
        <w:rPr>
          <w:rtl/>
        </w:rPr>
        <w:t xml:space="preserve"> מ' נוספת</w:t>
      </w:r>
      <w:r>
        <w:rPr>
          <w:rFonts w:hint="cs"/>
          <w:rtl/>
        </w:rPr>
        <w:t>, וזהו הנוסח המצוי בכמה כתבי יד (</w:t>
      </w:r>
      <w:r>
        <w:rPr>
          <w:szCs w:val="20"/>
          <w:rtl/>
        </w:rPr>
        <w:t>אוקספו</w:t>
      </w:r>
      <w:r>
        <w:rPr>
          <w:rFonts w:hint="cs"/>
          <w:szCs w:val="20"/>
          <w:rtl/>
        </w:rPr>
        <w:t>ר</w:t>
      </w:r>
      <w:r>
        <w:rPr>
          <w:szCs w:val="20"/>
          <w:rtl/>
        </w:rPr>
        <w:t>ד 366</w:t>
      </w:r>
      <w:r>
        <w:rPr>
          <w:rFonts w:hint="cs"/>
          <w:szCs w:val="20"/>
          <w:rtl/>
        </w:rPr>
        <w:t>,</w:t>
      </w:r>
      <w:r>
        <w:rPr>
          <w:szCs w:val="20"/>
          <w:rtl/>
        </w:rPr>
        <w:t xml:space="preserve"> פארמה 3010, מונטיפיור 88</w:t>
      </w:r>
      <w:r>
        <w:rPr>
          <w:rFonts w:hint="cs"/>
          <w:rtl/>
        </w:rPr>
        <w:t>) ובדפוסים ראשונים (</w:t>
      </w:r>
      <w:r>
        <w:rPr>
          <w:szCs w:val="20"/>
          <w:rtl/>
        </w:rPr>
        <w:t xml:space="preserve">ונציה, שונצינו </w:t>
      </w:r>
      <w:r>
        <w:rPr>
          <w:rFonts w:hint="cs"/>
          <w:szCs w:val="20"/>
          <w:rtl/>
        </w:rPr>
        <w:t>ו</w:t>
      </w:r>
      <w:r>
        <w:rPr>
          <w:szCs w:val="20"/>
          <w:rtl/>
        </w:rPr>
        <w:t>עין יעקב דפו"ר</w:t>
      </w:r>
      <w:r>
        <w:rPr>
          <w:rFonts w:hint="cs"/>
          <w:rtl/>
        </w:rPr>
        <w:t>): "</w:t>
      </w:r>
      <w:r>
        <w:rPr>
          <w:rtl/>
        </w:rPr>
        <w:t xml:space="preserve">למעלה </w:t>
      </w:r>
      <w:r>
        <w:rPr>
          <w:b/>
          <w:bCs/>
          <w:rtl/>
        </w:rPr>
        <w:t>ממ</w:t>
      </w:r>
      <w:r>
        <w:rPr>
          <w:rtl/>
        </w:rPr>
        <w:t>ראשותיו</w:t>
      </w:r>
      <w:r>
        <w:rPr>
          <w:rFonts w:hint="cs"/>
          <w:rtl/>
        </w:rPr>
        <w:t xml:space="preserve">", וכך </w:t>
      </w:r>
      <w:r>
        <w:rPr>
          <w:rtl/>
        </w:rPr>
        <w:t>לשון ה</w:t>
      </w:r>
      <w:r>
        <w:rPr>
          <w:rFonts w:hint="eastAsia"/>
          <w:rtl/>
        </w:rPr>
        <w:t>תוספות</w:t>
      </w:r>
      <w:r>
        <w:rPr>
          <w:rtl/>
        </w:rPr>
        <w:t xml:space="preserve"> </w:t>
      </w:r>
      <w:r>
        <w:rPr>
          <w:rFonts w:hint="eastAsia"/>
          <w:szCs w:val="20"/>
          <w:rtl/>
        </w:rPr>
        <w:t>ד</w:t>
      </w:r>
      <w:r>
        <w:rPr>
          <w:szCs w:val="20"/>
          <w:rtl/>
        </w:rPr>
        <w:t xml:space="preserve">"ה לא ישב על ספסל </w:t>
      </w:r>
      <w:r>
        <w:rPr>
          <w:rFonts w:hint="eastAsia"/>
          <w:rtl/>
        </w:rPr>
        <w:t>והרמב</w:t>
      </w:r>
      <w:r>
        <w:rPr>
          <w:rtl/>
        </w:rPr>
        <w:t>"ם</w:t>
      </w:r>
      <w:r>
        <w:rPr>
          <w:rFonts w:hint="cs"/>
          <w:szCs w:val="20"/>
          <w:rtl/>
        </w:rPr>
        <w:t xml:space="preserve">, </w:t>
      </w:r>
      <w:r>
        <w:rPr>
          <w:rFonts w:hint="eastAsia"/>
          <w:szCs w:val="20"/>
          <w:rtl/>
        </w:rPr>
        <w:t>הלכות</w:t>
      </w:r>
      <w:r>
        <w:rPr>
          <w:szCs w:val="20"/>
          <w:rtl/>
        </w:rPr>
        <w:t xml:space="preserve"> אבל</w:t>
      </w:r>
      <w:r>
        <w:rPr>
          <w:rFonts w:hint="cs"/>
          <w:szCs w:val="20"/>
          <w:rtl/>
        </w:rPr>
        <w:t xml:space="preserve"> </w:t>
      </w:r>
      <w:r>
        <w:rPr>
          <w:szCs w:val="20"/>
          <w:rtl/>
        </w:rPr>
        <w:t>יד</w:t>
      </w:r>
      <w:r>
        <w:rPr>
          <w:rFonts w:hint="cs"/>
          <w:szCs w:val="20"/>
          <w:rtl/>
        </w:rPr>
        <w:t xml:space="preserve">, </w:t>
      </w:r>
      <w:r>
        <w:rPr>
          <w:szCs w:val="20"/>
          <w:rtl/>
        </w:rPr>
        <w:t>ו</w:t>
      </w:r>
      <w:r>
        <w:rPr>
          <w:rFonts w:hint="cs"/>
          <w:rtl/>
        </w:rPr>
        <w:t xml:space="preserve">. נוסח נוסף מצוי </w:t>
      </w:r>
      <w:r>
        <w:rPr>
          <w:rtl/>
        </w:rPr>
        <w:t xml:space="preserve">בשני קטעי גניזה : </w:t>
      </w:r>
      <w:r>
        <w:rPr>
          <w:rFonts w:hint="cs"/>
          <w:rtl/>
        </w:rPr>
        <w:t>"</w:t>
      </w:r>
      <w:r>
        <w:rPr>
          <w:rtl/>
        </w:rPr>
        <w:t>למעלה ממטתו</w:t>
      </w:r>
      <w:r>
        <w:rPr>
          <w:rFonts w:hint="cs"/>
          <w:rtl/>
        </w:rPr>
        <w:t xml:space="preserve">". </w:t>
      </w:r>
    </w:p>
    <w:p w14:paraId="0B7F16A0" w14:textId="77777777" w:rsidR="002B4B31" w:rsidRDefault="002B4B31" w:rsidP="002B4B31">
      <w:pPr>
        <w:pStyle w:val="a5"/>
        <w:rPr>
          <w:rFonts w:hint="cs"/>
          <w:rtl/>
        </w:rPr>
      </w:pPr>
      <w:r>
        <w:rPr>
          <w:rFonts w:hint="cs"/>
          <w:rtl/>
        </w:rPr>
        <w:t xml:space="preserve">ראה: </w:t>
      </w:r>
      <w:r>
        <w:rPr>
          <w:rtl/>
        </w:rPr>
        <w:t>שכל טוב (</w:t>
      </w:r>
      <w:r>
        <w:rPr>
          <w:sz w:val="18"/>
          <w:szCs w:val="20"/>
          <w:rtl/>
        </w:rPr>
        <w:t>בובר</w:t>
      </w:r>
      <w:r>
        <w:rPr>
          <w:rFonts w:hint="cs"/>
          <w:sz w:val="18"/>
          <w:szCs w:val="20"/>
          <w:rtl/>
        </w:rPr>
        <w:t xml:space="preserve">, </w:t>
      </w:r>
      <w:r>
        <w:rPr>
          <w:sz w:val="18"/>
          <w:szCs w:val="20"/>
          <w:rtl/>
        </w:rPr>
        <w:t>בראשית כח</w:t>
      </w:r>
      <w:r>
        <w:rPr>
          <w:rFonts w:hint="cs"/>
          <w:sz w:val="18"/>
          <w:szCs w:val="20"/>
          <w:rtl/>
        </w:rPr>
        <w:t xml:space="preserve">, </w:t>
      </w:r>
      <w:r>
        <w:rPr>
          <w:sz w:val="18"/>
          <w:szCs w:val="20"/>
          <w:rtl/>
        </w:rPr>
        <w:t>יא</w:t>
      </w:r>
      <w:r>
        <w:rPr>
          <w:rtl/>
        </w:rPr>
        <w:t>)</w:t>
      </w:r>
      <w:r>
        <w:rPr>
          <w:rFonts w:hint="cs"/>
          <w:rtl/>
        </w:rPr>
        <w:t>: "</w:t>
      </w:r>
      <w:r>
        <w:rPr>
          <w:rtl/>
        </w:rPr>
        <w:t>כל דבר שמניח אדם תחת ראשו לשכב עליו</w:t>
      </w:r>
      <w:r>
        <w:rPr>
          <w:rFonts w:hint="cs"/>
          <w:rtl/>
        </w:rPr>
        <w:t>,</w:t>
      </w:r>
      <w:r>
        <w:rPr>
          <w:rtl/>
        </w:rPr>
        <w:t xml:space="preserve"> קורא הכתוב </w:t>
      </w:r>
      <w:r>
        <w:rPr>
          <w:rFonts w:hint="cs"/>
          <w:rtl/>
        </w:rPr>
        <w:t>'</w:t>
      </w:r>
      <w:r>
        <w:rPr>
          <w:rtl/>
        </w:rPr>
        <w:t>מראשותיו</w:t>
      </w:r>
      <w:r>
        <w:rPr>
          <w:rFonts w:hint="cs"/>
          <w:rtl/>
        </w:rPr>
        <w:t>'</w:t>
      </w:r>
      <w:r>
        <w:rPr>
          <w:rtl/>
        </w:rPr>
        <w:t>, כלומר מתחת הראש</w:t>
      </w:r>
      <w:r>
        <w:rPr>
          <w:rFonts w:hint="cs"/>
          <w:rtl/>
        </w:rPr>
        <w:t xml:space="preserve">". ר"א </w:t>
      </w:r>
      <w:r>
        <w:rPr>
          <w:rtl/>
        </w:rPr>
        <w:t xml:space="preserve">אבן עזרא </w:t>
      </w:r>
      <w:r>
        <w:rPr>
          <w:rFonts w:hint="cs"/>
          <w:rtl/>
        </w:rPr>
        <w:t>(</w:t>
      </w:r>
      <w:r>
        <w:rPr>
          <w:sz w:val="18"/>
          <w:szCs w:val="20"/>
          <w:rtl/>
        </w:rPr>
        <w:t>משלי א</w:t>
      </w:r>
      <w:r>
        <w:rPr>
          <w:rFonts w:hint="cs"/>
          <w:sz w:val="18"/>
          <w:szCs w:val="20"/>
          <w:rtl/>
        </w:rPr>
        <w:t xml:space="preserve">, </w:t>
      </w:r>
      <w:r>
        <w:rPr>
          <w:sz w:val="18"/>
          <w:szCs w:val="20"/>
          <w:rtl/>
        </w:rPr>
        <w:t>ט</w:t>
      </w:r>
      <w:r>
        <w:rPr>
          <w:rFonts w:hint="cs"/>
          <w:rtl/>
        </w:rPr>
        <w:t>): "</w:t>
      </w:r>
      <w:r>
        <w:rPr>
          <w:rtl/>
        </w:rPr>
        <w:t>סביבות הגרון נקראו גרגרות</w:t>
      </w:r>
      <w:r>
        <w:rPr>
          <w:rFonts w:hint="cs"/>
          <w:rtl/>
        </w:rPr>
        <w:t>,</w:t>
      </w:r>
      <w:r>
        <w:rPr>
          <w:rtl/>
        </w:rPr>
        <w:t xml:space="preserve"> וכן </w:t>
      </w:r>
      <w:r>
        <w:rPr>
          <w:rFonts w:hint="cs"/>
          <w:rtl/>
        </w:rPr>
        <w:t>'</w:t>
      </w:r>
      <w:r>
        <w:rPr>
          <w:rtl/>
        </w:rPr>
        <w:t>על צוארי בנימין</w:t>
      </w:r>
      <w:r>
        <w:rPr>
          <w:rFonts w:hint="cs"/>
          <w:rtl/>
        </w:rPr>
        <w:t>',</w:t>
      </w:r>
      <w:r>
        <w:rPr>
          <w:rtl/>
        </w:rPr>
        <w:t xml:space="preserve"> וכן סביבו</w:t>
      </w:r>
      <w:r>
        <w:rPr>
          <w:rFonts w:hint="cs"/>
          <w:rtl/>
        </w:rPr>
        <w:t>ת</w:t>
      </w:r>
      <w:r>
        <w:rPr>
          <w:rtl/>
        </w:rPr>
        <w:t xml:space="preserve"> הראש - </w:t>
      </w:r>
      <w:r>
        <w:rPr>
          <w:rFonts w:hint="cs"/>
          <w:rtl/>
        </w:rPr>
        <w:t>'</w:t>
      </w:r>
      <w:r>
        <w:rPr>
          <w:rtl/>
        </w:rPr>
        <w:t>מראשותיו</w:t>
      </w:r>
      <w:r>
        <w:rPr>
          <w:rFonts w:hint="cs"/>
          <w:rtl/>
        </w:rPr>
        <w:t>' (</w:t>
      </w:r>
      <w:r>
        <w:rPr>
          <w:rtl/>
        </w:rPr>
        <w:t>שמואל א</w:t>
      </w:r>
      <w:r>
        <w:rPr>
          <w:rFonts w:hint="cs"/>
          <w:rtl/>
        </w:rPr>
        <w:t>'</w:t>
      </w:r>
      <w:r>
        <w:rPr>
          <w:rtl/>
        </w:rPr>
        <w:t xml:space="preserve"> כו</w:t>
      </w:r>
      <w:r>
        <w:rPr>
          <w:rFonts w:hint="cs"/>
          <w:rtl/>
        </w:rPr>
        <w:t xml:space="preserve">, </w:t>
      </w:r>
      <w:r>
        <w:rPr>
          <w:rtl/>
        </w:rPr>
        <w:t>ז</w:t>
      </w:r>
      <w:r>
        <w:rPr>
          <w:rFonts w:hint="cs"/>
          <w:sz w:val="18"/>
          <w:szCs w:val="20"/>
          <w:rtl/>
        </w:rPr>
        <w:t>; שם כתב ר"</w:t>
      </w:r>
      <w:r>
        <w:rPr>
          <w:sz w:val="18"/>
          <w:szCs w:val="20"/>
          <w:rtl/>
        </w:rPr>
        <w:t>י קיל, דעת מקרא</w:t>
      </w:r>
      <w:r>
        <w:rPr>
          <w:rFonts w:hint="cs"/>
          <w:sz w:val="18"/>
          <w:szCs w:val="20"/>
          <w:rtl/>
        </w:rPr>
        <w:t>:</w:t>
      </w:r>
      <w:r>
        <w:rPr>
          <w:sz w:val="18"/>
          <w:szCs w:val="20"/>
          <w:rtl/>
        </w:rPr>
        <w:t xml:space="preserve"> בסביבת מקום ראשו, כמו </w:t>
      </w:r>
      <w:r>
        <w:rPr>
          <w:rFonts w:hint="cs"/>
          <w:sz w:val="18"/>
          <w:szCs w:val="20"/>
          <w:rtl/>
        </w:rPr>
        <w:t>"</w:t>
      </w:r>
      <w:r>
        <w:rPr>
          <w:sz w:val="18"/>
          <w:szCs w:val="20"/>
          <w:rtl/>
        </w:rPr>
        <w:t>מַרְגְּלוֹתָיו</w:t>
      </w:r>
      <w:r>
        <w:rPr>
          <w:rFonts w:hint="cs"/>
          <w:sz w:val="18"/>
          <w:szCs w:val="20"/>
          <w:rtl/>
        </w:rPr>
        <w:t>" ב</w:t>
      </w:r>
      <w:r>
        <w:rPr>
          <w:sz w:val="18"/>
          <w:szCs w:val="20"/>
          <w:rtl/>
        </w:rPr>
        <w:t>רות ג</w:t>
      </w:r>
      <w:r>
        <w:rPr>
          <w:rFonts w:hint="cs"/>
          <w:sz w:val="18"/>
          <w:szCs w:val="20"/>
          <w:rtl/>
        </w:rPr>
        <w:t xml:space="preserve">, </w:t>
      </w:r>
      <w:r>
        <w:rPr>
          <w:sz w:val="18"/>
          <w:szCs w:val="20"/>
          <w:rtl/>
        </w:rPr>
        <w:t>יד - סביבת רגליו</w:t>
      </w:r>
      <w:r>
        <w:rPr>
          <w:rFonts w:hint="cs"/>
          <w:rtl/>
        </w:rPr>
        <w:t>)"</w:t>
      </w:r>
      <w:r>
        <w:rPr>
          <w:rtl/>
        </w:rPr>
        <w:t>.</w:t>
      </w:r>
      <w:r>
        <w:rPr>
          <w:rFonts w:hint="cs"/>
          <w:rtl/>
        </w:rPr>
        <w:t xml:space="preserve"> </w:t>
      </w:r>
      <w:r>
        <w:rPr>
          <w:rtl/>
        </w:rPr>
        <w:t xml:space="preserve">רד"ק </w:t>
      </w:r>
      <w:r>
        <w:rPr>
          <w:rFonts w:hint="cs"/>
          <w:rtl/>
        </w:rPr>
        <w:t>(</w:t>
      </w:r>
      <w:r>
        <w:rPr>
          <w:sz w:val="18"/>
          <w:szCs w:val="20"/>
          <w:rtl/>
        </w:rPr>
        <w:t>שמואל א</w:t>
      </w:r>
      <w:r>
        <w:rPr>
          <w:rFonts w:hint="cs"/>
          <w:sz w:val="18"/>
          <w:szCs w:val="20"/>
          <w:rtl/>
        </w:rPr>
        <w:t>'</w:t>
      </w:r>
      <w:r>
        <w:rPr>
          <w:sz w:val="18"/>
          <w:szCs w:val="20"/>
          <w:rtl/>
        </w:rPr>
        <w:t xml:space="preserve"> כו</w:t>
      </w:r>
      <w:r>
        <w:rPr>
          <w:rFonts w:hint="cs"/>
          <w:sz w:val="18"/>
          <w:szCs w:val="20"/>
          <w:rtl/>
        </w:rPr>
        <w:t xml:space="preserve">, </w:t>
      </w:r>
      <w:r>
        <w:rPr>
          <w:sz w:val="18"/>
          <w:szCs w:val="20"/>
          <w:rtl/>
        </w:rPr>
        <w:t>יב</w:t>
      </w:r>
      <w:r>
        <w:rPr>
          <w:rFonts w:hint="cs"/>
          <w:rtl/>
        </w:rPr>
        <w:t>)</w:t>
      </w:r>
      <w:r>
        <w:rPr>
          <w:rtl/>
        </w:rPr>
        <w:t xml:space="preserve"> </w:t>
      </w:r>
      <w:r>
        <w:rPr>
          <w:rFonts w:hint="cs"/>
          <w:rtl/>
        </w:rPr>
        <w:t>"</w:t>
      </w:r>
      <w:r>
        <w:rPr>
          <w:rtl/>
        </w:rPr>
        <w:t>מֵרַאֲשֹׁתֵי שָׁאוּל</w:t>
      </w:r>
      <w:r>
        <w:rPr>
          <w:rFonts w:hint="cs"/>
          <w:rtl/>
        </w:rPr>
        <w:t xml:space="preserve"> - </w:t>
      </w:r>
      <w:r>
        <w:rPr>
          <w:rtl/>
        </w:rPr>
        <w:t>המ"ם הוא לש</w:t>
      </w:r>
      <w:r>
        <w:rPr>
          <w:rFonts w:hint="cs"/>
          <w:rtl/>
        </w:rPr>
        <w:t>ִ</w:t>
      </w:r>
      <w:r>
        <w:rPr>
          <w:rtl/>
        </w:rPr>
        <w:t>מוש</w:t>
      </w:r>
      <w:r>
        <w:rPr>
          <w:rFonts w:hint="cs"/>
          <w:rtl/>
        </w:rPr>
        <w:t>,</w:t>
      </w:r>
      <w:r>
        <w:rPr>
          <w:rtl/>
        </w:rPr>
        <w:t xml:space="preserve"> לפיכך היא נקודה בצירי</w:t>
      </w:r>
      <w:r>
        <w:rPr>
          <w:rFonts w:hint="cs"/>
          <w:rtl/>
        </w:rPr>
        <w:t>,</w:t>
      </w:r>
      <w:r>
        <w:rPr>
          <w:rtl/>
        </w:rPr>
        <w:t xml:space="preserve"> אבל מ"ם מְרַאֲשׁ</w:t>
      </w:r>
      <w:r>
        <w:rPr>
          <w:rFonts w:hint="cs"/>
          <w:rtl/>
        </w:rPr>
        <w:t>ו</w:t>
      </w:r>
      <w:r>
        <w:rPr>
          <w:rtl/>
        </w:rPr>
        <w:t>ֹתָיו בשוא</w:t>
      </w:r>
      <w:r>
        <w:rPr>
          <w:rFonts w:hint="cs"/>
          <w:rtl/>
        </w:rPr>
        <w:t>,</w:t>
      </w:r>
      <w:r>
        <w:rPr>
          <w:rtl/>
        </w:rPr>
        <w:t xml:space="preserve"> והיא נוספת ואינה לשמוש</w:t>
      </w:r>
      <w:r>
        <w:rPr>
          <w:rFonts w:hint="cs"/>
          <w:rtl/>
        </w:rPr>
        <w:t>".</w:t>
      </w:r>
    </w:p>
    <w:p w14:paraId="2593BF75" w14:textId="77777777" w:rsidR="002B4B31" w:rsidRDefault="002B4B31" w:rsidP="002B4B31">
      <w:pPr>
        <w:pStyle w:val="a5"/>
        <w:rPr>
          <w:rFonts w:hint="cs"/>
          <w:rtl/>
        </w:rPr>
      </w:pPr>
      <w:r>
        <w:rPr>
          <w:rFonts w:hint="cs"/>
          <w:rtl/>
        </w:rPr>
        <w:t>ומענין לענין, יש לגרוס ב</w:t>
      </w:r>
      <w:r>
        <w:rPr>
          <w:rFonts w:hint="eastAsia"/>
          <w:rtl/>
        </w:rPr>
        <w:t>רש</w:t>
      </w:r>
      <w:r>
        <w:rPr>
          <w:rtl/>
        </w:rPr>
        <w:t>"י ברכות נו</w:t>
      </w:r>
      <w:r>
        <w:rPr>
          <w:rFonts w:hint="cs"/>
          <w:rtl/>
        </w:rPr>
        <w:t xml:space="preserve">, </w:t>
      </w:r>
      <w:r>
        <w:rPr>
          <w:rtl/>
        </w:rPr>
        <w:t xml:space="preserve">א ד"ה דְקָאֵי </w:t>
      </w:r>
      <w:r>
        <w:rPr>
          <w:rFonts w:hint="eastAsia"/>
          <w:rtl/>
        </w:rPr>
        <w:t>אַאִיסָדַן</w:t>
      </w:r>
      <w:r>
        <w:rPr>
          <w:rFonts w:hint="cs"/>
          <w:rtl/>
        </w:rPr>
        <w:t xml:space="preserve">: </w:t>
      </w:r>
      <w:r>
        <w:rPr>
          <w:rtl/>
        </w:rPr>
        <w:t>"מְרַאֲשׁוֹתֵי</w:t>
      </w:r>
      <w:r>
        <w:rPr>
          <w:rFonts w:hint="eastAsia"/>
          <w:rtl/>
        </w:rPr>
        <w:t>נוּ</w:t>
      </w:r>
      <w:r>
        <w:rPr>
          <w:rtl/>
        </w:rPr>
        <w:t xml:space="preserve">, כדמתרגמינן מראשותיו - </w:t>
      </w:r>
      <w:r>
        <w:rPr>
          <w:rFonts w:hint="eastAsia"/>
          <w:rtl/>
        </w:rPr>
        <w:t>אסדוהי</w:t>
      </w:r>
      <w:r>
        <w:rPr>
          <w:rtl/>
        </w:rPr>
        <w:t>"</w:t>
      </w:r>
      <w:r>
        <w:rPr>
          <w:rFonts w:hint="cs"/>
          <w:rtl/>
        </w:rPr>
        <w:t xml:space="preserve">, וככתוב </w:t>
      </w:r>
      <w:r>
        <w:rPr>
          <w:rtl/>
        </w:rPr>
        <w:t>בשני כ</w:t>
      </w:r>
      <w:r>
        <w:rPr>
          <w:rFonts w:hint="cs"/>
          <w:rtl/>
        </w:rPr>
        <w:t xml:space="preserve">תבי </w:t>
      </w:r>
      <w:r>
        <w:rPr>
          <w:rtl/>
        </w:rPr>
        <w:t>י</w:t>
      </w:r>
      <w:r>
        <w:rPr>
          <w:rFonts w:hint="cs"/>
          <w:rtl/>
        </w:rPr>
        <w:t xml:space="preserve">ד של פירוש </w:t>
      </w:r>
      <w:r>
        <w:rPr>
          <w:rtl/>
        </w:rPr>
        <w:t>רש"י (פארמה, ובריטיש מוזיאום)</w:t>
      </w:r>
      <w:r>
        <w:rPr>
          <w:rFonts w:hint="cs"/>
          <w:rtl/>
        </w:rPr>
        <w:t xml:space="preserve">, </w:t>
      </w:r>
      <w:r>
        <w:rPr>
          <w:rFonts w:hint="eastAsia"/>
          <w:rtl/>
        </w:rPr>
        <w:t>שהרי</w:t>
      </w:r>
      <w:r>
        <w:rPr>
          <w:rtl/>
        </w:rPr>
        <w:t xml:space="preserve"> פתח דבריו ("חֲזֵינַן בַּר חֲמָרָא") </w:t>
      </w:r>
      <w:r>
        <w:rPr>
          <w:rFonts w:hint="eastAsia"/>
          <w:rtl/>
        </w:rPr>
        <w:t>בלשון</w:t>
      </w:r>
      <w:r>
        <w:rPr>
          <w:rtl/>
        </w:rPr>
        <w:t xml:space="preserve"> מדברים (גוף ראשון יחיד)</w:t>
      </w:r>
      <w:r>
        <w:rPr>
          <w:rFonts w:hint="cs"/>
          <w:rtl/>
        </w:rPr>
        <w:t xml:space="preserve">, </w:t>
      </w:r>
      <w:r>
        <w:rPr>
          <w:rFonts w:hint="eastAsia"/>
          <w:rtl/>
        </w:rPr>
        <w:t>ומסתבר</w:t>
      </w:r>
      <w:r>
        <w:rPr>
          <w:rtl/>
        </w:rPr>
        <w:t xml:space="preserve"> שלישנא דקרא "מראשותיו" השפיע להשמיט </w:t>
      </w:r>
      <w:r>
        <w:rPr>
          <w:rFonts w:hint="eastAsia"/>
          <w:rtl/>
        </w:rPr>
        <w:t>נ</w:t>
      </w:r>
      <w:r>
        <w:rPr>
          <w:rtl/>
        </w:rPr>
        <w:t>'</w:t>
      </w:r>
      <w:r>
        <w:rPr>
          <w:rFonts w:hint="cs"/>
          <w:rtl/>
        </w:rPr>
        <w:t xml:space="preserve"> בדפוס (תודות לר' </w:t>
      </w:r>
      <w:r>
        <w:rPr>
          <w:rtl/>
        </w:rPr>
        <w:t>דוד ארונובסקי</w:t>
      </w:r>
      <w:r>
        <w:rPr>
          <w:rFonts w:hint="cs"/>
          <w:rtl/>
        </w:rPr>
        <w:t>)</w:t>
      </w:r>
      <w:r>
        <w:rPr>
          <w:rtl/>
        </w:rPr>
        <w:t>.</w:t>
      </w:r>
    </w:p>
    <w:p w14:paraId="3024C259" w14:textId="77777777" w:rsidR="002B4B31" w:rsidRDefault="002B4B31" w:rsidP="002B4B31">
      <w:pPr>
        <w:pStyle w:val="a5"/>
        <w:rPr>
          <w:rFonts w:hint="cs"/>
          <w:sz w:val="18"/>
          <w:szCs w:val="20"/>
          <w:rtl/>
        </w:rPr>
      </w:pPr>
      <w:r>
        <w:rPr>
          <w:rFonts w:hint="cs"/>
          <w:rtl/>
        </w:rPr>
        <w:t xml:space="preserve">וראה </w:t>
      </w:r>
      <w:r>
        <w:rPr>
          <w:rtl/>
          <w:lang w:eastAsia="he-IL"/>
        </w:rPr>
        <w:t xml:space="preserve">שו"ת ציץ אליעזר </w:t>
      </w:r>
      <w:r>
        <w:rPr>
          <w:sz w:val="18"/>
          <w:szCs w:val="20"/>
          <w:rtl/>
          <w:lang w:eastAsia="he-IL"/>
        </w:rPr>
        <w:t>ח</w:t>
      </w:r>
      <w:r>
        <w:rPr>
          <w:rFonts w:hint="cs"/>
          <w:szCs w:val="20"/>
          <w:rtl/>
          <w:lang w:eastAsia="he-IL"/>
        </w:rPr>
        <w:t>"</w:t>
      </w:r>
      <w:r>
        <w:rPr>
          <w:sz w:val="18"/>
          <w:szCs w:val="20"/>
          <w:rtl/>
          <w:lang w:eastAsia="he-IL"/>
        </w:rPr>
        <w:t>ה</w:t>
      </w:r>
      <w:r>
        <w:rPr>
          <w:rFonts w:hint="cs"/>
          <w:szCs w:val="20"/>
          <w:rtl/>
          <w:lang w:eastAsia="he-IL"/>
        </w:rPr>
        <w:t>,</w:t>
      </w:r>
      <w:r>
        <w:rPr>
          <w:sz w:val="18"/>
          <w:szCs w:val="20"/>
          <w:rtl/>
          <w:lang w:eastAsia="he-IL"/>
        </w:rPr>
        <w:t xml:space="preserve"> רמת רחל</w:t>
      </w:r>
      <w:r>
        <w:rPr>
          <w:rFonts w:hint="cs"/>
          <w:szCs w:val="20"/>
          <w:rtl/>
          <w:lang w:eastAsia="he-IL"/>
        </w:rPr>
        <w:t xml:space="preserve">, </w:t>
      </w:r>
      <w:r>
        <w:rPr>
          <w:rFonts w:hint="cs"/>
          <w:sz w:val="18"/>
          <w:szCs w:val="20"/>
          <w:rtl/>
        </w:rPr>
        <w:t xml:space="preserve">בסוף </w:t>
      </w:r>
      <w:r>
        <w:rPr>
          <w:sz w:val="18"/>
          <w:szCs w:val="20"/>
          <w:rtl/>
        </w:rPr>
        <w:t>פרק י</w:t>
      </w:r>
      <w:r>
        <w:rPr>
          <w:rFonts w:hint="cs"/>
          <w:sz w:val="18"/>
          <w:szCs w:val="20"/>
          <w:rtl/>
        </w:rPr>
        <w:t xml:space="preserve">' </w:t>
      </w:r>
      <w:r>
        <w:rPr>
          <w:rFonts w:hint="cs"/>
          <w:rtl/>
        </w:rPr>
        <w:t xml:space="preserve">כמה הסברים לכך ששכינה </w:t>
      </w:r>
      <w:r>
        <w:rPr>
          <w:rtl/>
        </w:rPr>
        <w:t>למעלה מראשותיו של חולה</w:t>
      </w:r>
      <w:r>
        <w:rPr>
          <w:rFonts w:hint="cs"/>
          <w:sz w:val="18"/>
          <w:szCs w:val="20"/>
          <w:rtl/>
        </w:rPr>
        <w:t xml:space="preserve">, לפי ר"מ </w:t>
      </w:r>
      <w:r>
        <w:rPr>
          <w:sz w:val="18"/>
          <w:szCs w:val="20"/>
          <w:rtl/>
        </w:rPr>
        <w:t xml:space="preserve">המאירי </w:t>
      </w:r>
      <w:r>
        <w:rPr>
          <w:rFonts w:hint="cs"/>
          <w:sz w:val="18"/>
          <w:szCs w:val="20"/>
          <w:rtl/>
        </w:rPr>
        <w:t xml:space="preserve">ולפי ר' חיים, </w:t>
      </w:r>
      <w:r>
        <w:rPr>
          <w:sz w:val="18"/>
          <w:szCs w:val="20"/>
          <w:rtl/>
        </w:rPr>
        <w:t>אחי</w:t>
      </w:r>
      <w:r>
        <w:rPr>
          <w:rFonts w:hint="cs"/>
          <w:sz w:val="18"/>
          <w:szCs w:val="20"/>
          <w:rtl/>
        </w:rPr>
        <w:t xml:space="preserve"> </w:t>
      </w:r>
      <w:r>
        <w:rPr>
          <w:sz w:val="18"/>
          <w:szCs w:val="20"/>
          <w:rtl/>
        </w:rPr>
        <w:t>המהר"ל מפראג</w:t>
      </w:r>
      <w:r>
        <w:rPr>
          <w:rFonts w:hint="cs"/>
          <w:rtl/>
        </w:rPr>
        <w:t xml:space="preserve">. </w:t>
      </w:r>
      <w:r>
        <w:rPr>
          <w:rFonts w:hint="cs"/>
          <w:sz w:val="20"/>
          <w:szCs w:val="20"/>
          <w:rtl/>
        </w:rPr>
        <w:t>ועי"ש ב</w:t>
      </w:r>
      <w:r>
        <w:rPr>
          <w:sz w:val="20"/>
          <w:szCs w:val="20"/>
          <w:rtl/>
          <w:lang w:eastAsia="he-IL"/>
        </w:rPr>
        <w:t xml:space="preserve">פרק </w:t>
      </w:r>
      <w:r>
        <w:rPr>
          <w:sz w:val="18"/>
          <w:szCs w:val="20"/>
          <w:rtl/>
          <w:lang w:eastAsia="he-IL"/>
        </w:rPr>
        <w:t>יא</w:t>
      </w:r>
      <w:r>
        <w:rPr>
          <w:rFonts w:hint="cs"/>
          <w:sz w:val="18"/>
          <w:szCs w:val="20"/>
          <w:rtl/>
          <w:lang w:eastAsia="he-IL"/>
        </w:rPr>
        <w:t xml:space="preserve">. ואולי מענה לתמיהתו </w:t>
      </w:r>
      <w:r>
        <w:rPr>
          <w:rFonts w:hint="cs"/>
          <w:szCs w:val="20"/>
          <w:rtl/>
          <w:lang w:eastAsia="he-IL"/>
        </w:rPr>
        <w:t xml:space="preserve">שבסעיף </w:t>
      </w:r>
      <w:r>
        <w:rPr>
          <w:sz w:val="18"/>
          <w:szCs w:val="20"/>
          <w:rtl/>
          <w:lang w:eastAsia="he-IL"/>
        </w:rPr>
        <w:t>א</w:t>
      </w:r>
      <w:r>
        <w:rPr>
          <w:rFonts w:hint="cs"/>
          <w:sz w:val="18"/>
          <w:szCs w:val="20"/>
          <w:rtl/>
          <w:lang w:eastAsia="he-IL"/>
        </w:rPr>
        <w:t>' שם נמצא ב</w:t>
      </w:r>
      <w:r>
        <w:rPr>
          <w:sz w:val="18"/>
          <w:szCs w:val="20"/>
          <w:rtl/>
          <w:lang w:eastAsia="he-IL"/>
        </w:rPr>
        <w:t>בבלי ע</w:t>
      </w:r>
      <w:r>
        <w:rPr>
          <w:rFonts w:hint="cs"/>
          <w:sz w:val="18"/>
          <w:szCs w:val="20"/>
          <w:rtl/>
          <w:lang w:eastAsia="he-IL"/>
        </w:rPr>
        <w:t>"</w:t>
      </w:r>
      <w:r>
        <w:rPr>
          <w:sz w:val="18"/>
          <w:szCs w:val="20"/>
          <w:rtl/>
          <w:lang w:eastAsia="he-IL"/>
        </w:rPr>
        <w:t>ז כ</w:t>
      </w:r>
      <w:r>
        <w:rPr>
          <w:rFonts w:hint="cs"/>
          <w:sz w:val="18"/>
          <w:szCs w:val="20"/>
          <w:rtl/>
          <w:lang w:eastAsia="he-IL"/>
        </w:rPr>
        <w:t>,</w:t>
      </w:r>
      <w:r>
        <w:rPr>
          <w:sz w:val="18"/>
          <w:szCs w:val="20"/>
          <w:rtl/>
          <w:lang w:eastAsia="he-IL"/>
        </w:rPr>
        <w:t xml:space="preserve"> ב</w:t>
      </w:r>
      <w:r>
        <w:rPr>
          <w:rFonts w:hint="cs"/>
          <w:sz w:val="18"/>
          <w:szCs w:val="20"/>
          <w:rtl/>
          <w:lang w:eastAsia="he-IL"/>
        </w:rPr>
        <w:t xml:space="preserve">. </w:t>
      </w:r>
    </w:p>
  </w:footnote>
  <w:footnote w:id="360">
    <w:p w14:paraId="0D4097D1" w14:textId="77777777" w:rsidR="002B4B31" w:rsidRDefault="002B4B31" w:rsidP="002B4B31">
      <w:pPr>
        <w:pStyle w:val="a5"/>
        <w:rPr>
          <w:rtl/>
        </w:rPr>
      </w:pPr>
      <w:r>
        <w:rPr>
          <w:rStyle w:val="a4"/>
          <w:rtl/>
        </w:rPr>
        <w:footnoteRef/>
      </w:r>
      <w:r>
        <w:t xml:space="preserve"> </w:t>
      </w:r>
      <w:r>
        <w:rPr>
          <w:rFonts w:hint="cs"/>
          <w:rtl/>
        </w:rPr>
        <w:t>פרש ר"ע חכם (דעת מקרא): "</w:t>
      </w:r>
      <w:r>
        <w:rPr>
          <w:rtl/>
        </w:rPr>
        <w:t>דְּוָי</w:t>
      </w:r>
      <w:r>
        <w:rPr>
          <w:rFonts w:hint="cs"/>
          <w:rtl/>
        </w:rPr>
        <w:t>"</w:t>
      </w:r>
      <w:r>
        <w:rPr>
          <w:rtl/>
        </w:rPr>
        <w:t xml:space="preserve"> </w:t>
      </w:r>
      <w:r>
        <w:rPr>
          <w:rFonts w:hint="cs"/>
          <w:rtl/>
        </w:rPr>
        <w:t>(ש"ע במשקל "כְתָב") = חולי, ודומה ל"</w:t>
      </w:r>
      <w:r>
        <w:rPr>
          <w:rtl/>
        </w:rPr>
        <w:t>דַּוָּי</w:t>
      </w:r>
      <w:r>
        <w:rPr>
          <w:rFonts w:hint="cs"/>
          <w:rtl/>
        </w:rPr>
        <w:t>" (שם תואר במשקל "חַלָּש"). מורי, הרב חנן פורת נר"ו, פרש כך (</w:t>
      </w:r>
      <w:r>
        <w:rPr>
          <w:rFonts w:hint="cs"/>
          <w:sz w:val="18"/>
          <w:szCs w:val="20"/>
          <w:rtl/>
        </w:rPr>
        <w:t>מעט מן האור, גיליון 560, שבת עקב, תש"ע</w:t>
      </w:r>
      <w:r>
        <w:rPr>
          <w:rFonts w:hint="cs"/>
          <w:rtl/>
        </w:rPr>
        <w:t>):</w:t>
      </w:r>
      <w:r>
        <w:rPr>
          <w:rtl/>
        </w:rPr>
        <w:t xml:space="preserve"> </w:t>
      </w:r>
      <w:r>
        <w:rPr>
          <w:rFonts w:hint="cs"/>
          <w:rtl/>
        </w:rPr>
        <w:t>"</w:t>
      </w:r>
      <w:r>
        <w:rPr>
          <w:rtl/>
        </w:rPr>
        <w:t xml:space="preserve">עֶרֶשׂ דְּוָי </w:t>
      </w:r>
      <w:r>
        <w:rPr>
          <w:rFonts w:hint="cs"/>
          <w:rtl/>
        </w:rPr>
        <w:t>- ערש החולי שאליה מגיר החולה את נוזליו ומוגלתו, כדרך שנקראת האשה הזבה את נוזליה "</w:t>
      </w:r>
      <w:r>
        <w:rPr>
          <w:rtl/>
        </w:rPr>
        <w:t>דָּוָה</w:t>
      </w:r>
      <w:r>
        <w:rPr>
          <w:rFonts w:hint="cs"/>
          <w:rtl/>
        </w:rPr>
        <w:t>" (</w:t>
      </w:r>
      <w:r>
        <w:rPr>
          <w:szCs w:val="20"/>
          <w:rtl/>
        </w:rPr>
        <w:t>ויקרא כ</w:t>
      </w:r>
      <w:r>
        <w:rPr>
          <w:rFonts w:hint="cs"/>
          <w:szCs w:val="20"/>
          <w:rtl/>
        </w:rPr>
        <w:t xml:space="preserve">, </w:t>
      </w:r>
      <w:r>
        <w:rPr>
          <w:szCs w:val="20"/>
          <w:rtl/>
        </w:rPr>
        <w:t>יח</w:t>
      </w:r>
      <w:r>
        <w:rPr>
          <w:rFonts w:hint="cs"/>
          <w:rtl/>
        </w:rPr>
        <w:t>). ולפיכך צריך המטפל הנאמן בחולה כגון זה להפוך ולהחליף את יצועיו דרך כבוד, על אף הקושי... '</w:t>
      </w:r>
      <w:r>
        <w:rPr>
          <w:rtl/>
        </w:rPr>
        <w:t>כָּל מִשְׁכָּבוֹ הָפַכְתָּ בְחָלְיוֹ</w:t>
      </w:r>
      <w:r>
        <w:rPr>
          <w:rFonts w:hint="cs"/>
          <w:rtl/>
        </w:rPr>
        <w:t>'". כדמות ראַיה לפירושו הנאה מצאתי ברש"י</w:t>
      </w:r>
      <w:r>
        <w:rPr>
          <w:rFonts w:hint="cs"/>
          <w:sz w:val="18"/>
          <w:szCs w:val="20"/>
          <w:rtl/>
        </w:rPr>
        <w:t xml:space="preserve">, </w:t>
      </w:r>
      <w:r>
        <w:rPr>
          <w:sz w:val="18"/>
          <w:szCs w:val="20"/>
          <w:rtl/>
        </w:rPr>
        <w:t>איוב ו</w:t>
      </w:r>
      <w:r>
        <w:rPr>
          <w:rFonts w:hint="cs"/>
          <w:sz w:val="18"/>
          <w:szCs w:val="20"/>
          <w:rtl/>
        </w:rPr>
        <w:t xml:space="preserve">, </w:t>
      </w:r>
      <w:r>
        <w:rPr>
          <w:sz w:val="18"/>
          <w:szCs w:val="20"/>
          <w:rtl/>
        </w:rPr>
        <w:t>ז</w:t>
      </w:r>
      <w:r>
        <w:rPr>
          <w:rFonts w:hint="cs"/>
          <w:rtl/>
        </w:rPr>
        <w:t>:</w:t>
      </w:r>
      <w:r>
        <w:rPr>
          <w:rtl/>
        </w:rPr>
        <w:t xml:space="preserve"> </w:t>
      </w:r>
      <w:r>
        <w:rPr>
          <w:rFonts w:hint="cs"/>
          <w:rtl/>
        </w:rPr>
        <w:t>"</w:t>
      </w:r>
      <w:r>
        <w:rPr>
          <w:rtl/>
        </w:rPr>
        <w:t>הֵמָּה כִּדְוֵי לַחְמִי</w:t>
      </w:r>
      <w:r>
        <w:rPr>
          <w:rFonts w:hint="cs"/>
          <w:rtl/>
        </w:rPr>
        <w:t>...</w:t>
      </w:r>
      <w:r>
        <w:rPr>
          <w:rtl/>
        </w:rPr>
        <w:t xml:space="preserve"> דוי לשון דוה</w:t>
      </w:r>
      <w:r>
        <w:rPr>
          <w:rFonts w:hint="cs"/>
          <w:rtl/>
        </w:rPr>
        <w:t xml:space="preserve">, </w:t>
      </w:r>
      <w:r>
        <w:rPr>
          <w:rtl/>
        </w:rPr>
        <w:t>זבה לחמי</w:t>
      </w:r>
      <w:r>
        <w:rPr>
          <w:rFonts w:hint="cs"/>
          <w:rtl/>
        </w:rPr>
        <w:t>,</w:t>
      </w:r>
      <w:r>
        <w:rPr>
          <w:rtl/>
        </w:rPr>
        <w:t xml:space="preserve"> כל מאכל קרוי לחם</w:t>
      </w:r>
      <w:r>
        <w:rPr>
          <w:rFonts w:hint="cs"/>
          <w:rtl/>
        </w:rPr>
        <w:t xml:space="preserve"> וכו'". לדעת ראב"ע (</w:t>
      </w:r>
      <w:r>
        <w:rPr>
          <w:sz w:val="18"/>
          <w:szCs w:val="20"/>
          <w:rtl/>
        </w:rPr>
        <w:t>ויקרא כ</w:t>
      </w:r>
      <w:r>
        <w:rPr>
          <w:rFonts w:hint="cs"/>
          <w:sz w:val="18"/>
          <w:szCs w:val="20"/>
          <w:rtl/>
        </w:rPr>
        <w:t xml:space="preserve">, </w:t>
      </w:r>
      <w:r>
        <w:rPr>
          <w:sz w:val="18"/>
          <w:szCs w:val="20"/>
          <w:rtl/>
        </w:rPr>
        <w:t>יח</w:t>
      </w:r>
      <w:r>
        <w:rPr>
          <w:rFonts w:hint="cs"/>
          <w:rtl/>
        </w:rPr>
        <w:t>) הכיוון הוא הפוך: "</w:t>
      </w:r>
      <w:r>
        <w:rPr>
          <w:rtl/>
        </w:rPr>
        <w:t xml:space="preserve">דוה </w:t>
      </w:r>
      <w:r>
        <w:rPr>
          <w:rFonts w:hint="cs"/>
          <w:rtl/>
        </w:rPr>
        <w:t xml:space="preserve">- </w:t>
      </w:r>
      <w:r>
        <w:rPr>
          <w:rtl/>
        </w:rPr>
        <w:t>היא חולה בעבור הדם</w:t>
      </w:r>
      <w:r>
        <w:rPr>
          <w:rFonts w:hint="cs"/>
          <w:rtl/>
        </w:rPr>
        <w:t>".</w:t>
      </w:r>
      <w:r>
        <w:t xml:space="preserve"> </w:t>
      </w:r>
    </w:p>
  </w:footnote>
  <w:footnote w:id="361">
    <w:p w14:paraId="020CEB58" w14:textId="77777777" w:rsidR="002B4B31" w:rsidRDefault="002B4B31" w:rsidP="002B4B31">
      <w:pPr>
        <w:pStyle w:val="a5"/>
        <w:rPr>
          <w:rtl/>
        </w:rPr>
      </w:pPr>
      <w:r>
        <w:rPr>
          <w:rStyle w:val="a4"/>
          <w:rtl/>
        </w:rPr>
        <w:footnoteRef/>
      </w:r>
      <w:r>
        <w:t xml:space="preserve"> </w:t>
      </w:r>
      <w:r>
        <w:rPr>
          <w:rFonts w:hint="cs"/>
          <w:rtl/>
        </w:rPr>
        <w:t>"</w:t>
      </w:r>
      <w:r>
        <w:rPr>
          <w:rtl/>
        </w:rPr>
        <w:t>בְּעֶזְרִי</w:t>
      </w:r>
      <w:r>
        <w:rPr>
          <w:rFonts w:hint="cs"/>
          <w:rtl/>
        </w:rPr>
        <w:t>" (</w:t>
      </w:r>
      <w:r>
        <w:rPr>
          <w:sz w:val="18"/>
          <w:szCs w:val="20"/>
          <w:rtl/>
        </w:rPr>
        <w:t>שמות יח</w:t>
      </w:r>
      <w:r>
        <w:rPr>
          <w:rFonts w:hint="cs"/>
          <w:sz w:val="18"/>
          <w:szCs w:val="20"/>
          <w:rtl/>
        </w:rPr>
        <w:t>,</w:t>
      </w:r>
      <w:r>
        <w:rPr>
          <w:sz w:val="18"/>
          <w:szCs w:val="20"/>
          <w:rtl/>
        </w:rPr>
        <w:t xml:space="preserve"> ד</w:t>
      </w:r>
      <w:r>
        <w:rPr>
          <w:rFonts w:hint="cs"/>
          <w:rtl/>
        </w:rPr>
        <w:t>)</w:t>
      </w:r>
      <w:r>
        <w:rPr>
          <w:rtl/>
        </w:rPr>
        <w:t xml:space="preserve"> </w:t>
      </w:r>
      <w:r>
        <w:rPr>
          <w:rFonts w:hint="cs"/>
          <w:rtl/>
        </w:rPr>
        <w:t>- "</w:t>
      </w:r>
      <w:r>
        <w:rPr>
          <w:rtl/>
        </w:rPr>
        <w:t>בסעדי</w:t>
      </w:r>
      <w:r>
        <w:rPr>
          <w:rFonts w:hint="cs"/>
          <w:rtl/>
        </w:rPr>
        <w:t>"; "</w:t>
      </w:r>
      <w:r>
        <w:rPr>
          <w:rtl/>
        </w:rPr>
        <w:t>וְיַעְזְרֻכֶם</w:t>
      </w:r>
      <w:r>
        <w:rPr>
          <w:rFonts w:hint="cs"/>
          <w:rtl/>
        </w:rPr>
        <w:t>" (</w:t>
      </w:r>
      <w:r>
        <w:rPr>
          <w:sz w:val="18"/>
          <w:szCs w:val="20"/>
          <w:rtl/>
        </w:rPr>
        <w:t>דברים לב</w:t>
      </w:r>
      <w:r>
        <w:rPr>
          <w:rFonts w:hint="cs"/>
          <w:sz w:val="18"/>
          <w:szCs w:val="20"/>
          <w:rtl/>
        </w:rPr>
        <w:t xml:space="preserve">, </w:t>
      </w:r>
      <w:r>
        <w:rPr>
          <w:sz w:val="18"/>
          <w:szCs w:val="20"/>
          <w:rtl/>
        </w:rPr>
        <w:t>לח</w:t>
      </w:r>
      <w:r>
        <w:rPr>
          <w:rFonts w:hint="cs"/>
          <w:rtl/>
        </w:rPr>
        <w:t>) - "</w:t>
      </w:r>
      <w:r>
        <w:rPr>
          <w:rtl/>
        </w:rPr>
        <w:t>ויסעדונכון</w:t>
      </w:r>
      <w:r>
        <w:rPr>
          <w:rFonts w:hint="cs"/>
          <w:rtl/>
        </w:rPr>
        <w:t>".</w:t>
      </w:r>
    </w:p>
  </w:footnote>
  <w:footnote w:id="362">
    <w:p w14:paraId="44AD4E35" w14:textId="77777777" w:rsidR="002B4B31" w:rsidRDefault="002B4B31" w:rsidP="002B4B31">
      <w:pPr>
        <w:pStyle w:val="a5"/>
        <w:rPr>
          <w:rtl/>
        </w:rPr>
      </w:pPr>
      <w:r>
        <w:rPr>
          <w:rStyle w:val="a4"/>
          <w:rtl/>
        </w:rPr>
        <w:footnoteRef/>
      </w:r>
      <w:r>
        <w:t xml:space="preserve"> </w:t>
      </w:r>
      <w:r>
        <w:rPr>
          <w:rFonts w:hint="cs"/>
          <w:rtl/>
        </w:rPr>
        <w:t>"</w:t>
      </w:r>
      <w:r>
        <w:rPr>
          <w:rtl/>
        </w:rPr>
        <w:t>דָגָן וְתִירֹשׁ סְמַכְתִּיו</w:t>
      </w:r>
      <w:r>
        <w:rPr>
          <w:rFonts w:hint="cs"/>
          <w:rtl/>
        </w:rPr>
        <w:t>" (</w:t>
      </w:r>
      <w:r>
        <w:rPr>
          <w:sz w:val="18"/>
          <w:szCs w:val="20"/>
          <w:rtl/>
        </w:rPr>
        <w:t>בראשית כז</w:t>
      </w:r>
      <w:r>
        <w:rPr>
          <w:rFonts w:hint="cs"/>
          <w:sz w:val="18"/>
          <w:szCs w:val="20"/>
          <w:rtl/>
        </w:rPr>
        <w:t xml:space="preserve">, </w:t>
      </w:r>
      <w:r>
        <w:rPr>
          <w:sz w:val="18"/>
          <w:szCs w:val="20"/>
          <w:rtl/>
        </w:rPr>
        <w:t>לז</w:t>
      </w:r>
      <w:r>
        <w:rPr>
          <w:rFonts w:hint="cs"/>
          <w:rtl/>
        </w:rPr>
        <w:t>) - "</w:t>
      </w:r>
      <w:r>
        <w:rPr>
          <w:rtl/>
        </w:rPr>
        <w:t>סעדתיה</w:t>
      </w:r>
      <w:r>
        <w:rPr>
          <w:rFonts w:hint="cs"/>
          <w:rtl/>
        </w:rPr>
        <w:t>".</w:t>
      </w:r>
    </w:p>
  </w:footnote>
  <w:footnote w:id="363">
    <w:p w14:paraId="479E2CC9" w14:textId="77777777" w:rsidR="002B4B31" w:rsidRDefault="002B4B31" w:rsidP="002B4B31">
      <w:pPr>
        <w:pStyle w:val="a5"/>
        <w:rPr>
          <w:rFonts w:hint="cs"/>
          <w:rtl/>
        </w:rPr>
      </w:pPr>
      <w:r>
        <w:rPr>
          <w:rStyle w:val="a4"/>
          <w:rtl/>
        </w:rPr>
        <w:footnoteRef/>
      </w:r>
      <w:r>
        <w:rPr>
          <w:rFonts w:hint="cs"/>
          <w:rtl/>
        </w:rPr>
        <w:t xml:space="preserve"> "</w:t>
      </w:r>
      <w:r>
        <w:rPr>
          <w:rtl/>
        </w:rPr>
        <w:t>וַיִּתְמֹךְ יַד אָבִיו</w:t>
      </w:r>
      <w:r>
        <w:rPr>
          <w:rFonts w:hint="cs"/>
          <w:rtl/>
        </w:rPr>
        <w:t>" (</w:t>
      </w:r>
      <w:r>
        <w:rPr>
          <w:rFonts w:hint="cs"/>
          <w:sz w:val="18"/>
          <w:szCs w:val="20"/>
          <w:rtl/>
        </w:rPr>
        <w:t xml:space="preserve">שם </w:t>
      </w:r>
      <w:r>
        <w:rPr>
          <w:sz w:val="18"/>
          <w:szCs w:val="20"/>
          <w:rtl/>
        </w:rPr>
        <w:t>מח</w:t>
      </w:r>
      <w:r>
        <w:rPr>
          <w:rFonts w:hint="cs"/>
          <w:sz w:val="18"/>
          <w:szCs w:val="20"/>
          <w:rtl/>
        </w:rPr>
        <w:t xml:space="preserve">, </w:t>
      </w:r>
      <w:r>
        <w:rPr>
          <w:sz w:val="18"/>
          <w:szCs w:val="20"/>
          <w:rtl/>
        </w:rPr>
        <w:t>יז</w:t>
      </w:r>
      <w:r>
        <w:rPr>
          <w:rFonts w:hint="cs"/>
          <w:rtl/>
        </w:rPr>
        <w:t>)</w:t>
      </w:r>
      <w:r>
        <w:rPr>
          <w:rtl/>
        </w:rPr>
        <w:t xml:space="preserve"> </w:t>
      </w:r>
      <w:r>
        <w:rPr>
          <w:rFonts w:hint="cs"/>
          <w:rtl/>
        </w:rPr>
        <w:t>- "</w:t>
      </w:r>
      <w:r>
        <w:rPr>
          <w:rtl/>
        </w:rPr>
        <w:t>וסעדה</w:t>
      </w:r>
      <w:r>
        <w:rPr>
          <w:rFonts w:hint="cs"/>
          <w:rtl/>
        </w:rPr>
        <w:t>".</w:t>
      </w:r>
    </w:p>
  </w:footnote>
  <w:footnote w:id="364">
    <w:p w14:paraId="1A28EA39" w14:textId="77777777" w:rsidR="002B4B31" w:rsidRDefault="002B4B31" w:rsidP="002B4B31">
      <w:pPr>
        <w:pStyle w:val="a5"/>
        <w:rPr>
          <w:rtl/>
        </w:rPr>
      </w:pPr>
      <w:r>
        <w:rPr>
          <w:rStyle w:val="a4"/>
          <w:rtl/>
        </w:rPr>
        <w:footnoteRef/>
      </w:r>
      <w:r>
        <w:t xml:space="preserve"> </w:t>
      </w:r>
      <w:r>
        <w:rPr>
          <w:rFonts w:hint="cs"/>
          <w:rtl/>
        </w:rPr>
        <w:t>על שורש זה ראה להלן</w:t>
      </w:r>
      <w:r>
        <w:rPr>
          <w:rFonts w:ascii="Arial" w:hAnsi="Arial" w:hint="cs"/>
          <w:rtl/>
        </w:rPr>
        <w:t xml:space="preserve"> דף יג, ב.</w:t>
      </w:r>
      <w:r>
        <w:rPr>
          <w:rFonts w:hint="cs"/>
          <w:rtl/>
        </w:rPr>
        <w:t xml:space="preserve"> אונקלוס השתמש בשורש סע"ד גם בתִרגום-פירוש של הכתוב ב</w:t>
      </w:r>
      <w:r>
        <w:rPr>
          <w:rtl/>
        </w:rPr>
        <w:t xml:space="preserve">ויקרא </w:t>
      </w:r>
      <w:r>
        <w:rPr>
          <w:rFonts w:hint="cs"/>
          <w:rtl/>
        </w:rPr>
        <w:t>(</w:t>
      </w:r>
      <w:r>
        <w:rPr>
          <w:sz w:val="18"/>
          <w:szCs w:val="20"/>
          <w:rtl/>
        </w:rPr>
        <w:t>כ</w:t>
      </w:r>
      <w:r>
        <w:rPr>
          <w:rFonts w:hint="cs"/>
          <w:sz w:val="18"/>
          <w:szCs w:val="20"/>
          <w:rtl/>
        </w:rPr>
        <w:t xml:space="preserve">, </w:t>
      </w:r>
      <w:r>
        <w:rPr>
          <w:sz w:val="18"/>
          <w:szCs w:val="20"/>
          <w:rtl/>
        </w:rPr>
        <w:t>ה</w:t>
      </w:r>
      <w:r>
        <w:rPr>
          <w:rFonts w:hint="cs"/>
          <w:rtl/>
        </w:rPr>
        <w:t>): "</w:t>
      </w:r>
      <w:r>
        <w:rPr>
          <w:rtl/>
        </w:rPr>
        <w:t>וְשַׂמְתִּי אֲנִי אֶת פָּנַי בָּאִישׁ הַהוּא וּבְמִשְׁפַּחְתּוֹ</w:t>
      </w:r>
      <w:r>
        <w:rPr>
          <w:rFonts w:hint="cs"/>
          <w:rtl/>
        </w:rPr>
        <w:t>", שאין "משפחה" זו מי שיש להם קִרבת דם, אלא מי שמשתפים פעולה: "</w:t>
      </w:r>
      <w:r>
        <w:rPr>
          <w:rtl/>
        </w:rPr>
        <w:t>ובסעדוהי</w:t>
      </w:r>
      <w:r>
        <w:rPr>
          <w:rFonts w:hint="cs"/>
          <w:rtl/>
        </w:rPr>
        <w:t>" (</w:t>
      </w:r>
      <w:r>
        <w:rPr>
          <w:rFonts w:hint="cs"/>
          <w:sz w:val="18"/>
          <w:szCs w:val="20"/>
          <w:rtl/>
        </w:rPr>
        <w:t xml:space="preserve">עי"ש בנפש הגר וברס"ג, ראב"ע וברש"י שם ע"פ בבלי </w:t>
      </w:r>
      <w:r>
        <w:rPr>
          <w:sz w:val="18"/>
          <w:szCs w:val="20"/>
          <w:rtl/>
        </w:rPr>
        <w:t>שבועות לט</w:t>
      </w:r>
      <w:r>
        <w:rPr>
          <w:rFonts w:hint="cs"/>
          <w:sz w:val="18"/>
          <w:szCs w:val="20"/>
          <w:rtl/>
        </w:rPr>
        <w:t xml:space="preserve">, </w:t>
      </w:r>
      <w:r>
        <w:rPr>
          <w:sz w:val="18"/>
          <w:szCs w:val="20"/>
          <w:rtl/>
        </w:rPr>
        <w:t>א</w:t>
      </w:r>
      <w:r>
        <w:rPr>
          <w:rFonts w:hint="cs"/>
          <w:sz w:val="18"/>
          <w:szCs w:val="20"/>
          <w:rtl/>
        </w:rPr>
        <w:t xml:space="preserve">, וע"ע </w:t>
      </w:r>
      <w:r>
        <w:rPr>
          <w:sz w:val="18"/>
          <w:szCs w:val="20"/>
          <w:rtl/>
        </w:rPr>
        <w:t xml:space="preserve">רד"ק </w:t>
      </w:r>
      <w:r>
        <w:rPr>
          <w:rFonts w:hint="cs"/>
          <w:sz w:val="18"/>
          <w:szCs w:val="20"/>
          <w:rtl/>
        </w:rPr>
        <w:t>ל</w:t>
      </w:r>
      <w:r>
        <w:rPr>
          <w:sz w:val="18"/>
          <w:szCs w:val="20"/>
          <w:rtl/>
        </w:rPr>
        <w:t>שמואל ב</w:t>
      </w:r>
      <w:r>
        <w:rPr>
          <w:rFonts w:hint="cs"/>
          <w:sz w:val="18"/>
          <w:szCs w:val="20"/>
          <w:rtl/>
        </w:rPr>
        <w:t>'</w:t>
      </w:r>
      <w:r>
        <w:rPr>
          <w:sz w:val="18"/>
          <w:szCs w:val="20"/>
          <w:rtl/>
        </w:rPr>
        <w:t xml:space="preserve"> ג</w:t>
      </w:r>
      <w:r>
        <w:rPr>
          <w:rFonts w:hint="cs"/>
          <w:sz w:val="18"/>
          <w:szCs w:val="20"/>
          <w:rtl/>
        </w:rPr>
        <w:t xml:space="preserve">, </w:t>
      </w:r>
      <w:r>
        <w:rPr>
          <w:sz w:val="18"/>
          <w:szCs w:val="20"/>
          <w:rtl/>
        </w:rPr>
        <w:t xml:space="preserve">כט </w:t>
      </w:r>
      <w:r>
        <w:rPr>
          <w:rFonts w:hint="cs"/>
          <w:sz w:val="18"/>
          <w:szCs w:val="20"/>
          <w:rtl/>
        </w:rPr>
        <w:t>ו</w:t>
      </w:r>
      <w:r>
        <w:rPr>
          <w:sz w:val="18"/>
          <w:szCs w:val="20"/>
          <w:rtl/>
        </w:rPr>
        <w:t xml:space="preserve">רלב"ג </w:t>
      </w:r>
      <w:r>
        <w:rPr>
          <w:rFonts w:hint="cs"/>
          <w:sz w:val="18"/>
          <w:szCs w:val="20"/>
          <w:rtl/>
        </w:rPr>
        <w:t>ל</w:t>
      </w:r>
      <w:r>
        <w:rPr>
          <w:sz w:val="18"/>
          <w:szCs w:val="20"/>
          <w:rtl/>
        </w:rPr>
        <w:t>איוב ה</w:t>
      </w:r>
      <w:r>
        <w:rPr>
          <w:rFonts w:hint="cs"/>
          <w:sz w:val="18"/>
          <w:szCs w:val="20"/>
          <w:rtl/>
        </w:rPr>
        <w:t xml:space="preserve">, </w:t>
      </w:r>
      <w:r>
        <w:rPr>
          <w:sz w:val="18"/>
          <w:szCs w:val="20"/>
          <w:rtl/>
        </w:rPr>
        <w:t>ד</w:t>
      </w:r>
      <w:r>
        <w:rPr>
          <w:rFonts w:hint="cs"/>
          <w:sz w:val="18"/>
          <w:szCs w:val="20"/>
          <w:rtl/>
        </w:rPr>
        <w:t xml:space="preserve"> וח</w:t>
      </w:r>
      <w:r>
        <w:rPr>
          <w:sz w:val="18"/>
          <w:szCs w:val="20"/>
          <w:rtl/>
        </w:rPr>
        <w:t xml:space="preserve">ידושי הריטב"א </w:t>
      </w:r>
      <w:r>
        <w:rPr>
          <w:rFonts w:hint="cs"/>
          <w:sz w:val="18"/>
          <w:szCs w:val="20"/>
          <w:rtl/>
        </w:rPr>
        <w:t>ל</w:t>
      </w:r>
      <w:r>
        <w:rPr>
          <w:sz w:val="18"/>
          <w:szCs w:val="20"/>
          <w:rtl/>
        </w:rPr>
        <w:t>בבא בתרא קט</w:t>
      </w:r>
      <w:r>
        <w:rPr>
          <w:rFonts w:hint="cs"/>
          <w:sz w:val="18"/>
          <w:szCs w:val="20"/>
          <w:rtl/>
        </w:rPr>
        <w:t xml:space="preserve">, </w:t>
      </w:r>
      <w:r>
        <w:rPr>
          <w:sz w:val="18"/>
          <w:szCs w:val="20"/>
          <w:rtl/>
        </w:rPr>
        <w:t>ב</w:t>
      </w:r>
      <w:r>
        <w:rPr>
          <w:rFonts w:hint="cs"/>
          <w:rtl/>
        </w:rPr>
        <w:t>).</w:t>
      </w:r>
    </w:p>
  </w:footnote>
  <w:footnote w:id="365">
    <w:p w14:paraId="2EAE3FF6" w14:textId="77777777" w:rsidR="002B4B31" w:rsidRDefault="002B4B31" w:rsidP="002B4B31">
      <w:pPr>
        <w:pStyle w:val="a5"/>
        <w:rPr>
          <w:rtl/>
        </w:rPr>
      </w:pPr>
      <w:r>
        <w:rPr>
          <w:rStyle w:val="a4"/>
          <w:rtl/>
        </w:rPr>
        <w:footnoteRef/>
      </w:r>
      <w:r>
        <w:t xml:space="preserve"> </w:t>
      </w:r>
      <w:r>
        <w:rPr>
          <w:rFonts w:hint="cs"/>
          <w:rtl/>
        </w:rPr>
        <w:t>כגון המשנה להלן (</w:t>
      </w:r>
      <w:r>
        <w:rPr>
          <w:sz w:val="18"/>
          <w:szCs w:val="20"/>
          <w:rtl/>
        </w:rPr>
        <w:t>פי</w:t>
      </w:r>
      <w:r>
        <w:rPr>
          <w:rFonts w:hint="cs"/>
          <w:sz w:val="18"/>
          <w:szCs w:val="20"/>
          <w:rtl/>
        </w:rPr>
        <w:t>"</w:t>
      </w:r>
      <w:r>
        <w:rPr>
          <w:sz w:val="18"/>
          <w:szCs w:val="20"/>
          <w:rtl/>
        </w:rPr>
        <w:t>ח מ</w:t>
      </w:r>
      <w:r>
        <w:rPr>
          <w:rFonts w:hint="cs"/>
          <w:sz w:val="18"/>
          <w:szCs w:val="20"/>
          <w:rtl/>
        </w:rPr>
        <w:t>"</w:t>
      </w:r>
      <w:r>
        <w:rPr>
          <w:sz w:val="18"/>
          <w:szCs w:val="20"/>
          <w:rtl/>
        </w:rPr>
        <w:t>ג</w:t>
      </w:r>
      <w:r>
        <w:rPr>
          <w:rFonts w:hint="cs"/>
          <w:sz w:val="18"/>
          <w:szCs w:val="20"/>
          <w:rtl/>
        </w:rPr>
        <w:t>;</w:t>
      </w:r>
      <w:r>
        <w:rPr>
          <w:sz w:val="18"/>
          <w:szCs w:val="20"/>
          <w:rtl/>
        </w:rPr>
        <w:t xml:space="preserve"> קכח</w:t>
      </w:r>
      <w:r>
        <w:rPr>
          <w:rFonts w:hint="cs"/>
          <w:sz w:val="18"/>
          <w:szCs w:val="20"/>
          <w:rtl/>
        </w:rPr>
        <w:t xml:space="preserve">, </w:t>
      </w:r>
      <w:r>
        <w:rPr>
          <w:sz w:val="18"/>
          <w:szCs w:val="20"/>
          <w:rtl/>
        </w:rPr>
        <w:t>ב</w:t>
      </w:r>
      <w:r>
        <w:rPr>
          <w:rFonts w:hint="cs"/>
          <w:rtl/>
        </w:rPr>
        <w:t>): "</w:t>
      </w:r>
      <w:r>
        <w:rPr>
          <w:rtl/>
        </w:rPr>
        <w:t>אין מ</w:t>
      </w:r>
      <w:r>
        <w:rPr>
          <w:rFonts w:hint="cs"/>
          <w:rtl/>
        </w:rPr>
        <w:t>ְ</w:t>
      </w:r>
      <w:r>
        <w:rPr>
          <w:rtl/>
        </w:rPr>
        <w:t>י</w:t>
      </w:r>
      <w:r>
        <w:rPr>
          <w:rFonts w:hint="cs"/>
          <w:rtl/>
        </w:rPr>
        <w:t>ַ</w:t>
      </w:r>
      <w:r>
        <w:rPr>
          <w:rtl/>
        </w:rPr>
        <w:t>לדין את הבהמה ביום טוב</w:t>
      </w:r>
      <w:r>
        <w:rPr>
          <w:rFonts w:hint="cs"/>
          <w:rtl/>
        </w:rPr>
        <w:t>,</w:t>
      </w:r>
      <w:r>
        <w:rPr>
          <w:rtl/>
        </w:rPr>
        <w:t xml:space="preserve"> אבל מסעדין</w:t>
      </w:r>
      <w:r>
        <w:rPr>
          <w:rFonts w:hint="cs"/>
          <w:rtl/>
        </w:rPr>
        <w:t>" ובגמרא שם: "</w:t>
      </w:r>
      <w:r>
        <w:rPr>
          <w:rtl/>
        </w:rPr>
        <w:t>כיצד מסעדין? רב יהודה אמר: אוחז את הולד שלא יפול לארץ. רב נחמן אמר: דוחק בבשר כדי שיצא הולד</w:t>
      </w:r>
      <w:r>
        <w:rPr>
          <w:rFonts w:hint="cs"/>
          <w:rtl/>
        </w:rPr>
        <w:t>"</w:t>
      </w:r>
      <w:r>
        <w:rPr>
          <w:rtl/>
        </w:rPr>
        <w:t xml:space="preserve">. </w:t>
      </w:r>
      <w:r>
        <w:rPr>
          <w:rFonts w:hint="cs"/>
          <w:rtl/>
        </w:rPr>
        <w:t>מכאן צמח השם "סִעוּד" במובן של עזרה וסיוע רפואיים (המוגשים ע"י מי שאיננו רופא). גם את השם "סַעַד" אנו מוצאים בפי חז"ל: "</w:t>
      </w:r>
      <w:r>
        <w:rPr>
          <w:rtl/>
        </w:rPr>
        <w:t>תנו רבנן: אין</w:t>
      </w:r>
      <w:r>
        <w:rPr>
          <w:rFonts w:hint="cs"/>
          <w:rtl/>
        </w:rPr>
        <w:t xml:space="preserve"> </w:t>
      </w:r>
      <w:r>
        <w:rPr>
          <w:rtl/>
        </w:rPr>
        <w:t>מעברין את השנה</w:t>
      </w:r>
      <w:r>
        <w:rPr>
          <w:rFonts w:hint="cs"/>
          <w:rtl/>
        </w:rPr>
        <w:t xml:space="preserve">... </w:t>
      </w:r>
      <w:r>
        <w:rPr>
          <w:rtl/>
        </w:rPr>
        <w:t xml:space="preserve">מפני הגוזלות שלא פירחו, אבל עושין אותן </w:t>
      </w:r>
      <w:r>
        <w:rPr>
          <w:b/>
          <w:bCs/>
          <w:rtl/>
        </w:rPr>
        <w:t>סעד</w:t>
      </w:r>
      <w:r>
        <w:rPr>
          <w:rtl/>
        </w:rPr>
        <w:t xml:space="preserve"> לשנה</w:t>
      </w:r>
      <w:r>
        <w:rPr>
          <w:rFonts w:hint="cs"/>
          <w:rtl/>
        </w:rPr>
        <w:t>" (</w:t>
      </w:r>
      <w:r>
        <w:rPr>
          <w:sz w:val="18"/>
          <w:szCs w:val="20"/>
          <w:rtl/>
        </w:rPr>
        <w:t>סנהדרין יא</w:t>
      </w:r>
      <w:r>
        <w:rPr>
          <w:rFonts w:hint="cs"/>
          <w:sz w:val="18"/>
          <w:szCs w:val="20"/>
          <w:rtl/>
        </w:rPr>
        <w:t xml:space="preserve">, </w:t>
      </w:r>
      <w:r>
        <w:rPr>
          <w:sz w:val="18"/>
          <w:szCs w:val="20"/>
          <w:rtl/>
        </w:rPr>
        <w:t>א</w:t>
      </w:r>
      <w:r>
        <w:rPr>
          <w:rFonts w:hint="cs"/>
          <w:rtl/>
        </w:rPr>
        <w:t>)</w:t>
      </w:r>
      <w:r>
        <w:rPr>
          <w:rtl/>
        </w:rPr>
        <w:t>.</w:t>
      </w:r>
    </w:p>
  </w:footnote>
  <w:footnote w:id="366">
    <w:p w14:paraId="6DD87D22" w14:textId="77777777" w:rsidR="002B4B31" w:rsidRDefault="002B4B31" w:rsidP="002B4B31">
      <w:pPr>
        <w:pStyle w:val="a5"/>
        <w:rPr>
          <w:rtl/>
        </w:rPr>
      </w:pPr>
      <w:r>
        <w:rPr>
          <w:rStyle w:val="a4"/>
          <w:rtl/>
        </w:rPr>
        <w:footnoteRef/>
      </w:r>
      <w:r>
        <w:t xml:space="preserve"> </w:t>
      </w:r>
      <w:r>
        <w:rPr>
          <w:rFonts w:hint="cs"/>
          <w:rtl/>
        </w:rPr>
        <w:t>בעברית: "</w:t>
      </w:r>
      <w:r>
        <w:rPr>
          <w:rtl/>
        </w:rPr>
        <w:t>שתוליכנו לשלום ותסעידנו לשלום ותסמכנו לשלום</w:t>
      </w:r>
      <w:r>
        <w:rPr>
          <w:rFonts w:hint="cs"/>
          <w:rtl/>
        </w:rPr>
        <w:t>" (</w:t>
      </w:r>
      <w:r>
        <w:rPr>
          <w:sz w:val="18"/>
          <w:szCs w:val="20"/>
          <w:rtl/>
        </w:rPr>
        <w:t xml:space="preserve">תפלת הדרך </w:t>
      </w:r>
      <w:r>
        <w:rPr>
          <w:rFonts w:hint="cs"/>
          <w:sz w:val="18"/>
          <w:szCs w:val="20"/>
          <w:rtl/>
        </w:rPr>
        <w:t>ב</w:t>
      </w:r>
      <w:r>
        <w:rPr>
          <w:sz w:val="18"/>
          <w:szCs w:val="20"/>
          <w:rtl/>
        </w:rPr>
        <w:t>טור או</w:t>
      </w:r>
      <w:r>
        <w:rPr>
          <w:rFonts w:hint="cs"/>
          <w:sz w:val="18"/>
          <w:szCs w:val="20"/>
          <w:rtl/>
        </w:rPr>
        <w:t>"</w:t>
      </w:r>
      <w:r>
        <w:rPr>
          <w:sz w:val="18"/>
          <w:szCs w:val="20"/>
          <w:rtl/>
        </w:rPr>
        <w:t>ח</w:t>
      </w:r>
      <w:r>
        <w:rPr>
          <w:rFonts w:hint="cs"/>
          <w:sz w:val="18"/>
          <w:szCs w:val="20"/>
          <w:rtl/>
        </w:rPr>
        <w:t xml:space="preserve"> סימן </w:t>
      </w:r>
      <w:r>
        <w:rPr>
          <w:sz w:val="18"/>
          <w:szCs w:val="20"/>
          <w:rtl/>
        </w:rPr>
        <w:t>ק</w:t>
      </w:r>
      <w:r>
        <w:rPr>
          <w:rFonts w:hint="cs"/>
          <w:sz w:val="18"/>
          <w:szCs w:val="20"/>
          <w:rtl/>
        </w:rPr>
        <w:t>"</w:t>
      </w:r>
      <w:r>
        <w:rPr>
          <w:sz w:val="18"/>
          <w:szCs w:val="20"/>
          <w:rtl/>
        </w:rPr>
        <w:t>י</w:t>
      </w:r>
      <w:r>
        <w:rPr>
          <w:rFonts w:hint="cs"/>
          <w:sz w:val="18"/>
          <w:szCs w:val="20"/>
          <w:rtl/>
        </w:rPr>
        <w:t>; נ"א: "</w:t>
      </w:r>
      <w:r>
        <w:rPr>
          <w:sz w:val="18"/>
          <w:szCs w:val="20"/>
          <w:rtl/>
        </w:rPr>
        <w:t>ות</w:t>
      </w:r>
      <w:r>
        <w:rPr>
          <w:rFonts w:hint="cs"/>
          <w:b/>
          <w:bCs/>
          <w:sz w:val="18"/>
          <w:szCs w:val="20"/>
          <w:rtl/>
        </w:rPr>
        <w:t>צ</w:t>
      </w:r>
      <w:r>
        <w:rPr>
          <w:sz w:val="18"/>
          <w:szCs w:val="20"/>
          <w:rtl/>
        </w:rPr>
        <w:t>עידנו</w:t>
      </w:r>
      <w:r>
        <w:rPr>
          <w:rFonts w:hint="cs"/>
          <w:sz w:val="18"/>
          <w:szCs w:val="20"/>
          <w:rtl/>
        </w:rPr>
        <w:t>", ויתכן שאחד הנוסחים נוצר מדמיון צ' וס'</w:t>
      </w:r>
      <w:r>
        <w:rPr>
          <w:rFonts w:hint="cs"/>
          <w:rtl/>
        </w:rPr>
        <w:t>), ובארמית: "מָרָן דִּי בִשְׁמַיָּא יְהֵא בְּסַעְדְּהוֹן" (</w:t>
      </w:r>
      <w:r>
        <w:rPr>
          <w:rFonts w:hint="cs"/>
          <w:sz w:val="18"/>
          <w:szCs w:val="20"/>
          <w:rtl/>
        </w:rPr>
        <w:t>סיום "יקום פורקן" בסידור האשכנזי</w:t>
      </w:r>
      <w:r>
        <w:rPr>
          <w:rFonts w:hint="cs"/>
          <w:rtl/>
        </w:rPr>
        <w:t xml:space="preserve">); "רחמנא, </w:t>
      </w:r>
      <w:r>
        <w:rPr>
          <w:rtl/>
        </w:rPr>
        <w:t xml:space="preserve">סעיד וסמיך </w:t>
      </w:r>
      <w:r>
        <w:rPr>
          <w:rFonts w:hint="cs"/>
          <w:rtl/>
        </w:rPr>
        <w:t>הוי לן, בדיל ויעבור" (</w:t>
      </w:r>
      <w:r>
        <w:rPr>
          <w:rFonts w:hint="cs"/>
          <w:sz w:val="18"/>
          <w:szCs w:val="20"/>
          <w:rtl/>
        </w:rPr>
        <w:t>סליחות עדות המזרח</w:t>
      </w:r>
      <w:r>
        <w:rPr>
          <w:rFonts w:hint="cs"/>
          <w:rtl/>
        </w:rPr>
        <w:t>).</w:t>
      </w:r>
    </w:p>
  </w:footnote>
  <w:footnote w:id="367">
    <w:p w14:paraId="2545671B" w14:textId="77777777" w:rsidR="002B4B31" w:rsidRDefault="002B4B31" w:rsidP="002B4B31">
      <w:pPr>
        <w:pStyle w:val="a5"/>
        <w:rPr>
          <w:rtl/>
        </w:rPr>
      </w:pPr>
      <w:r>
        <w:rPr>
          <w:rStyle w:val="a4"/>
          <w:rtl/>
        </w:rPr>
        <w:footnoteRef/>
      </w:r>
      <w:r>
        <w:t xml:space="preserve"> </w:t>
      </w:r>
      <w:r>
        <w:rPr>
          <w:rFonts w:hint="cs"/>
          <w:rtl/>
        </w:rPr>
        <w:t>מלבד השמות והפעלים שבשתי ההערות הקודמות, נוצרו בימי הביניים שמות עצם פרטיים כמו סעדיה, מסעוד וסעדון.</w:t>
      </w:r>
    </w:p>
  </w:footnote>
  <w:footnote w:id="368">
    <w:p w14:paraId="7291440F" w14:textId="77777777" w:rsidR="002B4B31" w:rsidRDefault="002B4B31" w:rsidP="002B4B31">
      <w:pPr>
        <w:pStyle w:val="a5"/>
        <w:rPr>
          <w:rtl/>
        </w:rPr>
      </w:pPr>
      <w:r>
        <w:rPr>
          <w:rStyle w:val="a4"/>
          <w:rtl/>
        </w:rPr>
        <w:footnoteRef/>
      </w:r>
      <w:r>
        <w:t xml:space="preserve"> </w:t>
      </w:r>
      <w:r>
        <w:rPr>
          <w:rFonts w:hint="cs"/>
          <w:rtl/>
        </w:rPr>
        <w:t>נוסח אחר:</w:t>
      </w:r>
      <w:r>
        <w:rPr>
          <w:rtl/>
        </w:rPr>
        <w:t xml:space="preserve"> </w:t>
      </w:r>
      <w:r>
        <w:rPr>
          <w:rFonts w:hint="cs"/>
          <w:rtl/>
        </w:rPr>
        <w:t>"</w:t>
      </w:r>
      <w:r>
        <w:rPr>
          <w:rtl/>
        </w:rPr>
        <w:t>מזוניתא</w:t>
      </w:r>
      <w:r>
        <w:rPr>
          <w:rFonts w:hint="cs"/>
          <w:rtl/>
        </w:rPr>
        <w:t>", וכ"ה לפנינו במדרש (</w:t>
      </w:r>
      <w:r>
        <w:rPr>
          <w:sz w:val="18"/>
          <w:szCs w:val="20"/>
          <w:rtl/>
        </w:rPr>
        <w:t>בראשית רבה מח</w:t>
      </w:r>
      <w:r>
        <w:rPr>
          <w:rFonts w:hint="cs"/>
          <w:sz w:val="18"/>
          <w:szCs w:val="20"/>
          <w:rtl/>
        </w:rPr>
        <w:t>,</w:t>
      </w:r>
      <w:r>
        <w:rPr>
          <w:sz w:val="18"/>
          <w:szCs w:val="20"/>
          <w:rtl/>
        </w:rPr>
        <w:t xml:space="preserve"> יא</w:t>
      </w:r>
      <w:r>
        <w:rPr>
          <w:rFonts w:hint="cs"/>
          <w:rtl/>
        </w:rPr>
        <w:t>).</w:t>
      </w:r>
    </w:p>
  </w:footnote>
  <w:footnote w:id="369">
    <w:p w14:paraId="49ECD7B4" w14:textId="77777777" w:rsidR="002B4B31" w:rsidRDefault="002B4B31" w:rsidP="002B4B31">
      <w:pPr>
        <w:pStyle w:val="a5"/>
        <w:rPr>
          <w:rtl/>
        </w:rPr>
      </w:pPr>
      <w:r>
        <w:rPr>
          <w:rStyle w:val="a4"/>
          <w:rtl/>
        </w:rPr>
        <w:footnoteRef/>
      </w:r>
      <w:r>
        <w:t xml:space="preserve"> </w:t>
      </w:r>
      <w:r>
        <w:rPr>
          <w:rtl/>
        </w:rPr>
        <w:t xml:space="preserve">מצודת ציון </w:t>
      </w:r>
      <w:r>
        <w:rPr>
          <w:rFonts w:hint="cs"/>
          <w:rtl/>
        </w:rPr>
        <w:t>שם: "</w:t>
      </w:r>
      <w:r>
        <w:rPr>
          <w:rtl/>
        </w:rPr>
        <w:t>סְעָד - ענין השענה וע</w:t>
      </w:r>
      <w:r>
        <w:rPr>
          <w:rFonts w:hint="cs"/>
          <w:rtl/>
        </w:rPr>
        <w:t xml:space="preserve">ל </w:t>
      </w:r>
      <w:r>
        <w:rPr>
          <w:rtl/>
        </w:rPr>
        <w:t>ש</w:t>
      </w:r>
      <w:r>
        <w:rPr>
          <w:rFonts w:hint="cs"/>
          <w:rtl/>
        </w:rPr>
        <w:t xml:space="preserve">ם </w:t>
      </w:r>
      <w:r>
        <w:rPr>
          <w:rtl/>
        </w:rPr>
        <w:t>ז</w:t>
      </w:r>
      <w:r>
        <w:rPr>
          <w:rFonts w:hint="cs"/>
          <w:rtl/>
        </w:rPr>
        <w:t>ה</w:t>
      </w:r>
      <w:r>
        <w:rPr>
          <w:rtl/>
        </w:rPr>
        <w:t xml:space="preserve"> יקרא האכילה </w:t>
      </w:r>
      <w:r>
        <w:rPr>
          <w:rFonts w:hint="cs"/>
          <w:rtl/>
        </w:rPr>
        <w:t>'</w:t>
      </w:r>
      <w:r>
        <w:rPr>
          <w:rtl/>
        </w:rPr>
        <w:t>סעודה</w:t>
      </w:r>
      <w:r>
        <w:rPr>
          <w:rFonts w:hint="cs"/>
          <w:rtl/>
        </w:rPr>
        <w:t>'</w:t>
      </w:r>
      <w:r>
        <w:rPr>
          <w:rtl/>
        </w:rPr>
        <w:t xml:space="preserve"> כי סועד ושוען את הלב מחולשתו</w:t>
      </w:r>
      <w:r>
        <w:rPr>
          <w:rFonts w:hint="cs"/>
          <w:rtl/>
        </w:rPr>
        <w:t>". והשוה ל</w:t>
      </w:r>
      <w:r>
        <w:rPr>
          <w:rtl/>
        </w:rPr>
        <w:t>ישעיה</w:t>
      </w:r>
      <w:r>
        <w:rPr>
          <w:rFonts w:hint="cs"/>
          <w:rtl/>
        </w:rPr>
        <w:t xml:space="preserve"> </w:t>
      </w:r>
      <w:r>
        <w:rPr>
          <w:sz w:val="18"/>
          <w:szCs w:val="20"/>
          <w:rtl/>
        </w:rPr>
        <w:t>ג</w:t>
      </w:r>
      <w:r>
        <w:rPr>
          <w:rFonts w:hint="cs"/>
          <w:sz w:val="18"/>
          <w:szCs w:val="20"/>
          <w:rtl/>
        </w:rPr>
        <w:t xml:space="preserve">, </w:t>
      </w:r>
      <w:r>
        <w:rPr>
          <w:sz w:val="18"/>
          <w:szCs w:val="20"/>
          <w:rtl/>
        </w:rPr>
        <w:t>א</w:t>
      </w:r>
      <w:r>
        <w:rPr>
          <w:rFonts w:hint="cs"/>
          <w:rtl/>
        </w:rPr>
        <w:t>:</w:t>
      </w:r>
      <w:r>
        <w:rPr>
          <w:rtl/>
        </w:rPr>
        <w:t xml:space="preserve"> </w:t>
      </w:r>
      <w:r>
        <w:rPr>
          <w:rFonts w:hint="cs"/>
          <w:rtl/>
        </w:rPr>
        <w:t>"</w:t>
      </w:r>
      <w:r>
        <w:rPr>
          <w:rtl/>
        </w:rPr>
        <w:t>כֹּל מִשְׁעַן לֶחֶם וְכֹל מִשְׁעַן מָיִם</w:t>
      </w:r>
      <w:r>
        <w:rPr>
          <w:rFonts w:hint="cs"/>
          <w:rtl/>
        </w:rPr>
        <w:t>",</w:t>
      </w:r>
      <w:r>
        <w:rPr>
          <w:rtl/>
        </w:rPr>
        <w:t xml:space="preserve"> רד"ק: </w:t>
      </w:r>
      <w:r>
        <w:rPr>
          <w:rFonts w:hint="cs"/>
          <w:rtl/>
        </w:rPr>
        <w:t>"</w:t>
      </w:r>
      <w:r>
        <w:rPr>
          <w:rtl/>
        </w:rPr>
        <w:t>ואמר מִשְׁעַן כי המאכל והמשת</w:t>
      </w:r>
      <w:r>
        <w:rPr>
          <w:rFonts w:hint="cs"/>
          <w:rtl/>
        </w:rPr>
        <w:t>ה</w:t>
      </w:r>
      <w:r>
        <w:rPr>
          <w:rtl/>
        </w:rPr>
        <w:t xml:space="preserve"> משען גוף האדם ובהם ישען ויחיה, וכן אמר בתוכחות</w:t>
      </w:r>
      <w:r>
        <w:rPr>
          <w:rFonts w:hint="cs"/>
          <w:rtl/>
        </w:rPr>
        <w:t xml:space="preserve"> (</w:t>
      </w:r>
      <w:r>
        <w:rPr>
          <w:sz w:val="18"/>
          <w:szCs w:val="20"/>
          <w:rtl/>
        </w:rPr>
        <w:t>ויקרא כו</w:t>
      </w:r>
      <w:r>
        <w:rPr>
          <w:rFonts w:hint="cs"/>
          <w:sz w:val="18"/>
          <w:szCs w:val="20"/>
          <w:rtl/>
        </w:rPr>
        <w:t xml:space="preserve">, </w:t>
      </w:r>
      <w:r>
        <w:rPr>
          <w:sz w:val="18"/>
          <w:szCs w:val="20"/>
          <w:rtl/>
        </w:rPr>
        <w:t>כו</w:t>
      </w:r>
      <w:r>
        <w:rPr>
          <w:rFonts w:hint="cs"/>
          <w:sz w:val="18"/>
          <w:szCs w:val="20"/>
          <w:rtl/>
        </w:rPr>
        <w:t xml:space="preserve">; עי' ת"א ור"א </w:t>
      </w:r>
      <w:r>
        <w:rPr>
          <w:sz w:val="18"/>
          <w:szCs w:val="20"/>
          <w:rtl/>
        </w:rPr>
        <w:t xml:space="preserve">אבן עזרא </w:t>
      </w:r>
      <w:r>
        <w:rPr>
          <w:rFonts w:hint="cs"/>
          <w:sz w:val="18"/>
          <w:szCs w:val="20"/>
          <w:rtl/>
        </w:rPr>
        <w:t>שם</w:t>
      </w:r>
      <w:r>
        <w:rPr>
          <w:rFonts w:hint="cs"/>
          <w:rtl/>
        </w:rPr>
        <w:t>)</w:t>
      </w:r>
      <w:r>
        <w:rPr>
          <w:rtl/>
        </w:rPr>
        <w:t xml:space="preserve"> </w:t>
      </w:r>
      <w:r>
        <w:rPr>
          <w:rFonts w:hint="cs"/>
          <w:rtl/>
        </w:rPr>
        <w:t>'</w:t>
      </w:r>
      <w:r>
        <w:rPr>
          <w:rtl/>
        </w:rPr>
        <w:t>בְּשִׁבְרִי לָכֶם מַטֵּה לֶחֶם</w:t>
      </w:r>
      <w:r>
        <w:rPr>
          <w:rFonts w:hint="cs"/>
          <w:rtl/>
        </w:rPr>
        <w:t xml:space="preserve">', </w:t>
      </w:r>
      <w:r>
        <w:rPr>
          <w:rtl/>
        </w:rPr>
        <w:t>כמו הַמַּטֶּה שישען האדם עליו</w:t>
      </w:r>
      <w:r>
        <w:rPr>
          <w:rFonts w:hint="cs"/>
          <w:rtl/>
        </w:rPr>
        <w:t>,</w:t>
      </w:r>
      <w:r>
        <w:rPr>
          <w:rtl/>
        </w:rPr>
        <w:t xml:space="preserve"> כן ישען במאכל ובמשתה</w:t>
      </w:r>
      <w:r>
        <w:rPr>
          <w:rFonts w:hint="cs"/>
          <w:rtl/>
        </w:rPr>
        <w:t>".</w:t>
      </w:r>
    </w:p>
  </w:footnote>
  <w:footnote w:id="370">
    <w:p w14:paraId="1E1BEFBB" w14:textId="77777777" w:rsidR="002B4B31" w:rsidRDefault="002B4B31" w:rsidP="002B4B31">
      <w:pPr>
        <w:pStyle w:val="a5"/>
        <w:rPr>
          <w:rFonts w:hint="cs"/>
          <w:rtl/>
        </w:rPr>
      </w:pPr>
      <w:r>
        <w:rPr>
          <w:rStyle w:val="a4"/>
          <w:rtl/>
        </w:rPr>
        <w:footnoteRef/>
      </w:r>
      <w:r>
        <w:t xml:space="preserve"> </w:t>
      </w:r>
      <w:r>
        <w:rPr>
          <w:rFonts w:hint="cs"/>
          <w:rtl/>
        </w:rPr>
        <w:t>השם המקראי "ארוּחה" (</w:t>
      </w:r>
      <w:r>
        <w:rPr>
          <w:rFonts w:hint="cs"/>
          <w:sz w:val="18"/>
          <w:szCs w:val="20"/>
          <w:rtl/>
        </w:rPr>
        <w:t>כב</w:t>
      </w:r>
      <w:r>
        <w:rPr>
          <w:sz w:val="18"/>
          <w:szCs w:val="20"/>
          <w:rtl/>
        </w:rPr>
        <w:t>מלכים ב</w:t>
      </w:r>
      <w:r>
        <w:rPr>
          <w:rFonts w:hint="cs"/>
          <w:sz w:val="18"/>
          <w:szCs w:val="20"/>
          <w:rtl/>
        </w:rPr>
        <w:t>'</w:t>
      </w:r>
      <w:r>
        <w:rPr>
          <w:sz w:val="18"/>
          <w:szCs w:val="20"/>
          <w:rtl/>
        </w:rPr>
        <w:t xml:space="preserve"> כה</w:t>
      </w:r>
      <w:r>
        <w:rPr>
          <w:rFonts w:hint="cs"/>
          <w:sz w:val="18"/>
          <w:szCs w:val="20"/>
          <w:rtl/>
        </w:rPr>
        <w:t xml:space="preserve">, </w:t>
      </w:r>
      <w:r>
        <w:rPr>
          <w:sz w:val="18"/>
          <w:szCs w:val="20"/>
          <w:rtl/>
        </w:rPr>
        <w:t>ל</w:t>
      </w:r>
      <w:r>
        <w:rPr>
          <w:rFonts w:hint="cs"/>
          <w:rtl/>
        </w:rPr>
        <w:t>) מקביל לשם "סעודה" (משורש סע"ד) שנתחדש בלשון חכמים (</w:t>
      </w:r>
      <w:r>
        <w:rPr>
          <w:sz w:val="18"/>
          <w:szCs w:val="20"/>
          <w:rtl/>
        </w:rPr>
        <w:t>אבות פ</w:t>
      </w:r>
      <w:r>
        <w:rPr>
          <w:rFonts w:hint="cs"/>
          <w:sz w:val="18"/>
          <w:szCs w:val="20"/>
          <w:rtl/>
        </w:rPr>
        <w:t>"</w:t>
      </w:r>
      <w:r>
        <w:rPr>
          <w:sz w:val="18"/>
          <w:szCs w:val="20"/>
          <w:rtl/>
        </w:rPr>
        <w:t>ג</w:t>
      </w:r>
      <w:r>
        <w:rPr>
          <w:rFonts w:hint="cs"/>
          <w:sz w:val="18"/>
          <w:szCs w:val="20"/>
          <w:rtl/>
        </w:rPr>
        <w:t>, מ</w:t>
      </w:r>
      <w:r>
        <w:rPr>
          <w:sz w:val="18"/>
          <w:szCs w:val="20"/>
          <w:rtl/>
        </w:rPr>
        <w:t>ט</w:t>
      </w:r>
      <w:r>
        <w:rPr>
          <w:rFonts w:hint="cs"/>
          <w:sz w:val="18"/>
          <w:szCs w:val="20"/>
          <w:rtl/>
        </w:rPr>
        <w:t>"</w:t>
      </w:r>
      <w:r>
        <w:rPr>
          <w:sz w:val="18"/>
          <w:szCs w:val="20"/>
          <w:rtl/>
        </w:rPr>
        <w:t>ז</w:t>
      </w:r>
      <w:r>
        <w:rPr>
          <w:rFonts w:hint="cs"/>
          <w:sz w:val="18"/>
          <w:szCs w:val="20"/>
          <w:rtl/>
        </w:rPr>
        <w:t>: "</w:t>
      </w:r>
      <w:r>
        <w:rPr>
          <w:sz w:val="18"/>
          <w:szCs w:val="20"/>
          <w:rtl/>
        </w:rPr>
        <w:t>והכל מתוקן לסעודה</w:t>
      </w:r>
      <w:r>
        <w:rPr>
          <w:rFonts w:hint="cs"/>
          <w:sz w:val="18"/>
          <w:szCs w:val="20"/>
          <w:rtl/>
        </w:rPr>
        <w:t xml:space="preserve">"; </w:t>
      </w:r>
      <w:r>
        <w:rPr>
          <w:sz w:val="18"/>
          <w:szCs w:val="20"/>
          <w:rtl/>
        </w:rPr>
        <w:t>שבת פט</w:t>
      </w:r>
      <w:r>
        <w:rPr>
          <w:rFonts w:hint="cs"/>
          <w:sz w:val="18"/>
          <w:szCs w:val="20"/>
          <w:rtl/>
        </w:rPr>
        <w:t>"</w:t>
      </w:r>
      <w:r>
        <w:rPr>
          <w:sz w:val="18"/>
          <w:szCs w:val="20"/>
          <w:rtl/>
        </w:rPr>
        <w:t>ז מ</w:t>
      </w:r>
      <w:r>
        <w:rPr>
          <w:rFonts w:hint="cs"/>
          <w:sz w:val="18"/>
          <w:szCs w:val="20"/>
          <w:rtl/>
        </w:rPr>
        <w:t>"</w:t>
      </w:r>
      <w:r>
        <w:rPr>
          <w:sz w:val="18"/>
          <w:szCs w:val="20"/>
          <w:rtl/>
        </w:rPr>
        <w:t>ב</w:t>
      </w:r>
      <w:r>
        <w:rPr>
          <w:rFonts w:hint="cs"/>
          <w:sz w:val="18"/>
          <w:szCs w:val="20"/>
          <w:rtl/>
        </w:rPr>
        <w:t>: "</w:t>
      </w:r>
      <w:r>
        <w:rPr>
          <w:sz w:val="18"/>
          <w:szCs w:val="20"/>
          <w:rtl/>
        </w:rPr>
        <w:t>שלש סעודות</w:t>
      </w:r>
      <w:r>
        <w:rPr>
          <w:rFonts w:hint="cs"/>
          <w:sz w:val="18"/>
          <w:szCs w:val="20"/>
          <w:rtl/>
        </w:rPr>
        <w:t>"</w:t>
      </w:r>
      <w:r>
        <w:rPr>
          <w:rFonts w:hint="cs"/>
          <w:rtl/>
        </w:rPr>
        <w:t>). יש לציין את מסורת הלשון הייחודית של יהודי תימן, הקוראים "סעוֹדה" בחולם (בשונה משאר העדות המַשווים אותה ל"ארוּחה", ו' בשורק).</w:t>
      </w:r>
    </w:p>
    <w:p w14:paraId="30C89C85" w14:textId="77777777" w:rsidR="002B4B31" w:rsidRDefault="002B4B31" w:rsidP="002B4B31">
      <w:pPr>
        <w:pStyle w:val="a5"/>
        <w:rPr>
          <w:rFonts w:hint="cs"/>
          <w:rtl/>
        </w:rPr>
      </w:pPr>
      <w:r>
        <w:rPr>
          <w:rFonts w:hint="cs"/>
          <w:rtl/>
        </w:rPr>
        <w:t xml:space="preserve">על מקבילה מקראית נוספת, "מִשתה", ראה </w:t>
      </w:r>
      <w:r>
        <w:rPr>
          <w:rtl/>
        </w:rPr>
        <w:t xml:space="preserve">רש"י אסתר </w:t>
      </w:r>
      <w:r>
        <w:rPr>
          <w:sz w:val="18"/>
          <w:szCs w:val="20"/>
          <w:rtl/>
        </w:rPr>
        <w:t>ה</w:t>
      </w:r>
      <w:r>
        <w:rPr>
          <w:rFonts w:hint="cs"/>
          <w:sz w:val="18"/>
          <w:szCs w:val="20"/>
          <w:rtl/>
        </w:rPr>
        <w:t xml:space="preserve">, </w:t>
      </w:r>
      <w:r>
        <w:rPr>
          <w:sz w:val="18"/>
          <w:szCs w:val="20"/>
          <w:rtl/>
        </w:rPr>
        <w:t>ד</w:t>
      </w:r>
      <w:r>
        <w:rPr>
          <w:rFonts w:hint="cs"/>
          <w:sz w:val="18"/>
          <w:szCs w:val="20"/>
          <w:rtl/>
        </w:rPr>
        <w:t xml:space="preserve">; </w:t>
      </w:r>
      <w:r>
        <w:rPr>
          <w:rtl/>
        </w:rPr>
        <w:t xml:space="preserve">קהלת </w:t>
      </w:r>
      <w:r>
        <w:rPr>
          <w:sz w:val="18"/>
          <w:szCs w:val="20"/>
          <w:rtl/>
        </w:rPr>
        <w:t>ב</w:t>
      </w:r>
      <w:r>
        <w:rPr>
          <w:rFonts w:hint="cs"/>
          <w:sz w:val="18"/>
          <w:szCs w:val="20"/>
          <w:rtl/>
        </w:rPr>
        <w:t xml:space="preserve">, </w:t>
      </w:r>
      <w:r>
        <w:rPr>
          <w:sz w:val="18"/>
          <w:szCs w:val="20"/>
          <w:rtl/>
        </w:rPr>
        <w:t>ג</w:t>
      </w:r>
      <w:r>
        <w:rPr>
          <w:rFonts w:hint="cs"/>
          <w:sz w:val="18"/>
          <w:szCs w:val="20"/>
          <w:rtl/>
        </w:rPr>
        <w:t xml:space="preserve">; </w:t>
      </w:r>
      <w:r>
        <w:rPr>
          <w:rtl/>
        </w:rPr>
        <w:t xml:space="preserve">ברכות </w:t>
      </w:r>
      <w:r>
        <w:rPr>
          <w:sz w:val="20"/>
          <w:szCs w:val="20"/>
          <w:rtl/>
        </w:rPr>
        <w:t>לה</w:t>
      </w:r>
      <w:r>
        <w:rPr>
          <w:rFonts w:hint="cs"/>
          <w:sz w:val="20"/>
          <w:szCs w:val="20"/>
          <w:rtl/>
        </w:rPr>
        <w:t xml:space="preserve">, </w:t>
      </w:r>
      <w:r>
        <w:rPr>
          <w:sz w:val="20"/>
          <w:szCs w:val="20"/>
          <w:rtl/>
        </w:rPr>
        <w:t>ב ד"ה והכתיב וְיַיִן יְשַׂמַּח לְבַב אֱנוֹשׁ</w:t>
      </w:r>
      <w:r>
        <w:rPr>
          <w:rFonts w:hint="cs"/>
          <w:sz w:val="20"/>
          <w:szCs w:val="20"/>
          <w:rtl/>
        </w:rPr>
        <w:t xml:space="preserve"> [...</w:t>
      </w:r>
      <w:r>
        <w:rPr>
          <w:sz w:val="20"/>
          <w:szCs w:val="20"/>
          <w:rtl/>
        </w:rPr>
        <w:t>וְלֶחֶם לְבַב אֱנוֹשׁ</w:t>
      </w:r>
      <w:r>
        <w:rPr>
          <w:rFonts w:hint="cs"/>
          <w:sz w:val="20"/>
          <w:szCs w:val="20"/>
          <w:rtl/>
        </w:rPr>
        <w:t xml:space="preserve"> </w:t>
      </w:r>
      <w:r>
        <w:rPr>
          <w:sz w:val="20"/>
          <w:szCs w:val="20"/>
          <w:rtl/>
        </w:rPr>
        <w:t>יִסְעָד</w:t>
      </w:r>
      <w:r>
        <w:rPr>
          <w:rFonts w:hint="cs"/>
          <w:sz w:val="20"/>
          <w:szCs w:val="20"/>
          <w:rtl/>
        </w:rPr>
        <w:t>] (</w:t>
      </w:r>
      <w:r>
        <w:rPr>
          <w:sz w:val="20"/>
          <w:szCs w:val="20"/>
          <w:rtl/>
        </w:rPr>
        <w:t>תהלים קד</w:t>
      </w:r>
      <w:r>
        <w:rPr>
          <w:rFonts w:hint="cs"/>
          <w:sz w:val="20"/>
          <w:szCs w:val="20"/>
          <w:rtl/>
        </w:rPr>
        <w:t xml:space="preserve">, </w:t>
      </w:r>
      <w:r>
        <w:rPr>
          <w:sz w:val="20"/>
          <w:szCs w:val="20"/>
          <w:rtl/>
        </w:rPr>
        <w:t>טו</w:t>
      </w:r>
      <w:r>
        <w:rPr>
          <w:rFonts w:hint="cs"/>
          <w:sz w:val="20"/>
          <w:szCs w:val="20"/>
          <w:rtl/>
        </w:rPr>
        <w:t>).</w:t>
      </w:r>
    </w:p>
  </w:footnote>
  <w:footnote w:id="371">
    <w:p w14:paraId="1B296E04" w14:textId="77777777" w:rsidR="002B4B31" w:rsidRDefault="002B4B31" w:rsidP="002B4B31">
      <w:pPr>
        <w:pStyle w:val="a5"/>
        <w:rPr>
          <w:rFonts w:hint="cs"/>
          <w:rtl/>
        </w:rPr>
      </w:pPr>
      <w:r>
        <w:rPr>
          <w:rStyle w:val="a4"/>
          <w:rtl/>
        </w:rPr>
        <w:footnoteRef/>
      </w:r>
      <w:r>
        <w:t xml:space="preserve"> </w:t>
      </w:r>
      <w:r>
        <w:rPr>
          <w:rFonts w:hint="cs"/>
          <w:rtl/>
        </w:rPr>
        <w:t xml:space="preserve">ראה למשל לשון </w:t>
      </w:r>
      <w:r>
        <w:rPr>
          <w:rFonts w:hint="cs"/>
          <w:sz w:val="26"/>
          <w:rtl/>
        </w:rPr>
        <w:t>הפיוט "</w:t>
      </w:r>
      <w:r>
        <w:rPr>
          <w:sz w:val="26"/>
          <w:rtl/>
        </w:rPr>
        <w:t>אֹמֶץ גְּבוּרוֹתֶיךָ</w:t>
      </w:r>
      <w:r>
        <w:rPr>
          <w:rFonts w:hint="cs"/>
          <w:sz w:val="26"/>
          <w:rtl/>
        </w:rPr>
        <w:t>" שבסוף ליל הסדר</w:t>
      </w:r>
      <w:r>
        <w:rPr>
          <w:rFonts w:hint="cs"/>
          <w:rtl/>
        </w:rPr>
        <w:t>: "</w:t>
      </w:r>
      <w:r>
        <w:rPr>
          <w:b/>
          <w:bCs/>
          <w:rtl/>
        </w:rPr>
        <w:t>הִסְעִי</w:t>
      </w:r>
      <w:r>
        <w:rPr>
          <w:rFonts w:hint="cs"/>
          <w:b/>
          <w:bCs/>
          <w:rtl/>
        </w:rPr>
        <w:t>ד</w:t>
      </w:r>
      <w:r>
        <w:rPr>
          <w:b/>
          <w:bCs/>
          <w:rtl/>
        </w:rPr>
        <w:t xml:space="preserve"> </w:t>
      </w:r>
      <w:r>
        <w:rPr>
          <w:rtl/>
        </w:rPr>
        <w:t>נוֹצְצִים עוּגוֹת מַצּוֹת בַּפֶּסַח</w:t>
      </w:r>
      <w:r>
        <w:rPr>
          <w:rFonts w:hint="cs"/>
          <w:rtl/>
        </w:rPr>
        <w:t>". אגב, בחלק מההגדות של פסח הודפס בטעות "</w:t>
      </w:r>
      <w:r>
        <w:rPr>
          <w:rtl/>
        </w:rPr>
        <w:t>הִסְעִי</w:t>
      </w:r>
      <w:r>
        <w:rPr>
          <w:rFonts w:hint="cs"/>
          <w:b/>
          <w:bCs/>
          <w:rtl/>
        </w:rPr>
        <w:t>ר</w:t>
      </w:r>
      <w:r>
        <w:rPr>
          <w:rFonts w:hint="cs"/>
          <w:rtl/>
        </w:rPr>
        <w:t>" ברי"ש (</w:t>
      </w:r>
      <w:r>
        <w:rPr>
          <w:rFonts w:hint="cs"/>
          <w:sz w:val="18"/>
          <w:szCs w:val="20"/>
          <w:rtl/>
        </w:rPr>
        <w:t>השוה לחילופי ד/ר שלהלן</w:t>
      </w:r>
      <w:r>
        <w:rPr>
          <w:rFonts w:hint="cs"/>
          <w:rtl/>
        </w:rPr>
        <w:t>).</w:t>
      </w:r>
    </w:p>
  </w:footnote>
  <w:footnote w:id="372">
    <w:p w14:paraId="1F6E3ECF" w14:textId="77777777" w:rsidR="002B4B31" w:rsidRDefault="002B4B31" w:rsidP="002B4B31">
      <w:pPr>
        <w:pStyle w:val="a5"/>
        <w:rPr>
          <w:rFonts w:hint="cs"/>
          <w:rtl/>
        </w:rPr>
      </w:pPr>
      <w:r>
        <w:rPr>
          <w:rStyle w:val="a4"/>
          <w:rtl/>
        </w:rPr>
        <w:footnoteRef/>
      </w:r>
      <w:r>
        <w:rPr>
          <w:rFonts w:hint="cs"/>
          <w:rtl/>
        </w:rPr>
        <w:t xml:space="preserve"> והרבה שלוחים למקום, כמו בני אדם המבקרים את החולה... (וראה ר"א </w:t>
      </w:r>
      <w:r>
        <w:rPr>
          <w:rtl/>
        </w:rPr>
        <w:t xml:space="preserve">אבן עזרא </w:t>
      </w:r>
      <w:r>
        <w:rPr>
          <w:rFonts w:hint="cs"/>
          <w:rtl/>
        </w:rPr>
        <w:t xml:space="preserve">על אתר). לשון </w:t>
      </w:r>
      <w:r>
        <w:rPr>
          <w:rtl/>
        </w:rPr>
        <w:t xml:space="preserve">רש"י </w:t>
      </w:r>
      <w:r>
        <w:rPr>
          <w:rFonts w:hint="cs"/>
          <w:rtl/>
        </w:rPr>
        <w:t>כאן "</w:t>
      </w:r>
      <w:r>
        <w:rPr>
          <w:rtl/>
        </w:rPr>
        <w:t>סועד</w:t>
      </w:r>
      <w:r>
        <w:rPr>
          <w:rFonts w:hint="cs"/>
          <w:rtl/>
        </w:rPr>
        <w:t xml:space="preserve"> - </w:t>
      </w:r>
      <w:r>
        <w:rPr>
          <w:rtl/>
        </w:rPr>
        <w:t xml:space="preserve">סומך </w:t>
      </w:r>
      <w:r>
        <w:rPr>
          <w:b/>
          <w:bCs/>
          <w:rtl/>
        </w:rPr>
        <w:t>ב</w:t>
      </w:r>
      <w:r>
        <w:rPr>
          <w:rtl/>
        </w:rPr>
        <w:t>תשות כחו</w:t>
      </w:r>
      <w:r>
        <w:rPr>
          <w:rFonts w:hint="cs"/>
          <w:rtl/>
        </w:rPr>
        <w:t>", דהיינו ה' עוזר לחולה כשתש כֹחו. ר' חנוך הֶנדיל, בעל חידושי "חכמת מנוח", מציין נוסח אחר: "</w:t>
      </w:r>
      <w:r>
        <w:rPr>
          <w:rtl/>
        </w:rPr>
        <w:t>סומך תשות כחו</w:t>
      </w:r>
      <w:r>
        <w:rPr>
          <w:rFonts w:hint="cs"/>
          <w:rtl/>
        </w:rPr>
        <w:t>", דהיינו ה' מחזק את חולשת כֹחו (כלומר, את כֹחו החלש).</w:t>
      </w:r>
    </w:p>
  </w:footnote>
  <w:footnote w:id="373">
    <w:p w14:paraId="636C5D3E" w14:textId="77777777" w:rsidR="002B4B31" w:rsidRDefault="002B4B31" w:rsidP="002B4B31">
      <w:pPr>
        <w:pStyle w:val="a5"/>
        <w:rPr>
          <w:rtl/>
        </w:rPr>
      </w:pPr>
      <w:r>
        <w:rPr>
          <w:rStyle w:val="a4"/>
          <w:rtl/>
        </w:rPr>
        <w:footnoteRef/>
      </w:r>
      <w:r>
        <w:t xml:space="preserve"> </w:t>
      </w:r>
      <w:r>
        <w:rPr>
          <w:rFonts w:hint="cs"/>
          <w:rtl/>
        </w:rPr>
        <w:t>צ"ע אם יש קשר (ולוּ עקיף) לשורש סע"ר המקראי (כמו ב</w:t>
      </w:r>
      <w:r>
        <w:rPr>
          <w:rtl/>
        </w:rPr>
        <w:t xml:space="preserve">יונה </w:t>
      </w:r>
      <w:r>
        <w:rPr>
          <w:sz w:val="18"/>
          <w:szCs w:val="20"/>
          <w:rtl/>
        </w:rPr>
        <w:t>א</w:t>
      </w:r>
      <w:r>
        <w:rPr>
          <w:rFonts w:hint="cs"/>
          <w:sz w:val="18"/>
          <w:szCs w:val="20"/>
          <w:rtl/>
        </w:rPr>
        <w:t xml:space="preserve">, </w:t>
      </w:r>
      <w:r>
        <w:rPr>
          <w:sz w:val="18"/>
          <w:szCs w:val="20"/>
          <w:rtl/>
        </w:rPr>
        <w:t>ד</w:t>
      </w:r>
      <w:r>
        <w:rPr>
          <w:rFonts w:hint="cs"/>
          <w:sz w:val="18"/>
          <w:szCs w:val="20"/>
          <w:rtl/>
        </w:rPr>
        <w:t xml:space="preserve">; </w:t>
      </w:r>
      <w:r>
        <w:rPr>
          <w:sz w:val="18"/>
          <w:szCs w:val="20"/>
          <w:rtl/>
        </w:rPr>
        <w:t>יא</w:t>
      </w:r>
      <w:r>
        <w:rPr>
          <w:rFonts w:hint="cs"/>
          <w:sz w:val="18"/>
          <w:szCs w:val="20"/>
          <w:rtl/>
        </w:rPr>
        <w:t>:</w:t>
      </w:r>
      <w:r>
        <w:rPr>
          <w:sz w:val="18"/>
          <w:szCs w:val="20"/>
          <w:rtl/>
        </w:rPr>
        <w:t xml:space="preserve"> </w:t>
      </w:r>
      <w:r>
        <w:rPr>
          <w:rFonts w:hint="cs"/>
          <w:rtl/>
        </w:rPr>
        <w:t>"</w:t>
      </w:r>
      <w:r>
        <w:rPr>
          <w:rtl/>
        </w:rPr>
        <w:t>סַעַר גָּדוֹל בַּיָּם</w:t>
      </w:r>
      <w:r>
        <w:rPr>
          <w:rFonts w:hint="cs"/>
          <w:rtl/>
        </w:rPr>
        <w:t xml:space="preserve">... </w:t>
      </w:r>
      <w:r>
        <w:rPr>
          <w:rtl/>
        </w:rPr>
        <w:t>הַיָּם הוֹלֵךְ וְסֹעֵר</w:t>
      </w:r>
      <w:r>
        <w:rPr>
          <w:rFonts w:hint="cs"/>
          <w:rtl/>
        </w:rPr>
        <w:t xml:space="preserve">"). </w:t>
      </w:r>
      <w:r>
        <w:rPr>
          <w:rFonts w:hint="cs"/>
          <w:sz w:val="18"/>
          <w:szCs w:val="20"/>
          <w:rtl/>
        </w:rPr>
        <w:t>ראה המובא להלן הערה 22 מבעל "נפש הגר".</w:t>
      </w:r>
    </w:p>
  </w:footnote>
  <w:footnote w:id="374">
    <w:p w14:paraId="4F420FC1" w14:textId="77777777" w:rsidR="002B4B31" w:rsidRDefault="002B4B31" w:rsidP="002B4B31">
      <w:pPr>
        <w:pStyle w:val="a5"/>
        <w:rPr>
          <w:rtl/>
        </w:rPr>
      </w:pPr>
      <w:r>
        <w:rPr>
          <w:rStyle w:val="a4"/>
          <w:rtl/>
        </w:rPr>
        <w:footnoteRef/>
      </w:r>
      <w:r>
        <w:t xml:space="preserve"> </w:t>
      </w:r>
      <w:r>
        <w:rPr>
          <w:rFonts w:hint="cs"/>
          <w:rtl/>
        </w:rPr>
        <w:t>בספר "ביאורי ה'כלומר' בפירוש רש"י לתלמוד" מוצע שהמשך דברי רש"י נצרכים בגלל ריבוי המשמעים של שורש פק"ד בלשון המקרא.</w:t>
      </w:r>
    </w:p>
  </w:footnote>
  <w:footnote w:id="375">
    <w:p w14:paraId="34633F19" w14:textId="77777777" w:rsidR="002B4B31" w:rsidRDefault="002B4B31" w:rsidP="002B4B31">
      <w:pPr>
        <w:pStyle w:val="a5"/>
        <w:rPr>
          <w:rtl/>
        </w:rPr>
      </w:pPr>
      <w:r>
        <w:rPr>
          <w:rStyle w:val="a4"/>
          <w:rtl/>
        </w:rPr>
        <w:footnoteRef/>
      </w:r>
      <w:r>
        <w:t xml:space="preserve"> </w:t>
      </w:r>
      <w:r>
        <w:rPr>
          <w:rFonts w:hint="cs"/>
          <w:rtl/>
        </w:rPr>
        <w:t>נוסח תרגום יוב"ע שלפנינו: "</w:t>
      </w:r>
      <w:r>
        <w:rPr>
          <w:rtl/>
        </w:rPr>
        <w:t>ו</w:t>
      </w:r>
      <w:r>
        <w:rPr>
          <w:rFonts w:hint="cs"/>
          <w:rtl/>
        </w:rPr>
        <w:t>ְ</w:t>
      </w:r>
      <w:r>
        <w:rPr>
          <w:rFonts w:hint="cs"/>
          <w:b/>
          <w:bCs/>
          <w:rtl/>
        </w:rPr>
        <w:t>יָ</w:t>
      </w:r>
      <w:r>
        <w:rPr>
          <w:rtl/>
        </w:rPr>
        <w:t>ת א</w:t>
      </w:r>
      <w:r>
        <w:rPr>
          <w:rFonts w:hint="cs"/>
          <w:rtl/>
        </w:rPr>
        <w:t>ַ</w:t>
      </w:r>
      <w:r>
        <w:rPr>
          <w:rtl/>
        </w:rPr>
        <w:t>ח</w:t>
      </w:r>
      <w:r>
        <w:rPr>
          <w:rFonts w:hint="cs"/>
          <w:rtl/>
        </w:rPr>
        <w:t>ָ</w:t>
      </w:r>
      <w:r>
        <w:rPr>
          <w:rtl/>
        </w:rPr>
        <w:t>ך</w:t>
      </w:r>
      <w:r>
        <w:rPr>
          <w:rFonts w:hint="cs"/>
          <w:rtl/>
        </w:rPr>
        <w:t>ְ</w:t>
      </w:r>
      <w:r>
        <w:rPr>
          <w:rtl/>
        </w:rPr>
        <w:t xml:space="preserve"> ת</w:t>
      </w:r>
      <w:r>
        <w:rPr>
          <w:rFonts w:hint="cs"/>
          <w:rtl/>
        </w:rPr>
        <w:t>ַּ</w:t>
      </w:r>
      <w:r>
        <w:rPr>
          <w:rtl/>
        </w:rPr>
        <w:t>ס</w:t>
      </w:r>
      <w:r>
        <w:rPr>
          <w:rFonts w:hint="cs"/>
          <w:rtl/>
        </w:rPr>
        <w:t>ְ</w:t>
      </w:r>
      <w:r>
        <w:rPr>
          <w:rtl/>
        </w:rPr>
        <w:t>ע</w:t>
      </w:r>
      <w:r>
        <w:rPr>
          <w:rFonts w:hint="cs"/>
          <w:rtl/>
        </w:rPr>
        <w:t>ַ</w:t>
      </w:r>
      <w:r>
        <w:rPr>
          <w:rtl/>
        </w:rPr>
        <w:t>ר ל</w:t>
      </w:r>
      <w:r>
        <w:rPr>
          <w:rFonts w:hint="cs"/>
          <w:rtl/>
        </w:rPr>
        <w:t>ִ</w:t>
      </w:r>
      <w:r>
        <w:rPr>
          <w:rtl/>
        </w:rPr>
        <w:t>ש</w:t>
      </w:r>
      <w:r>
        <w:rPr>
          <w:rFonts w:hint="cs"/>
          <w:rtl/>
        </w:rPr>
        <w:t>ְׁ</w:t>
      </w:r>
      <w:r>
        <w:rPr>
          <w:rtl/>
        </w:rPr>
        <w:t>ל</w:t>
      </w:r>
      <w:r>
        <w:rPr>
          <w:rFonts w:hint="cs"/>
          <w:rtl/>
        </w:rPr>
        <w:t>ָ</w:t>
      </w:r>
      <w:r>
        <w:rPr>
          <w:rtl/>
        </w:rPr>
        <w:t>ם</w:t>
      </w:r>
      <w:r>
        <w:rPr>
          <w:rFonts w:hint="cs"/>
          <w:rtl/>
        </w:rPr>
        <w:t>" (הניקוד ע"פ מהדורת הכתר). "</w:t>
      </w:r>
      <w:r>
        <w:rPr>
          <w:rtl/>
        </w:rPr>
        <w:t>ואת</w:t>
      </w:r>
      <w:r>
        <w:rPr>
          <w:rFonts w:hint="cs"/>
          <w:rtl/>
        </w:rPr>
        <w:t>" שבפירוש רש"י נראה כטעות המדפיס, מה שאין כן: "</w:t>
      </w:r>
      <w:r>
        <w:rPr>
          <w:rtl/>
        </w:rPr>
        <w:t>א</w:t>
      </w:r>
      <w:r>
        <w:rPr>
          <w:rFonts w:hint="cs"/>
          <w:rtl/>
        </w:rPr>
        <w:t>ַ</w:t>
      </w:r>
      <w:r>
        <w:rPr>
          <w:rtl/>
        </w:rPr>
        <w:t>ח</w:t>
      </w:r>
      <w:r>
        <w:rPr>
          <w:rFonts w:hint="cs"/>
          <w:rtl/>
        </w:rPr>
        <w:t>ָי</w:t>
      </w:r>
      <w:r>
        <w:rPr>
          <w:rtl/>
        </w:rPr>
        <w:t>ך</w:t>
      </w:r>
      <w:r>
        <w:rPr>
          <w:rFonts w:hint="cs"/>
          <w:rtl/>
        </w:rPr>
        <w:t>ְ" (כב</w:t>
      </w:r>
      <w:r>
        <w:rPr>
          <w:rtl/>
        </w:rPr>
        <w:t>עזרא ז</w:t>
      </w:r>
      <w:r>
        <w:rPr>
          <w:rFonts w:hint="cs"/>
          <w:rtl/>
        </w:rPr>
        <w:t>, יח). צ"ע מדוע תִרגם יוב"ע את פקידת דוד בשורש סע"ר, ואילו את פקידת שמשון וביקורו ("</w:t>
      </w:r>
      <w:r>
        <w:rPr>
          <w:rtl/>
        </w:rPr>
        <w:t>וַיִּפְקֹד שִׁמְשׁוֹן אֶת אִשְׁתּוֹ בִּגְדִי עִזִּים</w:t>
      </w:r>
      <w:r>
        <w:rPr>
          <w:rFonts w:hint="cs"/>
          <w:rtl/>
        </w:rPr>
        <w:t>"</w:t>
      </w:r>
      <w:r>
        <w:rPr>
          <w:rFonts w:hint="cs"/>
          <w:sz w:val="18"/>
          <w:szCs w:val="20"/>
          <w:rtl/>
        </w:rPr>
        <w:t xml:space="preserve">; </w:t>
      </w:r>
      <w:r>
        <w:rPr>
          <w:sz w:val="18"/>
          <w:szCs w:val="20"/>
          <w:rtl/>
        </w:rPr>
        <w:t>שופטים טו</w:t>
      </w:r>
      <w:r>
        <w:rPr>
          <w:rFonts w:hint="cs"/>
          <w:sz w:val="18"/>
          <w:szCs w:val="20"/>
          <w:rtl/>
        </w:rPr>
        <w:t>,</w:t>
      </w:r>
      <w:r>
        <w:rPr>
          <w:sz w:val="18"/>
          <w:szCs w:val="20"/>
          <w:rtl/>
        </w:rPr>
        <w:t xml:space="preserve"> א</w:t>
      </w:r>
      <w:r>
        <w:rPr>
          <w:rtl/>
        </w:rPr>
        <w:t>)</w:t>
      </w:r>
      <w:r>
        <w:rPr>
          <w:rFonts w:hint="cs"/>
          <w:rtl/>
        </w:rPr>
        <w:t xml:space="preserve"> - בשורש דכ"ר.</w:t>
      </w:r>
    </w:p>
  </w:footnote>
  <w:footnote w:id="376">
    <w:p w14:paraId="5E786FB5" w14:textId="77777777" w:rsidR="002B4B31" w:rsidRDefault="002B4B31" w:rsidP="002B4B31">
      <w:pPr>
        <w:pStyle w:val="a5"/>
        <w:rPr>
          <w:rFonts w:hint="cs"/>
          <w:rtl/>
        </w:rPr>
      </w:pPr>
      <w:r>
        <w:rPr>
          <w:rStyle w:val="a4"/>
          <w:rtl/>
        </w:rPr>
        <w:footnoteRef/>
      </w:r>
      <w:r>
        <w:t xml:space="preserve"> </w:t>
      </w:r>
      <w:r>
        <w:rPr>
          <w:rFonts w:hint="cs"/>
          <w:rtl/>
        </w:rPr>
        <w:t>להבדיל מ"</w:t>
      </w:r>
      <w:r>
        <w:rPr>
          <w:rtl/>
        </w:rPr>
        <w:t>סָר</w:t>
      </w:r>
      <w:r>
        <w:rPr>
          <w:rFonts w:hint="cs"/>
          <w:rtl/>
        </w:rPr>
        <w:t>" בעברית המקראית (</w:t>
      </w:r>
      <w:r>
        <w:rPr>
          <w:sz w:val="18"/>
          <w:szCs w:val="20"/>
          <w:rtl/>
        </w:rPr>
        <w:t>שמות ג</w:t>
      </w:r>
      <w:r>
        <w:rPr>
          <w:rFonts w:hint="cs"/>
          <w:sz w:val="18"/>
          <w:szCs w:val="20"/>
          <w:rtl/>
        </w:rPr>
        <w:t xml:space="preserve">, </w:t>
      </w:r>
      <w:r>
        <w:rPr>
          <w:sz w:val="18"/>
          <w:szCs w:val="20"/>
          <w:rtl/>
        </w:rPr>
        <w:t>ד</w:t>
      </w:r>
      <w:r>
        <w:rPr>
          <w:rFonts w:hint="cs"/>
          <w:sz w:val="18"/>
          <w:szCs w:val="20"/>
          <w:rtl/>
        </w:rPr>
        <w:t>;</w:t>
      </w:r>
      <w:r>
        <w:rPr>
          <w:sz w:val="18"/>
          <w:szCs w:val="20"/>
          <w:rtl/>
        </w:rPr>
        <w:t xml:space="preserve"> במדבר יב</w:t>
      </w:r>
      <w:r>
        <w:rPr>
          <w:rFonts w:hint="cs"/>
          <w:sz w:val="18"/>
          <w:szCs w:val="20"/>
          <w:rtl/>
        </w:rPr>
        <w:t xml:space="preserve">, </w:t>
      </w:r>
      <w:r>
        <w:rPr>
          <w:sz w:val="18"/>
          <w:szCs w:val="20"/>
          <w:rtl/>
        </w:rPr>
        <w:t>י</w:t>
      </w:r>
      <w:r>
        <w:rPr>
          <w:rFonts w:hint="cs"/>
          <w:sz w:val="18"/>
          <w:szCs w:val="20"/>
          <w:rtl/>
        </w:rPr>
        <w:t xml:space="preserve">; </w:t>
      </w:r>
      <w:r>
        <w:rPr>
          <w:sz w:val="18"/>
          <w:szCs w:val="20"/>
          <w:rtl/>
        </w:rPr>
        <w:t>יד</w:t>
      </w:r>
      <w:r>
        <w:rPr>
          <w:rFonts w:hint="cs"/>
          <w:sz w:val="18"/>
          <w:szCs w:val="20"/>
          <w:rtl/>
        </w:rPr>
        <w:t xml:space="preserve">, </w:t>
      </w:r>
      <w:r>
        <w:rPr>
          <w:sz w:val="18"/>
          <w:szCs w:val="20"/>
          <w:rtl/>
        </w:rPr>
        <w:t>ט</w:t>
      </w:r>
      <w:r>
        <w:rPr>
          <w:rFonts w:hint="cs"/>
          <w:sz w:val="18"/>
          <w:szCs w:val="20"/>
          <w:rtl/>
        </w:rPr>
        <w:t xml:space="preserve">; </w:t>
      </w:r>
      <w:r>
        <w:rPr>
          <w:sz w:val="18"/>
          <w:szCs w:val="20"/>
          <w:rtl/>
        </w:rPr>
        <w:t>מלכים א</w:t>
      </w:r>
      <w:r>
        <w:rPr>
          <w:rFonts w:hint="cs"/>
          <w:sz w:val="18"/>
          <w:szCs w:val="20"/>
          <w:rtl/>
        </w:rPr>
        <w:t>'</w:t>
      </w:r>
      <w:r>
        <w:rPr>
          <w:sz w:val="18"/>
          <w:szCs w:val="20"/>
          <w:rtl/>
        </w:rPr>
        <w:t xml:space="preserve"> כ</w:t>
      </w:r>
      <w:r>
        <w:rPr>
          <w:rFonts w:hint="cs"/>
          <w:sz w:val="18"/>
          <w:szCs w:val="20"/>
          <w:rtl/>
        </w:rPr>
        <w:t xml:space="preserve">, </w:t>
      </w:r>
      <w:r>
        <w:rPr>
          <w:sz w:val="18"/>
          <w:szCs w:val="20"/>
          <w:rtl/>
        </w:rPr>
        <w:t>מג</w:t>
      </w:r>
      <w:r>
        <w:rPr>
          <w:rFonts w:hint="cs"/>
          <w:rtl/>
        </w:rPr>
        <w:t>) מהשורש סו"ר.</w:t>
      </w:r>
    </w:p>
  </w:footnote>
  <w:footnote w:id="377">
    <w:p w14:paraId="4D62537C" w14:textId="77777777" w:rsidR="002B4B31" w:rsidRDefault="002B4B31" w:rsidP="002B4B31">
      <w:pPr>
        <w:pStyle w:val="a5"/>
        <w:rPr>
          <w:rFonts w:hint="cs"/>
          <w:rtl/>
        </w:rPr>
      </w:pPr>
      <w:r>
        <w:rPr>
          <w:rStyle w:val="a4"/>
          <w:rtl/>
        </w:rPr>
        <w:footnoteRef/>
      </w:r>
      <w:r>
        <w:t xml:space="preserve"> </w:t>
      </w:r>
      <w:r>
        <w:rPr>
          <w:rFonts w:hint="cs"/>
          <w:rtl/>
        </w:rPr>
        <w:t xml:space="preserve">רב האי גאון מדגים עיקרון זה: </w:t>
      </w:r>
    </w:p>
    <w:p w14:paraId="5029A8FE" w14:textId="77777777" w:rsidR="002B4B31" w:rsidRDefault="002B4B31" w:rsidP="002B4B31">
      <w:pPr>
        <w:pStyle w:val="a5"/>
        <w:ind w:left="720"/>
        <w:rPr>
          <w:rFonts w:hint="cs"/>
          <w:rtl/>
        </w:rPr>
      </w:pPr>
      <w:r>
        <w:rPr>
          <w:rFonts w:hint="cs"/>
          <w:rtl/>
        </w:rPr>
        <w:t>"כגון: 'שודא דדיאני' שהוא שו</w:t>
      </w:r>
      <w:r>
        <w:rPr>
          <w:rFonts w:hint="cs"/>
          <w:b/>
          <w:bCs/>
          <w:rtl/>
        </w:rPr>
        <w:t>ח</w:t>
      </w:r>
      <w:r>
        <w:rPr>
          <w:rFonts w:hint="cs"/>
          <w:rtl/>
        </w:rPr>
        <w:t>דא,</w:t>
      </w:r>
      <w:r>
        <w:rPr>
          <w:rtl/>
        </w:rPr>
        <w:t xml:space="preserve"> </w:t>
      </w:r>
      <w:r>
        <w:rPr>
          <w:rFonts w:hint="cs"/>
          <w:rtl/>
        </w:rPr>
        <w:t>וכגון 'מסותא' שהיא מס</w:t>
      </w:r>
      <w:r>
        <w:rPr>
          <w:rFonts w:hint="cs"/>
          <w:b/>
          <w:bCs/>
          <w:rtl/>
        </w:rPr>
        <w:t>ח</w:t>
      </w:r>
      <w:r>
        <w:rPr>
          <w:rFonts w:hint="cs"/>
          <w:rtl/>
        </w:rPr>
        <w:t>ותא תרגום רחיצה... 'שותיה דמר לא גמירנא' - שו</w:t>
      </w:r>
      <w:r>
        <w:rPr>
          <w:rFonts w:hint="cs"/>
          <w:b/>
          <w:bCs/>
          <w:rtl/>
        </w:rPr>
        <w:t>ע</w:t>
      </w:r>
      <w:r>
        <w:rPr>
          <w:rFonts w:hint="cs"/>
          <w:rtl/>
        </w:rPr>
        <w:t>תיה מיבעי ליה, וכמו כן 'ביעי דפייא' - ביעי דפ</w:t>
      </w:r>
      <w:r>
        <w:rPr>
          <w:rFonts w:hint="cs"/>
          <w:b/>
          <w:bCs/>
          <w:rtl/>
        </w:rPr>
        <w:t>ע</w:t>
      </w:r>
      <w:r>
        <w:rPr>
          <w:rFonts w:hint="cs"/>
          <w:rtl/>
        </w:rPr>
        <w:t xml:space="preserve">יא, </w:t>
      </w:r>
      <w:r>
        <w:rPr>
          <w:rtl/>
        </w:rPr>
        <w:t xml:space="preserve">כַּיּוֹלֵדָה אֶפְעֶה </w:t>
      </w:r>
      <w:r>
        <w:rPr>
          <w:rFonts w:hint="cs"/>
          <w:rtl/>
        </w:rPr>
        <w:t>(</w:t>
      </w:r>
      <w:r>
        <w:rPr>
          <w:sz w:val="18"/>
          <w:szCs w:val="20"/>
          <w:rtl/>
        </w:rPr>
        <w:t>ישעיהו מב</w:t>
      </w:r>
      <w:r>
        <w:rPr>
          <w:rFonts w:hint="cs"/>
          <w:sz w:val="18"/>
          <w:szCs w:val="20"/>
          <w:rtl/>
        </w:rPr>
        <w:t xml:space="preserve">, </w:t>
      </w:r>
      <w:r>
        <w:rPr>
          <w:sz w:val="18"/>
          <w:szCs w:val="20"/>
          <w:rtl/>
        </w:rPr>
        <w:t>יד</w:t>
      </w:r>
      <w:r>
        <w:rPr>
          <w:rFonts w:hint="cs"/>
          <w:rtl/>
        </w:rPr>
        <w:t>), 'איביא להו' - איב</w:t>
      </w:r>
      <w:r>
        <w:rPr>
          <w:rFonts w:hint="cs"/>
          <w:b/>
          <w:bCs/>
          <w:rtl/>
        </w:rPr>
        <w:t>ע</w:t>
      </w:r>
      <w:r>
        <w:rPr>
          <w:rFonts w:hint="cs"/>
          <w:rtl/>
        </w:rPr>
        <w:t>יא להו, וטובא הכין בגמרא".</w:t>
      </w:r>
    </w:p>
    <w:p w14:paraId="6944F628" w14:textId="77777777" w:rsidR="002B4B31" w:rsidRDefault="002B4B31" w:rsidP="002B4B31">
      <w:pPr>
        <w:pStyle w:val="a5"/>
        <w:rPr>
          <w:rFonts w:hint="cs"/>
          <w:rtl/>
        </w:rPr>
      </w:pPr>
      <w:r>
        <w:rPr>
          <w:rFonts w:hint="cs"/>
          <w:rtl/>
        </w:rPr>
        <w:t>כיו"ב פרש רב נסים גאון ב</w:t>
      </w:r>
      <w:r>
        <w:rPr>
          <w:rtl/>
        </w:rPr>
        <w:t xml:space="preserve">מסכת עירובין </w:t>
      </w:r>
      <w:r>
        <w:rPr>
          <w:rFonts w:hint="cs"/>
          <w:rtl/>
        </w:rPr>
        <w:t>(</w:t>
      </w:r>
      <w:r>
        <w:rPr>
          <w:szCs w:val="20"/>
          <w:rtl/>
        </w:rPr>
        <w:t>סג</w:t>
      </w:r>
      <w:r>
        <w:rPr>
          <w:rFonts w:hint="cs"/>
          <w:szCs w:val="20"/>
          <w:rtl/>
        </w:rPr>
        <w:t>, רע"</w:t>
      </w:r>
      <w:r>
        <w:rPr>
          <w:szCs w:val="20"/>
          <w:rtl/>
        </w:rPr>
        <w:t>א</w:t>
      </w:r>
      <w:r>
        <w:rPr>
          <w:rFonts w:hint="cs"/>
          <w:rtl/>
        </w:rPr>
        <w:t xml:space="preserve">): </w:t>
      </w:r>
    </w:p>
    <w:p w14:paraId="15A44D3A" w14:textId="77777777" w:rsidR="002B4B31" w:rsidRDefault="002B4B31" w:rsidP="002B4B31">
      <w:pPr>
        <w:pStyle w:val="a5"/>
        <w:ind w:left="720"/>
        <w:rPr>
          <w:rFonts w:hint="cs"/>
          <w:rtl/>
        </w:rPr>
      </w:pPr>
      <w:r>
        <w:rPr>
          <w:rFonts w:hint="cs"/>
          <w:rtl/>
        </w:rPr>
        <w:t xml:space="preserve">"רבינא </w:t>
      </w:r>
      <w:r>
        <w:rPr>
          <w:rtl/>
        </w:rPr>
        <w:t>סר סכינא</w:t>
      </w:r>
      <w:r>
        <w:rPr>
          <w:rFonts w:hint="cs"/>
          <w:rtl/>
        </w:rPr>
        <w:t xml:space="preserve"> בבבל - </w:t>
      </w:r>
      <w:r>
        <w:rPr>
          <w:rtl/>
        </w:rPr>
        <w:t xml:space="preserve">בדק </w:t>
      </w:r>
      <w:r>
        <w:rPr>
          <w:rFonts w:hint="cs"/>
          <w:rtl/>
        </w:rPr>
        <w:t>ה</w:t>
      </w:r>
      <w:r>
        <w:rPr>
          <w:rtl/>
        </w:rPr>
        <w:t xml:space="preserve">סכין </w:t>
      </w:r>
      <w:r>
        <w:rPr>
          <w:rFonts w:hint="cs"/>
          <w:rtl/>
        </w:rPr>
        <w:t>ש</w:t>
      </w:r>
      <w:r>
        <w:rPr>
          <w:rtl/>
        </w:rPr>
        <w:t>ל</w:t>
      </w:r>
      <w:r>
        <w:rPr>
          <w:rFonts w:hint="cs"/>
          <w:rtl/>
        </w:rPr>
        <w:t xml:space="preserve"> ש</w:t>
      </w:r>
      <w:r>
        <w:rPr>
          <w:rtl/>
        </w:rPr>
        <w:t>ח</w:t>
      </w:r>
      <w:r>
        <w:rPr>
          <w:rFonts w:hint="cs"/>
          <w:rtl/>
        </w:rPr>
        <w:t>יטה שמא יהיה בה פגם, ותרגום '</w:t>
      </w:r>
      <w:r>
        <w:rPr>
          <w:rtl/>
        </w:rPr>
        <w:t>פוקד</w:t>
      </w:r>
      <w:r>
        <w:rPr>
          <w:rFonts w:hint="cs"/>
          <w:rtl/>
        </w:rPr>
        <w:t>'</w:t>
      </w:r>
      <w:r>
        <w:rPr>
          <w:rtl/>
        </w:rPr>
        <w:t xml:space="preserve"> </w:t>
      </w:r>
      <w:r>
        <w:rPr>
          <w:rFonts w:hint="cs"/>
          <w:rtl/>
        </w:rPr>
        <w:t>- מס</w:t>
      </w:r>
      <w:r>
        <w:rPr>
          <w:rtl/>
        </w:rPr>
        <w:t>ער</w:t>
      </w:r>
      <w:r>
        <w:rPr>
          <w:rFonts w:hint="cs"/>
          <w:rtl/>
        </w:rPr>
        <w:t xml:space="preserve">. וכן </w:t>
      </w:r>
      <w:r>
        <w:rPr>
          <w:rFonts w:hint="cs"/>
          <w:b/>
          <w:bCs/>
          <w:rtl/>
        </w:rPr>
        <w:t>דרכו של לשון חכמים שמחסרין את העי"ן והחי"ת</w:t>
      </w:r>
      <w:r>
        <w:rPr>
          <w:rFonts w:hint="cs"/>
          <w:rtl/>
        </w:rPr>
        <w:t>, ואמרו '</w:t>
      </w:r>
      <w:r>
        <w:rPr>
          <w:rtl/>
        </w:rPr>
        <w:t>סר סכינא</w:t>
      </w:r>
      <w:r>
        <w:rPr>
          <w:rFonts w:hint="cs"/>
          <w:rtl/>
        </w:rPr>
        <w:t>' כלומר</w:t>
      </w:r>
      <w:r>
        <w:rPr>
          <w:rtl/>
        </w:rPr>
        <w:t xml:space="preserve"> ס</w:t>
      </w:r>
      <w:r>
        <w:rPr>
          <w:rFonts w:hint="cs"/>
          <w:rtl/>
        </w:rPr>
        <w:t>ע</w:t>
      </w:r>
      <w:r>
        <w:rPr>
          <w:rtl/>
        </w:rPr>
        <w:t>ר סכינא</w:t>
      </w:r>
      <w:r>
        <w:rPr>
          <w:rFonts w:hint="cs"/>
          <w:rtl/>
        </w:rPr>
        <w:t>, ואומרין 'שותא' כלומר</w:t>
      </w:r>
      <w:r>
        <w:rPr>
          <w:rtl/>
        </w:rPr>
        <w:t xml:space="preserve"> </w:t>
      </w:r>
      <w:r>
        <w:rPr>
          <w:rFonts w:hint="cs"/>
          <w:rtl/>
        </w:rPr>
        <w:t xml:space="preserve">שעותא, ו'שודא' במקום שוחדא, וכאלה רבות". </w:t>
      </w:r>
    </w:p>
    <w:p w14:paraId="5B3364BD" w14:textId="77777777" w:rsidR="002B4B31" w:rsidRDefault="002B4B31" w:rsidP="002B4B31">
      <w:pPr>
        <w:pStyle w:val="a5"/>
        <w:rPr>
          <w:rFonts w:hint="cs"/>
          <w:rtl/>
        </w:rPr>
      </w:pPr>
      <w:r>
        <w:rPr>
          <w:rFonts w:hint="cs"/>
          <w:rtl/>
        </w:rPr>
        <w:t xml:space="preserve">וכ"כ רבנו חננאל שם הגורס מעט אחרת (כמודגש להלן): </w:t>
      </w:r>
    </w:p>
    <w:p w14:paraId="5DAC891D" w14:textId="77777777" w:rsidR="002B4B31" w:rsidRDefault="002B4B31" w:rsidP="002B4B31">
      <w:pPr>
        <w:pStyle w:val="a5"/>
        <w:ind w:left="720"/>
        <w:rPr>
          <w:rFonts w:hint="cs"/>
          <w:rtl/>
        </w:rPr>
      </w:pPr>
      <w:r>
        <w:rPr>
          <w:rFonts w:hint="cs"/>
          <w:rtl/>
        </w:rPr>
        <w:t xml:space="preserve">"רבינא </w:t>
      </w:r>
      <w:r>
        <w:rPr>
          <w:b/>
          <w:bCs/>
          <w:rtl/>
        </w:rPr>
        <w:t>ס</w:t>
      </w:r>
      <w:r>
        <w:rPr>
          <w:rFonts w:hint="cs"/>
          <w:b/>
          <w:bCs/>
          <w:rtl/>
        </w:rPr>
        <w:t>א</w:t>
      </w:r>
      <w:r>
        <w:rPr>
          <w:b/>
          <w:bCs/>
          <w:rtl/>
        </w:rPr>
        <w:t>ר</w:t>
      </w:r>
      <w:r>
        <w:rPr>
          <w:rtl/>
        </w:rPr>
        <w:t xml:space="preserve"> סכינא</w:t>
      </w:r>
      <w:r>
        <w:rPr>
          <w:rFonts w:hint="cs"/>
          <w:rtl/>
        </w:rPr>
        <w:t xml:space="preserve"> - פי[רוש:] </w:t>
      </w:r>
      <w:r>
        <w:rPr>
          <w:rtl/>
        </w:rPr>
        <w:t xml:space="preserve">בדק </w:t>
      </w:r>
      <w:r>
        <w:rPr>
          <w:rFonts w:hint="cs"/>
          <w:rtl/>
        </w:rPr>
        <w:t>ה</w:t>
      </w:r>
      <w:r>
        <w:rPr>
          <w:rtl/>
        </w:rPr>
        <w:t xml:space="preserve">סכין </w:t>
      </w:r>
      <w:r>
        <w:rPr>
          <w:rFonts w:hint="cs"/>
          <w:rtl/>
        </w:rPr>
        <w:t>לטבח בבבל, כדגרסי[נן] '</w:t>
      </w:r>
      <w:r>
        <w:rPr>
          <w:rtl/>
        </w:rPr>
        <w:t xml:space="preserve">האי טבחא דלא </w:t>
      </w:r>
      <w:r>
        <w:rPr>
          <w:b/>
          <w:bCs/>
          <w:rtl/>
        </w:rPr>
        <w:t>ס</w:t>
      </w:r>
      <w:r>
        <w:rPr>
          <w:rFonts w:hint="cs"/>
          <w:b/>
          <w:bCs/>
          <w:rtl/>
        </w:rPr>
        <w:t>אי</w:t>
      </w:r>
      <w:r>
        <w:rPr>
          <w:b/>
          <w:bCs/>
          <w:rtl/>
        </w:rPr>
        <w:t>ר</w:t>
      </w:r>
      <w:r>
        <w:rPr>
          <w:rtl/>
        </w:rPr>
        <w:t xml:space="preserve"> סכינ</w:t>
      </w:r>
      <w:r>
        <w:rPr>
          <w:rFonts w:hint="cs"/>
          <w:rtl/>
        </w:rPr>
        <w:t>יה</w:t>
      </w:r>
      <w:r>
        <w:rPr>
          <w:rtl/>
        </w:rPr>
        <w:t xml:space="preserve"> קמי חכם</w:t>
      </w:r>
      <w:r>
        <w:rPr>
          <w:rFonts w:hint="cs"/>
          <w:rtl/>
        </w:rPr>
        <w:t xml:space="preserve"> [</w:t>
      </w:r>
      <w:r>
        <w:rPr>
          <w:rtl/>
        </w:rPr>
        <w:t>משמתינן ליה</w:t>
      </w:r>
      <w:r>
        <w:rPr>
          <w:rFonts w:hint="cs"/>
          <w:rtl/>
        </w:rPr>
        <w:t>] (חולין יח, א), והוא מלשון '</w:t>
      </w:r>
      <w:r>
        <w:rPr>
          <w:rtl/>
        </w:rPr>
        <w:t>פוקד</w:t>
      </w:r>
      <w:r>
        <w:rPr>
          <w:rFonts w:hint="cs"/>
          <w:rtl/>
        </w:rPr>
        <w:t>', תרגום: מס</w:t>
      </w:r>
      <w:r>
        <w:rPr>
          <w:rtl/>
        </w:rPr>
        <w:t>ער</w:t>
      </w:r>
      <w:r>
        <w:rPr>
          <w:rFonts w:hint="cs"/>
          <w:rtl/>
        </w:rPr>
        <w:t xml:space="preserve">". </w:t>
      </w:r>
    </w:p>
    <w:p w14:paraId="3F15114D" w14:textId="77777777" w:rsidR="002B4B31" w:rsidRDefault="002B4B31" w:rsidP="002B4B31">
      <w:pPr>
        <w:pStyle w:val="a5"/>
        <w:rPr>
          <w:rFonts w:hint="cs"/>
          <w:rtl/>
        </w:rPr>
      </w:pPr>
      <w:r>
        <w:rPr>
          <w:rFonts w:hint="cs"/>
          <w:rtl/>
        </w:rPr>
        <w:t>גם בחולין מודפס אצלנו "</w:t>
      </w:r>
      <w:r>
        <w:rPr>
          <w:rtl/>
        </w:rPr>
        <w:t>סר</w:t>
      </w:r>
      <w:r>
        <w:rPr>
          <w:rFonts w:hint="cs"/>
          <w:rtl/>
        </w:rPr>
        <w:t>", וראה מש"כ להלן דף עז, א.</w:t>
      </w:r>
    </w:p>
    <w:p w14:paraId="264582CD" w14:textId="77777777" w:rsidR="002B4B31" w:rsidRDefault="002B4B31" w:rsidP="002B4B31">
      <w:pPr>
        <w:pStyle w:val="a5"/>
        <w:rPr>
          <w:rtl/>
        </w:rPr>
      </w:pPr>
      <w:r>
        <w:rPr>
          <w:rFonts w:hint="cs"/>
          <w:rtl/>
        </w:rPr>
        <w:t>@וע"ע רד"ק לתהלים לה, ז.</w:t>
      </w:r>
    </w:p>
  </w:footnote>
  <w:footnote w:id="378">
    <w:p w14:paraId="53B7C56B" w14:textId="77777777" w:rsidR="002B4B31" w:rsidRDefault="002B4B31" w:rsidP="002B4B31">
      <w:pPr>
        <w:pStyle w:val="a5"/>
        <w:rPr>
          <w:rtl/>
        </w:rPr>
      </w:pPr>
      <w:r>
        <w:rPr>
          <w:rStyle w:val="a4"/>
          <w:rtl/>
        </w:rPr>
        <w:footnoteRef/>
      </w:r>
      <w:r>
        <w:t xml:space="preserve"> </w:t>
      </w:r>
      <w:r>
        <w:rPr>
          <w:rFonts w:hint="cs"/>
          <w:rtl/>
        </w:rPr>
        <w:t xml:space="preserve">על חילופי העיצורים </w:t>
      </w:r>
      <w:r>
        <w:rPr>
          <w:rtl/>
        </w:rPr>
        <w:t>ד/ר</w:t>
      </w:r>
      <w:r>
        <w:rPr>
          <w:rFonts w:hint="cs"/>
          <w:rtl/>
        </w:rPr>
        <w:t xml:space="preserve"> ראה רד"ק, </w:t>
      </w:r>
      <w:r>
        <w:rPr>
          <w:rtl/>
        </w:rPr>
        <w:t>דברי הימים א</w:t>
      </w:r>
      <w:r>
        <w:rPr>
          <w:rFonts w:hint="cs"/>
          <w:rtl/>
        </w:rPr>
        <w:t>'</w:t>
      </w:r>
      <w:r>
        <w:rPr>
          <w:rtl/>
        </w:rPr>
        <w:t xml:space="preserve"> א</w:t>
      </w:r>
      <w:r>
        <w:rPr>
          <w:rFonts w:hint="cs"/>
          <w:rtl/>
        </w:rPr>
        <w:t>, ז:</w:t>
      </w:r>
    </w:p>
    <w:p w14:paraId="4C1D76A2" w14:textId="77777777" w:rsidR="002B4B31" w:rsidRDefault="002B4B31" w:rsidP="002B4B31">
      <w:pPr>
        <w:pStyle w:val="a5"/>
        <w:ind w:left="720"/>
        <w:rPr>
          <w:rFonts w:hint="cs"/>
          <w:rtl/>
        </w:rPr>
      </w:pPr>
      <w:r>
        <w:rPr>
          <w:rFonts w:hint="cs"/>
          <w:rtl/>
        </w:rPr>
        <w:t>"</w:t>
      </w:r>
      <w:r>
        <w:rPr>
          <w:rtl/>
        </w:rPr>
        <w:t xml:space="preserve">וְרוֹדָנִים </w:t>
      </w:r>
      <w:r>
        <w:rPr>
          <w:rFonts w:hint="cs"/>
          <w:rtl/>
        </w:rPr>
        <w:t xml:space="preserve">- </w:t>
      </w:r>
      <w:r>
        <w:rPr>
          <w:rtl/>
        </w:rPr>
        <w:t xml:space="preserve">כתוב ברי"ש ראשונה, ובספר בראשית </w:t>
      </w:r>
      <w:r>
        <w:rPr>
          <w:rFonts w:hint="cs"/>
          <w:rtl/>
        </w:rPr>
        <w:t>(</w:t>
      </w:r>
      <w:r>
        <w:rPr>
          <w:sz w:val="18"/>
          <w:szCs w:val="20"/>
          <w:rtl/>
        </w:rPr>
        <w:t>י</w:t>
      </w:r>
      <w:r>
        <w:rPr>
          <w:rFonts w:hint="cs"/>
          <w:sz w:val="18"/>
          <w:szCs w:val="20"/>
          <w:rtl/>
        </w:rPr>
        <w:t xml:space="preserve">, </w:t>
      </w:r>
      <w:r>
        <w:rPr>
          <w:sz w:val="18"/>
          <w:szCs w:val="20"/>
          <w:rtl/>
        </w:rPr>
        <w:t>ד</w:t>
      </w:r>
      <w:r>
        <w:rPr>
          <w:rFonts w:hint="cs"/>
          <w:rtl/>
        </w:rPr>
        <w:t xml:space="preserve">) </w:t>
      </w:r>
      <w:r>
        <w:rPr>
          <w:rtl/>
        </w:rPr>
        <w:t>כתוב בשני דלתין וְדֹדָנִים</w:t>
      </w:r>
      <w:r>
        <w:rPr>
          <w:rFonts w:hint="cs"/>
          <w:rtl/>
        </w:rPr>
        <w:t>.</w:t>
      </w:r>
      <w:r>
        <w:rPr>
          <w:rtl/>
        </w:rPr>
        <w:t xml:space="preserve"> ולפי </w:t>
      </w:r>
      <w:r>
        <w:rPr>
          <w:b/>
          <w:bCs/>
          <w:rtl/>
        </w:rPr>
        <w:t>שהדל"ת והרי"ש קרובים בכתבן</w:t>
      </w:r>
      <w:r>
        <w:rPr>
          <w:rtl/>
        </w:rPr>
        <w:t xml:space="preserve"> והרואים בספרי היחסים הנכתבים בימים הקדמונים יש שהיו קוראים בדל"ת ויש שהיו קוראים ברי"ש</w:t>
      </w:r>
      <w:r>
        <w:rPr>
          <w:rFonts w:hint="cs"/>
          <w:rtl/>
        </w:rPr>
        <w:t>,</w:t>
      </w:r>
      <w:r>
        <w:rPr>
          <w:rtl/>
        </w:rPr>
        <w:t xml:space="preserve"> ונשארו השמות לפני בני אדם בדל"ת וברי"ש</w:t>
      </w:r>
      <w:r>
        <w:rPr>
          <w:rFonts w:hint="cs"/>
          <w:rtl/>
        </w:rPr>
        <w:t>,</w:t>
      </w:r>
      <w:r>
        <w:rPr>
          <w:rtl/>
        </w:rPr>
        <w:t xml:space="preserve"> לפיכך נכתב בספר בראשית באחת מהקריאות ונכתב בספר הזה באחרת</w:t>
      </w:r>
      <w:r>
        <w:rPr>
          <w:rFonts w:hint="cs"/>
          <w:rtl/>
        </w:rPr>
        <w:t>,</w:t>
      </w:r>
      <w:r>
        <w:rPr>
          <w:rtl/>
        </w:rPr>
        <w:t xml:space="preserve"> להודיע כי </w:t>
      </w:r>
      <w:r>
        <w:rPr>
          <w:b/>
          <w:bCs/>
          <w:rtl/>
        </w:rPr>
        <w:t>הכל שם אחד</w:t>
      </w:r>
      <w:r>
        <w:rPr>
          <w:rFonts w:hint="cs"/>
          <w:rtl/>
        </w:rPr>
        <w:t>,</w:t>
      </w:r>
      <w:r>
        <w:rPr>
          <w:rtl/>
        </w:rPr>
        <w:t xml:space="preserve"> ואם זה קורא בדלי"ת וזה קורא ברי"ש, וכן רִבְלָתָה</w:t>
      </w:r>
      <w:r>
        <w:rPr>
          <w:rFonts w:hint="cs"/>
          <w:rtl/>
        </w:rPr>
        <w:t xml:space="preserve"> (</w:t>
      </w:r>
      <w:r>
        <w:rPr>
          <w:sz w:val="18"/>
          <w:szCs w:val="20"/>
          <w:rtl/>
        </w:rPr>
        <w:t>מלכים ב</w:t>
      </w:r>
      <w:r>
        <w:rPr>
          <w:rFonts w:hint="cs"/>
          <w:sz w:val="18"/>
          <w:szCs w:val="20"/>
          <w:rtl/>
        </w:rPr>
        <w:t>'</w:t>
      </w:r>
      <w:r>
        <w:rPr>
          <w:sz w:val="18"/>
          <w:szCs w:val="20"/>
          <w:rtl/>
        </w:rPr>
        <w:t xml:space="preserve"> כה</w:t>
      </w:r>
      <w:r>
        <w:rPr>
          <w:rFonts w:hint="cs"/>
          <w:sz w:val="18"/>
          <w:szCs w:val="20"/>
          <w:rtl/>
        </w:rPr>
        <w:t xml:space="preserve">, </w:t>
      </w:r>
      <w:r>
        <w:rPr>
          <w:sz w:val="18"/>
          <w:szCs w:val="20"/>
          <w:rtl/>
        </w:rPr>
        <w:t>ו</w:t>
      </w:r>
      <w:r>
        <w:rPr>
          <w:rFonts w:hint="cs"/>
          <w:rtl/>
        </w:rPr>
        <w:t>)</w:t>
      </w:r>
      <w:r>
        <w:rPr>
          <w:rtl/>
        </w:rPr>
        <w:t xml:space="preserve"> ברי"ש</w:t>
      </w:r>
      <w:r>
        <w:rPr>
          <w:rFonts w:hint="cs"/>
          <w:rtl/>
        </w:rPr>
        <w:t>,</w:t>
      </w:r>
      <w:r>
        <w:rPr>
          <w:rtl/>
        </w:rPr>
        <w:t xml:space="preserve"> ודִּבְלָתָה</w:t>
      </w:r>
      <w:r>
        <w:rPr>
          <w:rFonts w:hint="cs"/>
          <w:rtl/>
        </w:rPr>
        <w:t xml:space="preserve"> (</w:t>
      </w:r>
      <w:r>
        <w:rPr>
          <w:sz w:val="18"/>
          <w:szCs w:val="20"/>
          <w:rtl/>
        </w:rPr>
        <w:t>יחזקאל ו</w:t>
      </w:r>
      <w:r>
        <w:rPr>
          <w:rFonts w:hint="cs"/>
          <w:sz w:val="18"/>
          <w:szCs w:val="20"/>
          <w:rtl/>
        </w:rPr>
        <w:t xml:space="preserve">, </w:t>
      </w:r>
      <w:r>
        <w:rPr>
          <w:sz w:val="18"/>
          <w:szCs w:val="20"/>
          <w:rtl/>
        </w:rPr>
        <w:t>יד</w:t>
      </w:r>
      <w:r>
        <w:rPr>
          <w:rFonts w:hint="cs"/>
          <w:rtl/>
        </w:rPr>
        <w:t xml:space="preserve">) </w:t>
      </w:r>
      <w:r>
        <w:rPr>
          <w:rtl/>
        </w:rPr>
        <w:t>בדל"ת, וכן רְעוּאֵל</w:t>
      </w:r>
      <w:r>
        <w:rPr>
          <w:rFonts w:hint="cs"/>
          <w:rtl/>
        </w:rPr>
        <w:t xml:space="preserve"> (</w:t>
      </w:r>
      <w:r>
        <w:rPr>
          <w:sz w:val="18"/>
          <w:szCs w:val="20"/>
          <w:rtl/>
        </w:rPr>
        <w:t>במדבר ב</w:t>
      </w:r>
      <w:r>
        <w:rPr>
          <w:rFonts w:hint="cs"/>
          <w:sz w:val="18"/>
          <w:szCs w:val="20"/>
          <w:rtl/>
        </w:rPr>
        <w:t xml:space="preserve">, </w:t>
      </w:r>
      <w:r>
        <w:rPr>
          <w:sz w:val="18"/>
          <w:szCs w:val="20"/>
          <w:rtl/>
        </w:rPr>
        <w:t>יד</w:t>
      </w:r>
      <w:r>
        <w:rPr>
          <w:rFonts w:hint="cs"/>
          <w:sz w:val="18"/>
          <w:szCs w:val="20"/>
          <w:rtl/>
        </w:rPr>
        <w:t>; עי"ש</w:t>
      </w:r>
      <w:r>
        <w:rPr>
          <w:sz w:val="18"/>
          <w:szCs w:val="20"/>
          <w:rtl/>
        </w:rPr>
        <w:t xml:space="preserve"> </w:t>
      </w:r>
      <w:r>
        <w:rPr>
          <w:rFonts w:hint="cs"/>
          <w:sz w:val="18"/>
          <w:szCs w:val="20"/>
          <w:rtl/>
        </w:rPr>
        <w:t>ברמב"ן!</w:t>
      </w:r>
      <w:r>
        <w:rPr>
          <w:rFonts w:hint="cs"/>
          <w:rtl/>
        </w:rPr>
        <w:t>)</w:t>
      </w:r>
      <w:r>
        <w:rPr>
          <w:rtl/>
        </w:rPr>
        <w:t xml:space="preserve"> ברי"ש ודְּעוּאֵל </w:t>
      </w:r>
      <w:r>
        <w:rPr>
          <w:rFonts w:hint="cs"/>
          <w:rtl/>
        </w:rPr>
        <w:t>(</w:t>
      </w:r>
      <w:r>
        <w:rPr>
          <w:rFonts w:hint="cs"/>
          <w:sz w:val="18"/>
          <w:szCs w:val="20"/>
          <w:rtl/>
        </w:rPr>
        <w:t xml:space="preserve">שם </w:t>
      </w:r>
      <w:r>
        <w:rPr>
          <w:sz w:val="18"/>
          <w:szCs w:val="20"/>
          <w:rtl/>
        </w:rPr>
        <w:t>א</w:t>
      </w:r>
      <w:r>
        <w:rPr>
          <w:rFonts w:hint="cs"/>
          <w:sz w:val="18"/>
          <w:szCs w:val="20"/>
          <w:rtl/>
        </w:rPr>
        <w:t xml:space="preserve">, </w:t>
      </w:r>
      <w:r>
        <w:rPr>
          <w:sz w:val="18"/>
          <w:szCs w:val="20"/>
          <w:rtl/>
        </w:rPr>
        <w:t>יד</w:t>
      </w:r>
      <w:r>
        <w:rPr>
          <w:rFonts w:hint="cs"/>
          <w:rtl/>
        </w:rPr>
        <w:t xml:space="preserve">) </w:t>
      </w:r>
      <w:r>
        <w:rPr>
          <w:rtl/>
        </w:rPr>
        <w:t>בדלי"ת</w:t>
      </w:r>
      <w:r>
        <w:rPr>
          <w:rFonts w:hint="cs"/>
          <w:rtl/>
        </w:rPr>
        <w:t>.</w:t>
      </w:r>
      <w:r>
        <w:rPr>
          <w:rtl/>
        </w:rPr>
        <w:t xml:space="preserve"> וכן תשתנה הקריאה בוי"ו וביו"ד לפי שהם קרובים בכתיבתן</w:t>
      </w:r>
      <w:r>
        <w:rPr>
          <w:rFonts w:hint="cs"/>
          <w:rtl/>
        </w:rPr>
        <w:t>,</w:t>
      </w:r>
      <w:r>
        <w:rPr>
          <w:rtl/>
        </w:rPr>
        <w:t xml:space="preserve"> וכן תשתנה בנחות האל"ף ובה"א</w:t>
      </w:r>
      <w:r>
        <w:rPr>
          <w:rFonts w:hint="cs"/>
          <w:rtl/>
        </w:rPr>
        <w:t xml:space="preserve"> </w:t>
      </w:r>
      <w:r>
        <w:rPr>
          <w:rtl/>
        </w:rPr>
        <w:t>בתכלית המלה, כמו בסבתא וסבתכא כי האל"ף והה"א אחיות</w:t>
      </w:r>
      <w:r>
        <w:rPr>
          <w:rFonts w:hint="cs"/>
          <w:rtl/>
        </w:rPr>
        <w:t>,</w:t>
      </w:r>
      <w:r>
        <w:rPr>
          <w:rtl/>
        </w:rPr>
        <w:t xml:space="preserve"> אותיות הנשימה</w:t>
      </w:r>
      <w:r>
        <w:rPr>
          <w:rFonts w:hint="cs"/>
          <w:rtl/>
        </w:rPr>
        <w:t>,</w:t>
      </w:r>
      <w:r>
        <w:rPr>
          <w:rtl/>
        </w:rPr>
        <w:t xml:space="preserve"> ומי שירצה לכתוב אל"ף יכתוב</w:t>
      </w:r>
      <w:r>
        <w:rPr>
          <w:rFonts w:hint="cs"/>
          <w:rtl/>
        </w:rPr>
        <w:t>,</w:t>
      </w:r>
      <w:r>
        <w:rPr>
          <w:rtl/>
        </w:rPr>
        <w:t xml:space="preserve"> ולכתוב ה"א יכתוב</w:t>
      </w:r>
      <w:r>
        <w:rPr>
          <w:rFonts w:hint="cs"/>
          <w:rtl/>
        </w:rPr>
        <w:t>.</w:t>
      </w:r>
      <w:r>
        <w:rPr>
          <w:rtl/>
        </w:rPr>
        <w:t xml:space="preserve"> וזה השימוש באותיות אהו"י הוא ג"כ בפעלים ובשמות ובמלים כמו שבארנו בחלק הדקדוק אשר ח</w:t>
      </w:r>
      <w:r>
        <w:rPr>
          <w:rFonts w:hint="cs"/>
          <w:rtl/>
        </w:rPr>
        <w:t>ִ</w:t>
      </w:r>
      <w:r>
        <w:rPr>
          <w:rtl/>
        </w:rPr>
        <w:t>ברנו באר היטב</w:t>
      </w:r>
      <w:r>
        <w:rPr>
          <w:rFonts w:hint="cs"/>
          <w:rtl/>
        </w:rPr>
        <w:t xml:space="preserve">. </w:t>
      </w:r>
      <w:r>
        <w:rPr>
          <w:rtl/>
        </w:rPr>
        <w:t>ואע"פ שיש בשינוי אותיות השמות האלה דרשות</w:t>
      </w:r>
      <w:r>
        <w:rPr>
          <w:rFonts w:hint="cs"/>
          <w:rtl/>
        </w:rPr>
        <w:t>,</w:t>
      </w:r>
      <w:r>
        <w:rPr>
          <w:rtl/>
        </w:rPr>
        <w:t xml:space="preserve"> לא ראיתי לכתבם למען לא תאריך המלאכה עלי</w:t>
      </w:r>
      <w:r>
        <w:rPr>
          <w:rFonts w:hint="cs"/>
          <w:rtl/>
        </w:rPr>
        <w:t>,</w:t>
      </w:r>
      <w:r>
        <w:rPr>
          <w:rtl/>
        </w:rPr>
        <w:t xml:space="preserve"> והעיקר הוא מה שפירשתי</w:t>
      </w:r>
      <w:r>
        <w:rPr>
          <w:rFonts w:hint="cs"/>
          <w:rtl/>
        </w:rPr>
        <w:t>".</w:t>
      </w:r>
    </w:p>
  </w:footnote>
  <w:footnote w:id="379">
    <w:p w14:paraId="215CF9BF" w14:textId="77777777" w:rsidR="002B4B31" w:rsidRDefault="002B4B31" w:rsidP="002B4B31">
      <w:pPr>
        <w:pStyle w:val="a5"/>
        <w:rPr>
          <w:rFonts w:hint="cs"/>
          <w:rtl/>
        </w:rPr>
      </w:pPr>
      <w:r>
        <w:rPr>
          <w:rStyle w:val="a4"/>
          <w:rtl/>
        </w:rPr>
        <w:footnoteRef/>
      </w:r>
      <w:r>
        <w:t xml:space="preserve"> </w:t>
      </w:r>
      <w:r>
        <w:rPr>
          <w:rFonts w:hint="cs"/>
          <w:rtl/>
        </w:rPr>
        <w:t>אמנם, אונקלוס נוהג לייחד את שורש סע"ר רק לפקידה לרעה (</w:t>
      </w:r>
      <w:r>
        <w:rPr>
          <w:rFonts w:hint="cs"/>
          <w:sz w:val="20"/>
          <w:szCs w:val="20"/>
          <w:rtl/>
        </w:rPr>
        <w:t>כגון בתרגומו ל</w:t>
      </w:r>
      <w:r>
        <w:rPr>
          <w:sz w:val="20"/>
          <w:szCs w:val="20"/>
          <w:rtl/>
        </w:rPr>
        <w:t>שמות כ</w:t>
      </w:r>
      <w:r>
        <w:rPr>
          <w:rFonts w:hint="cs"/>
          <w:sz w:val="20"/>
          <w:szCs w:val="20"/>
          <w:rtl/>
        </w:rPr>
        <w:t xml:space="preserve">, </w:t>
      </w:r>
      <w:r>
        <w:rPr>
          <w:sz w:val="20"/>
          <w:szCs w:val="20"/>
          <w:rtl/>
        </w:rPr>
        <w:t>ד</w:t>
      </w:r>
      <w:r>
        <w:rPr>
          <w:rFonts w:hint="cs"/>
          <w:sz w:val="20"/>
          <w:szCs w:val="20"/>
          <w:rtl/>
        </w:rPr>
        <w:t>/ה: "</w:t>
      </w:r>
      <w:r>
        <w:rPr>
          <w:sz w:val="20"/>
          <w:szCs w:val="20"/>
          <w:rtl/>
        </w:rPr>
        <w:t>פֹּקֵד עֲוֹן אָבֹת</w:t>
      </w:r>
      <w:r>
        <w:rPr>
          <w:rFonts w:hint="cs"/>
          <w:sz w:val="20"/>
          <w:szCs w:val="20"/>
          <w:rtl/>
        </w:rPr>
        <w:t xml:space="preserve"> </w:t>
      </w:r>
      <w:r>
        <w:rPr>
          <w:sz w:val="20"/>
          <w:szCs w:val="20"/>
          <w:rtl/>
        </w:rPr>
        <w:t>עַל בָּנִים</w:t>
      </w:r>
      <w:r>
        <w:rPr>
          <w:rFonts w:hint="cs"/>
          <w:sz w:val="20"/>
          <w:szCs w:val="20"/>
          <w:rtl/>
        </w:rPr>
        <w:t>"; בספר "נפש הגר" על אתר נותן כאן סימן: סער - לשון רוח סערה שהוא בזעף וחֵמה</w:t>
      </w:r>
      <w:r>
        <w:rPr>
          <w:rFonts w:hint="cs"/>
          <w:rtl/>
        </w:rPr>
        <w:t>), אך פקידה לטובה מתורגמת אצלו באמצעות שורש דכ"ר (</w:t>
      </w:r>
      <w:r>
        <w:rPr>
          <w:rFonts w:hint="cs"/>
          <w:sz w:val="18"/>
          <w:szCs w:val="20"/>
          <w:rtl/>
        </w:rPr>
        <w:t>=</w:t>
      </w:r>
      <w:r>
        <w:rPr>
          <w:rFonts w:hint="cs"/>
          <w:b/>
          <w:bCs/>
          <w:rtl/>
        </w:rPr>
        <w:t>ז</w:t>
      </w:r>
      <w:r>
        <w:rPr>
          <w:rFonts w:hint="cs"/>
          <w:rtl/>
        </w:rPr>
        <w:t>כ"ר העברי), כגון: "</w:t>
      </w:r>
      <w:r>
        <w:rPr>
          <w:rtl/>
        </w:rPr>
        <w:t>וַ</w:t>
      </w:r>
      <w:r>
        <w:rPr>
          <w:rFonts w:hint="cs"/>
          <w:rtl/>
        </w:rPr>
        <w:t xml:space="preserve">ה' </w:t>
      </w:r>
      <w:r>
        <w:rPr>
          <w:rtl/>
        </w:rPr>
        <w:t>פָּקַד</w:t>
      </w:r>
      <w:r>
        <w:rPr>
          <w:rFonts w:hint="cs"/>
          <w:rtl/>
        </w:rPr>
        <w:t xml:space="preserve"> </w:t>
      </w:r>
      <w:r>
        <w:rPr>
          <w:rtl/>
        </w:rPr>
        <w:t>אֶת שָׂרָה</w:t>
      </w:r>
      <w:r>
        <w:rPr>
          <w:rFonts w:hint="cs"/>
          <w:rtl/>
        </w:rPr>
        <w:t>" (</w:t>
      </w:r>
      <w:r>
        <w:rPr>
          <w:sz w:val="18"/>
          <w:szCs w:val="20"/>
          <w:rtl/>
        </w:rPr>
        <w:t>בראשית כא</w:t>
      </w:r>
      <w:r>
        <w:rPr>
          <w:rFonts w:hint="cs"/>
          <w:sz w:val="18"/>
          <w:szCs w:val="20"/>
          <w:rtl/>
        </w:rPr>
        <w:t xml:space="preserve">, </w:t>
      </w:r>
      <w:r>
        <w:rPr>
          <w:sz w:val="18"/>
          <w:szCs w:val="20"/>
          <w:rtl/>
        </w:rPr>
        <w:t>א</w:t>
      </w:r>
      <w:r>
        <w:rPr>
          <w:rFonts w:hint="cs"/>
          <w:rtl/>
        </w:rPr>
        <w:t>), "</w:t>
      </w:r>
      <w:r>
        <w:rPr>
          <w:rtl/>
        </w:rPr>
        <w:t>פָּקֹד יִפְקֹד אֶתְכֶם</w:t>
      </w:r>
      <w:r>
        <w:rPr>
          <w:rFonts w:hint="cs"/>
          <w:rtl/>
        </w:rPr>
        <w:t>"</w:t>
      </w:r>
      <w:r>
        <w:rPr>
          <w:rFonts w:hint="cs"/>
          <w:sz w:val="18"/>
          <w:szCs w:val="20"/>
          <w:rtl/>
        </w:rPr>
        <w:t xml:space="preserve"> </w:t>
      </w:r>
      <w:r>
        <w:rPr>
          <w:rFonts w:hint="cs"/>
          <w:rtl/>
        </w:rPr>
        <w:t>(</w:t>
      </w:r>
      <w:r>
        <w:rPr>
          <w:rFonts w:hint="cs"/>
          <w:sz w:val="18"/>
          <w:szCs w:val="20"/>
          <w:rtl/>
        </w:rPr>
        <w:t xml:space="preserve">שם </w:t>
      </w:r>
      <w:r>
        <w:rPr>
          <w:sz w:val="18"/>
          <w:szCs w:val="20"/>
          <w:rtl/>
        </w:rPr>
        <w:t>נ</w:t>
      </w:r>
      <w:r>
        <w:rPr>
          <w:rFonts w:hint="cs"/>
          <w:sz w:val="18"/>
          <w:szCs w:val="20"/>
          <w:rtl/>
        </w:rPr>
        <w:t xml:space="preserve">, </w:t>
      </w:r>
      <w:r>
        <w:rPr>
          <w:sz w:val="18"/>
          <w:szCs w:val="20"/>
          <w:rtl/>
        </w:rPr>
        <w:t>כד</w:t>
      </w:r>
      <w:r>
        <w:rPr>
          <w:rFonts w:hint="cs"/>
          <w:rtl/>
        </w:rPr>
        <w:t xml:space="preserve">). בידול זה תואם את ההבחנה בסגנון לשון המקרא שעליה מצביע </w:t>
      </w:r>
      <w:r>
        <w:rPr>
          <w:rtl/>
        </w:rPr>
        <w:t>רמב"ן</w:t>
      </w:r>
      <w:r>
        <w:rPr>
          <w:rFonts w:hint="cs"/>
          <w:rtl/>
        </w:rPr>
        <w:t xml:space="preserve"> (</w:t>
      </w:r>
      <w:r>
        <w:rPr>
          <w:sz w:val="20"/>
          <w:szCs w:val="20"/>
          <w:rtl/>
        </w:rPr>
        <w:t>שמות כ</w:t>
      </w:r>
      <w:r>
        <w:rPr>
          <w:rFonts w:hint="cs"/>
          <w:sz w:val="20"/>
          <w:szCs w:val="20"/>
          <w:rtl/>
        </w:rPr>
        <w:t>, ה</w:t>
      </w:r>
      <w:r>
        <w:rPr>
          <w:rFonts w:hint="cs"/>
          <w:sz w:val="18"/>
          <w:szCs w:val="20"/>
          <w:rtl/>
        </w:rPr>
        <w:t>; ודלא כ</w:t>
      </w:r>
      <w:r>
        <w:rPr>
          <w:sz w:val="18"/>
          <w:szCs w:val="20"/>
          <w:rtl/>
        </w:rPr>
        <w:t>ר</w:t>
      </w:r>
      <w:r>
        <w:rPr>
          <w:rFonts w:hint="cs"/>
          <w:sz w:val="18"/>
          <w:szCs w:val="20"/>
          <w:rtl/>
        </w:rPr>
        <w:t>"</w:t>
      </w:r>
      <w:r>
        <w:rPr>
          <w:sz w:val="18"/>
          <w:szCs w:val="20"/>
          <w:rtl/>
        </w:rPr>
        <w:t>א</w:t>
      </w:r>
      <w:r>
        <w:rPr>
          <w:rFonts w:hint="cs"/>
          <w:sz w:val="18"/>
          <w:szCs w:val="20"/>
          <w:rtl/>
        </w:rPr>
        <w:t xml:space="preserve"> אבן עזרא</w:t>
      </w:r>
      <w:r>
        <w:rPr>
          <w:rFonts w:hint="cs"/>
          <w:rtl/>
        </w:rPr>
        <w:t>), לפי מלת היחס העוקבת: "</w:t>
      </w:r>
      <w:r>
        <w:rPr>
          <w:rtl/>
        </w:rPr>
        <w:t xml:space="preserve">לשון פקידה עם מלת </w:t>
      </w:r>
      <w:r>
        <w:rPr>
          <w:rFonts w:hint="cs"/>
          <w:rtl/>
        </w:rPr>
        <w:t>'</w:t>
      </w:r>
      <w:r>
        <w:rPr>
          <w:rtl/>
        </w:rPr>
        <w:t>ע</w:t>
      </w:r>
      <w:r>
        <w:rPr>
          <w:rFonts w:hint="cs"/>
          <w:rtl/>
        </w:rPr>
        <w:t>ַ</w:t>
      </w:r>
      <w:r>
        <w:rPr>
          <w:rtl/>
        </w:rPr>
        <w:t>ל</w:t>
      </w:r>
      <w:r>
        <w:rPr>
          <w:rFonts w:hint="cs"/>
          <w:rtl/>
        </w:rPr>
        <w:t>'</w:t>
      </w:r>
      <w:r>
        <w:rPr>
          <w:rtl/>
        </w:rPr>
        <w:t xml:space="preserve"> </w:t>
      </w:r>
      <w:r>
        <w:rPr>
          <w:rFonts w:hint="cs"/>
          <w:rtl/>
        </w:rPr>
        <w:t xml:space="preserve">- </w:t>
      </w:r>
      <w:r>
        <w:rPr>
          <w:rtl/>
        </w:rPr>
        <w:t>לא תב</w:t>
      </w:r>
      <w:r>
        <w:rPr>
          <w:rFonts w:hint="cs"/>
          <w:rtl/>
        </w:rPr>
        <w:t>ֹ</w:t>
      </w:r>
      <w:r>
        <w:rPr>
          <w:rtl/>
        </w:rPr>
        <w:t>א על זכירה, אבל היא הנקמה והעונש</w:t>
      </w:r>
      <w:r>
        <w:rPr>
          <w:rFonts w:hint="cs"/>
          <w:rtl/>
        </w:rPr>
        <w:t>" (</w:t>
      </w:r>
      <w:r>
        <w:rPr>
          <w:rFonts w:hint="cs"/>
          <w:sz w:val="18"/>
          <w:szCs w:val="20"/>
          <w:rtl/>
        </w:rPr>
        <w:t>ראה משחק הלשון ב</w:t>
      </w:r>
      <w:r>
        <w:rPr>
          <w:sz w:val="18"/>
          <w:szCs w:val="20"/>
          <w:rtl/>
        </w:rPr>
        <w:t>ירמיהו כג</w:t>
      </w:r>
      <w:r>
        <w:rPr>
          <w:rFonts w:hint="cs"/>
          <w:sz w:val="18"/>
          <w:szCs w:val="20"/>
          <w:rtl/>
        </w:rPr>
        <w:t xml:space="preserve">, </w:t>
      </w:r>
      <w:r>
        <w:rPr>
          <w:sz w:val="18"/>
          <w:szCs w:val="20"/>
          <w:rtl/>
        </w:rPr>
        <w:t>ב</w:t>
      </w:r>
      <w:r>
        <w:rPr>
          <w:rFonts w:hint="cs"/>
          <w:sz w:val="18"/>
          <w:szCs w:val="20"/>
          <w:rtl/>
        </w:rPr>
        <w:t>: "</w:t>
      </w:r>
      <w:r>
        <w:rPr>
          <w:sz w:val="18"/>
          <w:szCs w:val="20"/>
          <w:rtl/>
        </w:rPr>
        <w:t xml:space="preserve">כֹּה אָמַר </w:t>
      </w:r>
      <w:r>
        <w:rPr>
          <w:rFonts w:hint="cs"/>
          <w:sz w:val="18"/>
          <w:szCs w:val="20"/>
          <w:rtl/>
        </w:rPr>
        <w:t xml:space="preserve">ה'... </w:t>
      </w:r>
      <w:r>
        <w:rPr>
          <w:sz w:val="18"/>
          <w:szCs w:val="20"/>
          <w:rtl/>
        </w:rPr>
        <w:t>עַל הָרֹעִים הָרֹעִים אֶת עַמִּי</w:t>
      </w:r>
      <w:r>
        <w:rPr>
          <w:rFonts w:hint="cs"/>
          <w:sz w:val="18"/>
          <w:szCs w:val="20"/>
          <w:rtl/>
        </w:rPr>
        <w:t>:</w:t>
      </w:r>
      <w:r>
        <w:rPr>
          <w:sz w:val="18"/>
          <w:szCs w:val="20"/>
          <w:rtl/>
        </w:rPr>
        <w:t xml:space="preserve"> אַתֶּם הֲפִצֹתֶם אֶת צֹאנִי וַתַּדִּחוּם וְלֹא </w:t>
      </w:r>
      <w:r>
        <w:rPr>
          <w:b/>
          <w:bCs/>
          <w:sz w:val="18"/>
          <w:szCs w:val="20"/>
          <w:rtl/>
        </w:rPr>
        <w:t>פְקַדְתֶּם אֹתָם</w:t>
      </w:r>
      <w:r>
        <w:rPr>
          <w:rFonts w:hint="cs"/>
          <w:sz w:val="18"/>
          <w:szCs w:val="20"/>
          <w:rtl/>
        </w:rPr>
        <w:t xml:space="preserve">, </w:t>
      </w:r>
      <w:r>
        <w:rPr>
          <w:sz w:val="18"/>
          <w:szCs w:val="20"/>
          <w:rtl/>
        </w:rPr>
        <w:t>הִנְנִי</w:t>
      </w:r>
      <w:r>
        <w:rPr>
          <w:rFonts w:hint="cs"/>
          <w:sz w:val="18"/>
          <w:szCs w:val="20"/>
          <w:rtl/>
        </w:rPr>
        <w:t xml:space="preserve"> </w:t>
      </w:r>
      <w:r>
        <w:rPr>
          <w:b/>
          <w:bCs/>
          <w:sz w:val="18"/>
          <w:szCs w:val="20"/>
          <w:rtl/>
        </w:rPr>
        <w:t xml:space="preserve">פֹקֵד עֲלֵיכֶם </w:t>
      </w:r>
      <w:r>
        <w:rPr>
          <w:sz w:val="18"/>
          <w:szCs w:val="20"/>
          <w:rtl/>
        </w:rPr>
        <w:t>אֶת רֹעַ מַעַלְלֵיכֶם</w:t>
      </w:r>
      <w:r>
        <w:rPr>
          <w:rFonts w:hint="cs"/>
          <w:sz w:val="18"/>
          <w:szCs w:val="20"/>
          <w:rtl/>
        </w:rPr>
        <w:t>"</w:t>
      </w:r>
      <w:r>
        <w:rPr>
          <w:rFonts w:hint="cs"/>
          <w:rtl/>
        </w:rPr>
        <w:t xml:space="preserve">). </w:t>
      </w:r>
    </w:p>
    <w:p w14:paraId="06E5E683" w14:textId="77777777" w:rsidR="002B4B31" w:rsidRDefault="002B4B31" w:rsidP="002B4B31">
      <w:pPr>
        <w:pStyle w:val="a5"/>
        <w:rPr>
          <w:rtl/>
        </w:rPr>
      </w:pPr>
      <w:r>
        <w:rPr>
          <w:rFonts w:hint="cs"/>
          <w:rtl/>
        </w:rPr>
        <w:t>בשונה מתרגום אונקלוס, יוב"ע בתרגומו לנביאים אינו מבדיל בין הפקידוֹת (</w:t>
      </w:r>
      <w:r>
        <w:rPr>
          <w:rFonts w:hint="cs"/>
          <w:sz w:val="18"/>
          <w:szCs w:val="20"/>
          <w:rtl/>
        </w:rPr>
        <w:t>ושלא כמובא ב"נפש הגר" שם בהערה</w:t>
      </w:r>
      <w:r>
        <w:rPr>
          <w:rFonts w:hint="cs"/>
          <w:rtl/>
        </w:rPr>
        <w:t>): מצאנו פקידה לרעה שהוא מתרגמה בשורש דכ"ר (</w:t>
      </w:r>
      <w:r>
        <w:rPr>
          <w:sz w:val="18"/>
          <w:szCs w:val="20"/>
          <w:rtl/>
        </w:rPr>
        <w:t>שמואל א</w:t>
      </w:r>
      <w:r>
        <w:rPr>
          <w:rFonts w:hint="cs"/>
          <w:sz w:val="18"/>
          <w:szCs w:val="20"/>
          <w:rtl/>
        </w:rPr>
        <w:t>'</w:t>
      </w:r>
      <w:r>
        <w:rPr>
          <w:sz w:val="18"/>
          <w:szCs w:val="20"/>
          <w:rtl/>
        </w:rPr>
        <w:t xml:space="preserve"> טו</w:t>
      </w:r>
      <w:r>
        <w:rPr>
          <w:rFonts w:hint="cs"/>
          <w:sz w:val="18"/>
          <w:szCs w:val="20"/>
          <w:rtl/>
        </w:rPr>
        <w:t xml:space="preserve">, </w:t>
      </w:r>
      <w:r>
        <w:rPr>
          <w:sz w:val="18"/>
          <w:szCs w:val="20"/>
          <w:rtl/>
        </w:rPr>
        <w:t>ב</w:t>
      </w:r>
      <w:r>
        <w:rPr>
          <w:rFonts w:hint="cs"/>
          <w:sz w:val="18"/>
          <w:szCs w:val="20"/>
          <w:rtl/>
        </w:rPr>
        <w:t>: "</w:t>
      </w:r>
      <w:r>
        <w:rPr>
          <w:b/>
          <w:bCs/>
          <w:sz w:val="18"/>
          <w:szCs w:val="20"/>
          <w:rtl/>
        </w:rPr>
        <w:t>פָּקַדְתִּי</w:t>
      </w:r>
      <w:r>
        <w:rPr>
          <w:sz w:val="18"/>
          <w:szCs w:val="20"/>
          <w:rtl/>
        </w:rPr>
        <w:t xml:space="preserve"> אֵת</w:t>
      </w:r>
      <w:r>
        <w:rPr>
          <w:rFonts w:hint="cs"/>
          <w:sz w:val="18"/>
          <w:szCs w:val="20"/>
          <w:rtl/>
        </w:rPr>
        <w:t xml:space="preserve"> </w:t>
      </w:r>
      <w:r>
        <w:rPr>
          <w:sz w:val="18"/>
          <w:szCs w:val="20"/>
          <w:rtl/>
        </w:rPr>
        <w:t>אֲשֶׁר</w:t>
      </w:r>
      <w:r>
        <w:rPr>
          <w:rFonts w:hint="cs"/>
          <w:sz w:val="18"/>
          <w:szCs w:val="20"/>
          <w:rtl/>
        </w:rPr>
        <w:t xml:space="preserve"> </w:t>
      </w:r>
      <w:r>
        <w:rPr>
          <w:sz w:val="18"/>
          <w:szCs w:val="20"/>
          <w:rtl/>
        </w:rPr>
        <w:t>עָשָׂה עֲמָלֵק לְיִשְׂרָאֵל</w:t>
      </w:r>
      <w:r>
        <w:rPr>
          <w:rFonts w:hint="cs"/>
          <w:sz w:val="18"/>
          <w:szCs w:val="20"/>
          <w:rtl/>
        </w:rPr>
        <w:t>" - "דְכִרְנָא"</w:t>
      </w:r>
      <w:r>
        <w:rPr>
          <w:rFonts w:hint="cs"/>
          <w:rtl/>
        </w:rPr>
        <w:t>) מחד גיסא, ומצאנו פקידה לטובה שהוא מתרגמה בשורש סע"ר מאידך גיסא (</w:t>
      </w:r>
      <w:r>
        <w:rPr>
          <w:rFonts w:hint="cs"/>
          <w:sz w:val="18"/>
          <w:szCs w:val="20"/>
          <w:rtl/>
        </w:rPr>
        <w:t>שם</w:t>
      </w:r>
      <w:r>
        <w:rPr>
          <w:sz w:val="18"/>
          <w:szCs w:val="20"/>
          <w:rtl/>
        </w:rPr>
        <w:t xml:space="preserve"> יז</w:t>
      </w:r>
      <w:r>
        <w:rPr>
          <w:rFonts w:hint="cs"/>
          <w:sz w:val="18"/>
          <w:szCs w:val="20"/>
          <w:rtl/>
        </w:rPr>
        <w:t xml:space="preserve">, </w:t>
      </w:r>
      <w:r>
        <w:rPr>
          <w:sz w:val="18"/>
          <w:szCs w:val="20"/>
          <w:rtl/>
        </w:rPr>
        <w:t>יח</w:t>
      </w:r>
      <w:r>
        <w:rPr>
          <w:rFonts w:hint="cs"/>
          <w:sz w:val="18"/>
          <w:szCs w:val="20"/>
          <w:rtl/>
        </w:rPr>
        <w:t>; יובא להלן</w:t>
      </w:r>
      <w:r>
        <w:rPr>
          <w:rFonts w:hint="cs"/>
          <w:rtl/>
        </w:rPr>
        <w:t>).</w:t>
      </w:r>
    </w:p>
  </w:footnote>
  <w:footnote w:id="380">
    <w:p w14:paraId="3CC8E610" w14:textId="77777777" w:rsidR="002B4B31" w:rsidRDefault="002B4B31" w:rsidP="002B4B31">
      <w:pPr>
        <w:pStyle w:val="a5"/>
        <w:rPr>
          <w:rtl/>
        </w:rPr>
      </w:pPr>
      <w:r>
        <w:rPr>
          <w:rStyle w:val="a4"/>
          <w:rtl/>
        </w:rPr>
        <w:footnoteRef/>
      </w:r>
      <w:r>
        <w:t xml:space="preserve"> </w:t>
      </w:r>
      <w:r>
        <w:rPr>
          <w:rFonts w:hint="cs"/>
          <w:sz w:val="26"/>
          <w:rtl/>
        </w:rPr>
        <w:t>"סר סכינא", הנ"ל בהערה 20, וכן "ליסעור" שלהלן.</w:t>
      </w:r>
    </w:p>
  </w:footnote>
  <w:footnote w:id="381">
    <w:p w14:paraId="022ECFAE" w14:textId="77777777" w:rsidR="002B4B31" w:rsidRDefault="002B4B31" w:rsidP="002B4B31">
      <w:pPr>
        <w:pStyle w:val="a5"/>
        <w:rPr>
          <w:rFonts w:hint="cs"/>
          <w:rtl/>
        </w:rPr>
      </w:pPr>
      <w:r>
        <w:rPr>
          <w:rStyle w:val="a4"/>
          <w:rtl/>
        </w:rPr>
        <w:footnoteRef/>
      </w:r>
      <w:r>
        <w:t xml:space="preserve"> </w:t>
      </w:r>
      <w:r>
        <w:rPr>
          <w:rFonts w:hint="cs"/>
          <w:rtl/>
        </w:rPr>
        <w:t>היינו פקידה הנרדפת בלשון התורה לזכירה. "זכירה" (והפכהּ: "שִכחה") אינה רק הכושר לזכור מידע ולשמור אותו במוח (כמו: "</w:t>
      </w:r>
      <w:r>
        <w:rPr>
          <w:rtl/>
        </w:rPr>
        <w:t>זָכַרְנוּ אֶת הַדָּגָה אֲשֶׁר נֹאכַל בְּמִצְרַיִם</w:t>
      </w:r>
      <w:r>
        <w:rPr>
          <w:rFonts w:hint="cs"/>
          <w:rtl/>
        </w:rPr>
        <w:t>"</w:t>
      </w:r>
      <w:r>
        <w:rPr>
          <w:rFonts w:hint="cs"/>
          <w:sz w:val="18"/>
          <w:szCs w:val="20"/>
          <w:rtl/>
        </w:rPr>
        <w:t xml:space="preserve">, </w:t>
      </w:r>
      <w:r>
        <w:rPr>
          <w:sz w:val="18"/>
          <w:szCs w:val="20"/>
          <w:rtl/>
        </w:rPr>
        <w:t>במדבר יא</w:t>
      </w:r>
      <w:r>
        <w:rPr>
          <w:rFonts w:hint="cs"/>
          <w:sz w:val="18"/>
          <w:szCs w:val="20"/>
          <w:rtl/>
        </w:rPr>
        <w:t xml:space="preserve">, </w:t>
      </w:r>
      <w:r>
        <w:rPr>
          <w:sz w:val="18"/>
          <w:szCs w:val="20"/>
          <w:rtl/>
        </w:rPr>
        <w:t>ה</w:t>
      </w:r>
      <w:r>
        <w:rPr>
          <w:rFonts w:hint="cs"/>
          <w:rtl/>
        </w:rPr>
        <w:t>), אלא גם שימת לב והתייחסות, לעומת התעלמות וחוסר עניין (כמו: "</w:t>
      </w:r>
      <w:r>
        <w:rPr>
          <w:rtl/>
        </w:rPr>
        <w:t>לֹא זָכְרָה אַחֲרִיתָהּ</w:t>
      </w:r>
      <w:r>
        <w:rPr>
          <w:rFonts w:hint="cs"/>
          <w:rtl/>
        </w:rPr>
        <w:t>"</w:t>
      </w:r>
      <w:r>
        <w:rPr>
          <w:rFonts w:hint="cs"/>
          <w:sz w:val="18"/>
          <w:szCs w:val="20"/>
          <w:rtl/>
        </w:rPr>
        <w:t xml:space="preserve">, </w:t>
      </w:r>
      <w:r>
        <w:rPr>
          <w:sz w:val="18"/>
          <w:szCs w:val="20"/>
          <w:rtl/>
        </w:rPr>
        <w:t>איכה א</w:t>
      </w:r>
      <w:r>
        <w:rPr>
          <w:rFonts w:hint="cs"/>
          <w:sz w:val="18"/>
          <w:szCs w:val="20"/>
          <w:rtl/>
        </w:rPr>
        <w:t xml:space="preserve">, </w:t>
      </w:r>
      <w:r>
        <w:rPr>
          <w:sz w:val="18"/>
          <w:szCs w:val="20"/>
          <w:rtl/>
        </w:rPr>
        <w:t>ט</w:t>
      </w:r>
      <w:r>
        <w:rPr>
          <w:rFonts w:hint="cs"/>
          <w:rtl/>
        </w:rPr>
        <w:t>; וכן הוא כשמדובר על רבש"ע, "זוכר הנשכחות", כגון "</w:t>
      </w:r>
      <w:r>
        <w:rPr>
          <w:rtl/>
        </w:rPr>
        <w:t>כִּי דֹרֵשׁ דָּמִים אוֹתָם זָכָר</w:t>
      </w:r>
      <w:r>
        <w:rPr>
          <w:rFonts w:hint="cs"/>
          <w:rtl/>
        </w:rPr>
        <w:t>,</w:t>
      </w:r>
      <w:r>
        <w:rPr>
          <w:rtl/>
        </w:rPr>
        <w:t xml:space="preserve"> לֹא שָׁכַח צַעֲקַת עֲנָוִים</w:t>
      </w:r>
      <w:r>
        <w:rPr>
          <w:rFonts w:hint="cs"/>
          <w:rtl/>
        </w:rPr>
        <w:t xml:space="preserve"> [</w:t>
      </w:r>
      <w:r>
        <w:rPr>
          <w:rFonts w:hint="cs"/>
          <w:sz w:val="18"/>
          <w:szCs w:val="20"/>
          <w:rtl/>
        </w:rPr>
        <w:t xml:space="preserve">כתיב: </w:t>
      </w:r>
      <w:r>
        <w:rPr>
          <w:sz w:val="18"/>
          <w:szCs w:val="20"/>
          <w:rtl/>
        </w:rPr>
        <w:t>עניים</w:t>
      </w:r>
      <w:r>
        <w:rPr>
          <w:rFonts w:hint="cs"/>
          <w:rtl/>
        </w:rPr>
        <w:t>]"</w:t>
      </w:r>
      <w:r>
        <w:rPr>
          <w:rFonts w:hint="cs"/>
          <w:sz w:val="18"/>
          <w:szCs w:val="20"/>
          <w:rtl/>
        </w:rPr>
        <w:t xml:space="preserve">, </w:t>
      </w:r>
      <w:r>
        <w:rPr>
          <w:sz w:val="18"/>
          <w:szCs w:val="20"/>
          <w:rtl/>
        </w:rPr>
        <w:t>תהלים ט</w:t>
      </w:r>
      <w:r>
        <w:rPr>
          <w:rFonts w:hint="cs"/>
          <w:sz w:val="18"/>
          <w:szCs w:val="20"/>
          <w:rtl/>
        </w:rPr>
        <w:t>,</w:t>
      </w:r>
      <w:r>
        <w:rPr>
          <w:sz w:val="18"/>
          <w:szCs w:val="20"/>
          <w:rtl/>
        </w:rPr>
        <w:t xml:space="preserve"> יג</w:t>
      </w:r>
      <w:r>
        <w:rPr>
          <w:rFonts w:hint="cs"/>
          <w:rtl/>
        </w:rPr>
        <w:t xml:space="preserve">). </w:t>
      </w:r>
      <w:r>
        <w:rPr>
          <w:rFonts w:hint="cs"/>
          <w:sz w:val="18"/>
          <w:szCs w:val="20"/>
          <w:rtl/>
        </w:rPr>
        <w:t>ראה: יצחק הררי, "הפעלים שכח, זכר, ישן, הקיצה ועורה ביחס לה' במקרא", בית מקרא, ניסן תשל"ז, עמ' 386</w:t>
      </w:r>
      <w:r>
        <w:rPr>
          <w:rFonts w:hint="cs"/>
          <w:rtl/>
        </w:rPr>
        <w:t>.</w:t>
      </w:r>
    </w:p>
  </w:footnote>
  <w:footnote w:id="382">
    <w:p w14:paraId="58E1EDD9" w14:textId="77777777" w:rsidR="002B4B31" w:rsidRDefault="002B4B31" w:rsidP="002B4B31">
      <w:pPr>
        <w:pStyle w:val="a5"/>
        <w:rPr>
          <w:rtl/>
        </w:rPr>
      </w:pPr>
      <w:r>
        <w:rPr>
          <w:rStyle w:val="a4"/>
          <w:rtl/>
        </w:rPr>
        <w:footnoteRef/>
      </w:r>
      <w:r>
        <w:t xml:space="preserve"> </w:t>
      </w:r>
      <w:r>
        <w:rPr>
          <w:rtl/>
        </w:rPr>
        <w:t xml:space="preserve">כגרסת רבנו חננאל </w:t>
      </w:r>
      <w:r>
        <w:rPr>
          <w:sz w:val="18"/>
          <w:szCs w:val="20"/>
          <w:rtl/>
        </w:rPr>
        <w:t xml:space="preserve">הנ"ל בהערה </w:t>
      </w:r>
      <w:r>
        <w:rPr>
          <w:rFonts w:hint="cs"/>
          <w:sz w:val="18"/>
          <w:szCs w:val="20"/>
          <w:rtl/>
        </w:rPr>
        <w:t>20</w:t>
      </w:r>
      <w:r>
        <w:rPr>
          <w:rtl/>
        </w:rPr>
        <w:t>.</w:t>
      </w:r>
    </w:p>
  </w:footnote>
  <w:footnote w:id="383">
    <w:p w14:paraId="6E6E7B0B" w14:textId="77777777" w:rsidR="002B4B31" w:rsidRDefault="002B4B31" w:rsidP="002B4B31">
      <w:pPr>
        <w:pStyle w:val="a5"/>
        <w:rPr>
          <w:rtl/>
        </w:rPr>
      </w:pPr>
      <w:r>
        <w:rPr>
          <w:rStyle w:val="a4"/>
          <w:rtl/>
        </w:rPr>
        <w:footnoteRef/>
      </w:r>
      <w:r>
        <w:t xml:space="preserve"> </w:t>
      </w:r>
      <w:r>
        <w:rPr>
          <w:rFonts w:hint="cs"/>
          <w:rtl/>
        </w:rPr>
        <w:t>ראה במיוחס ל</w:t>
      </w:r>
      <w:r>
        <w:rPr>
          <w:sz w:val="26"/>
          <w:rtl/>
        </w:rPr>
        <w:t xml:space="preserve">רש"י </w:t>
      </w:r>
      <w:r>
        <w:rPr>
          <w:rFonts w:hint="cs"/>
          <w:sz w:val="26"/>
          <w:rtl/>
        </w:rPr>
        <w:t>ל</w:t>
      </w:r>
      <w:r>
        <w:rPr>
          <w:sz w:val="26"/>
          <w:rtl/>
        </w:rPr>
        <w:t xml:space="preserve">תענית </w:t>
      </w:r>
      <w:r>
        <w:rPr>
          <w:sz w:val="18"/>
          <w:szCs w:val="20"/>
          <w:rtl/>
        </w:rPr>
        <w:t>כ</w:t>
      </w:r>
      <w:r>
        <w:rPr>
          <w:rFonts w:hint="cs"/>
          <w:sz w:val="18"/>
          <w:szCs w:val="20"/>
          <w:rtl/>
        </w:rPr>
        <w:t>,</w:t>
      </w:r>
      <w:r>
        <w:rPr>
          <w:sz w:val="18"/>
          <w:szCs w:val="20"/>
          <w:rtl/>
        </w:rPr>
        <w:t xml:space="preserve"> ב</w:t>
      </w:r>
      <w:r>
        <w:rPr>
          <w:rFonts w:hint="cs"/>
          <w:sz w:val="26"/>
          <w:rtl/>
        </w:rPr>
        <w:t>: "</w:t>
      </w:r>
      <w:r>
        <w:rPr>
          <w:sz w:val="26"/>
          <w:rtl/>
        </w:rPr>
        <w:t xml:space="preserve">וסייר - בודק, תרגום פוקד </w:t>
      </w:r>
      <w:r>
        <w:rPr>
          <w:rFonts w:hint="cs"/>
          <w:sz w:val="26"/>
          <w:rtl/>
        </w:rPr>
        <w:t xml:space="preserve">- </w:t>
      </w:r>
      <w:r>
        <w:rPr>
          <w:sz w:val="26"/>
          <w:rtl/>
        </w:rPr>
        <w:t>מסער</w:t>
      </w:r>
      <w:r>
        <w:rPr>
          <w:rFonts w:hint="cs"/>
          <w:sz w:val="26"/>
          <w:rtl/>
        </w:rPr>
        <w:t xml:space="preserve">, </w:t>
      </w:r>
      <w:r>
        <w:rPr>
          <w:sz w:val="26"/>
          <w:rtl/>
        </w:rPr>
        <w:t>כמו: האי טבחא דלא סר סכינא קמיה חכם</w:t>
      </w:r>
      <w:r>
        <w:rPr>
          <w:rFonts w:hint="cs"/>
          <w:sz w:val="26"/>
          <w:rtl/>
        </w:rPr>
        <w:t xml:space="preserve">". </w:t>
      </w:r>
      <w:r>
        <w:rPr>
          <w:rFonts w:hint="cs"/>
          <w:rtl/>
        </w:rPr>
        <w:t>שורש סי"ר התגלגל מכאן לעברית החדשה, כגון:</w:t>
      </w:r>
      <w:r>
        <w:rPr>
          <w:rtl/>
        </w:rPr>
        <w:t xml:space="preserve"> </w:t>
      </w:r>
      <w:r>
        <w:rPr>
          <w:rFonts w:hint="cs"/>
          <w:rtl/>
        </w:rPr>
        <w:t>"</w:t>
      </w:r>
      <w:r>
        <w:rPr>
          <w:rtl/>
        </w:rPr>
        <w:t>לסייר אוצרו</w:t>
      </w:r>
      <w:r>
        <w:rPr>
          <w:rFonts w:hint="cs"/>
          <w:rtl/>
        </w:rPr>
        <w:t>" (</w:t>
      </w:r>
      <w:r>
        <w:rPr>
          <w:sz w:val="18"/>
          <w:szCs w:val="20"/>
          <w:rtl/>
        </w:rPr>
        <w:t>רבי דוד פרידמן,</w:t>
      </w:r>
      <w:r>
        <w:rPr>
          <w:rFonts w:hint="cs"/>
          <w:sz w:val="18"/>
          <w:szCs w:val="20"/>
          <w:rtl/>
        </w:rPr>
        <w:t xml:space="preserve"> </w:t>
      </w:r>
      <w:r>
        <w:rPr>
          <w:sz w:val="18"/>
          <w:szCs w:val="20"/>
          <w:rtl/>
        </w:rPr>
        <w:t>שו"ת שאילת דוד יו"ד סימן ח</w:t>
      </w:r>
      <w:r>
        <w:rPr>
          <w:rFonts w:hint="cs"/>
          <w:sz w:val="18"/>
          <w:szCs w:val="20"/>
          <w:rtl/>
        </w:rPr>
        <w:t>'; נ</w:t>
      </w:r>
      <w:r>
        <w:rPr>
          <w:sz w:val="18"/>
          <w:szCs w:val="20"/>
          <w:rtl/>
        </w:rPr>
        <w:t>פטר</w:t>
      </w:r>
      <w:r>
        <w:rPr>
          <w:rFonts w:hint="cs"/>
          <w:sz w:val="18"/>
          <w:szCs w:val="20"/>
          <w:rtl/>
        </w:rPr>
        <w:t xml:space="preserve"> </w:t>
      </w:r>
      <w:r>
        <w:rPr>
          <w:sz w:val="18"/>
          <w:szCs w:val="20"/>
          <w:rtl/>
        </w:rPr>
        <w:t>בשנת ה</w:t>
      </w:r>
      <w:r>
        <w:rPr>
          <w:rFonts w:hint="cs"/>
          <w:sz w:val="18"/>
          <w:szCs w:val="20"/>
          <w:rtl/>
        </w:rPr>
        <w:t>'</w:t>
      </w:r>
      <w:r>
        <w:rPr>
          <w:sz w:val="18"/>
          <w:szCs w:val="20"/>
          <w:rtl/>
        </w:rPr>
        <w:t>תרע"ז</w:t>
      </w:r>
      <w:r>
        <w:rPr>
          <w:rFonts w:hint="cs"/>
          <w:sz w:val="18"/>
          <w:szCs w:val="20"/>
          <w:rtl/>
        </w:rPr>
        <w:t xml:space="preserve">, </w:t>
      </w:r>
      <w:r>
        <w:rPr>
          <w:sz w:val="18"/>
          <w:szCs w:val="20"/>
          <w:rtl/>
        </w:rPr>
        <w:t>1917</w:t>
      </w:r>
      <w:r>
        <w:rPr>
          <w:rtl/>
        </w:rPr>
        <w:t>)</w:t>
      </w:r>
      <w:r>
        <w:rPr>
          <w:rFonts w:hint="cs"/>
          <w:rtl/>
        </w:rPr>
        <w:t>; "</w:t>
      </w:r>
      <w:r>
        <w:rPr>
          <w:rtl/>
        </w:rPr>
        <w:t xml:space="preserve">לצאת בשבת לפעולות </w:t>
      </w:r>
      <w:r>
        <w:rPr>
          <w:b/>
          <w:bCs/>
          <w:rtl/>
        </w:rPr>
        <w:t>סיור</w:t>
      </w:r>
      <w:r>
        <w:rPr>
          <w:rtl/>
        </w:rPr>
        <w:t xml:space="preserve"> בתוך העיר או בסביבתה במכונית</w:t>
      </w:r>
      <w:r>
        <w:rPr>
          <w:rFonts w:hint="cs"/>
          <w:rtl/>
        </w:rPr>
        <w:t>" (</w:t>
      </w:r>
      <w:r>
        <w:rPr>
          <w:rFonts w:hint="cs"/>
          <w:sz w:val="18"/>
          <w:szCs w:val="20"/>
          <w:rtl/>
        </w:rPr>
        <w:t xml:space="preserve">הגרי"א </w:t>
      </w:r>
      <w:r>
        <w:rPr>
          <w:sz w:val="18"/>
          <w:szCs w:val="20"/>
          <w:rtl/>
        </w:rPr>
        <w:t>הרצוג</w:t>
      </w:r>
      <w:r>
        <w:rPr>
          <w:rFonts w:hint="cs"/>
          <w:sz w:val="18"/>
          <w:szCs w:val="20"/>
          <w:rtl/>
        </w:rPr>
        <w:t xml:space="preserve">, </w:t>
      </w:r>
      <w:r>
        <w:rPr>
          <w:sz w:val="18"/>
          <w:szCs w:val="20"/>
          <w:rtl/>
        </w:rPr>
        <w:t>שו"ת היכל יצחק או"ח סימן ל</w:t>
      </w:r>
      <w:r>
        <w:rPr>
          <w:rFonts w:hint="cs"/>
          <w:sz w:val="18"/>
          <w:szCs w:val="20"/>
          <w:rtl/>
        </w:rPr>
        <w:t>"</w:t>
      </w:r>
      <w:r>
        <w:rPr>
          <w:sz w:val="18"/>
          <w:szCs w:val="20"/>
          <w:rtl/>
        </w:rPr>
        <w:t>ז</w:t>
      </w:r>
      <w:r>
        <w:rPr>
          <w:rFonts w:hint="cs"/>
          <w:sz w:val="18"/>
          <w:szCs w:val="20"/>
          <w:rtl/>
        </w:rPr>
        <w:t xml:space="preserve">; </w:t>
      </w:r>
      <w:r>
        <w:rPr>
          <w:sz w:val="18"/>
          <w:szCs w:val="20"/>
          <w:rtl/>
        </w:rPr>
        <w:t>נפטר בשנת ה</w:t>
      </w:r>
      <w:r>
        <w:rPr>
          <w:rFonts w:hint="cs"/>
          <w:sz w:val="18"/>
          <w:szCs w:val="20"/>
          <w:rtl/>
        </w:rPr>
        <w:t>'</w:t>
      </w:r>
      <w:r>
        <w:rPr>
          <w:sz w:val="18"/>
          <w:szCs w:val="20"/>
          <w:rtl/>
        </w:rPr>
        <w:t>תש</w:t>
      </w:r>
      <w:r>
        <w:rPr>
          <w:rFonts w:hint="cs"/>
          <w:sz w:val="18"/>
          <w:szCs w:val="20"/>
          <w:rtl/>
        </w:rPr>
        <w:t>"</w:t>
      </w:r>
      <w:r>
        <w:rPr>
          <w:sz w:val="18"/>
          <w:szCs w:val="20"/>
          <w:rtl/>
        </w:rPr>
        <w:t>י</w:t>
      </w:r>
      <w:r>
        <w:rPr>
          <w:rFonts w:hint="cs"/>
          <w:sz w:val="18"/>
          <w:szCs w:val="20"/>
          <w:rtl/>
        </w:rPr>
        <w:t>, 1950</w:t>
      </w:r>
      <w:r>
        <w:rPr>
          <w:rFonts w:hint="cs"/>
          <w:rtl/>
        </w:rPr>
        <w:t>)</w:t>
      </w:r>
      <w:r>
        <w:rPr>
          <w:rtl/>
        </w:rPr>
        <w:t>.</w:t>
      </w:r>
      <w:r>
        <w:rPr>
          <w:rFonts w:hint="cs"/>
          <w:rtl/>
        </w:rPr>
        <w:t xml:space="preserve"> </w:t>
      </w:r>
      <w:r>
        <w:rPr>
          <w:rFonts w:hint="cs"/>
          <w:color w:val="800000"/>
          <w:rtl/>
        </w:rPr>
        <w:t xml:space="preserve">וראה להלן </w:t>
      </w:r>
      <w:r>
        <w:rPr>
          <w:rFonts w:hint="cs"/>
          <w:rtl/>
        </w:rPr>
        <w:t xml:space="preserve">דף </w:t>
      </w:r>
      <w:r>
        <w:rPr>
          <w:rtl/>
        </w:rPr>
        <w:t>קלט</w:t>
      </w:r>
      <w:r>
        <w:rPr>
          <w:rFonts w:hint="cs"/>
          <w:rtl/>
        </w:rPr>
        <w:t xml:space="preserve">, </w:t>
      </w:r>
      <w:r>
        <w:rPr>
          <w:rtl/>
        </w:rPr>
        <w:t>ב</w:t>
      </w:r>
      <w:r>
        <w:rPr>
          <w:rFonts w:hint="cs"/>
          <w:rtl/>
        </w:rPr>
        <w:t>.</w:t>
      </w:r>
    </w:p>
  </w:footnote>
  <w:footnote w:id="384">
    <w:p w14:paraId="1F734458" w14:textId="77777777" w:rsidR="002B4B31" w:rsidRDefault="002B4B31" w:rsidP="002B4B31">
      <w:pPr>
        <w:pStyle w:val="a5"/>
        <w:rPr>
          <w:rFonts w:hint="cs"/>
          <w:rtl/>
        </w:rPr>
      </w:pPr>
      <w:r>
        <w:rPr>
          <w:rStyle w:val="a4"/>
          <w:rtl/>
        </w:rPr>
        <w:footnoteRef/>
      </w:r>
      <w:r>
        <w:rPr>
          <w:rFonts w:hint="cs"/>
          <w:rtl/>
        </w:rPr>
        <w:t xml:space="preserve"> וא"כ, "גיור" שורש ארמי זה ללשון העברית אינו חדש כאמור בהערה הקודמת, אלא מקורו בלשון חז"ל.</w:t>
      </w:r>
    </w:p>
  </w:footnote>
  <w:footnote w:id="385">
    <w:p w14:paraId="24119473" w14:textId="77777777" w:rsidR="002B4B31" w:rsidRDefault="002B4B31" w:rsidP="002B4B31">
      <w:pPr>
        <w:pStyle w:val="a5"/>
        <w:rPr>
          <w:rtl/>
        </w:rPr>
      </w:pPr>
      <w:r>
        <w:rPr>
          <w:rStyle w:val="a4"/>
          <w:rtl/>
        </w:rPr>
        <w:footnoteRef/>
      </w:r>
      <w:r>
        <w:t xml:space="preserve"> </w:t>
      </w:r>
      <w:r>
        <w:rPr>
          <w:rFonts w:hint="cs"/>
          <w:rtl/>
        </w:rPr>
        <w:t>לא ירגיש החבר המבקר אצל החולה בנחיצות להתפלל לרפואת החולה.</w:t>
      </w:r>
    </w:p>
  </w:footnote>
  <w:footnote w:id="386">
    <w:p w14:paraId="5178C742" w14:textId="77777777" w:rsidR="002B4B31" w:rsidRDefault="002B4B31" w:rsidP="002B4B31">
      <w:pPr>
        <w:pStyle w:val="a5"/>
        <w:rPr>
          <w:rtl/>
        </w:rPr>
      </w:pPr>
      <w:r>
        <w:rPr>
          <w:rStyle w:val="a4"/>
          <w:rtl/>
        </w:rPr>
        <w:footnoteRef/>
      </w:r>
      <w:r>
        <w:t xml:space="preserve"> </w:t>
      </w:r>
      <w:r>
        <w:rPr>
          <w:rFonts w:hint="cs"/>
          <w:rtl/>
        </w:rPr>
        <w:t>הרמב"ם (</w:t>
      </w:r>
      <w:r>
        <w:rPr>
          <w:sz w:val="18"/>
          <w:szCs w:val="20"/>
          <w:rtl/>
        </w:rPr>
        <w:t>הלכות אבל יד</w:t>
      </w:r>
      <w:r>
        <w:rPr>
          <w:rFonts w:hint="cs"/>
          <w:sz w:val="18"/>
          <w:szCs w:val="20"/>
          <w:rtl/>
        </w:rPr>
        <w:t xml:space="preserve">, </w:t>
      </w:r>
      <w:r>
        <w:rPr>
          <w:sz w:val="18"/>
          <w:szCs w:val="20"/>
          <w:rtl/>
        </w:rPr>
        <w:t>ה</w:t>
      </w:r>
      <w:r>
        <w:rPr>
          <w:rFonts w:hint="cs"/>
          <w:rtl/>
        </w:rPr>
        <w:t>) נתן להלכה זו טעם אחר: "</w:t>
      </w:r>
      <w:r>
        <w:rPr>
          <w:rtl/>
        </w:rPr>
        <w:t>אין מבקרין את החולה</w:t>
      </w:r>
      <w:r>
        <w:rPr>
          <w:rFonts w:hint="cs"/>
          <w:rtl/>
        </w:rPr>
        <w:t xml:space="preserve">... </w:t>
      </w:r>
      <w:r>
        <w:rPr>
          <w:rtl/>
        </w:rPr>
        <w:t xml:space="preserve">לא בשלש שעות ראשונות ביום, ולא בשלש אחרונות, </w:t>
      </w:r>
      <w:r>
        <w:rPr>
          <w:b/>
          <w:bCs/>
          <w:rtl/>
        </w:rPr>
        <w:t>מפני שהן מתעסקין בצרכי החולה</w:t>
      </w:r>
      <w:r>
        <w:rPr>
          <w:rFonts w:hint="cs"/>
          <w:rtl/>
        </w:rPr>
        <w:t>" (</w:t>
      </w:r>
      <w:r>
        <w:rPr>
          <w:rFonts w:hint="cs"/>
          <w:sz w:val="18"/>
          <w:szCs w:val="20"/>
          <w:rtl/>
        </w:rPr>
        <w:t>עי"ש בפירוש הר"י קאפח</w:t>
      </w:r>
      <w:r>
        <w:rPr>
          <w:rFonts w:hint="cs"/>
          <w:rtl/>
        </w:rPr>
        <w:t>)</w:t>
      </w:r>
      <w:r>
        <w:rPr>
          <w:rtl/>
        </w:rPr>
        <w:t>.</w:t>
      </w:r>
    </w:p>
  </w:footnote>
  <w:footnote w:id="387">
    <w:p w14:paraId="218113C2" w14:textId="77777777" w:rsidR="002B4B31" w:rsidRDefault="002B4B31" w:rsidP="002B4B31">
      <w:pPr>
        <w:pStyle w:val="a5"/>
        <w:rPr>
          <w:rtl/>
        </w:rPr>
      </w:pPr>
      <w:r>
        <w:rPr>
          <w:rStyle w:val="a4"/>
          <w:rtl/>
        </w:rPr>
        <w:footnoteRef/>
      </w:r>
      <w:r>
        <w:t xml:space="preserve"> </w:t>
      </w:r>
      <w:r>
        <w:rPr>
          <w:rFonts w:hint="cs"/>
          <w:sz w:val="26"/>
          <w:rtl/>
        </w:rPr>
        <w:t>על ביקור ראה לעיל עמוד א'.</w:t>
      </w:r>
    </w:p>
  </w:footnote>
  <w:footnote w:id="388">
    <w:p w14:paraId="6FDFB8B7" w14:textId="77777777" w:rsidR="002B4B31" w:rsidRDefault="002B4B31" w:rsidP="002B4B31">
      <w:pPr>
        <w:pStyle w:val="a5"/>
        <w:rPr>
          <w:rFonts w:hint="cs"/>
          <w:rtl/>
        </w:rPr>
      </w:pPr>
      <w:r>
        <w:rPr>
          <w:rStyle w:val="a4"/>
          <w:rtl/>
        </w:rPr>
        <w:footnoteRef/>
      </w:r>
      <w:r>
        <w:t xml:space="preserve"> </w:t>
      </w:r>
      <w:r>
        <w:rPr>
          <w:rFonts w:hint="cs"/>
          <w:rtl/>
        </w:rPr>
        <w:t>כן העירו ב"חלק הדקדוק" בתאג' על אתר וריעב"ץ בהגהותיו לנדרים.</w:t>
      </w:r>
      <w:r>
        <w:rPr>
          <w:rFonts w:hint="cs"/>
          <w:color w:val="800000"/>
          <w:rtl/>
        </w:rPr>
        <w:t xml:space="preserve"> @וצ"ע: שפרבר</w:t>
      </w:r>
    </w:p>
  </w:footnote>
  <w:footnote w:id="389">
    <w:p w14:paraId="74BE2A01" w14:textId="77777777" w:rsidR="002B4B31" w:rsidRDefault="002B4B31" w:rsidP="002B4B31">
      <w:pPr>
        <w:pStyle w:val="a5"/>
        <w:rPr>
          <w:rtl/>
        </w:rPr>
      </w:pPr>
      <w:r>
        <w:rPr>
          <w:rStyle w:val="a4"/>
          <w:rtl/>
        </w:rPr>
        <w:footnoteRef/>
      </w:r>
      <w:r>
        <w:t xml:space="preserve"> </w:t>
      </w:r>
      <w:r>
        <w:rPr>
          <w:rFonts w:hint="cs"/>
          <w:rtl/>
        </w:rPr>
        <w:t>אמנם, קיימת אפשרות שאין כאן שיבוש, והראשונים אכן כתבו ד', ונוסחם בתרגום היה בד' (</w:t>
      </w:r>
      <w:r>
        <w:rPr>
          <w:rFonts w:hint="cs"/>
          <w:color w:val="FF0000"/>
          <w:sz w:val="18"/>
          <w:szCs w:val="20"/>
          <w:rtl/>
        </w:rPr>
        <w:t>ר' מיכאל פוזן</w:t>
      </w:r>
      <w:r>
        <w:rPr>
          <w:rFonts w:hint="cs"/>
          <w:sz w:val="18"/>
          <w:szCs w:val="20"/>
          <w:rtl/>
        </w:rPr>
        <w:t>; וצ"ל שגם בהמשך הפסוק גרסו בתרגום "</w:t>
      </w:r>
      <w:r>
        <w:rPr>
          <w:sz w:val="18"/>
          <w:szCs w:val="20"/>
          <w:rtl/>
        </w:rPr>
        <w:t>יִפָּקֵד</w:t>
      </w:r>
      <w:r>
        <w:rPr>
          <w:rFonts w:hint="cs"/>
          <w:sz w:val="18"/>
          <w:szCs w:val="20"/>
          <w:rtl/>
        </w:rPr>
        <w:t>" - "</w:t>
      </w:r>
      <w:r>
        <w:rPr>
          <w:sz w:val="18"/>
          <w:szCs w:val="20"/>
          <w:rtl/>
        </w:rPr>
        <w:t>י</w:t>
      </w:r>
      <w:r>
        <w:rPr>
          <w:rFonts w:hint="cs"/>
          <w:sz w:val="18"/>
          <w:szCs w:val="20"/>
          <w:rtl/>
        </w:rPr>
        <w:t>ִ</w:t>
      </w:r>
      <w:r>
        <w:rPr>
          <w:sz w:val="18"/>
          <w:szCs w:val="20"/>
          <w:rtl/>
        </w:rPr>
        <w:t>ס</w:t>
      </w:r>
      <w:r>
        <w:rPr>
          <w:rFonts w:hint="cs"/>
          <w:sz w:val="18"/>
          <w:szCs w:val="20"/>
          <w:rtl/>
        </w:rPr>
        <w:t>ְ</w:t>
      </w:r>
      <w:r>
        <w:rPr>
          <w:sz w:val="18"/>
          <w:szCs w:val="20"/>
          <w:rtl/>
        </w:rPr>
        <w:t>ת</w:t>
      </w:r>
      <w:r>
        <w:rPr>
          <w:rFonts w:hint="cs"/>
          <w:sz w:val="18"/>
          <w:szCs w:val="20"/>
          <w:rtl/>
        </w:rPr>
        <w:t>ְּ</w:t>
      </w:r>
      <w:r>
        <w:rPr>
          <w:sz w:val="18"/>
          <w:szCs w:val="20"/>
          <w:rtl/>
        </w:rPr>
        <w:t>ע</w:t>
      </w:r>
      <w:r>
        <w:rPr>
          <w:rFonts w:hint="cs"/>
          <w:sz w:val="18"/>
          <w:szCs w:val="20"/>
          <w:rtl/>
        </w:rPr>
        <w:t>ַ</w:t>
      </w:r>
      <w:r>
        <w:rPr>
          <w:rFonts w:hint="cs"/>
          <w:b/>
          <w:bCs/>
          <w:sz w:val="18"/>
          <w:szCs w:val="20"/>
          <w:rtl/>
        </w:rPr>
        <w:t>ד</w:t>
      </w:r>
      <w:r>
        <w:rPr>
          <w:rFonts w:hint="cs"/>
          <w:sz w:val="18"/>
          <w:szCs w:val="20"/>
          <w:rtl/>
        </w:rPr>
        <w:t>" בד' ולא בר'</w:t>
      </w:r>
      <w:r>
        <w:rPr>
          <w:rFonts w:hint="cs"/>
          <w:rtl/>
        </w:rPr>
        <w:t>).</w:t>
      </w:r>
    </w:p>
  </w:footnote>
  <w:footnote w:id="390">
    <w:p w14:paraId="3E5E6D5D" w14:textId="77777777" w:rsidR="002B4B31" w:rsidRDefault="002B4B31" w:rsidP="002B4B31">
      <w:pPr>
        <w:pStyle w:val="a5"/>
        <w:rPr>
          <w:rtl/>
        </w:rPr>
      </w:pPr>
      <w:r>
        <w:rPr>
          <w:rStyle w:val="a4"/>
          <w:rtl/>
        </w:rPr>
        <w:footnoteRef/>
      </w:r>
      <w:r>
        <w:t xml:space="preserve"> </w:t>
      </w:r>
      <w:r>
        <w:rPr>
          <w:rFonts w:ascii="Arial" w:hAnsi="Arial" w:hint="cs"/>
          <w:rtl/>
        </w:rPr>
        <w:t>צ"ע בלשון ה</w:t>
      </w:r>
      <w:r>
        <w:rPr>
          <w:rFonts w:ascii="Arial" w:hAnsi="Arial"/>
          <w:rtl/>
        </w:rPr>
        <w:t>תוספות</w:t>
      </w:r>
      <w:r>
        <w:rPr>
          <w:rFonts w:ascii="Arial" w:hAnsi="Arial" w:hint="cs"/>
          <w:rtl/>
        </w:rPr>
        <w:t xml:space="preserve"> שם: "</w:t>
      </w:r>
      <w:r>
        <w:rPr>
          <w:rFonts w:ascii="Arial" w:hAnsi="Arial"/>
          <w:rtl/>
        </w:rPr>
        <w:t xml:space="preserve">לסעוד - </w:t>
      </w:r>
      <w:r>
        <w:rPr>
          <w:rFonts w:ascii="Arial" w:hAnsi="Arial"/>
          <w:b/>
          <w:bCs/>
          <w:rtl/>
        </w:rPr>
        <w:t>אם</w:t>
      </w:r>
      <w:r>
        <w:rPr>
          <w:rFonts w:ascii="Arial" w:hAnsi="Arial"/>
          <w:rtl/>
        </w:rPr>
        <w:t xml:space="preserve"> יבקר לחולה, </w:t>
      </w:r>
      <w:r>
        <w:rPr>
          <w:rFonts w:ascii="Arial" w:hAnsi="Arial" w:hint="cs"/>
          <w:rtl/>
        </w:rPr>
        <w:t>'</w:t>
      </w:r>
      <w:r>
        <w:rPr>
          <w:rFonts w:ascii="Arial" w:hAnsi="Arial"/>
          <w:rtl/>
        </w:rPr>
        <w:t>פוקד</w:t>
      </w:r>
      <w:r>
        <w:rPr>
          <w:rFonts w:ascii="Arial" w:hAnsi="Arial" w:hint="cs"/>
          <w:rtl/>
        </w:rPr>
        <w:t>'</w:t>
      </w:r>
      <w:r>
        <w:rPr>
          <w:rFonts w:ascii="Arial" w:hAnsi="Arial"/>
          <w:rtl/>
        </w:rPr>
        <w:t xml:space="preserve"> מתרגמינן </w:t>
      </w:r>
      <w:r>
        <w:rPr>
          <w:rFonts w:ascii="Arial" w:hAnsi="Arial"/>
          <w:b/>
          <w:bCs/>
          <w:rtl/>
        </w:rPr>
        <w:t>וסעד</w:t>
      </w:r>
      <w:r>
        <w:rPr>
          <w:rFonts w:ascii="Arial" w:hAnsi="Arial" w:hint="cs"/>
          <w:rtl/>
        </w:rPr>
        <w:t>"</w:t>
      </w:r>
      <w:r>
        <w:rPr>
          <w:rFonts w:ascii="Arial" w:hAnsi="Arial"/>
          <w:rtl/>
        </w:rPr>
        <w:t>.</w:t>
      </w:r>
      <w:r>
        <w:rPr>
          <w:rFonts w:ascii="Arial" w:hAnsi="Arial" w:hint="cs"/>
          <w:rtl/>
        </w:rPr>
        <w:t xml:space="preserve"> ראשית, טרם מצאתי תרגום כזה (גם לא '</w:t>
      </w:r>
      <w:r>
        <w:rPr>
          <w:rFonts w:ascii="Arial" w:hAnsi="Arial"/>
          <w:rtl/>
        </w:rPr>
        <w:t>וסע</w:t>
      </w:r>
      <w:r>
        <w:rPr>
          <w:rFonts w:ascii="Arial" w:hAnsi="Arial" w:hint="cs"/>
          <w:b/>
          <w:bCs/>
          <w:rtl/>
        </w:rPr>
        <w:t>ר</w:t>
      </w:r>
      <w:r>
        <w:rPr>
          <w:rFonts w:ascii="Arial" w:hAnsi="Arial" w:hint="cs"/>
          <w:rtl/>
        </w:rPr>
        <w:t>') למלה "</w:t>
      </w:r>
      <w:r>
        <w:rPr>
          <w:rFonts w:ascii="Arial" w:hAnsi="Arial"/>
          <w:rtl/>
        </w:rPr>
        <w:t>פֹּקֵד</w:t>
      </w:r>
      <w:r>
        <w:rPr>
          <w:rFonts w:ascii="Arial" w:hAnsi="Arial" w:hint="cs"/>
          <w:rtl/>
        </w:rPr>
        <w:t>" (</w:t>
      </w:r>
      <w:r>
        <w:rPr>
          <w:rFonts w:ascii="Arial" w:hAnsi="Arial" w:hint="cs"/>
          <w:sz w:val="18"/>
          <w:szCs w:val="20"/>
          <w:rtl/>
        </w:rPr>
        <w:t xml:space="preserve">כגון: </w:t>
      </w:r>
      <w:r>
        <w:rPr>
          <w:rFonts w:ascii="Arial" w:hAnsi="Arial"/>
          <w:sz w:val="18"/>
          <w:szCs w:val="20"/>
          <w:rtl/>
        </w:rPr>
        <w:t>שמות כ</w:t>
      </w:r>
      <w:r>
        <w:rPr>
          <w:rFonts w:ascii="Arial" w:hAnsi="Arial" w:hint="cs"/>
          <w:sz w:val="18"/>
          <w:szCs w:val="20"/>
          <w:rtl/>
        </w:rPr>
        <w:t xml:space="preserve">, </w:t>
      </w:r>
      <w:r>
        <w:rPr>
          <w:rFonts w:ascii="Arial" w:hAnsi="Arial"/>
          <w:sz w:val="18"/>
          <w:szCs w:val="20"/>
          <w:rtl/>
        </w:rPr>
        <w:t>ד</w:t>
      </w:r>
      <w:r>
        <w:rPr>
          <w:rFonts w:ascii="Arial" w:hAnsi="Arial" w:hint="cs"/>
          <w:rtl/>
        </w:rPr>
        <w:t>). שנית, מלת התנאי "אם" איננה מובנת בראשית דבריו. במהדורת עוז והדר הגיהו ע"פ הגי"ש (</w:t>
      </w:r>
      <w:r>
        <w:rPr>
          <w:rFonts w:ascii="Arial" w:hAnsi="Arial" w:hint="cs"/>
          <w:sz w:val="18"/>
          <w:szCs w:val="20"/>
          <w:rtl/>
        </w:rPr>
        <w:t>=</w:t>
      </w:r>
      <w:r>
        <w:rPr>
          <w:rFonts w:ascii="Arial" w:hAnsi="Arial" w:hint="cs"/>
          <w:rtl/>
        </w:rPr>
        <w:t xml:space="preserve">הגהות יד שאול?) את לשון התוספות: "לא </w:t>
      </w:r>
      <w:r>
        <w:rPr>
          <w:rFonts w:ascii="Arial" w:hAnsi="Arial"/>
          <w:rtl/>
        </w:rPr>
        <w:t>לסעו</w:t>
      </w:r>
      <w:r>
        <w:rPr>
          <w:rFonts w:ascii="Arial" w:hAnsi="Arial" w:hint="cs"/>
          <w:rtl/>
        </w:rPr>
        <w:t>ר</w:t>
      </w:r>
      <w:r>
        <w:rPr>
          <w:rFonts w:ascii="Arial" w:hAnsi="Arial"/>
          <w:rtl/>
        </w:rPr>
        <w:t xml:space="preserve"> - </w:t>
      </w:r>
      <w:r>
        <w:rPr>
          <w:rFonts w:ascii="Arial" w:hAnsi="Arial" w:hint="cs"/>
          <w:rtl/>
        </w:rPr>
        <w:t>ל</w:t>
      </w:r>
      <w:r>
        <w:rPr>
          <w:rFonts w:ascii="Arial" w:hAnsi="Arial"/>
          <w:rtl/>
        </w:rPr>
        <w:t>א</w:t>
      </w:r>
      <w:r>
        <w:rPr>
          <w:rFonts w:ascii="Arial" w:hAnsi="Arial" w:hint="cs"/>
          <w:rtl/>
        </w:rPr>
        <w:t xml:space="preserve"> ל</w:t>
      </w:r>
      <w:r>
        <w:rPr>
          <w:rFonts w:ascii="Arial" w:hAnsi="Arial"/>
          <w:rtl/>
        </w:rPr>
        <w:t>בקר לחולה, 'פוקד' מתרגמינן מסער".</w:t>
      </w:r>
    </w:p>
  </w:footnote>
  <w:footnote w:id="391">
    <w:p w14:paraId="47964C25" w14:textId="77777777" w:rsidR="002B4B31" w:rsidRDefault="002B4B31" w:rsidP="002B4B31">
      <w:pPr>
        <w:pStyle w:val="a5"/>
        <w:rPr>
          <w:rFonts w:hint="cs"/>
          <w:sz w:val="24"/>
          <w:rtl/>
          <w:lang w:eastAsia="he-IL"/>
        </w:rPr>
      </w:pPr>
      <w:r>
        <w:rPr>
          <w:rStyle w:val="a4"/>
          <w:rtl/>
        </w:rPr>
        <w:footnoteRef/>
      </w:r>
      <w:r>
        <w:t xml:space="preserve"> </w:t>
      </w:r>
      <w:r>
        <w:rPr>
          <w:sz w:val="24"/>
          <w:rtl/>
          <w:lang w:eastAsia="he-IL"/>
        </w:rPr>
        <w:t>רש"י</w:t>
      </w:r>
      <w:r>
        <w:rPr>
          <w:rFonts w:hint="cs"/>
          <w:sz w:val="24"/>
          <w:rtl/>
          <w:lang w:eastAsia="he-IL"/>
        </w:rPr>
        <w:t>: "</w:t>
      </w:r>
      <w:r>
        <w:rPr>
          <w:sz w:val="24"/>
          <w:rtl/>
          <w:lang w:eastAsia="he-IL"/>
        </w:rPr>
        <w:t>מגילת תענית - לפי ששאר כל משנה וברייתא לא היו כתובין, דאסור לכתבם, וזו נכתבה לזכרון לדעת ימים האסורין בתענית</w:t>
      </w:r>
      <w:r>
        <w:rPr>
          <w:rFonts w:hint="cs"/>
          <w:sz w:val="24"/>
          <w:rtl/>
          <w:lang w:eastAsia="he-IL"/>
        </w:rPr>
        <w:t xml:space="preserve">, </w:t>
      </w:r>
      <w:r>
        <w:rPr>
          <w:sz w:val="24"/>
          <w:rtl/>
          <w:lang w:eastAsia="he-IL"/>
        </w:rPr>
        <w:t xml:space="preserve">לכך נקרא </w:t>
      </w:r>
      <w:r>
        <w:rPr>
          <w:rFonts w:hint="cs"/>
          <w:sz w:val="24"/>
          <w:rtl/>
          <w:lang w:eastAsia="he-IL"/>
        </w:rPr>
        <w:t>'</w:t>
      </w:r>
      <w:r>
        <w:rPr>
          <w:sz w:val="24"/>
          <w:rtl/>
          <w:lang w:eastAsia="he-IL"/>
        </w:rPr>
        <w:t>מגלה</w:t>
      </w:r>
      <w:r>
        <w:rPr>
          <w:rFonts w:hint="cs"/>
          <w:sz w:val="24"/>
          <w:rtl/>
          <w:lang w:eastAsia="he-IL"/>
        </w:rPr>
        <w:t>'</w:t>
      </w:r>
      <w:r>
        <w:rPr>
          <w:sz w:val="24"/>
          <w:rtl/>
          <w:lang w:eastAsia="he-IL"/>
        </w:rPr>
        <w:t>, שכָּתוּב בִּמְגִלַּת סֵפֶר</w:t>
      </w:r>
      <w:r>
        <w:rPr>
          <w:rFonts w:hint="cs"/>
          <w:sz w:val="24"/>
          <w:rtl/>
          <w:lang w:eastAsia="he-IL"/>
        </w:rPr>
        <w:t xml:space="preserve">" (ע"פ </w:t>
      </w:r>
      <w:r>
        <w:rPr>
          <w:sz w:val="24"/>
          <w:rtl/>
          <w:lang w:eastAsia="he-IL"/>
        </w:rPr>
        <w:t xml:space="preserve">תהלים </w:t>
      </w:r>
      <w:r>
        <w:rPr>
          <w:sz w:val="18"/>
          <w:szCs w:val="20"/>
          <w:rtl/>
          <w:lang w:eastAsia="he-IL"/>
        </w:rPr>
        <w:t>מ</w:t>
      </w:r>
      <w:r>
        <w:rPr>
          <w:rFonts w:hint="cs"/>
          <w:sz w:val="18"/>
          <w:szCs w:val="20"/>
          <w:rtl/>
          <w:lang w:eastAsia="he-IL"/>
        </w:rPr>
        <w:t xml:space="preserve">, </w:t>
      </w:r>
      <w:r>
        <w:rPr>
          <w:sz w:val="18"/>
          <w:szCs w:val="20"/>
          <w:rtl/>
          <w:lang w:eastAsia="he-IL"/>
        </w:rPr>
        <w:t>ח</w:t>
      </w:r>
      <w:r>
        <w:rPr>
          <w:rFonts w:hint="cs"/>
          <w:sz w:val="18"/>
          <w:szCs w:val="20"/>
          <w:rtl/>
          <w:lang w:eastAsia="he-IL"/>
        </w:rPr>
        <w:t xml:space="preserve">; ועי' </w:t>
      </w:r>
      <w:r>
        <w:rPr>
          <w:sz w:val="18"/>
          <w:szCs w:val="20"/>
          <w:rtl/>
          <w:lang w:eastAsia="he-IL"/>
        </w:rPr>
        <w:t>מצודת דוד</w:t>
      </w:r>
      <w:r>
        <w:rPr>
          <w:rFonts w:hint="cs"/>
          <w:sz w:val="18"/>
          <w:szCs w:val="20"/>
          <w:rtl/>
          <w:lang w:eastAsia="he-IL"/>
        </w:rPr>
        <w:t xml:space="preserve"> ל</w:t>
      </w:r>
      <w:r>
        <w:rPr>
          <w:sz w:val="18"/>
          <w:szCs w:val="20"/>
          <w:rtl/>
          <w:lang w:eastAsia="he-IL"/>
        </w:rPr>
        <w:t>ירמיהו לו</w:t>
      </w:r>
      <w:r>
        <w:rPr>
          <w:rFonts w:hint="cs"/>
          <w:sz w:val="18"/>
          <w:szCs w:val="20"/>
          <w:rtl/>
          <w:lang w:eastAsia="he-IL"/>
        </w:rPr>
        <w:t xml:space="preserve">, </w:t>
      </w:r>
      <w:r>
        <w:rPr>
          <w:sz w:val="18"/>
          <w:szCs w:val="20"/>
          <w:rtl/>
          <w:lang w:eastAsia="he-IL"/>
        </w:rPr>
        <w:t>ב</w:t>
      </w:r>
      <w:r>
        <w:rPr>
          <w:rFonts w:hint="cs"/>
          <w:sz w:val="24"/>
          <w:rtl/>
          <w:lang w:eastAsia="he-IL"/>
        </w:rPr>
        <w:t>).</w:t>
      </w:r>
    </w:p>
  </w:footnote>
  <w:footnote w:id="392">
    <w:p w14:paraId="6BF40C98" w14:textId="77777777" w:rsidR="002B4B31" w:rsidRDefault="002B4B31" w:rsidP="002B4B31">
      <w:pPr>
        <w:pStyle w:val="a5"/>
        <w:rPr>
          <w:rFonts w:hint="cs"/>
          <w:rtl/>
        </w:rPr>
      </w:pPr>
      <w:r>
        <w:rPr>
          <w:rStyle w:val="a4"/>
          <w:rtl/>
        </w:rPr>
        <w:footnoteRef/>
      </w:r>
      <w:r>
        <w:t xml:space="preserve"> </w:t>
      </w:r>
      <w:r>
        <w:rPr>
          <w:rFonts w:hint="cs"/>
          <w:rtl/>
        </w:rPr>
        <w:t>תהליך דומה ארע בימינו בלשון צה"ל: "מסייעת" החל לשמש כשם עצם לקבוצת חיילים שתפקידה לסייע לאחרים.</w:t>
      </w:r>
    </w:p>
  </w:footnote>
  <w:footnote w:id="393">
    <w:p w14:paraId="0C94054E" w14:textId="77777777" w:rsidR="002B4B31" w:rsidRDefault="002B4B31" w:rsidP="002B4B31">
      <w:pPr>
        <w:pStyle w:val="a5"/>
        <w:rPr>
          <w:rFonts w:hint="cs"/>
          <w:rtl/>
        </w:rPr>
      </w:pPr>
      <w:r>
        <w:rPr>
          <w:rStyle w:val="a4"/>
          <w:rtl/>
        </w:rPr>
        <w:footnoteRef/>
      </w:r>
      <w:r>
        <w:t xml:space="preserve"> </w:t>
      </w:r>
      <w:r>
        <w:rPr>
          <w:rFonts w:hint="cs"/>
          <w:rtl/>
        </w:rPr>
        <w:t>כך כתב ריעב"ץ (</w:t>
      </w:r>
      <w:r>
        <w:rPr>
          <w:szCs w:val="20"/>
          <w:rtl/>
        </w:rPr>
        <w:t xml:space="preserve">לוח </w:t>
      </w:r>
      <w:r>
        <w:rPr>
          <w:rFonts w:hint="cs"/>
          <w:szCs w:val="20"/>
          <w:rtl/>
        </w:rPr>
        <w:t>א</w:t>
      </w:r>
      <w:r>
        <w:rPr>
          <w:szCs w:val="20"/>
          <w:rtl/>
        </w:rPr>
        <w:t>רש</w:t>
      </w:r>
      <w:r>
        <w:rPr>
          <w:rFonts w:hint="cs"/>
          <w:szCs w:val="20"/>
          <w:rtl/>
        </w:rPr>
        <w:t>ׁ, תשס"א, עמ' ל"ז; קי</w:t>
      </w:r>
      <w:r>
        <w:rPr>
          <w:rFonts w:hint="cs"/>
          <w:sz w:val="20"/>
          <w:szCs w:val="20"/>
          <w:rtl/>
        </w:rPr>
        <w:t>"ג</w:t>
      </w:r>
      <w:r>
        <w:rPr>
          <w:rFonts w:hint="cs"/>
          <w:sz w:val="26"/>
          <w:rtl/>
        </w:rPr>
        <w:t>). את ה"סיעות" שאינן ניידות, כגון זו שבסוגייתנו, יוכל להסביר כהתפתחות מאוחרת.</w:t>
      </w:r>
    </w:p>
  </w:footnote>
  <w:footnote w:id="394">
    <w:p w14:paraId="259C2BF9" w14:textId="77777777" w:rsidR="002B4B31" w:rsidRDefault="002B4B31" w:rsidP="002B4B31">
      <w:pPr>
        <w:pStyle w:val="a5"/>
        <w:rPr>
          <w:rFonts w:hint="cs"/>
          <w:rtl/>
        </w:rPr>
      </w:pPr>
      <w:r>
        <w:rPr>
          <w:rStyle w:val="a4"/>
          <w:rtl/>
        </w:rPr>
        <w:footnoteRef/>
      </w:r>
      <w:r>
        <w:t xml:space="preserve"> </w:t>
      </w:r>
      <w:r>
        <w:rPr>
          <w:rFonts w:hint="cs"/>
          <w:rtl/>
        </w:rPr>
        <w:t>את המילה "סייעה" מצאתי פעמיים ב</w:t>
      </w:r>
      <w:r>
        <w:rPr>
          <w:sz w:val="24"/>
          <w:rtl/>
          <w:lang w:eastAsia="he-IL"/>
        </w:rPr>
        <w:t xml:space="preserve">אוצר המדרשים </w:t>
      </w:r>
      <w:r>
        <w:rPr>
          <w:rFonts w:hint="cs"/>
          <w:sz w:val="24"/>
          <w:rtl/>
          <w:lang w:eastAsia="he-IL"/>
        </w:rPr>
        <w:t xml:space="preserve">של </w:t>
      </w:r>
      <w:r>
        <w:rPr>
          <w:sz w:val="24"/>
          <w:rtl/>
          <w:lang w:eastAsia="he-IL"/>
        </w:rPr>
        <w:t>אייזנשטיין</w:t>
      </w:r>
      <w:r>
        <w:rPr>
          <w:rFonts w:hint="cs"/>
          <w:sz w:val="24"/>
          <w:rtl/>
          <w:lang w:eastAsia="he-IL"/>
        </w:rPr>
        <w:t>: ב</w:t>
      </w:r>
      <w:r>
        <w:rPr>
          <w:sz w:val="24"/>
          <w:rtl/>
          <w:lang w:eastAsia="he-IL"/>
        </w:rPr>
        <w:t>עמוד שיט</w:t>
      </w:r>
      <w:r>
        <w:rPr>
          <w:rFonts w:hint="cs"/>
          <w:sz w:val="24"/>
          <w:rtl/>
          <w:lang w:eastAsia="he-IL"/>
        </w:rPr>
        <w:t xml:space="preserve"> ("</w:t>
      </w:r>
      <w:r>
        <w:rPr>
          <w:sz w:val="18"/>
          <w:szCs w:val="20"/>
          <w:rtl/>
          <w:lang w:eastAsia="he-IL"/>
        </w:rPr>
        <w:t xml:space="preserve">פעם אחת עברה </w:t>
      </w:r>
      <w:r>
        <w:rPr>
          <w:sz w:val="24"/>
          <w:rtl/>
          <w:lang w:eastAsia="he-IL"/>
        </w:rPr>
        <w:t>סייעה</w:t>
      </w:r>
      <w:r>
        <w:rPr>
          <w:rFonts w:hint="cs"/>
          <w:sz w:val="24"/>
          <w:rtl/>
          <w:lang w:eastAsia="he-IL"/>
        </w:rPr>
        <w:t xml:space="preserve"> </w:t>
      </w:r>
      <w:r>
        <w:rPr>
          <w:sz w:val="24"/>
          <w:rtl/>
          <w:lang w:eastAsia="he-IL"/>
        </w:rPr>
        <w:t xml:space="preserve">/סיעה/ </w:t>
      </w:r>
      <w:r>
        <w:rPr>
          <w:sz w:val="18"/>
          <w:szCs w:val="20"/>
          <w:rtl/>
          <w:lang w:eastAsia="he-IL"/>
        </w:rPr>
        <w:t>של בני אדם</w:t>
      </w:r>
      <w:r>
        <w:rPr>
          <w:rFonts w:hint="cs"/>
          <w:sz w:val="24"/>
          <w:rtl/>
          <w:lang w:eastAsia="he-IL"/>
        </w:rPr>
        <w:t>") וב</w:t>
      </w:r>
      <w:r>
        <w:rPr>
          <w:sz w:val="24"/>
          <w:rtl/>
          <w:lang w:eastAsia="he-IL"/>
        </w:rPr>
        <w:t>עמוד תנ</w:t>
      </w:r>
      <w:r>
        <w:rPr>
          <w:rFonts w:hint="cs"/>
          <w:sz w:val="24"/>
          <w:rtl/>
          <w:lang w:eastAsia="he-IL"/>
        </w:rPr>
        <w:t xml:space="preserve"> ("</w:t>
      </w:r>
      <w:r>
        <w:rPr>
          <w:sz w:val="18"/>
          <w:szCs w:val="20"/>
          <w:rtl/>
          <w:lang w:eastAsia="he-IL"/>
        </w:rPr>
        <w:t>ראה בני אדם שהן נושאים בן אדם לקבורה, אמר לאמו</w:t>
      </w:r>
      <w:r>
        <w:rPr>
          <w:rFonts w:hint="cs"/>
          <w:sz w:val="18"/>
          <w:szCs w:val="20"/>
          <w:rtl/>
          <w:lang w:eastAsia="he-IL"/>
        </w:rPr>
        <w:t>:</w:t>
      </w:r>
      <w:r>
        <w:rPr>
          <w:sz w:val="18"/>
          <w:szCs w:val="20"/>
          <w:rtl/>
          <w:lang w:eastAsia="he-IL"/>
        </w:rPr>
        <w:t xml:space="preserve"> אלך ואגמול חסד עם המת ועם זו </w:t>
      </w:r>
      <w:r>
        <w:rPr>
          <w:sz w:val="24"/>
          <w:rtl/>
          <w:lang w:eastAsia="he-IL"/>
        </w:rPr>
        <w:t>הסייעה</w:t>
      </w:r>
      <w:r>
        <w:rPr>
          <w:rFonts w:hint="cs"/>
          <w:sz w:val="24"/>
          <w:rtl/>
          <w:lang w:eastAsia="he-IL"/>
        </w:rPr>
        <w:t>").</w:t>
      </w:r>
    </w:p>
  </w:footnote>
  <w:footnote w:id="395">
    <w:p w14:paraId="734FB07E" w14:textId="77777777" w:rsidR="002B4B31" w:rsidRDefault="002B4B31" w:rsidP="002B4B31">
      <w:pPr>
        <w:pStyle w:val="a5"/>
        <w:rPr>
          <w:rFonts w:hint="cs"/>
          <w:rtl/>
        </w:rPr>
      </w:pPr>
      <w:r>
        <w:rPr>
          <w:rStyle w:val="a4"/>
          <w:rtl/>
        </w:rPr>
        <w:footnoteRef/>
      </w:r>
      <w:r>
        <w:rPr>
          <w:rFonts w:hint="cs"/>
          <w:rtl/>
        </w:rPr>
        <w:t xml:space="preserve"> תרגום "</w:t>
      </w:r>
      <w:r>
        <w:rPr>
          <w:rtl/>
        </w:rPr>
        <w:t>אֲחֻזַּת</w:t>
      </w:r>
      <w:r>
        <w:rPr>
          <w:rFonts w:hint="cs"/>
          <w:rtl/>
        </w:rPr>
        <w:t>" (</w:t>
      </w:r>
      <w:r>
        <w:rPr>
          <w:sz w:val="18"/>
          <w:szCs w:val="20"/>
          <w:rtl/>
        </w:rPr>
        <w:t>בראשית כו</w:t>
      </w:r>
      <w:r>
        <w:rPr>
          <w:rFonts w:hint="cs"/>
          <w:sz w:val="18"/>
          <w:szCs w:val="20"/>
          <w:rtl/>
        </w:rPr>
        <w:t xml:space="preserve">, </w:t>
      </w:r>
      <w:r>
        <w:rPr>
          <w:sz w:val="18"/>
          <w:szCs w:val="20"/>
          <w:rtl/>
        </w:rPr>
        <w:t>כו</w:t>
      </w:r>
      <w:r>
        <w:rPr>
          <w:rFonts w:hint="cs"/>
          <w:rtl/>
        </w:rPr>
        <w:t>): "</w:t>
      </w:r>
      <w:r>
        <w:rPr>
          <w:rtl/>
        </w:rPr>
        <w:t>סיעת</w:t>
      </w:r>
      <w:r>
        <w:rPr>
          <w:rFonts w:hint="cs"/>
          <w:rtl/>
        </w:rPr>
        <w:t>", ותרגום "</w:t>
      </w:r>
      <w:r>
        <w:rPr>
          <w:rtl/>
        </w:rPr>
        <w:t>צִים</w:t>
      </w:r>
      <w:r>
        <w:rPr>
          <w:rFonts w:hint="cs"/>
          <w:rtl/>
        </w:rPr>
        <w:t>" (</w:t>
      </w:r>
      <w:r>
        <w:rPr>
          <w:sz w:val="18"/>
          <w:szCs w:val="20"/>
          <w:rtl/>
        </w:rPr>
        <w:t>במדבר כד</w:t>
      </w:r>
      <w:r>
        <w:rPr>
          <w:rFonts w:hint="cs"/>
          <w:sz w:val="18"/>
          <w:szCs w:val="20"/>
          <w:rtl/>
        </w:rPr>
        <w:t xml:space="preserve">, </w:t>
      </w:r>
      <w:r>
        <w:rPr>
          <w:sz w:val="18"/>
          <w:szCs w:val="20"/>
          <w:rtl/>
        </w:rPr>
        <w:t>כד</w:t>
      </w:r>
      <w:r>
        <w:rPr>
          <w:rFonts w:hint="cs"/>
          <w:rtl/>
        </w:rPr>
        <w:t>): "</w:t>
      </w:r>
      <w:r>
        <w:rPr>
          <w:rtl/>
        </w:rPr>
        <w:t>סיע</w:t>
      </w:r>
      <w:r>
        <w:rPr>
          <w:rFonts w:hint="cs"/>
          <w:rtl/>
        </w:rPr>
        <w:t xml:space="preserve">ן". ועפ"ז פרש </w:t>
      </w:r>
      <w:r>
        <w:rPr>
          <w:rtl/>
        </w:rPr>
        <w:t xml:space="preserve">רש"י </w:t>
      </w:r>
      <w:r>
        <w:rPr>
          <w:rFonts w:hint="cs"/>
          <w:rtl/>
        </w:rPr>
        <w:t>ב</w:t>
      </w:r>
      <w:r>
        <w:rPr>
          <w:rtl/>
        </w:rPr>
        <w:t xml:space="preserve">תהלים </w:t>
      </w:r>
      <w:r>
        <w:rPr>
          <w:rFonts w:hint="cs"/>
          <w:sz w:val="18"/>
          <w:szCs w:val="20"/>
          <w:rtl/>
        </w:rPr>
        <w:t xml:space="preserve">עב, ט וכן </w:t>
      </w:r>
      <w:r>
        <w:rPr>
          <w:rtl/>
        </w:rPr>
        <w:t>עד</w:t>
      </w:r>
      <w:r>
        <w:rPr>
          <w:rFonts w:hint="cs"/>
          <w:rtl/>
        </w:rPr>
        <w:t>,</w:t>
      </w:r>
      <w:r>
        <w:rPr>
          <w:rtl/>
        </w:rPr>
        <w:t xml:space="preserve"> יד</w:t>
      </w:r>
      <w:r>
        <w:rPr>
          <w:rFonts w:hint="cs"/>
          <w:rtl/>
        </w:rPr>
        <w:t>:</w:t>
      </w:r>
      <w:r>
        <w:rPr>
          <w:rtl/>
        </w:rPr>
        <w:t xml:space="preserve"> </w:t>
      </w:r>
      <w:r>
        <w:rPr>
          <w:rFonts w:hint="cs"/>
          <w:rtl/>
        </w:rPr>
        <w:t>"</w:t>
      </w:r>
      <w:r>
        <w:rPr>
          <w:rtl/>
        </w:rPr>
        <w:t xml:space="preserve">ציים </w:t>
      </w:r>
      <w:r>
        <w:rPr>
          <w:rFonts w:hint="cs"/>
          <w:rtl/>
        </w:rPr>
        <w:t xml:space="preserve">- </w:t>
      </w:r>
      <w:r>
        <w:rPr>
          <w:rtl/>
        </w:rPr>
        <w:t>סיעות</w:t>
      </w:r>
      <w:r>
        <w:rPr>
          <w:rFonts w:hint="cs"/>
          <w:rtl/>
        </w:rPr>
        <w:t>,</w:t>
      </w:r>
      <w:r>
        <w:rPr>
          <w:rtl/>
        </w:rPr>
        <w:t xml:space="preserve"> כמו </w:t>
      </w:r>
      <w:r>
        <w:rPr>
          <w:rFonts w:hint="cs"/>
          <w:rtl/>
        </w:rPr>
        <w:t xml:space="preserve">שתרגם אונקלוס: </w:t>
      </w:r>
      <w:r>
        <w:rPr>
          <w:rtl/>
        </w:rPr>
        <w:t xml:space="preserve">וצים מיד כתים </w:t>
      </w:r>
      <w:r>
        <w:rPr>
          <w:rFonts w:hint="cs"/>
          <w:rtl/>
        </w:rPr>
        <w:t xml:space="preserve">- </w:t>
      </w:r>
      <w:r>
        <w:rPr>
          <w:rtl/>
        </w:rPr>
        <w:t>וסיען</w:t>
      </w:r>
      <w:r>
        <w:rPr>
          <w:rFonts w:hint="cs"/>
          <w:rtl/>
        </w:rPr>
        <w:t>".</w:t>
      </w:r>
    </w:p>
  </w:footnote>
  <w:footnote w:id="396">
    <w:p w14:paraId="5332C516" w14:textId="77777777" w:rsidR="002B4B31" w:rsidRDefault="002B4B31" w:rsidP="002B4B31">
      <w:pPr>
        <w:pStyle w:val="a5"/>
        <w:rPr>
          <w:rFonts w:hint="cs"/>
          <w:rtl/>
        </w:rPr>
      </w:pPr>
      <w:r>
        <w:rPr>
          <w:rStyle w:val="a4"/>
          <w:rtl/>
        </w:rPr>
        <w:footnoteRef/>
      </w:r>
      <w:r>
        <w:t xml:space="preserve"> </w:t>
      </w:r>
      <w:r>
        <w:rPr>
          <w:rFonts w:hint="cs"/>
          <w:rtl/>
        </w:rPr>
        <w:t>"</w:t>
      </w:r>
      <w:r>
        <w:rPr>
          <w:rtl/>
        </w:rPr>
        <w:t>פֶּה אֶחָד</w:t>
      </w:r>
      <w:r>
        <w:rPr>
          <w:rFonts w:hint="cs"/>
          <w:rtl/>
        </w:rPr>
        <w:t>": "</w:t>
      </w:r>
      <w:r>
        <w:rPr>
          <w:rtl/>
        </w:rPr>
        <w:t>סִיעָא חדא</w:t>
      </w:r>
      <w:r>
        <w:rPr>
          <w:rFonts w:hint="cs"/>
          <w:rtl/>
        </w:rPr>
        <w:t>" (</w:t>
      </w:r>
      <w:r>
        <w:rPr>
          <w:rtl/>
        </w:rPr>
        <w:t xml:space="preserve">יהושע </w:t>
      </w:r>
      <w:r>
        <w:rPr>
          <w:sz w:val="18"/>
          <w:szCs w:val="20"/>
          <w:rtl/>
        </w:rPr>
        <w:t>ט</w:t>
      </w:r>
      <w:r>
        <w:rPr>
          <w:rFonts w:hint="cs"/>
          <w:sz w:val="18"/>
          <w:szCs w:val="20"/>
          <w:rtl/>
        </w:rPr>
        <w:t xml:space="preserve">, </w:t>
      </w:r>
      <w:r>
        <w:rPr>
          <w:sz w:val="18"/>
          <w:szCs w:val="20"/>
          <w:rtl/>
        </w:rPr>
        <w:t>ב</w:t>
      </w:r>
      <w:r>
        <w:rPr>
          <w:rFonts w:hint="cs"/>
          <w:rtl/>
        </w:rPr>
        <w:t>).</w:t>
      </w:r>
    </w:p>
  </w:footnote>
  <w:footnote w:id="397">
    <w:p w14:paraId="5DBFCBCF" w14:textId="77777777" w:rsidR="002B4B31" w:rsidRDefault="002B4B31" w:rsidP="002B4B31">
      <w:pPr>
        <w:pStyle w:val="a5"/>
        <w:rPr>
          <w:rFonts w:hint="cs"/>
          <w:rtl/>
        </w:rPr>
      </w:pPr>
      <w:r>
        <w:rPr>
          <w:rStyle w:val="a4"/>
          <w:rtl/>
        </w:rPr>
        <w:footnoteRef/>
      </w:r>
      <w:r>
        <w:t xml:space="preserve"> </w:t>
      </w:r>
      <w:r>
        <w:rPr>
          <w:rFonts w:hint="cs"/>
          <w:rtl/>
        </w:rPr>
        <w:t>כגון "</w:t>
      </w:r>
      <w:r>
        <w:rPr>
          <w:sz w:val="24"/>
          <w:rtl/>
          <w:lang w:eastAsia="he-IL"/>
        </w:rPr>
        <w:t>אתא חד</w:t>
      </w:r>
      <w:r>
        <w:rPr>
          <w:rFonts w:hint="cs"/>
          <w:sz w:val="24"/>
          <w:rtl/>
          <w:lang w:eastAsia="he-IL"/>
        </w:rPr>
        <w:t xml:space="preserve"> </w:t>
      </w:r>
      <w:r>
        <w:rPr>
          <w:sz w:val="24"/>
          <w:rtl/>
          <w:lang w:eastAsia="he-IL"/>
        </w:rPr>
        <w:t>סיעא</w:t>
      </w:r>
      <w:r>
        <w:rPr>
          <w:rFonts w:hint="cs"/>
          <w:sz w:val="24"/>
          <w:rtl/>
          <w:lang w:eastAsia="he-IL"/>
        </w:rPr>
        <w:t>" (</w:t>
      </w:r>
      <w:r>
        <w:rPr>
          <w:sz w:val="24"/>
          <w:rtl/>
          <w:lang w:eastAsia="he-IL"/>
        </w:rPr>
        <w:t xml:space="preserve">ירושלמי פיאה </w:t>
      </w:r>
      <w:r>
        <w:rPr>
          <w:sz w:val="18"/>
          <w:szCs w:val="20"/>
          <w:rtl/>
          <w:lang w:eastAsia="he-IL"/>
        </w:rPr>
        <w:t>פ</w:t>
      </w:r>
      <w:r>
        <w:rPr>
          <w:rFonts w:hint="cs"/>
          <w:sz w:val="18"/>
          <w:szCs w:val="20"/>
          <w:rtl/>
          <w:lang w:eastAsia="he-IL"/>
        </w:rPr>
        <w:t>"</w:t>
      </w:r>
      <w:r>
        <w:rPr>
          <w:sz w:val="18"/>
          <w:szCs w:val="20"/>
          <w:rtl/>
          <w:lang w:eastAsia="he-IL"/>
        </w:rPr>
        <w:t>ח ה"ו</w:t>
      </w:r>
      <w:r>
        <w:rPr>
          <w:rFonts w:hint="cs"/>
          <w:sz w:val="24"/>
          <w:rtl/>
          <w:lang w:eastAsia="he-IL"/>
        </w:rPr>
        <w:t>).</w:t>
      </w:r>
    </w:p>
  </w:footnote>
  <w:footnote w:id="398">
    <w:p w14:paraId="21FAB6D7" w14:textId="77777777" w:rsidR="002B4B31" w:rsidRDefault="002B4B31" w:rsidP="002B4B31">
      <w:pPr>
        <w:pStyle w:val="a5"/>
        <w:rPr>
          <w:rFonts w:hint="cs"/>
          <w:rtl/>
        </w:rPr>
      </w:pPr>
      <w:r>
        <w:rPr>
          <w:rStyle w:val="a4"/>
          <w:rtl/>
        </w:rPr>
        <w:footnoteRef/>
      </w:r>
      <w:r>
        <w:t xml:space="preserve"> </w:t>
      </w:r>
      <w:r>
        <w:rPr>
          <w:rtl/>
        </w:rPr>
        <w:t>פרשה סד</w:t>
      </w:r>
      <w:r>
        <w:rPr>
          <w:rFonts w:hint="cs"/>
          <w:rtl/>
        </w:rPr>
        <w:t>: "</w:t>
      </w:r>
      <w:r>
        <w:rPr>
          <w:rtl/>
        </w:rPr>
        <w:t>ואחוזת מרעהו</w:t>
      </w:r>
      <w:r>
        <w:rPr>
          <w:rFonts w:hint="cs"/>
          <w:rtl/>
        </w:rPr>
        <w:t>.</w:t>
      </w:r>
      <w:r>
        <w:rPr>
          <w:rtl/>
        </w:rPr>
        <w:t xml:space="preserve"> ר' יהודה אמר</w:t>
      </w:r>
      <w:r>
        <w:rPr>
          <w:rFonts w:hint="cs"/>
          <w:rtl/>
        </w:rPr>
        <w:t>:</w:t>
      </w:r>
      <w:r>
        <w:rPr>
          <w:rtl/>
        </w:rPr>
        <w:t xml:space="preserve"> אחוזת מרעהו היה שמו</w:t>
      </w:r>
      <w:r>
        <w:rPr>
          <w:rFonts w:hint="cs"/>
          <w:rtl/>
        </w:rPr>
        <w:t xml:space="preserve">; </w:t>
      </w:r>
      <w:r>
        <w:rPr>
          <w:rtl/>
        </w:rPr>
        <w:t>ר' נחמיה אמר</w:t>
      </w:r>
      <w:r>
        <w:rPr>
          <w:rFonts w:hint="cs"/>
          <w:rtl/>
        </w:rPr>
        <w:t>:</w:t>
      </w:r>
      <w:r>
        <w:rPr>
          <w:rtl/>
        </w:rPr>
        <w:t xml:space="preserve"> </w:t>
      </w:r>
      <w:r>
        <w:rPr>
          <w:b/>
          <w:bCs/>
          <w:rtl/>
        </w:rPr>
        <w:t>סיעת</w:t>
      </w:r>
      <w:r>
        <w:rPr>
          <w:rtl/>
        </w:rPr>
        <w:t xml:space="preserve"> מרחמוהי</w:t>
      </w:r>
      <w:r>
        <w:rPr>
          <w:rFonts w:hint="cs"/>
          <w:rtl/>
        </w:rPr>
        <w:t xml:space="preserve">" (נוסח הדפוס). ובמהדורת </w:t>
      </w:r>
      <w:r>
        <w:rPr>
          <w:rtl/>
        </w:rPr>
        <w:t>תיאודור-אלבק</w:t>
      </w:r>
      <w:r>
        <w:rPr>
          <w:rFonts w:hint="cs"/>
          <w:rtl/>
        </w:rPr>
        <w:t>: "</w:t>
      </w:r>
      <w:r>
        <w:rPr>
          <w:b/>
          <w:bCs/>
          <w:rtl/>
        </w:rPr>
        <w:t>סיעה</w:t>
      </w:r>
      <w:r>
        <w:rPr>
          <w:rtl/>
        </w:rPr>
        <w:t xml:space="preserve"> מן רחמוי</w:t>
      </w:r>
      <w:r>
        <w:rPr>
          <w:rFonts w:hint="cs"/>
          <w:rtl/>
        </w:rPr>
        <w:t>"</w:t>
      </w:r>
      <w:r>
        <w:rPr>
          <w:rtl/>
        </w:rPr>
        <w:t xml:space="preserve">. </w:t>
      </w:r>
    </w:p>
  </w:footnote>
  <w:footnote w:id="399">
    <w:p w14:paraId="2A452C80" w14:textId="77777777" w:rsidR="002B4B31" w:rsidRDefault="002B4B31" w:rsidP="002B4B31">
      <w:pPr>
        <w:pStyle w:val="a5"/>
        <w:rPr>
          <w:rtl/>
        </w:rPr>
      </w:pPr>
      <w:r>
        <w:rPr>
          <w:rStyle w:val="a4"/>
          <w:rtl/>
        </w:rPr>
        <w:footnoteRef/>
      </w:r>
      <w:r>
        <w:t xml:space="preserve"> </w:t>
      </w:r>
      <w:r>
        <w:rPr>
          <w:rFonts w:hint="cs"/>
          <w:rtl/>
        </w:rPr>
        <w:t>מילה זו מופיעה, למשל, ב</w:t>
      </w:r>
      <w:r>
        <w:rPr>
          <w:sz w:val="24"/>
          <w:rtl/>
          <w:lang w:eastAsia="he-IL"/>
        </w:rPr>
        <w:t xml:space="preserve">ירושלמי שבת </w:t>
      </w:r>
      <w:r>
        <w:rPr>
          <w:sz w:val="18"/>
          <w:szCs w:val="20"/>
          <w:rtl/>
          <w:lang w:eastAsia="he-IL"/>
        </w:rPr>
        <w:t>פרק יח ה"ג</w:t>
      </w:r>
      <w:r>
        <w:rPr>
          <w:rFonts w:hint="cs"/>
          <w:sz w:val="24"/>
          <w:rtl/>
          <w:lang w:eastAsia="he-IL"/>
        </w:rPr>
        <w:t>: "</w:t>
      </w:r>
      <w:r>
        <w:rPr>
          <w:sz w:val="24"/>
          <w:rtl/>
          <w:lang w:eastAsia="he-IL"/>
        </w:rPr>
        <w:t>אי זהו הסיוע</w:t>
      </w:r>
      <w:r>
        <w:rPr>
          <w:rFonts w:hint="cs"/>
          <w:sz w:val="24"/>
          <w:rtl/>
          <w:lang w:eastAsia="he-IL"/>
        </w:rPr>
        <w:t>".</w:t>
      </w:r>
    </w:p>
  </w:footnote>
  <w:footnote w:id="400">
    <w:p w14:paraId="3AC8EE89" w14:textId="77777777" w:rsidR="002B4B31" w:rsidRDefault="002B4B31" w:rsidP="002B4B31">
      <w:pPr>
        <w:pStyle w:val="a5"/>
        <w:rPr>
          <w:rFonts w:hint="cs"/>
          <w:sz w:val="24"/>
          <w:rtl/>
          <w:lang w:eastAsia="he-IL"/>
        </w:rPr>
      </w:pPr>
      <w:r>
        <w:rPr>
          <w:rStyle w:val="a4"/>
          <w:rtl/>
        </w:rPr>
        <w:footnoteRef/>
      </w:r>
      <w:r>
        <w:t xml:space="preserve"> </w:t>
      </w:r>
      <w:r>
        <w:rPr>
          <w:rFonts w:hint="cs"/>
          <w:sz w:val="24"/>
          <w:rtl/>
          <w:lang w:eastAsia="he-IL"/>
        </w:rPr>
        <w:t xml:space="preserve">כן נראה לנקד, ע"פ השם המקראי של אבי </w:t>
      </w:r>
      <w:r>
        <w:rPr>
          <w:sz w:val="24"/>
          <w:rtl/>
          <w:lang w:eastAsia="he-IL"/>
        </w:rPr>
        <w:t>אֱלִיצָפָן</w:t>
      </w:r>
      <w:r>
        <w:rPr>
          <w:rFonts w:hint="cs"/>
          <w:sz w:val="24"/>
          <w:rtl/>
          <w:lang w:eastAsia="he-IL"/>
        </w:rPr>
        <w:t>, נשיא שבט זבולון (</w:t>
      </w:r>
      <w:r>
        <w:rPr>
          <w:sz w:val="18"/>
          <w:szCs w:val="20"/>
          <w:rtl/>
          <w:lang w:eastAsia="he-IL"/>
        </w:rPr>
        <w:t>במדבר לד</w:t>
      </w:r>
      <w:r>
        <w:rPr>
          <w:rFonts w:hint="cs"/>
          <w:sz w:val="18"/>
          <w:szCs w:val="20"/>
          <w:rtl/>
          <w:lang w:eastAsia="he-IL"/>
        </w:rPr>
        <w:t xml:space="preserve">, </w:t>
      </w:r>
      <w:r>
        <w:rPr>
          <w:sz w:val="18"/>
          <w:szCs w:val="20"/>
          <w:rtl/>
          <w:lang w:eastAsia="he-IL"/>
        </w:rPr>
        <w:t>כה</w:t>
      </w:r>
      <w:r>
        <w:rPr>
          <w:rFonts w:hint="cs"/>
          <w:sz w:val="24"/>
          <w:rtl/>
          <w:lang w:eastAsia="he-IL"/>
        </w:rPr>
        <w:t>).</w:t>
      </w:r>
    </w:p>
  </w:footnote>
  <w:footnote w:id="401">
    <w:p w14:paraId="4973D4E9" w14:textId="77777777" w:rsidR="002B4B31" w:rsidRDefault="002B4B31" w:rsidP="002B4B31">
      <w:pPr>
        <w:pStyle w:val="a5"/>
        <w:rPr>
          <w:rtl/>
        </w:rPr>
      </w:pPr>
      <w:r>
        <w:rPr>
          <w:rStyle w:val="a4"/>
          <w:rtl/>
        </w:rPr>
        <w:footnoteRef/>
      </w:r>
      <w:r>
        <w:t xml:space="preserve"> </w:t>
      </w:r>
      <w:r>
        <w:rPr>
          <w:rFonts w:hint="cs"/>
          <w:rtl/>
        </w:rPr>
        <w:t>ראה המובא כאן ע"י הרב עובדיה יוסף: מאור ישראל</w:t>
      </w:r>
      <w:r>
        <w:rPr>
          <w:rFonts w:hint="cs"/>
          <w:sz w:val="18"/>
          <w:szCs w:val="20"/>
          <w:rtl/>
        </w:rPr>
        <w:t>, ירושלים תשנ"ו, ח"א, עמ' עה</w:t>
      </w:r>
      <w:r>
        <w:rPr>
          <w:rFonts w:hint="cs"/>
          <w:rtl/>
        </w:rPr>
        <w:t>.</w:t>
      </w:r>
    </w:p>
  </w:footnote>
  <w:footnote w:id="402">
    <w:p w14:paraId="7BBBD1FF" w14:textId="77777777" w:rsidR="002B4B31" w:rsidRDefault="002B4B31" w:rsidP="002B4B31">
      <w:pPr>
        <w:pStyle w:val="a5"/>
        <w:rPr>
          <w:rFonts w:hint="cs"/>
          <w:rtl/>
        </w:rPr>
      </w:pPr>
      <w:r>
        <w:rPr>
          <w:rStyle w:val="a4"/>
          <w:rtl/>
        </w:rPr>
        <w:footnoteRef/>
      </w:r>
      <w:r>
        <w:t xml:space="preserve"> </w:t>
      </w:r>
      <w:r>
        <w:rPr>
          <w:rFonts w:hint="cs"/>
          <w:rtl/>
        </w:rPr>
        <w:t>השאלה כזו נקראת "האנשה".</w:t>
      </w:r>
    </w:p>
  </w:footnote>
  <w:footnote w:id="403">
    <w:p w14:paraId="6F741E4B" w14:textId="77777777" w:rsidR="002B4B31" w:rsidRDefault="002B4B31" w:rsidP="002B4B31">
      <w:pPr>
        <w:pStyle w:val="a5"/>
        <w:rPr>
          <w:rFonts w:hint="cs"/>
          <w:rtl/>
        </w:rPr>
      </w:pPr>
      <w:r>
        <w:rPr>
          <w:rStyle w:val="a4"/>
          <w:sz w:val="28"/>
          <w:szCs w:val="28"/>
          <w:rtl/>
        </w:rPr>
        <w:footnoteRef/>
      </w:r>
      <w:r>
        <w:t xml:space="preserve"> </w:t>
      </w:r>
      <w:r>
        <w:rPr>
          <w:rFonts w:hint="cs"/>
          <w:rtl/>
        </w:rPr>
        <w:t>"</w:t>
      </w:r>
      <w:r>
        <w:rPr>
          <w:rtl/>
        </w:rPr>
        <w:t>לא ליגע ביד ערומה בספר התורה</w:t>
      </w:r>
      <w:r>
        <w:rPr>
          <w:rFonts w:hint="cs"/>
          <w:rtl/>
        </w:rPr>
        <w:t>" (</w:t>
      </w:r>
      <w:r>
        <w:rPr>
          <w:sz w:val="18"/>
          <w:szCs w:val="20"/>
          <w:rtl/>
        </w:rPr>
        <w:t>פירושי סידור</w:t>
      </w:r>
      <w:r>
        <w:rPr>
          <w:sz w:val="18"/>
          <w:szCs w:val="20"/>
          <w:rtl/>
          <w:lang w:eastAsia="he-IL"/>
        </w:rPr>
        <w:t xml:space="preserve"> התפילה לרוקח</w:t>
      </w:r>
      <w:r>
        <w:rPr>
          <w:rFonts w:hint="cs"/>
          <w:sz w:val="18"/>
          <w:szCs w:val="20"/>
          <w:rtl/>
          <w:lang w:eastAsia="he-IL"/>
        </w:rPr>
        <w:t xml:space="preserve">, </w:t>
      </w:r>
      <w:r>
        <w:rPr>
          <w:sz w:val="18"/>
          <w:szCs w:val="20"/>
          <w:rtl/>
          <w:lang w:eastAsia="he-IL"/>
        </w:rPr>
        <w:t>צו</w:t>
      </w:r>
      <w:r>
        <w:rPr>
          <w:rFonts w:hint="cs"/>
          <w:sz w:val="18"/>
          <w:szCs w:val="20"/>
          <w:rtl/>
          <w:lang w:eastAsia="he-IL"/>
        </w:rPr>
        <w:t xml:space="preserve">, </w:t>
      </w:r>
      <w:r>
        <w:rPr>
          <w:sz w:val="18"/>
          <w:szCs w:val="20"/>
          <w:rtl/>
          <w:lang w:eastAsia="he-IL"/>
        </w:rPr>
        <w:t>עמ</w:t>
      </w:r>
      <w:r>
        <w:rPr>
          <w:rFonts w:hint="cs"/>
          <w:sz w:val="18"/>
          <w:szCs w:val="20"/>
          <w:rtl/>
          <w:lang w:eastAsia="he-IL"/>
        </w:rPr>
        <w:t xml:space="preserve">' </w:t>
      </w:r>
      <w:r>
        <w:rPr>
          <w:sz w:val="18"/>
          <w:szCs w:val="20"/>
          <w:rtl/>
          <w:lang w:eastAsia="he-IL"/>
        </w:rPr>
        <w:t>תקנב</w:t>
      </w:r>
      <w:r>
        <w:rPr>
          <w:rFonts w:hint="cs"/>
          <w:sz w:val="24"/>
          <w:rtl/>
          <w:lang w:eastAsia="he-IL"/>
        </w:rPr>
        <w:t>).</w:t>
      </w:r>
    </w:p>
  </w:footnote>
  <w:footnote w:id="404">
    <w:p w14:paraId="54BB0A6C" w14:textId="77777777" w:rsidR="002B4B31" w:rsidRDefault="002B4B31" w:rsidP="002B4B31">
      <w:pPr>
        <w:pStyle w:val="a5"/>
        <w:rPr>
          <w:rFonts w:hint="cs"/>
          <w:rtl/>
        </w:rPr>
      </w:pPr>
      <w:r>
        <w:rPr>
          <w:rStyle w:val="a4"/>
          <w:rtl/>
        </w:rPr>
        <w:footnoteRef/>
      </w:r>
      <w:r>
        <w:t xml:space="preserve"> </w:t>
      </w:r>
      <w:r>
        <w:rPr>
          <w:rFonts w:hint="cs"/>
          <w:rtl/>
        </w:rPr>
        <w:t>אמנם, יש מפרשים שהמשפט "חייב אדם לומר בלשון רבו" אינו נימוק לשינוי הסגנון של הלל, כי אם הסבר לחוסר העקביות בסגנונו של עורך המשנה, שלא השוה את המידות, אף שהיה מובן יותר אם היה שונה את דברי הלל ושמאי באותה מִדה: "הלל אומר ג' קבין, ושמאי אומר ט' קבין" (</w:t>
      </w:r>
      <w:r>
        <w:rPr>
          <w:sz w:val="18"/>
          <w:szCs w:val="20"/>
          <w:rtl/>
        </w:rPr>
        <w:t>שו"ת מהרי"ק סימן קע</w:t>
      </w:r>
      <w:r>
        <w:rPr>
          <w:rFonts w:hint="cs"/>
          <w:sz w:val="18"/>
          <w:szCs w:val="20"/>
          <w:rtl/>
        </w:rPr>
        <w:t>"</w:t>
      </w:r>
      <w:r>
        <w:rPr>
          <w:sz w:val="18"/>
          <w:szCs w:val="20"/>
          <w:rtl/>
        </w:rPr>
        <w:t>ו</w:t>
      </w:r>
      <w:r>
        <w:rPr>
          <w:rFonts w:hint="cs"/>
          <w:sz w:val="18"/>
          <w:szCs w:val="20"/>
          <w:rtl/>
        </w:rPr>
        <w:t>:</w:t>
      </w:r>
      <w:r>
        <w:rPr>
          <w:sz w:val="18"/>
          <w:szCs w:val="20"/>
          <w:rtl/>
        </w:rPr>
        <w:t xml:space="preserve"> </w:t>
      </w:r>
      <w:r>
        <w:rPr>
          <w:rFonts w:hint="cs"/>
          <w:sz w:val="18"/>
          <w:szCs w:val="20"/>
          <w:rtl/>
        </w:rPr>
        <w:t>"</w:t>
      </w:r>
      <w:r>
        <w:rPr>
          <w:sz w:val="18"/>
          <w:szCs w:val="20"/>
          <w:rtl/>
        </w:rPr>
        <w:t>דמאחר שהתנאים שהיו לפני ר</w:t>
      </w:r>
      <w:r>
        <w:rPr>
          <w:rFonts w:hint="cs"/>
          <w:sz w:val="18"/>
          <w:szCs w:val="20"/>
          <w:rtl/>
        </w:rPr>
        <w:t>בי</w:t>
      </w:r>
      <w:r>
        <w:rPr>
          <w:sz w:val="18"/>
          <w:szCs w:val="20"/>
          <w:rtl/>
        </w:rPr>
        <w:t xml:space="preserve"> שנו משנתן בסגנון זה</w:t>
      </w:r>
      <w:r>
        <w:rPr>
          <w:rFonts w:hint="cs"/>
          <w:sz w:val="18"/>
          <w:szCs w:val="20"/>
          <w:rtl/>
        </w:rPr>
        <w:t>,</w:t>
      </w:r>
      <w:r>
        <w:rPr>
          <w:sz w:val="18"/>
          <w:szCs w:val="20"/>
          <w:rtl/>
        </w:rPr>
        <w:t xml:space="preserve"> גם ר</w:t>
      </w:r>
      <w:r>
        <w:rPr>
          <w:rFonts w:hint="cs"/>
          <w:sz w:val="18"/>
          <w:szCs w:val="20"/>
          <w:rtl/>
        </w:rPr>
        <w:t>בי</w:t>
      </w:r>
      <w:r>
        <w:rPr>
          <w:sz w:val="18"/>
          <w:szCs w:val="20"/>
          <w:rtl/>
        </w:rPr>
        <w:t xml:space="preserve"> שנאה כן ולא רצה לשנות לשון רבו</w:t>
      </w:r>
      <w:r>
        <w:rPr>
          <w:rFonts w:hint="cs"/>
          <w:sz w:val="18"/>
          <w:szCs w:val="20"/>
          <w:rtl/>
        </w:rPr>
        <w:t>"; וכ"כ</w:t>
      </w:r>
      <w:r>
        <w:rPr>
          <w:rFonts w:hint="cs"/>
          <w:szCs w:val="20"/>
          <w:rtl/>
        </w:rPr>
        <w:t xml:space="preserve"> הגר"א, אליהו רבא, נגעים פ"א, מ"ב; והשוה </w:t>
      </w:r>
      <w:r>
        <w:rPr>
          <w:rFonts w:hint="cs"/>
          <w:sz w:val="18"/>
          <w:szCs w:val="20"/>
          <w:rtl/>
        </w:rPr>
        <w:t>ללשון ה</w:t>
      </w:r>
      <w:r>
        <w:rPr>
          <w:sz w:val="18"/>
          <w:szCs w:val="20"/>
          <w:rtl/>
        </w:rPr>
        <w:t>תוספתא</w:t>
      </w:r>
      <w:r>
        <w:rPr>
          <w:rFonts w:hint="cs"/>
          <w:sz w:val="18"/>
          <w:szCs w:val="20"/>
          <w:rtl/>
        </w:rPr>
        <w:t xml:space="preserve">, </w:t>
      </w:r>
      <w:r>
        <w:rPr>
          <w:sz w:val="18"/>
          <w:szCs w:val="20"/>
          <w:rtl/>
        </w:rPr>
        <w:t>עדיות פ</w:t>
      </w:r>
      <w:r>
        <w:rPr>
          <w:rFonts w:hint="cs"/>
          <w:sz w:val="18"/>
          <w:szCs w:val="20"/>
          <w:rtl/>
        </w:rPr>
        <w:t>"</w:t>
      </w:r>
      <w:r>
        <w:rPr>
          <w:sz w:val="18"/>
          <w:szCs w:val="20"/>
          <w:rtl/>
        </w:rPr>
        <w:t>א ה</w:t>
      </w:r>
      <w:r>
        <w:rPr>
          <w:rFonts w:hint="cs"/>
          <w:sz w:val="18"/>
          <w:szCs w:val="20"/>
          <w:rtl/>
        </w:rPr>
        <w:t>"ב/ה"</w:t>
      </w:r>
      <w:r>
        <w:rPr>
          <w:sz w:val="18"/>
          <w:szCs w:val="20"/>
          <w:rtl/>
        </w:rPr>
        <w:t>ג</w:t>
      </w:r>
      <w:r>
        <w:rPr>
          <w:rFonts w:hint="cs"/>
          <w:sz w:val="18"/>
          <w:szCs w:val="20"/>
          <w:rtl/>
        </w:rPr>
        <w:t>).</w:t>
      </w:r>
    </w:p>
  </w:footnote>
  <w:footnote w:id="405">
    <w:p w14:paraId="268BAFB9" w14:textId="77777777" w:rsidR="002B4B31" w:rsidRDefault="002B4B31" w:rsidP="002B4B31">
      <w:pPr>
        <w:pStyle w:val="a5"/>
        <w:rPr>
          <w:rFonts w:hint="cs"/>
          <w:sz w:val="24"/>
          <w:rtl/>
          <w:lang w:eastAsia="he-IL"/>
        </w:rPr>
      </w:pPr>
      <w:r>
        <w:rPr>
          <w:rStyle w:val="a4"/>
          <w:rtl/>
        </w:rPr>
        <w:footnoteRef/>
      </w:r>
      <w:r>
        <w:t xml:space="preserve"> </w:t>
      </w:r>
      <w:r>
        <w:rPr>
          <w:rFonts w:hint="cs"/>
          <w:rtl/>
        </w:rPr>
        <w:t>דרך אגב, מעניינת הערתו של ה</w:t>
      </w:r>
      <w:r>
        <w:rPr>
          <w:sz w:val="24"/>
          <w:rtl/>
          <w:lang w:eastAsia="he-IL"/>
        </w:rPr>
        <w:t xml:space="preserve">רשב"ץ </w:t>
      </w:r>
      <w:r>
        <w:rPr>
          <w:rFonts w:hint="cs"/>
          <w:sz w:val="24"/>
          <w:rtl/>
          <w:lang w:eastAsia="he-IL"/>
        </w:rPr>
        <w:t>(</w:t>
      </w:r>
      <w:r>
        <w:rPr>
          <w:sz w:val="24"/>
          <w:rtl/>
          <w:lang w:eastAsia="he-IL"/>
        </w:rPr>
        <w:t>מגן אבות</w:t>
      </w:r>
      <w:r>
        <w:rPr>
          <w:rFonts w:hint="cs"/>
          <w:sz w:val="18"/>
          <w:szCs w:val="20"/>
          <w:rtl/>
          <w:lang w:eastAsia="he-IL"/>
        </w:rPr>
        <w:t xml:space="preserve">, </w:t>
      </w:r>
      <w:r>
        <w:rPr>
          <w:sz w:val="18"/>
          <w:szCs w:val="20"/>
          <w:rtl/>
          <w:lang w:eastAsia="he-IL"/>
        </w:rPr>
        <w:t>פ</w:t>
      </w:r>
      <w:r>
        <w:rPr>
          <w:rFonts w:hint="cs"/>
          <w:sz w:val="18"/>
          <w:szCs w:val="20"/>
          <w:rtl/>
          <w:lang w:eastAsia="he-IL"/>
        </w:rPr>
        <w:t>"</w:t>
      </w:r>
      <w:r>
        <w:rPr>
          <w:sz w:val="18"/>
          <w:szCs w:val="20"/>
          <w:rtl/>
          <w:lang w:eastAsia="he-IL"/>
        </w:rPr>
        <w:t>א מ</w:t>
      </w:r>
      <w:r>
        <w:rPr>
          <w:rFonts w:hint="cs"/>
          <w:sz w:val="18"/>
          <w:szCs w:val="20"/>
          <w:rtl/>
          <w:lang w:eastAsia="he-IL"/>
        </w:rPr>
        <w:t>"</w:t>
      </w:r>
      <w:r>
        <w:rPr>
          <w:sz w:val="18"/>
          <w:szCs w:val="20"/>
          <w:rtl/>
          <w:lang w:eastAsia="he-IL"/>
        </w:rPr>
        <w:t>י</w:t>
      </w:r>
      <w:r>
        <w:rPr>
          <w:rFonts w:hint="cs"/>
          <w:sz w:val="24"/>
          <w:rtl/>
          <w:lang w:eastAsia="he-IL"/>
        </w:rPr>
        <w:t>):</w:t>
      </w:r>
      <w:r>
        <w:rPr>
          <w:sz w:val="24"/>
          <w:rtl/>
          <w:lang w:eastAsia="he-IL"/>
        </w:rPr>
        <w:t xml:space="preserve"> </w:t>
      </w:r>
    </w:p>
    <w:p w14:paraId="57E1018E" w14:textId="77777777" w:rsidR="002B4B31" w:rsidRDefault="002B4B31" w:rsidP="002B4B31">
      <w:pPr>
        <w:pStyle w:val="a5"/>
        <w:ind w:left="720"/>
        <w:rPr>
          <w:rFonts w:hint="cs"/>
          <w:sz w:val="24"/>
          <w:rtl/>
          <w:lang w:eastAsia="he-IL"/>
        </w:rPr>
      </w:pPr>
      <w:r>
        <w:rPr>
          <w:rFonts w:hint="cs"/>
          <w:sz w:val="24"/>
          <w:rtl/>
          <w:lang w:eastAsia="he-IL"/>
        </w:rPr>
        <w:t>"</w:t>
      </w:r>
      <w:r>
        <w:rPr>
          <w:sz w:val="24"/>
          <w:rtl/>
          <w:lang w:eastAsia="he-IL"/>
        </w:rPr>
        <w:t>למה קראוהו אבטליון לשון ביטול, ואע</w:t>
      </w:r>
      <w:r>
        <w:rPr>
          <w:rFonts w:hint="cs"/>
          <w:sz w:val="24"/>
          <w:rtl/>
          <w:lang w:eastAsia="he-IL"/>
        </w:rPr>
        <w:t>"פ</w:t>
      </w:r>
      <w:r>
        <w:rPr>
          <w:sz w:val="24"/>
          <w:rtl/>
          <w:lang w:eastAsia="he-IL"/>
        </w:rPr>
        <w:t xml:space="preserve"> שיש שמות שאין אנחנו מבינים מאי זה מוצא הם</w:t>
      </w:r>
      <w:r>
        <w:rPr>
          <w:rFonts w:hint="cs"/>
          <w:sz w:val="24"/>
          <w:rtl/>
          <w:lang w:eastAsia="he-IL"/>
        </w:rPr>
        <w:t xml:space="preserve">, </w:t>
      </w:r>
      <w:r>
        <w:rPr>
          <w:sz w:val="24"/>
          <w:rtl/>
          <w:lang w:eastAsia="he-IL"/>
        </w:rPr>
        <w:t>כגון</w:t>
      </w:r>
      <w:r>
        <w:rPr>
          <w:rFonts w:hint="cs"/>
          <w:sz w:val="24"/>
          <w:rtl/>
          <w:lang w:eastAsia="he-IL"/>
        </w:rPr>
        <w:t xml:space="preserve">: </w:t>
      </w:r>
      <w:r>
        <w:rPr>
          <w:sz w:val="24"/>
          <w:rtl/>
          <w:lang w:eastAsia="he-IL"/>
        </w:rPr>
        <w:t>אנטיגנוס ונתאי וכיוצא בהם, אפשר שהיו מלשון יון, אבל אבטליון הוא לשון ביטול, והוא גנאי לכנות כן גר צדק שהיה אב בית דין של ישראל. ונראה שפירוש זה השם הוא, אב קטנים, כי הקטנים נקראים טליי בלשון תלמוד</w:t>
      </w:r>
      <w:r>
        <w:rPr>
          <w:rFonts w:hint="cs"/>
          <w:sz w:val="24"/>
          <w:rtl/>
          <w:lang w:eastAsia="he-IL"/>
        </w:rPr>
        <w:t xml:space="preserve">... </w:t>
      </w:r>
      <w:r>
        <w:rPr>
          <w:sz w:val="24"/>
          <w:rtl/>
          <w:lang w:eastAsia="he-IL"/>
        </w:rPr>
        <w:t>כמו הטלאים שהם קטני הכבשים</w:t>
      </w:r>
      <w:r>
        <w:rPr>
          <w:rFonts w:hint="cs"/>
          <w:sz w:val="24"/>
          <w:rtl/>
          <w:lang w:eastAsia="he-IL"/>
        </w:rPr>
        <w:t>..</w:t>
      </w:r>
      <w:r>
        <w:rPr>
          <w:sz w:val="24"/>
          <w:rtl/>
          <w:lang w:eastAsia="he-IL"/>
        </w:rPr>
        <w:t>. ולפי שהוא אב בית דין קראוהו אבטליון, כלומר אבי קטנים. שכן אמרו</w:t>
      </w:r>
      <w:r>
        <w:rPr>
          <w:rFonts w:hint="cs"/>
          <w:sz w:val="24"/>
          <w:rtl/>
          <w:lang w:eastAsia="he-IL"/>
        </w:rPr>
        <w:t xml:space="preserve">... </w:t>
      </w:r>
      <w:r>
        <w:rPr>
          <w:sz w:val="24"/>
          <w:rtl/>
          <w:lang w:eastAsia="he-IL"/>
        </w:rPr>
        <w:t>רבן גמליאל ובית דינו, אביהם של יתומים הוא. וכן אפוטרופוס, בלשון רומי, הוא אבי קטנים</w:t>
      </w:r>
      <w:r>
        <w:rPr>
          <w:rFonts w:hint="cs"/>
          <w:sz w:val="24"/>
          <w:rtl/>
          <w:lang w:eastAsia="he-IL"/>
        </w:rPr>
        <w:t>".</w:t>
      </w:r>
    </w:p>
  </w:footnote>
  <w:footnote w:id="406">
    <w:p w14:paraId="6E058B03" w14:textId="77777777" w:rsidR="002B4B31" w:rsidRDefault="002B4B31" w:rsidP="002B4B31">
      <w:pPr>
        <w:pStyle w:val="a5"/>
        <w:rPr>
          <w:rFonts w:hint="cs"/>
          <w:rtl/>
        </w:rPr>
      </w:pPr>
      <w:r>
        <w:rPr>
          <w:rStyle w:val="a4"/>
          <w:rtl/>
        </w:rPr>
        <w:footnoteRef/>
      </w:r>
      <w:r>
        <w:t xml:space="preserve"> </w:t>
      </w:r>
      <w:r>
        <w:rPr>
          <w:rFonts w:hint="cs"/>
          <w:rtl/>
        </w:rPr>
        <w:t>אכמ"ל בקביעה זו, שלכאורה נסתרת מ</w:t>
      </w:r>
      <w:r>
        <w:rPr>
          <w:rtl/>
        </w:rPr>
        <w:t>מסכת מנחות פ</w:t>
      </w:r>
      <w:r>
        <w:rPr>
          <w:rFonts w:hint="cs"/>
          <w:rtl/>
        </w:rPr>
        <w:t>"</w:t>
      </w:r>
      <w:r>
        <w:rPr>
          <w:rtl/>
        </w:rPr>
        <w:t>ט מ</w:t>
      </w:r>
      <w:r>
        <w:rPr>
          <w:rFonts w:hint="cs"/>
          <w:rtl/>
        </w:rPr>
        <w:t>"</w:t>
      </w:r>
      <w:r>
        <w:rPr>
          <w:rtl/>
        </w:rPr>
        <w:t>ב</w:t>
      </w:r>
      <w:r>
        <w:rPr>
          <w:rFonts w:hint="cs"/>
          <w:rtl/>
        </w:rPr>
        <w:t xml:space="preserve">. עיין במאמר </w:t>
      </w:r>
      <w:r>
        <w:rPr>
          <w:rtl/>
        </w:rPr>
        <w:t>"מונחים קדומים בתורת כהנים"</w:t>
      </w:r>
      <w:r>
        <w:rPr>
          <w:rFonts w:hint="cs"/>
          <w:rtl/>
        </w:rPr>
        <w:t xml:space="preserve"> (</w:t>
      </w:r>
      <w:r>
        <w:rPr>
          <w:rFonts w:hint="cs"/>
          <w:sz w:val="18"/>
          <w:szCs w:val="20"/>
          <w:rtl/>
        </w:rPr>
        <w:t xml:space="preserve">מאת </w:t>
      </w:r>
      <w:r>
        <w:rPr>
          <w:sz w:val="18"/>
          <w:szCs w:val="20"/>
          <w:rtl/>
        </w:rPr>
        <w:t>י</w:t>
      </w:r>
      <w:r>
        <w:rPr>
          <w:rFonts w:hint="cs"/>
          <w:sz w:val="18"/>
          <w:szCs w:val="20"/>
          <w:rtl/>
        </w:rPr>
        <w:t>"</w:t>
      </w:r>
      <w:r>
        <w:rPr>
          <w:sz w:val="18"/>
          <w:szCs w:val="20"/>
          <w:rtl/>
        </w:rPr>
        <w:t>מ גרינץ</w:t>
      </w:r>
      <w:r>
        <w:rPr>
          <w:rFonts w:hint="cs"/>
          <w:sz w:val="18"/>
          <w:szCs w:val="20"/>
          <w:rtl/>
        </w:rPr>
        <w:t xml:space="preserve"> בתוך:</w:t>
      </w:r>
      <w:r>
        <w:rPr>
          <w:sz w:val="18"/>
          <w:szCs w:val="20"/>
          <w:rtl/>
        </w:rPr>
        <w:t xml:space="preserve"> לשוננו, מ', </w:t>
      </w:r>
      <w:r>
        <w:rPr>
          <w:color w:val="FF0000"/>
          <w:sz w:val="18"/>
          <w:szCs w:val="20"/>
          <w:rtl/>
        </w:rPr>
        <w:t>ירושלים תשל"ו</w:t>
      </w:r>
      <w:r>
        <w:rPr>
          <w:rFonts w:hint="cs"/>
          <w:rtl/>
        </w:rPr>
        <w:t xml:space="preserve">) ובדיונו המקיף של </w:t>
      </w:r>
      <w:r>
        <w:rPr>
          <w:rtl/>
        </w:rPr>
        <w:t>א"ש רוזנטל</w:t>
      </w:r>
      <w:r>
        <w:rPr>
          <w:rFonts w:hint="cs"/>
          <w:rtl/>
        </w:rPr>
        <w:t xml:space="preserve"> (</w:t>
      </w:r>
      <w:r>
        <w:rPr>
          <w:rFonts w:hint="cs"/>
          <w:sz w:val="18"/>
          <w:szCs w:val="20"/>
          <w:rtl/>
        </w:rPr>
        <w:t>"</w:t>
      </w:r>
      <w:r>
        <w:rPr>
          <w:rFonts w:hint="eastAsia"/>
          <w:sz w:val="18"/>
          <w:szCs w:val="20"/>
          <w:rtl/>
        </w:rPr>
        <w:t>מסורת</w:t>
      </w:r>
      <w:r>
        <w:rPr>
          <w:sz w:val="18"/>
          <w:szCs w:val="20"/>
          <w:rtl/>
        </w:rPr>
        <w:t>-</w:t>
      </w:r>
      <w:r>
        <w:rPr>
          <w:rFonts w:hint="eastAsia"/>
          <w:sz w:val="18"/>
          <w:szCs w:val="20"/>
          <w:rtl/>
        </w:rPr>
        <w:t>הלכה</w:t>
      </w:r>
      <w:r>
        <w:rPr>
          <w:sz w:val="18"/>
          <w:szCs w:val="20"/>
          <w:rtl/>
        </w:rPr>
        <w:t xml:space="preserve"> </w:t>
      </w:r>
      <w:r>
        <w:rPr>
          <w:rFonts w:hint="eastAsia"/>
          <w:sz w:val="18"/>
          <w:szCs w:val="20"/>
          <w:rtl/>
        </w:rPr>
        <w:t>וחידושי</w:t>
      </w:r>
      <w:r>
        <w:rPr>
          <w:sz w:val="18"/>
          <w:szCs w:val="20"/>
          <w:rtl/>
        </w:rPr>
        <w:t>-</w:t>
      </w:r>
      <w:r>
        <w:rPr>
          <w:rFonts w:hint="eastAsia"/>
          <w:sz w:val="18"/>
          <w:szCs w:val="20"/>
          <w:rtl/>
        </w:rPr>
        <w:t>הלכות</w:t>
      </w:r>
      <w:r>
        <w:rPr>
          <w:sz w:val="18"/>
          <w:szCs w:val="20"/>
          <w:rtl/>
        </w:rPr>
        <w:t xml:space="preserve"> </w:t>
      </w:r>
      <w:r>
        <w:rPr>
          <w:rFonts w:hint="eastAsia"/>
          <w:sz w:val="18"/>
          <w:szCs w:val="20"/>
          <w:rtl/>
        </w:rPr>
        <w:t>במשנת</w:t>
      </w:r>
      <w:r>
        <w:rPr>
          <w:sz w:val="18"/>
          <w:szCs w:val="20"/>
          <w:rtl/>
        </w:rPr>
        <w:t xml:space="preserve"> </w:t>
      </w:r>
      <w:r>
        <w:rPr>
          <w:rFonts w:hint="eastAsia"/>
          <w:sz w:val="18"/>
          <w:szCs w:val="20"/>
          <w:rtl/>
        </w:rPr>
        <w:t>חכמים</w:t>
      </w:r>
      <w:r>
        <w:rPr>
          <w:rFonts w:hint="cs"/>
          <w:sz w:val="18"/>
          <w:szCs w:val="20"/>
          <w:rtl/>
        </w:rPr>
        <w:t xml:space="preserve">", בתוך: </w:t>
      </w:r>
      <w:r>
        <w:rPr>
          <w:rFonts w:hint="eastAsia"/>
          <w:sz w:val="18"/>
          <w:szCs w:val="20"/>
          <w:rtl/>
        </w:rPr>
        <w:t>תרביץ</w:t>
      </w:r>
      <w:r>
        <w:rPr>
          <w:rFonts w:hint="cs"/>
          <w:sz w:val="18"/>
          <w:szCs w:val="20"/>
          <w:rtl/>
        </w:rPr>
        <w:t>,</w:t>
      </w:r>
      <w:r>
        <w:rPr>
          <w:rFonts w:hint="eastAsia"/>
          <w:sz w:val="18"/>
          <w:szCs w:val="20"/>
          <w:rtl/>
        </w:rPr>
        <w:t> סג</w:t>
      </w:r>
      <w:r>
        <w:rPr>
          <w:sz w:val="18"/>
          <w:szCs w:val="20"/>
          <w:rtl/>
        </w:rPr>
        <w:t>,</w:t>
      </w:r>
      <w:r>
        <w:rPr>
          <w:rFonts w:hint="cs"/>
          <w:sz w:val="18"/>
          <w:szCs w:val="20"/>
          <w:rtl/>
        </w:rPr>
        <w:t xml:space="preserve"> </w:t>
      </w:r>
      <w:r>
        <w:rPr>
          <w:rFonts w:hint="eastAsia"/>
          <w:sz w:val="18"/>
          <w:szCs w:val="20"/>
          <w:rtl/>
        </w:rPr>
        <w:t>ג</w:t>
      </w:r>
      <w:r>
        <w:rPr>
          <w:rFonts w:hint="cs"/>
          <w:sz w:val="18"/>
          <w:szCs w:val="20"/>
          <w:rtl/>
        </w:rPr>
        <w:t xml:space="preserve">, </w:t>
      </w:r>
      <w:r>
        <w:rPr>
          <w:rFonts w:hint="eastAsia"/>
          <w:sz w:val="18"/>
          <w:szCs w:val="20"/>
          <w:rtl/>
        </w:rPr>
        <w:t>תשנ</w:t>
      </w:r>
      <w:r>
        <w:rPr>
          <w:rFonts w:hint="cs"/>
          <w:sz w:val="18"/>
          <w:szCs w:val="20"/>
          <w:rtl/>
        </w:rPr>
        <w:t>"</w:t>
      </w:r>
      <w:r>
        <w:rPr>
          <w:rFonts w:hint="eastAsia"/>
          <w:sz w:val="18"/>
          <w:szCs w:val="20"/>
          <w:rtl/>
        </w:rPr>
        <w:t>ד</w:t>
      </w:r>
      <w:r>
        <w:rPr>
          <w:rFonts w:hint="cs"/>
          <w:sz w:val="18"/>
          <w:szCs w:val="20"/>
          <w:rtl/>
        </w:rPr>
        <w:t xml:space="preserve">, עמ' </w:t>
      </w:r>
      <w:r>
        <w:rPr>
          <w:sz w:val="18"/>
          <w:szCs w:val="20"/>
          <w:rtl/>
        </w:rPr>
        <w:t>3</w:t>
      </w:r>
      <w:r>
        <w:rPr>
          <w:rFonts w:hint="cs"/>
          <w:sz w:val="18"/>
          <w:szCs w:val="20"/>
          <w:rtl/>
        </w:rPr>
        <w:t>59</w:t>
      </w:r>
      <w:r>
        <w:rPr>
          <w:sz w:val="18"/>
          <w:szCs w:val="20"/>
          <w:rtl/>
        </w:rPr>
        <w:t>-374</w:t>
      </w:r>
      <w:r>
        <w:rPr>
          <w:rFonts w:hint="cs"/>
          <w:rtl/>
        </w:rPr>
        <w:t>).</w:t>
      </w:r>
    </w:p>
  </w:footnote>
  <w:footnote w:id="407">
    <w:p w14:paraId="65B2D78A" w14:textId="77777777" w:rsidR="002B4B31" w:rsidRDefault="002B4B31" w:rsidP="002B4B31">
      <w:pPr>
        <w:pStyle w:val="a5"/>
        <w:rPr>
          <w:rFonts w:hint="cs"/>
          <w:rtl/>
        </w:rPr>
      </w:pPr>
      <w:r>
        <w:rPr>
          <w:rStyle w:val="a4"/>
          <w:rtl/>
        </w:rPr>
        <w:footnoteRef/>
      </w:r>
      <w:r>
        <w:t xml:space="preserve"> </w:t>
      </w:r>
      <w:r>
        <w:rPr>
          <w:rFonts w:hint="cs"/>
          <w:rtl/>
        </w:rPr>
        <w:t>ומהו טעם רבותיו שנקטו דווקא כאן לשון תורה? כתב ראב"ד בפירושו לעדיות (</w:t>
      </w:r>
      <w:r>
        <w:rPr>
          <w:rFonts w:hint="cs"/>
          <w:sz w:val="18"/>
          <w:szCs w:val="20"/>
          <w:rtl/>
        </w:rPr>
        <w:t>והביאוהו כאן רמב"ן ותלמידיו</w:t>
      </w:r>
      <w:r>
        <w:rPr>
          <w:rFonts w:hint="cs"/>
          <w:rtl/>
        </w:rPr>
        <w:t xml:space="preserve">): </w:t>
      </w:r>
    </w:p>
    <w:p w14:paraId="1903C73D" w14:textId="77777777" w:rsidR="002B4B31" w:rsidRDefault="002B4B31" w:rsidP="002B4B31">
      <w:pPr>
        <w:pStyle w:val="a5"/>
        <w:ind w:left="720"/>
        <w:rPr>
          <w:rFonts w:hint="cs"/>
          <w:rtl/>
        </w:rPr>
      </w:pPr>
      <w:r>
        <w:rPr>
          <w:rFonts w:hint="cs"/>
          <w:rtl/>
        </w:rPr>
        <w:t>"והטעם לדברי רבו, שרצה לגַלות כי מפני שההִין היא המִדה הגדולה הנזכרת בתורה (בלח) היא החשובה לפסול את המקוה בשאובין, ואידך - לא".</w:t>
      </w:r>
    </w:p>
  </w:footnote>
  <w:footnote w:id="408">
    <w:p w14:paraId="40FF3D89" w14:textId="77777777" w:rsidR="002B4B31" w:rsidRDefault="002B4B31" w:rsidP="002B4B31">
      <w:pPr>
        <w:pStyle w:val="a5"/>
        <w:rPr>
          <w:rtl/>
        </w:rPr>
      </w:pPr>
      <w:r>
        <w:rPr>
          <w:rStyle w:val="a4"/>
          <w:rtl/>
        </w:rPr>
        <w:footnoteRef/>
      </w:r>
      <w:r>
        <w:t xml:space="preserve"> </w:t>
      </w:r>
      <w:r>
        <w:rPr>
          <w:rFonts w:hint="cs"/>
          <w:sz w:val="26"/>
          <w:rtl/>
        </w:rPr>
        <w:t xml:space="preserve">תוספות שנץ בעדיות ע"פ דברי רבי יוחנן </w:t>
      </w:r>
      <w:r>
        <w:rPr>
          <w:rFonts w:hint="cs"/>
          <w:sz w:val="18"/>
          <w:szCs w:val="20"/>
          <w:rtl/>
        </w:rPr>
        <w:t>לפי נוסח כתבי היד והראשונים</w:t>
      </w:r>
      <w:r>
        <w:rPr>
          <w:rFonts w:hint="cs"/>
          <w:sz w:val="26"/>
          <w:rtl/>
        </w:rPr>
        <w:t>. ראה להלן</w:t>
      </w:r>
      <w:r>
        <w:rPr>
          <w:rFonts w:hint="cs"/>
          <w:rtl/>
        </w:rPr>
        <w:t xml:space="preserve"> נב, ב.</w:t>
      </w:r>
    </w:p>
  </w:footnote>
  <w:footnote w:id="409">
    <w:p w14:paraId="1AE88A76" w14:textId="77777777" w:rsidR="002B4B31" w:rsidRDefault="002B4B31" w:rsidP="002B4B31">
      <w:pPr>
        <w:pStyle w:val="a5"/>
        <w:rPr>
          <w:rtl/>
        </w:rPr>
      </w:pPr>
      <w:r>
        <w:rPr>
          <w:rStyle w:val="a4"/>
          <w:rtl/>
        </w:rPr>
        <w:footnoteRef/>
      </w:r>
      <w:r>
        <w:t xml:space="preserve"> </w:t>
      </w:r>
      <w:r>
        <w:rPr>
          <w:rFonts w:hint="cs"/>
          <w:sz w:val="26"/>
          <w:rtl/>
        </w:rPr>
        <w:t xml:space="preserve">סידור רבי יעקב עמדין, </w:t>
      </w:r>
      <w:r>
        <w:rPr>
          <w:rFonts w:hint="cs"/>
          <w:sz w:val="18"/>
          <w:szCs w:val="20"/>
          <w:rtl/>
        </w:rPr>
        <w:t>ירושלים, תשנ"ד, ח"א, עמ' קמז-קמח.</w:t>
      </w:r>
    </w:p>
  </w:footnote>
  <w:footnote w:id="410">
    <w:p w14:paraId="6614949A" w14:textId="77777777" w:rsidR="002B4B31" w:rsidRDefault="002B4B31" w:rsidP="002B4B31">
      <w:pPr>
        <w:pStyle w:val="a5"/>
        <w:rPr>
          <w:rFonts w:hint="cs"/>
          <w:rtl/>
        </w:rPr>
      </w:pPr>
      <w:r>
        <w:rPr>
          <w:rStyle w:val="a4"/>
          <w:rtl/>
        </w:rPr>
        <w:footnoteRef/>
      </w:r>
      <w:r>
        <w:t xml:space="preserve"> </w:t>
      </w:r>
      <w:r>
        <w:rPr>
          <w:rFonts w:hint="cs"/>
          <w:sz w:val="24"/>
          <w:rtl/>
        </w:rPr>
        <w:t>הר"י קאפח (</w:t>
      </w:r>
      <w:r>
        <w:rPr>
          <w:rFonts w:hint="cs"/>
          <w:sz w:val="18"/>
          <w:szCs w:val="20"/>
          <w:rtl/>
        </w:rPr>
        <w:t>כתבים, ח"ב, עמ' 945</w:t>
      </w:r>
      <w:r>
        <w:rPr>
          <w:rFonts w:hint="cs"/>
          <w:sz w:val="24"/>
          <w:rtl/>
        </w:rPr>
        <w:t xml:space="preserve">) מוכיח </w:t>
      </w:r>
      <w:r>
        <w:rPr>
          <w:rFonts w:hint="cs"/>
          <w:rtl/>
        </w:rPr>
        <w:t xml:space="preserve">מכאן את קדמות מבטא החולם התימני. לדבריו, שיבוש זה ע"י שמעיה ואבטליון יתכן רק אם נניח שהחולם נהגה באופן מיוחד, כיהודי תימן, בדומה לצירי ("חולם הונגרי": </w:t>
      </w:r>
      <w:r>
        <w:rPr>
          <w:rFonts w:cs="Times New Roman"/>
        </w:rPr>
        <w:t>ö</w:t>
      </w:r>
      <w:r>
        <w:rPr>
          <w:rFonts w:hint="cs"/>
          <w:rtl/>
        </w:rPr>
        <w:t>), ולא כחולם הספרדי (</w:t>
      </w:r>
      <w:r>
        <w:t>oo</w:t>
      </w:r>
      <w:r>
        <w:rPr>
          <w:rFonts w:hint="cs"/>
          <w:rtl/>
        </w:rPr>
        <w:t>) הקל מאוד להיגוי. ואולי כוונתו שהחליפו בין "מלוֹא" לבין "מלֵא".</w:t>
      </w:r>
    </w:p>
  </w:footnote>
  <w:footnote w:id="411">
    <w:p w14:paraId="3E95B994" w14:textId="77777777" w:rsidR="002B4B31" w:rsidRDefault="002B4B31" w:rsidP="002B4B31">
      <w:pPr>
        <w:pStyle w:val="a5"/>
        <w:rPr>
          <w:rtl/>
        </w:rPr>
      </w:pPr>
      <w:r>
        <w:rPr>
          <w:rStyle w:val="a4"/>
          <w:rtl/>
        </w:rPr>
        <w:footnoteRef/>
      </w:r>
      <w:r>
        <w:t xml:space="preserve"> </w:t>
      </w:r>
      <w:r>
        <w:rPr>
          <w:rFonts w:hint="cs"/>
          <w:rtl/>
        </w:rPr>
        <w:t>נ"א: בני אד</w:t>
      </w:r>
      <w:r>
        <w:rPr>
          <w:rFonts w:hint="cs"/>
          <w:b/>
          <w:bCs/>
          <w:rtl/>
        </w:rPr>
        <w:t>ו</w:t>
      </w:r>
      <w:r>
        <w:rPr>
          <w:rFonts w:hint="cs"/>
          <w:rtl/>
        </w:rPr>
        <w:t>ם.</w:t>
      </w:r>
    </w:p>
  </w:footnote>
  <w:footnote w:id="412">
    <w:p w14:paraId="10FD303F" w14:textId="77777777" w:rsidR="002B4B31" w:rsidRDefault="002B4B31" w:rsidP="002B4B31">
      <w:pPr>
        <w:pStyle w:val="a5"/>
        <w:rPr>
          <w:rFonts w:hint="cs"/>
          <w:sz w:val="24"/>
          <w:rtl/>
          <w:lang w:eastAsia="he-IL"/>
        </w:rPr>
      </w:pPr>
      <w:r>
        <w:rPr>
          <w:rStyle w:val="a4"/>
          <w:rtl/>
        </w:rPr>
        <w:footnoteRef/>
      </w:r>
      <w:r>
        <w:t xml:space="preserve"> </w:t>
      </w:r>
      <w:r>
        <w:rPr>
          <w:rFonts w:hint="cs"/>
          <w:rtl/>
        </w:rPr>
        <w:t>וכ"כ ב</w:t>
      </w:r>
      <w:r>
        <w:rPr>
          <w:sz w:val="24"/>
          <w:rtl/>
          <w:lang w:eastAsia="he-IL"/>
        </w:rPr>
        <w:t xml:space="preserve">מגן אבות לרשב"ץ </w:t>
      </w:r>
      <w:r>
        <w:rPr>
          <w:rFonts w:hint="cs"/>
          <w:sz w:val="24"/>
          <w:rtl/>
          <w:lang w:eastAsia="he-IL"/>
        </w:rPr>
        <w:t>(</w:t>
      </w:r>
      <w:r>
        <w:rPr>
          <w:rFonts w:hint="cs"/>
          <w:sz w:val="24"/>
          <w:szCs w:val="20"/>
          <w:rtl/>
          <w:lang w:eastAsia="he-IL"/>
        </w:rPr>
        <w:t>שם</w:t>
      </w:r>
      <w:r>
        <w:rPr>
          <w:rFonts w:hint="cs"/>
          <w:sz w:val="24"/>
          <w:rtl/>
          <w:lang w:eastAsia="he-IL"/>
        </w:rPr>
        <w:t>):</w:t>
      </w:r>
    </w:p>
    <w:p w14:paraId="5C308D51" w14:textId="77777777" w:rsidR="002B4B31" w:rsidRDefault="002B4B31" w:rsidP="002B4B31">
      <w:pPr>
        <w:pStyle w:val="a5"/>
        <w:ind w:left="720"/>
        <w:rPr>
          <w:rFonts w:hint="cs"/>
          <w:rtl/>
        </w:rPr>
      </w:pPr>
      <w:r>
        <w:rPr>
          <w:rFonts w:hint="cs"/>
          <w:sz w:val="24"/>
          <w:rtl/>
          <w:lang w:eastAsia="he-IL"/>
        </w:rPr>
        <w:t>"</w:t>
      </w:r>
      <w:r>
        <w:rPr>
          <w:rtl/>
          <w:lang w:eastAsia="he-IL"/>
        </w:rPr>
        <w:t xml:space="preserve">והנוסחא המדוקדקת היא </w:t>
      </w:r>
      <w:r>
        <w:rPr>
          <w:rFonts w:hint="cs"/>
          <w:rtl/>
          <w:lang w:eastAsia="he-IL"/>
        </w:rPr>
        <w:t>'</w:t>
      </w:r>
      <w:r>
        <w:rPr>
          <w:rtl/>
          <w:lang w:eastAsia="he-IL"/>
        </w:rPr>
        <w:t>מלא אין</w:t>
      </w:r>
      <w:r>
        <w:rPr>
          <w:rFonts w:hint="cs"/>
          <w:rtl/>
          <w:lang w:eastAsia="he-IL"/>
        </w:rPr>
        <w:t>'</w:t>
      </w:r>
      <w:r>
        <w:rPr>
          <w:rtl/>
          <w:lang w:eastAsia="he-IL"/>
        </w:rPr>
        <w:t xml:space="preserve"> באל"ף, וזהו שאמר שחייב אדם לומר בלשון רבו, כי כן היה לשון רבו שמעיה שקבל ממנו, כי לא היה יכול לומר </w:t>
      </w:r>
      <w:r>
        <w:rPr>
          <w:rFonts w:hint="cs"/>
          <w:rtl/>
          <w:lang w:eastAsia="he-IL"/>
        </w:rPr>
        <w:t>'</w:t>
      </w:r>
      <w:r>
        <w:rPr>
          <w:rtl/>
          <w:lang w:eastAsia="he-IL"/>
        </w:rPr>
        <w:t>הין</w:t>
      </w:r>
      <w:r>
        <w:rPr>
          <w:rFonts w:hint="cs"/>
          <w:rtl/>
          <w:lang w:eastAsia="he-IL"/>
        </w:rPr>
        <w:t>'</w:t>
      </w:r>
      <w:r>
        <w:rPr>
          <w:rtl/>
          <w:lang w:eastAsia="he-IL"/>
        </w:rPr>
        <w:t xml:space="preserve"> לפי שהיה גר</w:t>
      </w:r>
      <w:r>
        <w:rPr>
          <w:rFonts w:hint="cs"/>
          <w:rtl/>
          <w:lang w:eastAsia="he-IL"/>
        </w:rPr>
        <w:t>,</w:t>
      </w:r>
      <w:r>
        <w:rPr>
          <w:rtl/>
          <w:lang w:eastAsia="he-IL"/>
        </w:rPr>
        <w:t xml:space="preserve"> והגויים אינם יכולין לומר ה"א ולא חי"ת ולא עי"ן ולא כ"ף רפה, כמו שהוא מפורסם מהנכרים, ובמקום </w:t>
      </w:r>
      <w:r>
        <w:rPr>
          <w:rFonts w:hint="cs"/>
          <w:rtl/>
          <w:lang w:eastAsia="he-IL"/>
        </w:rPr>
        <w:t>'</w:t>
      </w:r>
      <w:r>
        <w:rPr>
          <w:rtl/>
          <w:lang w:eastAsia="he-IL"/>
        </w:rPr>
        <w:t>הין</w:t>
      </w:r>
      <w:r>
        <w:rPr>
          <w:rFonts w:hint="cs"/>
          <w:rtl/>
          <w:lang w:eastAsia="he-IL"/>
        </w:rPr>
        <w:t>'</w:t>
      </w:r>
      <w:r>
        <w:rPr>
          <w:rtl/>
          <w:lang w:eastAsia="he-IL"/>
        </w:rPr>
        <w:t xml:space="preserve"> היה אומר </w:t>
      </w:r>
      <w:r>
        <w:rPr>
          <w:rFonts w:hint="cs"/>
          <w:rtl/>
          <w:lang w:eastAsia="he-IL"/>
        </w:rPr>
        <w:t>'</w:t>
      </w:r>
      <w:r>
        <w:rPr>
          <w:rtl/>
          <w:lang w:eastAsia="he-IL"/>
        </w:rPr>
        <w:t>אין</w:t>
      </w:r>
      <w:r>
        <w:rPr>
          <w:rFonts w:hint="cs"/>
          <w:rtl/>
          <w:lang w:eastAsia="he-IL"/>
        </w:rPr>
        <w:t>',</w:t>
      </w:r>
      <w:r>
        <w:rPr>
          <w:rtl/>
          <w:lang w:eastAsia="he-IL"/>
        </w:rPr>
        <w:t xml:space="preserve"> והלל היה אומר בלשון רבו</w:t>
      </w:r>
      <w:r>
        <w:rPr>
          <w:rFonts w:hint="cs"/>
          <w:rtl/>
          <w:lang w:eastAsia="he-IL"/>
        </w:rPr>
        <w:t>".</w:t>
      </w:r>
    </w:p>
  </w:footnote>
  <w:footnote w:id="413">
    <w:p w14:paraId="4DAA519D" w14:textId="77777777" w:rsidR="002B4B31" w:rsidRDefault="002B4B31" w:rsidP="002B4B31">
      <w:pPr>
        <w:pStyle w:val="a5"/>
        <w:rPr>
          <w:rFonts w:hint="cs"/>
          <w:rtl/>
        </w:rPr>
      </w:pPr>
      <w:r>
        <w:rPr>
          <w:rStyle w:val="a4"/>
          <w:rtl/>
        </w:rPr>
        <w:footnoteRef/>
      </w:r>
      <w:r>
        <w:t xml:space="preserve"> </w:t>
      </w:r>
      <w:r>
        <w:rPr>
          <w:rFonts w:hint="cs"/>
          <w:rtl/>
        </w:rPr>
        <w:t xml:space="preserve">לשון </w:t>
      </w:r>
      <w:r>
        <w:rPr>
          <w:rFonts w:hint="cs"/>
          <w:sz w:val="26"/>
          <w:rtl/>
        </w:rPr>
        <w:t xml:space="preserve">מו"ר, הרב משה צוריאל </w:t>
      </w:r>
      <w:r>
        <w:rPr>
          <w:rFonts w:hint="cs"/>
          <w:sz w:val="18"/>
          <w:szCs w:val="20"/>
          <w:rtl/>
        </w:rPr>
        <w:t>(בית יחזקאל - הלכות דעות, עמ' רמ"א).</w:t>
      </w:r>
    </w:p>
  </w:footnote>
  <w:footnote w:id="414">
    <w:p w14:paraId="1A09D12C" w14:textId="77777777" w:rsidR="002B4B31" w:rsidRDefault="002B4B31" w:rsidP="002B4B31">
      <w:pPr>
        <w:pStyle w:val="a5"/>
        <w:rPr>
          <w:rtl/>
        </w:rPr>
      </w:pPr>
      <w:r>
        <w:rPr>
          <w:rStyle w:val="a4"/>
          <w:rtl/>
        </w:rPr>
        <w:footnoteRef/>
      </w:r>
      <w:r>
        <w:t xml:space="preserve"> </w:t>
      </w:r>
      <w:r>
        <w:rPr>
          <w:rFonts w:hint="cs"/>
          <w:rtl/>
        </w:rPr>
        <w:t xml:space="preserve">הצעת אחי, </w:t>
      </w:r>
      <w:r>
        <w:rPr>
          <w:rtl/>
        </w:rPr>
        <w:t>חיים</w:t>
      </w:r>
      <w:r>
        <w:rPr>
          <w:rFonts w:hint="cs"/>
          <w:rtl/>
        </w:rPr>
        <w:t>, נר"ו. רעיון דומה נמצא בדברי הגרש"ז אוירבך: "הדקדוק היותר גדול וחשוב הוא לשמוע דברי חכמים אשר דעתם דעת תורה" (</w:t>
      </w:r>
      <w:r>
        <w:rPr>
          <w:rFonts w:hint="cs"/>
          <w:color w:val="FF0000"/>
          <w:sz w:val="18"/>
          <w:szCs w:val="20"/>
          <w:rtl/>
        </w:rPr>
        <w:t>הליכות שלמה, ח"א, עמ' ק"ב, הערה 54</w:t>
      </w:r>
      <w:r>
        <w:rPr>
          <w:rFonts w:hint="cs"/>
          <w:rtl/>
        </w:rPr>
        <w:t>), ולכן שִנָה מנהגו הקודם לומר "מוֹרִיד הַ</w:t>
      </w:r>
      <w:r>
        <w:rPr>
          <w:rFonts w:hint="cs"/>
          <w:b/>
          <w:bCs/>
          <w:rtl/>
        </w:rPr>
        <w:t>גָּ</w:t>
      </w:r>
      <w:r>
        <w:rPr>
          <w:rFonts w:hint="cs"/>
          <w:rtl/>
        </w:rPr>
        <w:t>שֶׁם" והחל לומר "הַ</w:t>
      </w:r>
      <w:r>
        <w:rPr>
          <w:rFonts w:hint="cs"/>
          <w:b/>
          <w:bCs/>
          <w:rtl/>
        </w:rPr>
        <w:t>גֶּ</w:t>
      </w:r>
      <w:r>
        <w:rPr>
          <w:rFonts w:hint="cs"/>
          <w:rtl/>
        </w:rPr>
        <w:t>שֶׁם", כדעת רוב גדולי ישראל (וכמורגל בפי רוב ישראל), ובפרט שרבים כתבו שאינו נוגד את כללי הדקדוק. משמע מעיקר טענתו שראוי לאחוז גם ב</w:t>
      </w:r>
      <w:r>
        <w:rPr>
          <w:rtl/>
        </w:rPr>
        <w:t xml:space="preserve">לשון </w:t>
      </w:r>
      <w:r>
        <w:rPr>
          <w:rFonts w:hint="cs"/>
          <w:rtl/>
        </w:rPr>
        <w:t>ה</w:t>
      </w:r>
      <w:r>
        <w:rPr>
          <w:rtl/>
        </w:rPr>
        <w:t xml:space="preserve">עילגת </w:t>
      </w:r>
      <w:r>
        <w:rPr>
          <w:rFonts w:hint="cs"/>
          <w:rtl/>
        </w:rPr>
        <w:t>של רבו.</w:t>
      </w:r>
    </w:p>
  </w:footnote>
  <w:footnote w:id="415">
    <w:p w14:paraId="05AA565C" w14:textId="77777777" w:rsidR="002B4B31" w:rsidRDefault="002B4B31" w:rsidP="002B4B31">
      <w:pPr>
        <w:pStyle w:val="a5"/>
        <w:rPr>
          <w:rFonts w:hint="cs"/>
          <w:rtl/>
        </w:rPr>
      </w:pPr>
      <w:r>
        <w:rPr>
          <w:rStyle w:val="a4"/>
          <w:rtl/>
        </w:rPr>
        <w:footnoteRef/>
      </w:r>
      <w:r>
        <w:t xml:space="preserve"> </w:t>
      </w:r>
      <w:r>
        <w:rPr>
          <w:rFonts w:hint="cs"/>
          <w:rtl/>
        </w:rPr>
        <w:t>ראה הגהות מהרצ"ה חיות כאן וע"ע בדברי הר"ב פוזן (</w:t>
      </w:r>
      <w:r>
        <w:rPr>
          <w:rFonts w:hint="cs"/>
          <w:sz w:val="18"/>
          <w:szCs w:val="20"/>
          <w:rtl/>
        </w:rPr>
        <w:t>לשוננו לעם, מב, ד, תמוז תשנ"א, עמ' 147-148</w:t>
      </w:r>
      <w:r>
        <w:rPr>
          <w:rFonts w:hint="cs"/>
          <w:rtl/>
        </w:rPr>
        <w:t xml:space="preserve">) אודות תרגום אונקלוס לשמות ל, כד. בנוסף לפירושים נוספים למשנה זו </w:t>
      </w:r>
      <w:r>
        <w:rPr>
          <w:rFonts w:hint="cs"/>
          <w:sz w:val="18"/>
          <w:szCs w:val="20"/>
          <w:rtl/>
        </w:rPr>
        <w:t>שניתן למצוא במאמר ב</w:t>
      </w:r>
      <w:r>
        <w:rPr>
          <w:rFonts w:hint="eastAsia"/>
          <w:sz w:val="18"/>
          <w:szCs w:val="20"/>
          <w:rtl/>
        </w:rPr>
        <w:t>תרביץ</w:t>
      </w:r>
      <w:r>
        <w:rPr>
          <w:rFonts w:hint="cs"/>
          <w:sz w:val="18"/>
          <w:szCs w:val="20"/>
          <w:rtl/>
        </w:rPr>
        <w:t xml:space="preserve"> הנ"ל בהערה 3</w:t>
      </w:r>
      <w:r>
        <w:rPr>
          <w:rFonts w:hint="cs"/>
          <w:rtl/>
        </w:rPr>
        <w:t>, ניתן להציע אף זאת: ישנה תופעה בלשון חכמים, של השמטת ן' סופית (וכן ם'), ולכן המִלים "הִין" ו"הִיא" נֶהגו באופן זהה (ובכתב יד של הספרי אף נכתב לפעמים "הִיא" במקום "הִין"!). אולי הלל היה אומר "הִיא" במקום "הִין", כפי ששמע מרבותיו.</w:t>
      </w:r>
    </w:p>
  </w:footnote>
  <w:footnote w:id="416">
    <w:p w14:paraId="72BFC4EF" w14:textId="77777777" w:rsidR="002B4B31" w:rsidRDefault="002B4B31" w:rsidP="002B4B31">
      <w:pPr>
        <w:pStyle w:val="a5"/>
        <w:rPr>
          <w:rFonts w:hint="cs"/>
          <w:rtl/>
        </w:rPr>
      </w:pPr>
      <w:r>
        <w:rPr>
          <w:rStyle w:val="a4"/>
        </w:rPr>
        <w:footnoteRef/>
      </w:r>
      <w:r>
        <w:rPr>
          <w:rFonts w:hint="cs"/>
          <w:rtl/>
        </w:rPr>
        <w:t xml:space="preserve"> ואין לדחות שהיה לו לומר "לְעַבְּדָ</w:t>
      </w:r>
      <w:r>
        <w:rPr>
          <w:rFonts w:hint="cs"/>
          <w:b/>
          <w:bCs/>
          <w:rtl/>
        </w:rPr>
        <w:t>ם</w:t>
      </w:r>
      <w:r>
        <w:rPr>
          <w:rFonts w:hint="cs"/>
          <w:rtl/>
        </w:rPr>
        <w:t>", שהרי "עור" ממין זכר ולכן יש לומר "לְעַבֵּד אות</w:t>
      </w:r>
      <w:r>
        <w:rPr>
          <w:rFonts w:hint="cs"/>
          <w:b/>
          <w:bCs/>
          <w:rtl/>
        </w:rPr>
        <w:t>ם</w:t>
      </w:r>
      <w:r>
        <w:rPr>
          <w:rFonts w:hint="cs"/>
          <w:rtl/>
        </w:rPr>
        <w:t>" -- שכן לשון חז"ל, שלא כלשון המקרא, מתחשבת בסיומת הרבים הנראית נִקבִית "</w:t>
      </w:r>
      <w:r>
        <w:rPr>
          <w:rtl/>
        </w:rPr>
        <w:t>עור</w:t>
      </w:r>
      <w:r>
        <w:rPr>
          <w:b/>
          <w:bCs/>
          <w:rtl/>
        </w:rPr>
        <w:t>ות</w:t>
      </w:r>
      <w:r>
        <w:rPr>
          <w:rFonts w:hint="cs"/>
          <w:rtl/>
        </w:rPr>
        <w:t>", במקום "</w:t>
      </w:r>
      <w:r>
        <w:rPr>
          <w:rtl/>
        </w:rPr>
        <w:t>עור</w:t>
      </w:r>
      <w:r>
        <w:rPr>
          <w:rFonts w:hint="cs"/>
          <w:b/>
          <w:bCs/>
          <w:rtl/>
        </w:rPr>
        <w:t>ים</w:t>
      </w:r>
      <w:r>
        <w:rPr>
          <w:rFonts w:hint="cs"/>
          <w:rtl/>
        </w:rPr>
        <w:t xml:space="preserve">", </w:t>
      </w:r>
      <w:r>
        <w:rPr>
          <w:rFonts w:hint="cs"/>
          <w:color w:val="FF0000"/>
          <w:rtl/>
        </w:rPr>
        <w:t>כמש"כ במקום אחר.</w:t>
      </w:r>
    </w:p>
  </w:footnote>
  <w:footnote w:id="417">
    <w:p w14:paraId="41F309E6" w14:textId="77777777" w:rsidR="002B4B31" w:rsidRDefault="002B4B31" w:rsidP="002B4B31">
      <w:pPr>
        <w:pStyle w:val="a5"/>
        <w:rPr>
          <w:rFonts w:hint="cs"/>
          <w:rtl/>
        </w:rPr>
      </w:pPr>
      <w:r>
        <w:rPr>
          <w:rStyle w:val="a4"/>
        </w:rPr>
        <w:footnoteRef/>
      </w:r>
      <w:r>
        <w:rPr>
          <w:rFonts w:hint="cs"/>
          <w:rtl/>
        </w:rPr>
        <w:t xml:space="preserve"> וצ"ע מדוע דעה זו נזכרה רק בירושלמי ולא בבבלי. ר' ד"ר שמעון פדרבוש (</w:t>
      </w:r>
      <w:r>
        <w:rPr>
          <w:rFonts w:hint="cs"/>
          <w:sz w:val="18"/>
          <w:szCs w:val="20"/>
          <w:rtl/>
        </w:rPr>
        <w:t>הלשון העברית בישראל ובעמים, ירושלים תשכ"ח, עמ' 39</w:t>
      </w:r>
      <w:r>
        <w:rPr>
          <w:rFonts w:hint="cs"/>
          <w:rtl/>
        </w:rPr>
        <w:t xml:space="preserve">) מציע הסבר להבדל זה בין התלמודים: </w:t>
      </w:r>
    </w:p>
    <w:p w14:paraId="23CF86D0" w14:textId="77777777" w:rsidR="002B4B31" w:rsidRDefault="002B4B31" w:rsidP="002B4B31">
      <w:pPr>
        <w:pStyle w:val="a5"/>
        <w:ind w:left="720"/>
        <w:rPr>
          <w:rFonts w:hint="cs"/>
          <w:sz w:val="26"/>
          <w:rtl/>
        </w:rPr>
      </w:pPr>
      <w:r>
        <w:rPr>
          <w:rFonts w:hint="cs"/>
          <w:sz w:val="26"/>
          <w:rtl/>
        </w:rPr>
        <w:t xml:space="preserve">"יתכן שהאיסור הזה נתקבל רק בא"י, ששם דיברו עברית... אבל בבבל השתרשה הארמית ביותר ורבים לא שלטו בלשון העברית, ואיסור הדיבור הלועזי היה גזירה שאין רוב הציבור יכול לעמוד בה, לפיכך לא נזכר האיסור בתלמוד הבבלי..." </w:t>
      </w:r>
    </w:p>
    <w:p w14:paraId="6B738D43" w14:textId="77777777" w:rsidR="002B4B31" w:rsidRDefault="002B4B31" w:rsidP="002B4B31">
      <w:pPr>
        <w:pStyle w:val="a5"/>
        <w:rPr>
          <w:rFonts w:hint="cs"/>
          <w:rtl/>
        </w:rPr>
      </w:pPr>
      <w:r>
        <w:rPr>
          <w:rFonts w:hint="cs"/>
          <w:sz w:val="26"/>
          <w:rtl/>
        </w:rPr>
        <w:t xml:space="preserve">וע"ע: </w:t>
      </w:r>
      <w:r>
        <w:rPr>
          <w:rFonts w:hint="cs"/>
          <w:rtl/>
        </w:rPr>
        <w:t xml:space="preserve">שו"ת </w:t>
      </w:r>
      <w:r>
        <w:rPr>
          <w:rtl/>
        </w:rPr>
        <w:t xml:space="preserve">חתם סופר </w:t>
      </w:r>
      <w:r>
        <w:rPr>
          <w:sz w:val="18"/>
          <w:szCs w:val="20"/>
          <w:rtl/>
        </w:rPr>
        <w:t>אהע"ז ח"ב סי' י"א</w:t>
      </w:r>
      <w:r>
        <w:rPr>
          <w:rFonts w:hint="cs"/>
          <w:sz w:val="18"/>
          <w:szCs w:val="20"/>
          <w:rtl/>
        </w:rPr>
        <w:t xml:space="preserve">; </w:t>
      </w:r>
      <w:r>
        <w:rPr>
          <w:rtl/>
        </w:rPr>
        <w:t xml:space="preserve">שו"ת דברי יציב </w:t>
      </w:r>
      <w:r>
        <w:rPr>
          <w:sz w:val="18"/>
          <w:szCs w:val="20"/>
          <w:rtl/>
        </w:rPr>
        <w:t>יו"ד</w:t>
      </w:r>
      <w:r>
        <w:rPr>
          <w:rFonts w:hint="cs"/>
          <w:sz w:val="18"/>
          <w:szCs w:val="20"/>
          <w:rtl/>
        </w:rPr>
        <w:t xml:space="preserve">, </w:t>
      </w:r>
      <w:r>
        <w:rPr>
          <w:sz w:val="18"/>
          <w:szCs w:val="20"/>
          <w:rtl/>
        </w:rPr>
        <w:t>נב</w:t>
      </w:r>
      <w:r>
        <w:rPr>
          <w:rFonts w:hint="cs"/>
          <w:sz w:val="18"/>
          <w:szCs w:val="20"/>
          <w:rtl/>
        </w:rPr>
        <w:t xml:space="preserve">; </w:t>
      </w:r>
      <w:r>
        <w:rPr>
          <w:rFonts w:hint="cs"/>
          <w:rtl/>
        </w:rPr>
        <w:t xml:space="preserve">הרב ישכר תמר </w:t>
      </w:r>
      <w:r>
        <w:rPr>
          <w:rFonts w:hint="cs"/>
          <w:sz w:val="26"/>
          <w:rtl/>
        </w:rPr>
        <w:t xml:space="preserve">בפירושו לירושלמי, </w:t>
      </w:r>
      <w:r>
        <w:rPr>
          <w:rFonts w:hint="cs"/>
          <w:rtl/>
        </w:rPr>
        <w:t>עלי תמר</w:t>
      </w:r>
      <w:r>
        <w:rPr>
          <w:rFonts w:hint="cs"/>
          <w:sz w:val="18"/>
          <w:szCs w:val="20"/>
          <w:rtl/>
        </w:rPr>
        <w:t>, עמ' כג</w:t>
      </w:r>
      <w:r>
        <w:rPr>
          <w:rFonts w:hint="cs"/>
          <w:rtl/>
        </w:rPr>
        <w:t xml:space="preserve">. הרב תמר מצטט שם בין השאר קטע מהגניזה הקהירית ובו נאמר: </w:t>
      </w:r>
    </w:p>
    <w:p w14:paraId="4AFF29EB" w14:textId="77777777" w:rsidR="002B4B31" w:rsidRDefault="002B4B31" w:rsidP="002B4B31">
      <w:pPr>
        <w:pStyle w:val="a5"/>
        <w:ind w:left="720"/>
        <w:rPr>
          <w:rFonts w:hint="cs"/>
          <w:sz w:val="18"/>
          <w:rtl/>
        </w:rPr>
      </w:pPr>
      <w:r>
        <w:rPr>
          <w:rFonts w:hint="cs"/>
          <w:rtl/>
        </w:rPr>
        <w:t>"</w:t>
      </w:r>
      <w:r>
        <w:rPr>
          <w:rtl/>
        </w:rPr>
        <w:t>על לשונ</w:t>
      </w:r>
      <w:r>
        <w:rPr>
          <w:rFonts w:hint="cs"/>
          <w:rtl/>
        </w:rPr>
        <w:t>ם - על הדיבור בלשונם ועזיבת לשונ(י)נו היא לשה"ק, כמו שידעת(י) מן האנשים אשר העיד בם נחמיה לפי שמקצתם זנחו את הלשון, כמו שאמר (</w:t>
      </w:r>
      <w:r>
        <w:rPr>
          <w:rFonts w:hint="cs"/>
          <w:sz w:val="18"/>
          <w:szCs w:val="20"/>
          <w:rtl/>
        </w:rPr>
        <w:t>יג, כד</w:t>
      </w:r>
      <w:r>
        <w:rPr>
          <w:rFonts w:hint="cs"/>
          <w:rtl/>
        </w:rPr>
        <w:t>): 'וּבְנֵיהֶם חֲצִי מְדַבֵּר אַשְׁדּוֹדִית, וְאֵינָם מַכִּירִים לְדַבֵּר יְהוּדִית' וכו', וכזה מה שאמרו שנגאלו ממצרים בזכות שלא שִנו את לשונם (</w:t>
      </w:r>
      <w:r>
        <w:rPr>
          <w:rFonts w:hint="cs"/>
          <w:sz w:val="18"/>
          <w:szCs w:val="20"/>
          <w:rtl/>
        </w:rPr>
        <w:t>ויקרא רבה לב, ה</w:t>
      </w:r>
      <w:r>
        <w:rPr>
          <w:rFonts w:hint="cs"/>
          <w:rtl/>
        </w:rPr>
        <w:t>)".</w:t>
      </w:r>
    </w:p>
  </w:footnote>
  <w:footnote w:id="418">
    <w:p w14:paraId="39F7E979" w14:textId="77777777" w:rsidR="002B4B31" w:rsidRDefault="002B4B31" w:rsidP="002B4B31">
      <w:pPr>
        <w:pStyle w:val="a5"/>
        <w:rPr>
          <w:rFonts w:hint="cs"/>
          <w:sz w:val="26"/>
          <w:rtl/>
        </w:rPr>
      </w:pPr>
      <w:r>
        <w:rPr>
          <w:rStyle w:val="a4"/>
        </w:rPr>
        <w:footnoteRef/>
      </w:r>
      <w:r>
        <w:rPr>
          <w:rFonts w:hint="cs"/>
          <w:rtl/>
        </w:rPr>
        <w:t xml:space="preserve"> </w:t>
      </w:r>
      <w:r>
        <w:rPr>
          <w:rFonts w:hint="cs"/>
          <w:sz w:val="26"/>
          <w:rtl/>
        </w:rPr>
        <w:t xml:space="preserve">האזינו, פיסקא שלג: </w:t>
      </w:r>
    </w:p>
    <w:p w14:paraId="76C49D45" w14:textId="77777777" w:rsidR="002B4B31" w:rsidRDefault="002B4B31" w:rsidP="002B4B31">
      <w:pPr>
        <w:pStyle w:val="a5"/>
        <w:ind w:left="720"/>
        <w:rPr>
          <w:sz w:val="26"/>
          <w:rtl/>
        </w:rPr>
      </w:pPr>
      <w:r>
        <w:rPr>
          <w:rFonts w:hint="cs"/>
          <w:sz w:val="26"/>
          <w:rtl/>
        </w:rPr>
        <w:t xml:space="preserve">"כל </w:t>
      </w:r>
      <w:r>
        <w:rPr>
          <w:rFonts w:hint="cs"/>
          <w:b/>
          <w:bCs/>
          <w:sz w:val="26"/>
          <w:rtl/>
        </w:rPr>
        <w:t xml:space="preserve">הדר בארץ ישראל </w:t>
      </w:r>
      <w:r>
        <w:rPr>
          <w:rFonts w:hint="cs"/>
          <w:sz w:val="26"/>
          <w:rtl/>
        </w:rPr>
        <w:t>וקורא ק"ש שחרית וערבית, ומדבר בלשון הקודש - הרי הוא בן העולם הבא".</w:t>
      </w:r>
    </w:p>
  </w:footnote>
  <w:footnote w:id="419">
    <w:p w14:paraId="6FD269DB" w14:textId="77777777" w:rsidR="002B4B31" w:rsidRDefault="002B4B31" w:rsidP="002B4B31">
      <w:pPr>
        <w:pStyle w:val="a5"/>
        <w:rPr>
          <w:rFonts w:hint="cs"/>
          <w:rtl/>
        </w:rPr>
      </w:pPr>
      <w:r>
        <w:rPr>
          <w:rStyle w:val="a4"/>
        </w:rPr>
        <w:footnoteRef/>
      </w:r>
      <w:r>
        <w:rPr>
          <w:rFonts w:hint="cs"/>
          <w:rtl/>
        </w:rPr>
        <w:t xml:space="preserve"> ובלשון זו נקט רבי יוחנן (בבלי פסחים קיג, א): </w:t>
      </w:r>
    </w:p>
    <w:p w14:paraId="7633F842" w14:textId="77777777" w:rsidR="002B4B31" w:rsidRDefault="002B4B31" w:rsidP="002B4B31">
      <w:pPr>
        <w:pStyle w:val="a5"/>
        <w:ind w:left="720"/>
        <w:rPr>
          <w:rFonts w:hint="cs"/>
          <w:sz w:val="26"/>
          <w:rtl/>
        </w:rPr>
      </w:pPr>
      <w:r>
        <w:rPr>
          <w:rFonts w:hint="cs"/>
          <w:sz w:val="26"/>
          <w:rtl/>
        </w:rPr>
        <w:t>"</w:t>
      </w:r>
      <w:r>
        <w:rPr>
          <w:sz w:val="26"/>
          <w:rtl/>
        </w:rPr>
        <w:t xml:space="preserve">אמר רבי יוחנן: שלשה מנוחלי העולם הבא, אלו הן: </w:t>
      </w:r>
      <w:r>
        <w:rPr>
          <w:b/>
          <w:bCs/>
          <w:sz w:val="26"/>
          <w:rtl/>
        </w:rPr>
        <w:t>הדר בארץ ישראל</w:t>
      </w:r>
      <w:r>
        <w:rPr>
          <w:sz w:val="26"/>
          <w:rtl/>
        </w:rPr>
        <w:t xml:space="preserve">, והמגדל בניו לתלמוד תורה, והמבדיל על היין במוצאי שבתות. </w:t>
      </w:r>
    </w:p>
    <w:p w14:paraId="42C7E600" w14:textId="77777777" w:rsidR="002B4B31" w:rsidRDefault="002B4B31" w:rsidP="002B4B31">
      <w:pPr>
        <w:pStyle w:val="a5"/>
        <w:ind w:left="720"/>
        <w:rPr>
          <w:rFonts w:hint="cs"/>
          <w:sz w:val="26"/>
          <w:rtl/>
        </w:rPr>
      </w:pPr>
      <w:r>
        <w:rPr>
          <w:rFonts w:hint="cs"/>
          <w:rtl/>
        </w:rPr>
        <w:t xml:space="preserve">כתובות </w:t>
      </w:r>
      <w:r>
        <w:rPr>
          <w:rFonts w:hint="cs"/>
          <w:sz w:val="18"/>
          <w:szCs w:val="20"/>
          <w:rtl/>
        </w:rPr>
        <w:t>קי, ב</w:t>
      </w:r>
      <w:r>
        <w:rPr>
          <w:rFonts w:hint="cs"/>
          <w:rtl/>
        </w:rPr>
        <w:t>: "</w:t>
      </w:r>
      <w:r>
        <w:rPr>
          <w:rFonts w:hint="cs"/>
          <w:b/>
          <w:bCs/>
          <w:rtl/>
        </w:rPr>
        <w:t xml:space="preserve">לעולם ידור </w:t>
      </w:r>
      <w:r>
        <w:rPr>
          <w:rFonts w:hint="cs"/>
          <w:rtl/>
        </w:rPr>
        <w:t>אדם בא"י... שכל הדר בארץ ישראל דומה כמי שיש לו אלוה וכל הדר בחוצה לארץ דומה כמי שאין לו אלוה".</w:t>
      </w:r>
    </w:p>
  </w:footnote>
  <w:footnote w:id="420">
    <w:p w14:paraId="09CF68BE" w14:textId="77777777" w:rsidR="002B4B31" w:rsidRDefault="002B4B31" w:rsidP="002B4B31">
      <w:pPr>
        <w:pStyle w:val="a5"/>
        <w:rPr>
          <w:rtl/>
        </w:rPr>
      </w:pPr>
      <w:r>
        <w:rPr>
          <w:rStyle w:val="a4"/>
          <w:rtl/>
        </w:rPr>
        <w:footnoteRef/>
      </w:r>
      <w:r>
        <w:rPr>
          <w:szCs w:val="22"/>
        </w:rPr>
        <w:t xml:space="preserve"> </w:t>
      </w:r>
      <w:r>
        <w:rPr>
          <w:rFonts w:hint="cs"/>
          <w:rtl/>
        </w:rPr>
        <w:t xml:space="preserve">גם במקבילה במסכת שקלים </w:t>
      </w:r>
      <w:r>
        <w:rPr>
          <w:rFonts w:hint="cs"/>
          <w:sz w:val="18"/>
          <w:szCs w:val="20"/>
          <w:rtl/>
        </w:rPr>
        <w:t>פ"ג ה</w:t>
      </w:r>
      <w:r>
        <w:rPr>
          <w:sz w:val="18"/>
          <w:szCs w:val="20"/>
          <w:rtl/>
        </w:rPr>
        <w:t>"</w:t>
      </w:r>
      <w:r>
        <w:rPr>
          <w:rFonts w:hint="cs"/>
          <w:sz w:val="18"/>
          <w:szCs w:val="20"/>
          <w:rtl/>
        </w:rPr>
        <w:t>ג; עמ' 613 שם</w:t>
      </w:r>
      <w:r>
        <w:rPr>
          <w:rFonts w:hint="cs"/>
          <w:rtl/>
        </w:rPr>
        <w:t>.</w:t>
      </w:r>
    </w:p>
  </w:footnote>
  <w:footnote w:id="421">
    <w:p w14:paraId="74F1F339" w14:textId="77777777" w:rsidR="002B4B31" w:rsidRDefault="002B4B31" w:rsidP="002B4B31">
      <w:pPr>
        <w:pStyle w:val="a5"/>
        <w:rPr>
          <w:rtl/>
        </w:rPr>
      </w:pPr>
      <w:r>
        <w:rPr>
          <w:rStyle w:val="a4"/>
          <w:rtl/>
        </w:rPr>
        <w:footnoteRef/>
      </w:r>
      <w:r>
        <w:rPr>
          <w:szCs w:val="22"/>
        </w:rPr>
        <w:t xml:space="preserve"> </w:t>
      </w:r>
      <w:r>
        <w:rPr>
          <w:rFonts w:hint="cs"/>
          <w:rtl/>
        </w:rPr>
        <w:t>להבדיל מלשון גִיוּר, מלשון הִתגרוּת ומלשון יראָה ופחד.</w:t>
      </w:r>
    </w:p>
  </w:footnote>
  <w:footnote w:id="422">
    <w:p w14:paraId="010CC660" w14:textId="77777777" w:rsidR="002B4B31" w:rsidRDefault="002B4B31" w:rsidP="002B4B31">
      <w:pPr>
        <w:pStyle w:val="a5"/>
        <w:rPr>
          <w:rtl/>
        </w:rPr>
      </w:pPr>
      <w:r>
        <w:rPr>
          <w:rStyle w:val="a4"/>
          <w:rtl/>
        </w:rPr>
        <w:footnoteRef/>
      </w:r>
      <w:r>
        <w:rPr>
          <w:szCs w:val="22"/>
        </w:rPr>
        <w:t xml:space="preserve"> </w:t>
      </w:r>
      <w:r>
        <w:rPr>
          <w:rFonts w:hint="cs"/>
          <w:rtl/>
        </w:rPr>
        <w:t>ראה בספרו של ר' ד"ר רפאל בנימין פוזן, "העקיבות התרגומית בתרגום אונקלוס"</w:t>
      </w:r>
      <w:r>
        <w:rPr>
          <w:rFonts w:ascii="Arial" w:hAnsi="Arial" w:hint="cs"/>
          <w:sz w:val="18"/>
          <w:szCs w:val="20"/>
          <w:rtl/>
        </w:rPr>
        <w:t>, ירושלים תשס"ד, עמ' 272 ואילך</w:t>
      </w:r>
      <w:r>
        <w:rPr>
          <w:rFonts w:hint="cs"/>
          <w:rtl/>
        </w:rPr>
        <w:t>.</w:t>
      </w:r>
    </w:p>
  </w:footnote>
  <w:footnote w:id="423">
    <w:p w14:paraId="6222FD4E" w14:textId="77777777" w:rsidR="002B4B31" w:rsidRDefault="002B4B31" w:rsidP="002B4B31">
      <w:pPr>
        <w:pStyle w:val="a5"/>
        <w:rPr>
          <w:rFonts w:hint="cs"/>
          <w:rtl/>
        </w:rPr>
      </w:pPr>
      <w:r>
        <w:rPr>
          <w:rStyle w:val="a4"/>
          <w:rtl/>
        </w:rPr>
        <w:footnoteRef/>
      </w:r>
      <w:r>
        <w:rPr>
          <w:szCs w:val="22"/>
        </w:rPr>
        <w:t xml:space="preserve"> </w:t>
      </w:r>
      <w:r>
        <w:rPr>
          <w:rFonts w:hint="cs"/>
          <w:rtl/>
        </w:rPr>
        <w:t>מעתק עיצורים ש</w:t>
      </w:r>
      <w:r>
        <w:rPr>
          <w:rFonts w:hint="cs"/>
          <w:vertAlign w:val="subscript"/>
          <w:rtl/>
        </w:rPr>
        <w:t xml:space="preserve">1 </w:t>
      </w:r>
      <w:r>
        <w:rPr>
          <w:rFonts w:hint="cs"/>
          <w:rtl/>
        </w:rPr>
        <w:t>- ת.</w:t>
      </w:r>
    </w:p>
  </w:footnote>
  <w:footnote w:id="424">
    <w:p w14:paraId="735C8E86" w14:textId="77777777" w:rsidR="002B4B31" w:rsidRDefault="002B4B31" w:rsidP="002B4B31">
      <w:pPr>
        <w:pStyle w:val="a5"/>
        <w:rPr>
          <w:rFonts w:hint="cs"/>
          <w:rtl/>
        </w:rPr>
      </w:pPr>
      <w:r>
        <w:rPr>
          <w:rStyle w:val="a4"/>
          <w:rtl/>
        </w:rPr>
        <w:footnoteRef/>
      </w:r>
      <w:r>
        <w:rPr>
          <w:rFonts w:hint="cs"/>
          <w:rtl/>
        </w:rPr>
        <w:t xml:space="preserve"> במקרא מצאנוהו פעם אחת בתהלים </w:t>
      </w:r>
      <w:r>
        <w:rPr>
          <w:rFonts w:hint="cs"/>
          <w:sz w:val="18"/>
          <w:szCs w:val="20"/>
          <w:rtl/>
        </w:rPr>
        <w:t>פד, יא</w:t>
      </w:r>
      <w:r>
        <w:rPr>
          <w:rFonts w:hint="cs"/>
          <w:rtl/>
        </w:rPr>
        <w:t>: "מִדּוּר בְּאָהֳלֵי רֶשַׁע" - ראב"ע: "מִדּוּר. כמו לגור, בלשון ארמית".</w:t>
      </w:r>
    </w:p>
  </w:footnote>
  <w:footnote w:id="425">
    <w:p w14:paraId="40D49348" w14:textId="77777777" w:rsidR="002B4B31" w:rsidRDefault="002B4B31" w:rsidP="002B4B31">
      <w:pPr>
        <w:pStyle w:val="a5"/>
        <w:rPr>
          <w:rFonts w:hint="cs"/>
          <w:rtl/>
        </w:rPr>
      </w:pPr>
      <w:r>
        <w:rPr>
          <w:rStyle w:val="a4"/>
          <w:rtl/>
        </w:rPr>
        <w:footnoteRef/>
      </w:r>
      <w:r>
        <w:rPr>
          <w:szCs w:val="22"/>
        </w:rPr>
        <w:t xml:space="preserve"> </w:t>
      </w:r>
      <w:r>
        <w:rPr>
          <w:rtl/>
        </w:rPr>
        <w:t xml:space="preserve">בראשית </w:t>
      </w:r>
      <w:r>
        <w:rPr>
          <w:sz w:val="18"/>
          <w:szCs w:val="20"/>
          <w:rtl/>
        </w:rPr>
        <w:t>כ</w:t>
      </w:r>
      <w:r>
        <w:rPr>
          <w:rFonts w:hint="cs"/>
          <w:sz w:val="18"/>
          <w:szCs w:val="20"/>
          <w:rtl/>
        </w:rPr>
        <w:t>, א</w:t>
      </w:r>
      <w:r>
        <w:rPr>
          <w:rFonts w:hint="cs"/>
          <w:rtl/>
        </w:rPr>
        <w:t>:</w:t>
      </w:r>
      <w:r>
        <w:rPr>
          <w:rtl/>
        </w:rPr>
        <w:t xml:space="preserve"> </w:t>
      </w:r>
      <w:r>
        <w:rPr>
          <w:rFonts w:hint="cs"/>
          <w:rtl/>
        </w:rPr>
        <w:t>"</w:t>
      </w:r>
      <w:r>
        <w:rPr>
          <w:rtl/>
        </w:rPr>
        <w:t>וַיֵּשֶׁב בֵּין קָדֵשׁ וּבֵין שׁוּר</w:t>
      </w:r>
      <w:r>
        <w:rPr>
          <w:rFonts w:hint="cs"/>
          <w:rtl/>
        </w:rPr>
        <w:t>,</w:t>
      </w:r>
      <w:r>
        <w:rPr>
          <w:rtl/>
        </w:rPr>
        <w:t xml:space="preserve"> וַיָּגָר בִּגְרָר</w:t>
      </w:r>
      <w:r>
        <w:rPr>
          <w:rFonts w:hint="cs"/>
          <w:rtl/>
        </w:rPr>
        <w:t>" - "</w:t>
      </w:r>
      <w:r>
        <w:rPr>
          <w:rtl/>
        </w:rPr>
        <w:t>ויתיב בין רקם ובין חגרא ואתותב בגרר</w:t>
      </w:r>
      <w:r>
        <w:rPr>
          <w:rFonts w:hint="cs"/>
          <w:rtl/>
        </w:rPr>
        <w:t xml:space="preserve">"; שם </w:t>
      </w:r>
      <w:r>
        <w:rPr>
          <w:rFonts w:hint="cs"/>
          <w:sz w:val="18"/>
          <w:szCs w:val="20"/>
          <w:rtl/>
        </w:rPr>
        <w:t>כא, לד</w:t>
      </w:r>
      <w:r>
        <w:rPr>
          <w:rFonts w:hint="cs"/>
          <w:rtl/>
        </w:rPr>
        <w:t xml:space="preserve">: "וַיָּגָר </w:t>
      </w:r>
      <w:r>
        <w:rPr>
          <w:rtl/>
        </w:rPr>
        <w:t>אַבְרָהָם בְּאֶרֶץ פְּלִשְׁתִּים יָמִים רַבִּים</w:t>
      </w:r>
      <w:r>
        <w:rPr>
          <w:rFonts w:hint="cs"/>
          <w:rtl/>
        </w:rPr>
        <w:t xml:space="preserve">" - "וְאִתּוֹתַב"; </w:t>
      </w:r>
      <w:r>
        <w:rPr>
          <w:rtl/>
        </w:rPr>
        <w:t xml:space="preserve">שמות </w:t>
      </w:r>
      <w:r>
        <w:rPr>
          <w:sz w:val="18"/>
          <w:szCs w:val="20"/>
          <w:rtl/>
        </w:rPr>
        <w:t>ו</w:t>
      </w:r>
      <w:r>
        <w:rPr>
          <w:rFonts w:hint="cs"/>
          <w:sz w:val="18"/>
          <w:szCs w:val="20"/>
          <w:rtl/>
        </w:rPr>
        <w:t xml:space="preserve">, </w:t>
      </w:r>
      <w:r>
        <w:rPr>
          <w:sz w:val="18"/>
          <w:szCs w:val="20"/>
          <w:rtl/>
        </w:rPr>
        <w:t>ד</w:t>
      </w:r>
      <w:r>
        <w:rPr>
          <w:rFonts w:hint="cs"/>
          <w:rtl/>
        </w:rPr>
        <w:t>: "</w:t>
      </w:r>
      <w:r>
        <w:rPr>
          <w:rtl/>
        </w:rPr>
        <w:t>אֶרֶץ מְגֻרֵיהֶם אֲשֶׁר גָּרוּ בָהּ</w:t>
      </w:r>
      <w:r>
        <w:rPr>
          <w:rFonts w:hint="cs"/>
          <w:rtl/>
        </w:rPr>
        <w:t>" - "אֲרַע תּוֹתָבוּתְהוֹן דְאִתּוֹתַבוּ בָהּ".</w:t>
      </w:r>
    </w:p>
  </w:footnote>
  <w:footnote w:id="426">
    <w:p w14:paraId="3622FA83" w14:textId="77777777" w:rsidR="002B4B31" w:rsidRDefault="002B4B31" w:rsidP="002B4B31">
      <w:pPr>
        <w:pStyle w:val="a5"/>
        <w:rPr>
          <w:rFonts w:hint="cs"/>
          <w:rtl/>
        </w:rPr>
      </w:pPr>
      <w:r>
        <w:rPr>
          <w:rStyle w:val="a4"/>
          <w:rtl/>
        </w:rPr>
        <w:footnoteRef/>
      </w:r>
      <w:r>
        <w:rPr>
          <w:szCs w:val="22"/>
        </w:rPr>
        <w:t xml:space="preserve"> </w:t>
      </w:r>
      <w:r>
        <w:rPr>
          <w:rFonts w:hint="cs"/>
          <w:rtl/>
        </w:rPr>
        <w:t xml:space="preserve">בראשית </w:t>
      </w:r>
      <w:r>
        <w:rPr>
          <w:rFonts w:hint="cs"/>
          <w:szCs w:val="20"/>
          <w:rtl/>
        </w:rPr>
        <w:t>לב, ה</w:t>
      </w:r>
      <w:r>
        <w:rPr>
          <w:rFonts w:hint="cs"/>
          <w:rtl/>
        </w:rPr>
        <w:t>:</w:t>
      </w:r>
      <w:r>
        <w:rPr>
          <w:rtl/>
        </w:rPr>
        <w:t xml:space="preserve"> </w:t>
      </w:r>
      <w:r>
        <w:rPr>
          <w:rFonts w:hint="cs"/>
          <w:rtl/>
        </w:rPr>
        <w:t>"</w:t>
      </w:r>
      <w:r>
        <w:rPr>
          <w:rtl/>
        </w:rPr>
        <w:t>עִם לָבָן גַּרְתִּי</w:t>
      </w:r>
      <w:r>
        <w:rPr>
          <w:rFonts w:hint="cs"/>
          <w:rtl/>
        </w:rPr>
        <w:t xml:space="preserve">" - "עִם לָבָן דַּרִית"; דברים </w:t>
      </w:r>
      <w:r>
        <w:rPr>
          <w:rFonts w:hint="cs"/>
          <w:szCs w:val="20"/>
          <w:rtl/>
        </w:rPr>
        <w:t>כו, ה</w:t>
      </w:r>
      <w:r>
        <w:rPr>
          <w:rFonts w:hint="cs"/>
          <w:rtl/>
        </w:rPr>
        <w:t xml:space="preserve">: "וַיֵּרֶד מִצְרַיְמָה </w:t>
      </w:r>
      <w:r>
        <w:rPr>
          <w:rFonts w:hint="cs"/>
          <w:b/>
          <w:bCs/>
          <w:rtl/>
        </w:rPr>
        <w:t xml:space="preserve">וַיָּגָר </w:t>
      </w:r>
      <w:r>
        <w:rPr>
          <w:rFonts w:hint="cs"/>
          <w:rtl/>
        </w:rPr>
        <w:t xml:space="preserve">שָׁם </w:t>
      </w:r>
      <w:r>
        <w:rPr>
          <w:rtl/>
        </w:rPr>
        <w:t>בִּמְתֵי מְעָט</w:t>
      </w:r>
      <w:r>
        <w:rPr>
          <w:rFonts w:hint="cs"/>
          <w:rtl/>
        </w:rPr>
        <w:t>" - "וְדָר". וכך נדרש פסוק זה בספרי (</w:t>
      </w:r>
      <w:r>
        <w:rPr>
          <w:rFonts w:hint="cs"/>
          <w:sz w:val="18"/>
          <w:szCs w:val="20"/>
          <w:rtl/>
        </w:rPr>
        <w:t>כי תבא פיסקא שא</w:t>
      </w:r>
      <w:r>
        <w:rPr>
          <w:rFonts w:hint="cs"/>
          <w:rtl/>
        </w:rPr>
        <w:t xml:space="preserve">) וכן מובא בהגדה של פסח: "מלמד שלא ירד [יעקב אבינו] להשתקע [במצרים], אלא לגור שם". חז"ל דייקו בלשון התורה, והסבירו ששורש גו"ר מציין שהִייה ממושכת אך לא קבועה לגמרי, לא "ישיבה" ו"השתקעות". אע"פ שיעקב ובניו שהו בגלות מצרים כמה מאות שנים, התורה מגדירה זאת בשורש גו"ר, כי כוונתם היתה לדירת עראי, על מנת לשוב לארץ ישראל </w:t>
      </w:r>
      <w:r>
        <w:rPr>
          <w:rFonts w:hint="cs"/>
          <w:sz w:val="26"/>
          <w:rtl/>
        </w:rPr>
        <w:t>ולשבת בה</w:t>
      </w:r>
      <w:r>
        <w:rPr>
          <w:rFonts w:hint="cs"/>
          <w:rtl/>
        </w:rPr>
        <w:t>.</w:t>
      </w:r>
    </w:p>
  </w:footnote>
  <w:footnote w:id="427">
    <w:p w14:paraId="76F146C2" w14:textId="77777777" w:rsidR="002B4B31" w:rsidRDefault="002B4B31" w:rsidP="002B4B31">
      <w:pPr>
        <w:pStyle w:val="a5"/>
        <w:rPr>
          <w:rFonts w:hint="cs"/>
          <w:rtl/>
        </w:rPr>
      </w:pPr>
      <w:r>
        <w:rPr>
          <w:rStyle w:val="a4"/>
          <w:rtl/>
        </w:rPr>
        <w:footnoteRef/>
      </w:r>
      <w:r>
        <w:rPr>
          <w:szCs w:val="22"/>
        </w:rPr>
        <w:t xml:space="preserve"> </w:t>
      </w:r>
      <w:r>
        <w:rPr>
          <w:rFonts w:hint="cs"/>
          <w:rtl/>
        </w:rPr>
        <w:t xml:space="preserve">עיין שם ברש"י ובראב"ע. לעומתם, יש שפירשו צירוף זה כ"שניים שהם אחד". </w:t>
      </w:r>
      <w:r>
        <w:rPr>
          <w:rFonts w:hint="cs"/>
          <w:sz w:val="18"/>
          <w:szCs w:val="20"/>
          <w:rtl/>
        </w:rPr>
        <w:t>ראה: ר' פרופ' ע"צ מלמד, תרביץ טז תש"ה, עמ' 189-173</w:t>
      </w:r>
      <w:r>
        <w:rPr>
          <w:rFonts w:hint="cs"/>
          <w:rtl/>
        </w:rPr>
        <w:t>.</w:t>
      </w:r>
    </w:p>
  </w:footnote>
  <w:footnote w:id="428">
    <w:p w14:paraId="21347225" w14:textId="77777777" w:rsidR="002B4B31" w:rsidRDefault="002B4B31" w:rsidP="002B4B31">
      <w:pPr>
        <w:pStyle w:val="a5"/>
        <w:rPr>
          <w:rFonts w:hint="cs"/>
          <w:rtl/>
        </w:rPr>
      </w:pPr>
      <w:r>
        <w:rPr>
          <w:rStyle w:val="a4"/>
          <w:rtl/>
        </w:rPr>
        <w:footnoteRef/>
      </w:r>
      <w:r>
        <w:rPr>
          <w:szCs w:val="22"/>
        </w:rPr>
        <w:t xml:space="preserve"> </w:t>
      </w:r>
      <w:r>
        <w:rPr>
          <w:rFonts w:hint="cs"/>
          <w:rtl/>
        </w:rPr>
        <w:t>"</w:t>
      </w:r>
      <w:r>
        <w:rPr>
          <w:rtl/>
        </w:rPr>
        <w:t>גּוּר</w:t>
      </w:r>
      <w:r>
        <w:rPr>
          <w:rFonts w:hint="cs"/>
          <w:rtl/>
        </w:rPr>
        <w:t xml:space="preserve"> </w:t>
      </w:r>
      <w:r>
        <w:rPr>
          <w:rtl/>
        </w:rPr>
        <w:t>בָּאָרֶץ הַזֹּאת</w:t>
      </w:r>
      <w:r>
        <w:rPr>
          <w:rFonts w:hint="cs"/>
          <w:rtl/>
        </w:rPr>
        <w:t>" (</w:t>
      </w:r>
      <w:r>
        <w:rPr>
          <w:sz w:val="18"/>
          <w:szCs w:val="20"/>
          <w:rtl/>
        </w:rPr>
        <w:t>בראשית כו</w:t>
      </w:r>
      <w:r>
        <w:rPr>
          <w:rFonts w:hint="cs"/>
          <w:sz w:val="18"/>
          <w:szCs w:val="20"/>
          <w:rtl/>
        </w:rPr>
        <w:t xml:space="preserve">, </w:t>
      </w:r>
      <w:r>
        <w:rPr>
          <w:sz w:val="18"/>
          <w:szCs w:val="20"/>
          <w:rtl/>
        </w:rPr>
        <w:t>ג</w:t>
      </w:r>
      <w:r>
        <w:rPr>
          <w:rFonts w:hint="cs"/>
          <w:rtl/>
        </w:rPr>
        <w:t>) - "</w:t>
      </w:r>
      <w:r>
        <w:rPr>
          <w:rtl/>
        </w:rPr>
        <w:t>דור בארעא הדא</w:t>
      </w:r>
      <w:r>
        <w:rPr>
          <w:rFonts w:hint="cs"/>
          <w:rtl/>
        </w:rPr>
        <w:t>". וכן בתרגום הארמי ל</w:t>
      </w:r>
      <w:r>
        <w:rPr>
          <w:rtl/>
        </w:rPr>
        <w:t xml:space="preserve">תהלים </w:t>
      </w:r>
      <w:r>
        <w:rPr>
          <w:sz w:val="18"/>
          <w:szCs w:val="20"/>
          <w:rtl/>
        </w:rPr>
        <w:t>סא</w:t>
      </w:r>
      <w:r>
        <w:rPr>
          <w:rFonts w:hint="cs"/>
          <w:sz w:val="18"/>
          <w:szCs w:val="20"/>
          <w:rtl/>
        </w:rPr>
        <w:t xml:space="preserve">, </w:t>
      </w:r>
      <w:r>
        <w:rPr>
          <w:sz w:val="18"/>
          <w:szCs w:val="20"/>
          <w:rtl/>
        </w:rPr>
        <w:t>ה</w:t>
      </w:r>
      <w:r>
        <w:rPr>
          <w:rFonts w:hint="cs"/>
          <w:rtl/>
        </w:rPr>
        <w:t>: "</w:t>
      </w:r>
      <w:r>
        <w:rPr>
          <w:rtl/>
        </w:rPr>
        <w:t>אָגוּרָה בְאָהָלְךָ עוֹלָמִים</w:t>
      </w:r>
      <w:r>
        <w:rPr>
          <w:rFonts w:hint="cs"/>
          <w:rtl/>
        </w:rPr>
        <w:t>" - "אֲדוּר".</w:t>
      </w:r>
    </w:p>
  </w:footnote>
  <w:footnote w:id="429">
    <w:p w14:paraId="740BBE0B" w14:textId="77777777" w:rsidR="002B4B31" w:rsidRDefault="002B4B31" w:rsidP="002B4B31">
      <w:pPr>
        <w:pStyle w:val="a5"/>
        <w:rPr>
          <w:rFonts w:hint="cs"/>
          <w:rtl/>
        </w:rPr>
      </w:pPr>
      <w:r>
        <w:rPr>
          <w:rStyle w:val="a4"/>
        </w:rPr>
        <w:footnoteRef/>
      </w:r>
      <w:r>
        <w:rPr>
          <w:rFonts w:hint="cs"/>
          <w:rtl/>
        </w:rPr>
        <w:t xml:space="preserve"> אבות </w:t>
      </w:r>
      <w:r>
        <w:rPr>
          <w:rFonts w:hint="cs"/>
          <w:sz w:val="18"/>
          <w:szCs w:val="20"/>
          <w:rtl/>
        </w:rPr>
        <w:t>פ"ו מ"ט</w:t>
      </w:r>
      <w:r>
        <w:rPr>
          <w:rFonts w:hint="cs"/>
          <w:rtl/>
        </w:rPr>
        <w:t xml:space="preserve">: "אֵינִי דָּר אֶלָּא בִּמְקוֹם תּוֹרָה"; בבא בתרא </w:t>
      </w:r>
      <w:r>
        <w:rPr>
          <w:rFonts w:hint="cs"/>
          <w:sz w:val="18"/>
          <w:szCs w:val="20"/>
          <w:rtl/>
        </w:rPr>
        <w:t>פ"א מ"ה</w:t>
      </w:r>
      <w:r>
        <w:rPr>
          <w:rFonts w:hint="cs"/>
          <w:rtl/>
        </w:rPr>
        <w:t xml:space="preserve">: "קָנָה בָּהּ בֵּית דִּירָה - הֲרֵי הוּא כְּאַנְשֵׁי הָעִיר מִיָּד"; מכות </w:t>
      </w:r>
      <w:r>
        <w:rPr>
          <w:rFonts w:hint="cs"/>
          <w:sz w:val="18"/>
          <w:szCs w:val="20"/>
          <w:rtl/>
        </w:rPr>
        <w:t>פ"ב מ"ז</w:t>
      </w:r>
      <w:r>
        <w:rPr>
          <w:rFonts w:hint="cs"/>
          <w:rtl/>
        </w:rPr>
        <w:t>: "אֵינוֹ יוֹצֵא מִשָּׁם לְעוֹלָם, שֶׁנֶּאֱמַר (</w:t>
      </w:r>
      <w:r>
        <w:rPr>
          <w:rFonts w:hint="cs"/>
          <w:sz w:val="18"/>
          <w:szCs w:val="20"/>
          <w:rtl/>
        </w:rPr>
        <w:t>במדבר לה, כה</w:t>
      </w:r>
      <w:r>
        <w:rPr>
          <w:rFonts w:hint="cs"/>
          <w:rtl/>
        </w:rPr>
        <w:t xml:space="preserve">) "אֲשֶׁר נָס שָׁמָּה" - שָׁם תְּהֵא דִּירָתוֹ". בבלי ברכות </w:t>
      </w:r>
      <w:r>
        <w:rPr>
          <w:rFonts w:hint="cs"/>
          <w:sz w:val="18"/>
          <w:szCs w:val="20"/>
          <w:rtl/>
        </w:rPr>
        <w:t xml:space="preserve">ח, א: </w:t>
      </w:r>
      <w:r>
        <w:rPr>
          <w:rFonts w:hint="cs"/>
          <w:rtl/>
        </w:rPr>
        <w:t>"</w:t>
      </w:r>
      <w:r>
        <w:rPr>
          <w:rFonts w:hint="cs"/>
          <w:b/>
          <w:bCs/>
          <w:rtl/>
        </w:rPr>
        <w:t xml:space="preserve">לעולם ידור </w:t>
      </w:r>
      <w:r>
        <w:rPr>
          <w:rFonts w:hint="cs"/>
          <w:rtl/>
        </w:rPr>
        <w:t>אדם במקום רבו".</w:t>
      </w:r>
    </w:p>
  </w:footnote>
  <w:footnote w:id="430">
    <w:p w14:paraId="0186AC94" w14:textId="77777777" w:rsidR="002B4B31" w:rsidRDefault="002B4B31" w:rsidP="002B4B31">
      <w:pPr>
        <w:pStyle w:val="a5"/>
        <w:rPr>
          <w:rFonts w:hint="cs"/>
          <w:rtl/>
        </w:rPr>
      </w:pPr>
      <w:r>
        <w:rPr>
          <w:rStyle w:val="a4"/>
          <w:rtl/>
        </w:rPr>
        <w:footnoteRef/>
      </w:r>
      <w:r>
        <w:rPr>
          <w:szCs w:val="22"/>
        </w:rPr>
        <w:t xml:space="preserve"> </w:t>
      </w:r>
      <w:r>
        <w:rPr>
          <w:rFonts w:hint="cs"/>
          <w:rtl/>
        </w:rPr>
        <w:t>ראה בהערות 3, 13.</w:t>
      </w:r>
    </w:p>
  </w:footnote>
  <w:footnote w:id="431">
    <w:p w14:paraId="2697518E" w14:textId="77777777" w:rsidR="002B4B31" w:rsidRDefault="002B4B31" w:rsidP="002B4B31">
      <w:pPr>
        <w:pStyle w:val="a5"/>
        <w:rPr>
          <w:rFonts w:hint="cs"/>
          <w:rtl/>
        </w:rPr>
      </w:pPr>
      <w:r>
        <w:rPr>
          <w:rStyle w:val="a4"/>
        </w:rPr>
        <w:footnoteRef/>
      </w:r>
      <w:r>
        <w:rPr>
          <w:rFonts w:hint="cs"/>
          <w:rtl/>
        </w:rPr>
        <w:t xml:space="preserve"> מלבד כאן, דומני כי הוא נאמר על בני אדם רק בבבלי שבת </w:t>
      </w:r>
      <w:r>
        <w:rPr>
          <w:rFonts w:hint="cs"/>
          <w:sz w:val="18"/>
          <w:szCs w:val="20"/>
          <w:rtl/>
        </w:rPr>
        <w:t>יב, ב</w:t>
      </w:r>
      <w:r>
        <w:rPr>
          <w:rFonts w:hint="cs"/>
          <w:rtl/>
        </w:rPr>
        <w:t>: "שמש קבוע... שמש שאינו קבוע".</w:t>
      </w:r>
    </w:p>
  </w:footnote>
  <w:footnote w:id="432">
    <w:p w14:paraId="16207960" w14:textId="77777777" w:rsidR="002B4B31" w:rsidRDefault="002B4B31" w:rsidP="002B4B31">
      <w:pPr>
        <w:pStyle w:val="a5"/>
        <w:rPr>
          <w:rFonts w:hint="cs"/>
          <w:rtl/>
        </w:rPr>
      </w:pPr>
      <w:r>
        <w:rPr>
          <w:rStyle w:val="a4"/>
        </w:rPr>
        <w:footnoteRef/>
      </w:r>
      <w:r>
        <w:rPr>
          <w:rFonts w:hint="cs"/>
          <w:rtl/>
        </w:rPr>
        <w:t xml:space="preserve"> שבת לא, א. רש"י: "קבעת עתים - לפי שאדם צריך להתעסק בדרך ארץ... הוצרך לקבוע עתים לתורה </w:t>
      </w:r>
      <w:r>
        <w:rPr>
          <w:rFonts w:hint="cs"/>
          <w:b/>
          <w:bCs/>
          <w:rtl/>
        </w:rPr>
        <w:t xml:space="preserve">דבר קצוב </w:t>
      </w:r>
      <w:r>
        <w:rPr>
          <w:rFonts w:hint="cs"/>
          <w:rtl/>
        </w:rPr>
        <w:t>שלא ימשך כל היום לדרך ארץ".</w:t>
      </w:r>
    </w:p>
  </w:footnote>
  <w:footnote w:id="433">
    <w:p w14:paraId="76DD0D1C" w14:textId="77777777" w:rsidR="002B4B31" w:rsidRDefault="002B4B31" w:rsidP="002B4B31">
      <w:pPr>
        <w:pStyle w:val="a5"/>
        <w:rPr>
          <w:rFonts w:hint="cs"/>
          <w:rtl/>
        </w:rPr>
      </w:pPr>
      <w:r>
        <w:rPr>
          <w:rStyle w:val="a4"/>
        </w:rPr>
        <w:footnoteRef/>
      </w:r>
      <w:r>
        <w:rPr>
          <w:rFonts w:hint="cs"/>
          <w:rtl/>
        </w:rPr>
        <w:t xml:space="preserve"> וע"ע בבלי עבודה זרה </w:t>
      </w:r>
      <w:r>
        <w:rPr>
          <w:rFonts w:hint="cs"/>
          <w:sz w:val="18"/>
          <w:szCs w:val="20"/>
          <w:rtl/>
        </w:rPr>
        <w:t xml:space="preserve">יט, א </w:t>
      </w:r>
      <w:r>
        <w:rPr>
          <w:rFonts w:hint="cs"/>
          <w:rtl/>
        </w:rPr>
        <w:t xml:space="preserve">עה"פ בתהלים </w:t>
      </w:r>
      <w:r>
        <w:rPr>
          <w:rFonts w:hint="cs"/>
          <w:sz w:val="18"/>
          <w:szCs w:val="20"/>
          <w:rtl/>
        </w:rPr>
        <w:t xml:space="preserve">א, ג </w:t>
      </w:r>
      <w:r>
        <w:rPr>
          <w:rFonts w:hint="cs"/>
          <w:rtl/>
        </w:rPr>
        <w:t xml:space="preserve">"וְהָיָה כְּעֵץ שָׁתוּל": "אמרי דבי ר' ינאי: כעץ שתול ולא כעץ נטוע" ורש"י שם. כיוצא בו מצינו בבבלי ברכות </w:t>
      </w:r>
      <w:r>
        <w:rPr>
          <w:rFonts w:hint="cs"/>
          <w:sz w:val="18"/>
          <w:szCs w:val="20"/>
          <w:rtl/>
        </w:rPr>
        <w:t>ז, ב</w:t>
      </w:r>
      <w:r>
        <w:rPr>
          <w:rFonts w:hint="cs"/>
          <w:rtl/>
        </w:rPr>
        <w:t xml:space="preserve"> בדברי ר' יוחנן משום רבי שמעון בן יוחי על פי הכתוב בשמואל </w:t>
      </w:r>
      <w:r>
        <w:rPr>
          <w:rFonts w:hint="cs"/>
          <w:sz w:val="18"/>
          <w:szCs w:val="20"/>
          <w:rtl/>
        </w:rPr>
        <w:t>ב' ז, י</w:t>
      </w:r>
      <w:r>
        <w:rPr>
          <w:rFonts w:hint="cs"/>
          <w:rtl/>
        </w:rPr>
        <w:t xml:space="preserve">: "כל הקובע מקום לתפלתו אויביו נופלים תחתיו, שנאמר: 'וְשַׂמְתִּי מָקוֹם לְעַמִּי לְיִשְׂרָאֵל </w:t>
      </w:r>
      <w:r>
        <w:rPr>
          <w:rFonts w:hint="cs"/>
          <w:b/>
          <w:bCs/>
          <w:rtl/>
        </w:rPr>
        <w:t xml:space="preserve">וּנְטַעְתִּיו </w:t>
      </w:r>
      <w:r>
        <w:rPr>
          <w:rFonts w:hint="cs"/>
          <w:rtl/>
        </w:rPr>
        <w:t>וְשָׁכַן תַּחְתָּיו וְלֹא יִרְגַּז עוֹד וְלֹא יסִיפוּ בְנֵי עַוְלָה לְעַנּוֹתוֹ כַּאֲשֶׁר בָּרִאשׁוֹנָה' ".</w:t>
      </w:r>
    </w:p>
  </w:footnote>
  <w:footnote w:id="434">
    <w:p w14:paraId="194CDA55" w14:textId="77777777" w:rsidR="002B4B31" w:rsidRDefault="002B4B31" w:rsidP="002B4B31">
      <w:pPr>
        <w:pStyle w:val="a5"/>
        <w:rPr>
          <w:rFonts w:hint="cs"/>
          <w:rtl/>
        </w:rPr>
      </w:pPr>
      <w:r>
        <w:rPr>
          <w:rStyle w:val="a4"/>
          <w:rtl/>
        </w:rPr>
        <w:footnoteRef/>
      </w:r>
      <w:r>
        <w:rPr>
          <w:szCs w:val="22"/>
        </w:rPr>
        <w:t xml:space="preserve"> </w:t>
      </w:r>
      <w:r>
        <w:rPr>
          <w:rFonts w:hint="cs"/>
          <w:sz w:val="26"/>
          <w:rtl/>
        </w:rPr>
        <w:t>לדוגמה: יכול היה לומר "ו</w:t>
      </w:r>
      <w:r>
        <w:rPr>
          <w:rFonts w:hint="cs"/>
          <w:rtl/>
        </w:rPr>
        <w:t>מדבר בלשון התורה".</w:t>
      </w:r>
    </w:p>
  </w:footnote>
  <w:footnote w:id="435">
    <w:p w14:paraId="3460A102" w14:textId="77777777" w:rsidR="002B4B31" w:rsidRDefault="002B4B31" w:rsidP="002B4B31">
      <w:pPr>
        <w:pStyle w:val="a5"/>
        <w:rPr>
          <w:rtl/>
        </w:rPr>
      </w:pPr>
      <w:r>
        <w:rPr>
          <w:rStyle w:val="a4"/>
          <w:rtl/>
        </w:rPr>
        <w:footnoteRef/>
      </w:r>
      <w:r>
        <w:t xml:space="preserve"> </w:t>
      </w:r>
      <w:r>
        <w:rPr>
          <w:rFonts w:hint="cs"/>
          <w:rtl/>
        </w:rPr>
        <w:t>אולי דווק</w:t>
      </w:r>
      <w:r>
        <w:rPr>
          <w:rFonts w:hint="eastAsia"/>
          <w:rtl/>
        </w:rPr>
        <w:t>א</w:t>
      </w:r>
      <w:r>
        <w:rPr>
          <w:rFonts w:hint="cs"/>
          <w:rtl/>
        </w:rPr>
        <w:t xml:space="preserve"> לטהרת ה</w:t>
      </w:r>
      <w:r>
        <w:rPr>
          <w:rFonts w:hint="cs"/>
          <w:b/>
          <w:bCs/>
          <w:rtl/>
        </w:rPr>
        <w:t>נפש</w:t>
      </w:r>
      <w:r>
        <w:rPr>
          <w:rFonts w:hint="cs"/>
          <w:rtl/>
        </w:rPr>
        <w:t>, ע"פ ת"א לבראשית ב, ז.</w:t>
      </w:r>
    </w:p>
  </w:footnote>
  <w:footnote w:id="436">
    <w:p w14:paraId="7A0D910E" w14:textId="77777777" w:rsidR="002B4B31" w:rsidRDefault="002B4B31" w:rsidP="002B4B31">
      <w:pPr>
        <w:pStyle w:val="a5"/>
        <w:rPr>
          <w:rFonts w:hint="cs"/>
          <w:rtl/>
        </w:rPr>
      </w:pPr>
      <w:r>
        <w:rPr>
          <w:rStyle w:val="a4"/>
        </w:rPr>
        <w:footnoteRef/>
      </w:r>
      <w:r>
        <w:rPr>
          <w:rFonts w:hint="cs"/>
          <w:rtl/>
        </w:rPr>
        <w:t xml:space="preserve"> בשו"ת </w:t>
      </w:r>
      <w:r>
        <w:rPr>
          <w:rtl/>
        </w:rPr>
        <w:t>דברי יציב</w:t>
      </w:r>
      <w:r>
        <w:rPr>
          <w:rFonts w:hint="cs"/>
          <w:rtl/>
        </w:rPr>
        <w:t xml:space="preserve"> </w:t>
      </w:r>
      <w:r>
        <w:rPr>
          <w:rFonts w:hint="cs"/>
          <w:sz w:val="18"/>
          <w:szCs w:val="20"/>
          <w:rtl/>
        </w:rPr>
        <w:t xml:space="preserve">הנ"ל </w:t>
      </w:r>
      <w:r>
        <w:rPr>
          <w:rFonts w:hint="cs"/>
          <w:rtl/>
        </w:rPr>
        <w:t>כתב:</w:t>
      </w:r>
    </w:p>
    <w:p w14:paraId="7582C34A" w14:textId="77777777" w:rsidR="002B4B31" w:rsidRDefault="002B4B31" w:rsidP="002B4B31">
      <w:pPr>
        <w:pStyle w:val="a5"/>
        <w:ind w:left="720"/>
        <w:rPr>
          <w:rFonts w:hint="cs"/>
          <w:rtl/>
        </w:rPr>
      </w:pPr>
      <w:r>
        <w:rPr>
          <w:rFonts w:hint="cs"/>
          <w:rtl/>
        </w:rPr>
        <w:t>"</w:t>
      </w:r>
      <w:r>
        <w:rPr>
          <w:rtl/>
        </w:rPr>
        <w:t xml:space="preserve">ראיתי ביפה מראה על הירושלמי פ"ק דשבת, שרצ"ל </w:t>
      </w:r>
      <w:r>
        <w:rPr>
          <w:b/>
          <w:bCs/>
          <w:rtl/>
        </w:rPr>
        <w:t>דכולהו בעי</w:t>
      </w:r>
      <w:r>
        <w:rPr>
          <w:rtl/>
        </w:rPr>
        <w:t xml:space="preserve"> כדי שיהיה בן עוה"ב, </w:t>
      </w:r>
      <w:r>
        <w:rPr>
          <w:b/>
          <w:bCs/>
          <w:rtl/>
        </w:rPr>
        <w:t>ואח"כ כתב דאפשר בכל אחד מהם</w:t>
      </w:r>
      <w:r>
        <w:rPr>
          <w:rFonts w:hint="cs"/>
          <w:rtl/>
        </w:rPr>
        <w:t xml:space="preserve">. </w:t>
      </w:r>
      <w:r>
        <w:rPr>
          <w:rtl/>
        </w:rPr>
        <w:t>והדיבור בלשון הקודש היינו שמחמת כן שומר פיו ולשונו וזה יבטיחנו להיות מבני עוה"ב</w:t>
      </w:r>
      <w:r>
        <w:rPr>
          <w:rFonts w:hint="cs"/>
          <w:rtl/>
        </w:rPr>
        <w:t>"</w:t>
      </w:r>
      <w:r>
        <w:rPr>
          <w:rtl/>
        </w:rPr>
        <w:t>.</w:t>
      </w:r>
    </w:p>
  </w:footnote>
  <w:footnote w:id="437">
    <w:p w14:paraId="348ADBCE" w14:textId="77777777" w:rsidR="002B4B31" w:rsidRDefault="002B4B31" w:rsidP="002B4B31">
      <w:pPr>
        <w:pStyle w:val="a5"/>
        <w:rPr>
          <w:rFonts w:hint="cs"/>
          <w:rtl/>
        </w:rPr>
      </w:pPr>
      <w:r>
        <w:rPr>
          <w:rStyle w:val="a4"/>
        </w:rPr>
        <w:footnoteRef/>
      </w:r>
      <w:r>
        <w:rPr>
          <w:rFonts w:hint="cs"/>
          <w:rtl/>
        </w:rPr>
        <w:t xml:space="preserve"> וכיו"ב פירש רש"י בביצה </w:t>
      </w:r>
      <w:r>
        <w:rPr>
          <w:rFonts w:hint="cs"/>
          <w:sz w:val="18"/>
          <w:szCs w:val="20"/>
          <w:rtl/>
        </w:rPr>
        <w:t>יד, ב; כח, א</w:t>
      </w:r>
      <w:r>
        <w:rPr>
          <w:rFonts w:hint="cs"/>
          <w:rtl/>
        </w:rPr>
        <w:t>.</w:t>
      </w:r>
    </w:p>
  </w:footnote>
  <w:footnote w:id="438">
    <w:p w14:paraId="4E1F334B" w14:textId="77777777" w:rsidR="002B4B31" w:rsidRDefault="002B4B31" w:rsidP="002B4B31">
      <w:pPr>
        <w:pStyle w:val="a5"/>
        <w:rPr>
          <w:rFonts w:hint="cs"/>
          <w:rtl/>
        </w:rPr>
      </w:pPr>
      <w:r>
        <w:rPr>
          <w:rStyle w:val="a4"/>
          <w:rtl/>
        </w:rPr>
        <w:footnoteRef/>
      </w:r>
      <w:r>
        <w:rPr>
          <w:rFonts w:hint="cs"/>
          <w:rtl/>
        </w:rPr>
        <w:t xml:space="preserve"> במילון ר</w:t>
      </w:r>
      <w:r>
        <w:rPr>
          <w:rtl/>
        </w:rPr>
        <w:t>ע</w:t>
      </w:r>
      <w:r>
        <w:rPr>
          <w:rFonts w:hint="cs"/>
          <w:rtl/>
        </w:rPr>
        <w:t>"</w:t>
      </w:r>
      <w:r>
        <w:rPr>
          <w:rtl/>
        </w:rPr>
        <w:t>צ</w:t>
      </w:r>
      <w:r>
        <w:rPr>
          <w:rFonts w:hint="cs"/>
          <w:rtl/>
        </w:rPr>
        <w:t xml:space="preserve"> </w:t>
      </w:r>
      <w:r>
        <w:rPr>
          <w:rtl/>
        </w:rPr>
        <w:t>מ</w:t>
      </w:r>
      <w:r>
        <w:rPr>
          <w:rFonts w:hint="cs"/>
          <w:rtl/>
        </w:rPr>
        <w:t>למד</w:t>
      </w:r>
      <w:r>
        <w:rPr>
          <w:rFonts w:hint="cs"/>
          <w:sz w:val="18"/>
          <w:szCs w:val="20"/>
          <w:rtl/>
        </w:rPr>
        <w:t>, עמ' 11,</w:t>
      </w:r>
      <w:r>
        <w:rPr>
          <w:rtl/>
        </w:rPr>
        <w:t xml:space="preserve"> פירש </w:t>
      </w:r>
      <w:r>
        <w:rPr>
          <w:rFonts w:hint="cs"/>
          <w:rtl/>
        </w:rPr>
        <w:t>"</w:t>
      </w:r>
      <w:r>
        <w:rPr>
          <w:rtl/>
        </w:rPr>
        <w:t>רועשים</w:t>
      </w:r>
      <w:r>
        <w:rPr>
          <w:rFonts w:hint="cs"/>
          <w:rtl/>
        </w:rPr>
        <w:t>"</w:t>
      </w:r>
      <w:r>
        <w:rPr>
          <w:rtl/>
        </w:rPr>
        <w:t>, ולא כרש"י.</w:t>
      </w:r>
      <w:r>
        <w:rPr>
          <w:rFonts w:hint="cs"/>
          <w:rtl/>
        </w:rPr>
        <w:t xml:space="preserve"> וכן פירש </w:t>
      </w:r>
      <w:r>
        <w:rPr>
          <w:rFonts w:hint="cs"/>
          <w:szCs w:val="20"/>
          <w:rtl/>
        </w:rPr>
        <w:t>בנדרים</w:t>
      </w:r>
      <w:r>
        <w:rPr>
          <w:rFonts w:hint="cs"/>
          <w:rtl/>
        </w:rPr>
        <w:t xml:space="preserve"> "דחקו", בניגוד ל</w:t>
      </w:r>
      <w:r>
        <w:rPr>
          <w:rtl/>
        </w:rPr>
        <w:t>ר"ן</w:t>
      </w:r>
      <w:r>
        <w:rPr>
          <w:rFonts w:hint="cs"/>
          <w:rtl/>
        </w:rPr>
        <w:t xml:space="preserve"> הסמוך. את "אווש" (</w:t>
      </w:r>
      <w:r>
        <w:rPr>
          <w:sz w:val="18"/>
          <w:szCs w:val="20"/>
          <w:rtl/>
        </w:rPr>
        <w:t>כתובות נ</w:t>
      </w:r>
      <w:r>
        <w:rPr>
          <w:rFonts w:hint="cs"/>
          <w:sz w:val="18"/>
          <w:szCs w:val="20"/>
          <w:rtl/>
        </w:rPr>
        <w:t xml:space="preserve">, </w:t>
      </w:r>
      <w:r>
        <w:rPr>
          <w:sz w:val="18"/>
          <w:szCs w:val="20"/>
          <w:rtl/>
        </w:rPr>
        <w:t>ב</w:t>
      </w:r>
      <w:r>
        <w:rPr>
          <w:rFonts w:hint="cs"/>
          <w:rtl/>
        </w:rPr>
        <w:t>) הוא הסביר "רָעַש", ע"פ הפרסית, מלשון "קול".</w:t>
      </w:r>
    </w:p>
  </w:footnote>
  <w:footnote w:id="439">
    <w:p w14:paraId="1DFFACB3" w14:textId="77777777" w:rsidR="002B4B31" w:rsidRDefault="002B4B31" w:rsidP="002B4B31">
      <w:pPr>
        <w:pStyle w:val="a5"/>
        <w:rPr>
          <w:rFonts w:hint="cs"/>
          <w:rtl/>
        </w:rPr>
      </w:pPr>
      <w:r>
        <w:rPr>
          <w:rStyle w:val="a4"/>
          <w:rtl/>
        </w:rPr>
        <w:footnoteRef/>
      </w:r>
      <w:r>
        <w:t xml:space="preserve"> </w:t>
      </w:r>
      <w:r>
        <w:rPr>
          <w:rFonts w:hint="cs"/>
          <w:rtl/>
        </w:rPr>
        <w:t xml:space="preserve">יתכן ש"המון" מעיקרו הוא רק לשון השמעת קול, ואח הוא ל"הֶמְיָה", ולכן מופיע במקרא רק על קיבוץ דברים מרעישים (אנשים, מים וכיו"ב; ראה: </w:t>
      </w:r>
      <w:r>
        <w:rPr>
          <w:rtl/>
        </w:rPr>
        <w:t xml:space="preserve">רש"י </w:t>
      </w:r>
      <w:r>
        <w:rPr>
          <w:sz w:val="18"/>
          <w:szCs w:val="20"/>
          <w:rtl/>
        </w:rPr>
        <w:t>שמות יד</w:t>
      </w:r>
      <w:r>
        <w:rPr>
          <w:rFonts w:hint="cs"/>
          <w:sz w:val="18"/>
          <w:szCs w:val="20"/>
          <w:rtl/>
        </w:rPr>
        <w:t xml:space="preserve">, </w:t>
      </w:r>
      <w:r>
        <w:rPr>
          <w:sz w:val="18"/>
          <w:szCs w:val="20"/>
          <w:rtl/>
        </w:rPr>
        <w:t xml:space="preserve">כד </w:t>
      </w:r>
      <w:r>
        <w:rPr>
          <w:rFonts w:hint="cs"/>
          <w:sz w:val="18"/>
          <w:szCs w:val="20"/>
          <w:rtl/>
        </w:rPr>
        <w:t>ו</w:t>
      </w:r>
      <w:r>
        <w:rPr>
          <w:sz w:val="18"/>
          <w:szCs w:val="20"/>
          <w:rtl/>
        </w:rPr>
        <w:t>דברים כח</w:t>
      </w:r>
      <w:r>
        <w:rPr>
          <w:rFonts w:hint="cs"/>
          <w:sz w:val="18"/>
          <w:szCs w:val="20"/>
          <w:rtl/>
        </w:rPr>
        <w:t xml:space="preserve">, </w:t>
      </w:r>
      <w:r>
        <w:rPr>
          <w:sz w:val="18"/>
          <w:szCs w:val="20"/>
          <w:rtl/>
        </w:rPr>
        <w:t>כ</w:t>
      </w:r>
      <w:r>
        <w:rPr>
          <w:rFonts w:hint="cs"/>
          <w:sz w:val="18"/>
          <w:szCs w:val="20"/>
          <w:rtl/>
        </w:rPr>
        <w:t xml:space="preserve">; </w:t>
      </w:r>
      <w:r>
        <w:rPr>
          <w:rFonts w:hint="cs"/>
          <w:rtl/>
        </w:rPr>
        <w:t xml:space="preserve">ר"א </w:t>
      </w:r>
      <w:r>
        <w:rPr>
          <w:rtl/>
        </w:rPr>
        <w:t xml:space="preserve">אבן עזרא </w:t>
      </w:r>
      <w:r>
        <w:rPr>
          <w:sz w:val="18"/>
          <w:szCs w:val="20"/>
          <w:rtl/>
        </w:rPr>
        <w:t>עמוס ה</w:t>
      </w:r>
      <w:r>
        <w:rPr>
          <w:rFonts w:hint="cs"/>
          <w:sz w:val="18"/>
          <w:szCs w:val="20"/>
          <w:rtl/>
        </w:rPr>
        <w:t xml:space="preserve">, </w:t>
      </w:r>
      <w:r>
        <w:rPr>
          <w:sz w:val="18"/>
          <w:szCs w:val="20"/>
          <w:rtl/>
        </w:rPr>
        <w:t>כג</w:t>
      </w:r>
      <w:r>
        <w:rPr>
          <w:rFonts w:hint="cs"/>
          <w:rtl/>
        </w:rPr>
        <w:t>). בשלב מאוחר יותר התרחבה משמעות "המון" לתאֵר גם ריבוי של דברים שקטים: "</w:t>
      </w:r>
      <w:r>
        <w:rPr>
          <w:rtl/>
        </w:rPr>
        <w:t>מצאתי נועם מכתבו בתוך המון אגרות רבות</w:t>
      </w:r>
      <w:r>
        <w:rPr>
          <w:rFonts w:hint="cs"/>
          <w:rtl/>
        </w:rPr>
        <w:t>" (</w:t>
      </w:r>
      <w:r>
        <w:rPr>
          <w:sz w:val="18"/>
          <w:szCs w:val="20"/>
          <w:rtl/>
        </w:rPr>
        <w:t>שו"ת חתם סופר ח</w:t>
      </w:r>
      <w:r>
        <w:rPr>
          <w:rFonts w:hint="cs"/>
          <w:sz w:val="18"/>
          <w:szCs w:val="20"/>
          <w:rtl/>
        </w:rPr>
        <w:t>"</w:t>
      </w:r>
      <w:r>
        <w:rPr>
          <w:sz w:val="18"/>
          <w:szCs w:val="20"/>
          <w:rtl/>
        </w:rPr>
        <w:t>ה חו"מ</w:t>
      </w:r>
      <w:r>
        <w:rPr>
          <w:rFonts w:hint="cs"/>
          <w:sz w:val="18"/>
          <w:szCs w:val="20"/>
          <w:rtl/>
        </w:rPr>
        <w:t xml:space="preserve">, </w:t>
      </w:r>
      <w:r>
        <w:rPr>
          <w:sz w:val="18"/>
          <w:szCs w:val="20"/>
          <w:rtl/>
        </w:rPr>
        <w:t>קנג</w:t>
      </w:r>
      <w:r>
        <w:rPr>
          <w:rFonts w:hint="cs"/>
          <w:rtl/>
        </w:rPr>
        <w:t>), "</w:t>
      </w:r>
      <w:r>
        <w:rPr>
          <w:rtl/>
        </w:rPr>
        <w:t>נאבד קונטרסי זה עם המון</w:t>
      </w:r>
      <w:r>
        <w:rPr>
          <w:rFonts w:hint="cs"/>
          <w:rtl/>
        </w:rPr>
        <w:t xml:space="preserve"> </w:t>
      </w:r>
      <w:r>
        <w:rPr>
          <w:rtl/>
        </w:rPr>
        <w:t>כתבי ידי</w:t>
      </w:r>
      <w:r>
        <w:rPr>
          <w:rFonts w:hint="cs"/>
          <w:rtl/>
        </w:rPr>
        <w:t>" (</w:t>
      </w:r>
      <w:r>
        <w:rPr>
          <w:sz w:val="18"/>
          <w:szCs w:val="20"/>
          <w:rtl/>
        </w:rPr>
        <w:t>שו"ת שרידי אש ח</w:t>
      </w:r>
      <w:r>
        <w:rPr>
          <w:rFonts w:hint="cs"/>
          <w:sz w:val="18"/>
          <w:szCs w:val="20"/>
          <w:rtl/>
        </w:rPr>
        <w:t>"</w:t>
      </w:r>
      <w:r>
        <w:rPr>
          <w:sz w:val="18"/>
          <w:szCs w:val="20"/>
          <w:rtl/>
        </w:rPr>
        <w:t>ב</w:t>
      </w:r>
      <w:r>
        <w:rPr>
          <w:rFonts w:hint="cs"/>
          <w:sz w:val="18"/>
          <w:szCs w:val="20"/>
          <w:rtl/>
        </w:rPr>
        <w:t xml:space="preserve">, </w:t>
      </w:r>
      <w:r>
        <w:rPr>
          <w:sz w:val="18"/>
          <w:szCs w:val="20"/>
          <w:rtl/>
        </w:rPr>
        <w:t>ו</w:t>
      </w:r>
      <w:r>
        <w:rPr>
          <w:rFonts w:hint="cs"/>
          <w:rtl/>
        </w:rPr>
        <w:t>). תודה לידידי ר' יעקב לויפר נר"ו.</w:t>
      </w:r>
    </w:p>
  </w:footnote>
  <w:footnote w:id="440">
    <w:p w14:paraId="74910A71" w14:textId="77777777" w:rsidR="002B4B31" w:rsidRDefault="002B4B31" w:rsidP="002B4B31">
      <w:pPr>
        <w:pStyle w:val="a5"/>
        <w:rPr>
          <w:rFonts w:hint="cs"/>
          <w:rtl/>
        </w:rPr>
      </w:pPr>
      <w:r>
        <w:rPr>
          <w:rStyle w:val="a4"/>
          <w:rtl/>
        </w:rPr>
        <w:footnoteRef/>
      </w:r>
      <w:r>
        <w:t xml:space="preserve"> </w:t>
      </w:r>
      <w:r>
        <w:rPr>
          <w:rFonts w:hint="cs"/>
          <w:rtl/>
        </w:rPr>
        <w:t xml:space="preserve">הרי פרסום יכול להיות ע"י ראייה ולא רק ע"י שמיעה! וראה: </w:t>
      </w:r>
      <w:r>
        <w:rPr>
          <w:rFonts w:hint="eastAsia"/>
          <w:rtl/>
        </w:rPr>
        <w:t>פסקי</w:t>
      </w:r>
      <w:r>
        <w:rPr>
          <w:rtl/>
        </w:rPr>
        <w:t xml:space="preserve"> תשובות, סי' רנב, עמ' </w:t>
      </w:r>
      <w:r>
        <w:rPr>
          <w:rFonts w:hint="eastAsia"/>
          <w:rtl/>
        </w:rPr>
        <w:t>יג</w:t>
      </w:r>
      <w:r>
        <w:rPr>
          <w:rtl/>
        </w:rPr>
        <w:t>, הערה 8</w:t>
      </w:r>
      <w:r>
        <w:rPr>
          <w:rFonts w:hint="cs"/>
          <w:rtl/>
        </w:rPr>
        <w:t>.</w:t>
      </w:r>
    </w:p>
  </w:footnote>
  <w:footnote w:id="441">
    <w:p w14:paraId="7B4A92D3" w14:textId="77777777" w:rsidR="002B4B31" w:rsidRDefault="002B4B31" w:rsidP="002B4B31">
      <w:pPr>
        <w:pStyle w:val="a5"/>
        <w:rPr>
          <w:rFonts w:hint="cs"/>
          <w:rtl/>
        </w:rPr>
      </w:pPr>
      <w:r>
        <w:rPr>
          <w:rStyle w:val="a4"/>
          <w:rtl/>
        </w:rPr>
        <w:footnoteRef/>
      </w:r>
      <w:r>
        <w:t xml:space="preserve"> </w:t>
      </w:r>
      <w:r>
        <w:rPr>
          <w:rFonts w:hint="cs"/>
          <w:rtl/>
        </w:rPr>
        <w:t xml:space="preserve">כך כותב הרב </w:t>
      </w:r>
      <w:r>
        <w:rPr>
          <w:rtl/>
        </w:rPr>
        <w:t>אליעזר יהודה ולדנברג</w:t>
      </w:r>
      <w:r>
        <w:rPr>
          <w:rFonts w:hint="cs"/>
          <w:rtl/>
        </w:rPr>
        <w:t xml:space="preserve"> (</w:t>
      </w:r>
      <w:r>
        <w:rPr>
          <w:rtl/>
        </w:rPr>
        <w:t xml:space="preserve">שו"ת ציץ אליעזר </w:t>
      </w:r>
      <w:r>
        <w:rPr>
          <w:sz w:val="18"/>
          <w:szCs w:val="20"/>
          <w:rtl/>
        </w:rPr>
        <w:t>ח</w:t>
      </w:r>
      <w:r>
        <w:rPr>
          <w:rFonts w:hint="cs"/>
          <w:sz w:val="18"/>
          <w:szCs w:val="20"/>
          <w:rtl/>
        </w:rPr>
        <w:t>"</w:t>
      </w:r>
      <w:r>
        <w:rPr>
          <w:sz w:val="18"/>
          <w:szCs w:val="20"/>
          <w:rtl/>
        </w:rPr>
        <w:t>ד סימן לא</w:t>
      </w:r>
      <w:r>
        <w:rPr>
          <w:rFonts w:hint="cs"/>
          <w:sz w:val="18"/>
          <w:szCs w:val="20"/>
          <w:rtl/>
        </w:rPr>
        <w:t xml:space="preserve">; </w:t>
      </w:r>
      <w:r>
        <w:rPr>
          <w:sz w:val="18"/>
          <w:szCs w:val="20"/>
          <w:rtl/>
        </w:rPr>
        <w:t xml:space="preserve">ט"ו </w:t>
      </w:r>
      <w:r>
        <w:rPr>
          <w:rFonts w:hint="cs"/>
          <w:sz w:val="18"/>
          <w:szCs w:val="20"/>
          <w:rtl/>
        </w:rPr>
        <w:t>אלו</w:t>
      </w:r>
      <w:r>
        <w:rPr>
          <w:sz w:val="18"/>
          <w:szCs w:val="20"/>
          <w:rtl/>
        </w:rPr>
        <w:t>ל תשי"ג</w:t>
      </w:r>
      <w:r>
        <w:rPr>
          <w:rFonts w:hint="cs"/>
          <w:rtl/>
        </w:rPr>
        <w:t>):</w:t>
      </w:r>
      <w:r>
        <w:rPr>
          <w:rtl/>
        </w:rPr>
        <w:t xml:space="preserve"> </w:t>
      </w:r>
    </w:p>
    <w:p w14:paraId="76EF9991" w14:textId="77777777" w:rsidR="002B4B31" w:rsidRDefault="002B4B31" w:rsidP="002B4B31">
      <w:pPr>
        <w:pStyle w:val="a5"/>
        <w:ind w:left="720"/>
        <w:rPr>
          <w:rFonts w:hint="cs"/>
          <w:rtl/>
        </w:rPr>
      </w:pPr>
      <w:r>
        <w:rPr>
          <w:rFonts w:hint="cs"/>
          <w:rtl/>
        </w:rPr>
        <w:t>"</w:t>
      </w:r>
      <w:r>
        <w:rPr>
          <w:rtl/>
        </w:rPr>
        <w:t>לפענ"ד נראה דכשם שלא אסרו עצם פתיקת המים</w:t>
      </w:r>
      <w:r>
        <w:rPr>
          <w:rFonts w:hint="cs"/>
          <w:rtl/>
        </w:rPr>
        <w:t xml:space="preserve">... </w:t>
      </w:r>
      <w:r>
        <w:rPr>
          <w:rtl/>
        </w:rPr>
        <w:t>כך מותר נמי לפתוח מע"ש שיומשכו המים ע"י מכשיר הנקרא ממטרה, מכיון שאנן פסקינן דאין איסור שביתת כלים בשבת</w:t>
      </w:r>
      <w:r>
        <w:rPr>
          <w:rFonts w:hint="cs"/>
          <w:rtl/>
        </w:rPr>
        <w:t xml:space="preserve">... </w:t>
      </w:r>
      <w:r>
        <w:rPr>
          <w:rtl/>
        </w:rPr>
        <w:t>ומשני טעמים שונה נידוננו מדין רחיים של מים שהרמ"א באו"ח בסי' רנ"ב סעי' ה' אסר הדבר משום השמעת קול</w:t>
      </w:r>
      <w:r>
        <w:rPr>
          <w:rFonts w:hint="cs"/>
          <w:rtl/>
        </w:rPr>
        <w:t xml:space="preserve">: </w:t>
      </w:r>
      <w:r>
        <w:rPr>
          <w:rtl/>
        </w:rPr>
        <w:t>ראשית שם ברחיים של מים ישנו משמיע קול של ממש, שכל מי שעובר בקרבת מה למקום</w:t>
      </w:r>
      <w:r>
        <w:rPr>
          <w:rFonts w:hint="cs"/>
          <w:rtl/>
        </w:rPr>
        <w:t>,</w:t>
      </w:r>
      <w:r>
        <w:rPr>
          <w:rtl/>
        </w:rPr>
        <w:t xml:space="preserve"> שומע ומבחין מיד בקול האיסור שהוא קול הטחנה, ולכן הואיל וישנו אוושא מילתא אסרו משום מראית עין מכיון דאיכא זילותא דשבתא</w:t>
      </w:r>
      <w:r>
        <w:rPr>
          <w:rFonts w:hint="cs"/>
          <w:rtl/>
        </w:rPr>
        <w:t xml:space="preserve">... </w:t>
      </w:r>
      <w:r>
        <w:rPr>
          <w:rtl/>
        </w:rPr>
        <w:t>ומשא"כ בכגון נידוננו ש</w:t>
      </w:r>
      <w:r>
        <w:rPr>
          <w:b/>
          <w:bCs/>
          <w:rtl/>
        </w:rPr>
        <w:t>הממטרות אינן משמיעות שום קול ענות גבורה</w:t>
      </w:r>
      <w:r>
        <w:rPr>
          <w:rFonts w:hint="cs"/>
          <w:b/>
          <w:bCs/>
          <w:rtl/>
        </w:rPr>
        <w:t>,</w:t>
      </w:r>
      <w:r>
        <w:rPr>
          <w:b/>
          <w:bCs/>
          <w:rtl/>
        </w:rPr>
        <w:t xml:space="preserve"> ולכל היותר משמיעות רק קול ענות חלושה, ואין הבחנה יתירה של שמיעת קול איסור</w:t>
      </w:r>
      <w:r>
        <w:rPr>
          <w:rFonts w:hint="cs"/>
          <w:rtl/>
        </w:rPr>
        <w:t>,</w:t>
      </w:r>
      <w:r>
        <w:rPr>
          <w:rtl/>
        </w:rPr>
        <w:t xml:space="preserve"> לכן בכגון דא יש מקום לומר דלא נקרא אוושא מילתא שחכמים אסרוהו, וממילא אין גם איסור של מראית עין, דלא אסרו כי אם כשנוסף לנראין יש גם נשמעין</w:t>
      </w:r>
      <w:r>
        <w:rPr>
          <w:rFonts w:hint="cs"/>
          <w:rtl/>
        </w:rPr>
        <w:t xml:space="preserve">... </w:t>
      </w:r>
      <w:r>
        <w:rPr>
          <w:rtl/>
        </w:rPr>
        <w:t>מן הטוב והמועיל לסדר שבעל הגינה ידביק פתקה ע"י השער ויהא כתוב בה שהממטרות בפעולתן ע"י כוון מע"ש.</w:t>
      </w:r>
      <w:r>
        <w:rPr>
          <w:rFonts w:hint="cs"/>
          <w:rtl/>
        </w:rPr>
        <w:t>..</w:t>
      </w:r>
      <w:r>
        <w:rPr>
          <w:rtl/>
        </w:rPr>
        <w:t xml:space="preserve"> ולדעתי יש בנתינת ההיתר גם משום תיקון והשבת רבים מעון, כי לדאבונינו עיננו הרואות שהרבה בני אדם בהולים על ממונם ואינם מעמידים את עצמם מלפתוח הממטרות בשבת גופא</w:t>
      </w:r>
      <w:r>
        <w:rPr>
          <w:rFonts w:hint="cs"/>
          <w:rtl/>
        </w:rPr>
        <w:t>,</w:t>
      </w:r>
      <w:r>
        <w:rPr>
          <w:rtl/>
        </w:rPr>
        <w:t xml:space="preserve"> והדברים מגיעים לידי  עבירה על איסור זריעה כמובן, ועם נתינת היתר זה אולי ישובו רבים מהעון החמור כשיראו שאפשר לסדר את ההשקאה בהיתר,  מכיון שימצאו מצב של עד שתאכלנו באיסור תאכלנו בהיתר</w:t>
      </w:r>
      <w:r>
        <w:rPr>
          <w:rFonts w:hint="cs"/>
          <w:rtl/>
        </w:rPr>
        <w:t xml:space="preserve">". </w:t>
      </w:r>
    </w:p>
    <w:p w14:paraId="60E345B0" w14:textId="77777777" w:rsidR="002B4B31" w:rsidRDefault="002B4B31" w:rsidP="002B4B31">
      <w:pPr>
        <w:pStyle w:val="a5"/>
        <w:rPr>
          <w:rFonts w:hint="cs"/>
          <w:rtl/>
        </w:rPr>
      </w:pPr>
      <w:r>
        <w:rPr>
          <w:rFonts w:hint="cs"/>
          <w:rtl/>
        </w:rPr>
        <w:t xml:space="preserve">ועי"ש במה שהביא בשם </w:t>
      </w:r>
      <w:r>
        <w:rPr>
          <w:rtl/>
        </w:rPr>
        <w:t>בעל חזון אי"ש</w:t>
      </w:r>
      <w:r>
        <w:rPr>
          <w:rFonts w:hint="cs"/>
          <w:rtl/>
        </w:rPr>
        <w:t>, ובמה שנו"נ עם הרצ"פ פראנק שם ב</w:t>
      </w:r>
      <w:r>
        <w:rPr>
          <w:rtl/>
        </w:rPr>
        <w:t>ח</w:t>
      </w:r>
      <w:r>
        <w:rPr>
          <w:rFonts w:hint="cs"/>
          <w:rtl/>
        </w:rPr>
        <w:t>"</w:t>
      </w:r>
      <w:r>
        <w:rPr>
          <w:rtl/>
        </w:rPr>
        <w:t>ה סימן ו</w:t>
      </w:r>
      <w:r>
        <w:rPr>
          <w:rFonts w:hint="cs"/>
          <w:rtl/>
        </w:rPr>
        <w:t>.</w:t>
      </w:r>
      <w:r>
        <w:rPr>
          <w:rtl/>
        </w:rPr>
        <w:t xml:space="preserve"> </w:t>
      </w:r>
    </w:p>
  </w:footnote>
  <w:footnote w:id="442">
    <w:p w14:paraId="09F54E14" w14:textId="77777777" w:rsidR="002B4B31" w:rsidRDefault="002B4B31" w:rsidP="002B4B31">
      <w:pPr>
        <w:pStyle w:val="a5"/>
        <w:rPr>
          <w:rFonts w:hint="cs"/>
          <w:rtl/>
        </w:rPr>
      </w:pPr>
      <w:r>
        <w:rPr>
          <w:rStyle w:val="a4"/>
        </w:rPr>
        <w:footnoteRef/>
      </w:r>
      <w:r>
        <w:rPr>
          <w:rFonts w:hint="cs"/>
          <w:rtl/>
        </w:rPr>
        <w:t xml:space="preserve"> </w:t>
      </w:r>
      <w:r>
        <w:rPr>
          <w:rFonts w:ascii="Arial" w:hAnsi="Arial" w:hint="cs"/>
          <w:sz w:val="26"/>
          <w:rtl/>
        </w:rPr>
        <w:t>ראה סיכום השיטות ב</w:t>
      </w:r>
      <w:r>
        <w:rPr>
          <w:rFonts w:ascii="Arial" w:hAnsi="Arial"/>
          <w:sz w:val="26"/>
          <w:rtl/>
        </w:rPr>
        <w:t xml:space="preserve">שו"ת ציץ אליעזר </w:t>
      </w:r>
      <w:r>
        <w:rPr>
          <w:rFonts w:ascii="Arial" w:hAnsi="Arial" w:hint="cs"/>
          <w:sz w:val="26"/>
          <w:rtl/>
        </w:rPr>
        <w:t>(</w:t>
      </w:r>
      <w:r>
        <w:rPr>
          <w:rFonts w:ascii="Arial" w:hAnsi="Arial"/>
          <w:sz w:val="18"/>
          <w:szCs w:val="20"/>
          <w:rtl/>
        </w:rPr>
        <w:t>ח</w:t>
      </w:r>
      <w:r>
        <w:rPr>
          <w:rFonts w:ascii="Arial" w:hAnsi="Arial" w:hint="cs"/>
          <w:sz w:val="18"/>
          <w:szCs w:val="20"/>
          <w:rtl/>
        </w:rPr>
        <w:t>"</w:t>
      </w:r>
      <w:r>
        <w:rPr>
          <w:rFonts w:ascii="Arial" w:hAnsi="Arial"/>
          <w:sz w:val="18"/>
          <w:szCs w:val="20"/>
          <w:rtl/>
        </w:rPr>
        <w:t>א סימן כ</w:t>
      </w:r>
      <w:r>
        <w:rPr>
          <w:rFonts w:ascii="Arial" w:hAnsi="Arial" w:hint="cs"/>
          <w:sz w:val="18"/>
          <w:szCs w:val="20"/>
          <w:rtl/>
        </w:rPr>
        <w:t>"</w:t>
      </w:r>
      <w:r>
        <w:rPr>
          <w:rFonts w:ascii="Arial" w:hAnsi="Arial"/>
          <w:sz w:val="18"/>
          <w:szCs w:val="20"/>
          <w:rtl/>
        </w:rPr>
        <w:t>א</w:t>
      </w:r>
      <w:r>
        <w:rPr>
          <w:rFonts w:ascii="Arial" w:hAnsi="Arial" w:hint="cs"/>
          <w:sz w:val="26"/>
          <w:rtl/>
        </w:rPr>
        <w:t>)</w:t>
      </w:r>
      <w:r>
        <w:rPr>
          <w:rFonts w:ascii="Arial" w:hAnsi="Arial"/>
          <w:sz w:val="26"/>
          <w:rtl/>
        </w:rPr>
        <w:t xml:space="preserve"> </w:t>
      </w:r>
      <w:r>
        <w:rPr>
          <w:rFonts w:ascii="Arial" w:hAnsi="Arial" w:hint="cs"/>
          <w:sz w:val="26"/>
          <w:rtl/>
        </w:rPr>
        <w:t>וב"</w:t>
      </w:r>
      <w:r>
        <w:rPr>
          <w:rFonts w:ascii="Arial" w:hAnsi="Arial" w:hint="eastAsia"/>
          <w:sz w:val="26"/>
          <w:rtl/>
        </w:rPr>
        <w:t>בירור</w:t>
      </w:r>
      <w:r>
        <w:rPr>
          <w:rFonts w:ascii="Arial" w:hAnsi="Arial"/>
          <w:sz w:val="26"/>
          <w:rtl/>
        </w:rPr>
        <w:t xml:space="preserve"> </w:t>
      </w:r>
      <w:r>
        <w:rPr>
          <w:rFonts w:ascii="Arial" w:hAnsi="Arial" w:hint="eastAsia"/>
          <w:sz w:val="26"/>
          <w:rtl/>
        </w:rPr>
        <w:t>הלכה</w:t>
      </w:r>
      <w:r>
        <w:rPr>
          <w:rFonts w:ascii="Arial" w:hAnsi="Arial" w:hint="cs"/>
          <w:sz w:val="26"/>
          <w:rtl/>
        </w:rPr>
        <w:t>" (</w:t>
      </w:r>
      <w:r>
        <w:rPr>
          <w:rFonts w:ascii="Arial" w:hAnsi="Arial" w:hint="cs"/>
          <w:sz w:val="18"/>
          <w:szCs w:val="20"/>
          <w:rtl/>
        </w:rPr>
        <w:t xml:space="preserve">במהדורת התלמוד של </w:t>
      </w:r>
      <w:r>
        <w:rPr>
          <w:rFonts w:ascii="Arial" w:hAnsi="Arial" w:hint="eastAsia"/>
          <w:sz w:val="18"/>
          <w:szCs w:val="20"/>
          <w:rtl/>
        </w:rPr>
        <w:t>מכון</w:t>
      </w:r>
      <w:r>
        <w:rPr>
          <w:rFonts w:ascii="Arial" w:hAnsi="Arial"/>
          <w:sz w:val="18"/>
          <w:szCs w:val="20"/>
          <w:rtl/>
        </w:rPr>
        <w:t xml:space="preserve"> </w:t>
      </w:r>
      <w:r>
        <w:rPr>
          <w:rFonts w:ascii="Arial" w:hAnsi="Arial" w:hint="eastAsia"/>
          <w:sz w:val="18"/>
          <w:szCs w:val="20"/>
          <w:rtl/>
        </w:rPr>
        <w:t>הלכה</w:t>
      </w:r>
      <w:r>
        <w:rPr>
          <w:rFonts w:ascii="Arial" w:hAnsi="Arial"/>
          <w:sz w:val="18"/>
          <w:szCs w:val="20"/>
          <w:rtl/>
        </w:rPr>
        <w:t xml:space="preserve"> </w:t>
      </w:r>
      <w:r>
        <w:rPr>
          <w:rFonts w:ascii="Arial" w:hAnsi="Arial" w:hint="eastAsia"/>
          <w:sz w:val="18"/>
          <w:szCs w:val="20"/>
          <w:rtl/>
        </w:rPr>
        <w:t>ברורה</w:t>
      </w:r>
      <w:r>
        <w:rPr>
          <w:rFonts w:ascii="Arial" w:hAnsi="Arial" w:hint="cs"/>
          <w:sz w:val="26"/>
          <w:rtl/>
        </w:rPr>
        <w:t>).</w:t>
      </w:r>
    </w:p>
  </w:footnote>
  <w:footnote w:id="443">
    <w:p w14:paraId="22C10047" w14:textId="77777777" w:rsidR="002B4B31" w:rsidRDefault="002B4B31" w:rsidP="002B4B31">
      <w:pPr>
        <w:pStyle w:val="a5"/>
        <w:rPr>
          <w:rFonts w:hint="cs"/>
          <w:rtl/>
        </w:rPr>
      </w:pPr>
      <w:r>
        <w:rPr>
          <w:rStyle w:val="a4"/>
        </w:rPr>
        <w:footnoteRef/>
      </w:r>
      <w:r>
        <w:rPr>
          <w:rFonts w:hint="cs"/>
          <w:rtl/>
        </w:rPr>
        <w:t xml:space="preserve"> </w:t>
      </w:r>
      <w:r>
        <w:rPr>
          <w:rFonts w:ascii="Arial" w:hAnsi="Arial" w:hint="cs"/>
          <w:rtl/>
        </w:rPr>
        <w:t>עד כאן מופיע גם בפירוש רש"י שעל הרי"ף על אתר (</w:t>
      </w:r>
      <w:r>
        <w:rPr>
          <w:rFonts w:ascii="Arial" w:hAnsi="Arial" w:hint="cs"/>
          <w:sz w:val="18"/>
          <w:szCs w:val="20"/>
          <w:rtl/>
        </w:rPr>
        <w:t>ז, א; וכ"כ רבנו ירוחם ו</w:t>
      </w:r>
      <w:r>
        <w:rPr>
          <w:rFonts w:ascii="Arial" w:hAnsi="Arial"/>
          <w:sz w:val="18"/>
          <w:szCs w:val="20"/>
          <w:rtl/>
        </w:rPr>
        <w:t>שו"ת בנימין זאב סימן ר</w:t>
      </w:r>
      <w:r>
        <w:rPr>
          <w:rFonts w:ascii="Arial" w:hAnsi="Arial" w:hint="cs"/>
          <w:sz w:val="18"/>
          <w:szCs w:val="20"/>
          <w:rtl/>
        </w:rPr>
        <w:t>"</w:t>
      </w:r>
      <w:r>
        <w:rPr>
          <w:rFonts w:ascii="Arial" w:hAnsi="Arial"/>
          <w:sz w:val="18"/>
          <w:szCs w:val="20"/>
          <w:rtl/>
        </w:rPr>
        <w:t>כ</w:t>
      </w:r>
      <w:r>
        <w:rPr>
          <w:rFonts w:ascii="Arial" w:hAnsi="Arial" w:hint="cs"/>
          <w:rtl/>
        </w:rPr>
        <w:t>), ותו לא.</w:t>
      </w:r>
    </w:p>
  </w:footnote>
  <w:footnote w:id="444">
    <w:p w14:paraId="6134614F" w14:textId="77777777" w:rsidR="002B4B31" w:rsidRDefault="002B4B31" w:rsidP="002B4B31">
      <w:pPr>
        <w:pStyle w:val="a5"/>
        <w:rPr>
          <w:rFonts w:hint="cs"/>
          <w:rtl/>
        </w:rPr>
      </w:pPr>
      <w:r>
        <w:rPr>
          <w:rStyle w:val="a4"/>
        </w:rPr>
        <w:footnoteRef/>
      </w:r>
      <w:r>
        <w:rPr>
          <w:rFonts w:hint="cs"/>
          <w:rtl/>
        </w:rPr>
        <w:t xml:space="preserve"> </w:t>
      </w:r>
      <w:r>
        <w:rPr>
          <w:rFonts w:ascii="Arial" w:hAnsi="Arial" w:hint="cs"/>
          <w:rtl/>
        </w:rPr>
        <w:t xml:space="preserve">תיבה זו נוספה בסוגריים מרובעות בדפוס, ע"פ הגהת ריעב"ץ, ככה"נ ע"פ סברא, </w:t>
      </w:r>
      <w:r>
        <w:rPr>
          <w:rFonts w:ascii="Arial" w:hAnsi="Arial" w:hint="cs"/>
          <w:color w:val="FF0000"/>
          <w:rtl/>
        </w:rPr>
        <w:t>וצ"ע בכתבי יד של פירש"י</w:t>
      </w:r>
      <w:r>
        <w:rPr>
          <w:rFonts w:ascii="Arial" w:hAnsi="Arial" w:hint="cs"/>
          <w:rtl/>
        </w:rPr>
        <w:t>. ב</w:t>
      </w:r>
      <w:r>
        <w:rPr>
          <w:rFonts w:ascii="Arial" w:hAnsi="Arial"/>
          <w:rtl/>
        </w:rPr>
        <w:t xml:space="preserve">אור זרוע </w:t>
      </w:r>
      <w:r>
        <w:rPr>
          <w:rFonts w:ascii="Arial" w:hAnsi="Arial" w:hint="cs"/>
          <w:rtl/>
        </w:rPr>
        <w:t>(</w:t>
      </w:r>
      <w:r>
        <w:rPr>
          <w:rFonts w:ascii="Arial" w:hAnsi="Arial"/>
          <w:sz w:val="18"/>
          <w:szCs w:val="20"/>
          <w:rtl/>
        </w:rPr>
        <w:t>ח"ב</w:t>
      </w:r>
      <w:r>
        <w:rPr>
          <w:rFonts w:ascii="Arial" w:hAnsi="Arial" w:hint="cs"/>
          <w:sz w:val="18"/>
          <w:szCs w:val="20"/>
          <w:rtl/>
        </w:rPr>
        <w:t>,</w:t>
      </w:r>
      <w:r>
        <w:rPr>
          <w:rFonts w:ascii="Arial" w:hAnsi="Arial"/>
          <w:sz w:val="18"/>
          <w:szCs w:val="20"/>
          <w:rtl/>
        </w:rPr>
        <w:t xml:space="preserve"> הלכות ערב שבת סימן ג</w:t>
      </w:r>
      <w:r>
        <w:rPr>
          <w:rFonts w:ascii="Arial" w:hAnsi="Arial" w:hint="cs"/>
          <w:sz w:val="18"/>
          <w:szCs w:val="20"/>
          <w:rtl/>
        </w:rPr>
        <w:t>'</w:t>
      </w:r>
      <w:r>
        <w:rPr>
          <w:rFonts w:ascii="Arial" w:hAnsi="Arial" w:hint="cs"/>
          <w:rtl/>
        </w:rPr>
        <w:t>) הובא פירוש רש"י ללא תיבה זו.</w:t>
      </w:r>
    </w:p>
  </w:footnote>
  <w:footnote w:id="445">
    <w:p w14:paraId="3185F269" w14:textId="77777777" w:rsidR="002B4B31" w:rsidRDefault="002B4B31" w:rsidP="002B4B31">
      <w:pPr>
        <w:pStyle w:val="a5"/>
        <w:rPr>
          <w:rFonts w:hint="cs"/>
          <w:rtl/>
        </w:rPr>
      </w:pPr>
      <w:r>
        <w:rPr>
          <w:rStyle w:val="a4"/>
        </w:rPr>
        <w:footnoteRef/>
      </w:r>
      <w:r>
        <w:rPr>
          <w:rFonts w:hint="cs"/>
          <w:rtl/>
        </w:rPr>
        <w:t xml:space="preserve"> </w:t>
      </w:r>
      <w:r>
        <w:rPr>
          <w:rFonts w:ascii="Arial" w:hAnsi="Arial" w:hint="cs"/>
          <w:rtl/>
        </w:rPr>
        <w:t>מאן דתני (</w:t>
      </w:r>
      <w:r>
        <w:rPr>
          <w:rFonts w:ascii="Arial" w:hAnsi="Arial"/>
          <w:color w:val="FF0000"/>
          <w:sz w:val="18"/>
          <w:szCs w:val="20"/>
          <w:rtl/>
        </w:rPr>
        <w:t>בבא מציעא פ</w:t>
      </w:r>
      <w:r>
        <w:rPr>
          <w:rFonts w:ascii="Arial" w:hAnsi="Arial" w:hint="cs"/>
          <w:color w:val="FF0000"/>
          <w:sz w:val="18"/>
          <w:szCs w:val="20"/>
          <w:rtl/>
        </w:rPr>
        <w:t>"</w:t>
      </w:r>
      <w:r>
        <w:rPr>
          <w:rFonts w:ascii="Arial" w:hAnsi="Arial"/>
          <w:color w:val="FF0000"/>
          <w:sz w:val="18"/>
          <w:szCs w:val="20"/>
          <w:rtl/>
        </w:rPr>
        <w:t>ד מ</w:t>
      </w:r>
      <w:r>
        <w:rPr>
          <w:rFonts w:ascii="Arial" w:hAnsi="Arial" w:hint="cs"/>
          <w:color w:val="FF0000"/>
          <w:sz w:val="18"/>
          <w:szCs w:val="20"/>
          <w:rtl/>
        </w:rPr>
        <w:t>"</w:t>
      </w:r>
      <w:r>
        <w:rPr>
          <w:rFonts w:ascii="Arial" w:hAnsi="Arial"/>
          <w:color w:val="FF0000"/>
          <w:sz w:val="18"/>
          <w:szCs w:val="20"/>
          <w:rtl/>
        </w:rPr>
        <w:t>ב</w:t>
      </w:r>
      <w:r>
        <w:rPr>
          <w:rFonts w:ascii="Arial" w:hAnsi="Arial" w:hint="cs"/>
          <w:color w:val="FF0000"/>
          <w:sz w:val="18"/>
          <w:szCs w:val="20"/>
          <w:rtl/>
        </w:rPr>
        <w:t xml:space="preserve">; </w:t>
      </w:r>
      <w:r>
        <w:rPr>
          <w:rFonts w:ascii="Arial" w:hAnsi="Arial"/>
          <w:color w:val="FF0000"/>
          <w:sz w:val="18"/>
          <w:szCs w:val="20"/>
          <w:rtl/>
        </w:rPr>
        <w:t>סנהדרין פ</w:t>
      </w:r>
      <w:r>
        <w:rPr>
          <w:rFonts w:ascii="Arial" w:hAnsi="Arial" w:hint="cs"/>
          <w:color w:val="FF0000"/>
          <w:sz w:val="18"/>
          <w:szCs w:val="20"/>
          <w:rtl/>
        </w:rPr>
        <w:t>"</w:t>
      </w:r>
      <w:r>
        <w:rPr>
          <w:rFonts w:ascii="Arial" w:hAnsi="Arial"/>
          <w:color w:val="FF0000"/>
          <w:sz w:val="18"/>
          <w:szCs w:val="20"/>
          <w:rtl/>
        </w:rPr>
        <w:t>י מ</w:t>
      </w:r>
      <w:r>
        <w:rPr>
          <w:rFonts w:ascii="Arial" w:hAnsi="Arial" w:hint="cs"/>
          <w:color w:val="FF0000"/>
          <w:sz w:val="18"/>
          <w:szCs w:val="20"/>
          <w:rtl/>
        </w:rPr>
        <w:t>"</w:t>
      </w:r>
      <w:r>
        <w:rPr>
          <w:rFonts w:ascii="Arial" w:hAnsi="Arial"/>
          <w:color w:val="FF0000"/>
          <w:sz w:val="18"/>
          <w:szCs w:val="20"/>
          <w:rtl/>
        </w:rPr>
        <w:t>ג</w:t>
      </w:r>
      <w:r>
        <w:rPr>
          <w:rFonts w:ascii="Arial" w:hAnsi="Arial" w:hint="cs"/>
          <w:rtl/>
        </w:rPr>
        <w:t>) "דור הַפַּלָּגָה" (</w:t>
      </w:r>
      <w:r>
        <w:rPr>
          <w:rFonts w:ascii="Arial" w:hAnsi="Arial" w:hint="cs"/>
          <w:color w:val="FF0000"/>
          <w:sz w:val="18"/>
          <w:szCs w:val="20"/>
          <w:rtl/>
        </w:rPr>
        <w:t>משנה סדורה, ר"ע שטיינזלץ</w:t>
      </w:r>
      <w:r>
        <w:rPr>
          <w:rFonts w:ascii="Arial" w:hAnsi="Arial" w:hint="cs"/>
          <w:rtl/>
        </w:rPr>
        <w:t>) לא משתבש, ומאן דתני "דור הַפְּלַגָּה" (</w:t>
      </w:r>
      <w:r>
        <w:rPr>
          <w:rFonts w:ascii="Arial" w:hAnsi="Arial" w:hint="cs"/>
          <w:color w:val="FF0000"/>
          <w:sz w:val="18"/>
          <w:szCs w:val="20"/>
          <w:rtl/>
        </w:rPr>
        <w:t>משנה ר"פ קהתי, מילון אבן שושן</w:t>
      </w:r>
      <w:r>
        <w:rPr>
          <w:rFonts w:ascii="Arial" w:hAnsi="Arial" w:hint="cs"/>
          <w:rtl/>
        </w:rPr>
        <w:t>) לא משתבש; אך הקריאה העממית הרווחת "דור הַפְלָגָה" (</w:t>
      </w:r>
      <w:r>
        <w:rPr>
          <w:rFonts w:ascii="Arial" w:hAnsi="Arial" w:hint="cs"/>
          <w:color w:val="FF0000"/>
          <w:sz w:val="18"/>
          <w:szCs w:val="20"/>
          <w:rtl/>
        </w:rPr>
        <w:t>משנה בהוצאת אשכול, ותלמוד בהוצאת ארט-סקרול, ורמב"ם לעם מכירה ז, ב</w:t>
      </w:r>
      <w:r>
        <w:rPr>
          <w:rFonts w:ascii="Arial" w:hAnsi="Arial" w:hint="cs"/>
          <w:rtl/>
        </w:rPr>
        <w:t>) כנראה משובשת (</w:t>
      </w:r>
      <w:r>
        <w:rPr>
          <w:rFonts w:ascii="Arial" w:hAnsi="Arial" w:hint="cs"/>
          <w:color w:val="FF0000"/>
          <w:sz w:val="18"/>
          <w:szCs w:val="20"/>
          <w:rtl/>
        </w:rPr>
        <w:t>מילון אבן שושן</w:t>
      </w:r>
      <w:r>
        <w:rPr>
          <w:rFonts w:ascii="Arial" w:hAnsi="Arial" w:hint="cs"/>
          <w:rtl/>
        </w:rPr>
        <w:t>).</w:t>
      </w:r>
    </w:p>
  </w:footnote>
  <w:footnote w:id="446">
    <w:p w14:paraId="7AB17065" w14:textId="77777777" w:rsidR="002B4B31" w:rsidRDefault="002B4B31" w:rsidP="002B4B31">
      <w:pPr>
        <w:pStyle w:val="a5"/>
        <w:rPr>
          <w:rFonts w:hint="cs"/>
          <w:rtl/>
        </w:rPr>
      </w:pPr>
      <w:r>
        <w:rPr>
          <w:rStyle w:val="a4"/>
        </w:rPr>
        <w:footnoteRef/>
      </w:r>
      <w:r>
        <w:rPr>
          <w:rFonts w:hint="cs"/>
          <w:rtl/>
        </w:rPr>
        <w:t xml:space="preserve"> </w:t>
      </w:r>
      <w:r>
        <w:rPr>
          <w:rFonts w:ascii="Arial" w:hAnsi="Arial" w:hint="cs"/>
          <w:rtl/>
        </w:rPr>
        <w:t xml:space="preserve">לגבי דמיון השורשים פל"ג ופר"שׁ, יש להעיר כי ישנה קרבה בין השורשים השונים הפותחים באותיות פ"ר, </w:t>
      </w:r>
      <w:r>
        <w:rPr>
          <w:rFonts w:ascii="Arial" w:hAnsi="Arial" w:hint="cs"/>
          <w:color w:val="FF0000"/>
          <w:rtl/>
        </w:rPr>
        <w:t>וכן בין השורשים השונים הפותחים באותיות פ"ל, כגון פל"א, פל"ג, פל"ה, ופל"ט</w:t>
      </w:r>
      <w:r>
        <w:rPr>
          <w:rFonts w:ascii="Arial" w:hAnsi="Arial" w:hint="cs"/>
          <w:rtl/>
        </w:rPr>
        <w:t xml:space="preserve"> (וראה להלן על חילופי ל'-ר').</w:t>
      </w:r>
    </w:p>
  </w:footnote>
  <w:footnote w:id="447">
    <w:p w14:paraId="0431D31F" w14:textId="77777777" w:rsidR="002B4B31" w:rsidRDefault="002B4B31" w:rsidP="002B4B31">
      <w:pPr>
        <w:pStyle w:val="a5"/>
        <w:rPr>
          <w:rtl/>
        </w:rPr>
      </w:pPr>
      <w:r>
        <w:rPr>
          <w:rStyle w:val="a4"/>
        </w:rPr>
        <w:footnoteRef/>
      </w:r>
      <w:r>
        <w:rPr>
          <w:rFonts w:hint="cs"/>
          <w:rtl/>
        </w:rPr>
        <w:t xml:space="preserve"> </w:t>
      </w:r>
      <w:r>
        <w:rPr>
          <w:rFonts w:ascii="Arial" w:hAnsi="Arial" w:hint="cs"/>
          <w:rtl/>
        </w:rPr>
        <w:t>"</w:t>
      </w:r>
      <w:r>
        <w:rPr>
          <w:rFonts w:ascii="Arial" w:hAnsi="Arial"/>
          <w:rtl/>
        </w:rPr>
        <w:t>שֵׁם הָאֶחָד פֶּלֶג</w:t>
      </w:r>
      <w:r>
        <w:rPr>
          <w:rFonts w:ascii="Arial" w:hAnsi="Arial" w:hint="cs"/>
          <w:rtl/>
        </w:rPr>
        <w:t>,</w:t>
      </w:r>
      <w:r>
        <w:rPr>
          <w:rFonts w:ascii="Arial" w:hAnsi="Arial"/>
          <w:rtl/>
        </w:rPr>
        <w:t xml:space="preserve"> כִּי בְיָמָיו </w:t>
      </w:r>
      <w:r>
        <w:rPr>
          <w:rFonts w:ascii="Arial" w:hAnsi="Arial"/>
          <w:b/>
          <w:bCs/>
          <w:rtl/>
        </w:rPr>
        <w:t>נִפְלְגָה</w:t>
      </w:r>
      <w:r>
        <w:rPr>
          <w:rFonts w:ascii="Arial" w:hAnsi="Arial"/>
          <w:rtl/>
        </w:rPr>
        <w:t xml:space="preserve"> הָאָרֶץ</w:t>
      </w:r>
      <w:r>
        <w:rPr>
          <w:rFonts w:ascii="Arial" w:hAnsi="Arial" w:hint="cs"/>
          <w:rtl/>
        </w:rPr>
        <w:t>" (</w:t>
      </w:r>
      <w:r>
        <w:rPr>
          <w:rFonts w:ascii="Arial" w:hAnsi="Arial" w:hint="cs"/>
          <w:sz w:val="18"/>
          <w:szCs w:val="20"/>
          <w:rtl/>
        </w:rPr>
        <w:t xml:space="preserve">בראשית י, כה; </w:t>
      </w:r>
      <w:r>
        <w:rPr>
          <w:rFonts w:ascii="Arial" w:hAnsi="Arial"/>
          <w:sz w:val="18"/>
          <w:szCs w:val="20"/>
          <w:rtl/>
        </w:rPr>
        <w:t>דברי הימים א</w:t>
      </w:r>
      <w:r>
        <w:rPr>
          <w:rFonts w:ascii="Arial" w:hAnsi="Arial" w:hint="cs"/>
          <w:sz w:val="18"/>
          <w:szCs w:val="20"/>
          <w:rtl/>
        </w:rPr>
        <w:t>'</w:t>
      </w:r>
      <w:r>
        <w:rPr>
          <w:rFonts w:ascii="Arial" w:hAnsi="Arial"/>
          <w:sz w:val="18"/>
          <w:szCs w:val="20"/>
          <w:rtl/>
        </w:rPr>
        <w:t xml:space="preserve"> א</w:t>
      </w:r>
      <w:r>
        <w:rPr>
          <w:rFonts w:ascii="Arial" w:hAnsi="Arial" w:hint="cs"/>
          <w:sz w:val="18"/>
          <w:szCs w:val="20"/>
          <w:rtl/>
        </w:rPr>
        <w:t xml:space="preserve">, </w:t>
      </w:r>
      <w:r>
        <w:rPr>
          <w:rFonts w:ascii="Arial" w:hAnsi="Arial"/>
          <w:sz w:val="18"/>
          <w:szCs w:val="20"/>
          <w:rtl/>
        </w:rPr>
        <w:t>יט</w:t>
      </w:r>
      <w:r>
        <w:rPr>
          <w:rFonts w:ascii="Arial" w:hAnsi="Arial" w:hint="cs"/>
          <w:rtl/>
        </w:rPr>
        <w:t xml:space="preserve">) וכתב ר"א </w:t>
      </w:r>
      <w:r>
        <w:rPr>
          <w:rFonts w:ascii="Arial" w:hAnsi="Arial"/>
          <w:rtl/>
        </w:rPr>
        <w:t xml:space="preserve">אבן עזרא </w:t>
      </w:r>
      <w:r>
        <w:rPr>
          <w:rFonts w:ascii="Arial" w:hAnsi="Arial" w:hint="cs"/>
          <w:rtl/>
        </w:rPr>
        <w:t>(</w:t>
      </w:r>
      <w:r>
        <w:rPr>
          <w:rFonts w:ascii="Arial" w:hAnsi="Arial"/>
          <w:sz w:val="18"/>
          <w:szCs w:val="20"/>
          <w:rtl/>
        </w:rPr>
        <w:t>בראשית יא</w:t>
      </w:r>
      <w:r>
        <w:rPr>
          <w:rFonts w:ascii="Arial" w:hAnsi="Arial" w:hint="cs"/>
          <w:sz w:val="18"/>
          <w:szCs w:val="20"/>
          <w:rtl/>
        </w:rPr>
        <w:t xml:space="preserve">, </w:t>
      </w:r>
      <w:r>
        <w:rPr>
          <w:rFonts w:ascii="Arial" w:hAnsi="Arial"/>
          <w:sz w:val="18"/>
          <w:szCs w:val="20"/>
          <w:rtl/>
        </w:rPr>
        <w:t>א</w:t>
      </w:r>
      <w:r>
        <w:rPr>
          <w:rFonts w:ascii="Arial" w:hAnsi="Arial" w:hint="cs"/>
          <w:rtl/>
        </w:rPr>
        <w:t>): "</w:t>
      </w:r>
      <w:r>
        <w:rPr>
          <w:rFonts w:ascii="Arial" w:hAnsi="Arial"/>
          <w:rtl/>
        </w:rPr>
        <w:t>ונקרא פֶּלֶג כי בעת הולדו נִפְלְגָה הָאָרֶץ, כתרגום ארמית חֵצִי</w:t>
      </w:r>
      <w:r>
        <w:rPr>
          <w:rFonts w:ascii="Arial" w:hAnsi="Arial" w:hint="cs"/>
          <w:rtl/>
        </w:rPr>
        <w:t xml:space="preserve"> (</w:t>
      </w:r>
      <w:r>
        <w:rPr>
          <w:rFonts w:ascii="Arial" w:hAnsi="Arial"/>
          <w:sz w:val="18"/>
          <w:szCs w:val="20"/>
          <w:rtl/>
        </w:rPr>
        <w:t>שמות כה</w:t>
      </w:r>
      <w:r>
        <w:rPr>
          <w:rFonts w:ascii="Arial" w:hAnsi="Arial" w:hint="cs"/>
          <w:sz w:val="18"/>
          <w:szCs w:val="20"/>
          <w:rtl/>
        </w:rPr>
        <w:t xml:space="preserve">, </w:t>
      </w:r>
      <w:r>
        <w:rPr>
          <w:rFonts w:ascii="Arial" w:hAnsi="Arial"/>
          <w:sz w:val="18"/>
          <w:szCs w:val="20"/>
          <w:rtl/>
        </w:rPr>
        <w:t>י</w:t>
      </w:r>
      <w:r>
        <w:rPr>
          <w:rFonts w:ascii="Arial" w:hAnsi="Arial" w:hint="cs"/>
          <w:sz w:val="18"/>
          <w:szCs w:val="20"/>
          <w:rtl/>
        </w:rPr>
        <w:t xml:space="preserve"> ועוד</w:t>
      </w:r>
      <w:r>
        <w:rPr>
          <w:rFonts w:ascii="Arial" w:hAnsi="Arial" w:hint="cs"/>
          <w:rtl/>
        </w:rPr>
        <w:t>)</w:t>
      </w:r>
      <w:r>
        <w:rPr>
          <w:rFonts w:ascii="Arial" w:hAnsi="Arial"/>
          <w:rtl/>
        </w:rPr>
        <w:t>, וכמוהו</w:t>
      </w:r>
      <w:r>
        <w:rPr>
          <w:rFonts w:ascii="Arial" w:hAnsi="Arial" w:hint="cs"/>
          <w:rtl/>
        </w:rPr>
        <w:t xml:space="preserve"> </w:t>
      </w:r>
      <w:r>
        <w:rPr>
          <w:rFonts w:ascii="Arial" w:hAnsi="Arial"/>
          <w:rtl/>
        </w:rPr>
        <w:t>פַּלְגֵי מָיִם</w:t>
      </w:r>
      <w:r>
        <w:rPr>
          <w:rFonts w:ascii="Arial" w:hAnsi="Arial" w:hint="cs"/>
          <w:rtl/>
        </w:rPr>
        <w:t xml:space="preserve"> (</w:t>
      </w:r>
      <w:r>
        <w:rPr>
          <w:rFonts w:ascii="Arial" w:hAnsi="Arial"/>
          <w:sz w:val="18"/>
          <w:szCs w:val="20"/>
          <w:rtl/>
        </w:rPr>
        <w:t>תהלים א</w:t>
      </w:r>
      <w:r>
        <w:rPr>
          <w:rFonts w:ascii="Arial" w:hAnsi="Arial" w:hint="cs"/>
          <w:sz w:val="18"/>
          <w:szCs w:val="20"/>
          <w:rtl/>
        </w:rPr>
        <w:t>,</w:t>
      </w:r>
      <w:r>
        <w:rPr>
          <w:rFonts w:ascii="Arial" w:hAnsi="Arial"/>
          <w:sz w:val="18"/>
          <w:szCs w:val="20"/>
          <w:rtl/>
        </w:rPr>
        <w:t xml:space="preserve"> ג</w:t>
      </w:r>
      <w:r>
        <w:rPr>
          <w:rFonts w:ascii="Arial" w:hAnsi="Arial" w:hint="cs"/>
          <w:sz w:val="18"/>
          <w:szCs w:val="20"/>
          <w:rtl/>
        </w:rPr>
        <w:t xml:space="preserve"> ועוד</w:t>
      </w:r>
      <w:r>
        <w:rPr>
          <w:rFonts w:ascii="Arial" w:hAnsi="Arial" w:hint="cs"/>
          <w:rtl/>
        </w:rPr>
        <w:t xml:space="preserve">), </w:t>
      </w:r>
      <w:r>
        <w:rPr>
          <w:rFonts w:ascii="Arial" w:hAnsi="Arial"/>
          <w:rtl/>
        </w:rPr>
        <w:t>הם חלקי המים שהנהר יחולק</w:t>
      </w:r>
      <w:r>
        <w:rPr>
          <w:rFonts w:ascii="Arial" w:hAnsi="Arial" w:hint="cs"/>
          <w:rtl/>
        </w:rPr>
        <w:t>".</w:t>
      </w:r>
    </w:p>
  </w:footnote>
  <w:footnote w:id="448">
    <w:p w14:paraId="067D0CA1" w14:textId="77777777" w:rsidR="002B4B31" w:rsidRDefault="002B4B31" w:rsidP="002B4B31">
      <w:pPr>
        <w:pStyle w:val="a5"/>
        <w:rPr>
          <w:rFonts w:hint="cs"/>
          <w:rtl/>
        </w:rPr>
      </w:pPr>
      <w:r>
        <w:rPr>
          <w:rStyle w:val="a4"/>
        </w:rPr>
        <w:footnoteRef/>
      </w:r>
      <w:r>
        <w:rPr>
          <w:rFonts w:hint="cs"/>
          <w:rtl/>
        </w:rPr>
        <w:t xml:space="preserve"> </w:t>
      </w:r>
      <w:r>
        <w:rPr>
          <w:rFonts w:ascii="Arial" w:hAnsi="Arial" w:hint="cs"/>
          <w:rtl/>
        </w:rPr>
        <w:t>"</w:t>
      </w:r>
      <w:r>
        <w:rPr>
          <w:rFonts w:ascii="Arial" w:hAnsi="Arial"/>
          <w:rtl/>
        </w:rPr>
        <w:t xml:space="preserve">בַּלַּע אֲדֹנָי </w:t>
      </w:r>
      <w:r>
        <w:rPr>
          <w:rFonts w:ascii="Arial" w:hAnsi="Arial"/>
          <w:b/>
          <w:bCs/>
          <w:rtl/>
        </w:rPr>
        <w:t>פַּלַּג</w:t>
      </w:r>
      <w:r>
        <w:rPr>
          <w:rFonts w:ascii="Arial" w:hAnsi="Arial"/>
          <w:rtl/>
        </w:rPr>
        <w:t xml:space="preserve"> לְשׁוֹנָם</w:t>
      </w:r>
      <w:r>
        <w:rPr>
          <w:rFonts w:ascii="Arial" w:hAnsi="Arial" w:hint="cs"/>
          <w:rtl/>
        </w:rPr>
        <w:t>"</w:t>
      </w:r>
      <w:r>
        <w:rPr>
          <w:rFonts w:ascii="Arial" w:hAnsi="Arial"/>
          <w:rtl/>
        </w:rPr>
        <w:t xml:space="preserve"> </w:t>
      </w:r>
      <w:r>
        <w:rPr>
          <w:rFonts w:ascii="Arial" w:hAnsi="Arial" w:hint="cs"/>
          <w:rtl/>
        </w:rPr>
        <w:t>(</w:t>
      </w:r>
      <w:r>
        <w:rPr>
          <w:rFonts w:ascii="Arial" w:hAnsi="Arial"/>
          <w:szCs w:val="20"/>
          <w:rtl/>
        </w:rPr>
        <w:t>תהלים נה</w:t>
      </w:r>
      <w:r>
        <w:rPr>
          <w:rFonts w:ascii="Arial" w:hAnsi="Arial" w:hint="cs"/>
          <w:szCs w:val="20"/>
          <w:rtl/>
        </w:rPr>
        <w:t xml:space="preserve">, </w:t>
      </w:r>
      <w:r>
        <w:rPr>
          <w:rFonts w:ascii="Arial" w:hAnsi="Arial"/>
          <w:szCs w:val="20"/>
          <w:rtl/>
        </w:rPr>
        <w:t>י</w:t>
      </w:r>
      <w:r>
        <w:rPr>
          <w:rFonts w:ascii="Arial" w:hAnsi="Arial" w:hint="cs"/>
          <w:sz w:val="26"/>
          <w:rtl/>
        </w:rPr>
        <w:t>). הניקוד החריג (ל' פתוחה, במקום "</w:t>
      </w:r>
      <w:r>
        <w:rPr>
          <w:rFonts w:ascii="Arial" w:hAnsi="Arial"/>
          <w:sz w:val="26"/>
          <w:rtl/>
        </w:rPr>
        <w:t>פַּלּ</w:t>
      </w:r>
      <w:r>
        <w:rPr>
          <w:rFonts w:ascii="Arial" w:hAnsi="Arial" w:hint="cs"/>
          <w:sz w:val="26"/>
          <w:rtl/>
        </w:rPr>
        <w:t>ֵ</w:t>
      </w:r>
      <w:r>
        <w:rPr>
          <w:rFonts w:ascii="Arial" w:hAnsi="Arial"/>
          <w:sz w:val="26"/>
          <w:rtl/>
        </w:rPr>
        <w:t>ג</w:t>
      </w:r>
      <w:r>
        <w:rPr>
          <w:rFonts w:ascii="Arial" w:hAnsi="Arial" w:hint="cs"/>
          <w:sz w:val="26"/>
          <w:rtl/>
        </w:rPr>
        <w:t>") מוסבר ע"י הריעב"ץ (</w:t>
      </w:r>
      <w:r>
        <w:rPr>
          <w:rFonts w:ascii="Arial" w:hAnsi="Arial"/>
          <w:szCs w:val="20"/>
          <w:rtl/>
        </w:rPr>
        <w:t xml:space="preserve">לוח </w:t>
      </w:r>
      <w:r>
        <w:rPr>
          <w:rFonts w:ascii="Arial" w:hAnsi="Arial" w:hint="cs"/>
          <w:szCs w:val="20"/>
          <w:rtl/>
        </w:rPr>
        <w:t>א</w:t>
      </w:r>
      <w:r>
        <w:rPr>
          <w:rFonts w:ascii="Arial" w:hAnsi="Arial"/>
          <w:szCs w:val="20"/>
          <w:rtl/>
        </w:rPr>
        <w:t>רש</w:t>
      </w:r>
      <w:r>
        <w:rPr>
          <w:rFonts w:ascii="Arial" w:hAnsi="Arial" w:hint="cs"/>
          <w:szCs w:val="20"/>
          <w:rtl/>
        </w:rPr>
        <w:t>ׁ, תשס"א, עמ' ע"ח</w:t>
      </w:r>
      <w:r>
        <w:rPr>
          <w:rFonts w:ascii="Arial" w:hAnsi="Arial" w:hint="cs"/>
          <w:sz w:val="26"/>
          <w:rtl/>
        </w:rPr>
        <w:t>), כדי "לזווג המִלוֹת", דהיינו להתאים את הניקוד לפֹעַל הקודם בפסוק (שדינו להִנָקד בפתח ולא בצירי</w:t>
      </w:r>
      <w:r>
        <w:rPr>
          <w:rFonts w:ascii="Arial" w:hAnsi="Arial" w:hint="cs"/>
          <w:szCs w:val="20"/>
          <w:rtl/>
        </w:rPr>
        <w:t>, "</w:t>
      </w:r>
      <w:r>
        <w:rPr>
          <w:rFonts w:ascii="Arial" w:hAnsi="Arial"/>
          <w:szCs w:val="20"/>
          <w:rtl/>
        </w:rPr>
        <w:t>בעבו</w:t>
      </w:r>
      <w:r>
        <w:rPr>
          <w:rFonts w:ascii="Arial" w:hAnsi="Arial" w:hint="cs"/>
          <w:szCs w:val="20"/>
          <w:rtl/>
        </w:rPr>
        <w:t>ר</w:t>
      </w:r>
      <w:r>
        <w:rPr>
          <w:rFonts w:ascii="Arial" w:hAnsi="Arial"/>
          <w:szCs w:val="20"/>
          <w:rtl/>
        </w:rPr>
        <w:t xml:space="preserve"> אות הגרון</w:t>
      </w:r>
      <w:r>
        <w:rPr>
          <w:rFonts w:ascii="Arial" w:hAnsi="Arial" w:hint="cs"/>
          <w:szCs w:val="20"/>
          <w:rtl/>
        </w:rPr>
        <w:t xml:space="preserve">", כלשון ר"א </w:t>
      </w:r>
      <w:r>
        <w:rPr>
          <w:rFonts w:ascii="Arial" w:hAnsi="Arial"/>
          <w:szCs w:val="20"/>
          <w:rtl/>
        </w:rPr>
        <w:t xml:space="preserve">אבן עזרא </w:t>
      </w:r>
      <w:r>
        <w:rPr>
          <w:rFonts w:ascii="Arial" w:hAnsi="Arial" w:hint="cs"/>
          <w:szCs w:val="20"/>
          <w:rtl/>
        </w:rPr>
        <w:t>על אתר</w:t>
      </w:r>
      <w:r>
        <w:rPr>
          <w:rFonts w:ascii="Arial" w:hAnsi="Arial" w:hint="cs"/>
          <w:sz w:val="26"/>
          <w:rtl/>
        </w:rPr>
        <w:t>)</w:t>
      </w:r>
      <w:r>
        <w:rPr>
          <w:rFonts w:ascii="Arial" w:hAnsi="Arial" w:hint="cs"/>
          <w:rtl/>
        </w:rPr>
        <w:t xml:space="preserve">. רש"י שם מביא שני פירושים אם משמעותו </w:t>
      </w:r>
      <w:r>
        <w:rPr>
          <w:rFonts w:ascii="Arial" w:hAnsi="Arial"/>
          <w:rtl/>
        </w:rPr>
        <w:t>חילוק</w:t>
      </w:r>
      <w:r>
        <w:rPr>
          <w:rFonts w:ascii="Arial" w:hAnsi="Arial" w:hint="cs"/>
          <w:rtl/>
        </w:rPr>
        <w:t xml:space="preserve"> או הרחקה והבדלה.</w:t>
      </w:r>
      <w:r>
        <w:rPr>
          <w:rFonts w:ascii="Arial" w:hAnsi="Arial"/>
          <w:rtl/>
        </w:rPr>
        <w:t xml:space="preserve"> </w:t>
      </w:r>
      <w:r>
        <w:rPr>
          <w:rFonts w:ascii="Arial" w:hAnsi="Arial" w:hint="cs"/>
          <w:rtl/>
        </w:rPr>
        <w:t>בברכת "נשמת" אנו אומרים "</w:t>
      </w:r>
      <w:r>
        <w:rPr>
          <w:rFonts w:ascii="Arial" w:hAnsi="Arial"/>
          <w:rtl/>
        </w:rPr>
        <w:t xml:space="preserve">על כן </w:t>
      </w:r>
      <w:r>
        <w:rPr>
          <w:rFonts w:ascii="Arial" w:hAnsi="Arial" w:hint="cs"/>
          <w:rtl/>
        </w:rPr>
        <w:t xml:space="preserve">אֵבָרִים </w:t>
      </w:r>
      <w:r>
        <w:rPr>
          <w:rFonts w:ascii="Arial" w:hAnsi="Arial" w:hint="cs"/>
          <w:b/>
          <w:bCs/>
          <w:rtl/>
        </w:rPr>
        <w:t>שֶׁפִּלַּגְתָּ</w:t>
      </w:r>
      <w:r>
        <w:rPr>
          <w:rFonts w:ascii="Arial" w:hAnsi="Arial" w:hint="cs"/>
          <w:rtl/>
        </w:rPr>
        <w:t xml:space="preserve"> </w:t>
      </w:r>
      <w:r>
        <w:rPr>
          <w:rFonts w:ascii="Arial" w:hAnsi="Arial"/>
          <w:rtl/>
        </w:rPr>
        <w:t>בנו</w:t>
      </w:r>
      <w:r>
        <w:rPr>
          <w:rFonts w:ascii="Arial" w:hAnsi="Arial" w:hint="cs"/>
          <w:rtl/>
        </w:rPr>
        <w:t xml:space="preserve">", כלומר, </w:t>
      </w:r>
      <w:r>
        <w:rPr>
          <w:rFonts w:ascii="Arial" w:hAnsi="Arial"/>
          <w:rtl/>
        </w:rPr>
        <w:t xml:space="preserve">רמ"ח </w:t>
      </w:r>
      <w:r>
        <w:rPr>
          <w:rFonts w:ascii="Arial" w:hAnsi="Arial" w:hint="cs"/>
          <w:rtl/>
        </w:rPr>
        <w:t>ה</w:t>
      </w:r>
      <w:r>
        <w:rPr>
          <w:rFonts w:ascii="Arial" w:hAnsi="Arial"/>
          <w:rtl/>
        </w:rPr>
        <w:t>א</w:t>
      </w:r>
      <w:r>
        <w:rPr>
          <w:rFonts w:ascii="Arial" w:hAnsi="Arial" w:hint="cs"/>
          <w:rtl/>
        </w:rPr>
        <w:t>ֵ</w:t>
      </w:r>
      <w:r>
        <w:rPr>
          <w:rFonts w:ascii="Arial" w:hAnsi="Arial"/>
          <w:rtl/>
        </w:rPr>
        <w:t>ברים</w:t>
      </w:r>
      <w:r>
        <w:rPr>
          <w:rFonts w:ascii="Arial" w:hAnsi="Arial" w:hint="cs"/>
          <w:rtl/>
        </w:rPr>
        <w:t xml:space="preserve"> </w:t>
      </w:r>
      <w:r>
        <w:rPr>
          <w:rFonts w:ascii="Arial" w:hAnsi="Arial"/>
          <w:rtl/>
        </w:rPr>
        <w:t>שח</w:t>
      </w:r>
      <w:r>
        <w:rPr>
          <w:rFonts w:ascii="Arial" w:hAnsi="Arial" w:hint="cs"/>
          <w:rtl/>
        </w:rPr>
        <w:t>ִ</w:t>
      </w:r>
      <w:r>
        <w:rPr>
          <w:rFonts w:ascii="Arial" w:hAnsi="Arial"/>
          <w:rtl/>
        </w:rPr>
        <w:t>ל</w:t>
      </w:r>
      <w:r>
        <w:rPr>
          <w:rFonts w:ascii="Arial" w:hAnsi="Arial" w:hint="cs"/>
          <w:rtl/>
        </w:rPr>
        <w:t>ֵּ</w:t>
      </w:r>
      <w:r>
        <w:rPr>
          <w:rFonts w:ascii="Arial" w:hAnsi="Arial"/>
          <w:rtl/>
        </w:rPr>
        <w:t>ק</w:t>
      </w:r>
      <w:r>
        <w:rPr>
          <w:rFonts w:ascii="Arial" w:hAnsi="Arial" w:hint="cs"/>
          <w:rtl/>
        </w:rPr>
        <w:t xml:space="preserve"> בגופנו (</w:t>
      </w:r>
      <w:r>
        <w:rPr>
          <w:rFonts w:ascii="Arial" w:hAnsi="Arial" w:hint="cs"/>
          <w:szCs w:val="20"/>
          <w:rtl/>
        </w:rPr>
        <w:t xml:space="preserve">ע"פ </w:t>
      </w:r>
      <w:r>
        <w:rPr>
          <w:rFonts w:ascii="Arial" w:hAnsi="Arial"/>
          <w:szCs w:val="20"/>
          <w:rtl/>
        </w:rPr>
        <w:t>פירוש</w:t>
      </w:r>
      <w:r>
        <w:rPr>
          <w:rFonts w:ascii="Arial" w:hAnsi="Arial" w:hint="cs"/>
          <w:szCs w:val="20"/>
          <w:rtl/>
        </w:rPr>
        <w:t xml:space="preserve"> בעל ה</w:t>
      </w:r>
      <w:r>
        <w:rPr>
          <w:rFonts w:ascii="Arial" w:hAnsi="Arial"/>
          <w:szCs w:val="20"/>
          <w:rtl/>
        </w:rPr>
        <w:t>רקח</w:t>
      </w:r>
      <w:r>
        <w:rPr>
          <w:rFonts w:ascii="Arial" w:hAnsi="Arial" w:hint="cs"/>
          <w:szCs w:val="20"/>
          <w:rtl/>
        </w:rPr>
        <w:t xml:space="preserve">, </w:t>
      </w:r>
      <w:r>
        <w:rPr>
          <w:rFonts w:ascii="Arial" w:hAnsi="Arial"/>
          <w:szCs w:val="20"/>
          <w:rtl/>
        </w:rPr>
        <w:t>עמוד תק</w:t>
      </w:r>
      <w:r>
        <w:rPr>
          <w:rFonts w:ascii="Arial" w:hAnsi="Arial" w:hint="cs"/>
          <w:szCs w:val="20"/>
          <w:rtl/>
        </w:rPr>
        <w:t>"</w:t>
      </w:r>
      <w:r>
        <w:rPr>
          <w:rFonts w:ascii="Arial" w:hAnsi="Arial"/>
          <w:szCs w:val="20"/>
          <w:rtl/>
        </w:rPr>
        <w:t>ב</w:t>
      </w:r>
      <w:r>
        <w:rPr>
          <w:rFonts w:ascii="Arial" w:hAnsi="Arial" w:hint="cs"/>
          <w:szCs w:val="20"/>
          <w:rtl/>
        </w:rPr>
        <w:t xml:space="preserve">; ר"ד </w:t>
      </w:r>
      <w:r>
        <w:rPr>
          <w:rFonts w:ascii="Arial" w:hAnsi="Arial"/>
          <w:szCs w:val="20"/>
          <w:rtl/>
        </w:rPr>
        <w:t>אבודרהם</w:t>
      </w:r>
      <w:r>
        <w:rPr>
          <w:rFonts w:ascii="Arial" w:hAnsi="Arial" w:hint="cs"/>
          <w:rtl/>
        </w:rPr>
        <w:t>), וב</w:t>
      </w:r>
      <w:r>
        <w:rPr>
          <w:rFonts w:ascii="Arial" w:hAnsi="Arial"/>
          <w:rtl/>
        </w:rPr>
        <w:t xml:space="preserve">מחזור ויטרי </w:t>
      </w:r>
      <w:r>
        <w:rPr>
          <w:rFonts w:ascii="Arial" w:hAnsi="Arial"/>
          <w:sz w:val="18"/>
          <w:szCs w:val="20"/>
          <w:rtl/>
        </w:rPr>
        <w:t>סימן ק</w:t>
      </w:r>
      <w:r>
        <w:rPr>
          <w:rFonts w:ascii="Arial" w:hAnsi="Arial" w:hint="cs"/>
          <w:sz w:val="18"/>
          <w:szCs w:val="20"/>
          <w:rtl/>
        </w:rPr>
        <w:t>"</w:t>
      </w:r>
      <w:r>
        <w:rPr>
          <w:rFonts w:ascii="Arial" w:hAnsi="Arial"/>
          <w:sz w:val="18"/>
          <w:szCs w:val="20"/>
          <w:rtl/>
        </w:rPr>
        <w:t xml:space="preserve">ס </w:t>
      </w:r>
      <w:r>
        <w:rPr>
          <w:rFonts w:ascii="Arial" w:hAnsi="Arial" w:hint="cs"/>
          <w:rtl/>
        </w:rPr>
        <w:t>דן בנוסח זה לעומת הנוסח "</w:t>
      </w:r>
      <w:r>
        <w:rPr>
          <w:rFonts w:ascii="Arial" w:hAnsi="Arial"/>
          <w:rtl/>
        </w:rPr>
        <w:t>איברים שפילגת</w:t>
      </w:r>
      <w:r>
        <w:rPr>
          <w:rFonts w:ascii="Arial" w:hAnsi="Arial"/>
          <w:b/>
          <w:bCs/>
          <w:rtl/>
        </w:rPr>
        <w:t>נו</w:t>
      </w:r>
      <w:r>
        <w:rPr>
          <w:rFonts w:ascii="Arial" w:hAnsi="Arial" w:hint="cs"/>
          <w:rtl/>
        </w:rPr>
        <w:t>" (</w:t>
      </w:r>
      <w:r>
        <w:rPr>
          <w:rFonts w:ascii="Arial" w:hAnsi="Arial" w:hint="cs"/>
          <w:sz w:val="18"/>
          <w:szCs w:val="20"/>
          <w:rtl/>
        </w:rPr>
        <w:t>והשוה לדיון על "ותבדיל</w:t>
      </w:r>
      <w:r>
        <w:rPr>
          <w:rFonts w:ascii="Arial" w:hAnsi="Arial" w:hint="cs"/>
          <w:b/>
          <w:bCs/>
          <w:sz w:val="18"/>
          <w:szCs w:val="20"/>
          <w:rtl/>
        </w:rPr>
        <w:t>נו</w:t>
      </w:r>
      <w:r>
        <w:rPr>
          <w:rFonts w:ascii="Arial" w:hAnsi="Arial" w:hint="cs"/>
          <w:sz w:val="18"/>
          <w:szCs w:val="20"/>
          <w:rtl/>
        </w:rPr>
        <w:t xml:space="preserve">" בנוסח ההבדלה בברכת הדעת בספר </w:t>
      </w:r>
      <w:r>
        <w:rPr>
          <w:rFonts w:ascii="Arial" w:hAnsi="Arial"/>
          <w:sz w:val="18"/>
          <w:szCs w:val="20"/>
          <w:rtl/>
        </w:rPr>
        <w:t xml:space="preserve">לוח </w:t>
      </w:r>
      <w:r>
        <w:rPr>
          <w:rFonts w:ascii="Arial" w:hAnsi="Arial" w:hint="cs"/>
          <w:sz w:val="18"/>
          <w:szCs w:val="20"/>
          <w:rtl/>
        </w:rPr>
        <w:t>א</w:t>
      </w:r>
      <w:r>
        <w:rPr>
          <w:rFonts w:ascii="Arial" w:hAnsi="Arial"/>
          <w:sz w:val="18"/>
          <w:szCs w:val="20"/>
          <w:rtl/>
        </w:rPr>
        <w:t>רש</w:t>
      </w:r>
      <w:r>
        <w:rPr>
          <w:rFonts w:ascii="Arial" w:hAnsi="Arial" w:hint="cs"/>
          <w:sz w:val="18"/>
          <w:szCs w:val="20"/>
          <w:rtl/>
        </w:rPr>
        <w:t>ׁ, תשס"א, עמ' נ"ח</w:t>
      </w:r>
      <w:r>
        <w:rPr>
          <w:rFonts w:ascii="Arial" w:hAnsi="Arial" w:hint="cs"/>
          <w:rtl/>
        </w:rPr>
        <w:t>)</w:t>
      </w:r>
      <w:r>
        <w:rPr>
          <w:rFonts w:ascii="Arial" w:hAnsi="Arial"/>
          <w:rtl/>
        </w:rPr>
        <w:t>.</w:t>
      </w:r>
    </w:p>
  </w:footnote>
  <w:footnote w:id="449">
    <w:p w14:paraId="065A3117" w14:textId="77777777" w:rsidR="002B4B31" w:rsidRDefault="002B4B31" w:rsidP="002B4B31">
      <w:pPr>
        <w:pStyle w:val="a5"/>
        <w:rPr>
          <w:rFonts w:hint="cs"/>
          <w:rtl/>
        </w:rPr>
      </w:pPr>
      <w:r>
        <w:rPr>
          <w:rStyle w:val="a4"/>
        </w:rPr>
        <w:footnoteRef/>
      </w:r>
      <w:r>
        <w:rPr>
          <w:rFonts w:hint="cs"/>
          <w:rtl/>
        </w:rPr>
        <w:t xml:space="preserve"> </w:t>
      </w:r>
      <w:r>
        <w:rPr>
          <w:rFonts w:ascii="Arial" w:hAnsi="Arial" w:hint="cs"/>
          <w:rtl/>
        </w:rPr>
        <w:t xml:space="preserve">הנוסח </w:t>
      </w:r>
      <w:r>
        <w:rPr>
          <w:rFonts w:ascii="Arial" w:hAnsi="Arial" w:hint="cs"/>
          <w:sz w:val="20"/>
          <w:rtl/>
        </w:rPr>
        <w:t xml:space="preserve">בכתב יד </w:t>
      </w:r>
      <w:r>
        <w:rPr>
          <w:rFonts w:ascii="Arial" w:hAnsi="Arial"/>
          <w:sz w:val="20"/>
          <w:rtl/>
        </w:rPr>
        <w:t>קאופמן</w:t>
      </w:r>
      <w:r>
        <w:rPr>
          <w:rFonts w:ascii="Arial" w:hAnsi="Arial" w:hint="cs"/>
          <w:sz w:val="20"/>
          <w:rtl/>
        </w:rPr>
        <w:t>: "</w:t>
      </w:r>
      <w:r>
        <w:rPr>
          <w:rFonts w:ascii="Arial" w:hAnsi="Arial" w:hint="eastAsia"/>
          <w:rtl/>
        </w:rPr>
        <w:t>מפ</w:t>
      </w:r>
      <w:r>
        <w:rPr>
          <w:rFonts w:ascii="Arial" w:hAnsi="Arial" w:hint="eastAsia"/>
          <w:b/>
          <w:bCs/>
          <w:rtl/>
        </w:rPr>
        <w:t>ל</w:t>
      </w:r>
      <w:r>
        <w:rPr>
          <w:rFonts w:ascii="Arial" w:hAnsi="Arial" w:hint="eastAsia"/>
          <w:rtl/>
        </w:rPr>
        <w:t>נדיסים</w:t>
      </w:r>
      <w:r>
        <w:rPr>
          <w:rFonts w:ascii="Arial" w:hAnsi="Arial" w:hint="cs"/>
          <w:rtl/>
        </w:rPr>
        <w:t xml:space="preserve">", ובמשנה </w:t>
      </w:r>
      <w:r>
        <w:rPr>
          <w:rFonts w:ascii="Arial" w:hAnsi="Arial"/>
          <w:rtl/>
        </w:rPr>
        <w:t>שבבבלי: "מפ</w:t>
      </w:r>
      <w:r>
        <w:rPr>
          <w:rFonts w:ascii="Arial" w:hAnsi="Arial" w:hint="eastAsia"/>
          <w:b/>
          <w:bCs/>
          <w:rtl/>
        </w:rPr>
        <w:t>ל</w:t>
      </w:r>
      <w:r>
        <w:rPr>
          <w:rFonts w:ascii="Arial" w:hAnsi="Arial" w:hint="eastAsia"/>
          <w:rtl/>
        </w:rPr>
        <w:t>נדרסין</w:t>
      </w:r>
      <w:r>
        <w:rPr>
          <w:rFonts w:ascii="Arial" w:hAnsi="Arial"/>
          <w:rtl/>
        </w:rPr>
        <w:t>"</w:t>
      </w:r>
      <w:r>
        <w:rPr>
          <w:rFonts w:ascii="Arial" w:hAnsi="Arial" w:hint="cs"/>
          <w:rtl/>
        </w:rPr>
        <w:t>. הכוונה כנראה לעיר נמל בדרום מזרח איטליה (</w:t>
      </w:r>
      <w:r>
        <w:rPr>
          <w:rFonts w:ascii="Arial" w:hAnsi="Arial" w:hint="cs"/>
          <w:sz w:val="18"/>
          <w:szCs w:val="20"/>
          <w:rtl/>
        </w:rPr>
        <w:t>ע"פ הערות הר"י קאפח והר"ע שטיינזלץ</w:t>
      </w:r>
      <w:r>
        <w:rPr>
          <w:rFonts w:ascii="Arial" w:hAnsi="Arial" w:hint="cs"/>
          <w:rtl/>
        </w:rPr>
        <w:t xml:space="preserve">), וראה בספר עלי תמר, </w:t>
      </w:r>
      <w:r>
        <w:rPr>
          <w:rFonts w:ascii="Arial" w:hAnsi="Arial" w:hint="cs"/>
          <w:sz w:val="18"/>
          <w:szCs w:val="20"/>
          <w:rtl/>
        </w:rPr>
        <w:t>עירובין, עמ' קע"ו,</w:t>
      </w:r>
      <w:r>
        <w:rPr>
          <w:rFonts w:ascii="Arial" w:hAnsi="Arial" w:hint="cs"/>
          <w:rtl/>
        </w:rPr>
        <w:t xml:space="preserve"> הדן בגרסאות שונות של שם זה, ומעיר על חילופי ל'-ר' כאן (כמו גרעין/גלעין).</w:t>
      </w:r>
    </w:p>
  </w:footnote>
  <w:footnote w:id="450">
    <w:p w14:paraId="4D1A0676" w14:textId="77777777" w:rsidR="002B4B31" w:rsidRDefault="002B4B31" w:rsidP="002B4B31">
      <w:pPr>
        <w:pStyle w:val="a5"/>
        <w:rPr>
          <w:rFonts w:hint="cs"/>
          <w:rtl/>
        </w:rPr>
      </w:pPr>
      <w:r>
        <w:rPr>
          <w:rStyle w:val="a4"/>
        </w:rPr>
        <w:footnoteRef/>
      </w:r>
      <w:r>
        <w:rPr>
          <w:rFonts w:hint="cs"/>
          <w:rtl/>
        </w:rPr>
        <w:t xml:space="preserve"> </w:t>
      </w:r>
      <w:r>
        <w:rPr>
          <w:rFonts w:ascii="Arial" w:hAnsi="Arial" w:hint="cs"/>
          <w:rtl/>
        </w:rPr>
        <w:t>יתכן שהפירוש הראשון התחדש ל</w:t>
      </w:r>
      <w:r>
        <w:rPr>
          <w:rFonts w:ascii="Arial" w:hAnsi="Arial"/>
          <w:rtl/>
        </w:rPr>
        <w:t>רש"י</w:t>
      </w:r>
      <w:r>
        <w:rPr>
          <w:rFonts w:ascii="Arial" w:hAnsi="Arial" w:hint="cs"/>
          <w:rtl/>
        </w:rPr>
        <w:t xml:space="preserve"> רק לאחר כתיבת פירושו ל</w:t>
      </w:r>
      <w:r>
        <w:rPr>
          <w:rFonts w:ascii="Arial" w:hAnsi="Arial"/>
          <w:rtl/>
        </w:rPr>
        <w:t>עירובין</w:t>
      </w:r>
      <w:r>
        <w:rPr>
          <w:rFonts w:ascii="Arial" w:hAnsi="Arial" w:hint="cs"/>
          <w:rtl/>
        </w:rPr>
        <w:t>. אמנם, יש לציין כי בפירוש רש"י שעל הרי"ף במסכת ערובין (</w:t>
      </w:r>
      <w:r>
        <w:rPr>
          <w:rFonts w:ascii="Arial" w:hAnsi="Arial" w:hint="cs"/>
          <w:sz w:val="18"/>
          <w:szCs w:val="20"/>
          <w:rtl/>
        </w:rPr>
        <w:t>י, ב</w:t>
      </w:r>
      <w:r>
        <w:rPr>
          <w:rFonts w:ascii="Arial" w:hAnsi="Arial" w:hint="cs"/>
          <w:rtl/>
        </w:rPr>
        <w:t>) מובא פירוש זה: "והפליגה - כלומר נתרחקה משפת הנהר; כשהיא מתרחקת משפת הנהר ונכנסת לאמצעה (</w:t>
      </w:r>
      <w:r>
        <w:rPr>
          <w:rFonts w:ascii="Arial" w:hAnsi="Arial" w:hint="cs"/>
          <w:sz w:val="18"/>
          <w:szCs w:val="20"/>
          <w:rtl/>
        </w:rPr>
        <w:t>אולי צ"ל: "</w:t>
      </w:r>
      <w:r>
        <w:rPr>
          <w:rFonts w:ascii="Arial" w:hAnsi="Arial"/>
          <w:sz w:val="18"/>
          <w:szCs w:val="20"/>
          <w:rtl/>
        </w:rPr>
        <w:t>לאמצע</w:t>
      </w:r>
      <w:r>
        <w:rPr>
          <w:rFonts w:ascii="Arial" w:hAnsi="Arial" w:hint="cs"/>
          <w:b/>
          <w:bCs/>
          <w:sz w:val="18"/>
          <w:szCs w:val="20"/>
          <w:rtl/>
        </w:rPr>
        <w:t>ו</w:t>
      </w:r>
      <w:r>
        <w:rPr>
          <w:rFonts w:ascii="Arial" w:hAnsi="Arial" w:hint="cs"/>
          <w:sz w:val="18"/>
          <w:szCs w:val="20"/>
          <w:rtl/>
        </w:rPr>
        <w:t xml:space="preserve">", כלומר לאמצע </w:t>
      </w:r>
      <w:r>
        <w:rPr>
          <w:rFonts w:ascii="Arial" w:hAnsi="Arial" w:hint="cs"/>
          <w:b/>
          <w:bCs/>
          <w:sz w:val="18"/>
          <w:szCs w:val="20"/>
          <w:rtl/>
        </w:rPr>
        <w:t>של הנהר</w:t>
      </w:r>
      <w:r>
        <w:rPr>
          <w:rFonts w:ascii="Arial" w:hAnsi="Arial" w:hint="cs"/>
          <w:rtl/>
        </w:rPr>
        <w:t>) - קרי הַפְלָגָה". יתכן שמפירוש זה משמע שהַפְלָגָה משמעה הרחקה כפירוש הראשון. על השינוי שבין "נהר" ל"ים" ראה להלן.</w:t>
      </w:r>
    </w:p>
  </w:footnote>
  <w:footnote w:id="451">
    <w:p w14:paraId="7A76C52A" w14:textId="77777777" w:rsidR="002B4B31" w:rsidRDefault="002B4B31" w:rsidP="002B4B31">
      <w:pPr>
        <w:pStyle w:val="a5"/>
        <w:rPr>
          <w:rFonts w:hint="cs"/>
          <w:rtl/>
        </w:rPr>
      </w:pPr>
      <w:r>
        <w:rPr>
          <w:rStyle w:val="a4"/>
        </w:rPr>
        <w:footnoteRef/>
      </w:r>
      <w:r>
        <w:rPr>
          <w:rFonts w:hint="cs"/>
          <w:rtl/>
        </w:rPr>
        <w:t xml:space="preserve"> </w:t>
      </w:r>
      <w:r>
        <w:rPr>
          <w:rFonts w:ascii="Arial" w:hAnsi="Arial" w:hint="cs"/>
          <w:rtl/>
        </w:rPr>
        <w:t>מכאן ניתן להסיק שכשמפרש רש"י בסתמא, הרי הוא מוסר את הפירושים שלמד מרבותיו, בבחינת "</w:t>
      </w:r>
      <w:r>
        <w:rPr>
          <w:rFonts w:ascii="Arial" w:hAnsi="Arial"/>
          <w:rtl/>
        </w:rPr>
        <w:t>וכי רבי לא שנאה, רבי חייא מנין לו?</w:t>
      </w:r>
      <w:r>
        <w:rPr>
          <w:rFonts w:ascii="Arial" w:hAnsi="Arial" w:hint="cs"/>
          <w:rtl/>
        </w:rPr>
        <w:t>" (</w:t>
      </w:r>
      <w:r>
        <w:rPr>
          <w:rFonts w:ascii="Arial" w:hAnsi="Arial"/>
          <w:sz w:val="18"/>
          <w:szCs w:val="20"/>
          <w:rtl/>
        </w:rPr>
        <w:t>עירובין צב</w:t>
      </w:r>
      <w:r>
        <w:rPr>
          <w:rFonts w:ascii="Arial" w:hAnsi="Arial" w:hint="cs"/>
          <w:sz w:val="18"/>
          <w:szCs w:val="20"/>
          <w:rtl/>
        </w:rPr>
        <w:t xml:space="preserve">, </w:t>
      </w:r>
      <w:r>
        <w:rPr>
          <w:rFonts w:ascii="Arial" w:hAnsi="Arial"/>
          <w:sz w:val="18"/>
          <w:szCs w:val="20"/>
          <w:rtl/>
        </w:rPr>
        <w:t>א</w:t>
      </w:r>
      <w:r>
        <w:rPr>
          <w:rFonts w:ascii="Arial" w:hAnsi="Arial" w:hint="cs"/>
          <w:rtl/>
        </w:rPr>
        <w:t>). רק כשמוסיף פירוש מדעתו, הוא קורא את שם הרב המפרש על פירושו.</w:t>
      </w:r>
    </w:p>
  </w:footnote>
  <w:footnote w:id="452">
    <w:p w14:paraId="3976D677" w14:textId="77777777" w:rsidR="002B4B31" w:rsidRDefault="002B4B31" w:rsidP="002B4B31">
      <w:pPr>
        <w:pStyle w:val="a5"/>
        <w:rPr>
          <w:rFonts w:hint="cs"/>
          <w:rtl/>
        </w:rPr>
      </w:pPr>
      <w:r>
        <w:rPr>
          <w:rStyle w:val="a4"/>
        </w:rPr>
        <w:footnoteRef/>
      </w:r>
      <w:r>
        <w:rPr>
          <w:rFonts w:hint="cs"/>
          <w:rtl/>
        </w:rPr>
        <w:t xml:space="preserve"> </w:t>
      </w:r>
      <w:r>
        <w:rPr>
          <w:rFonts w:ascii="Arial" w:hAnsi="Arial" w:hint="cs"/>
          <w:rtl/>
        </w:rPr>
        <w:t>אולי צ"ל: "</w:t>
      </w:r>
      <w:r>
        <w:rPr>
          <w:rFonts w:ascii="Arial" w:hAnsi="Arial"/>
          <w:rtl/>
        </w:rPr>
        <w:t>לאמצע</w:t>
      </w:r>
      <w:r>
        <w:rPr>
          <w:rFonts w:ascii="Arial" w:hAnsi="Arial" w:hint="cs"/>
          <w:b/>
          <w:bCs/>
          <w:rtl/>
        </w:rPr>
        <w:t>ו</w:t>
      </w:r>
      <w:r>
        <w:rPr>
          <w:rFonts w:ascii="Arial" w:hAnsi="Arial" w:hint="cs"/>
          <w:rtl/>
        </w:rPr>
        <w:t xml:space="preserve">", כלומר לאמצע </w:t>
      </w:r>
      <w:r>
        <w:rPr>
          <w:rFonts w:ascii="Arial" w:hAnsi="Arial" w:hint="cs"/>
          <w:b/>
          <w:bCs/>
          <w:rtl/>
        </w:rPr>
        <w:t>של הים</w:t>
      </w:r>
      <w:r>
        <w:rPr>
          <w:rFonts w:ascii="Arial" w:hAnsi="Arial" w:hint="cs"/>
          <w:rtl/>
        </w:rPr>
        <w:t>.</w:t>
      </w:r>
    </w:p>
  </w:footnote>
  <w:footnote w:id="453">
    <w:p w14:paraId="1F0E76F6" w14:textId="77777777" w:rsidR="002B4B31" w:rsidRDefault="002B4B31" w:rsidP="002B4B31">
      <w:pPr>
        <w:pStyle w:val="a5"/>
        <w:rPr>
          <w:rFonts w:hint="cs"/>
          <w:rtl/>
        </w:rPr>
      </w:pPr>
      <w:r>
        <w:rPr>
          <w:rStyle w:val="a4"/>
        </w:rPr>
        <w:footnoteRef/>
      </w:r>
      <w:r>
        <w:rPr>
          <w:rFonts w:hint="cs"/>
          <w:rtl/>
        </w:rPr>
        <w:t xml:space="preserve"> </w:t>
      </w:r>
      <w:r>
        <w:rPr>
          <w:rFonts w:ascii="Arial" w:hAnsi="Arial" w:hint="cs"/>
          <w:rtl/>
        </w:rPr>
        <w:t>על הכתוב (</w:t>
      </w:r>
      <w:r>
        <w:rPr>
          <w:rFonts w:ascii="Arial" w:hAnsi="Arial"/>
          <w:sz w:val="18"/>
          <w:szCs w:val="20"/>
          <w:rtl/>
        </w:rPr>
        <w:t>משלי כג</w:t>
      </w:r>
      <w:r>
        <w:rPr>
          <w:rFonts w:ascii="Arial" w:hAnsi="Arial" w:hint="cs"/>
          <w:sz w:val="18"/>
          <w:szCs w:val="20"/>
          <w:rtl/>
        </w:rPr>
        <w:t xml:space="preserve">, </w:t>
      </w:r>
      <w:r>
        <w:rPr>
          <w:rFonts w:ascii="Arial" w:hAnsi="Arial"/>
          <w:sz w:val="18"/>
          <w:szCs w:val="20"/>
          <w:rtl/>
        </w:rPr>
        <w:t>לד</w:t>
      </w:r>
      <w:r>
        <w:rPr>
          <w:rFonts w:ascii="Arial" w:hAnsi="Arial" w:hint="cs"/>
          <w:rtl/>
        </w:rPr>
        <w:t>): "</w:t>
      </w:r>
      <w:r>
        <w:rPr>
          <w:rFonts w:ascii="Arial" w:hAnsi="Arial"/>
          <w:rtl/>
        </w:rPr>
        <w:t>וְהָיִיתָ</w:t>
      </w:r>
      <w:r>
        <w:rPr>
          <w:rFonts w:ascii="Arial" w:hAnsi="Arial" w:hint="cs"/>
          <w:rtl/>
        </w:rPr>
        <w:t xml:space="preserve"> </w:t>
      </w:r>
      <w:r>
        <w:rPr>
          <w:rFonts w:ascii="Arial" w:hAnsi="Arial"/>
          <w:rtl/>
        </w:rPr>
        <w:t>כְּשֹׁכֵב בְּלֶב יָם</w:t>
      </w:r>
      <w:r>
        <w:rPr>
          <w:rFonts w:ascii="Arial" w:hAnsi="Arial" w:hint="cs"/>
          <w:rtl/>
        </w:rPr>
        <w:t>,</w:t>
      </w:r>
      <w:r>
        <w:rPr>
          <w:rFonts w:ascii="Arial" w:hAnsi="Arial"/>
          <w:rtl/>
        </w:rPr>
        <w:t xml:space="preserve"> וּכְשֹׁכֵב</w:t>
      </w:r>
      <w:r>
        <w:rPr>
          <w:rFonts w:ascii="Arial" w:hAnsi="Arial" w:hint="cs"/>
          <w:rtl/>
        </w:rPr>
        <w:t xml:space="preserve"> </w:t>
      </w:r>
      <w:r>
        <w:rPr>
          <w:rFonts w:ascii="Arial" w:hAnsi="Arial"/>
          <w:rtl/>
        </w:rPr>
        <w:t>בְּרֹאשׁ חִבֵּל</w:t>
      </w:r>
      <w:r>
        <w:rPr>
          <w:rFonts w:ascii="Arial" w:hAnsi="Arial" w:hint="cs"/>
          <w:rtl/>
        </w:rPr>
        <w:t>" דרשו: "</w:t>
      </w:r>
      <w:r>
        <w:rPr>
          <w:rFonts w:ascii="Arial" w:hAnsi="Arial"/>
          <w:rtl/>
        </w:rPr>
        <w:t>כהדא אילפא דדמכא ב</w:t>
      </w:r>
      <w:r>
        <w:rPr>
          <w:rFonts w:ascii="Arial" w:hAnsi="Arial"/>
          <w:b/>
          <w:bCs/>
          <w:rtl/>
        </w:rPr>
        <w:t xml:space="preserve">פילגוס </w:t>
      </w:r>
      <w:r>
        <w:rPr>
          <w:rFonts w:ascii="Arial" w:hAnsi="Arial"/>
          <w:rtl/>
        </w:rPr>
        <w:t>דימא</w:t>
      </w:r>
      <w:r>
        <w:rPr>
          <w:rFonts w:ascii="Arial" w:hAnsi="Arial" w:hint="cs"/>
          <w:rtl/>
        </w:rPr>
        <w:t>" (</w:t>
      </w:r>
      <w:r>
        <w:rPr>
          <w:rFonts w:ascii="Arial" w:hAnsi="Arial"/>
          <w:sz w:val="18"/>
          <w:szCs w:val="20"/>
          <w:rtl/>
        </w:rPr>
        <w:t>ויקרא רבה</w:t>
      </w:r>
      <w:r>
        <w:rPr>
          <w:rFonts w:ascii="Arial" w:hAnsi="Arial" w:hint="cs"/>
          <w:sz w:val="18"/>
          <w:szCs w:val="20"/>
          <w:rtl/>
        </w:rPr>
        <w:t xml:space="preserve"> </w:t>
      </w:r>
      <w:r>
        <w:rPr>
          <w:rFonts w:ascii="Arial" w:hAnsi="Arial"/>
          <w:sz w:val="18"/>
          <w:szCs w:val="20"/>
          <w:rtl/>
        </w:rPr>
        <w:t>פרשה יב</w:t>
      </w:r>
      <w:r>
        <w:rPr>
          <w:rFonts w:ascii="Arial" w:hAnsi="Arial" w:hint="cs"/>
          <w:sz w:val="18"/>
          <w:szCs w:val="20"/>
          <w:rtl/>
        </w:rPr>
        <w:t xml:space="preserve">; </w:t>
      </w:r>
      <w:r>
        <w:rPr>
          <w:rFonts w:ascii="Arial" w:hAnsi="Arial"/>
          <w:sz w:val="18"/>
          <w:szCs w:val="20"/>
          <w:rtl/>
        </w:rPr>
        <w:t>אסתר רבה</w:t>
      </w:r>
      <w:r>
        <w:rPr>
          <w:rFonts w:ascii="Arial" w:hAnsi="Arial" w:hint="cs"/>
          <w:sz w:val="18"/>
          <w:szCs w:val="20"/>
          <w:rtl/>
        </w:rPr>
        <w:t xml:space="preserve"> </w:t>
      </w:r>
      <w:r>
        <w:rPr>
          <w:rFonts w:ascii="Arial" w:hAnsi="Arial"/>
          <w:sz w:val="18"/>
          <w:szCs w:val="20"/>
          <w:rtl/>
        </w:rPr>
        <w:t>פרשה ה</w:t>
      </w:r>
      <w:r>
        <w:rPr>
          <w:rFonts w:ascii="Arial" w:hAnsi="Arial" w:hint="cs"/>
          <w:sz w:val="18"/>
          <w:szCs w:val="20"/>
          <w:rtl/>
        </w:rPr>
        <w:t>,</w:t>
      </w:r>
      <w:r>
        <w:rPr>
          <w:rFonts w:ascii="Arial" w:hAnsi="Arial"/>
          <w:sz w:val="18"/>
          <w:szCs w:val="20"/>
          <w:rtl/>
        </w:rPr>
        <w:t xml:space="preserve"> א</w:t>
      </w:r>
      <w:r>
        <w:rPr>
          <w:rFonts w:ascii="Arial" w:hAnsi="Arial" w:hint="cs"/>
          <w:rtl/>
        </w:rPr>
        <w:t>). כמו כן, מובא ב</w:t>
      </w:r>
      <w:r>
        <w:rPr>
          <w:rFonts w:ascii="Arial" w:hAnsi="Arial"/>
          <w:sz w:val="26"/>
          <w:rtl/>
        </w:rPr>
        <w:t>אוצר המדרשים (</w:t>
      </w:r>
      <w:r>
        <w:rPr>
          <w:rFonts w:ascii="Arial" w:hAnsi="Arial"/>
          <w:sz w:val="18"/>
          <w:szCs w:val="20"/>
          <w:rtl/>
        </w:rPr>
        <w:t>עמ</w:t>
      </w:r>
      <w:r>
        <w:rPr>
          <w:rFonts w:ascii="Arial" w:hAnsi="Arial" w:hint="cs"/>
          <w:sz w:val="18"/>
          <w:szCs w:val="20"/>
          <w:rtl/>
        </w:rPr>
        <w:t>'</w:t>
      </w:r>
      <w:r>
        <w:rPr>
          <w:rFonts w:ascii="Arial" w:hAnsi="Arial"/>
          <w:sz w:val="18"/>
          <w:szCs w:val="20"/>
          <w:rtl/>
        </w:rPr>
        <w:t xml:space="preserve"> רנ</w:t>
      </w:r>
      <w:r>
        <w:rPr>
          <w:rFonts w:ascii="Arial" w:hAnsi="Arial" w:hint="cs"/>
          <w:sz w:val="18"/>
          <w:szCs w:val="20"/>
          <w:rtl/>
        </w:rPr>
        <w:t>"</w:t>
      </w:r>
      <w:r>
        <w:rPr>
          <w:rFonts w:ascii="Arial" w:hAnsi="Arial"/>
          <w:sz w:val="18"/>
          <w:szCs w:val="20"/>
          <w:rtl/>
        </w:rPr>
        <w:t>ג</w:t>
      </w:r>
      <w:r>
        <w:rPr>
          <w:rFonts w:ascii="Arial" w:hAnsi="Arial" w:hint="cs"/>
          <w:sz w:val="26"/>
          <w:rtl/>
        </w:rPr>
        <w:t>) "</w:t>
      </w:r>
      <w:r>
        <w:rPr>
          <w:rFonts w:ascii="Arial" w:hAnsi="Arial"/>
          <w:sz w:val="26"/>
          <w:rtl/>
        </w:rPr>
        <w:t>וקרא לארץ ועמדה במקומה כדי שלא תזוז לא לכאן ולא לכאן</w:t>
      </w:r>
      <w:r>
        <w:rPr>
          <w:rFonts w:ascii="Arial" w:hAnsi="Arial" w:hint="cs"/>
          <w:sz w:val="26"/>
          <w:rtl/>
        </w:rPr>
        <w:t>,</w:t>
      </w:r>
      <w:r>
        <w:rPr>
          <w:rFonts w:ascii="Arial" w:hAnsi="Arial"/>
          <w:sz w:val="26"/>
          <w:rtl/>
        </w:rPr>
        <w:t xml:space="preserve"> כאניה בפלגוס</w:t>
      </w:r>
      <w:r>
        <w:rPr>
          <w:rFonts w:ascii="Arial" w:hAnsi="Arial" w:hint="cs"/>
          <w:sz w:val="26"/>
          <w:rtl/>
        </w:rPr>
        <w:t>". על הכתוב "</w:t>
      </w:r>
      <w:r>
        <w:rPr>
          <w:rFonts w:ascii="Arial" w:hAnsi="Arial"/>
          <w:sz w:val="26"/>
          <w:rtl/>
        </w:rPr>
        <w:t>עֵת לִשְׁמוֹר וְעֵת לְהַשְׁלִיךְ</w:t>
      </w:r>
      <w:r>
        <w:rPr>
          <w:rFonts w:ascii="Arial" w:hAnsi="Arial" w:hint="cs"/>
          <w:sz w:val="26"/>
          <w:rtl/>
        </w:rPr>
        <w:t>" (</w:t>
      </w:r>
      <w:r>
        <w:rPr>
          <w:rFonts w:ascii="Arial" w:hAnsi="Arial"/>
          <w:sz w:val="18"/>
          <w:szCs w:val="20"/>
          <w:rtl/>
        </w:rPr>
        <w:t>קהלת ג</w:t>
      </w:r>
      <w:r>
        <w:rPr>
          <w:rFonts w:ascii="Arial" w:hAnsi="Arial" w:hint="cs"/>
          <w:sz w:val="18"/>
          <w:szCs w:val="20"/>
          <w:rtl/>
        </w:rPr>
        <w:t xml:space="preserve">, </w:t>
      </w:r>
      <w:r>
        <w:rPr>
          <w:rFonts w:ascii="Arial" w:hAnsi="Arial"/>
          <w:sz w:val="18"/>
          <w:szCs w:val="20"/>
          <w:rtl/>
        </w:rPr>
        <w:t>ו</w:t>
      </w:r>
      <w:r>
        <w:rPr>
          <w:rFonts w:ascii="Arial" w:hAnsi="Arial" w:hint="cs"/>
          <w:sz w:val="26"/>
          <w:rtl/>
        </w:rPr>
        <w:t>) מובא ב</w:t>
      </w:r>
      <w:r>
        <w:rPr>
          <w:rFonts w:ascii="Arial" w:hAnsi="Arial"/>
          <w:sz w:val="26"/>
          <w:rtl/>
        </w:rPr>
        <w:t>קהלת רבה (</w:t>
      </w:r>
      <w:r>
        <w:rPr>
          <w:rFonts w:ascii="Arial" w:hAnsi="Arial"/>
          <w:sz w:val="18"/>
          <w:szCs w:val="20"/>
          <w:rtl/>
        </w:rPr>
        <w:t>פרשה ג</w:t>
      </w:r>
      <w:r>
        <w:rPr>
          <w:rFonts w:ascii="Arial" w:hAnsi="Arial" w:hint="cs"/>
          <w:sz w:val="18"/>
          <w:szCs w:val="20"/>
          <w:rtl/>
        </w:rPr>
        <w:t>'</w:t>
      </w:r>
      <w:r>
        <w:rPr>
          <w:rFonts w:ascii="Arial" w:hAnsi="Arial" w:hint="cs"/>
          <w:sz w:val="26"/>
          <w:rtl/>
        </w:rPr>
        <w:t>) מעשה בסוחר ובנו שבחכמתו השליך את אוצרו לים, מחמת המלחים שזממו: "</w:t>
      </w:r>
      <w:r>
        <w:rPr>
          <w:rFonts w:ascii="Arial" w:hAnsi="Arial"/>
          <w:sz w:val="26"/>
          <w:rtl/>
        </w:rPr>
        <w:t xml:space="preserve">כד עללין אנא </w:t>
      </w:r>
      <w:r>
        <w:rPr>
          <w:rFonts w:ascii="Arial" w:hAnsi="Arial"/>
          <w:b/>
          <w:bCs/>
          <w:sz w:val="26"/>
          <w:rtl/>
        </w:rPr>
        <w:t>לפילגוס</w:t>
      </w:r>
      <w:r>
        <w:rPr>
          <w:rFonts w:ascii="Arial" w:hAnsi="Arial" w:hint="cs"/>
          <w:sz w:val="26"/>
          <w:rtl/>
        </w:rPr>
        <w:t xml:space="preserve">, </w:t>
      </w:r>
      <w:r>
        <w:rPr>
          <w:rFonts w:ascii="Arial" w:hAnsi="Arial"/>
          <w:sz w:val="26"/>
          <w:rtl/>
        </w:rPr>
        <w:t>אנן קטלין לון ומשליכין לון ל</w:t>
      </w:r>
      <w:r>
        <w:rPr>
          <w:rFonts w:ascii="Arial" w:hAnsi="Arial" w:hint="cs"/>
          <w:sz w:val="26"/>
          <w:rtl/>
        </w:rPr>
        <w:t>ְ</w:t>
      </w:r>
      <w:r>
        <w:rPr>
          <w:rFonts w:ascii="Arial" w:hAnsi="Arial"/>
          <w:sz w:val="26"/>
          <w:rtl/>
        </w:rPr>
        <w:t>ימא</w:t>
      </w:r>
      <w:r>
        <w:rPr>
          <w:rFonts w:ascii="Arial" w:hAnsi="Arial" w:hint="cs"/>
          <w:sz w:val="26"/>
          <w:rtl/>
        </w:rPr>
        <w:t>,</w:t>
      </w:r>
      <w:r>
        <w:rPr>
          <w:rFonts w:ascii="Arial" w:hAnsi="Arial"/>
          <w:sz w:val="26"/>
          <w:rtl/>
        </w:rPr>
        <w:t xml:space="preserve"> ונסבין הדין מודליה דדינרין מיניה</w:t>
      </w:r>
      <w:r>
        <w:rPr>
          <w:rFonts w:ascii="Arial" w:hAnsi="Arial" w:hint="cs"/>
          <w:sz w:val="26"/>
          <w:rtl/>
        </w:rPr>
        <w:t>" (</w:t>
      </w:r>
      <w:r>
        <w:rPr>
          <w:rFonts w:ascii="Arial" w:hAnsi="Arial" w:hint="cs"/>
          <w:sz w:val="18"/>
          <w:szCs w:val="20"/>
          <w:rtl/>
        </w:rPr>
        <w:t>=</w:t>
      </w:r>
      <w:r>
        <w:rPr>
          <w:rFonts w:ascii="Arial" w:hAnsi="Arial" w:hint="cs"/>
          <w:sz w:val="26"/>
          <w:rtl/>
        </w:rPr>
        <w:t>"</w:t>
      </w:r>
      <w:r>
        <w:rPr>
          <w:rFonts w:ascii="Arial" w:hAnsi="Arial"/>
          <w:sz w:val="26"/>
          <w:rtl/>
        </w:rPr>
        <w:t>כאשר נהיה ב</w:t>
      </w:r>
      <w:r>
        <w:rPr>
          <w:rFonts w:ascii="Arial" w:hAnsi="Arial"/>
          <w:b/>
          <w:bCs/>
          <w:sz w:val="26"/>
          <w:rtl/>
        </w:rPr>
        <w:t>לב הים</w:t>
      </w:r>
      <w:r>
        <w:rPr>
          <w:rFonts w:ascii="Arial" w:hAnsi="Arial"/>
          <w:sz w:val="26"/>
          <w:rtl/>
        </w:rPr>
        <w:t>, נשליך האיש בים</w:t>
      </w:r>
      <w:r>
        <w:rPr>
          <w:rFonts w:ascii="Arial" w:hAnsi="Arial" w:hint="cs"/>
          <w:sz w:val="26"/>
          <w:rtl/>
        </w:rPr>
        <w:t xml:space="preserve">, </w:t>
      </w:r>
      <w:r>
        <w:rPr>
          <w:rFonts w:ascii="Arial" w:hAnsi="Arial"/>
          <w:sz w:val="26"/>
          <w:rtl/>
        </w:rPr>
        <w:t>ונקח הארגז ממנו</w:t>
      </w:r>
      <w:r>
        <w:rPr>
          <w:rFonts w:ascii="Arial" w:hAnsi="Arial" w:hint="cs"/>
          <w:sz w:val="26"/>
          <w:rtl/>
        </w:rPr>
        <w:t>"</w:t>
      </w:r>
      <w:r>
        <w:rPr>
          <w:rFonts w:ascii="Arial" w:hAnsi="Arial" w:hint="cs"/>
          <w:szCs w:val="20"/>
          <w:rtl/>
        </w:rPr>
        <w:t>; שו</w:t>
      </w:r>
      <w:r>
        <w:rPr>
          <w:rFonts w:ascii="Arial" w:hAnsi="Arial" w:hint="cs"/>
          <w:sz w:val="18"/>
          <w:szCs w:val="20"/>
          <w:rtl/>
        </w:rPr>
        <w:t xml:space="preserve">"ת </w:t>
      </w:r>
      <w:r>
        <w:rPr>
          <w:rFonts w:ascii="Arial" w:hAnsi="Arial"/>
          <w:sz w:val="18"/>
          <w:szCs w:val="20"/>
          <w:rtl/>
        </w:rPr>
        <w:t>ריב"ש</w:t>
      </w:r>
      <w:r>
        <w:rPr>
          <w:rFonts w:ascii="Arial" w:hAnsi="Arial" w:hint="cs"/>
          <w:sz w:val="18"/>
          <w:szCs w:val="20"/>
          <w:rtl/>
        </w:rPr>
        <w:t xml:space="preserve"> </w:t>
      </w:r>
      <w:r>
        <w:rPr>
          <w:rFonts w:ascii="Arial" w:hAnsi="Arial"/>
          <w:sz w:val="18"/>
          <w:szCs w:val="20"/>
          <w:rtl/>
        </w:rPr>
        <w:t>תמ</w:t>
      </w:r>
      <w:r>
        <w:rPr>
          <w:rFonts w:ascii="Arial" w:hAnsi="Arial" w:hint="cs"/>
          <w:sz w:val="18"/>
          <w:szCs w:val="20"/>
          <w:rtl/>
        </w:rPr>
        <w:t>"</w:t>
      </w:r>
      <w:r>
        <w:rPr>
          <w:rFonts w:ascii="Arial" w:hAnsi="Arial"/>
          <w:sz w:val="18"/>
          <w:szCs w:val="20"/>
          <w:rtl/>
        </w:rPr>
        <w:t>ב</w:t>
      </w:r>
      <w:r>
        <w:rPr>
          <w:rFonts w:ascii="Arial" w:hAnsi="Arial" w:hint="cs"/>
          <w:sz w:val="26"/>
          <w:rtl/>
        </w:rPr>
        <w:t>).</w:t>
      </w:r>
    </w:p>
  </w:footnote>
  <w:footnote w:id="454">
    <w:p w14:paraId="08F68C25" w14:textId="77777777" w:rsidR="002B4B31" w:rsidRDefault="002B4B31" w:rsidP="002B4B31">
      <w:pPr>
        <w:pStyle w:val="a5"/>
        <w:rPr>
          <w:rtl/>
        </w:rPr>
      </w:pPr>
      <w:r>
        <w:rPr>
          <w:rStyle w:val="a4"/>
        </w:rPr>
        <w:footnoteRef/>
      </w:r>
      <w:r>
        <w:rPr>
          <w:rFonts w:hint="cs"/>
          <w:rtl/>
        </w:rPr>
        <w:t xml:space="preserve"> </w:t>
      </w:r>
      <w:r>
        <w:rPr>
          <w:rFonts w:ascii="Arial" w:hAnsi="Arial" w:hint="cs"/>
          <w:rtl/>
        </w:rPr>
        <w:t>ההַאֲנָשָׁה "</w:t>
      </w:r>
      <w:r>
        <w:rPr>
          <w:rFonts w:ascii="Arial" w:hAnsi="Arial"/>
          <w:rtl/>
        </w:rPr>
        <w:t>לֶב יָם</w:t>
      </w:r>
      <w:r>
        <w:rPr>
          <w:rFonts w:ascii="Arial" w:hAnsi="Arial" w:hint="cs"/>
          <w:rtl/>
        </w:rPr>
        <w:t>" או "</w:t>
      </w:r>
      <w:r>
        <w:rPr>
          <w:rFonts w:ascii="Arial" w:hAnsi="Arial"/>
          <w:rtl/>
        </w:rPr>
        <w:t>לֵב יַמִּים</w:t>
      </w:r>
      <w:r>
        <w:rPr>
          <w:rFonts w:ascii="Arial" w:hAnsi="Arial" w:hint="cs"/>
          <w:rtl/>
        </w:rPr>
        <w:t>", נחלקו תרגומי המקרא הארמיים כיצד לתרגמה, כמבואר להלן (</w:t>
      </w:r>
      <w:r>
        <w:rPr>
          <w:rFonts w:ascii="Arial" w:hAnsi="Arial"/>
          <w:sz w:val="18"/>
          <w:szCs w:val="20"/>
          <w:rtl/>
        </w:rPr>
        <w:t>פג</w:t>
      </w:r>
      <w:r>
        <w:rPr>
          <w:rFonts w:ascii="Arial" w:hAnsi="Arial" w:hint="cs"/>
          <w:sz w:val="18"/>
          <w:szCs w:val="20"/>
          <w:rtl/>
        </w:rPr>
        <w:t>,</w:t>
      </w:r>
      <w:r>
        <w:rPr>
          <w:rFonts w:ascii="Arial" w:hAnsi="Arial"/>
          <w:sz w:val="18"/>
          <w:szCs w:val="20"/>
          <w:rtl/>
        </w:rPr>
        <w:t xml:space="preserve"> ב</w:t>
      </w:r>
      <w:r>
        <w:rPr>
          <w:rFonts w:ascii="Arial" w:hAnsi="Arial" w:hint="cs"/>
          <w:rtl/>
        </w:rPr>
        <w:t>):</w:t>
      </w:r>
      <w:r>
        <w:rPr>
          <w:rFonts w:ascii="Arial" w:hAnsi="Arial"/>
          <w:rtl/>
        </w:rPr>
        <w:t xml:space="preserve"> </w:t>
      </w:r>
      <w:r>
        <w:rPr>
          <w:rFonts w:ascii="Arial" w:hAnsi="Arial" w:hint="cs"/>
          <w:rtl/>
        </w:rPr>
        <w:t>בניגוד ל</w:t>
      </w:r>
      <w:r>
        <w:rPr>
          <w:rFonts w:ascii="Arial" w:hAnsi="Arial"/>
          <w:rtl/>
        </w:rPr>
        <w:t xml:space="preserve">אונקלוס </w:t>
      </w:r>
      <w:r>
        <w:rPr>
          <w:rFonts w:ascii="Arial" w:hAnsi="Arial" w:hint="cs"/>
          <w:rtl/>
        </w:rPr>
        <w:t>המשאיר הַאֲנָשָׁה זו על כנה, תרגום התורה המכונה "יונתן" (</w:t>
      </w:r>
      <w:r>
        <w:rPr>
          <w:rFonts w:ascii="Arial" w:hAnsi="Arial" w:hint="cs"/>
          <w:sz w:val="18"/>
          <w:szCs w:val="20"/>
          <w:rtl/>
        </w:rPr>
        <w:t>ראה להלן</w:t>
      </w:r>
      <w:r>
        <w:rPr>
          <w:rFonts w:ascii="Arial" w:hAnsi="Arial"/>
          <w:sz w:val="18"/>
          <w:szCs w:val="20"/>
          <w:rtl/>
        </w:rPr>
        <w:t xml:space="preserve"> דף </w:t>
      </w:r>
      <w:r>
        <w:rPr>
          <w:rFonts w:ascii="Arial" w:hAnsi="Arial" w:hint="cs"/>
          <w:sz w:val="18"/>
          <w:szCs w:val="20"/>
          <w:rtl/>
        </w:rPr>
        <w:t xml:space="preserve">כח, </w:t>
      </w:r>
      <w:r>
        <w:rPr>
          <w:rFonts w:ascii="Arial" w:hAnsi="Arial"/>
          <w:sz w:val="18"/>
          <w:szCs w:val="20"/>
          <w:rtl/>
        </w:rPr>
        <w:t>א</w:t>
      </w:r>
      <w:r>
        <w:rPr>
          <w:rFonts w:ascii="Arial" w:hAnsi="Arial" w:hint="cs"/>
          <w:rtl/>
        </w:rPr>
        <w:t>) תִרגם ביטוי זה ללא הַשְאָלָה: "</w:t>
      </w:r>
      <w:r>
        <w:rPr>
          <w:rFonts w:ascii="Arial" w:hAnsi="Arial"/>
          <w:rtl/>
        </w:rPr>
        <w:t>ב</w:t>
      </w:r>
      <w:r>
        <w:rPr>
          <w:rFonts w:ascii="Arial" w:hAnsi="Arial" w:hint="cs"/>
          <w:rtl/>
        </w:rPr>
        <w:t xml:space="preserve">ְּגוֹ </w:t>
      </w:r>
      <w:r>
        <w:rPr>
          <w:rFonts w:ascii="Arial" w:hAnsi="Arial"/>
          <w:rtl/>
        </w:rPr>
        <w:t>פ</w:t>
      </w:r>
      <w:r>
        <w:rPr>
          <w:rFonts w:ascii="Arial" w:hAnsi="Arial" w:hint="cs"/>
          <w:rtl/>
        </w:rPr>
        <w:t>ִי</w:t>
      </w:r>
      <w:r>
        <w:rPr>
          <w:rFonts w:ascii="Arial" w:hAnsi="Arial"/>
          <w:rtl/>
        </w:rPr>
        <w:t>ל</w:t>
      </w:r>
      <w:r>
        <w:rPr>
          <w:rFonts w:ascii="Arial" w:hAnsi="Arial" w:hint="cs"/>
          <w:rtl/>
        </w:rPr>
        <w:t>ְ</w:t>
      </w:r>
      <w:r>
        <w:rPr>
          <w:rFonts w:ascii="Arial" w:hAnsi="Arial"/>
          <w:rtl/>
        </w:rPr>
        <w:t>גו</w:t>
      </w:r>
      <w:r>
        <w:rPr>
          <w:rFonts w:ascii="Arial" w:hAnsi="Arial" w:hint="cs"/>
          <w:rtl/>
        </w:rPr>
        <w:t>ּס</w:t>
      </w:r>
      <w:r>
        <w:rPr>
          <w:rFonts w:ascii="Arial" w:hAnsi="Arial"/>
          <w:rtl/>
        </w:rPr>
        <w:t xml:space="preserve"> ד</w:t>
      </w:r>
      <w:r>
        <w:rPr>
          <w:rFonts w:ascii="Arial" w:hAnsi="Arial" w:hint="cs"/>
          <w:rtl/>
        </w:rPr>
        <w:t>ְּ</w:t>
      </w:r>
      <w:r>
        <w:rPr>
          <w:rFonts w:ascii="Arial" w:hAnsi="Arial"/>
          <w:rtl/>
        </w:rPr>
        <w:t>י</w:t>
      </w:r>
      <w:r>
        <w:rPr>
          <w:rFonts w:ascii="Arial" w:hAnsi="Arial" w:hint="cs"/>
          <w:rtl/>
        </w:rPr>
        <w:t>ַ</w:t>
      </w:r>
      <w:r>
        <w:rPr>
          <w:rFonts w:ascii="Arial" w:hAnsi="Arial"/>
          <w:rtl/>
        </w:rPr>
        <w:t>מ</w:t>
      </w:r>
      <w:r>
        <w:rPr>
          <w:rFonts w:ascii="Arial" w:hAnsi="Arial" w:hint="cs"/>
          <w:rtl/>
        </w:rPr>
        <w:t>ָּ</w:t>
      </w:r>
      <w:r>
        <w:rPr>
          <w:rFonts w:ascii="Arial" w:hAnsi="Arial"/>
          <w:rtl/>
        </w:rPr>
        <w:t>א ר</w:t>
      </w:r>
      <w:r>
        <w:rPr>
          <w:rFonts w:ascii="Arial" w:hAnsi="Arial" w:hint="cs"/>
          <w:rtl/>
        </w:rPr>
        <w:t>ַ</w:t>
      </w:r>
      <w:r>
        <w:rPr>
          <w:rFonts w:ascii="Arial" w:hAnsi="Arial"/>
          <w:rtl/>
        </w:rPr>
        <w:t>ב</w:t>
      </w:r>
      <w:r>
        <w:rPr>
          <w:rFonts w:ascii="Arial" w:hAnsi="Arial" w:hint="cs"/>
          <w:rtl/>
        </w:rPr>
        <w:t>ָּ</w:t>
      </w:r>
      <w:r>
        <w:rPr>
          <w:rFonts w:ascii="Arial" w:hAnsi="Arial"/>
          <w:rtl/>
        </w:rPr>
        <w:t>א</w:t>
      </w:r>
      <w:r>
        <w:rPr>
          <w:rFonts w:ascii="Arial" w:hAnsi="Arial" w:hint="cs"/>
          <w:rtl/>
        </w:rPr>
        <w:t>" (</w:t>
      </w:r>
      <w:r>
        <w:rPr>
          <w:rFonts w:ascii="Arial" w:hAnsi="Arial"/>
          <w:sz w:val="18"/>
          <w:szCs w:val="20"/>
          <w:rtl/>
        </w:rPr>
        <w:t>שמות טו</w:t>
      </w:r>
      <w:r>
        <w:rPr>
          <w:rFonts w:ascii="Arial" w:hAnsi="Arial" w:hint="cs"/>
          <w:sz w:val="18"/>
          <w:szCs w:val="20"/>
          <w:rtl/>
        </w:rPr>
        <w:t xml:space="preserve">, </w:t>
      </w:r>
      <w:r>
        <w:rPr>
          <w:rFonts w:ascii="Arial" w:hAnsi="Arial"/>
          <w:sz w:val="18"/>
          <w:szCs w:val="20"/>
          <w:rtl/>
        </w:rPr>
        <w:t>ח</w:t>
      </w:r>
      <w:r>
        <w:rPr>
          <w:rFonts w:ascii="Arial" w:hAnsi="Arial" w:hint="cs"/>
          <w:sz w:val="18"/>
          <w:szCs w:val="20"/>
          <w:rtl/>
        </w:rPr>
        <w:t>; הניקוד ע"פ מהדורת מקראות גדולות הרווחת</w:t>
      </w:r>
      <w:r>
        <w:rPr>
          <w:rFonts w:ascii="Arial" w:hAnsi="Arial" w:hint="cs"/>
          <w:rtl/>
        </w:rPr>
        <w:t>), ודומה לו ב</w:t>
      </w:r>
      <w:r>
        <w:rPr>
          <w:rFonts w:ascii="Arial" w:hAnsi="Arial" w:hint="cs"/>
          <w:sz w:val="26"/>
          <w:rtl/>
        </w:rPr>
        <w:t xml:space="preserve">תרגום ירושלמי השלם (כתב יד </w:t>
      </w:r>
      <w:r>
        <w:rPr>
          <w:rFonts w:ascii="Arial" w:hAnsi="Arial"/>
          <w:sz w:val="26"/>
          <w:rtl/>
        </w:rPr>
        <w:t>ניאופיטי</w:t>
      </w:r>
      <w:r>
        <w:rPr>
          <w:rFonts w:ascii="Arial" w:hAnsi="Arial" w:hint="cs"/>
          <w:sz w:val="26"/>
          <w:rtl/>
        </w:rPr>
        <w:t xml:space="preserve">; אף הוא </w:t>
      </w:r>
      <w:r>
        <w:rPr>
          <w:rFonts w:ascii="Arial" w:hAnsi="Arial" w:hint="cs"/>
          <w:rtl/>
        </w:rPr>
        <w:t>תרגום ארמי ארץ-ישראלי):</w:t>
      </w:r>
      <w:r>
        <w:rPr>
          <w:rFonts w:ascii="Arial" w:hAnsi="Arial"/>
          <w:rtl/>
        </w:rPr>
        <w:t xml:space="preserve"> "בפלגית דימא רבא"</w:t>
      </w:r>
      <w:r>
        <w:rPr>
          <w:rFonts w:ascii="Arial" w:hAnsi="Arial" w:hint="cs"/>
          <w:rtl/>
        </w:rPr>
        <w:t>.</w:t>
      </w:r>
    </w:p>
  </w:footnote>
  <w:footnote w:id="455">
    <w:p w14:paraId="756B1392" w14:textId="77777777" w:rsidR="002B4B31" w:rsidRDefault="002B4B31" w:rsidP="002B4B31">
      <w:pPr>
        <w:pStyle w:val="a5"/>
        <w:rPr>
          <w:rFonts w:hint="cs"/>
          <w:rtl/>
        </w:rPr>
      </w:pPr>
      <w:r>
        <w:rPr>
          <w:rStyle w:val="a4"/>
        </w:rPr>
        <w:footnoteRef/>
      </w:r>
      <w:r>
        <w:rPr>
          <w:rFonts w:hint="cs"/>
          <w:rtl/>
        </w:rPr>
        <w:t xml:space="preserve"> </w:t>
      </w:r>
      <w:r>
        <w:rPr>
          <w:rFonts w:ascii="Arial" w:hAnsi="Arial" w:hint="cs"/>
          <w:rtl/>
        </w:rPr>
        <w:t>תרגום תהלים (</w:t>
      </w:r>
      <w:r>
        <w:rPr>
          <w:rFonts w:ascii="Arial" w:hAnsi="Arial" w:hint="cs"/>
          <w:sz w:val="18"/>
          <w:szCs w:val="20"/>
          <w:rtl/>
        </w:rPr>
        <w:t>מו, ג; הניקוד ע"פ מהדורת הכתר</w:t>
      </w:r>
      <w:r>
        <w:rPr>
          <w:rFonts w:ascii="Arial" w:hAnsi="Arial" w:hint="cs"/>
          <w:rtl/>
        </w:rPr>
        <w:t>): "</w:t>
      </w:r>
      <w:r>
        <w:rPr>
          <w:rFonts w:ascii="Arial" w:hAnsi="Arial"/>
          <w:rtl/>
        </w:rPr>
        <w:t>ב</w:t>
      </w:r>
      <w:r>
        <w:rPr>
          <w:rFonts w:ascii="Arial" w:hAnsi="Arial" w:hint="cs"/>
          <w:rtl/>
        </w:rPr>
        <w:t>ְּ</w:t>
      </w:r>
      <w:r>
        <w:rPr>
          <w:rFonts w:ascii="Arial" w:hAnsi="Arial"/>
          <w:rtl/>
        </w:rPr>
        <w:t>פ</w:t>
      </w:r>
      <w:r>
        <w:rPr>
          <w:rFonts w:ascii="Arial" w:hAnsi="Arial" w:hint="cs"/>
          <w:rtl/>
        </w:rPr>
        <w:t>ֵי</w:t>
      </w:r>
      <w:r>
        <w:rPr>
          <w:rFonts w:ascii="Arial" w:hAnsi="Arial"/>
          <w:rtl/>
        </w:rPr>
        <w:t>ל</w:t>
      </w:r>
      <w:r>
        <w:rPr>
          <w:rFonts w:ascii="Arial" w:hAnsi="Arial" w:hint="cs"/>
          <w:rtl/>
        </w:rPr>
        <w:t>ָ</w:t>
      </w:r>
      <w:r>
        <w:rPr>
          <w:rFonts w:ascii="Arial" w:hAnsi="Arial"/>
          <w:rtl/>
        </w:rPr>
        <w:t>גו</w:t>
      </w:r>
      <w:r>
        <w:rPr>
          <w:rFonts w:ascii="Arial" w:hAnsi="Arial" w:hint="cs"/>
          <w:rtl/>
        </w:rPr>
        <w:t>ֹס</w:t>
      </w:r>
      <w:r>
        <w:rPr>
          <w:rFonts w:ascii="Arial" w:hAnsi="Arial"/>
          <w:rtl/>
        </w:rPr>
        <w:t xml:space="preserve"> ד</w:t>
      </w:r>
      <w:r>
        <w:rPr>
          <w:rFonts w:ascii="Arial" w:hAnsi="Arial" w:hint="cs"/>
          <w:rtl/>
        </w:rPr>
        <w:t>ְּ</w:t>
      </w:r>
      <w:r>
        <w:rPr>
          <w:rFonts w:ascii="Arial" w:hAnsi="Arial"/>
          <w:rtl/>
        </w:rPr>
        <w:t>י</w:t>
      </w:r>
      <w:r>
        <w:rPr>
          <w:rFonts w:ascii="Arial" w:hAnsi="Arial" w:hint="cs"/>
          <w:rtl/>
        </w:rPr>
        <w:t>ַ</w:t>
      </w:r>
      <w:r>
        <w:rPr>
          <w:rFonts w:ascii="Arial" w:hAnsi="Arial"/>
          <w:rtl/>
        </w:rPr>
        <w:t>מ</w:t>
      </w:r>
      <w:r>
        <w:rPr>
          <w:rFonts w:ascii="Arial" w:hAnsi="Arial" w:hint="cs"/>
          <w:rtl/>
        </w:rPr>
        <w:t>ָּ</w:t>
      </w:r>
      <w:r>
        <w:rPr>
          <w:rFonts w:ascii="Arial" w:hAnsi="Arial"/>
          <w:rtl/>
        </w:rPr>
        <w:t>א ר</w:t>
      </w:r>
      <w:r>
        <w:rPr>
          <w:rFonts w:ascii="Arial" w:hAnsi="Arial" w:hint="cs"/>
          <w:rtl/>
        </w:rPr>
        <w:t>ַ</w:t>
      </w:r>
      <w:r>
        <w:rPr>
          <w:rFonts w:ascii="Arial" w:hAnsi="Arial"/>
          <w:rtl/>
        </w:rPr>
        <w:t>ב</w:t>
      </w:r>
      <w:r>
        <w:rPr>
          <w:rFonts w:ascii="Arial" w:hAnsi="Arial" w:hint="cs"/>
          <w:rtl/>
        </w:rPr>
        <w:t>ָּ</w:t>
      </w:r>
      <w:r>
        <w:rPr>
          <w:rFonts w:ascii="Arial" w:hAnsi="Arial"/>
          <w:rtl/>
        </w:rPr>
        <w:t>א</w:t>
      </w:r>
      <w:r>
        <w:rPr>
          <w:rFonts w:ascii="Arial" w:hAnsi="Arial" w:hint="cs"/>
          <w:rtl/>
        </w:rPr>
        <w:t>".</w:t>
      </w:r>
    </w:p>
  </w:footnote>
  <w:footnote w:id="456">
    <w:p w14:paraId="27DAC7B8" w14:textId="77777777" w:rsidR="002B4B31" w:rsidRDefault="002B4B31" w:rsidP="002B4B31">
      <w:pPr>
        <w:pStyle w:val="a5"/>
        <w:rPr>
          <w:rFonts w:hint="cs"/>
          <w:rtl/>
        </w:rPr>
      </w:pPr>
      <w:r>
        <w:rPr>
          <w:rStyle w:val="a4"/>
        </w:rPr>
        <w:footnoteRef/>
      </w:r>
      <w:r>
        <w:rPr>
          <w:rFonts w:hint="cs"/>
          <w:rtl/>
        </w:rPr>
        <w:t xml:space="preserve"> </w:t>
      </w:r>
      <w:r>
        <w:rPr>
          <w:rFonts w:ascii="Arial" w:hAnsi="Arial" w:hint="cs"/>
          <w:rtl/>
        </w:rPr>
        <w:t>"</w:t>
      </w:r>
      <w:r>
        <w:rPr>
          <w:rFonts w:ascii="Arial" w:hAnsi="Arial"/>
          <w:rtl/>
        </w:rPr>
        <w:t>פֶּלַגוֹס</w:t>
      </w:r>
      <w:r>
        <w:rPr>
          <w:rFonts w:ascii="Arial" w:hAnsi="Arial" w:hint="cs"/>
          <w:rtl/>
        </w:rPr>
        <w:t>"</w:t>
      </w:r>
      <w:r>
        <w:rPr>
          <w:rFonts w:ascii="Arial" w:hAnsi="Arial"/>
          <w:rtl/>
        </w:rPr>
        <w:t xml:space="preserve"> ביוונית </w:t>
      </w:r>
      <w:r>
        <w:rPr>
          <w:rFonts w:ascii="Arial" w:hAnsi="Arial" w:hint="cs"/>
          <w:rtl/>
        </w:rPr>
        <w:t xml:space="preserve">היא </w:t>
      </w:r>
      <w:r>
        <w:rPr>
          <w:rFonts w:ascii="Arial" w:hAnsi="Arial"/>
          <w:rtl/>
        </w:rPr>
        <w:t xml:space="preserve">מילה ספרותית </w:t>
      </w:r>
      <w:r>
        <w:rPr>
          <w:rFonts w:ascii="Arial" w:hAnsi="Arial" w:hint="cs"/>
          <w:rtl/>
        </w:rPr>
        <w:t xml:space="preserve">לעומק הים המופלג מהיבשה, </w:t>
      </w:r>
      <w:r>
        <w:rPr>
          <w:rFonts w:ascii="Arial" w:hAnsi="Arial"/>
          <w:rtl/>
        </w:rPr>
        <w:t>לים הגדול</w:t>
      </w:r>
      <w:r>
        <w:rPr>
          <w:rFonts w:ascii="Arial" w:hAnsi="Arial" w:hint="cs"/>
          <w:rtl/>
        </w:rPr>
        <w:t>. לפעמים היא משמשת כביטוי מושאל לכמות אדירה, בדומה ל"ים" בביטויים העבריים:</w:t>
      </w:r>
      <w:r>
        <w:rPr>
          <w:rFonts w:ascii="Arial" w:hAnsi="Arial"/>
          <w:rtl/>
        </w:rPr>
        <w:t xml:space="preserve"> </w:t>
      </w:r>
      <w:r>
        <w:rPr>
          <w:rFonts w:ascii="Arial" w:hAnsi="Arial" w:hint="cs"/>
          <w:rtl/>
        </w:rPr>
        <w:t>"</w:t>
      </w:r>
      <w:r>
        <w:rPr>
          <w:rFonts w:ascii="Arial" w:hAnsi="Arial"/>
          <w:rtl/>
        </w:rPr>
        <w:t>גָדוֹל כַּיָּם שִׁבְרֵךְ</w:t>
      </w:r>
      <w:r>
        <w:rPr>
          <w:rFonts w:ascii="Arial" w:hAnsi="Arial" w:hint="cs"/>
          <w:rtl/>
        </w:rPr>
        <w:t>" (</w:t>
      </w:r>
      <w:r>
        <w:rPr>
          <w:rFonts w:ascii="Arial" w:hAnsi="Arial"/>
          <w:sz w:val="18"/>
          <w:szCs w:val="20"/>
          <w:rtl/>
        </w:rPr>
        <w:t>איכה ב</w:t>
      </w:r>
      <w:r>
        <w:rPr>
          <w:rFonts w:ascii="Arial" w:hAnsi="Arial" w:hint="cs"/>
          <w:sz w:val="18"/>
          <w:szCs w:val="20"/>
          <w:rtl/>
        </w:rPr>
        <w:t xml:space="preserve">, </w:t>
      </w:r>
      <w:r>
        <w:rPr>
          <w:rFonts w:ascii="Arial" w:hAnsi="Arial"/>
          <w:sz w:val="18"/>
          <w:szCs w:val="20"/>
          <w:rtl/>
        </w:rPr>
        <w:t>יג</w:t>
      </w:r>
      <w:r>
        <w:rPr>
          <w:rFonts w:ascii="Arial" w:hAnsi="Arial" w:hint="cs"/>
          <w:rtl/>
        </w:rPr>
        <w:t>), "</w:t>
      </w:r>
      <w:r>
        <w:rPr>
          <w:rFonts w:ascii="Arial" w:hAnsi="Arial"/>
          <w:rtl/>
        </w:rPr>
        <w:t>ט</w:t>
      </w:r>
      <w:r>
        <w:rPr>
          <w:rFonts w:ascii="Arial" w:hAnsi="Arial" w:hint="cs"/>
          <w:rtl/>
        </w:rPr>
        <w:t>ִ</w:t>
      </w:r>
      <w:r>
        <w:rPr>
          <w:rFonts w:ascii="Arial" w:hAnsi="Arial"/>
          <w:rtl/>
        </w:rPr>
        <w:t>פ</w:t>
      </w:r>
      <w:r>
        <w:rPr>
          <w:rFonts w:ascii="Arial" w:hAnsi="Arial" w:hint="cs"/>
          <w:rtl/>
        </w:rPr>
        <w:t>ָּ</w:t>
      </w:r>
      <w:r>
        <w:rPr>
          <w:rFonts w:ascii="Arial" w:hAnsi="Arial"/>
          <w:rtl/>
        </w:rPr>
        <w:t>ה מן הים</w:t>
      </w:r>
      <w:r>
        <w:rPr>
          <w:rFonts w:ascii="Arial" w:hAnsi="Arial" w:hint="cs"/>
          <w:rtl/>
        </w:rPr>
        <w:t>" (</w:t>
      </w:r>
      <w:r>
        <w:rPr>
          <w:rFonts w:ascii="Arial" w:hAnsi="Arial"/>
          <w:sz w:val="20"/>
          <w:szCs w:val="20"/>
          <w:rtl/>
        </w:rPr>
        <w:t>רמב"ן בראשית א</w:t>
      </w:r>
      <w:r>
        <w:rPr>
          <w:rFonts w:ascii="Arial" w:hAnsi="Arial" w:hint="cs"/>
          <w:sz w:val="20"/>
          <w:szCs w:val="20"/>
          <w:rtl/>
        </w:rPr>
        <w:t xml:space="preserve">, </w:t>
      </w:r>
      <w:r>
        <w:rPr>
          <w:rFonts w:ascii="Arial" w:hAnsi="Arial"/>
          <w:sz w:val="20"/>
          <w:szCs w:val="20"/>
          <w:rtl/>
        </w:rPr>
        <w:t>ג</w:t>
      </w:r>
      <w:r>
        <w:rPr>
          <w:rFonts w:ascii="Arial" w:hAnsi="Arial" w:hint="cs"/>
          <w:sz w:val="20"/>
          <w:szCs w:val="20"/>
          <w:rtl/>
        </w:rPr>
        <w:t>: "</w:t>
      </w:r>
      <w:r>
        <w:rPr>
          <w:rFonts w:ascii="Arial" w:hAnsi="Arial"/>
          <w:sz w:val="20"/>
          <w:szCs w:val="20"/>
          <w:rtl/>
        </w:rPr>
        <w:t>ודעתינו בו פחות מטפה מן הים הגדול</w:t>
      </w:r>
      <w:r>
        <w:rPr>
          <w:rFonts w:ascii="Arial" w:hAnsi="Arial" w:hint="cs"/>
          <w:sz w:val="20"/>
          <w:szCs w:val="20"/>
          <w:rtl/>
        </w:rPr>
        <w:t xml:space="preserve">"; </w:t>
      </w:r>
      <w:r>
        <w:rPr>
          <w:rFonts w:ascii="Arial" w:hAnsi="Arial"/>
          <w:sz w:val="20"/>
          <w:szCs w:val="20"/>
          <w:rtl/>
        </w:rPr>
        <w:t>רמב"ם הלכות יסודי התורה פ</w:t>
      </w:r>
      <w:r>
        <w:rPr>
          <w:rFonts w:ascii="Arial" w:hAnsi="Arial" w:hint="cs"/>
          <w:sz w:val="20"/>
          <w:szCs w:val="20"/>
          <w:rtl/>
        </w:rPr>
        <w:t>"</w:t>
      </w:r>
      <w:r>
        <w:rPr>
          <w:rFonts w:ascii="Arial" w:hAnsi="Arial"/>
          <w:sz w:val="20"/>
          <w:szCs w:val="20"/>
          <w:rtl/>
        </w:rPr>
        <w:t>ב</w:t>
      </w:r>
      <w:r>
        <w:rPr>
          <w:rFonts w:ascii="Arial" w:hAnsi="Arial" w:hint="cs"/>
          <w:sz w:val="20"/>
          <w:szCs w:val="20"/>
          <w:rtl/>
        </w:rPr>
        <w:t xml:space="preserve">, </w:t>
      </w:r>
      <w:r>
        <w:rPr>
          <w:rFonts w:ascii="Arial" w:hAnsi="Arial"/>
          <w:sz w:val="20"/>
          <w:szCs w:val="20"/>
          <w:rtl/>
        </w:rPr>
        <w:t>יא</w:t>
      </w:r>
      <w:r>
        <w:rPr>
          <w:rFonts w:ascii="Arial" w:hAnsi="Arial" w:hint="cs"/>
          <w:sz w:val="20"/>
          <w:szCs w:val="20"/>
          <w:rtl/>
        </w:rPr>
        <w:t>: "</w:t>
      </w:r>
      <w:r>
        <w:rPr>
          <w:rFonts w:ascii="Arial" w:hAnsi="Arial"/>
          <w:sz w:val="20"/>
          <w:szCs w:val="20"/>
          <w:rtl/>
        </w:rPr>
        <w:t>דברים אלו</w:t>
      </w:r>
      <w:r>
        <w:rPr>
          <w:rFonts w:ascii="Arial" w:hAnsi="Arial" w:hint="cs"/>
          <w:sz w:val="20"/>
          <w:szCs w:val="20"/>
          <w:rtl/>
        </w:rPr>
        <w:t xml:space="preserve">... </w:t>
      </w:r>
      <w:r>
        <w:rPr>
          <w:rFonts w:ascii="Arial" w:hAnsi="Arial"/>
          <w:sz w:val="20"/>
          <w:szCs w:val="20"/>
          <w:rtl/>
        </w:rPr>
        <w:t>כמו טיפה מן הים הם ממה שצריך לבאר בענין זה</w:t>
      </w:r>
      <w:r>
        <w:rPr>
          <w:rFonts w:ascii="Arial" w:hAnsi="Arial" w:hint="cs"/>
          <w:sz w:val="20"/>
          <w:szCs w:val="20"/>
          <w:rtl/>
        </w:rPr>
        <w:t xml:space="preserve">"; </w:t>
      </w:r>
      <w:r>
        <w:rPr>
          <w:rFonts w:ascii="Arial" w:hAnsi="Arial"/>
          <w:sz w:val="20"/>
          <w:szCs w:val="20"/>
          <w:rtl/>
        </w:rPr>
        <w:t>שו"ת יכין ובועז ח</w:t>
      </w:r>
      <w:r>
        <w:rPr>
          <w:rFonts w:ascii="Arial" w:hAnsi="Arial" w:hint="cs"/>
          <w:sz w:val="20"/>
          <w:szCs w:val="20"/>
          <w:rtl/>
        </w:rPr>
        <w:t>"</w:t>
      </w:r>
      <w:r>
        <w:rPr>
          <w:rFonts w:ascii="Arial" w:hAnsi="Arial"/>
          <w:sz w:val="20"/>
          <w:szCs w:val="20"/>
          <w:rtl/>
        </w:rPr>
        <w:t>א</w:t>
      </w:r>
      <w:r>
        <w:rPr>
          <w:rFonts w:ascii="Arial" w:hAnsi="Arial" w:hint="cs"/>
          <w:sz w:val="20"/>
          <w:szCs w:val="20"/>
          <w:rtl/>
        </w:rPr>
        <w:t xml:space="preserve">, </w:t>
      </w:r>
      <w:r>
        <w:rPr>
          <w:rFonts w:ascii="Arial" w:hAnsi="Arial"/>
          <w:sz w:val="20"/>
          <w:szCs w:val="20"/>
          <w:rtl/>
        </w:rPr>
        <w:t>קכה</w:t>
      </w:r>
      <w:r>
        <w:rPr>
          <w:rFonts w:ascii="Arial" w:hAnsi="Arial" w:hint="cs"/>
          <w:sz w:val="20"/>
          <w:szCs w:val="20"/>
          <w:rtl/>
        </w:rPr>
        <w:t>: "</w:t>
      </w:r>
      <w:r>
        <w:rPr>
          <w:rFonts w:ascii="Arial" w:hAnsi="Arial"/>
          <w:sz w:val="20"/>
          <w:szCs w:val="20"/>
          <w:rtl/>
        </w:rPr>
        <w:t>הוצרכתי לקצר ולכתוב בקצרה מעט כטפה מן הים וכְמַר מִדְּלִי</w:t>
      </w:r>
      <w:r>
        <w:rPr>
          <w:rFonts w:ascii="Arial" w:hAnsi="Arial" w:hint="cs"/>
          <w:sz w:val="20"/>
          <w:szCs w:val="20"/>
          <w:rtl/>
        </w:rPr>
        <w:t xml:space="preserve">", ע"פ </w:t>
      </w:r>
      <w:r>
        <w:rPr>
          <w:rFonts w:ascii="Arial" w:hAnsi="Arial"/>
          <w:sz w:val="20"/>
          <w:szCs w:val="20"/>
          <w:rtl/>
        </w:rPr>
        <w:t>ישעיה</w:t>
      </w:r>
      <w:r>
        <w:rPr>
          <w:rFonts w:ascii="Arial" w:hAnsi="Arial" w:hint="cs"/>
          <w:sz w:val="20"/>
          <w:szCs w:val="20"/>
          <w:rtl/>
        </w:rPr>
        <w:t xml:space="preserve"> </w:t>
      </w:r>
      <w:r>
        <w:rPr>
          <w:rFonts w:ascii="Arial" w:hAnsi="Arial"/>
          <w:sz w:val="20"/>
          <w:szCs w:val="20"/>
          <w:rtl/>
        </w:rPr>
        <w:t>מ</w:t>
      </w:r>
      <w:r>
        <w:rPr>
          <w:rFonts w:ascii="Arial" w:hAnsi="Arial" w:hint="cs"/>
          <w:sz w:val="20"/>
          <w:szCs w:val="20"/>
          <w:rtl/>
        </w:rPr>
        <w:t xml:space="preserve">, </w:t>
      </w:r>
      <w:r>
        <w:rPr>
          <w:rFonts w:ascii="Arial" w:hAnsi="Arial"/>
          <w:sz w:val="20"/>
          <w:szCs w:val="20"/>
          <w:rtl/>
        </w:rPr>
        <w:t>טו</w:t>
      </w:r>
      <w:r>
        <w:rPr>
          <w:rFonts w:ascii="Arial" w:hAnsi="Arial" w:hint="cs"/>
          <w:rtl/>
        </w:rPr>
        <w:t>) "</w:t>
      </w:r>
      <w:r>
        <w:rPr>
          <w:rFonts w:ascii="Arial" w:hAnsi="Arial"/>
          <w:rtl/>
        </w:rPr>
        <w:t>ים התלמוד</w:t>
      </w:r>
      <w:r>
        <w:rPr>
          <w:rFonts w:ascii="Arial" w:hAnsi="Arial" w:hint="cs"/>
          <w:rtl/>
        </w:rPr>
        <w:t>" (</w:t>
      </w:r>
      <w:r>
        <w:rPr>
          <w:rFonts w:ascii="Arial" w:hAnsi="Arial"/>
          <w:sz w:val="18"/>
          <w:szCs w:val="20"/>
          <w:rtl/>
        </w:rPr>
        <w:t>ספר החינוך מצוה ת</w:t>
      </w:r>
      <w:r>
        <w:rPr>
          <w:rFonts w:ascii="Arial" w:hAnsi="Arial" w:hint="cs"/>
          <w:sz w:val="18"/>
          <w:szCs w:val="20"/>
          <w:rtl/>
        </w:rPr>
        <w:t>'</w:t>
      </w:r>
      <w:r>
        <w:rPr>
          <w:rFonts w:ascii="Arial" w:hAnsi="Arial"/>
          <w:sz w:val="18"/>
          <w:szCs w:val="20"/>
          <w:rtl/>
        </w:rPr>
        <w:t xml:space="preserve"> </w:t>
      </w:r>
      <w:r>
        <w:rPr>
          <w:rFonts w:ascii="Arial" w:hAnsi="Arial" w:hint="cs"/>
          <w:sz w:val="18"/>
          <w:szCs w:val="20"/>
          <w:rtl/>
        </w:rPr>
        <w:t xml:space="preserve">- </w:t>
      </w:r>
      <w:r>
        <w:rPr>
          <w:rFonts w:ascii="Arial" w:hAnsi="Arial"/>
          <w:sz w:val="18"/>
          <w:szCs w:val="20"/>
          <w:rtl/>
        </w:rPr>
        <w:t>דיני נחלות</w:t>
      </w:r>
      <w:r>
        <w:rPr>
          <w:rFonts w:ascii="Arial" w:hAnsi="Arial" w:hint="cs"/>
          <w:rtl/>
        </w:rPr>
        <w:t>), "ים של עבודה" וכיו"ב.</w:t>
      </w:r>
    </w:p>
  </w:footnote>
  <w:footnote w:id="457">
    <w:p w14:paraId="0F2CA51B" w14:textId="77777777" w:rsidR="002B4B31" w:rsidRDefault="002B4B31" w:rsidP="002B4B31">
      <w:pPr>
        <w:pStyle w:val="a5"/>
        <w:rPr>
          <w:rFonts w:hint="cs"/>
          <w:rtl/>
        </w:rPr>
      </w:pPr>
      <w:r>
        <w:rPr>
          <w:rStyle w:val="a4"/>
        </w:rPr>
        <w:footnoteRef/>
      </w:r>
      <w:r>
        <w:rPr>
          <w:rFonts w:hint="cs"/>
          <w:rtl/>
        </w:rPr>
        <w:t xml:space="preserve"> </w:t>
      </w:r>
      <w:r>
        <w:rPr>
          <w:rFonts w:ascii="Arial" w:hAnsi="Arial" w:hint="cs"/>
          <w:sz w:val="26"/>
          <w:rtl/>
        </w:rPr>
        <w:t xml:space="preserve">השוה: </w:t>
      </w:r>
      <w:r>
        <w:rPr>
          <w:rFonts w:ascii="Arial" w:hAnsi="Arial"/>
          <w:sz w:val="26"/>
          <w:rtl/>
        </w:rPr>
        <w:t>אלכסנדר</w:t>
      </w:r>
      <w:r>
        <w:rPr>
          <w:rFonts w:ascii="Arial" w:hAnsi="Arial" w:hint="cs"/>
          <w:b/>
          <w:bCs/>
          <w:sz w:val="26"/>
          <w:rtl/>
        </w:rPr>
        <w:t>וס</w:t>
      </w:r>
      <w:r>
        <w:rPr>
          <w:rFonts w:ascii="Arial" w:hAnsi="Arial" w:hint="cs"/>
          <w:sz w:val="26"/>
          <w:rtl/>
        </w:rPr>
        <w:t xml:space="preserve"> </w:t>
      </w:r>
      <w:r>
        <w:rPr>
          <w:rFonts w:ascii="Arial" w:hAnsi="Arial"/>
        </w:rPr>
        <w:sym w:font="Wingdings" w:char="F0DF"/>
      </w:r>
      <w:r>
        <w:rPr>
          <w:rFonts w:ascii="Arial" w:hAnsi="Arial" w:hint="cs"/>
          <w:sz w:val="26"/>
          <w:rtl/>
        </w:rPr>
        <w:t xml:space="preserve"> </w:t>
      </w:r>
      <w:r>
        <w:rPr>
          <w:rFonts w:ascii="Arial" w:hAnsi="Arial"/>
          <w:sz w:val="26"/>
          <w:rtl/>
        </w:rPr>
        <w:t>אלכסנדר</w:t>
      </w:r>
      <w:r>
        <w:rPr>
          <w:rFonts w:ascii="Arial" w:hAnsi="Arial" w:hint="cs"/>
          <w:sz w:val="26"/>
          <w:rtl/>
        </w:rPr>
        <w:t>. וכ"כ</w:t>
      </w:r>
      <w:r>
        <w:rPr>
          <w:rFonts w:ascii="Arial" w:hAnsi="Arial" w:hint="eastAsia"/>
          <w:szCs w:val="28"/>
          <w:rtl/>
        </w:rPr>
        <w:t xml:space="preserve"> </w:t>
      </w:r>
      <w:r>
        <w:rPr>
          <w:rFonts w:ascii="Arial" w:hAnsi="Arial" w:hint="eastAsia"/>
          <w:rtl/>
        </w:rPr>
        <w:t>מחזור</w:t>
      </w:r>
      <w:r>
        <w:rPr>
          <w:rFonts w:ascii="Arial" w:hAnsi="Arial"/>
          <w:rtl/>
        </w:rPr>
        <w:t xml:space="preserve"> </w:t>
      </w:r>
      <w:r>
        <w:rPr>
          <w:rFonts w:ascii="Arial" w:hAnsi="Arial" w:hint="eastAsia"/>
          <w:rtl/>
        </w:rPr>
        <w:t>ויטרי</w:t>
      </w:r>
      <w:r>
        <w:rPr>
          <w:rFonts w:ascii="Arial" w:hAnsi="Arial" w:hint="cs"/>
          <w:rtl/>
        </w:rPr>
        <w:t xml:space="preserve"> (</w:t>
      </w:r>
      <w:r>
        <w:rPr>
          <w:rFonts w:ascii="Arial" w:hAnsi="Arial" w:hint="eastAsia"/>
          <w:szCs w:val="20"/>
          <w:rtl/>
        </w:rPr>
        <w:t>סימן</w:t>
      </w:r>
      <w:r>
        <w:rPr>
          <w:rFonts w:ascii="Arial" w:hAnsi="Arial"/>
          <w:szCs w:val="20"/>
          <w:rtl/>
        </w:rPr>
        <w:t xml:space="preserve"> </w:t>
      </w:r>
      <w:r>
        <w:rPr>
          <w:rFonts w:ascii="Arial" w:hAnsi="Arial" w:hint="eastAsia"/>
          <w:szCs w:val="20"/>
          <w:rtl/>
        </w:rPr>
        <w:t>תכה</w:t>
      </w:r>
      <w:r>
        <w:rPr>
          <w:rFonts w:ascii="Arial" w:hAnsi="Arial"/>
          <w:szCs w:val="20"/>
          <w:rtl/>
        </w:rPr>
        <w:t xml:space="preserve"> </w:t>
      </w:r>
      <w:r>
        <w:rPr>
          <w:rFonts w:ascii="Arial" w:hAnsi="Arial" w:hint="eastAsia"/>
          <w:szCs w:val="20"/>
          <w:rtl/>
        </w:rPr>
        <w:t>ד</w:t>
      </w:r>
      <w:r>
        <w:rPr>
          <w:rFonts w:ascii="Arial" w:hAnsi="Arial"/>
          <w:szCs w:val="20"/>
          <w:rtl/>
        </w:rPr>
        <w:t>"</w:t>
      </w:r>
      <w:r>
        <w:rPr>
          <w:rFonts w:ascii="Arial" w:hAnsi="Arial" w:hint="eastAsia"/>
          <w:szCs w:val="20"/>
          <w:rtl/>
        </w:rPr>
        <w:t>ה</w:t>
      </w:r>
      <w:r>
        <w:rPr>
          <w:rFonts w:ascii="Arial" w:hAnsi="Arial"/>
          <w:szCs w:val="20"/>
          <w:rtl/>
        </w:rPr>
        <w:t xml:space="preserve"> </w:t>
      </w:r>
      <w:r>
        <w:rPr>
          <w:rFonts w:ascii="Arial" w:hAnsi="Arial" w:hint="eastAsia"/>
          <w:szCs w:val="20"/>
          <w:rtl/>
        </w:rPr>
        <w:t>הוי</w:t>
      </w:r>
      <w:r>
        <w:rPr>
          <w:rFonts w:ascii="Arial" w:hAnsi="Arial"/>
          <w:szCs w:val="20"/>
          <w:rtl/>
        </w:rPr>
        <w:t xml:space="preserve"> </w:t>
      </w:r>
      <w:r>
        <w:rPr>
          <w:rFonts w:ascii="Arial" w:hAnsi="Arial" w:hint="eastAsia"/>
          <w:szCs w:val="20"/>
          <w:rtl/>
        </w:rPr>
        <w:t>שקוד</w:t>
      </w:r>
      <w:r>
        <w:rPr>
          <w:rFonts w:ascii="Arial" w:hAnsi="Arial" w:hint="cs"/>
          <w:rtl/>
        </w:rPr>
        <w:t>): "</w:t>
      </w:r>
      <w:r>
        <w:rPr>
          <w:rFonts w:ascii="Arial" w:hAnsi="Arial" w:hint="eastAsia"/>
          <w:rtl/>
        </w:rPr>
        <w:t>אפיקורוס</w:t>
      </w:r>
      <w:r>
        <w:rPr>
          <w:rFonts w:ascii="Arial" w:hAnsi="Arial" w:hint="cs"/>
          <w:rtl/>
        </w:rPr>
        <w:t xml:space="preserve"> - </w:t>
      </w:r>
      <w:r>
        <w:rPr>
          <w:rFonts w:ascii="Arial" w:hAnsi="Arial" w:hint="eastAsia"/>
          <w:rtl/>
        </w:rPr>
        <w:t>לשון</w:t>
      </w:r>
      <w:r>
        <w:rPr>
          <w:rFonts w:ascii="Arial" w:hAnsi="Arial"/>
          <w:rtl/>
        </w:rPr>
        <w:t xml:space="preserve"> </w:t>
      </w:r>
      <w:r>
        <w:rPr>
          <w:rFonts w:ascii="Arial" w:hAnsi="Arial" w:hint="eastAsia"/>
          <w:rtl/>
        </w:rPr>
        <w:t>הפקר</w:t>
      </w:r>
      <w:r>
        <w:rPr>
          <w:rFonts w:ascii="Arial" w:hAnsi="Arial" w:hint="cs"/>
          <w:rtl/>
        </w:rPr>
        <w:t xml:space="preserve">, </w:t>
      </w:r>
      <w:r>
        <w:rPr>
          <w:rFonts w:ascii="Arial" w:hAnsi="Arial" w:hint="eastAsia"/>
          <w:rtl/>
        </w:rPr>
        <w:t>כגון</w:t>
      </w:r>
      <w:r>
        <w:rPr>
          <w:rFonts w:ascii="Arial" w:hAnsi="Arial"/>
          <w:rtl/>
        </w:rPr>
        <w:t xml:space="preserve"> </w:t>
      </w:r>
      <w:r>
        <w:rPr>
          <w:rFonts w:ascii="Arial" w:hAnsi="Arial" w:hint="eastAsia"/>
          <w:rtl/>
        </w:rPr>
        <w:t>עוף</w:t>
      </w:r>
      <w:r>
        <w:rPr>
          <w:rFonts w:ascii="Arial" w:hAnsi="Arial"/>
          <w:rtl/>
        </w:rPr>
        <w:t xml:space="preserve"> </w:t>
      </w:r>
      <w:r>
        <w:rPr>
          <w:rFonts w:ascii="Arial" w:hAnsi="Arial" w:hint="eastAsia"/>
          <w:rtl/>
        </w:rPr>
        <w:t>וגבינה</w:t>
      </w:r>
      <w:r>
        <w:rPr>
          <w:rFonts w:ascii="Arial" w:hAnsi="Arial"/>
          <w:rtl/>
        </w:rPr>
        <w:t xml:space="preserve"> </w:t>
      </w:r>
      <w:r>
        <w:rPr>
          <w:rFonts w:ascii="Arial" w:hAnsi="Arial" w:hint="eastAsia"/>
          <w:rtl/>
        </w:rPr>
        <w:t>נאכלים</w:t>
      </w:r>
      <w:r>
        <w:rPr>
          <w:rFonts w:ascii="Arial" w:hAnsi="Arial"/>
          <w:rtl/>
        </w:rPr>
        <w:t xml:space="preserve"> </w:t>
      </w:r>
      <w:r>
        <w:rPr>
          <w:rFonts w:ascii="Arial" w:hAnsi="Arial" w:hint="eastAsia"/>
          <w:rtl/>
        </w:rPr>
        <w:t>באפיקורן</w:t>
      </w:r>
      <w:r>
        <w:rPr>
          <w:rFonts w:ascii="Arial" w:hAnsi="Arial"/>
          <w:rtl/>
        </w:rPr>
        <w:t xml:space="preserve">. </w:t>
      </w:r>
      <w:r>
        <w:rPr>
          <w:rFonts w:ascii="Arial" w:hAnsi="Arial" w:hint="eastAsia"/>
          <w:rtl/>
        </w:rPr>
        <w:t>ליסטיס</w:t>
      </w:r>
      <w:r>
        <w:rPr>
          <w:rFonts w:ascii="Arial" w:hAnsi="Arial" w:hint="cs"/>
          <w:rtl/>
        </w:rPr>
        <w:t>,</w:t>
      </w:r>
      <w:r>
        <w:rPr>
          <w:rFonts w:ascii="Arial" w:hAnsi="Arial"/>
          <w:rtl/>
        </w:rPr>
        <w:t xml:space="preserve"> </w:t>
      </w:r>
      <w:r>
        <w:rPr>
          <w:rFonts w:ascii="Arial" w:hAnsi="Arial" w:hint="eastAsia"/>
          <w:rtl/>
        </w:rPr>
        <w:t>ליסטין</w:t>
      </w:r>
      <w:r>
        <w:rPr>
          <w:rFonts w:ascii="Arial" w:hAnsi="Arial" w:hint="cs"/>
          <w:rtl/>
        </w:rPr>
        <w:t xml:space="preserve">, </w:t>
      </w:r>
      <w:r>
        <w:rPr>
          <w:rFonts w:ascii="Arial" w:hAnsi="Arial" w:hint="eastAsia"/>
          <w:rtl/>
        </w:rPr>
        <w:t>אפוטרופוס</w:t>
      </w:r>
      <w:r>
        <w:rPr>
          <w:rFonts w:ascii="Arial" w:hAnsi="Arial" w:hint="cs"/>
          <w:rtl/>
        </w:rPr>
        <w:t xml:space="preserve"> -</w:t>
      </w:r>
      <w:r>
        <w:rPr>
          <w:rFonts w:ascii="Arial" w:hAnsi="Arial"/>
          <w:rtl/>
        </w:rPr>
        <w:t xml:space="preserve"> </w:t>
      </w:r>
      <w:r>
        <w:rPr>
          <w:rFonts w:ascii="Arial" w:hAnsi="Arial" w:hint="eastAsia"/>
          <w:rtl/>
        </w:rPr>
        <w:t>בכולן</w:t>
      </w:r>
      <w:r>
        <w:rPr>
          <w:rFonts w:ascii="Arial" w:hAnsi="Arial"/>
          <w:rtl/>
        </w:rPr>
        <w:t xml:space="preserve"> </w:t>
      </w:r>
      <w:r>
        <w:rPr>
          <w:rFonts w:ascii="Arial" w:hAnsi="Arial" w:hint="eastAsia"/>
          <w:b/>
          <w:bCs/>
          <w:rtl/>
        </w:rPr>
        <w:t>הסמ</w:t>
      </w:r>
      <w:r>
        <w:rPr>
          <w:rFonts w:ascii="Arial" w:hAnsi="Arial" w:hint="cs"/>
          <w:b/>
          <w:bCs/>
          <w:rtl/>
        </w:rPr>
        <w:t>"</w:t>
      </w:r>
      <w:r>
        <w:rPr>
          <w:rFonts w:ascii="Arial" w:hAnsi="Arial" w:hint="eastAsia"/>
          <w:b/>
          <w:bCs/>
          <w:rtl/>
        </w:rPr>
        <w:t>ך</w:t>
      </w:r>
      <w:r>
        <w:rPr>
          <w:rFonts w:ascii="Arial" w:hAnsi="Arial"/>
          <w:b/>
          <w:bCs/>
          <w:rtl/>
        </w:rPr>
        <w:t xml:space="preserve"> </w:t>
      </w:r>
      <w:r>
        <w:rPr>
          <w:rFonts w:ascii="Arial" w:hAnsi="Arial" w:hint="eastAsia"/>
          <w:b/>
          <w:bCs/>
          <w:rtl/>
        </w:rPr>
        <w:t>לתיקון</w:t>
      </w:r>
      <w:r>
        <w:rPr>
          <w:rFonts w:ascii="Arial" w:hAnsi="Arial"/>
          <w:b/>
          <w:bCs/>
          <w:rtl/>
        </w:rPr>
        <w:t xml:space="preserve"> </w:t>
      </w:r>
      <w:r>
        <w:rPr>
          <w:rFonts w:ascii="Arial" w:hAnsi="Arial" w:hint="eastAsia"/>
          <w:b/>
          <w:bCs/>
          <w:rtl/>
        </w:rPr>
        <w:t>הש</w:t>
      </w:r>
      <w:r>
        <w:rPr>
          <w:rFonts w:ascii="Arial" w:hAnsi="Arial" w:hint="cs"/>
          <w:b/>
          <w:bCs/>
          <w:rtl/>
        </w:rPr>
        <w:t>ֵ</w:t>
      </w:r>
      <w:r>
        <w:rPr>
          <w:rFonts w:ascii="Arial" w:hAnsi="Arial" w:hint="eastAsia"/>
          <w:b/>
          <w:bCs/>
          <w:rtl/>
        </w:rPr>
        <w:t>ם</w:t>
      </w:r>
      <w:r>
        <w:rPr>
          <w:rFonts w:ascii="Arial" w:hAnsi="Arial" w:hint="cs"/>
          <w:rtl/>
        </w:rPr>
        <w:t>"</w:t>
      </w:r>
      <w:r>
        <w:rPr>
          <w:rFonts w:ascii="Arial" w:hAnsi="Arial"/>
          <w:rtl/>
        </w:rPr>
        <w:t xml:space="preserve">. </w:t>
      </w:r>
      <w:r>
        <w:rPr>
          <w:rFonts w:ascii="Arial" w:hAnsi="Arial" w:hint="eastAsia"/>
          <w:rtl/>
        </w:rPr>
        <w:t>לפעמים</w:t>
      </w:r>
      <w:r>
        <w:rPr>
          <w:rFonts w:ascii="Arial" w:hAnsi="Arial" w:hint="cs"/>
          <w:rtl/>
        </w:rPr>
        <w:t xml:space="preserve"> </w:t>
      </w:r>
      <w:r>
        <w:rPr>
          <w:rFonts w:ascii="Arial" w:hAnsi="Arial" w:hint="eastAsia"/>
          <w:rtl/>
        </w:rPr>
        <w:t>העברית</w:t>
      </w:r>
      <w:r>
        <w:rPr>
          <w:rFonts w:ascii="Arial" w:hAnsi="Arial" w:hint="cs"/>
          <w:rtl/>
        </w:rPr>
        <w:t xml:space="preserve"> </w:t>
      </w:r>
      <w:r>
        <w:rPr>
          <w:rFonts w:ascii="Arial" w:hAnsi="Arial" w:hint="eastAsia"/>
          <w:rtl/>
        </w:rPr>
        <w:t>מ</w:t>
      </w:r>
      <w:r>
        <w:rPr>
          <w:rFonts w:ascii="Arial" w:hAnsi="Arial" w:hint="cs"/>
          <w:rtl/>
        </w:rPr>
        <w:t xml:space="preserve">אמצת </w:t>
      </w:r>
      <w:r>
        <w:rPr>
          <w:rFonts w:ascii="Arial" w:hAnsi="Arial" w:hint="eastAsia"/>
          <w:rtl/>
        </w:rPr>
        <w:t>את</w:t>
      </w:r>
      <w:r>
        <w:rPr>
          <w:rFonts w:ascii="Arial" w:hAnsi="Arial" w:hint="cs"/>
          <w:rtl/>
        </w:rPr>
        <w:t xml:space="preserve"> </w:t>
      </w:r>
      <w:r>
        <w:rPr>
          <w:rFonts w:ascii="Arial" w:hAnsi="Arial" w:hint="eastAsia"/>
          <w:rtl/>
        </w:rPr>
        <w:t>המ</w:t>
      </w:r>
      <w:r>
        <w:rPr>
          <w:rFonts w:ascii="Arial" w:hAnsi="Arial" w:hint="cs"/>
          <w:rtl/>
        </w:rPr>
        <w:t>ִ</w:t>
      </w:r>
      <w:r>
        <w:rPr>
          <w:rFonts w:ascii="Arial" w:hAnsi="Arial" w:hint="eastAsia"/>
          <w:rtl/>
        </w:rPr>
        <w:t>לה</w:t>
      </w:r>
      <w:r>
        <w:rPr>
          <w:rFonts w:ascii="Arial" w:hAnsi="Arial" w:hint="cs"/>
          <w:rtl/>
        </w:rPr>
        <w:t xml:space="preserve"> </w:t>
      </w:r>
      <w:r>
        <w:rPr>
          <w:rFonts w:ascii="Arial" w:hAnsi="Arial" w:hint="eastAsia"/>
          <w:rtl/>
        </w:rPr>
        <w:t>הזרה</w:t>
      </w:r>
      <w:r>
        <w:rPr>
          <w:rFonts w:ascii="Arial" w:hAnsi="Arial" w:hint="cs"/>
          <w:rtl/>
        </w:rPr>
        <w:t xml:space="preserve"> ללא הסיומת שלה, ולפעמים הסיומת מתקבלת ו</w:t>
      </w:r>
      <w:r>
        <w:rPr>
          <w:rFonts w:ascii="Arial" w:hAnsi="Arial" w:hint="eastAsia"/>
          <w:rtl/>
        </w:rPr>
        <w:t>משתרשת</w:t>
      </w:r>
      <w:r>
        <w:rPr>
          <w:rFonts w:ascii="Arial" w:hAnsi="Arial" w:hint="cs"/>
          <w:rtl/>
        </w:rPr>
        <w:t xml:space="preserve"> </w:t>
      </w:r>
      <w:r>
        <w:rPr>
          <w:rFonts w:ascii="Arial" w:hAnsi="Arial" w:hint="eastAsia"/>
          <w:rtl/>
        </w:rPr>
        <w:t>כחלק</w:t>
      </w:r>
      <w:r>
        <w:rPr>
          <w:rFonts w:ascii="Arial" w:hAnsi="Arial" w:hint="cs"/>
          <w:rtl/>
        </w:rPr>
        <w:t xml:space="preserve"> מהמִלה (</w:t>
      </w:r>
      <w:r>
        <w:rPr>
          <w:rFonts w:ascii="Arial" w:hAnsi="Arial" w:hint="eastAsia"/>
          <w:sz w:val="18"/>
          <w:szCs w:val="20"/>
          <w:rtl/>
        </w:rPr>
        <w:t>כגון</w:t>
      </w:r>
      <w:r>
        <w:rPr>
          <w:rFonts w:ascii="Arial" w:hAnsi="Arial" w:hint="cs"/>
          <w:sz w:val="18"/>
          <w:szCs w:val="20"/>
          <w:rtl/>
        </w:rPr>
        <w:t xml:space="preserve"> </w:t>
      </w:r>
      <w:r>
        <w:rPr>
          <w:rFonts w:ascii="Arial" w:hAnsi="Arial" w:hint="cs"/>
          <w:color w:val="FF0000"/>
          <w:sz w:val="18"/>
          <w:szCs w:val="20"/>
          <w:rtl/>
        </w:rPr>
        <w:t>"הורדוס",</w:t>
      </w:r>
      <w:r>
        <w:rPr>
          <w:rFonts w:ascii="Arial" w:hAnsi="Arial" w:hint="cs"/>
          <w:sz w:val="18"/>
          <w:szCs w:val="20"/>
          <w:rtl/>
        </w:rPr>
        <w:t xml:space="preserve"> "</w:t>
      </w:r>
      <w:r>
        <w:rPr>
          <w:rFonts w:ascii="Arial" w:hAnsi="Arial" w:hint="eastAsia"/>
          <w:sz w:val="18"/>
          <w:szCs w:val="20"/>
          <w:rtl/>
        </w:rPr>
        <w:t>קאלוס</w:t>
      </w:r>
      <w:r>
        <w:rPr>
          <w:rFonts w:ascii="Arial" w:hAnsi="Arial" w:hint="cs"/>
          <w:sz w:val="18"/>
          <w:szCs w:val="20"/>
          <w:rtl/>
        </w:rPr>
        <w:t>", "</w:t>
      </w:r>
      <w:r>
        <w:rPr>
          <w:rFonts w:ascii="Arial" w:hAnsi="Arial" w:hint="eastAsia"/>
          <w:sz w:val="18"/>
          <w:szCs w:val="20"/>
          <w:rtl/>
        </w:rPr>
        <w:t>תריס</w:t>
      </w:r>
      <w:r>
        <w:rPr>
          <w:rFonts w:ascii="Arial" w:hAnsi="Arial" w:hint="cs"/>
          <w:sz w:val="18"/>
          <w:szCs w:val="20"/>
          <w:rtl/>
        </w:rPr>
        <w:t xml:space="preserve">"; מפי מו"ר ד"ר </w:t>
      </w:r>
      <w:r>
        <w:rPr>
          <w:rFonts w:ascii="Arial" w:hAnsi="Arial" w:hint="eastAsia"/>
          <w:sz w:val="18"/>
          <w:szCs w:val="20"/>
          <w:rtl/>
        </w:rPr>
        <w:t>יואל</w:t>
      </w:r>
      <w:r>
        <w:rPr>
          <w:rFonts w:ascii="Arial" w:hAnsi="Arial" w:hint="cs"/>
          <w:sz w:val="18"/>
          <w:szCs w:val="20"/>
          <w:rtl/>
        </w:rPr>
        <w:t xml:space="preserve"> </w:t>
      </w:r>
      <w:r>
        <w:rPr>
          <w:rFonts w:ascii="Arial" w:hAnsi="Arial" w:hint="eastAsia"/>
          <w:sz w:val="18"/>
          <w:szCs w:val="20"/>
          <w:rtl/>
        </w:rPr>
        <w:t>אליצור</w:t>
      </w:r>
      <w:r>
        <w:rPr>
          <w:rFonts w:ascii="Arial" w:hAnsi="Arial" w:hint="cs"/>
          <w:rtl/>
        </w:rPr>
        <w:t>). במקרה זה התקבעה הסיומת בארמית ("</w:t>
      </w:r>
      <w:r>
        <w:rPr>
          <w:rFonts w:ascii="Arial" w:hAnsi="Arial"/>
          <w:rtl/>
        </w:rPr>
        <w:t>פ</w:t>
      </w:r>
      <w:r>
        <w:rPr>
          <w:rFonts w:ascii="Arial" w:hAnsi="Arial" w:hint="cs"/>
          <w:rtl/>
        </w:rPr>
        <w:t>ֶּ</w:t>
      </w:r>
      <w:r>
        <w:rPr>
          <w:rFonts w:ascii="Arial" w:hAnsi="Arial"/>
          <w:rtl/>
        </w:rPr>
        <w:t>יל</w:t>
      </w:r>
      <w:r>
        <w:rPr>
          <w:rFonts w:ascii="Arial" w:hAnsi="Arial" w:hint="cs"/>
          <w:rtl/>
        </w:rPr>
        <w:t>ַ</w:t>
      </w:r>
      <w:r>
        <w:rPr>
          <w:rFonts w:ascii="Arial" w:hAnsi="Arial"/>
          <w:rtl/>
        </w:rPr>
        <w:t>גו</w:t>
      </w:r>
      <w:r>
        <w:rPr>
          <w:rFonts w:ascii="Arial" w:hAnsi="Arial" w:hint="cs"/>
          <w:rtl/>
        </w:rPr>
        <w:t>ֹ</w:t>
      </w:r>
      <w:r>
        <w:rPr>
          <w:rFonts w:ascii="Arial" w:hAnsi="Arial"/>
          <w:rtl/>
        </w:rPr>
        <w:t>ס</w:t>
      </w:r>
      <w:r>
        <w:rPr>
          <w:rFonts w:ascii="Arial" w:hAnsi="Arial" w:hint="cs"/>
          <w:rtl/>
        </w:rPr>
        <w:t>") אך לא בשורש פל"ג העברי (</w:t>
      </w:r>
      <w:r>
        <w:rPr>
          <w:rFonts w:ascii="Arial" w:hAnsi="Arial" w:hint="cs"/>
          <w:sz w:val="18"/>
          <w:szCs w:val="20"/>
          <w:rtl/>
        </w:rPr>
        <w:t xml:space="preserve">מפי מו"ר ד"ר </w:t>
      </w:r>
      <w:r>
        <w:rPr>
          <w:rFonts w:ascii="Arial" w:hAnsi="Arial" w:hint="eastAsia"/>
          <w:sz w:val="18"/>
          <w:szCs w:val="20"/>
          <w:rtl/>
        </w:rPr>
        <w:t>יואל</w:t>
      </w:r>
      <w:r>
        <w:rPr>
          <w:rFonts w:ascii="Arial" w:hAnsi="Arial" w:hint="cs"/>
          <w:sz w:val="18"/>
          <w:szCs w:val="20"/>
          <w:rtl/>
        </w:rPr>
        <w:t xml:space="preserve"> </w:t>
      </w:r>
      <w:r>
        <w:rPr>
          <w:rFonts w:ascii="Arial" w:hAnsi="Arial" w:hint="eastAsia"/>
          <w:sz w:val="18"/>
          <w:szCs w:val="20"/>
          <w:rtl/>
        </w:rPr>
        <w:t>אליצור</w:t>
      </w:r>
      <w:r>
        <w:rPr>
          <w:rFonts w:ascii="Arial" w:hAnsi="Arial" w:hint="cs"/>
          <w:rtl/>
        </w:rPr>
        <w:t>). גם במִלה "</w:t>
      </w:r>
      <w:r>
        <w:rPr>
          <w:rFonts w:ascii="Arial" w:hAnsi="Arial"/>
          <w:rtl/>
        </w:rPr>
        <w:t>אַרְכִיפ</w:t>
      </w:r>
      <w:r>
        <w:rPr>
          <w:rFonts w:ascii="Arial" w:hAnsi="Arial" w:hint="cs"/>
          <w:rtl/>
        </w:rPr>
        <w:t>ּ</w:t>
      </w:r>
      <w:r>
        <w:rPr>
          <w:rFonts w:ascii="Arial" w:hAnsi="Arial"/>
          <w:rtl/>
        </w:rPr>
        <w:t>ֶלָג</w:t>
      </w:r>
      <w:r>
        <w:rPr>
          <w:rFonts w:ascii="Arial" w:hAnsi="Arial" w:hint="cs"/>
          <w:rtl/>
        </w:rPr>
        <w:t>" (</w:t>
      </w:r>
      <w:r>
        <w:rPr>
          <w:rFonts w:ascii="Arial" w:hAnsi="Arial" w:hint="cs"/>
          <w:sz w:val="18"/>
          <w:szCs w:val="20"/>
          <w:rtl/>
        </w:rPr>
        <w:t>=</w:t>
      </w:r>
      <w:r>
        <w:rPr>
          <w:rFonts w:ascii="Arial" w:hAnsi="Arial"/>
          <w:rtl/>
        </w:rPr>
        <w:t>קבוצת איים</w:t>
      </w:r>
      <w:r>
        <w:rPr>
          <w:rFonts w:ascii="Arial" w:hAnsi="Arial" w:hint="cs"/>
          <w:rtl/>
        </w:rPr>
        <w:t xml:space="preserve">) השאולה בעברית החדשה מן </w:t>
      </w:r>
      <w:r>
        <w:rPr>
          <w:rFonts w:ascii="Arial" w:hAnsi="Arial" w:hint="eastAsia"/>
          <w:rtl/>
        </w:rPr>
        <w:t>האיטלקית</w:t>
      </w:r>
      <w:r>
        <w:rPr>
          <w:rFonts w:ascii="Arial" w:hAnsi="Arial" w:hint="cs"/>
          <w:rtl/>
        </w:rPr>
        <w:t>, נעדרת הסיומת מן הרכיב היווני "פלג".</w:t>
      </w:r>
    </w:p>
  </w:footnote>
  <w:footnote w:id="458">
    <w:p w14:paraId="3EC6A652" w14:textId="77777777" w:rsidR="002B4B31" w:rsidRDefault="002B4B31" w:rsidP="002B4B31">
      <w:pPr>
        <w:pStyle w:val="a5"/>
        <w:rPr>
          <w:rFonts w:hint="cs"/>
          <w:rtl/>
        </w:rPr>
      </w:pPr>
      <w:r>
        <w:rPr>
          <w:rStyle w:val="a4"/>
        </w:rPr>
        <w:footnoteRef/>
      </w:r>
      <w:r>
        <w:rPr>
          <w:rFonts w:hint="cs"/>
          <w:rtl/>
        </w:rPr>
        <w:t xml:space="preserve"> </w:t>
      </w:r>
      <w:r>
        <w:rPr>
          <w:rFonts w:ascii="Arial" w:hAnsi="Arial" w:hint="cs"/>
          <w:rtl/>
        </w:rPr>
        <w:t>בדפוסים שלנו מופיע במסכת שבת הלעז "</w:t>
      </w:r>
      <w:r>
        <w:rPr>
          <w:rFonts w:ascii="Arial" w:hAnsi="Arial"/>
          <w:rtl/>
        </w:rPr>
        <w:t>פילגס</w:t>
      </w:r>
      <w:r>
        <w:rPr>
          <w:rFonts w:ascii="Arial" w:hAnsi="Arial" w:hint="cs"/>
          <w:rtl/>
        </w:rPr>
        <w:t>" ובערובין "</w:t>
      </w:r>
      <w:r>
        <w:rPr>
          <w:rFonts w:ascii="Arial" w:hAnsi="Arial"/>
          <w:rtl/>
        </w:rPr>
        <w:t>פילג</w:t>
      </w:r>
      <w:r>
        <w:rPr>
          <w:rFonts w:ascii="Arial" w:hAnsi="Arial" w:hint="cs"/>
          <w:rtl/>
        </w:rPr>
        <w:t>" (</w:t>
      </w:r>
      <w:r>
        <w:rPr>
          <w:rFonts w:ascii="Arial" w:hAnsi="Arial" w:hint="cs"/>
          <w:sz w:val="18"/>
          <w:szCs w:val="20"/>
          <w:rtl/>
        </w:rPr>
        <w:t>ולאור האמור בהערה הקודמת, מובן שינוי זה</w:t>
      </w:r>
      <w:r>
        <w:rPr>
          <w:rFonts w:ascii="Arial" w:hAnsi="Arial" w:hint="cs"/>
          <w:rtl/>
        </w:rPr>
        <w:t>), וב</w:t>
      </w:r>
      <w:r>
        <w:rPr>
          <w:rFonts w:ascii="Arial" w:hAnsi="Arial"/>
          <w:rtl/>
        </w:rPr>
        <w:t xml:space="preserve">אור זרוע </w:t>
      </w:r>
      <w:r>
        <w:rPr>
          <w:rFonts w:ascii="Arial" w:hAnsi="Arial" w:hint="cs"/>
          <w:rtl/>
        </w:rPr>
        <w:t>(</w:t>
      </w:r>
      <w:r>
        <w:rPr>
          <w:rFonts w:ascii="Arial" w:hAnsi="Arial"/>
          <w:sz w:val="18"/>
          <w:szCs w:val="20"/>
          <w:rtl/>
        </w:rPr>
        <w:t>ח"ב</w:t>
      </w:r>
      <w:r>
        <w:rPr>
          <w:rFonts w:ascii="Arial" w:hAnsi="Arial" w:hint="cs"/>
          <w:sz w:val="18"/>
          <w:szCs w:val="20"/>
          <w:rtl/>
        </w:rPr>
        <w:t>,</w:t>
      </w:r>
      <w:r>
        <w:rPr>
          <w:rFonts w:ascii="Arial" w:hAnsi="Arial"/>
          <w:sz w:val="18"/>
          <w:szCs w:val="20"/>
          <w:rtl/>
        </w:rPr>
        <w:t xml:space="preserve"> הלכות ערב שבת סימן ג</w:t>
      </w:r>
      <w:r>
        <w:rPr>
          <w:rFonts w:ascii="Arial" w:hAnsi="Arial" w:hint="cs"/>
          <w:sz w:val="18"/>
          <w:szCs w:val="20"/>
          <w:rtl/>
        </w:rPr>
        <w:t>'</w:t>
      </w:r>
      <w:r>
        <w:rPr>
          <w:rFonts w:ascii="Arial" w:hAnsi="Arial" w:hint="cs"/>
          <w:rtl/>
        </w:rPr>
        <w:t>) מצוטט הלעז מרש"י כך: "</w:t>
      </w:r>
      <w:r>
        <w:rPr>
          <w:rFonts w:ascii="Arial" w:hAnsi="Arial"/>
          <w:rtl/>
        </w:rPr>
        <w:t>(פלמו) [פלגס]</w:t>
      </w:r>
      <w:r>
        <w:rPr>
          <w:rFonts w:ascii="Arial" w:hAnsi="Arial" w:hint="cs"/>
          <w:rtl/>
        </w:rPr>
        <w:t>".</w:t>
      </w:r>
    </w:p>
  </w:footnote>
  <w:footnote w:id="459">
    <w:p w14:paraId="65E76364" w14:textId="77777777" w:rsidR="002B4B31" w:rsidRDefault="002B4B31" w:rsidP="002B4B31">
      <w:pPr>
        <w:pStyle w:val="a5"/>
        <w:rPr>
          <w:rtl/>
        </w:rPr>
      </w:pPr>
      <w:r>
        <w:rPr>
          <w:rStyle w:val="a4"/>
        </w:rPr>
        <w:footnoteRef/>
      </w:r>
      <w:r>
        <w:rPr>
          <w:rFonts w:hint="cs"/>
          <w:rtl/>
        </w:rPr>
        <w:t xml:space="preserve"> </w:t>
      </w:r>
      <w:r>
        <w:rPr>
          <w:rFonts w:ascii="Arial" w:hAnsi="Arial" w:hint="cs"/>
          <w:rtl/>
        </w:rPr>
        <w:t>ר"מ קטן (</w:t>
      </w:r>
      <w:r>
        <w:rPr>
          <w:rFonts w:ascii="Arial" w:hAnsi="Arial" w:hint="cs"/>
          <w:sz w:val="18"/>
          <w:szCs w:val="20"/>
          <w:rtl/>
        </w:rPr>
        <w:t>אוצר לעזי רש"י</w:t>
      </w:r>
      <w:r>
        <w:rPr>
          <w:rFonts w:ascii="Arial" w:hAnsi="Arial" w:hint="cs"/>
          <w:rtl/>
        </w:rPr>
        <w:t>) סבור שמדובר ב"</w:t>
      </w:r>
      <w:r>
        <w:rPr>
          <w:rFonts w:ascii="Arial" w:hAnsi="Arial"/>
          <w:sz w:val="18"/>
          <w:szCs w:val="18"/>
        </w:rPr>
        <w:t>pelege</w:t>
      </w:r>
      <w:r>
        <w:rPr>
          <w:rFonts w:ascii="Arial" w:hAnsi="Arial" w:hint="cs"/>
          <w:rtl/>
        </w:rPr>
        <w:t>" בצרפתית (</w:t>
      </w:r>
      <w:r>
        <w:rPr>
          <w:rFonts w:ascii="Arial" w:hAnsi="Arial" w:hint="cs"/>
          <w:sz w:val="18"/>
          <w:szCs w:val="20"/>
          <w:rtl/>
        </w:rPr>
        <w:t>=</w:t>
      </w:r>
      <w:r>
        <w:rPr>
          <w:rFonts w:ascii="Arial" w:hAnsi="Arial" w:hint="cs"/>
          <w:rtl/>
        </w:rPr>
        <w:t>לב ים).</w:t>
      </w:r>
    </w:p>
  </w:footnote>
  <w:footnote w:id="460">
    <w:p w14:paraId="78DCD7BB" w14:textId="77777777" w:rsidR="002B4B31" w:rsidRDefault="002B4B31" w:rsidP="002B4B31">
      <w:pPr>
        <w:pStyle w:val="a5"/>
        <w:rPr>
          <w:rFonts w:hint="cs"/>
          <w:rtl/>
        </w:rPr>
      </w:pPr>
      <w:r>
        <w:rPr>
          <w:rStyle w:val="a4"/>
        </w:rPr>
        <w:footnoteRef/>
      </w:r>
      <w:r>
        <w:rPr>
          <w:rFonts w:hint="cs"/>
          <w:rtl/>
        </w:rPr>
        <w:t xml:space="preserve"> </w:t>
      </w:r>
      <w:r>
        <w:rPr>
          <w:rFonts w:ascii="Arial" w:hAnsi="Arial" w:hint="cs"/>
          <w:rtl/>
        </w:rPr>
        <w:t>ע"פ מהדורת ר"ע שטייזלץ (</w:t>
      </w:r>
      <w:r>
        <w:rPr>
          <w:rFonts w:ascii="Arial" w:hAnsi="Arial" w:hint="cs"/>
          <w:sz w:val="18"/>
          <w:szCs w:val="20"/>
          <w:rtl/>
        </w:rPr>
        <w:t>=</w:t>
      </w:r>
      <w:r>
        <w:rPr>
          <w:rFonts w:ascii="Arial" w:hAnsi="Arial"/>
          <w:rtl/>
        </w:rPr>
        <w:t>עומק הים</w:t>
      </w:r>
      <w:r>
        <w:rPr>
          <w:rFonts w:ascii="Arial" w:hAnsi="Arial" w:hint="cs"/>
          <w:rtl/>
        </w:rPr>
        <w:t>)</w:t>
      </w:r>
      <w:r>
        <w:rPr>
          <w:rFonts w:ascii="Arial" w:hAnsi="Arial"/>
          <w:rtl/>
        </w:rPr>
        <w:t>.</w:t>
      </w:r>
    </w:p>
  </w:footnote>
  <w:footnote w:id="461">
    <w:p w14:paraId="4B4D0A0F" w14:textId="77777777" w:rsidR="002B4B31" w:rsidRDefault="002B4B31" w:rsidP="002B4B31">
      <w:pPr>
        <w:pStyle w:val="a5"/>
        <w:rPr>
          <w:rFonts w:hint="cs"/>
          <w:rtl/>
        </w:rPr>
      </w:pPr>
      <w:r>
        <w:rPr>
          <w:rStyle w:val="a4"/>
        </w:rPr>
        <w:footnoteRef/>
      </w:r>
      <w:r>
        <w:rPr>
          <w:rFonts w:hint="cs"/>
          <w:rtl/>
        </w:rPr>
        <w:t xml:space="preserve"> </w:t>
      </w:r>
      <w:r>
        <w:rPr>
          <w:rFonts w:ascii="Arial" w:hAnsi="Arial"/>
          <w:sz w:val="24"/>
          <w:rtl/>
        </w:rPr>
        <w:t>תהלים סה</w:t>
      </w:r>
      <w:r>
        <w:rPr>
          <w:rFonts w:ascii="Arial" w:hAnsi="Arial" w:hint="cs"/>
          <w:sz w:val="24"/>
          <w:rtl/>
        </w:rPr>
        <w:t>,</w:t>
      </w:r>
      <w:r>
        <w:rPr>
          <w:rFonts w:ascii="Arial" w:hAnsi="Arial"/>
          <w:sz w:val="24"/>
          <w:rtl/>
        </w:rPr>
        <w:t xml:space="preserve"> י</w:t>
      </w:r>
      <w:r>
        <w:rPr>
          <w:rFonts w:ascii="Arial" w:hAnsi="Arial" w:hint="cs"/>
          <w:sz w:val="24"/>
          <w:rtl/>
        </w:rPr>
        <w:t>; עי"ש בפירוש הרי"ד ובמיוחס ל</w:t>
      </w:r>
      <w:r>
        <w:rPr>
          <w:rFonts w:ascii="Arial" w:hAnsi="Arial"/>
          <w:sz w:val="24"/>
          <w:rtl/>
        </w:rPr>
        <w:t>רש"י תענית ח</w:t>
      </w:r>
      <w:r>
        <w:rPr>
          <w:rFonts w:ascii="Arial" w:hAnsi="Arial" w:hint="cs"/>
          <w:sz w:val="24"/>
          <w:rtl/>
        </w:rPr>
        <w:t xml:space="preserve">, </w:t>
      </w:r>
      <w:r>
        <w:rPr>
          <w:rFonts w:ascii="Arial" w:hAnsi="Arial"/>
          <w:sz w:val="24"/>
          <w:rtl/>
        </w:rPr>
        <w:t>ב ד"ה פלג</w:t>
      </w:r>
      <w:r>
        <w:rPr>
          <w:rFonts w:ascii="Arial" w:hAnsi="Arial" w:hint="cs"/>
          <w:sz w:val="24"/>
          <w:rtl/>
        </w:rPr>
        <w:t>.</w:t>
      </w:r>
    </w:p>
  </w:footnote>
  <w:footnote w:id="462">
    <w:p w14:paraId="6587B54B" w14:textId="77777777" w:rsidR="002B4B31" w:rsidRDefault="002B4B31" w:rsidP="002B4B31">
      <w:pPr>
        <w:pStyle w:val="a5"/>
        <w:rPr>
          <w:rtl/>
        </w:rPr>
      </w:pPr>
      <w:r>
        <w:rPr>
          <w:rStyle w:val="a4"/>
        </w:rPr>
        <w:footnoteRef/>
      </w:r>
      <w:r>
        <w:rPr>
          <w:rFonts w:hint="cs"/>
          <w:rtl/>
        </w:rPr>
        <w:t xml:space="preserve"> </w:t>
      </w:r>
      <w:r>
        <w:rPr>
          <w:rFonts w:ascii="Arial" w:hAnsi="Arial" w:hint="cs"/>
          <w:rtl/>
        </w:rPr>
        <w:t xml:space="preserve">פירושים נוספים למשנה זו ראה בפירוש </w:t>
      </w:r>
      <w:r>
        <w:rPr>
          <w:rFonts w:ascii="Arial" w:hAnsi="Arial"/>
          <w:rtl/>
        </w:rPr>
        <w:t>רבינו יונה</w:t>
      </w:r>
      <w:r>
        <w:rPr>
          <w:rFonts w:ascii="Arial" w:hAnsi="Arial" w:hint="cs"/>
          <w:rtl/>
        </w:rPr>
        <w:t xml:space="preserve">, בפירוש </w:t>
      </w:r>
      <w:r>
        <w:rPr>
          <w:rFonts w:ascii="Arial" w:hAnsi="Arial"/>
          <w:rtl/>
        </w:rPr>
        <w:t>מרכבת המשנה לר"י אלאשקר</w:t>
      </w:r>
      <w:r>
        <w:rPr>
          <w:rFonts w:ascii="Arial" w:hAnsi="Arial" w:hint="cs"/>
          <w:rtl/>
        </w:rPr>
        <w:t xml:space="preserve"> ובפירוש "ר' אריה (לוין) היה אומר".</w:t>
      </w:r>
    </w:p>
  </w:footnote>
  <w:footnote w:id="463">
    <w:p w14:paraId="2242E1E7" w14:textId="77777777" w:rsidR="002B4B31" w:rsidRDefault="002B4B31" w:rsidP="002B4B31">
      <w:pPr>
        <w:pStyle w:val="a5"/>
        <w:rPr>
          <w:rFonts w:hint="cs"/>
          <w:rtl/>
        </w:rPr>
      </w:pPr>
      <w:r>
        <w:rPr>
          <w:rStyle w:val="a4"/>
        </w:rPr>
        <w:footnoteRef/>
      </w:r>
      <w:r>
        <w:rPr>
          <w:rFonts w:hint="cs"/>
          <w:rtl/>
        </w:rPr>
        <w:t xml:space="preserve"> </w:t>
      </w:r>
      <w:r>
        <w:rPr>
          <w:rFonts w:ascii="Arial" w:hAnsi="Arial" w:hint="cs"/>
          <w:rtl/>
        </w:rPr>
        <w:t>נוסח אחר:</w:t>
      </w:r>
      <w:r>
        <w:rPr>
          <w:rFonts w:ascii="Arial" w:hAnsi="Arial"/>
          <w:rtl/>
        </w:rPr>
        <w:t xml:space="preserve"> </w:t>
      </w:r>
      <w:r>
        <w:rPr>
          <w:rFonts w:ascii="Arial" w:hAnsi="Arial"/>
          <w:b/>
          <w:bCs/>
          <w:rtl/>
        </w:rPr>
        <w:t>ל</w:t>
      </w:r>
      <w:r>
        <w:rPr>
          <w:rFonts w:ascii="Arial" w:hAnsi="Arial"/>
          <w:rtl/>
        </w:rPr>
        <w:t>ים</w:t>
      </w:r>
      <w:r>
        <w:rPr>
          <w:rFonts w:ascii="Arial" w:hAnsi="Arial" w:hint="cs"/>
          <w:sz w:val="18"/>
          <w:szCs w:val="20"/>
          <w:rtl/>
        </w:rPr>
        <w:t xml:space="preserve"> </w:t>
      </w:r>
      <w:r>
        <w:rPr>
          <w:rFonts w:ascii="Arial" w:hAnsi="Arial" w:hint="cs"/>
          <w:rtl/>
        </w:rPr>
        <w:t>(</w:t>
      </w:r>
      <w:r>
        <w:rPr>
          <w:rFonts w:ascii="Arial" w:hAnsi="Arial"/>
          <w:szCs w:val="20"/>
          <w:rtl/>
        </w:rPr>
        <w:t>תנחומא</w:t>
      </w:r>
      <w:r>
        <w:rPr>
          <w:rFonts w:ascii="Arial" w:hAnsi="Arial" w:hint="cs"/>
          <w:sz w:val="18"/>
          <w:szCs w:val="20"/>
          <w:rtl/>
        </w:rPr>
        <w:t xml:space="preserve">, </w:t>
      </w:r>
      <w:r>
        <w:rPr>
          <w:rFonts w:ascii="Arial" w:hAnsi="Arial"/>
          <w:sz w:val="18"/>
          <w:szCs w:val="20"/>
          <w:rtl/>
        </w:rPr>
        <w:t>בובר</w:t>
      </w:r>
      <w:r>
        <w:rPr>
          <w:rFonts w:ascii="Arial" w:hAnsi="Arial" w:hint="cs"/>
          <w:sz w:val="18"/>
          <w:szCs w:val="20"/>
          <w:rtl/>
        </w:rPr>
        <w:t>,</w:t>
      </w:r>
      <w:r>
        <w:rPr>
          <w:rFonts w:ascii="Arial" w:hAnsi="Arial"/>
          <w:sz w:val="18"/>
          <w:szCs w:val="20"/>
          <w:rtl/>
        </w:rPr>
        <w:t xml:space="preserve"> שלח</w:t>
      </w:r>
      <w:r>
        <w:rPr>
          <w:rFonts w:ascii="Arial" w:hAnsi="Arial" w:hint="cs"/>
          <w:sz w:val="18"/>
          <w:szCs w:val="20"/>
          <w:rtl/>
        </w:rPr>
        <w:t xml:space="preserve">, </w:t>
      </w:r>
      <w:r>
        <w:rPr>
          <w:rFonts w:ascii="Arial" w:hAnsi="Arial"/>
          <w:sz w:val="18"/>
          <w:szCs w:val="20"/>
          <w:rtl/>
        </w:rPr>
        <w:t>א</w:t>
      </w:r>
      <w:r>
        <w:rPr>
          <w:rFonts w:ascii="Arial" w:hAnsi="Arial" w:hint="cs"/>
          <w:sz w:val="18"/>
          <w:szCs w:val="20"/>
          <w:rtl/>
        </w:rPr>
        <w:t>'</w:t>
      </w:r>
      <w:r>
        <w:rPr>
          <w:rFonts w:ascii="Arial" w:hAnsi="Arial" w:hint="cs"/>
          <w:rtl/>
        </w:rPr>
        <w:t>).</w:t>
      </w:r>
    </w:p>
  </w:footnote>
  <w:footnote w:id="464">
    <w:p w14:paraId="7AE124B8" w14:textId="77777777" w:rsidR="002B4B31" w:rsidRDefault="002B4B31" w:rsidP="002B4B31">
      <w:pPr>
        <w:pStyle w:val="a5"/>
        <w:rPr>
          <w:rFonts w:hint="cs"/>
          <w:rtl/>
        </w:rPr>
      </w:pPr>
      <w:r>
        <w:rPr>
          <w:rStyle w:val="a4"/>
        </w:rPr>
        <w:footnoteRef/>
      </w:r>
      <w:r>
        <w:rPr>
          <w:rFonts w:hint="cs"/>
          <w:rtl/>
        </w:rPr>
        <w:t xml:space="preserve"> </w:t>
      </w:r>
      <w:r>
        <w:rPr>
          <w:rFonts w:ascii="Arial" w:hAnsi="Arial" w:hint="cs"/>
          <w:rtl/>
        </w:rPr>
        <w:t>כך מופיע, למשל</w:t>
      </w:r>
      <w:r>
        <w:rPr>
          <w:rFonts w:ascii="Arial" w:hAnsi="Arial" w:hint="cs"/>
          <w:color w:val="FF0000"/>
          <w:rtl/>
        </w:rPr>
        <w:t xml:space="preserve">, בחלק מנוסחאות </w:t>
      </w:r>
      <w:r>
        <w:rPr>
          <w:rFonts w:ascii="Arial" w:hAnsi="Arial" w:hint="cs"/>
          <w:rtl/>
        </w:rPr>
        <w:t>הלכות ה</w:t>
      </w:r>
      <w:r>
        <w:rPr>
          <w:rFonts w:ascii="Arial" w:hAnsi="Arial"/>
          <w:rtl/>
        </w:rPr>
        <w:t xml:space="preserve">רי"ף </w:t>
      </w:r>
      <w:r>
        <w:rPr>
          <w:rFonts w:ascii="Arial" w:hAnsi="Arial" w:hint="cs"/>
          <w:rtl/>
        </w:rPr>
        <w:t>(</w:t>
      </w:r>
      <w:r>
        <w:rPr>
          <w:rFonts w:ascii="Arial" w:hAnsi="Arial"/>
          <w:sz w:val="18"/>
          <w:szCs w:val="20"/>
          <w:rtl/>
        </w:rPr>
        <w:t>ז</w:t>
      </w:r>
      <w:r>
        <w:rPr>
          <w:rFonts w:ascii="Arial" w:hAnsi="Arial" w:hint="cs"/>
          <w:sz w:val="18"/>
          <w:szCs w:val="20"/>
          <w:rtl/>
        </w:rPr>
        <w:t xml:space="preserve">, </w:t>
      </w:r>
      <w:r>
        <w:rPr>
          <w:rFonts w:ascii="Arial" w:hAnsi="Arial"/>
          <w:sz w:val="18"/>
          <w:szCs w:val="20"/>
          <w:rtl/>
        </w:rPr>
        <w:t>א</w:t>
      </w:r>
      <w:r>
        <w:rPr>
          <w:rFonts w:ascii="Arial" w:hAnsi="Arial" w:hint="cs"/>
          <w:rtl/>
        </w:rPr>
        <w:t>) וספר המנהיג (</w:t>
      </w:r>
      <w:r>
        <w:rPr>
          <w:rFonts w:ascii="Arial" w:hAnsi="Arial" w:hint="cs"/>
          <w:sz w:val="18"/>
          <w:szCs w:val="20"/>
          <w:rtl/>
        </w:rPr>
        <w:t>מהדורת רפאל, עמ' קל</w:t>
      </w:r>
      <w:r>
        <w:rPr>
          <w:rFonts w:ascii="Arial" w:hAnsi="Arial" w:hint="cs"/>
          <w:rtl/>
        </w:rPr>
        <w:t>).</w:t>
      </w:r>
    </w:p>
  </w:footnote>
  <w:footnote w:id="465">
    <w:p w14:paraId="2A4AA3D3" w14:textId="77777777" w:rsidR="002B4B31" w:rsidRDefault="002B4B31" w:rsidP="002B4B31">
      <w:pPr>
        <w:pStyle w:val="a5"/>
        <w:rPr>
          <w:rtl/>
        </w:rPr>
      </w:pPr>
      <w:r>
        <w:rPr>
          <w:rStyle w:val="a4"/>
        </w:rPr>
        <w:footnoteRef/>
      </w:r>
      <w:r>
        <w:rPr>
          <w:rFonts w:hint="cs"/>
          <w:rtl/>
        </w:rPr>
        <w:t xml:space="preserve"> </w:t>
      </w:r>
      <w:r>
        <w:rPr>
          <w:rFonts w:ascii="Arial" w:hAnsi="Arial" w:hint="cs"/>
          <w:rtl/>
        </w:rPr>
        <w:t xml:space="preserve">וכך סובר רבינו זרחיה הלוי, </w:t>
      </w:r>
      <w:r>
        <w:rPr>
          <w:rFonts w:ascii="Arial" w:hAnsi="Arial"/>
          <w:rtl/>
        </w:rPr>
        <w:t xml:space="preserve">בעל המאור, </w:t>
      </w:r>
      <w:r>
        <w:rPr>
          <w:rFonts w:ascii="Arial" w:hAnsi="Arial" w:hint="cs"/>
          <w:rtl/>
        </w:rPr>
        <w:t>שמהותו של איסור זה הוא הִכָּנסות ל</w:t>
      </w:r>
      <w:r>
        <w:rPr>
          <w:rFonts w:ascii="Arial" w:hAnsi="Arial"/>
          <w:rtl/>
        </w:rPr>
        <w:t>מקום סכנה</w:t>
      </w:r>
      <w:r>
        <w:rPr>
          <w:rFonts w:ascii="Arial" w:hAnsi="Arial" w:hint="cs"/>
          <w:rtl/>
        </w:rPr>
        <w:t>, "</w:t>
      </w:r>
      <w:r>
        <w:rPr>
          <w:rFonts w:ascii="Arial" w:hAnsi="Arial"/>
          <w:rtl/>
        </w:rPr>
        <w:t xml:space="preserve">וכל שלשה ימים קודם לשבת </w:t>
      </w:r>
      <w:r>
        <w:rPr>
          <w:rFonts w:ascii="Arial" w:hAnsi="Arial" w:hint="cs"/>
          <w:rtl/>
        </w:rPr>
        <w:t>- '</w:t>
      </w:r>
      <w:r>
        <w:rPr>
          <w:rFonts w:ascii="Arial" w:hAnsi="Arial"/>
          <w:rtl/>
        </w:rPr>
        <w:t>קמי שבתא</w:t>
      </w:r>
      <w:r>
        <w:rPr>
          <w:rFonts w:ascii="Arial" w:hAnsi="Arial" w:hint="cs"/>
          <w:rtl/>
        </w:rPr>
        <w:t>'</w:t>
      </w:r>
      <w:r>
        <w:rPr>
          <w:rFonts w:ascii="Arial" w:hAnsi="Arial"/>
          <w:rtl/>
        </w:rPr>
        <w:t xml:space="preserve"> מקרי</w:t>
      </w:r>
      <w:r>
        <w:rPr>
          <w:rFonts w:ascii="Arial" w:hAnsi="Arial" w:hint="cs"/>
          <w:rtl/>
        </w:rPr>
        <w:t>,</w:t>
      </w:r>
      <w:r>
        <w:rPr>
          <w:rFonts w:ascii="Arial" w:hAnsi="Arial"/>
          <w:rtl/>
        </w:rPr>
        <w:t xml:space="preserve"> ונראה כמ</w:t>
      </w:r>
      <w:r>
        <w:rPr>
          <w:rFonts w:ascii="Arial" w:hAnsi="Arial" w:hint="cs"/>
          <w:rtl/>
        </w:rPr>
        <w:t>ַ</w:t>
      </w:r>
      <w:r>
        <w:rPr>
          <w:rFonts w:ascii="Arial" w:hAnsi="Arial"/>
          <w:rtl/>
        </w:rPr>
        <w:t>תנ</w:t>
      </w:r>
      <w:r>
        <w:rPr>
          <w:rFonts w:ascii="Arial" w:hAnsi="Arial" w:hint="cs"/>
          <w:rtl/>
        </w:rPr>
        <w:t>ֶ</w:t>
      </w:r>
      <w:r>
        <w:rPr>
          <w:rFonts w:ascii="Arial" w:hAnsi="Arial"/>
          <w:rtl/>
        </w:rPr>
        <w:t>ה לדחות את השבת מפני שאין דבר שעומד מפני פ</w:t>
      </w:r>
      <w:r>
        <w:rPr>
          <w:rFonts w:ascii="Arial" w:hAnsi="Arial" w:hint="cs"/>
          <w:rtl/>
        </w:rPr>
        <w:t>ִ</w:t>
      </w:r>
      <w:r>
        <w:rPr>
          <w:rFonts w:ascii="Arial" w:hAnsi="Arial"/>
          <w:rtl/>
        </w:rPr>
        <w:t xml:space="preserve">קוח נפש, </w:t>
      </w:r>
      <w:r>
        <w:rPr>
          <w:rFonts w:ascii="Arial" w:hAnsi="Arial"/>
          <w:b/>
          <w:bCs/>
          <w:rtl/>
        </w:rPr>
        <w:t>וה</w:t>
      </w:r>
      <w:r>
        <w:rPr>
          <w:rFonts w:ascii="Arial" w:hAnsi="Arial" w:hint="cs"/>
          <w:b/>
          <w:bCs/>
          <w:rtl/>
        </w:rPr>
        <w:t xml:space="preserve">וא </w:t>
      </w:r>
      <w:r>
        <w:rPr>
          <w:rFonts w:ascii="Arial" w:hAnsi="Arial"/>
          <w:b/>
          <w:bCs/>
          <w:rtl/>
        </w:rPr>
        <w:t>ה</w:t>
      </w:r>
      <w:r>
        <w:rPr>
          <w:rFonts w:ascii="Arial" w:hAnsi="Arial" w:hint="cs"/>
          <w:b/>
          <w:bCs/>
          <w:rtl/>
        </w:rPr>
        <w:t>דין</w:t>
      </w:r>
      <w:r>
        <w:rPr>
          <w:rFonts w:ascii="Arial" w:hAnsi="Arial"/>
          <w:b/>
          <w:bCs/>
          <w:rtl/>
        </w:rPr>
        <w:t xml:space="preserve"> להפריש במדברות</w:t>
      </w:r>
      <w:r>
        <w:rPr>
          <w:rFonts w:ascii="Arial" w:hAnsi="Arial"/>
          <w:rtl/>
        </w:rPr>
        <w:t xml:space="preserve"> וכל מקום סכנה שאדם עתיד לחלל בו את השבת</w:t>
      </w:r>
      <w:r>
        <w:rPr>
          <w:rFonts w:ascii="Arial" w:hAnsi="Arial" w:hint="cs"/>
          <w:rtl/>
        </w:rPr>
        <w:t>"</w:t>
      </w:r>
      <w:r>
        <w:rPr>
          <w:rFonts w:ascii="Arial" w:hAnsi="Arial"/>
          <w:rtl/>
        </w:rPr>
        <w:t>.</w:t>
      </w:r>
    </w:p>
  </w:footnote>
  <w:footnote w:id="466">
    <w:p w14:paraId="0C7BAE98" w14:textId="77777777" w:rsidR="002B4B31" w:rsidRDefault="002B4B31" w:rsidP="002B4B31">
      <w:pPr>
        <w:pStyle w:val="a5"/>
        <w:rPr>
          <w:rFonts w:hint="cs"/>
          <w:rtl/>
        </w:rPr>
      </w:pPr>
      <w:r>
        <w:rPr>
          <w:rStyle w:val="a4"/>
        </w:rPr>
        <w:footnoteRef/>
      </w:r>
      <w:r>
        <w:rPr>
          <w:rFonts w:hint="cs"/>
          <w:rtl/>
        </w:rPr>
        <w:t xml:space="preserve"> </w:t>
      </w:r>
      <w:r>
        <w:rPr>
          <w:rFonts w:ascii="Arial" w:hAnsi="Arial" w:hint="cs"/>
          <w:sz w:val="26"/>
          <w:rtl/>
        </w:rPr>
        <w:t xml:space="preserve">פרק </w:t>
      </w:r>
      <w:r>
        <w:rPr>
          <w:rFonts w:ascii="Arial" w:hAnsi="Arial"/>
          <w:sz w:val="26"/>
          <w:rtl/>
        </w:rPr>
        <w:t>י</w:t>
      </w:r>
      <w:r>
        <w:rPr>
          <w:rFonts w:ascii="Arial" w:hAnsi="Arial" w:hint="cs"/>
          <w:sz w:val="26"/>
          <w:rtl/>
        </w:rPr>
        <w:t>"ד</w:t>
      </w:r>
      <w:r>
        <w:rPr>
          <w:rFonts w:ascii="Arial" w:hAnsi="Arial"/>
          <w:sz w:val="26"/>
          <w:rtl/>
        </w:rPr>
        <w:t xml:space="preserve"> הלכה י</w:t>
      </w:r>
      <w:r>
        <w:rPr>
          <w:rFonts w:ascii="Arial" w:hAnsi="Arial" w:hint="cs"/>
          <w:sz w:val="26"/>
          <w:rtl/>
        </w:rPr>
        <w:t xml:space="preserve">"ב / פרק </w:t>
      </w:r>
      <w:r>
        <w:rPr>
          <w:rFonts w:ascii="Arial" w:hAnsi="Arial"/>
          <w:sz w:val="26"/>
          <w:rtl/>
        </w:rPr>
        <w:t>י</w:t>
      </w:r>
      <w:r>
        <w:rPr>
          <w:rFonts w:ascii="Arial" w:hAnsi="Arial" w:hint="cs"/>
          <w:sz w:val="26"/>
          <w:rtl/>
        </w:rPr>
        <w:t>"</w:t>
      </w:r>
      <w:r>
        <w:rPr>
          <w:rFonts w:ascii="Arial" w:hAnsi="Arial"/>
          <w:sz w:val="26"/>
          <w:rtl/>
        </w:rPr>
        <w:t>ג הלכה י</w:t>
      </w:r>
      <w:r>
        <w:rPr>
          <w:rFonts w:ascii="Arial" w:hAnsi="Arial" w:hint="cs"/>
          <w:sz w:val="26"/>
          <w:rtl/>
        </w:rPr>
        <w:t>"</w:t>
      </w:r>
      <w:r>
        <w:rPr>
          <w:rFonts w:ascii="Arial" w:hAnsi="Arial"/>
          <w:sz w:val="26"/>
          <w:rtl/>
        </w:rPr>
        <w:t>ג</w:t>
      </w:r>
      <w:r>
        <w:rPr>
          <w:rFonts w:ascii="Arial" w:hAnsi="Arial" w:hint="cs"/>
          <w:sz w:val="26"/>
          <w:rtl/>
        </w:rPr>
        <w:t>. בהגהות הגר"א נוסף "בספינה".</w:t>
      </w:r>
    </w:p>
  </w:footnote>
  <w:footnote w:id="467">
    <w:p w14:paraId="7FE5C7FE" w14:textId="77777777" w:rsidR="002B4B31" w:rsidRDefault="002B4B31" w:rsidP="002B4B31">
      <w:pPr>
        <w:pStyle w:val="a5"/>
        <w:rPr>
          <w:rFonts w:hint="cs"/>
          <w:rtl/>
        </w:rPr>
      </w:pPr>
      <w:r>
        <w:rPr>
          <w:rStyle w:val="a4"/>
        </w:rPr>
        <w:footnoteRef/>
      </w:r>
      <w:r>
        <w:rPr>
          <w:rFonts w:hint="cs"/>
          <w:rtl/>
        </w:rPr>
        <w:t xml:space="preserve"> </w:t>
      </w:r>
      <w:r>
        <w:rPr>
          <w:rFonts w:ascii="Arial" w:hAnsi="Arial" w:hint="cs"/>
          <w:rtl/>
        </w:rPr>
        <w:t>מהדורת הופמן (</w:t>
      </w:r>
      <w:r>
        <w:rPr>
          <w:rFonts w:ascii="Arial" w:hAnsi="Arial"/>
          <w:sz w:val="18"/>
          <w:szCs w:val="20"/>
          <w:rtl/>
        </w:rPr>
        <w:t>כ</w:t>
      </w:r>
      <w:r>
        <w:rPr>
          <w:rFonts w:ascii="Arial" w:hAnsi="Arial" w:hint="cs"/>
          <w:sz w:val="18"/>
          <w:szCs w:val="20"/>
          <w:rtl/>
        </w:rPr>
        <w:t xml:space="preserve">, </w:t>
      </w:r>
      <w:r>
        <w:rPr>
          <w:rFonts w:ascii="Arial" w:hAnsi="Arial"/>
          <w:sz w:val="18"/>
          <w:szCs w:val="20"/>
          <w:rtl/>
        </w:rPr>
        <w:t>כ</w:t>
      </w:r>
      <w:r>
        <w:rPr>
          <w:rFonts w:ascii="Arial" w:hAnsi="Arial" w:hint="cs"/>
          <w:rtl/>
        </w:rPr>
        <w:t>), וכן הוא ב</w:t>
      </w:r>
      <w:r>
        <w:rPr>
          <w:rFonts w:ascii="Arial" w:hAnsi="Arial"/>
          <w:rtl/>
        </w:rPr>
        <w:t xml:space="preserve">ספרי </w:t>
      </w:r>
      <w:r>
        <w:rPr>
          <w:rFonts w:ascii="Arial" w:hAnsi="Arial" w:hint="cs"/>
          <w:rtl/>
        </w:rPr>
        <w:t>(</w:t>
      </w:r>
      <w:r>
        <w:rPr>
          <w:rFonts w:ascii="Arial" w:hAnsi="Arial"/>
          <w:sz w:val="18"/>
          <w:szCs w:val="20"/>
          <w:rtl/>
        </w:rPr>
        <w:t>דברים פיסקא רג</w:t>
      </w:r>
      <w:r>
        <w:rPr>
          <w:rFonts w:ascii="Arial" w:hAnsi="Arial" w:hint="cs"/>
          <w:rtl/>
        </w:rPr>
        <w:t>),</w:t>
      </w:r>
      <w:r>
        <w:rPr>
          <w:rFonts w:ascii="Arial" w:hAnsi="Arial"/>
          <w:rtl/>
        </w:rPr>
        <w:t xml:space="preserve"> </w:t>
      </w:r>
      <w:r>
        <w:rPr>
          <w:rFonts w:ascii="Arial" w:hAnsi="Arial" w:hint="cs"/>
          <w:rtl/>
        </w:rPr>
        <w:t>ב</w:t>
      </w:r>
      <w:r>
        <w:rPr>
          <w:rFonts w:ascii="Arial" w:hAnsi="Arial"/>
          <w:rtl/>
        </w:rPr>
        <w:t>תנחומא</w:t>
      </w:r>
      <w:r>
        <w:rPr>
          <w:rFonts w:ascii="Arial" w:hAnsi="Arial" w:hint="cs"/>
          <w:rtl/>
        </w:rPr>
        <w:t xml:space="preserve"> (</w:t>
      </w:r>
      <w:r>
        <w:rPr>
          <w:rFonts w:ascii="Arial" w:hAnsi="Arial"/>
          <w:sz w:val="18"/>
          <w:szCs w:val="20"/>
          <w:rtl/>
        </w:rPr>
        <w:t>ורש</w:t>
      </w:r>
      <w:r>
        <w:rPr>
          <w:rFonts w:ascii="Arial" w:hAnsi="Arial" w:hint="cs"/>
          <w:sz w:val="18"/>
          <w:szCs w:val="20"/>
          <w:rtl/>
        </w:rPr>
        <w:t xml:space="preserve">ה, </w:t>
      </w:r>
      <w:r>
        <w:rPr>
          <w:rFonts w:ascii="Arial" w:hAnsi="Arial"/>
          <w:sz w:val="18"/>
          <w:szCs w:val="20"/>
          <w:rtl/>
        </w:rPr>
        <w:t>שלח</w:t>
      </w:r>
      <w:r>
        <w:rPr>
          <w:rFonts w:ascii="Arial" w:hAnsi="Arial" w:hint="cs"/>
          <w:rtl/>
        </w:rPr>
        <w:t>), ב</w:t>
      </w:r>
      <w:r>
        <w:rPr>
          <w:rFonts w:ascii="Arial" w:hAnsi="Arial"/>
          <w:rtl/>
        </w:rPr>
        <w:t xml:space="preserve">מדרש הגדול </w:t>
      </w:r>
      <w:r>
        <w:rPr>
          <w:rFonts w:ascii="Arial" w:hAnsi="Arial" w:hint="cs"/>
          <w:rtl/>
        </w:rPr>
        <w:t>ועוד.</w:t>
      </w:r>
    </w:p>
  </w:footnote>
  <w:footnote w:id="468">
    <w:p w14:paraId="2D36661E" w14:textId="77777777" w:rsidR="002B4B31" w:rsidRDefault="002B4B31" w:rsidP="002B4B31">
      <w:pPr>
        <w:pStyle w:val="a5"/>
        <w:rPr>
          <w:rtl/>
        </w:rPr>
      </w:pPr>
      <w:r>
        <w:rPr>
          <w:rStyle w:val="a4"/>
        </w:rPr>
        <w:footnoteRef/>
      </w:r>
      <w:r>
        <w:rPr>
          <w:rFonts w:hint="cs"/>
          <w:rtl/>
        </w:rPr>
        <w:t xml:space="preserve"> </w:t>
      </w:r>
      <w:r>
        <w:rPr>
          <w:rFonts w:ascii="Arial" w:hAnsi="Arial" w:hint="cs"/>
          <w:rtl/>
        </w:rPr>
        <w:t>לכאורה היה מקום לסייע מכאן לדעת (</w:t>
      </w:r>
      <w:r>
        <w:rPr>
          <w:rFonts w:ascii="Arial" w:hAnsi="Arial" w:hint="cs"/>
          <w:sz w:val="18"/>
          <w:szCs w:val="20"/>
          <w:rtl/>
        </w:rPr>
        <w:t xml:space="preserve">רשב"ם, </w:t>
      </w:r>
      <w:r>
        <w:rPr>
          <w:rFonts w:ascii="Arial" w:hAnsi="Arial"/>
          <w:sz w:val="18"/>
          <w:szCs w:val="20"/>
          <w:rtl/>
        </w:rPr>
        <w:t xml:space="preserve">עירובין </w:t>
      </w:r>
      <w:r>
        <w:rPr>
          <w:rFonts w:ascii="Arial" w:hAnsi="Arial"/>
          <w:szCs w:val="20"/>
          <w:rtl/>
        </w:rPr>
        <w:t>מג</w:t>
      </w:r>
      <w:r>
        <w:rPr>
          <w:rFonts w:ascii="Arial" w:hAnsi="Arial" w:hint="cs"/>
          <w:szCs w:val="20"/>
          <w:rtl/>
        </w:rPr>
        <w:t xml:space="preserve">, </w:t>
      </w:r>
      <w:r>
        <w:rPr>
          <w:rFonts w:ascii="Arial" w:hAnsi="Arial"/>
          <w:sz w:val="18"/>
          <w:szCs w:val="20"/>
          <w:rtl/>
        </w:rPr>
        <w:t xml:space="preserve">א </w:t>
      </w:r>
      <w:r>
        <w:rPr>
          <w:rFonts w:ascii="Arial" w:hAnsi="Arial" w:hint="cs"/>
          <w:szCs w:val="20"/>
          <w:rtl/>
        </w:rPr>
        <w:t xml:space="preserve">תוד"ה </w:t>
      </w:r>
      <w:r>
        <w:rPr>
          <w:rFonts w:ascii="Arial" w:hAnsi="Arial"/>
          <w:sz w:val="18"/>
          <w:szCs w:val="20"/>
          <w:rtl/>
        </w:rPr>
        <w:t>הלכה כרבן</w:t>
      </w:r>
      <w:r>
        <w:rPr>
          <w:rFonts w:ascii="Arial" w:hAnsi="Arial" w:hint="cs"/>
          <w:sz w:val="18"/>
          <w:szCs w:val="20"/>
          <w:rtl/>
        </w:rPr>
        <w:t>; וכ"כ ראב"ן הירחי</w:t>
      </w:r>
      <w:r>
        <w:rPr>
          <w:rFonts w:ascii="Arial" w:hAnsi="Arial" w:hint="cs"/>
          <w:szCs w:val="20"/>
          <w:rtl/>
        </w:rPr>
        <w:t xml:space="preserve">, ספר </w:t>
      </w:r>
      <w:r>
        <w:rPr>
          <w:rFonts w:ascii="Arial" w:hAnsi="Arial" w:hint="cs"/>
          <w:sz w:val="18"/>
          <w:szCs w:val="20"/>
          <w:rtl/>
        </w:rPr>
        <w:t>המנהיג, שם, עמ' קלא</w:t>
      </w:r>
      <w:r>
        <w:rPr>
          <w:rFonts w:ascii="Arial" w:hAnsi="Arial" w:hint="cs"/>
          <w:rtl/>
        </w:rPr>
        <w:t>) הסוברים שהברייתא בסוגייתנו "</w:t>
      </w:r>
      <w:r>
        <w:rPr>
          <w:rFonts w:ascii="Arial" w:hAnsi="Arial"/>
          <w:rtl/>
        </w:rPr>
        <w:t>אתיא כב</w:t>
      </w:r>
      <w:r>
        <w:rPr>
          <w:rFonts w:ascii="Arial" w:hAnsi="Arial" w:hint="cs"/>
          <w:rtl/>
        </w:rPr>
        <w:t xml:space="preserve">ית </w:t>
      </w:r>
      <w:r>
        <w:rPr>
          <w:rFonts w:ascii="Arial" w:hAnsi="Arial"/>
          <w:rtl/>
        </w:rPr>
        <w:t>ש</w:t>
      </w:r>
      <w:r>
        <w:rPr>
          <w:rFonts w:ascii="Arial" w:hAnsi="Arial" w:hint="cs"/>
          <w:rtl/>
        </w:rPr>
        <w:t>מאי,</w:t>
      </w:r>
      <w:r>
        <w:rPr>
          <w:rFonts w:ascii="Arial" w:hAnsi="Arial"/>
          <w:rtl/>
        </w:rPr>
        <w:t xml:space="preserve"> דלא שרו לעשות מלאכה בערב שבת אלא בכדי שיעשו מבעוד יום</w:t>
      </w:r>
      <w:r>
        <w:rPr>
          <w:rFonts w:ascii="Arial" w:hAnsi="Arial" w:hint="cs"/>
          <w:rtl/>
        </w:rPr>
        <w:t xml:space="preserve">... </w:t>
      </w:r>
      <w:r>
        <w:rPr>
          <w:rFonts w:ascii="Arial" w:hAnsi="Arial"/>
          <w:rtl/>
        </w:rPr>
        <w:t xml:space="preserve">ואע"ג דבההיא ברייתא פליגי רבי ורבן שמעון בן גמליאל </w:t>
      </w:r>
      <w:r>
        <w:rPr>
          <w:rFonts w:ascii="Arial" w:hAnsi="Arial" w:hint="cs"/>
          <w:rtl/>
        </w:rPr>
        <w:t xml:space="preserve">- </w:t>
      </w:r>
      <w:r>
        <w:rPr>
          <w:rFonts w:ascii="Arial" w:hAnsi="Arial"/>
          <w:rtl/>
        </w:rPr>
        <w:t>אליבא דב"ש פליגי</w:t>
      </w:r>
      <w:r>
        <w:rPr>
          <w:rFonts w:ascii="Arial" w:hAnsi="Arial" w:hint="cs"/>
          <w:rtl/>
        </w:rPr>
        <w:t>!</w:t>
      </w:r>
      <w:r>
        <w:rPr>
          <w:rFonts w:ascii="Arial" w:hAnsi="Arial"/>
          <w:rtl/>
        </w:rPr>
        <w:t xml:space="preserve"> וכן משמע בירושלמי</w:t>
      </w:r>
      <w:r>
        <w:rPr>
          <w:rFonts w:ascii="Arial" w:hAnsi="Arial" w:hint="cs"/>
          <w:rtl/>
        </w:rPr>
        <w:t xml:space="preserve">". רבי </w:t>
      </w:r>
      <w:r>
        <w:rPr>
          <w:rFonts w:ascii="Arial" w:hAnsi="Arial"/>
          <w:rtl/>
        </w:rPr>
        <w:t xml:space="preserve">אריה ליב ילין </w:t>
      </w:r>
      <w:r>
        <w:rPr>
          <w:rFonts w:ascii="Arial" w:hAnsi="Arial" w:hint="cs"/>
          <w:rtl/>
        </w:rPr>
        <w:t>(</w:t>
      </w:r>
      <w:r>
        <w:rPr>
          <w:rFonts w:ascii="Arial" w:hAnsi="Arial"/>
          <w:sz w:val="18"/>
          <w:szCs w:val="20"/>
          <w:rtl/>
        </w:rPr>
        <w:t xml:space="preserve">בהגהות </w:t>
      </w:r>
      <w:r>
        <w:rPr>
          <w:rFonts w:ascii="Arial" w:hAnsi="Arial" w:hint="cs"/>
          <w:sz w:val="18"/>
          <w:szCs w:val="20"/>
          <w:rtl/>
        </w:rPr>
        <w:t>"</w:t>
      </w:r>
      <w:r>
        <w:rPr>
          <w:rFonts w:ascii="Arial" w:hAnsi="Arial"/>
          <w:sz w:val="18"/>
          <w:szCs w:val="20"/>
          <w:rtl/>
        </w:rPr>
        <w:t>יפה</w:t>
      </w:r>
      <w:r>
        <w:rPr>
          <w:rFonts w:ascii="Arial" w:hAnsi="Arial" w:hint="cs"/>
          <w:sz w:val="18"/>
          <w:szCs w:val="20"/>
          <w:rtl/>
        </w:rPr>
        <w:t xml:space="preserve"> </w:t>
      </w:r>
      <w:r>
        <w:rPr>
          <w:rFonts w:ascii="Arial" w:hAnsi="Arial"/>
          <w:sz w:val="18"/>
          <w:szCs w:val="20"/>
          <w:rtl/>
        </w:rPr>
        <w:t>עינים</w:t>
      </w:r>
      <w:r>
        <w:rPr>
          <w:rFonts w:ascii="Arial" w:hAnsi="Arial" w:hint="cs"/>
          <w:sz w:val="18"/>
          <w:szCs w:val="20"/>
          <w:rtl/>
        </w:rPr>
        <w:t>"</w:t>
      </w:r>
      <w:r>
        <w:rPr>
          <w:rFonts w:ascii="Arial" w:hAnsi="Arial" w:hint="cs"/>
          <w:rtl/>
        </w:rPr>
        <w:t>)</w:t>
      </w:r>
      <w:r>
        <w:rPr>
          <w:rFonts w:ascii="Arial" w:hAnsi="Arial"/>
          <w:rtl/>
        </w:rPr>
        <w:t xml:space="preserve"> </w:t>
      </w:r>
      <w:r>
        <w:rPr>
          <w:rFonts w:ascii="Arial" w:hAnsi="Arial" w:hint="cs"/>
          <w:rtl/>
        </w:rPr>
        <w:t>דוחה סיוע זה: "ומשם אין להכריח דבית שמאי היא ולא בית הלל, דיש לומר דשמאי הוא בעל המאמר, אבל גם בית הלל מודו, דהלֹא (</w:t>
      </w:r>
      <w:r>
        <w:rPr>
          <w:rFonts w:ascii="Arial" w:hAnsi="Arial" w:hint="cs"/>
          <w:sz w:val="18"/>
          <w:szCs w:val="20"/>
          <w:rtl/>
        </w:rPr>
        <w:t xml:space="preserve">כדברי </w:t>
      </w:r>
      <w:r>
        <w:rPr>
          <w:rFonts w:ascii="Arial" w:hAnsi="Arial"/>
          <w:sz w:val="18"/>
          <w:szCs w:val="20"/>
          <w:rtl/>
        </w:rPr>
        <w:t>רב הונא</w:t>
      </w:r>
      <w:r>
        <w:rPr>
          <w:rFonts w:ascii="Arial" w:hAnsi="Arial" w:hint="cs"/>
          <w:sz w:val="18"/>
          <w:szCs w:val="20"/>
          <w:rtl/>
        </w:rPr>
        <w:t xml:space="preserve"> לעיל </w:t>
      </w:r>
      <w:r>
        <w:rPr>
          <w:rFonts w:ascii="Arial" w:hAnsi="Arial"/>
          <w:sz w:val="18"/>
          <w:szCs w:val="20"/>
          <w:rtl/>
        </w:rPr>
        <w:t>דף טו</w:t>
      </w:r>
      <w:r>
        <w:rPr>
          <w:rFonts w:ascii="Arial" w:hAnsi="Arial" w:hint="cs"/>
          <w:sz w:val="18"/>
          <w:szCs w:val="20"/>
          <w:rtl/>
        </w:rPr>
        <w:t xml:space="preserve">, </w:t>
      </w:r>
      <w:r>
        <w:rPr>
          <w:rFonts w:ascii="Arial" w:hAnsi="Arial"/>
          <w:sz w:val="18"/>
          <w:szCs w:val="20"/>
          <w:rtl/>
        </w:rPr>
        <w:t>א</w:t>
      </w:r>
      <w:r>
        <w:rPr>
          <w:rFonts w:ascii="Arial" w:hAnsi="Arial" w:hint="cs"/>
          <w:rtl/>
        </w:rPr>
        <w:t xml:space="preserve">) שמאי והלל לא נחלקו כי אם בשלושה מקומות". </w:t>
      </w:r>
      <w:r>
        <w:rPr>
          <w:rFonts w:ascii="Arial" w:hAnsi="Arial" w:hint="cs"/>
          <w:sz w:val="26"/>
          <w:rtl/>
        </w:rPr>
        <w:t>וע"ע בחידושי הריצ"ד כאן ובערובין מא, ב.</w:t>
      </w:r>
    </w:p>
  </w:footnote>
  <w:footnote w:id="469">
    <w:p w14:paraId="1AF856B5" w14:textId="77777777" w:rsidR="002B4B31" w:rsidRDefault="002B4B31" w:rsidP="002B4B31">
      <w:pPr>
        <w:pStyle w:val="a5"/>
        <w:rPr>
          <w:rtl/>
        </w:rPr>
      </w:pPr>
      <w:r>
        <w:rPr>
          <w:rStyle w:val="a4"/>
        </w:rPr>
        <w:footnoteRef/>
      </w:r>
      <w:r>
        <w:rPr>
          <w:rFonts w:hint="cs"/>
          <w:rtl/>
        </w:rPr>
        <w:t xml:space="preserve"> </w:t>
      </w:r>
      <w:r>
        <w:rPr>
          <w:rFonts w:ascii="Arial" w:hAnsi="Arial"/>
          <w:sz w:val="26"/>
          <w:rtl/>
        </w:rPr>
        <w:t xml:space="preserve">ספר העיתים </w:t>
      </w:r>
      <w:r>
        <w:rPr>
          <w:rFonts w:ascii="Arial" w:hAnsi="Arial" w:hint="cs"/>
          <w:sz w:val="26"/>
          <w:rtl/>
        </w:rPr>
        <w:t>(</w:t>
      </w:r>
      <w:r>
        <w:rPr>
          <w:rFonts w:ascii="Arial" w:hAnsi="Arial" w:hint="cs"/>
          <w:sz w:val="18"/>
          <w:szCs w:val="20"/>
          <w:rtl/>
        </w:rPr>
        <w:t xml:space="preserve">ריש </w:t>
      </w:r>
      <w:r>
        <w:rPr>
          <w:rFonts w:ascii="Arial" w:hAnsi="Arial"/>
          <w:sz w:val="18"/>
          <w:szCs w:val="20"/>
          <w:rtl/>
        </w:rPr>
        <w:t>סימן א</w:t>
      </w:r>
      <w:r>
        <w:rPr>
          <w:rFonts w:ascii="Arial" w:hAnsi="Arial" w:hint="cs"/>
          <w:sz w:val="18"/>
          <w:szCs w:val="20"/>
          <w:rtl/>
        </w:rPr>
        <w:t>'</w:t>
      </w:r>
      <w:r>
        <w:rPr>
          <w:rFonts w:ascii="Arial" w:hAnsi="Arial" w:hint="cs"/>
          <w:sz w:val="26"/>
          <w:rtl/>
        </w:rPr>
        <w:t>).</w:t>
      </w:r>
    </w:p>
  </w:footnote>
  <w:footnote w:id="470">
    <w:p w14:paraId="44230E02" w14:textId="77777777" w:rsidR="002B4B31" w:rsidRDefault="002B4B31" w:rsidP="002B4B31">
      <w:pPr>
        <w:pStyle w:val="a5"/>
        <w:rPr>
          <w:rtl/>
        </w:rPr>
      </w:pPr>
      <w:r>
        <w:rPr>
          <w:rStyle w:val="a4"/>
        </w:rPr>
        <w:footnoteRef/>
      </w:r>
      <w:r>
        <w:rPr>
          <w:rFonts w:hint="cs"/>
          <w:rtl/>
        </w:rPr>
        <w:t xml:space="preserve"> </w:t>
      </w:r>
      <w:r>
        <w:rPr>
          <w:rFonts w:ascii="Arial" w:hAnsi="Arial"/>
          <w:sz w:val="26"/>
          <w:rtl/>
        </w:rPr>
        <w:t>תשובות הגאונים</w:t>
      </w:r>
      <w:r>
        <w:rPr>
          <w:rFonts w:ascii="Arial" w:hAnsi="Arial" w:hint="cs"/>
          <w:sz w:val="26"/>
          <w:rtl/>
        </w:rPr>
        <w:t xml:space="preserve"> (</w:t>
      </w:r>
      <w:r>
        <w:rPr>
          <w:rFonts w:ascii="Arial" w:hAnsi="Arial" w:hint="cs"/>
          <w:sz w:val="18"/>
          <w:szCs w:val="20"/>
          <w:rtl/>
        </w:rPr>
        <w:t xml:space="preserve">ליק, </w:t>
      </w:r>
      <w:r>
        <w:rPr>
          <w:rFonts w:ascii="Arial" w:hAnsi="Arial"/>
          <w:sz w:val="18"/>
          <w:szCs w:val="20"/>
          <w:rtl/>
        </w:rPr>
        <w:t>סימן ס</w:t>
      </w:r>
      <w:r>
        <w:rPr>
          <w:rFonts w:ascii="Arial" w:hAnsi="Arial" w:hint="cs"/>
          <w:sz w:val="18"/>
          <w:szCs w:val="20"/>
          <w:rtl/>
        </w:rPr>
        <w:t>"</w:t>
      </w:r>
      <w:r>
        <w:rPr>
          <w:rFonts w:ascii="Arial" w:hAnsi="Arial"/>
          <w:sz w:val="18"/>
          <w:szCs w:val="20"/>
          <w:rtl/>
        </w:rPr>
        <w:t>א</w:t>
      </w:r>
      <w:r>
        <w:rPr>
          <w:rFonts w:ascii="Arial" w:hAnsi="Arial" w:hint="cs"/>
          <w:sz w:val="18"/>
          <w:szCs w:val="20"/>
          <w:rtl/>
        </w:rPr>
        <w:t>; אוצר הגאונים, התשובות, עמ' 18</w:t>
      </w:r>
      <w:r>
        <w:rPr>
          <w:rFonts w:ascii="Arial" w:hAnsi="Arial" w:hint="cs"/>
          <w:rtl/>
        </w:rPr>
        <w:t xml:space="preserve">). אמנם, בראש </w:t>
      </w:r>
      <w:r>
        <w:rPr>
          <w:rFonts w:ascii="Arial" w:hAnsi="Arial"/>
          <w:rtl/>
        </w:rPr>
        <w:t xml:space="preserve">ספר העיתים </w:t>
      </w:r>
      <w:r>
        <w:rPr>
          <w:rFonts w:ascii="Arial" w:hAnsi="Arial" w:hint="cs"/>
          <w:rtl/>
        </w:rPr>
        <w:t>מובאת תשובת רב האי גאון בניסוח אחר [המוסגר נוסף ע"י המהדיר]: "</w:t>
      </w:r>
      <w:r>
        <w:rPr>
          <w:rFonts w:ascii="Arial" w:hAnsi="Arial"/>
          <w:rtl/>
        </w:rPr>
        <w:t>וכשאתה מעיין בדברי</w:t>
      </w:r>
      <w:r>
        <w:rPr>
          <w:rFonts w:ascii="Arial" w:hAnsi="Arial" w:hint="cs"/>
          <w:rtl/>
        </w:rPr>
        <w:t xml:space="preserve"> </w:t>
      </w:r>
      <w:r>
        <w:rPr>
          <w:rFonts w:ascii="Arial" w:hAnsi="Arial"/>
          <w:rtl/>
        </w:rPr>
        <w:t>חכמים כולם אי אתה מוצא דב"ז [אלא] בים לבד והפלגה היא שאמרו, אין מפליגין, ומופלג [לאו] היא בנהרות כדרך שהיא מופלג כשהיא בים</w:t>
      </w:r>
      <w:r>
        <w:rPr>
          <w:rFonts w:ascii="Arial" w:hAnsi="Arial" w:hint="cs"/>
          <w:rtl/>
        </w:rPr>
        <w:t>". ממהלך תשובת רב האי משמע שאין לתקן כנ"ל, ואין להעמיד את רב האי בשיטת הרמב"ם, וכן הוער באוצר הגאונים (</w:t>
      </w:r>
      <w:r>
        <w:rPr>
          <w:rFonts w:ascii="Arial" w:hAnsi="Arial" w:hint="cs"/>
          <w:sz w:val="18"/>
          <w:szCs w:val="20"/>
          <w:rtl/>
        </w:rPr>
        <w:t>שם, הערה ב'</w:t>
      </w:r>
      <w:r>
        <w:rPr>
          <w:rFonts w:ascii="Arial" w:hAnsi="Arial" w:hint="cs"/>
          <w:rtl/>
        </w:rPr>
        <w:t>) "מו"ל העתים... הפך כוונת הגאון".</w:t>
      </w:r>
    </w:p>
  </w:footnote>
  <w:footnote w:id="471">
    <w:p w14:paraId="0FDD3BAB" w14:textId="77777777" w:rsidR="002B4B31" w:rsidRDefault="002B4B31" w:rsidP="002B4B31">
      <w:pPr>
        <w:pStyle w:val="a5"/>
        <w:rPr>
          <w:rFonts w:hint="cs"/>
          <w:rtl/>
        </w:rPr>
      </w:pPr>
      <w:r>
        <w:rPr>
          <w:rStyle w:val="a4"/>
        </w:rPr>
        <w:footnoteRef/>
      </w:r>
      <w:r>
        <w:rPr>
          <w:rFonts w:hint="cs"/>
          <w:rtl/>
        </w:rPr>
        <w:t xml:space="preserve"> </w:t>
      </w:r>
      <w:r>
        <w:rPr>
          <w:rFonts w:ascii="Arial" w:hAnsi="Arial" w:hint="cs"/>
          <w:rtl/>
        </w:rPr>
        <w:t xml:space="preserve">ראה </w:t>
      </w:r>
      <w:r>
        <w:rPr>
          <w:rFonts w:ascii="Arial" w:hAnsi="Arial"/>
          <w:rtl/>
        </w:rPr>
        <w:t>עָר</w:t>
      </w:r>
      <w:r>
        <w:rPr>
          <w:rFonts w:ascii="Arial" w:hAnsi="Arial" w:hint="cs"/>
          <w:rtl/>
        </w:rPr>
        <w:t>ו</w:t>
      </w:r>
      <w:r>
        <w:rPr>
          <w:rFonts w:ascii="Arial" w:hAnsi="Arial"/>
          <w:rtl/>
        </w:rPr>
        <w:t xml:space="preserve">ֹךְ הַשֻּׁלְחָן </w:t>
      </w:r>
      <w:r>
        <w:rPr>
          <w:rFonts w:ascii="Arial" w:hAnsi="Arial" w:hint="cs"/>
          <w:sz w:val="26"/>
          <w:rtl/>
        </w:rPr>
        <w:t>(</w:t>
      </w:r>
      <w:r>
        <w:rPr>
          <w:rFonts w:ascii="Arial" w:hAnsi="Arial" w:hint="cs"/>
          <w:sz w:val="18"/>
          <w:szCs w:val="20"/>
          <w:rtl/>
        </w:rPr>
        <w:t>רמ"ח, ג'</w:t>
      </w:r>
      <w:r>
        <w:rPr>
          <w:rFonts w:ascii="Arial" w:hAnsi="Arial" w:hint="cs"/>
          <w:sz w:val="26"/>
          <w:rtl/>
        </w:rPr>
        <w:t>).</w:t>
      </w:r>
    </w:p>
  </w:footnote>
  <w:footnote w:id="472">
    <w:p w14:paraId="3546D9E7" w14:textId="77777777" w:rsidR="002B4B31" w:rsidRDefault="002B4B31" w:rsidP="002B4B31">
      <w:pPr>
        <w:pStyle w:val="a5"/>
        <w:rPr>
          <w:rtl/>
        </w:rPr>
      </w:pPr>
      <w:r>
        <w:rPr>
          <w:rStyle w:val="a4"/>
        </w:rPr>
        <w:footnoteRef/>
      </w:r>
      <w:r>
        <w:rPr>
          <w:rFonts w:hint="cs"/>
          <w:rtl/>
        </w:rPr>
        <w:t xml:space="preserve"> </w:t>
      </w:r>
      <w:r>
        <w:rPr>
          <w:rFonts w:ascii="Arial" w:hAnsi="Arial" w:hint="cs"/>
          <w:sz w:val="24"/>
          <w:rtl/>
        </w:rPr>
        <w:t>כיו"ב מצאתי בחידושי "</w:t>
      </w:r>
      <w:r>
        <w:rPr>
          <w:rFonts w:ascii="Arial" w:hAnsi="Arial" w:hint="cs"/>
          <w:sz w:val="26"/>
          <w:rtl/>
        </w:rPr>
        <w:t>ביצחק יקרא"</w:t>
      </w:r>
      <w:r>
        <w:rPr>
          <w:rFonts w:ascii="Arial" w:hAnsi="Arial" w:hint="cs"/>
          <w:sz w:val="30"/>
          <w:szCs w:val="28"/>
          <w:rtl/>
        </w:rPr>
        <w:t xml:space="preserve"> </w:t>
      </w:r>
      <w:r>
        <w:rPr>
          <w:rFonts w:ascii="Arial" w:hAnsi="Arial" w:hint="cs"/>
          <w:sz w:val="24"/>
          <w:rtl/>
        </w:rPr>
        <w:t>לר"א נבנצל (</w:t>
      </w:r>
      <w:r>
        <w:rPr>
          <w:rFonts w:ascii="Arial" w:hAnsi="Arial" w:hint="cs"/>
          <w:sz w:val="18"/>
          <w:szCs w:val="20"/>
          <w:rtl/>
        </w:rPr>
        <w:t>בתוך: ירושלים במועדיה - שבת קודש, תש"ע, עמ' רס"ו</w:t>
      </w:r>
      <w:r>
        <w:rPr>
          <w:rFonts w:ascii="Arial" w:hAnsi="Arial" w:hint="cs"/>
          <w:sz w:val="24"/>
          <w:rtl/>
        </w:rPr>
        <w:t>). אמנם, אין הכרח לומר את ההפך, שפירוש רש"י, שהפלגה היא פריש</w:t>
      </w:r>
      <w:r>
        <w:rPr>
          <w:rFonts w:ascii="Arial" w:hAnsi="Arial" w:hint="cs"/>
          <w:rtl/>
        </w:rPr>
        <w:t>ה, מחייבת לסבור כרב האי גאון, כי ניתן לפרש שההפלגה היא פרישה והתרחקות במרחק רב יותר מאשר בנהר: "ומשום הכי קתני 'אין מפליגין' ענינו שהם יבדילו ויתרחקו מן הארץ ומן החוף רחוק נבדל ופלג רב, אמנם נהרות אין בהם הפלגה" (</w:t>
      </w:r>
      <w:r>
        <w:rPr>
          <w:rFonts w:ascii="Arial" w:hAnsi="Arial" w:hint="cs"/>
          <w:sz w:val="26"/>
          <w:rtl/>
        </w:rPr>
        <w:t xml:space="preserve">קרבן נתנאל </w:t>
      </w:r>
      <w:r>
        <w:rPr>
          <w:rFonts w:ascii="Arial" w:hAnsi="Arial" w:hint="cs"/>
          <w:sz w:val="18"/>
          <w:szCs w:val="20"/>
          <w:rtl/>
        </w:rPr>
        <w:t>אות מ'</w:t>
      </w:r>
      <w:r>
        <w:rPr>
          <w:rFonts w:ascii="Arial" w:hAnsi="Arial" w:hint="cs"/>
          <w:sz w:val="26"/>
          <w:rtl/>
        </w:rPr>
        <w:t xml:space="preserve">). </w:t>
      </w:r>
      <w:r>
        <w:rPr>
          <w:rFonts w:ascii="Arial" w:hAnsi="Arial" w:hint="cs"/>
          <w:rtl/>
        </w:rPr>
        <w:t>מעניין לציין כי בפירוש רש"י שעל הרי"ף בערובין (</w:t>
      </w:r>
      <w:r>
        <w:rPr>
          <w:rFonts w:ascii="Arial" w:hAnsi="Arial" w:hint="cs"/>
          <w:sz w:val="18"/>
          <w:szCs w:val="20"/>
          <w:rtl/>
        </w:rPr>
        <w:t xml:space="preserve">הובא </w:t>
      </w:r>
      <w:r>
        <w:rPr>
          <w:rFonts w:hint="cs"/>
          <w:sz w:val="18"/>
          <w:szCs w:val="20"/>
          <w:rtl/>
        </w:rPr>
        <w:t>לעיל</w:t>
      </w:r>
      <w:r>
        <w:rPr>
          <w:rFonts w:hint="cs"/>
          <w:rtl/>
        </w:rPr>
        <w:t xml:space="preserve">) מדובר על הפלגה </w:t>
      </w:r>
      <w:r>
        <w:rPr>
          <w:rFonts w:hint="cs"/>
          <w:b/>
          <w:bCs/>
          <w:rtl/>
        </w:rPr>
        <w:t>בנהר!</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12F49"/>
    <w:multiLevelType w:val="hybridMultilevel"/>
    <w:tmpl w:val="C1EC2A40"/>
    <w:lvl w:ilvl="0" w:tplc="8146ED2C">
      <w:start w:val="1"/>
      <w:numFmt w:val="decimal"/>
      <w:pStyle w:val="5"/>
      <w:lvlText w:val="%1."/>
      <w:lvlJc w:val="left"/>
      <w:pPr>
        <w:tabs>
          <w:tab w:val="num" w:pos="720"/>
        </w:tabs>
        <w:ind w:left="720" w:right="720" w:hanging="360"/>
      </w:pPr>
      <w:rPr>
        <w:rFonts w:hint="default"/>
        <w:color w:val="0000FF"/>
        <w:sz w:val="16"/>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 w15:restartNumberingAfterBreak="0">
    <w:nsid w:val="107768F6"/>
    <w:multiLevelType w:val="hybridMultilevel"/>
    <w:tmpl w:val="39F4B048"/>
    <w:lvl w:ilvl="0" w:tplc="A2EA951E">
      <w:start w:val="1"/>
      <w:numFmt w:val="decimal"/>
      <w:lvlText w:val="%1."/>
      <w:lvlJc w:val="left"/>
      <w:pPr>
        <w:tabs>
          <w:tab w:val="num" w:pos="644"/>
        </w:tabs>
        <w:ind w:left="644" w:right="644" w:hanging="360"/>
      </w:pPr>
      <w:rPr>
        <w:rFonts w:hint="cs"/>
      </w:rPr>
    </w:lvl>
    <w:lvl w:ilvl="1" w:tplc="040D0019" w:tentative="1">
      <w:start w:val="1"/>
      <w:numFmt w:val="lowerLetter"/>
      <w:lvlText w:val="%2."/>
      <w:lvlJc w:val="left"/>
      <w:pPr>
        <w:tabs>
          <w:tab w:val="num" w:pos="1364"/>
        </w:tabs>
        <w:ind w:left="1364" w:right="1364" w:hanging="360"/>
      </w:pPr>
    </w:lvl>
    <w:lvl w:ilvl="2" w:tplc="040D001B" w:tentative="1">
      <w:start w:val="1"/>
      <w:numFmt w:val="lowerRoman"/>
      <w:lvlText w:val="%3."/>
      <w:lvlJc w:val="right"/>
      <w:pPr>
        <w:tabs>
          <w:tab w:val="num" w:pos="2084"/>
        </w:tabs>
        <w:ind w:left="2084" w:right="2084" w:hanging="180"/>
      </w:pPr>
    </w:lvl>
    <w:lvl w:ilvl="3" w:tplc="040D000F" w:tentative="1">
      <w:start w:val="1"/>
      <w:numFmt w:val="decimal"/>
      <w:lvlText w:val="%4."/>
      <w:lvlJc w:val="left"/>
      <w:pPr>
        <w:tabs>
          <w:tab w:val="num" w:pos="2804"/>
        </w:tabs>
        <w:ind w:left="2804" w:right="2804" w:hanging="360"/>
      </w:pPr>
    </w:lvl>
    <w:lvl w:ilvl="4" w:tplc="040D0019" w:tentative="1">
      <w:start w:val="1"/>
      <w:numFmt w:val="lowerLetter"/>
      <w:lvlText w:val="%5."/>
      <w:lvlJc w:val="left"/>
      <w:pPr>
        <w:tabs>
          <w:tab w:val="num" w:pos="3524"/>
        </w:tabs>
        <w:ind w:left="3524" w:right="3524" w:hanging="360"/>
      </w:pPr>
    </w:lvl>
    <w:lvl w:ilvl="5" w:tplc="040D001B" w:tentative="1">
      <w:start w:val="1"/>
      <w:numFmt w:val="lowerRoman"/>
      <w:lvlText w:val="%6."/>
      <w:lvlJc w:val="right"/>
      <w:pPr>
        <w:tabs>
          <w:tab w:val="num" w:pos="4244"/>
        </w:tabs>
        <w:ind w:left="4244" w:right="4244" w:hanging="180"/>
      </w:pPr>
    </w:lvl>
    <w:lvl w:ilvl="6" w:tplc="040D000F" w:tentative="1">
      <w:start w:val="1"/>
      <w:numFmt w:val="decimal"/>
      <w:lvlText w:val="%7."/>
      <w:lvlJc w:val="left"/>
      <w:pPr>
        <w:tabs>
          <w:tab w:val="num" w:pos="4964"/>
        </w:tabs>
        <w:ind w:left="4964" w:right="4964" w:hanging="360"/>
      </w:pPr>
    </w:lvl>
    <w:lvl w:ilvl="7" w:tplc="040D0019" w:tentative="1">
      <w:start w:val="1"/>
      <w:numFmt w:val="lowerLetter"/>
      <w:lvlText w:val="%8."/>
      <w:lvlJc w:val="left"/>
      <w:pPr>
        <w:tabs>
          <w:tab w:val="num" w:pos="5684"/>
        </w:tabs>
        <w:ind w:left="5684" w:right="5684" w:hanging="360"/>
      </w:pPr>
    </w:lvl>
    <w:lvl w:ilvl="8" w:tplc="040D001B" w:tentative="1">
      <w:start w:val="1"/>
      <w:numFmt w:val="lowerRoman"/>
      <w:lvlText w:val="%9."/>
      <w:lvlJc w:val="right"/>
      <w:pPr>
        <w:tabs>
          <w:tab w:val="num" w:pos="6404"/>
        </w:tabs>
        <w:ind w:left="6404" w:right="6404" w:hanging="180"/>
      </w:pPr>
    </w:lvl>
  </w:abstractNum>
  <w:abstractNum w:abstractNumId="2" w15:restartNumberingAfterBreak="0">
    <w:nsid w:val="126E4A40"/>
    <w:multiLevelType w:val="hybridMultilevel"/>
    <w:tmpl w:val="ED547918"/>
    <w:lvl w:ilvl="0" w:tplc="60BC7D56">
      <w:start w:val="1"/>
      <w:numFmt w:val="hebrew1"/>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 w15:restartNumberingAfterBreak="0">
    <w:nsid w:val="403E38ED"/>
    <w:multiLevelType w:val="hybridMultilevel"/>
    <w:tmpl w:val="D4F0BB28"/>
    <w:lvl w:ilvl="0" w:tplc="B2026C94">
      <w:start w:val="1"/>
      <w:numFmt w:val="hebrew1"/>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 w15:restartNumberingAfterBreak="0">
    <w:nsid w:val="79B86BD8"/>
    <w:multiLevelType w:val="hybridMultilevel"/>
    <w:tmpl w:val="B5D07858"/>
    <w:lvl w:ilvl="0" w:tplc="7B76C45C">
      <w:start w:val="1"/>
      <w:numFmt w:val="hebrew1"/>
      <w:lvlText w:val="%1."/>
      <w:lvlJc w:val="left"/>
      <w:pPr>
        <w:tabs>
          <w:tab w:val="num" w:pos="644"/>
        </w:tabs>
        <w:ind w:left="644" w:right="644" w:hanging="360"/>
      </w:pPr>
      <w:rPr>
        <w:rFonts w:hint="cs"/>
      </w:rPr>
    </w:lvl>
    <w:lvl w:ilvl="1" w:tplc="040D0019" w:tentative="1">
      <w:start w:val="1"/>
      <w:numFmt w:val="lowerLetter"/>
      <w:lvlText w:val="%2."/>
      <w:lvlJc w:val="left"/>
      <w:pPr>
        <w:tabs>
          <w:tab w:val="num" w:pos="1364"/>
        </w:tabs>
        <w:ind w:left="1364" w:right="1364" w:hanging="360"/>
      </w:pPr>
    </w:lvl>
    <w:lvl w:ilvl="2" w:tplc="040D001B" w:tentative="1">
      <w:start w:val="1"/>
      <w:numFmt w:val="lowerRoman"/>
      <w:lvlText w:val="%3."/>
      <w:lvlJc w:val="right"/>
      <w:pPr>
        <w:tabs>
          <w:tab w:val="num" w:pos="2084"/>
        </w:tabs>
        <w:ind w:left="2084" w:right="2084" w:hanging="180"/>
      </w:pPr>
    </w:lvl>
    <w:lvl w:ilvl="3" w:tplc="040D000F" w:tentative="1">
      <w:start w:val="1"/>
      <w:numFmt w:val="decimal"/>
      <w:lvlText w:val="%4."/>
      <w:lvlJc w:val="left"/>
      <w:pPr>
        <w:tabs>
          <w:tab w:val="num" w:pos="2804"/>
        </w:tabs>
        <w:ind w:left="2804" w:right="2804" w:hanging="360"/>
      </w:pPr>
    </w:lvl>
    <w:lvl w:ilvl="4" w:tplc="040D0019" w:tentative="1">
      <w:start w:val="1"/>
      <w:numFmt w:val="lowerLetter"/>
      <w:lvlText w:val="%5."/>
      <w:lvlJc w:val="left"/>
      <w:pPr>
        <w:tabs>
          <w:tab w:val="num" w:pos="3524"/>
        </w:tabs>
        <w:ind w:left="3524" w:right="3524" w:hanging="360"/>
      </w:pPr>
    </w:lvl>
    <w:lvl w:ilvl="5" w:tplc="040D001B" w:tentative="1">
      <w:start w:val="1"/>
      <w:numFmt w:val="lowerRoman"/>
      <w:lvlText w:val="%6."/>
      <w:lvlJc w:val="right"/>
      <w:pPr>
        <w:tabs>
          <w:tab w:val="num" w:pos="4244"/>
        </w:tabs>
        <w:ind w:left="4244" w:right="4244" w:hanging="180"/>
      </w:pPr>
    </w:lvl>
    <w:lvl w:ilvl="6" w:tplc="040D000F" w:tentative="1">
      <w:start w:val="1"/>
      <w:numFmt w:val="decimal"/>
      <w:lvlText w:val="%7."/>
      <w:lvlJc w:val="left"/>
      <w:pPr>
        <w:tabs>
          <w:tab w:val="num" w:pos="4964"/>
        </w:tabs>
        <w:ind w:left="4964" w:right="4964" w:hanging="360"/>
      </w:pPr>
    </w:lvl>
    <w:lvl w:ilvl="7" w:tplc="040D0019" w:tentative="1">
      <w:start w:val="1"/>
      <w:numFmt w:val="lowerLetter"/>
      <w:lvlText w:val="%8."/>
      <w:lvlJc w:val="left"/>
      <w:pPr>
        <w:tabs>
          <w:tab w:val="num" w:pos="5684"/>
        </w:tabs>
        <w:ind w:left="5684" w:right="5684" w:hanging="360"/>
      </w:pPr>
    </w:lvl>
    <w:lvl w:ilvl="8" w:tplc="040D001B" w:tentative="1">
      <w:start w:val="1"/>
      <w:numFmt w:val="lowerRoman"/>
      <w:lvlText w:val="%9."/>
      <w:lvlJc w:val="right"/>
      <w:pPr>
        <w:tabs>
          <w:tab w:val="num" w:pos="6404"/>
        </w:tabs>
        <w:ind w:left="6404" w:right="6404" w:hanging="180"/>
      </w:pPr>
    </w:lvl>
  </w:abstractNum>
  <w:abstractNum w:abstractNumId="5" w15:restartNumberingAfterBreak="0">
    <w:nsid w:val="7A822FA4"/>
    <w:multiLevelType w:val="hybridMultilevel"/>
    <w:tmpl w:val="DFE845F0"/>
    <w:lvl w:ilvl="0" w:tplc="040D0013">
      <w:start w:val="1"/>
      <w:numFmt w:val="hebrew1"/>
      <w:lvlText w:val="%1."/>
      <w:lvlJc w:val="center"/>
      <w:pPr>
        <w:tabs>
          <w:tab w:val="num" w:pos="1004"/>
        </w:tabs>
        <w:ind w:left="1004" w:right="1004" w:hanging="360"/>
      </w:pPr>
    </w:lvl>
    <w:lvl w:ilvl="1" w:tplc="040D0019" w:tentative="1">
      <w:start w:val="1"/>
      <w:numFmt w:val="lowerLetter"/>
      <w:lvlText w:val="%2."/>
      <w:lvlJc w:val="left"/>
      <w:pPr>
        <w:tabs>
          <w:tab w:val="num" w:pos="1724"/>
        </w:tabs>
        <w:ind w:left="1724" w:right="1724" w:hanging="360"/>
      </w:pPr>
    </w:lvl>
    <w:lvl w:ilvl="2" w:tplc="040D001B" w:tentative="1">
      <w:start w:val="1"/>
      <w:numFmt w:val="lowerRoman"/>
      <w:lvlText w:val="%3."/>
      <w:lvlJc w:val="right"/>
      <w:pPr>
        <w:tabs>
          <w:tab w:val="num" w:pos="2444"/>
        </w:tabs>
        <w:ind w:left="2444" w:right="2444" w:hanging="180"/>
      </w:pPr>
    </w:lvl>
    <w:lvl w:ilvl="3" w:tplc="040D000F" w:tentative="1">
      <w:start w:val="1"/>
      <w:numFmt w:val="decimal"/>
      <w:lvlText w:val="%4."/>
      <w:lvlJc w:val="left"/>
      <w:pPr>
        <w:tabs>
          <w:tab w:val="num" w:pos="3164"/>
        </w:tabs>
        <w:ind w:left="3164" w:right="3164" w:hanging="360"/>
      </w:pPr>
    </w:lvl>
    <w:lvl w:ilvl="4" w:tplc="040D0019" w:tentative="1">
      <w:start w:val="1"/>
      <w:numFmt w:val="lowerLetter"/>
      <w:lvlText w:val="%5."/>
      <w:lvlJc w:val="left"/>
      <w:pPr>
        <w:tabs>
          <w:tab w:val="num" w:pos="3884"/>
        </w:tabs>
        <w:ind w:left="3884" w:right="3884" w:hanging="360"/>
      </w:pPr>
    </w:lvl>
    <w:lvl w:ilvl="5" w:tplc="040D001B" w:tentative="1">
      <w:start w:val="1"/>
      <w:numFmt w:val="lowerRoman"/>
      <w:lvlText w:val="%6."/>
      <w:lvlJc w:val="right"/>
      <w:pPr>
        <w:tabs>
          <w:tab w:val="num" w:pos="4604"/>
        </w:tabs>
        <w:ind w:left="4604" w:right="4604" w:hanging="180"/>
      </w:pPr>
    </w:lvl>
    <w:lvl w:ilvl="6" w:tplc="040D000F" w:tentative="1">
      <w:start w:val="1"/>
      <w:numFmt w:val="decimal"/>
      <w:lvlText w:val="%7."/>
      <w:lvlJc w:val="left"/>
      <w:pPr>
        <w:tabs>
          <w:tab w:val="num" w:pos="5324"/>
        </w:tabs>
        <w:ind w:left="5324" w:right="5324" w:hanging="360"/>
      </w:pPr>
    </w:lvl>
    <w:lvl w:ilvl="7" w:tplc="040D0019" w:tentative="1">
      <w:start w:val="1"/>
      <w:numFmt w:val="lowerLetter"/>
      <w:lvlText w:val="%8."/>
      <w:lvlJc w:val="left"/>
      <w:pPr>
        <w:tabs>
          <w:tab w:val="num" w:pos="6044"/>
        </w:tabs>
        <w:ind w:left="6044" w:right="6044" w:hanging="360"/>
      </w:pPr>
    </w:lvl>
    <w:lvl w:ilvl="8" w:tplc="040D001B" w:tentative="1">
      <w:start w:val="1"/>
      <w:numFmt w:val="lowerRoman"/>
      <w:lvlText w:val="%9."/>
      <w:lvlJc w:val="right"/>
      <w:pPr>
        <w:tabs>
          <w:tab w:val="num" w:pos="6764"/>
        </w:tabs>
        <w:ind w:left="6764" w:right="6764" w:hanging="180"/>
      </w:pPr>
    </w:lvl>
  </w:abstractNum>
  <w:num w:numId="1">
    <w:abstractNumId w:val="0"/>
  </w:num>
  <w:num w:numId="2">
    <w:abstractNumId w:val="4"/>
  </w:num>
  <w:num w:numId="3">
    <w:abstractNumId w:val="3"/>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B31"/>
    <w:rsid w:val="000015C4"/>
    <w:rsid w:val="000645F1"/>
    <w:rsid w:val="0010059F"/>
    <w:rsid w:val="00273399"/>
    <w:rsid w:val="002B4B31"/>
    <w:rsid w:val="003E3DE1"/>
    <w:rsid w:val="003F253F"/>
    <w:rsid w:val="008F512E"/>
    <w:rsid w:val="00940290"/>
    <w:rsid w:val="00E57D7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A66FFA6"/>
  <w15:chartTrackingRefBased/>
  <w15:docId w15:val="{C7F2ADAB-A8B4-40CB-96E8-807C1D005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4B31"/>
    <w:pPr>
      <w:bidi/>
      <w:spacing w:line="360" w:lineRule="auto"/>
      <w:jc w:val="both"/>
    </w:pPr>
    <w:rPr>
      <w:rFonts w:cs="Guttman Drogolin"/>
      <w:sz w:val="22"/>
      <w:szCs w:val="24"/>
    </w:rPr>
  </w:style>
  <w:style w:type="paragraph" w:styleId="1">
    <w:name w:val="heading 1"/>
    <w:basedOn w:val="a"/>
    <w:next w:val="a"/>
    <w:qFormat/>
    <w:rsid w:val="002B4B31"/>
    <w:pPr>
      <w:keepNext/>
      <w:spacing w:before="240" w:after="60"/>
      <w:outlineLvl w:val="0"/>
    </w:pPr>
    <w:rPr>
      <w:rFonts w:cs="Miriam Transparent"/>
      <w:kern w:val="32"/>
    </w:rPr>
  </w:style>
  <w:style w:type="paragraph" w:styleId="2">
    <w:name w:val="heading 2"/>
    <w:basedOn w:val="a"/>
    <w:next w:val="a"/>
    <w:qFormat/>
    <w:rsid w:val="002B4B31"/>
    <w:pPr>
      <w:keepNext/>
      <w:jc w:val="center"/>
      <w:outlineLvl w:val="1"/>
    </w:pPr>
    <w:rPr>
      <w:rFonts w:ascii="Arial" w:hAnsi="Arial" w:cs="TopType Toledo"/>
      <w:sz w:val="48"/>
      <w:szCs w:val="50"/>
    </w:rPr>
  </w:style>
  <w:style w:type="paragraph" w:styleId="3">
    <w:name w:val="heading 3"/>
    <w:basedOn w:val="a"/>
    <w:next w:val="a"/>
    <w:qFormat/>
    <w:rsid w:val="002B4B31"/>
    <w:pPr>
      <w:keepNext/>
      <w:tabs>
        <w:tab w:val="left" w:pos="4109"/>
        <w:tab w:val="left" w:pos="6072"/>
      </w:tabs>
      <w:autoSpaceDE w:val="0"/>
      <w:autoSpaceDN w:val="0"/>
      <w:spacing w:before="120"/>
      <w:outlineLvl w:val="2"/>
    </w:pPr>
    <w:rPr>
      <w:bCs/>
      <w:sz w:val="32"/>
      <w:szCs w:val="30"/>
    </w:rPr>
  </w:style>
  <w:style w:type="paragraph" w:styleId="4">
    <w:name w:val="heading 4"/>
    <w:basedOn w:val="a"/>
    <w:next w:val="a"/>
    <w:qFormat/>
    <w:rsid w:val="000015C4"/>
    <w:pPr>
      <w:keepNext/>
      <w:spacing w:before="240" w:after="60"/>
      <w:outlineLvl w:val="3"/>
    </w:pPr>
    <w:rPr>
      <w:rFonts w:cs="Times New Roman"/>
      <w:b/>
      <w:bCs/>
      <w:sz w:val="28"/>
      <w:szCs w:val="28"/>
    </w:rPr>
  </w:style>
  <w:style w:type="paragraph" w:styleId="5">
    <w:name w:val="heading 5"/>
    <w:basedOn w:val="a"/>
    <w:next w:val="a"/>
    <w:qFormat/>
    <w:rsid w:val="000015C4"/>
    <w:pPr>
      <w:keepNext/>
      <w:numPr>
        <w:numId w:val="1"/>
      </w:numPr>
      <w:autoSpaceDE w:val="0"/>
      <w:autoSpaceDN w:val="0"/>
      <w:adjustRightInd w:val="0"/>
      <w:ind w:right="0"/>
      <w:outlineLvl w:val="4"/>
    </w:pPr>
    <w:rPr>
      <w:b/>
      <w:bCs/>
      <w:color w:val="000000"/>
      <w:sz w:val="18"/>
      <w:szCs w:val="20"/>
    </w:rPr>
  </w:style>
  <w:style w:type="paragraph" w:styleId="6">
    <w:name w:val="heading 6"/>
    <w:basedOn w:val="a"/>
    <w:next w:val="a"/>
    <w:qFormat/>
    <w:rsid w:val="000015C4"/>
    <w:pPr>
      <w:keepNext/>
      <w:tabs>
        <w:tab w:val="left" w:pos="4109"/>
        <w:tab w:val="left" w:pos="6072"/>
      </w:tabs>
      <w:autoSpaceDE w:val="0"/>
      <w:autoSpaceDN w:val="0"/>
      <w:spacing w:after="240"/>
      <w:outlineLvl w:val="5"/>
    </w:pPr>
    <w:rPr>
      <w:rFonts w:cs="David"/>
      <w:sz w:val="30"/>
      <w:szCs w:val="28"/>
    </w:rPr>
  </w:style>
  <w:style w:type="paragraph" w:styleId="7">
    <w:name w:val="heading 7"/>
    <w:basedOn w:val="a"/>
    <w:next w:val="a"/>
    <w:qFormat/>
    <w:rsid w:val="000015C4"/>
    <w:pPr>
      <w:keepNext/>
      <w:autoSpaceDE w:val="0"/>
      <w:autoSpaceDN w:val="0"/>
      <w:adjustRightInd w:val="0"/>
      <w:outlineLvl w:val="6"/>
    </w:pPr>
    <w:rPr>
      <w:b/>
      <w:bCs/>
      <w:sz w:val="12"/>
      <w:szCs w:val="14"/>
      <w:u w:val="single"/>
    </w:rPr>
  </w:style>
  <w:style w:type="paragraph" w:styleId="8">
    <w:name w:val="heading 8"/>
    <w:basedOn w:val="a"/>
    <w:qFormat/>
    <w:rsid w:val="000015C4"/>
    <w:pPr>
      <w:bidi w:val="0"/>
      <w:spacing w:before="100" w:beforeAutospacing="1" w:after="100" w:afterAutospacing="1"/>
      <w:outlineLvl w:val="7"/>
    </w:pPr>
    <w:rPr>
      <w:rFonts w:ascii="Arial Unicode MS" w:hAnsi="Arial Unicode MS"/>
    </w:rPr>
  </w:style>
  <w:style w:type="paragraph" w:styleId="9">
    <w:name w:val="heading 9"/>
    <w:basedOn w:val="a"/>
    <w:next w:val="a"/>
    <w:qFormat/>
    <w:rsid w:val="000015C4"/>
    <w:pPr>
      <w:keepNext/>
      <w:autoSpaceDE w:val="0"/>
      <w:autoSpaceDN w:val="0"/>
      <w:adjustRightInd w:val="0"/>
      <w:ind w:left="720"/>
      <w:outlineLvl w:val="8"/>
    </w:pPr>
    <w:rPr>
      <w:b/>
      <w:bCs/>
      <w:color w:val="000000"/>
      <w:sz w:val="16"/>
      <w:szCs w:val="18"/>
      <w:u w:val="singl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rsid w:val="002B4B31"/>
    <w:pPr>
      <w:tabs>
        <w:tab w:val="center" w:pos="4153"/>
        <w:tab w:val="right" w:pos="8306"/>
      </w:tabs>
    </w:pPr>
  </w:style>
  <w:style w:type="character" w:styleId="a4">
    <w:name w:val="footnote reference"/>
    <w:semiHidden/>
    <w:rsid w:val="002B4B31"/>
    <w:rPr>
      <w:rFonts w:ascii="Arial" w:hAnsi="Arial" w:cs="Arial"/>
      <w:sz w:val="26"/>
      <w:vertAlign w:val="superscript"/>
      <w:lang w:eastAsia="he-IL"/>
    </w:rPr>
  </w:style>
  <w:style w:type="paragraph" w:styleId="a5">
    <w:name w:val="footnote text"/>
    <w:basedOn w:val="a"/>
    <w:semiHidden/>
    <w:rsid w:val="002B4B31"/>
    <w:pPr>
      <w:tabs>
        <w:tab w:val="left" w:pos="4109"/>
        <w:tab w:val="left" w:pos="6072"/>
      </w:tabs>
      <w:autoSpaceDE w:val="0"/>
      <w:autoSpaceDN w:val="0"/>
    </w:pPr>
    <w:rPr>
      <w:rFonts w:ascii="Ezra SIL" w:hAnsi="Ezra SIL" w:cs="Arial"/>
    </w:rPr>
  </w:style>
  <w:style w:type="character" w:styleId="a6">
    <w:name w:val="page number"/>
    <w:basedOn w:val="a0"/>
    <w:rsid w:val="002B4B31"/>
  </w:style>
  <w:style w:type="paragraph" w:styleId="a7">
    <w:name w:val="Body Text"/>
    <w:basedOn w:val="a"/>
    <w:rsid w:val="002B4B31"/>
    <w:pPr>
      <w:spacing w:after="120"/>
      <w:ind w:left="1238"/>
    </w:pPr>
  </w:style>
  <w:style w:type="paragraph" w:styleId="20">
    <w:name w:val="Body Text 2"/>
    <w:basedOn w:val="a"/>
    <w:rsid w:val="002B4B31"/>
    <w:pPr>
      <w:spacing w:after="120" w:line="480" w:lineRule="auto"/>
    </w:pPr>
  </w:style>
  <w:style w:type="paragraph" w:styleId="a8">
    <w:name w:val="Body Text Indent"/>
    <w:basedOn w:val="a"/>
    <w:rsid w:val="002B4B31"/>
    <w:pPr>
      <w:spacing w:after="120"/>
      <w:ind w:left="283"/>
    </w:pPr>
  </w:style>
  <w:style w:type="paragraph" w:styleId="21">
    <w:name w:val="Body Text Indent 2"/>
    <w:basedOn w:val="a"/>
    <w:rsid w:val="000015C4"/>
    <w:pPr>
      <w:spacing w:after="120" w:line="480" w:lineRule="auto"/>
      <w:ind w:left="283"/>
    </w:pPr>
  </w:style>
  <w:style w:type="character" w:styleId="a9">
    <w:name w:val="endnote reference"/>
    <w:semiHidden/>
    <w:rsid w:val="000015C4"/>
    <w:rPr>
      <w:rFonts w:ascii="Times New Roman" w:hAnsi="Times New Roman" w:cs="Times New Roman"/>
      <w:vertAlign w:val="superscript"/>
      <w:lang w:bidi="he-IL"/>
    </w:rPr>
  </w:style>
  <w:style w:type="paragraph" w:styleId="aa">
    <w:name w:val="endnote text"/>
    <w:basedOn w:val="a"/>
    <w:semiHidden/>
    <w:rsid w:val="000015C4"/>
    <w:rPr>
      <w:rFonts w:cs="Levenim MT"/>
      <w:szCs w:val="22"/>
    </w:rPr>
  </w:style>
  <w:style w:type="character" w:styleId="Hyperlink">
    <w:name w:val="Hyperlink"/>
    <w:rsid w:val="000015C4"/>
    <w:rPr>
      <w:rFonts w:ascii="Times New Roman" w:hAnsi="Times New Roman" w:cs="Times New Roman"/>
      <w:color w:val="0000FF"/>
      <w:u w:val="single"/>
      <w:lang w:bidi="he-IL"/>
    </w:rPr>
  </w:style>
  <w:style w:type="paragraph" w:styleId="NormalWeb">
    <w:name w:val="Normal (Web)"/>
    <w:basedOn w:val="a"/>
    <w:rsid w:val="000015C4"/>
    <w:pPr>
      <w:bidi w:val="0"/>
      <w:spacing w:before="100" w:beforeAutospacing="1" w:after="100" w:afterAutospacing="1"/>
    </w:pPr>
  </w:style>
  <w:style w:type="paragraph" w:customStyle="1" w:styleId="NormalPar">
    <w:name w:val="NormalPar"/>
    <w:rsid w:val="000015C4"/>
    <w:pPr>
      <w:bidi/>
    </w:pPr>
    <w:rPr>
      <w:rFonts w:cs="David"/>
      <w:sz w:val="24"/>
      <w:szCs w:val="24"/>
      <w:lang w:eastAsia="he-IL"/>
    </w:rPr>
  </w:style>
  <w:style w:type="paragraph" w:customStyle="1" w:styleId="NormalParL">
    <w:name w:val="NormalParL"/>
    <w:rsid w:val="000015C4"/>
    <w:rPr>
      <w:rFonts w:cs="Miriam"/>
      <w:sz w:val="24"/>
      <w:szCs w:val="24"/>
      <w:lang w:val="en-GB" w:eastAsia="he-IL"/>
    </w:rPr>
  </w:style>
  <w:style w:type="paragraph" w:styleId="ab">
    <w:name w:val="Title"/>
    <w:basedOn w:val="a"/>
    <w:qFormat/>
    <w:rsid w:val="000015C4"/>
    <w:pPr>
      <w:spacing w:before="240" w:after="60"/>
      <w:jc w:val="center"/>
      <w:outlineLvl w:val="0"/>
    </w:pPr>
    <w:rPr>
      <w:rFonts w:ascii="Arial" w:hAnsi="Arial" w:cs="Vilna"/>
      <w:b/>
      <w:bCs/>
      <w:kern w:val="28"/>
      <w:sz w:val="32"/>
      <w:szCs w:val="52"/>
    </w:rPr>
  </w:style>
  <w:style w:type="paragraph" w:customStyle="1" w:styleId="annotationsubject">
    <w:name w:val="annotation subject"/>
    <w:basedOn w:val="ac"/>
    <w:next w:val="ac"/>
    <w:rsid w:val="000015C4"/>
    <w:rPr>
      <w:b/>
      <w:bCs/>
    </w:rPr>
  </w:style>
  <w:style w:type="paragraph" w:styleId="ac">
    <w:name w:val="annotation text"/>
    <w:basedOn w:val="a"/>
    <w:semiHidden/>
    <w:rsid w:val="000015C4"/>
    <w:pPr>
      <w:tabs>
        <w:tab w:val="left" w:pos="4109"/>
        <w:tab w:val="left" w:pos="6072"/>
      </w:tabs>
      <w:autoSpaceDE w:val="0"/>
      <w:autoSpaceDN w:val="0"/>
      <w:spacing w:after="240"/>
    </w:pPr>
    <w:rPr>
      <w:rFonts w:cs="David"/>
      <w:sz w:val="20"/>
      <w:szCs w:val="20"/>
    </w:rPr>
  </w:style>
  <w:style w:type="paragraph" w:styleId="ad">
    <w:name w:val="Balloon Text"/>
    <w:basedOn w:val="a"/>
    <w:rsid w:val="000015C4"/>
    <w:pPr>
      <w:tabs>
        <w:tab w:val="left" w:pos="4109"/>
        <w:tab w:val="left" w:pos="6072"/>
      </w:tabs>
      <w:autoSpaceDE w:val="0"/>
      <w:autoSpaceDN w:val="0"/>
      <w:spacing w:after="240"/>
    </w:pPr>
    <w:rPr>
      <w:rFonts w:ascii="Tahoma" w:hAnsi="Tahoma" w:cs="Tahoma"/>
      <w:sz w:val="16"/>
      <w:szCs w:val="16"/>
    </w:rPr>
  </w:style>
  <w:style w:type="paragraph" w:customStyle="1" w:styleId="ae">
    <w:name w:val="מקור"/>
    <w:basedOn w:val="a"/>
    <w:next w:val="a"/>
    <w:autoRedefine/>
    <w:rsid w:val="000015C4"/>
    <w:pPr>
      <w:tabs>
        <w:tab w:val="left" w:pos="6072"/>
      </w:tabs>
      <w:autoSpaceDE w:val="0"/>
      <w:autoSpaceDN w:val="0"/>
      <w:spacing w:before="40" w:after="40"/>
      <w:ind w:left="794"/>
    </w:pPr>
    <w:rPr>
      <w:rFonts w:cs="FrankRuehl"/>
      <w:szCs w:val="26"/>
    </w:rPr>
  </w:style>
  <w:style w:type="character" w:customStyle="1" w:styleId="10">
    <w:name w:val="ציטוט1"/>
    <w:rsid w:val="000015C4"/>
    <w:rPr>
      <w:bCs/>
    </w:rPr>
  </w:style>
  <w:style w:type="character" w:customStyle="1" w:styleId="postbody">
    <w:name w:val="postbody"/>
    <w:basedOn w:val="a0"/>
    <w:rsid w:val="000015C4"/>
  </w:style>
  <w:style w:type="character" w:customStyle="1" w:styleId="apple-style-span">
    <w:name w:val="apple-style-span"/>
    <w:basedOn w:val="a0"/>
    <w:rsid w:val="000015C4"/>
  </w:style>
  <w:style w:type="character" w:customStyle="1" w:styleId="q">
    <w:name w:val="q"/>
    <w:basedOn w:val="a0"/>
    <w:rsid w:val="000015C4"/>
  </w:style>
  <w:style w:type="character" w:customStyle="1" w:styleId="toctoggle">
    <w:name w:val="toctoggle"/>
    <w:basedOn w:val="a0"/>
    <w:rsid w:val="000015C4"/>
  </w:style>
  <w:style w:type="character" w:customStyle="1" w:styleId="tocnumber">
    <w:name w:val="tocnumber"/>
    <w:basedOn w:val="a0"/>
    <w:rsid w:val="000015C4"/>
  </w:style>
  <w:style w:type="character" w:customStyle="1" w:styleId="toctext">
    <w:name w:val="toctext"/>
    <w:basedOn w:val="a0"/>
    <w:rsid w:val="000015C4"/>
  </w:style>
  <w:style w:type="character" w:customStyle="1" w:styleId="editsection">
    <w:name w:val="editsection"/>
    <w:basedOn w:val="a0"/>
    <w:rsid w:val="000015C4"/>
  </w:style>
  <w:style w:type="character" w:customStyle="1" w:styleId="mw-headline">
    <w:name w:val="mw-headline"/>
    <w:basedOn w:val="a0"/>
    <w:rsid w:val="000015C4"/>
  </w:style>
  <w:style w:type="paragraph" w:customStyle="1" w:styleId="NormalParH">
    <w:name w:val="NormalParH"/>
    <w:rsid w:val="000015C4"/>
    <w:pPr>
      <w:autoSpaceDE w:val="0"/>
      <w:autoSpaceDN w:val="0"/>
      <w:bidi/>
      <w:adjustRightInd w:val="0"/>
      <w:jc w:val="right"/>
    </w:pPr>
    <w:rPr>
      <w:rFonts w:cs="David"/>
      <w:sz w:val="24"/>
      <w:szCs w:val="24"/>
      <w:lang w:eastAsia="he-IL"/>
    </w:rPr>
  </w:style>
  <w:style w:type="paragraph" w:styleId="af">
    <w:name w:val="Plain Text"/>
    <w:basedOn w:val="a"/>
    <w:rsid w:val="000015C4"/>
    <w:pPr>
      <w:spacing w:line="240" w:lineRule="auto"/>
      <w:jc w:val="left"/>
    </w:pPr>
    <w:rPr>
      <w:rFonts w:ascii="Courier New" w:hAnsi="Courier New" w:cs="Courier New"/>
      <w:sz w:val="20"/>
      <w:szCs w:val="20"/>
      <w:lang w:eastAsia="he-IL"/>
    </w:rPr>
  </w:style>
  <w:style w:type="paragraph" w:styleId="af0">
    <w:name w:val="header"/>
    <w:basedOn w:val="a"/>
    <w:rsid w:val="000015C4"/>
    <w:pPr>
      <w:tabs>
        <w:tab w:val="center" w:pos="4153"/>
        <w:tab w:val="right" w:pos="8306"/>
      </w:tabs>
    </w:pPr>
  </w:style>
  <w:style w:type="character" w:styleId="FollowedHyperlink">
    <w:name w:val="FollowedHyperlink"/>
    <w:rsid w:val="000015C4"/>
    <w:rPr>
      <w:color w:val="800080"/>
      <w:u w:val="single"/>
    </w:rPr>
  </w:style>
  <w:style w:type="character" w:styleId="af1">
    <w:name w:val="Strong"/>
    <w:qFormat/>
    <w:rsid w:val="000015C4"/>
    <w:rPr>
      <w:b/>
      <w:bCs/>
    </w:rPr>
  </w:style>
  <w:style w:type="paragraph" w:styleId="30">
    <w:name w:val="Body Text 3"/>
    <w:basedOn w:val="a"/>
    <w:rsid w:val="000015C4"/>
    <w:pPr>
      <w:tabs>
        <w:tab w:val="left" w:pos="4109"/>
        <w:tab w:val="left" w:pos="6072"/>
      </w:tabs>
      <w:autoSpaceDE w:val="0"/>
      <w:autoSpaceDN w:val="0"/>
      <w:spacing w:after="240"/>
    </w:pPr>
    <w:rPr>
      <w:rFonts w:cs="David"/>
      <w:szCs w:val="18"/>
    </w:rPr>
  </w:style>
  <w:style w:type="paragraph" w:customStyle="1" w:styleId="msolistparagraph0">
    <w:name w:val="msolistparagraph"/>
    <w:basedOn w:val="a"/>
    <w:rsid w:val="00273399"/>
    <w:pPr>
      <w:spacing w:line="240" w:lineRule="auto"/>
      <w:ind w:left="720"/>
      <w:jc w:val="left"/>
    </w:pPr>
    <w:rPr>
      <w:rFonts w:eastAsia="Arial Unicode MS" w:cs="Times New Roman"/>
      <w:sz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3" Type="http://schemas.openxmlformats.org/officeDocument/2006/relationships/hyperlink" Target="http://www.daf-yomi.com/content.aspx?PageId=26" TargetMode="External"/><Relationship Id="rId2" Type="http://schemas.openxmlformats.org/officeDocument/2006/relationships/hyperlink" Target="http://www.shaalvim.co.il/uploads/files/09-C-3-25-42.pdf" TargetMode="External"/><Relationship Id="rId1" Type="http://schemas.openxmlformats.org/officeDocument/2006/relationships/hyperlink" Target="http://www.daf-yomi.com/content.aspx?PageId=26"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126BF58F1D3E534198274CAD27C9364B" ma:contentTypeVersion="15" ma:contentTypeDescription="צור מסמך חדש." ma:contentTypeScope="" ma:versionID="404f4c90b1dd83b821518da62684989d">
  <xsd:schema xmlns:xsd="http://www.w3.org/2001/XMLSchema" xmlns:xs="http://www.w3.org/2001/XMLSchema" xmlns:p="http://schemas.microsoft.com/office/2006/metadata/properties" xmlns:ns3="8893e021-340b-47fb-be7c-94ed5d83ed0a" targetNamespace="http://schemas.microsoft.com/office/2006/metadata/properties" ma:root="true" ma:fieldsID="13b81221d6f1d584edafc68ff58ba301" ns3:_="">
    <xsd:import namespace="8893e021-340b-47fb-be7c-94ed5d83ed0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3e021-340b-47fb-be7c-94ed5d83ed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893e021-340b-47fb-be7c-94ed5d83ed0a" xsi:nil="true"/>
  </documentManagement>
</p:properties>
</file>

<file path=customXml/itemProps1.xml><?xml version="1.0" encoding="utf-8"?>
<ds:datastoreItem xmlns:ds="http://schemas.openxmlformats.org/officeDocument/2006/customXml" ds:itemID="{1276B184-7FB3-4EA8-A243-2C8D2125F9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3e021-340b-47fb-be7c-94ed5d83ed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A4C2EE-5E74-441B-B89C-1419076014E0}">
  <ds:schemaRefs>
    <ds:schemaRef ds:uri="http://schemas.microsoft.com/sharepoint/v3/contenttype/forms"/>
  </ds:schemaRefs>
</ds:datastoreItem>
</file>

<file path=customXml/itemProps3.xml><?xml version="1.0" encoding="utf-8"?>
<ds:datastoreItem xmlns:ds="http://schemas.openxmlformats.org/officeDocument/2006/customXml" ds:itemID="{96F98E4E-923B-4708-B8A6-4FE4DF271476}">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office/infopath/2007/PartnerControls"/>
    <ds:schemaRef ds:uri="8893e021-340b-47fb-be7c-94ed5d83ed0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157</Pages>
  <Words>20690</Words>
  <Characters>103455</Characters>
  <Application>Microsoft Office Word</Application>
  <DocSecurity>4</DocSecurity>
  <Lines>862</Lines>
  <Paragraphs>247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מסכת שבת</vt:lpstr>
      <vt:lpstr>מסכת שבת</vt:lpstr>
    </vt:vector>
  </TitlesOfParts>
  <Company/>
  <LinksUpToDate>false</LinksUpToDate>
  <CharactersWithSpaces>123898</CharactersWithSpaces>
  <SharedDoc>false</SharedDoc>
  <HLinks>
    <vt:vector size="18" baseType="variant">
      <vt:variant>
        <vt:i4>7733364</vt:i4>
      </vt:variant>
      <vt:variant>
        <vt:i4>6</vt:i4>
      </vt:variant>
      <vt:variant>
        <vt:i4>0</vt:i4>
      </vt:variant>
      <vt:variant>
        <vt:i4>5</vt:i4>
      </vt:variant>
      <vt:variant>
        <vt:lpwstr>http://www.daf-yomi.com/content.aspx?PageId=26</vt:lpwstr>
      </vt:variant>
      <vt:variant>
        <vt:lpwstr/>
      </vt:variant>
      <vt:variant>
        <vt:i4>1966151</vt:i4>
      </vt:variant>
      <vt:variant>
        <vt:i4>3</vt:i4>
      </vt:variant>
      <vt:variant>
        <vt:i4>0</vt:i4>
      </vt:variant>
      <vt:variant>
        <vt:i4>5</vt:i4>
      </vt:variant>
      <vt:variant>
        <vt:lpwstr>http://www.shaalvim.co.il/uploads/files/09-C-3-25-42.pdf</vt:lpwstr>
      </vt:variant>
      <vt:variant>
        <vt:lpwstr/>
      </vt:variant>
      <vt:variant>
        <vt:i4>7733364</vt:i4>
      </vt:variant>
      <vt:variant>
        <vt:i4>0</vt:i4>
      </vt:variant>
      <vt:variant>
        <vt:i4>0</vt:i4>
      </vt:variant>
      <vt:variant>
        <vt:i4>5</vt:i4>
      </vt:variant>
      <vt:variant>
        <vt:lpwstr>http://www.daf-yomi.com/content.aspx?PageId=26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מסכת שבת</dc:title>
  <dc:subject/>
  <dc:creator>הראל</dc:creator>
  <cp:keywords/>
  <cp:lastModifiedBy>אוריאל פרנק</cp:lastModifiedBy>
  <cp:revision>2</cp:revision>
  <dcterms:created xsi:type="dcterms:W3CDTF">2026-10-19T14:06:00Z</dcterms:created>
  <dcterms:modified xsi:type="dcterms:W3CDTF">2026-10-19T14:06:00Z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0x010100126BF58F1D3E534198274CAD27C9364B</vt:lpwstr>
  </property>
</Properties>
</file>