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54"/>
        <w:bidiVisual/>
        <w:tblW w:w="9215" w:type="dxa"/>
        <w:tblLook w:val="04A0" w:firstRow="1" w:lastRow="0" w:firstColumn="1" w:lastColumn="0" w:noHBand="0" w:noVBand="1"/>
      </w:tblPr>
      <w:tblGrid>
        <w:gridCol w:w="851"/>
        <w:gridCol w:w="992"/>
        <w:gridCol w:w="2082"/>
        <w:gridCol w:w="1704"/>
        <w:gridCol w:w="41"/>
        <w:gridCol w:w="426"/>
        <w:gridCol w:w="992"/>
        <w:gridCol w:w="2127"/>
      </w:tblGrid>
      <w:tr w:rsidR="006E2430" w:rsidTr="00A661A6">
        <w:tc>
          <w:tcPr>
            <w:tcW w:w="9215" w:type="dxa"/>
            <w:gridSpan w:val="8"/>
          </w:tcPr>
          <w:p w:rsidR="006E2430" w:rsidRDefault="006E2430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רבי יהודה וחכמים נחלקו בשלשה מקרים בהם שמים כלי עם שמן עם הנר האם חוששים שמא יסתפק מהנר ויגרום לכיבוי</w:t>
            </w:r>
          </w:p>
        </w:tc>
      </w:tr>
      <w:tr w:rsidR="00020DD1" w:rsidTr="00A661A6">
        <w:tc>
          <w:tcPr>
            <w:tcW w:w="851" w:type="dxa"/>
            <w:vMerge w:val="restart"/>
          </w:tcPr>
          <w:p w:rsidR="00020DD1" w:rsidRDefault="00020DD1" w:rsidP="00A661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חכמים אוסרים</w:t>
            </w:r>
          </w:p>
          <w:p w:rsidR="00020DD1" w:rsidRDefault="00020DD1" w:rsidP="00A661A6">
            <w:pPr>
              <w:rPr>
                <w:rFonts w:hint="cs"/>
                <w:rtl/>
              </w:rPr>
            </w:pPr>
          </w:p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רבי יהודה מתיר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074" w:type="dxa"/>
            <w:gridSpan w:val="2"/>
          </w:tcPr>
          <w:p w:rsidR="00020DD1" w:rsidRDefault="00020DD1" w:rsidP="00A661A6">
            <w:pPr>
              <w:rPr>
                <w:rtl/>
              </w:rPr>
            </w:pPr>
            <w:r w:rsidRPr="006E243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שפופרת של ביצה על פי הנר </w:t>
            </w:r>
          </w:p>
        </w:tc>
        <w:tc>
          <w:tcPr>
            <w:tcW w:w="2171" w:type="dxa"/>
            <w:gridSpan w:val="3"/>
          </w:tcPr>
          <w:p w:rsidR="00020DD1" w:rsidRDefault="00020DD1" w:rsidP="00A661A6">
            <w:pPr>
              <w:rPr>
                <w:rtl/>
              </w:rPr>
            </w:pPr>
            <w:r w:rsidRPr="006E243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שפופרת של חרס</w:t>
            </w:r>
            <w:r>
              <w:rPr>
                <w:rFonts w:hint="cs"/>
                <w:rtl/>
              </w:rPr>
              <w:t xml:space="preserve"> </w:t>
            </w:r>
            <w:r w:rsidRPr="006E243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על פי הנר</w:t>
            </w:r>
          </w:p>
        </w:tc>
        <w:tc>
          <w:tcPr>
            <w:tcW w:w="3119" w:type="dxa"/>
            <w:gridSpan w:val="2"/>
          </w:tcPr>
          <w:p w:rsidR="00020DD1" w:rsidRDefault="00020DD1" w:rsidP="00A661A6">
            <w:pPr>
              <w:rPr>
                <w:rtl/>
              </w:rPr>
            </w:pPr>
            <w:r w:rsidRPr="006E243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קערה של שמן בצד הנר </w:t>
            </w:r>
          </w:p>
        </w:tc>
      </w:tr>
      <w:tr w:rsidR="00020DD1" w:rsidTr="00A661A6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0DD1" w:rsidRDefault="00020DD1" w:rsidP="00A661A6">
            <w:pPr>
              <w:rPr>
                <w:rtl/>
              </w:rPr>
            </w:pP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אם היו מביאים רק מקרה זה היינו אומרים שמכוון לא מאוסה ולכן יבא להסתפק אבל בשל חרס מודים לרבי יהודה שמותר מפני שמאוס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</w:tcPr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היו מביאים רק מקרה זה היינו אומרים </w:t>
            </w:r>
            <w:r>
              <w:rPr>
                <w:rFonts w:hint="cs"/>
                <w:rtl/>
              </w:rPr>
              <w:t>כאן רבי יהודה מתיר אבל בשל ביצה יודה לחכמים שאסור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היו מביאים רק מקרה זה </w:t>
            </w:r>
            <w:r>
              <w:rPr>
                <w:rFonts w:hint="cs"/>
                <w:rtl/>
              </w:rPr>
              <w:t xml:space="preserve"> היינו אומרים שכן הם מחוברים לכן רבי יהודה לא חושש שיסתפק, אבל בקערה מנותקת הוא חושש שיסתפק</w:t>
            </w:r>
          </w:p>
        </w:tc>
      </w:tr>
      <w:tr w:rsidR="00596CBF" w:rsidTr="00A661A6">
        <w:tc>
          <w:tcPr>
            <w:tcW w:w="851" w:type="dxa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3074" w:type="dxa"/>
            <w:gridSpan w:val="2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2171" w:type="dxa"/>
            <w:gridSpan w:val="3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</w:tr>
      <w:tr w:rsidR="00510B0C" w:rsidTr="00A661A6">
        <w:tc>
          <w:tcPr>
            <w:tcW w:w="9215" w:type="dxa"/>
            <w:gridSpan w:val="8"/>
          </w:tcPr>
          <w:p w:rsidR="00510B0C" w:rsidRDefault="00510B0C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גרירת ספסל כיסא שולחן </w:t>
            </w:r>
          </w:p>
        </w:tc>
      </w:tr>
      <w:tr w:rsidR="00485A03" w:rsidTr="00A661A6">
        <w:tc>
          <w:tcPr>
            <w:tcW w:w="1843" w:type="dxa"/>
            <w:gridSpan w:val="2"/>
          </w:tcPr>
          <w:p w:rsidR="00485A03" w:rsidRDefault="00485A03" w:rsidP="00A661A6">
            <w:pPr>
              <w:rPr>
                <w:rtl/>
              </w:rPr>
            </w:pPr>
          </w:p>
        </w:tc>
        <w:tc>
          <w:tcPr>
            <w:tcW w:w="3827" w:type="dxa"/>
            <w:gridSpan w:val="3"/>
          </w:tcPr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רבי שמעון מתיר</w:t>
            </w:r>
            <w:r>
              <w:rPr>
                <w:rFonts w:hint="cs"/>
                <w:rtl/>
              </w:rPr>
              <w:t xml:space="preserve"> דבר שאין מתכוון מותר </w:t>
            </w:r>
          </w:p>
        </w:tc>
        <w:tc>
          <w:tcPr>
            <w:tcW w:w="3545" w:type="dxa"/>
            <w:gridSpan w:val="3"/>
          </w:tcPr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רבי יהודה אוסר</w:t>
            </w:r>
          </w:p>
        </w:tc>
      </w:tr>
      <w:tr w:rsidR="00485A03" w:rsidTr="00A661A6">
        <w:tc>
          <w:tcPr>
            <w:tcW w:w="1843" w:type="dxa"/>
            <w:gridSpan w:val="2"/>
          </w:tcPr>
          <w:p w:rsidR="00485A03" w:rsidRPr="006E2430" w:rsidRDefault="00485A03" w:rsidP="00A661A6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2" w:type="dxa"/>
          </w:tcPr>
          <w:p w:rsidR="00485A03" w:rsidRDefault="00485A03" w:rsidP="00A661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קטנים </w:t>
            </w:r>
          </w:p>
        </w:tc>
        <w:tc>
          <w:tcPr>
            <w:tcW w:w="1704" w:type="dxa"/>
          </w:tcPr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גדולים</w:t>
            </w:r>
          </w:p>
        </w:tc>
        <w:tc>
          <w:tcPr>
            <w:tcW w:w="1459" w:type="dxa"/>
            <w:gridSpan w:val="3"/>
          </w:tcPr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קטנים</w:t>
            </w:r>
          </w:p>
        </w:tc>
        <w:tc>
          <w:tcPr>
            <w:tcW w:w="2127" w:type="dxa"/>
          </w:tcPr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גדולים</w:t>
            </w:r>
          </w:p>
        </w:tc>
      </w:tr>
      <w:tr w:rsidR="00485A03" w:rsidTr="00A661A6">
        <w:tc>
          <w:tcPr>
            <w:tcW w:w="1843" w:type="dxa"/>
            <w:gridSpan w:val="2"/>
          </w:tcPr>
          <w:p w:rsidR="00485A03" w:rsidRDefault="00485A03" w:rsidP="00A661A6">
            <w:pPr>
              <w:rPr>
                <w:rtl/>
              </w:rPr>
            </w:pPr>
            <w:r w:rsidRPr="006E243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ר' ירמיה רבה</w:t>
            </w:r>
          </w:p>
        </w:tc>
        <w:tc>
          <w:tcPr>
            <w:tcW w:w="2082" w:type="dxa"/>
          </w:tcPr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אסור </w:t>
            </w:r>
          </w:p>
        </w:tc>
        <w:tc>
          <w:tcPr>
            <w:tcW w:w="1704" w:type="dxa"/>
          </w:tcPr>
          <w:p w:rsidR="00485A03" w:rsidRDefault="00485A03" w:rsidP="00A661A6">
            <w:pPr>
              <w:rPr>
                <w:rtl/>
              </w:rPr>
            </w:pPr>
            <w:r w:rsidRPr="00485A03">
              <w:rPr>
                <w:rFonts w:hint="cs"/>
                <w:highlight w:val="magenta"/>
                <w:rtl/>
              </w:rPr>
              <w:t>מותר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586" w:type="dxa"/>
            <w:gridSpan w:val="4"/>
          </w:tcPr>
          <w:p w:rsidR="00485A03" w:rsidRDefault="00485A03" w:rsidP="00A661A6">
            <w:pPr>
              <w:jc w:val="center"/>
              <w:rPr>
                <w:rtl/>
              </w:rPr>
            </w:pPr>
            <w:r w:rsidRPr="00485A03">
              <w:rPr>
                <w:rFonts w:hint="cs"/>
                <w:highlight w:val="magenta"/>
                <w:rtl/>
              </w:rPr>
              <w:t>אסור</w:t>
            </w:r>
          </w:p>
        </w:tc>
      </w:tr>
      <w:tr w:rsidR="00596CBF" w:rsidTr="00A661A6">
        <w:tc>
          <w:tcPr>
            <w:tcW w:w="1843" w:type="dxa"/>
            <w:gridSpan w:val="2"/>
          </w:tcPr>
          <w:p w:rsidR="00596CBF" w:rsidRDefault="00485A03" w:rsidP="00A661A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עולא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082" w:type="dxa"/>
          </w:tcPr>
          <w:p w:rsidR="00596CBF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מותר </w:t>
            </w:r>
          </w:p>
        </w:tc>
        <w:tc>
          <w:tcPr>
            <w:tcW w:w="1704" w:type="dxa"/>
          </w:tcPr>
          <w:p w:rsidR="00596CBF" w:rsidRPr="00485A03" w:rsidRDefault="00485A03" w:rsidP="00A661A6">
            <w:pPr>
              <w:rPr>
                <w:highlight w:val="green"/>
                <w:rtl/>
              </w:rPr>
            </w:pPr>
            <w:r w:rsidRPr="00485A03">
              <w:rPr>
                <w:rFonts w:hint="cs"/>
                <w:highlight w:val="green"/>
                <w:rtl/>
              </w:rPr>
              <w:t>מותר</w:t>
            </w:r>
          </w:p>
        </w:tc>
        <w:tc>
          <w:tcPr>
            <w:tcW w:w="1459" w:type="dxa"/>
            <w:gridSpan w:val="3"/>
          </w:tcPr>
          <w:p w:rsidR="00596CBF" w:rsidRDefault="00485A03" w:rsidP="00A661A6">
            <w:pPr>
              <w:rPr>
                <w:rtl/>
              </w:rPr>
            </w:pPr>
            <w:r w:rsidRPr="00485A03">
              <w:rPr>
                <w:rFonts w:hint="cs"/>
                <w:highlight w:val="green"/>
                <w:rtl/>
              </w:rPr>
              <w:t>אסור</w:t>
            </w:r>
          </w:p>
        </w:tc>
        <w:tc>
          <w:tcPr>
            <w:tcW w:w="2127" w:type="dxa"/>
          </w:tcPr>
          <w:p w:rsidR="00596CBF" w:rsidRDefault="00485A03" w:rsidP="00A661A6">
            <w:pPr>
              <w:rPr>
                <w:rtl/>
              </w:rPr>
            </w:pPr>
            <w:r w:rsidRPr="006E243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מותר</w:t>
            </w:r>
          </w:p>
        </w:tc>
      </w:tr>
      <w:tr w:rsidR="00485A03" w:rsidTr="00A661A6">
        <w:tc>
          <w:tcPr>
            <w:tcW w:w="1843" w:type="dxa"/>
            <w:gridSpan w:val="2"/>
          </w:tcPr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קשה </w:t>
            </w:r>
          </w:p>
        </w:tc>
        <w:tc>
          <w:tcPr>
            <w:tcW w:w="7372" w:type="dxa"/>
            <w:gridSpan w:val="6"/>
          </w:tcPr>
          <w:p w:rsidR="004819E0" w:rsidRDefault="00485A03" w:rsidP="00A661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לרבי ירמיה הסובר שאין מחלוקת בקטנים </w:t>
            </w:r>
            <w:r w:rsidR="004819E0">
              <w:rPr>
                <w:rFonts w:hint="cs"/>
                <w:rtl/>
              </w:rPr>
              <w:t xml:space="preserve"> </w:t>
            </w:r>
          </w:p>
          <w:p w:rsidR="00485A03" w:rsidRDefault="004819E0" w:rsidP="00A661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קושיא א:  </w:t>
            </w:r>
            <w:r w:rsidR="00485A03">
              <w:rPr>
                <w:rFonts w:hint="cs"/>
                <w:rtl/>
              </w:rPr>
              <w:t>הרי כתוב גורר אדם כיסא</w:t>
            </w:r>
          </w:p>
          <w:p w:rsidR="00485A03" w:rsidRDefault="00485A03" w:rsidP="00A661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והוא יענה שמדובר בכיסא הדומה למיטה.</w:t>
            </w:r>
          </w:p>
          <w:p w:rsidR="004819E0" w:rsidRDefault="004819E0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קושיא שניה : למה אתה אומר שבקטנים אסר רבי שמעון כיוון שיכול בקלות </w:t>
            </w:r>
            <w:proofErr w:type="spellStart"/>
            <w:r>
              <w:rPr>
                <w:rFonts w:hint="cs"/>
                <w:rtl/>
              </w:rPr>
              <w:t>להמנע</w:t>
            </w:r>
            <w:proofErr w:type="spellEnd"/>
            <w:r>
              <w:rPr>
                <w:rFonts w:hint="cs"/>
                <w:rtl/>
              </w:rPr>
              <w:t xml:space="preserve"> הרי מוכרי כלאים שיכולים </w:t>
            </w:r>
            <w:proofErr w:type="spellStart"/>
            <w:r>
              <w:rPr>
                <w:rFonts w:hint="cs"/>
                <w:rtl/>
              </w:rPr>
              <w:t>להמנע</w:t>
            </w:r>
            <w:proofErr w:type="spellEnd"/>
            <w:r>
              <w:rPr>
                <w:rFonts w:hint="cs"/>
                <w:rtl/>
              </w:rPr>
              <w:t xml:space="preserve"> בקלות משימת הכלאים עליהם התירו להם ללבוש את הכלאים כיוון שדבר שאין מתכוון מותר גם שיש דרך קלה בהיתר לעשותו. </w:t>
            </w:r>
          </w:p>
        </w:tc>
      </w:tr>
      <w:tr w:rsidR="00485A03" w:rsidTr="00A661A6"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85A03" w:rsidRDefault="00485A03" w:rsidP="00A661A6">
            <w:pPr>
              <w:rPr>
                <w:rtl/>
              </w:rPr>
            </w:pPr>
          </w:p>
        </w:tc>
        <w:tc>
          <w:tcPr>
            <w:tcW w:w="7372" w:type="dxa"/>
            <w:gridSpan w:val="6"/>
            <w:tcBorders>
              <w:bottom w:val="single" w:sz="4" w:space="0" w:color="auto"/>
            </w:tcBorders>
          </w:tcPr>
          <w:p w:rsidR="00485A03" w:rsidRDefault="00485A03" w:rsidP="00A661A6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לעולא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הסובר שאין מחלוקת ב</w:t>
            </w:r>
            <w:r>
              <w:rPr>
                <w:rFonts w:hint="cs"/>
                <w:rtl/>
              </w:rPr>
              <w:t xml:space="preserve">גדולים </w:t>
            </w:r>
            <w:r>
              <w:rPr>
                <w:rFonts w:hint="cs"/>
                <w:rtl/>
              </w:rPr>
              <w:t xml:space="preserve"> הרי כתוב גורר אדם </w:t>
            </w:r>
            <w:r>
              <w:rPr>
                <w:rFonts w:hint="cs"/>
                <w:rtl/>
              </w:rPr>
              <w:t xml:space="preserve">מיטה </w:t>
            </w:r>
          </w:p>
          <w:p w:rsidR="00485A03" w:rsidRDefault="00485A03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והוא יענה שמדובר במיטה הדומה לכיסא</w:t>
            </w:r>
          </w:p>
        </w:tc>
      </w:tr>
      <w:tr w:rsidR="00596CBF" w:rsidTr="00A661A6"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1459" w:type="dxa"/>
            <w:gridSpan w:val="3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596CBF" w:rsidRDefault="00596CBF" w:rsidP="00A661A6">
            <w:pPr>
              <w:rPr>
                <w:rtl/>
              </w:rPr>
            </w:pPr>
          </w:p>
        </w:tc>
      </w:tr>
      <w:tr w:rsidR="009175D4" w:rsidTr="00A661A6">
        <w:tc>
          <w:tcPr>
            <w:tcW w:w="9215" w:type="dxa"/>
            <w:gridSpan w:val="8"/>
          </w:tcPr>
          <w:p w:rsidR="009175D4" w:rsidRDefault="009175D4" w:rsidP="00A661A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כיבוי נר מפני</w:t>
            </w:r>
          </w:p>
        </w:tc>
      </w:tr>
      <w:tr w:rsidR="009175D4" w:rsidTr="00A661A6">
        <w:tc>
          <w:tcPr>
            <w:tcW w:w="3925" w:type="dxa"/>
            <w:gridSpan w:val="3"/>
          </w:tcPr>
          <w:p w:rsidR="009175D4" w:rsidRDefault="009175D4" w:rsidP="00A661A6">
            <w:pPr>
              <w:rPr>
                <w:rtl/>
              </w:rPr>
            </w:pPr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מפני נכרים ומפני </w:t>
            </w:r>
            <w:proofErr w:type="spellStart"/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ליסטי</w:t>
            </w:r>
            <w:proofErr w:type="spellEnd"/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' מפני רוח רעה מפני </w:t>
            </w:r>
            <w:r w:rsidRPr="009175D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החולה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(שיש בו סכנה)</w:t>
            </w:r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שיישן</w:t>
            </w:r>
            <w:r>
              <w:rPr>
                <w:rFonts w:hint="cs"/>
                <w:rtl/>
              </w:rPr>
              <w:t xml:space="preserve"> </w:t>
            </w:r>
            <w:r w:rsidRPr="009175D4">
              <w:rPr>
                <w:rFonts w:hint="cs"/>
                <w:highlight w:val="cyan"/>
                <w:rtl/>
              </w:rPr>
              <w:t>פטור.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163" w:type="dxa"/>
            <w:gridSpan w:val="4"/>
            <w:tcBorders>
              <w:bottom w:val="single" w:sz="4" w:space="0" w:color="auto"/>
            </w:tcBorders>
          </w:tcPr>
          <w:p w:rsidR="009175D4" w:rsidRDefault="009175D4" w:rsidP="00A661A6">
            <w:pPr>
              <w:rPr>
                <w:rtl/>
              </w:rPr>
            </w:pPr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כחס על הנר כחס על השמן כחס על הפתילה </w:t>
            </w:r>
            <w:r w:rsidRPr="009175D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highlight w:val="cyan"/>
                <w:rtl/>
              </w:rPr>
              <w:t>חייב</w:t>
            </w:r>
            <w:r w:rsidRPr="009175D4">
              <w:rPr>
                <w:rFonts w:hint="cs"/>
                <w:highlight w:val="cyan"/>
                <w:rtl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175D4" w:rsidRDefault="009175D4" w:rsidP="00A661A6">
            <w:pPr>
              <w:rPr>
                <w:rtl/>
              </w:rPr>
            </w:pPr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יוסי פוטר בכולן ח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וץ מן הפתילה מפני שהוא עושה פחם.</w:t>
            </w:r>
          </w:p>
        </w:tc>
      </w:tr>
      <w:tr w:rsidR="009175D4" w:rsidTr="00A661A6">
        <w:tc>
          <w:tcPr>
            <w:tcW w:w="3925" w:type="dxa"/>
            <w:gridSpan w:val="3"/>
          </w:tcPr>
          <w:p w:rsidR="009175D4" w:rsidRDefault="009175D4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ואם אין בו סכנה פטור אבל אסור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9175D4" w:rsidRDefault="009175D4" w:rsidP="00A661A6">
            <w:pPr>
              <w:rPr>
                <w:rtl/>
              </w:rPr>
            </w:pPr>
          </w:p>
        </w:tc>
        <w:tc>
          <w:tcPr>
            <w:tcW w:w="1459" w:type="dxa"/>
            <w:gridSpan w:val="3"/>
            <w:tcBorders>
              <w:left w:val="nil"/>
              <w:bottom w:val="nil"/>
              <w:right w:val="nil"/>
            </w:tcBorders>
          </w:tcPr>
          <w:p w:rsidR="009175D4" w:rsidRDefault="009175D4" w:rsidP="00A661A6">
            <w:pPr>
              <w:rPr>
                <w:rtl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9175D4" w:rsidRDefault="009175D4" w:rsidP="00A661A6">
            <w:pPr>
              <w:rPr>
                <w:rtl/>
              </w:rPr>
            </w:pPr>
          </w:p>
        </w:tc>
      </w:tr>
      <w:tr w:rsidR="00020DD1" w:rsidTr="00A661A6">
        <w:tc>
          <w:tcPr>
            <w:tcW w:w="3925" w:type="dxa"/>
            <w:gridSpan w:val="3"/>
          </w:tcPr>
          <w:p w:rsidR="00020DD1" w:rsidRDefault="00020DD1" w:rsidP="00A661A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מכבין</w:t>
            </w:r>
            <w:proofErr w:type="spellEnd"/>
            <w:r>
              <w:rPr>
                <w:rFonts w:hint="cs"/>
                <w:rtl/>
              </w:rPr>
              <w:t xml:space="preserve"> נר משום הנשמה שנקראת  נר ה'</w:t>
            </w:r>
          </w:p>
        </w:tc>
        <w:tc>
          <w:tcPr>
            <w:tcW w:w="1704" w:type="dxa"/>
            <w:tcBorders>
              <w:top w:val="nil"/>
              <w:right w:val="nil"/>
            </w:tcBorders>
          </w:tcPr>
          <w:p w:rsidR="00020DD1" w:rsidRDefault="00020DD1" w:rsidP="00A661A6">
            <w:pPr>
              <w:rPr>
                <w:rtl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right w:val="nil"/>
            </w:tcBorders>
          </w:tcPr>
          <w:p w:rsidR="00020DD1" w:rsidRDefault="00020DD1" w:rsidP="00A661A6">
            <w:pPr>
              <w:rPr>
                <w:rtl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020DD1" w:rsidRDefault="00020DD1" w:rsidP="00A661A6">
            <w:pPr>
              <w:rPr>
                <w:rtl/>
              </w:rPr>
            </w:pPr>
          </w:p>
        </w:tc>
      </w:tr>
      <w:tr w:rsidR="00020DD1" w:rsidTr="00A661A6">
        <w:tc>
          <w:tcPr>
            <w:tcW w:w="1843" w:type="dxa"/>
            <w:gridSpan w:val="2"/>
          </w:tcPr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דוד</w:t>
            </w:r>
          </w:p>
        </w:tc>
        <w:tc>
          <w:tcPr>
            <w:tcW w:w="2082" w:type="dxa"/>
          </w:tcPr>
          <w:p w:rsidR="00020DD1" w:rsidRDefault="00020DD1" w:rsidP="00A661A6">
            <w:pPr>
              <w:rPr>
                <w:rtl/>
              </w:rPr>
            </w:pPr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לא המתים יהללו יה</w:t>
            </w:r>
          </w:p>
        </w:tc>
        <w:tc>
          <w:tcPr>
            <w:tcW w:w="5290" w:type="dxa"/>
            <w:gridSpan w:val="5"/>
          </w:tcPr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>שיעסוק בתורה קודם מיטתו</w:t>
            </w:r>
          </w:p>
        </w:tc>
      </w:tr>
      <w:tr w:rsidR="00020DD1" w:rsidTr="00A661A6">
        <w:tc>
          <w:tcPr>
            <w:tcW w:w="1843" w:type="dxa"/>
            <w:gridSpan w:val="2"/>
            <w:vMerge w:val="restart"/>
          </w:tcPr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שלמה </w:t>
            </w:r>
          </w:p>
        </w:tc>
        <w:tc>
          <w:tcPr>
            <w:tcW w:w="2082" w:type="dxa"/>
            <w:vMerge w:val="restart"/>
          </w:tcPr>
          <w:p w:rsidR="00020DD1" w:rsidRDefault="00020DD1" w:rsidP="00A661A6">
            <w:pPr>
              <w:rPr>
                <w:rtl/>
              </w:rPr>
            </w:pPr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ושבח אני את המתים שכבר מתו</w:t>
            </w:r>
          </w:p>
        </w:tc>
        <w:tc>
          <w:tcPr>
            <w:tcW w:w="5290" w:type="dxa"/>
            <w:gridSpan w:val="5"/>
          </w:tcPr>
          <w:p w:rsidR="00020DD1" w:rsidRDefault="00020DD1" w:rsidP="00A661A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הדציקים</w:t>
            </w:r>
            <w:proofErr w:type="spellEnd"/>
            <w:r>
              <w:rPr>
                <w:rFonts w:hint="cs"/>
                <w:rtl/>
              </w:rPr>
              <w:t xml:space="preserve"> שזכותם גדולה מהחיים כשם שמשה לא התחיל בזכותו לבטל אלה בזכות אברהם יצחק ויעקב</w:t>
            </w:r>
          </w:p>
        </w:tc>
      </w:tr>
      <w:tr w:rsidR="00020DD1" w:rsidTr="00A661A6">
        <w:tc>
          <w:tcPr>
            <w:tcW w:w="1843" w:type="dxa"/>
            <w:gridSpan w:val="2"/>
            <w:vMerge/>
          </w:tcPr>
          <w:p w:rsidR="00020DD1" w:rsidRDefault="00020DD1" w:rsidP="00A661A6">
            <w:pPr>
              <w:rPr>
                <w:rFonts w:hint="cs"/>
                <w:rtl/>
              </w:rPr>
            </w:pPr>
          </w:p>
        </w:tc>
        <w:tc>
          <w:tcPr>
            <w:tcW w:w="2082" w:type="dxa"/>
            <w:vMerge/>
          </w:tcPr>
          <w:p w:rsidR="00020DD1" w:rsidRPr="004819E0" w:rsidRDefault="00020DD1" w:rsidP="00A661A6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5290" w:type="dxa"/>
            <w:gridSpan w:val="5"/>
          </w:tcPr>
          <w:p w:rsidR="00020DD1" w:rsidRDefault="00020DD1" w:rsidP="00A661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משה תיקן כמה תקנות ושומרים אותם מציווי אנשים חיים</w:t>
            </w:r>
          </w:p>
        </w:tc>
      </w:tr>
      <w:tr w:rsidR="00020DD1" w:rsidTr="00A661A6">
        <w:tc>
          <w:tcPr>
            <w:tcW w:w="1843" w:type="dxa"/>
            <w:gridSpan w:val="2"/>
            <w:vMerge/>
          </w:tcPr>
          <w:p w:rsidR="00020DD1" w:rsidRDefault="00020DD1" w:rsidP="00A661A6">
            <w:pPr>
              <w:rPr>
                <w:rFonts w:hint="cs"/>
                <w:rtl/>
              </w:rPr>
            </w:pPr>
          </w:p>
        </w:tc>
        <w:tc>
          <w:tcPr>
            <w:tcW w:w="2082" w:type="dxa"/>
            <w:vMerge/>
          </w:tcPr>
          <w:p w:rsidR="00020DD1" w:rsidRPr="004819E0" w:rsidRDefault="00020DD1" w:rsidP="00A661A6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5290" w:type="dxa"/>
            <w:gridSpan w:val="5"/>
          </w:tcPr>
          <w:p w:rsidR="00020DD1" w:rsidRDefault="00020DD1" w:rsidP="00A661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שנפתחו השערים בזכות דוד ולא בזכות שלמה </w:t>
            </w:r>
          </w:p>
        </w:tc>
      </w:tr>
      <w:tr w:rsidR="00020DD1" w:rsidTr="00A661A6">
        <w:tc>
          <w:tcPr>
            <w:tcW w:w="1843" w:type="dxa"/>
            <w:gridSpan w:val="2"/>
            <w:vMerge/>
          </w:tcPr>
          <w:p w:rsidR="00020DD1" w:rsidRDefault="00020DD1" w:rsidP="00A661A6">
            <w:pPr>
              <w:rPr>
                <w:rtl/>
              </w:rPr>
            </w:pPr>
          </w:p>
        </w:tc>
        <w:tc>
          <w:tcPr>
            <w:tcW w:w="2082" w:type="dxa"/>
          </w:tcPr>
          <w:p w:rsidR="00020DD1" w:rsidRDefault="00020DD1" w:rsidP="00A661A6">
            <w:pPr>
              <w:rPr>
                <w:rtl/>
              </w:rPr>
            </w:pPr>
            <w:r w:rsidRPr="004819E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כי לכלב חי הוא טוב מן האריה המת</w:t>
            </w:r>
          </w:p>
        </w:tc>
        <w:tc>
          <w:tcPr>
            <w:tcW w:w="5290" w:type="dxa"/>
            <w:gridSpan w:val="5"/>
          </w:tcPr>
          <w:p w:rsidR="00020DD1" w:rsidRDefault="00020DD1" w:rsidP="00A661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שנשיאת נבלה הותרה לצורך אכילת כלב חי ,אבל את דוד היה צריך לטלטל בשינוי </w:t>
            </w:r>
          </w:p>
        </w:tc>
      </w:tr>
    </w:tbl>
    <w:p w:rsidR="00A661A6" w:rsidRPr="00383703" w:rsidRDefault="00A661A6" w:rsidP="00A661A6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27786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27786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A661A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A661A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כט</w:t>
      </w:r>
      <w:proofErr w:type="spellEnd"/>
      <w:r w:rsidRPr="00A661A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: ל:</w:t>
      </w:r>
    </w:p>
    <w:p w:rsidR="00596CBF" w:rsidRDefault="00596CBF">
      <w:bookmarkStart w:id="0" w:name="_GoBack"/>
      <w:bookmarkEnd w:id="0"/>
    </w:p>
    <w:sectPr w:rsidR="00596CBF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DF"/>
    <w:rsid w:val="000133DF"/>
    <w:rsid w:val="00020DD1"/>
    <w:rsid w:val="001C4845"/>
    <w:rsid w:val="004819E0"/>
    <w:rsid w:val="00485A03"/>
    <w:rsid w:val="00510B0C"/>
    <w:rsid w:val="00596CBF"/>
    <w:rsid w:val="006E2430"/>
    <w:rsid w:val="009175D4"/>
    <w:rsid w:val="00A661A6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2012-10-31T12:29:00Z</dcterms:created>
  <dcterms:modified xsi:type="dcterms:W3CDTF">2012-11-02T13:01:00Z</dcterms:modified>
</cp:coreProperties>
</file>