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8" w:rsidRPr="00383703" w:rsidRDefault="002D5F58" w:rsidP="00EF5864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ED01C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r w:rsidR="00EF5864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</w:t>
      </w:r>
      <w:r w:rsidR="00ED01C2" w:rsidRPr="00ED01C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</w:t>
      </w:r>
    </w:p>
    <w:p w:rsidR="002D5F58" w:rsidRDefault="002D5F58" w:rsidP="002D5F58">
      <w:pPr>
        <w:rPr>
          <w:rtl/>
        </w:rPr>
      </w:pPr>
    </w:p>
    <w:tbl>
      <w:tblPr>
        <w:tblStyle w:val="a3"/>
        <w:bidiVisual/>
        <w:tblW w:w="9215" w:type="dxa"/>
        <w:tblInd w:w="-375" w:type="dxa"/>
        <w:tblLook w:val="04A0" w:firstRow="1" w:lastRow="0" w:firstColumn="1" w:lastColumn="0" w:noHBand="0" w:noVBand="1"/>
      </w:tblPr>
      <w:tblGrid>
        <w:gridCol w:w="1418"/>
        <w:gridCol w:w="283"/>
        <w:gridCol w:w="378"/>
        <w:gridCol w:w="1704"/>
        <w:gridCol w:w="753"/>
        <w:gridCol w:w="951"/>
        <w:gridCol w:w="325"/>
        <w:gridCol w:w="425"/>
        <w:gridCol w:w="955"/>
        <w:gridCol w:w="2023"/>
      </w:tblGrid>
      <w:tr w:rsidR="00EF5864" w:rsidTr="002F2758">
        <w:tc>
          <w:tcPr>
            <w:tcW w:w="9215" w:type="dxa"/>
            <w:gridSpan w:val="10"/>
          </w:tcPr>
          <w:p w:rsidR="00EF5864" w:rsidRDefault="00EF5864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ג' דברים צריך אדם לומר בתוך ביתו ערב שבת עם חשכה עשרתם ערבתם הדליקו את הנר</w:t>
            </w:r>
          </w:p>
        </w:tc>
      </w:tr>
      <w:tr w:rsidR="00EF5864" w:rsidTr="002F2758">
        <w:tc>
          <w:tcPr>
            <w:tcW w:w="2079" w:type="dxa"/>
            <w:gridSpan w:val="3"/>
          </w:tcPr>
          <w:p w:rsidR="00EF5864" w:rsidRDefault="00EF586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מניין</w:t>
            </w:r>
          </w:p>
        </w:tc>
        <w:tc>
          <w:tcPr>
            <w:tcW w:w="7136" w:type="dxa"/>
            <w:gridSpan w:val="7"/>
          </w:tcPr>
          <w:p w:rsidR="00EF5864" w:rsidRDefault="00EF586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רבי </w:t>
            </w: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יהושע בן לוי אמר קרא (איוב ה) וידעת כי שלום אהלך ופקדת </w:t>
            </w:r>
            <w:proofErr w:type="spellStart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נוך</w:t>
            </w:r>
            <w:proofErr w:type="spellEnd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ולא תחטא</w:t>
            </w:r>
          </w:p>
        </w:tc>
      </w:tr>
      <w:tr w:rsidR="00EF5864" w:rsidTr="002F2758"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:rsidR="00EF5864" w:rsidRDefault="00EF586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כיצד לומר</w:t>
            </w:r>
          </w:p>
        </w:tc>
        <w:tc>
          <w:tcPr>
            <w:tcW w:w="7136" w:type="dxa"/>
            <w:gridSpan w:val="7"/>
            <w:tcBorders>
              <w:bottom w:val="single" w:sz="4" w:space="0" w:color="auto"/>
            </w:tcBorders>
          </w:tcPr>
          <w:p w:rsidR="00EF5864" w:rsidRDefault="00EF5864" w:rsidP="00EF5864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הונא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צריך </w:t>
            </w:r>
            <w:proofErr w:type="spellStart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למימרינהו</w:t>
            </w:r>
            <w:proofErr w:type="spellEnd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בניחותא כי </w:t>
            </w:r>
            <w:proofErr w:type="spellStart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היכי</w:t>
            </w:r>
            <w:proofErr w:type="spellEnd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דליקבלינהו</w:t>
            </w:r>
            <w:proofErr w:type="spellEnd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מיניה</w:t>
            </w:r>
          </w:p>
        </w:tc>
      </w:tr>
      <w:tr w:rsidR="002D5F58" w:rsidTr="002F2758">
        <w:tc>
          <w:tcPr>
            <w:tcW w:w="2079" w:type="dxa"/>
            <w:gridSpan w:val="3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3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EF5864" w:rsidTr="002F2758">
        <w:tc>
          <w:tcPr>
            <w:tcW w:w="9215" w:type="dxa"/>
            <w:gridSpan w:val="10"/>
          </w:tcPr>
          <w:p w:rsidR="00EF5864" w:rsidRDefault="00EF586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מה דין עירוב  בספק חשיכה בין השמשות </w:t>
            </w:r>
          </w:p>
        </w:tc>
      </w:tr>
      <w:tr w:rsidR="00EF5864" w:rsidTr="002F2758">
        <w:tc>
          <w:tcPr>
            <w:tcW w:w="5487" w:type="dxa"/>
            <w:gridSpan w:val="6"/>
            <w:tcBorders>
              <w:bottom w:val="single" w:sz="4" w:space="0" w:color="auto"/>
            </w:tcBorders>
          </w:tcPr>
          <w:p w:rsidR="00EF5864" w:rsidRDefault="00EF5864" w:rsidP="00EF586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מהרישא משמע שלא מערב :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ערובי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תחומין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שנסמך על פסוק</w:t>
            </w:r>
          </w:p>
        </w:tc>
        <w:tc>
          <w:tcPr>
            <w:tcW w:w="3728" w:type="dxa"/>
            <w:gridSpan w:val="4"/>
            <w:tcBorders>
              <w:bottom w:val="single" w:sz="4" w:space="0" w:color="auto"/>
            </w:tcBorders>
          </w:tcPr>
          <w:p w:rsidR="00EF5864" w:rsidRDefault="00EF586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מהסיפא משמע שמערב: עירובי חצרות </w:t>
            </w:r>
          </w:p>
        </w:tc>
      </w:tr>
      <w:tr w:rsidR="002D5F58" w:rsidTr="002F2758">
        <w:tc>
          <w:tcPr>
            <w:tcW w:w="2079" w:type="dxa"/>
            <w:gridSpan w:val="3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3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D91F74" w:rsidTr="002F2758">
        <w:tc>
          <w:tcPr>
            <w:tcW w:w="9215" w:type="dxa"/>
            <w:gridSpan w:val="10"/>
          </w:tcPr>
          <w:p w:rsidR="00D91F74" w:rsidRDefault="00D91F74" w:rsidP="00D91F74">
            <w:pPr>
              <w:jc w:val="center"/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ערובי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תחומין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צריכים לקנות בבין השמשות</w:t>
            </w:r>
          </w:p>
        </w:tc>
      </w:tr>
      <w:tr w:rsidR="00D91F74" w:rsidTr="002F2758">
        <w:tc>
          <w:tcPr>
            <w:tcW w:w="1418" w:type="dxa"/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הניח עירוב</w:t>
            </w:r>
          </w:p>
        </w:tc>
        <w:tc>
          <w:tcPr>
            <w:tcW w:w="4069" w:type="dxa"/>
            <w:gridSpan w:val="5"/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ביום שישי</w:t>
            </w:r>
          </w:p>
        </w:tc>
        <w:tc>
          <w:tcPr>
            <w:tcW w:w="3728" w:type="dxa"/>
            <w:gridSpan w:val="4"/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בין השמשות</w:t>
            </w:r>
          </w:p>
        </w:tc>
      </w:tr>
      <w:tr w:rsidR="00D91F74" w:rsidTr="002F2758">
        <w:tc>
          <w:tcPr>
            <w:tcW w:w="1418" w:type="dxa"/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נאכ</w:t>
            </w:r>
            <w:r>
              <w:rPr>
                <w:rFonts w:cs="David" w:hint="cs"/>
                <w:sz w:val="24"/>
                <w:szCs w:val="24"/>
                <w:rtl/>
              </w:rPr>
              <w:t>ל</w:t>
            </w:r>
          </w:p>
        </w:tc>
        <w:tc>
          <w:tcPr>
            <w:tcW w:w="4069" w:type="dxa"/>
            <w:gridSpan w:val="5"/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עירובו בבית השמשות</w:t>
            </w:r>
          </w:p>
        </w:tc>
        <w:tc>
          <w:tcPr>
            <w:tcW w:w="3728" w:type="dxa"/>
            <w:gridSpan w:val="4"/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ביום שבת </w:t>
            </w:r>
          </w:p>
        </w:tc>
      </w:tr>
      <w:tr w:rsidR="00D91F74" w:rsidTr="002F2758">
        <w:tc>
          <w:tcPr>
            <w:tcW w:w="1418" w:type="dxa"/>
          </w:tcPr>
          <w:p w:rsidR="00D91F74" w:rsidRDefault="00D91F74">
            <w:pPr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4069" w:type="dxa"/>
            <w:gridSpan w:val="5"/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העירוב קנה</w:t>
            </w:r>
          </w:p>
        </w:tc>
        <w:tc>
          <w:tcPr>
            <w:tcW w:w="3728" w:type="dxa"/>
            <w:gridSpan w:val="4"/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העירוב קנה</w:t>
            </w:r>
          </w:p>
        </w:tc>
      </w:tr>
      <w:tr w:rsidR="00D91F74" w:rsidTr="002F2758">
        <w:tc>
          <w:tcPr>
            <w:tcW w:w="1418" w:type="dxa"/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הסיבה</w:t>
            </w:r>
          </w:p>
        </w:tc>
        <w:tc>
          <w:tcPr>
            <w:tcW w:w="4069" w:type="dxa"/>
            <w:gridSpan w:val="5"/>
          </w:tcPr>
          <w:p w:rsidR="00D91F74" w:rsidRDefault="00D91F74" w:rsidP="00D91F7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מחשיבים את בין השמשות</w:t>
            </w:r>
            <w:r w:rsidRPr="00D91F74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לילה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ועירובו קנה בתחילת בין השמשות ונאכל אחר כך. </w:t>
            </w:r>
          </w:p>
        </w:tc>
        <w:tc>
          <w:tcPr>
            <w:tcW w:w="3728" w:type="dxa"/>
            <w:gridSpan w:val="4"/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מחשיבים את בין השמשות</w:t>
            </w:r>
            <w:r w:rsidRPr="00D91F74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יום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והוא קנה ועירובו נאכל ביום שבת </w:t>
            </w:r>
          </w:p>
        </w:tc>
      </w:tr>
      <w:tr w:rsidR="00D91F74" w:rsidTr="002F2758">
        <w:tc>
          <w:tcPr>
            <w:tcW w:w="9215" w:type="dxa"/>
            <w:gridSpan w:val="10"/>
            <w:tcBorders>
              <w:bottom w:val="single" w:sz="4" w:space="0" w:color="auto"/>
            </w:tcBorders>
          </w:tcPr>
          <w:p w:rsidR="00D91F74" w:rsidRDefault="00D91F74" w:rsidP="00D91F74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והסיבה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שערובין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זה דרבנן ובית השמשות זמן ספק וספק דרבנן הולך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לקולא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לשני הצדדים.</w:t>
            </w:r>
          </w:p>
        </w:tc>
      </w:tr>
      <w:tr w:rsidR="00D91F74" w:rsidTr="002F2758">
        <w:tc>
          <w:tcPr>
            <w:tcW w:w="1418" w:type="dxa"/>
            <w:tcBorders>
              <w:left w:val="nil"/>
              <w:right w:val="nil"/>
            </w:tcBorders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65" w:type="dxa"/>
            <w:gridSpan w:val="3"/>
            <w:tcBorders>
              <w:left w:val="nil"/>
              <w:right w:val="nil"/>
            </w:tcBorders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3"/>
            <w:tcBorders>
              <w:left w:val="nil"/>
              <w:right w:val="nil"/>
            </w:tcBorders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left w:val="nil"/>
              <w:right w:val="nil"/>
            </w:tcBorders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F2758" w:rsidTr="00736452">
        <w:tc>
          <w:tcPr>
            <w:tcW w:w="9215" w:type="dxa"/>
            <w:gridSpan w:val="10"/>
          </w:tcPr>
          <w:p w:rsidR="002F2758" w:rsidRDefault="002F2758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גזרות בעניין הטמנה</w:t>
            </w:r>
          </w:p>
        </w:tc>
      </w:tr>
      <w:tr w:rsidR="00D91F74" w:rsidTr="002F2758">
        <w:tc>
          <w:tcPr>
            <w:tcW w:w="3783" w:type="dxa"/>
            <w:gridSpan w:val="4"/>
          </w:tcPr>
          <w:p w:rsidR="00D91F74" w:rsidRDefault="00D91F74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אין </w:t>
            </w:r>
            <w:proofErr w:type="spellStart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טומנין</w:t>
            </w:r>
            <w:proofErr w:type="spellEnd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בדבר המוסיף הבל ואפילו </w:t>
            </w:r>
            <w:r w:rsidRPr="00803E7D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מבעוד יום</w:t>
            </w: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גזירה</w:t>
            </w:r>
          </w:p>
        </w:tc>
        <w:tc>
          <w:tcPr>
            <w:tcW w:w="5432" w:type="dxa"/>
            <w:gridSpan w:val="6"/>
          </w:tcPr>
          <w:p w:rsidR="00D91F74" w:rsidRDefault="00D91F74" w:rsidP="00D91F74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שמא יטמין ברמץ שיש בה גחלת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</w:t>
            </w: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יחתה בגחלים</w:t>
            </w:r>
          </w:p>
        </w:tc>
      </w:tr>
      <w:tr w:rsidR="00803E7D" w:rsidTr="002F2758">
        <w:tc>
          <w:tcPr>
            <w:tcW w:w="3783" w:type="dxa"/>
            <w:gridSpan w:val="4"/>
            <w:tcBorders>
              <w:bottom w:val="single" w:sz="4" w:space="0" w:color="auto"/>
            </w:tcBorders>
          </w:tcPr>
          <w:p w:rsidR="00803E7D" w:rsidRDefault="00803E7D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אין </w:t>
            </w:r>
            <w:proofErr w:type="spellStart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טומנין</w:t>
            </w:r>
            <w:proofErr w:type="spellEnd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בדבר שאינו מוסיף הבל </w:t>
            </w:r>
            <w:r w:rsidRPr="00803E7D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משחשכה</w:t>
            </w:r>
          </w:p>
        </w:tc>
        <w:tc>
          <w:tcPr>
            <w:tcW w:w="5432" w:type="dxa"/>
            <w:gridSpan w:val="6"/>
            <w:tcBorders>
              <w:bottom w:val="single" w:sz="4" w:space="0" w:color="auto"/>
            </w:tcBorders>
          </w:tcPr>
          <w:p w:rsidR="00803E7D" w:rsidRDefault="00803E7D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גזרה שמא ירתיח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.</w:t>
            </w:r>
          </w:p>
        </w:tc>
      </w:tr>
      <w:tr w:rsidR="00D91F74" w:rsidTr="002F2758">
        <w:tc>
          <w:tcPr>
            <w:tcW w:w="1418" w:type="dxa"/>
            <w:tcBorders>
              <w:left w:val="nil"/>
              <w:right w:val="nil"/>
            </w:tcBorders>
          </w:tcPr>
          <w:p w:rsidR="00D91F74" w:rsidRDefault="00D91F7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65" w:type="dxa"/>
            <w:gridSpan w:val="3"/>
            <w:tcBorders>
              <w:left w:val="nil"/>
              <w:right w:val="nil"/>
            </w:tcBorders>
          </w:tcPr>
          <w:p w:rsidR="00D91F74" w:rsidRDefault="00D91F7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D91F74" w:rsidRDefault="00D91F7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3"/>
            <w:tcBorders>
              <w:left w:val="nil"/>
              <w:right w:val="nil"/>
            </w:tcBorders>
          </w:tcPr>
          <w:p w:rsidR="00D91F74" w:rsidRDefault="00D91F7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left w:val="nil"/>
              <w:right w:val="nil"/>
            </w:tcBorders>
          </w:tcPr>
          <w:p w:rsidR="00D91F74" w:rsidRDefault="00D91F74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803E7D" w:rsidTr="002F2758">
        <w:tc>
          <w:tcPr>
            <w:tcW w:w="9215" w:type="dxa"/>
            <w:gridSpan w:val="10"/>
          </w:tcPr>
          <w:p w:rsidR="00803E7D" w:rsidRDefault="00803E7D" w:rsidP="00803E7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דיני בין השמשות</w:t>
            </w:r>
          </w:p>
        </w:tc>
      </w:tr>
      <w:tr w:rsidR="00803E7D" w:rsidTr="002F2758">
        <w:tc>
          <w:tcPr>
            <w:tcW w:w="1701" w:type="dxa"/>
            <w:gridSpan w:val="2"/>
          </w:tcPr>
          <w:p w:rsidR="00803E7D" w:rsidRDefault="00803E7D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כיצד מתייחסים אליו </w:t>
            </w:r>
          </w:p>
        </w:tc>
        <w:tc>
          <w:tcPr>
            <w:tcW w:w="7514" w:type="dxa"/>
            <w:gridSpan w:val="8"/>
          </w:tcPr>
          <w:p w:rsidR="00803E7D" w:rsidRDefault="00803E7D" w:rsidP="008E63A0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ספק מן היום ומן הלילה ספק כולו מן היום ספק כולו מן הלילה</w:t>
            </w:r>
          </w:p>
          <w:p w:rsidR="00803E7D" w:rsidRDefault="00803E7D" w:rsidP="008E63A0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מטילין</w:t>
            </w:r>
            <w:proofErr w:type="spellEnd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אותו לחומר שני ימים</w:t>
            </w:r>
          </w:p>
        </w:tc>
      </w:tr>
      <w:tr w:rsidR="00234452" w:rsidTr="002F2758"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כיצד הוא</w:t>
            </w:r>
          </w:p>
        </w:tc>
        <w:tc>
          <w:tcPr>
            <w:tcW w:w="2835" w:type="dxa"/>
            <w:gridSpan w:val="3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רבי יהודה</w:t>
            </w:r>
          </w:p>
        </w:tc>
        <w:tc>
          <w:tcPr>
            <w:tcW w:w="1701" w:type="dxa"/>
            <w:gridSpan w:val="3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ר' נחמיה</w:t>
            </w:r>
          </w:p>
        </w:tc>
        <w:tc>
          <w:tcPr>
            <w:tcW w:w="2978" w:type="dxa"/>
            <w:gridSpan w:val="2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 יוסי</w:t>
            </w:r>
          </w:p>
        </w:tc>
      </w:tr>
      <w:tr w:rsidR="00234452" w:rsidTr="002F2758">
        <w:tc>
          <w:tcPr>
            <w:tcW w:w="1701" w:type="dxa"/>
            <w:gridSpan w:val="2"/>
            <w:tcBorders>
              <w:left w:val="nil"/>
            </w:tcBorders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3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שמש שקעה ויש אדמומיות הכסיף (השחיר) התחתון (הצמוד לארץ) ולא השחיר העליון.</w:t>
            </w:r>
          </w:p>
        </w:tc>
        <w:tc>
          <w:tcPr>
            <w:tcW w:w="1701" w:type="dxa"/>
            <w:gridSpan w:val="3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כדי שיהלך אדם </w:t>
            </w:r>
            <w:proofErr w:type="spellStart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משתשקע</w:t>
            </w:r>
            <w:proofErr w:type="spellEnd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החמה חצי מיל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978" w:type="dxa"/>
            <w:gridSpan w:val="2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בין השמשות כהרף עין זה נכנס וזה יוצא ואי אפשר לעמוד עליו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803E7D" w:rsidTr="002F2758">
        <w:tc>
          <w:tcPr>
            <w:tcW w:w="1701" w:type="dxa"/>
            <w:gridSpan w:val="2"/>
          </w:tcPr>
          <w:p w:rsidR="00803E7D" w:rsidRDefault="00803E7D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מה דינו </w:t>
            </w:r>
          </w:p>
        </w:tc>
        <w:tc>
          <w:tcPr>
            <w:tcW w:w="7514" w:type="dxa"/>
            <w:gridSpan w:val="8"/>
          </w:tcPr>
          <w:p w:rsidR="00803E7D" w:rsidRDefault="00803E7D" w:rsidP="00803E7D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מר </w:t>
            </w:r>
            <w:proofErr w:type="spellStart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מטילין</w:t>
            </w:r>
            <w:proofErr w:type="spellEnd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אותו </w:t>
            </w:r>
            <w:r w:rsidR="00234452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את בין השמשות </w:t>
            </w: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לחומר שני ימים </w:t>
            </w:r>
          </w:p>
        </w:tc>
      </w:tr>
      <w:tr w:rsidR="00234452" w:rsidTr="002F2758">
        <w:tc>
          <w:tcPr>
            <w:tcW w:w="1701" w:type="dxa"/>
            <w:gridSpan w:val="2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למאי הלכתא</w:t>
            </w:r>
          </w:p>
        </w:tc>
        <w:tc>
          <w:tcPr>
            <w:tcW w:w="7514" w:type="dxa"/>
            <w:gridSpan w:val="8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זב שראה  שני ימים בין השמשות ספק לטומאה ולקורבן </w:t>
            </w:r>
          </w:p>
        </w:tc>
      </w:tr>
      <w:tr w:rsidR="00234452" w:rsidTr="002F2758">
        <w:tc>
          <w:tcPr>
            <w:tcW w:w="1701" w:type="dxa"/>
            <w:gridSpan w:val="2"/>
            <w:vMerge w:val="restart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הקדמה בענייני זב </w:t>
            </w:r>
          </w:p>
        </w:tc>
        <w:tc>
          <w:tcPr>
            <w:tcW w:w="2082" w:type="dxa"/>
            <w:gridSpan w:val="2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ראיה אחת או 2 ראיות בהפסק יום</w:t>
            </w:r>
          </w:p>
        </w:tc>
        <w:tc>
          <w:tcPr>
            <w:tcW w:w="2029" w:type="dxa"/>
            <w:gridSpan w:val="3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 ראיות ביום אחד או שני ימים</w:t>
            </w:r>
          </w:p>
        </w:tc>
        <w:tc>
          <w:tcPr>
            <w:tcW w:w="3403" w:type="dxa"/>
            <w:gridSpan w:val="3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שלוש ראיות 2 ביום אחד ואחת ביום השני. </w:t>
            </w:r>
          </w:p>
        </w:tc>
      </w:tr>
      <w:tr w:rsidR="00234452" w:rsidTr="002F2758">
        <w:tc>
          <w:tcPr>
            <w:tcW w:w="1701" w:type="dxa"/>
            <w:gridSpan w:val="2"/>
            <w:vMerge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82" w:type="dxa"/>
            <w:gridSpan w:val="2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כבעל קרי ונטהר בלילה </w:t>
            </w:r>
          </w:p>
        </w:tc>
        <w:tc>
          <w:tcPr>
            <w:tcW w:w="2029" w:type="dxa"/>
            <w:gridSpan w:val="3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נטמ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בטומאת זב וצריך שבעה נקים וטבילה </w:t>
            </w:r>
          </w:p>
        </w:tc>
        <w:tc>
          <w:tcPr>
            <w:tcW w:w="3403" w:type="dxa"/>
            <w:gridSpan w:val="3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צריך גם קורבן </w:t>
            </w:r>
          </w:p>
        </w:tc>
      </w:tr>
      <w:tr w:rsidR="00234452" w:rsidTr="002F2758">
        <w:tc>
          <w:tcPr>
            <w:tcW w:w="1701" w:type="dxa"/>
            <w:gridSpan w:val="2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מה הספקות שראה יומיים</w:t>
            </w:r>
          </w:p>
        </w:tc>
        <w:tc>
          <w:tcPr>
            <w:tcW w:w="2082" w:type="dxa"/>
            <w:gridSpan w:val="2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ראיה ראשונה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שייכת ליום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והשניה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ללילה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ויש יום הפסק</w:t>
            </w:r>
          </w:p>
        </w:tc>
        <w:tc>
          <w:tcPr>
            <w:tcW w:w="2029" w:type="dxa"/>
            <w:gridSpan w:val="3"/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ראיה ראשונה ושניה שייכת ליום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וראה בשני ימים רצופים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r>
              <w:rPr>
                <w:rFonts w:cs="David" w:hint="cs"/>
                <w:sz w:val="24"/>
                <w:szCs w:val="24"/>
                <w:rtl/>
              </w:rPr>
              <w:t>ספק לטומאה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:rsidR="00234452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ראיה ראשונה שיית ליום וללילה והשנייה ליום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נמצא שראה 2 ראיות בשלושה ימים רצופים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r>
              <w:rPr>
                <w:rFonts w:cs="David" w:hint="cs"/>
                <w:sz w:val="24"/>
                <w:szCs w:val="24"/>
                <w:rtl/>
              </w:rPr>
              <w:t>ספק לקורבן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803E7D" w:rsidTr="002F2758"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03E7D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זב שראה יום אחד</w:t>
            </w: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:rsidR="00803E7D" w:rsidRDefault="00803E7D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:rsidR="00803E7D" w:rsidRDefault="00234452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ספק לטומאה בלבד.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  <w:right w:val="nil"/>
            </w:tcBorders>
          </w:tcPr>
          <w:p w:rsidR="00803E7D" w:rsidRDefault="00803E7D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left w:val="nil"/>
              <w:bottom w:val="single" w:sz="4" w:space="0" w:color="auto"/>
              <w:right w:val="nil"/>
            </w:tcBorders>
          </w:tcPr>
          <w:p w:rsidR="00803E7D" w:rsidRDefault="00803E7D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803E7D" w:rsidTr="002F2758"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803E7D" w:rsidRDefault="00803E7D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82" w:type="dxa"/>
            <w:gridSpan w:val="2"/>
            <w:tcBorders>
              <w:left w:val="nil"/>
              <w:right w:val="nil"/>
            </w:tcBorders>
          </w:tcPr>
          <w:p w:rsidR="00803E7D" w:rsidRDefault="00803E7D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29" w:type="dxa"/>
            <w:gridSpan w:val="3"/>
            <w:tcBorders>
              <w:left w:val="nil"/>
              <w:right w:val="nil"/>
            </w:tcBorders>
          </w:tcPr>
          <w:p w:rsidR="00803E7D" w:rsidRDefault="00803E7D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left w:val="nil"/>
              <w:right w:val="nil"/>
            </w:tcBorders>
          </w:tcPr>
          <w:p w:rsidR="00803E7D" w:rsidRDefault="00803E7D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023" w:type="dxa"/>
            <w:tcBorders>
              <w:left w:val="nil"/>
              <w:right w:val="nil"/>
            </w:tcBorders>
          </w:tcPr>
          <w:p w:rsidR="00803E7D" w:rsidRDefault="00803E7D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2F2758" w:rsidTr="007812AB">
        <w:tc>
          <w:tcPr>
            <w:tcW w:w="1701" w:type="dxa"/>
            <w:gridSpan w:val="2"/>
          </w:tcPr>
          <w:p w:rsidR="002F2758" w:rsidRDefault="002F2758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מה הגדרת זמן הכספת תחתון </w:t>
            </w:r>
          </w:p>
        </w:tc>
        <w:tc>
          <w:tcPr>
            <w:tcW w:w="4111" w:type="dxa"/>
            <w:gridSpan w:val="5"/>
          </w:tcPr>
          <w:p w:rsidR="002F2758" w:rsidRDefault="002F2758" w:rsidP="008E63A0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 </w:t>
            </w:r>
            <w:proofErr w:type="spellStart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משתשקע</w:t>
            </w:r>
            <w:proofErr w:type="spellEnd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החמה כ"ז שפני מזרח </w:t>
            </w:r>
            <w:proofErr w:type="spellStart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מאדימין</w:t>
            </w:r>
            <w:proofErr w:type="spellEnd"/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משמע ש</w:t>
            </w: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הכסיף התחתון ולא הכסיף העליון לילה</w:t>
            </w:r>
          </w:p>
        </w:tc>
        <w:tc>
          <w:tcPr>
            <w:tcW w:w="3403" w:type="dxa"/>
            <w:gridSpan w:val="3"/>
          </w:tcPr>
          <w:p w:rsidR="002F2758" w:rsidRDefault="002F2758" w:rsidP="008E63A0">
            <w:pPr>
              <w:rPr>
                <w:rFonts w:cs="David"/>
                <w:sz w:val="24"/>
                <w:szCs w:val="24"/>
                <w:rtl/>
              </w:rPr>
            </w:pPr>
            <w:r w:rsidRPr="00EF5864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הכסיף התחתון ולא הכסיף העליון בין השמשות</w:t>
            </w:r>
          </w:p>
        </w:tc>
      </w:tr>
      <w:tr w:rsidR="002F2758" w:rsidTr="008F6720">
        <w:tc>
          <w:tcPr>
            <w:tcW w:w="1701" w:type="dxa"/>
            <w:gridSpan w:val="2"/>
          </w:tcPr>
          <w:p w:rsidR="002F2758" w:rsidRDefault="002F2758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5"/>
          </w:tcPr>
          <w:p w:rsidR="002F2758" w:rsidRDefault="002F2758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לרבה מזמן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שמאדימין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השמיים בין השמשות. </w:t>
            </w:r>
          </w:p>
        </w:tc>
        <w:tc>
          <w:tcPr>
            <w:tcW w:w="3403" w:type="dxa"/>
            <w:gridSpan w:val="3"/>
          </w:tcPr>
          <w:p w:rsidR="002F2758" w:rsidRDefault="002F2758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ולדעת רב יוסף משהכסיף התחתון בין השמשות.</w:t>
            </w:r>
          </w:p>
        </w:tc>
      </w:tr>
      <w:tr w:rsidR="002F2758" w:rsidTr="00D30518">
        <w:tc>
          <w:tcPr>
            <w:tcW w:w="1701" w:type="dxa"/>
            <w:gridSpan w:val="2"/>
          </w:tcPr>
          <w:p w:rsidR="002F2758" w:rsidRDefault="002F2758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5"/>
          </w:tcPr>
          <w:p w:rsidR="002F2758" w:rsidRDefault="002F2758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שלושת רבעי מיל </w:t>
            </w:r>
          </w:p>
        </w:tc>
        <w:tc>
          <w:tcPr>
            <w:tcW w:w="3403" w:type="dxa"/>
            <w:gridSpan w:val="3"/>
          </w:tcPr>
          <w:p w:rsidR="002F2758" w:rsidRDefault="002F2758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שני שלישי מיל</w:t>
            </w:r>
          </w:p>
        </w:tc>
      </w:tr>
    </w:tbl>
    <w:p w:rsidR="00F15280" w:rsidRDefault="00F15280">
      <w:pPr>
        <w:rPr>
          <w:rFonts w:cs="David"/>
          <w:sz w:val="24"/>
          <w:szCs w:val="24"/>
          <w:rtl/>
        </w:rPr>
      </w:pPr>
      <w:bookmarkStart w:id="0" w:name="_GoBack"/>
      <w:bookmarkEnd w:id="0"/>
    </w:p>
    <w:p w:rsidR="00EF5864" w:rsidRPr="00EF5864" w:rsidRDefault="00EF5864" w:rsidP="00EF58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 w:rsidRPr="00EF5864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  <w:lastRenderedPageBreak/>
        <w:t xml:space="preserve">דף </w:t>
      </w:r>
      <w:proofErr w:type="spellStart"/>
      <w:r w:rsidRPr="00EF5864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  <w:t>לד,א</w:t>
      </w:r>
      <w:proofErr w:type="spellEnd"/>
      <w:r w:rsidRPr="00EF5864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  <w:t xml:space="preserve"> משנה</w:t>
      </w:r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ספק חשכה ספק אינו חשכה אין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מעשרין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את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הודאי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ואין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מטבילין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את הכלים ואין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מדליקין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את הנרות אבל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מעשרין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את הדמאי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ומערבין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וטומנין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את החמין:</w:t>
      </w:r>
    </w:p>
    <w:p w:rsidR="00EF5864" w:rsidRPr="00EF5864" w:rsidRDefault="00EF5864" w:rsidP="002F27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  <w:rtl/>
        </w:rPr>
      </w:pPr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הא גופה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קשיא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אמרת איזהו אמר רבה אמר רב יהודה אמר שמואל כרוך ותני איזהו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ביה"ש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משתשקע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החמה כל זמן שפני מזרח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מאדימין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והכסיף התחתון ולא הכסיף העליון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נמי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בין השמשות הכסיף העליון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והשוה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לתחתון לילה ורב יוסף אמר רב יהודה אמר שמואל הכי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קתני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משתשקע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החמה כ"ז שפני מזרח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מאדימין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יום הכסיף התחתון ולא הכסיף העליון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ביה"ש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הכסיף העליון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והשוה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לתחתון לילה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ואזדו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לטעמייהו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דאיתמר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שיעור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ביה"ש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בכמה אמר רבה אמר רב יהודה אמר שמואל שלשה חלקי מיל מאי ג' חלקי מיל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אילימא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תלתא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פלגי מילא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נימא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מיל ומחצה אלא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תלתא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תילתי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מילא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נימא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מיל אלא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תלתא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ריבעי מילא ורב יוסף אמר רב יהודה אמר שמואל שני חלקי מיל מאי שני חלקי מיל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אילימא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תרי פלגי מילא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לימא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מיל ואלא תרי רבעי מילא </w:t>
      </w:r>
      <w:proofErr w:type="spellStart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לימא</w:t>
      </w:r>
      <w:proofErr w:type="spellEnd"/>
      <w:r w:rsidRPr="00EF5864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חצי מיל אלא</w:t>
      </w:r>
    </w:p>
    <w:p w:rsidR="00ED01C2" w:rsidRPr="002D5F58" w:rsidRDefault="00ED01C2">
      <w:pPr>
        <w:rPr>
          <w:rFonts w:cs="David"/>
          <w:sz w:val="24"/>
          <w:szCs w:val="24"/>
        </w:rPr>
      </w:pPr>
    </w:p>
    <w:sectPr w:rsidR="00ED01C2" w:rsidRPr="002D5F58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8"/>
    <w:rsid w:val="00234452"/>
    <w:rsid w:val="002D5F58"/>
    <w:rsid w:val="002F2758"/>
    <w:rsid w:val="0048162E"/>
    <w:rsid w:val="00803E7D"/>
    <w:rsid w:val="00C615BF"/>
    <w:rsid w:val="00D91F74"/>
    <w:rsid w:val="00ED01C2"/>
    <w:rsid w:val="00EF5864"/>
    <w:rsid w:val="00F1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2012-11-05T22:55:00Z</dcterms:created>
  <dcterms:modified xsi:type="dcterms:W3CDTF">2012-11-05T22:55:00Z</dcterms:modified>
</cp:coreProperties>
</file>