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4A7" w:rsidRPr="000664A7" w:rsidRDefault="000664A7" w:rsidP="000664A7">
      <w:pPr>
        <w:pStyle w:val="a8"/>
        <w:spacing w:line="240" w:lineRule="auto"/>
        <w:ind w:left="0"/>
        <w:jc w:val="right"/>
        <w:rPr>
          <w:rFonts w:cs="David" w:hint="cs"/>
          <w:b/>
          <w:bCs/>
          <w:sz w:val="32"/>
          <w:szCs w:val="32"/>
          <w:rtl/>
        </w:rPr>
      </w:pPr>
      <w:r w:rsidRPr="000664A7">
        <w:rPr>
          <w:rFonts w:cs="David" w:hint="cs"/>
          <w:b/>
          <w:bCs/>
          <w:sz w:val="32"/>
          <w:szCs w:val="32"/>
          <w:rtl/>
        </w:rPr>
        <w:t>הרב יהודה זולדן</w:t>
      </w:r>
    </w:p>
    <w:p w:rsidR="000664A7" w:rsidRDefault="000664A7" w:rsidP="000664A7">
      <w:pPr>
        <w:pStyle w:val="a8"/>
        <w:spacing w:line="240" w:lineRule="auto"/>
        <w:ind w:left="0"/>
        <w:jc w:val="center"/>
        <w:rPr>
          <w:rFonts w:cs="David" w:hint="cs"/>
          <w:b/>
          <w:bCs/>
          <w:szCs w:val="40"/>
          <w:rtl/>
        </w:rPr>
      </w:pPr>
    </w:p>
    <w:p w:rsidR="000664A7" w:rsidRPr="000664A7" w:rsidRDefault="000664A7" w:rsidP="000664A7">
      <w:pPr>
        <w:pStyle w:val="a8"/>
        <w:spacing w:line="240" w:lineRule="auto"/>
        <w:ind w:left="0"/>
        <w:rPr>
          <w:rFonts w:cs="David" w:hint="cs"/>
          <w:b/>
          <w:bCs/>
          <w:sz w:val="32"/>
          <w:szCs w:val="32"/>
          <w:rtl/>
        </w:rPr>
      </w:pPr>
      <w:r w:rsidRPr="000664A7">
        <w:rPr>
          <w:rFonts w:cs="David" w:hint="cs"/>
          <w:b/>
          <w:bCs/>
          <w:sz w:val="32"/>
          <w:szCs w:val="32"/>
          <w:rtl/>
        </w:rPr>
        <w:t>מתוך: מועדי יהודה וישראל, עמ' 526-507</w:t>
      </w:r>
    </w:p>
    <w:p w:rsidR="000664A7" w:rsidRDefault="000664A7" w:rsidP="000664A7">
      <w:pPr>
        <w:pStyle w:val="a8"/>
        <w:spacing w:line="240" w:lineRule="auto"/>
        <w:ind w:left="0"/>
        <w:jc w:val="center"/>
        <w:rPr>
          <w:rFonts w:cs="David" w:hint="cs"/>
          <w:b/>
          <w:bCs/>
          <w:szCs w:val="40"/>
          <w:rtl/>
        </w:rPr>
      </w:pPr>
    </w:p>
    <w:p w:rsidR="000664A7" w:rsidRPr="00E12749" w:rsidRDefault="000664A7" w:rsidP="000664A7">
      <w:pPr>
        <w:pStyle w:val="a8"/>
        <w:spacing w:line="240" w:lineRule="auto"/>
        <w:ind w:left="0"/>
        <w:jc w:val="center"/>
        <w:rPr>
          <w:rFonts w:cs="David"/>
          <w:b/>
          <w:bCs/>
          <w:szCs w:val="40"/>
          <w:rtl/>
        </w:rPr>
      </w:pPr>
      <w:bookmarkStart w:id="0" w:name="_GoBack"/>
      <w:bookmarkEnd w:id="0"/>
      <w:r w:rsidRPr="00E12749">
        <w:rPr>
          <w:rFonts w:cs="David"/>
          <w:b/>
          <w:bCs/>
          <w:szCs w:val="40"/>
          <w:rtl/>
        </w:rPr>
        <w:t>חגיגות ביכורים לאחר החורבן</w:t>
      </w:r>
    </w:p>
    <w:p w:rsidR="000664A7" w:rsidRPr="0009095B" w:rsidRDefault="000664A7" w:rsidP="000664A7">
      <w:pPr>
        <w:pStyle w:val="aa"/>
        <w:spacing w:line="240" w:lineRule="auto"/>
        <w:ind w:left="0"/>
        <w:rPr>
          <w:rFonts w:cs="David"/>
          <w:sz w:val="22"/>
          <w:szCs w:val="22"/>
          <w:rtl/>
        </w:rPr>
      </w:pPr>
      <w:r w:rsidRPr="0009095B">
        <w:rPr>
          <w:rFonts w:cs="David"/>
          <w:sz w:val="22"/>
          <w:szCs w:val="22"/>
          <w:rtl/>
        </w:rPr>
        <w:t>מבוא</w:t>
      </w:r>
    </w:p>
    <w:p w:rsidR="000664A7" w:rsidRPr="0009095B" w:rsidRDefault="000664A7" w:rsidP="000664A7">
      <w:pPr>
        <w:pStyle w:val="aa"/>
        <w:numPr>
          <w:ilvl w:val="0"/>
          <w:numId w:val="1"/>
        </w:numPr>
        <w:spacing w:line="240" w:lineRule="auto"/>
        <w:rPr>
          <w:rFonts w:cs="David"/>
          <w:sz w:val="22"/>
          <w:szCs w:val="22"/>
          <w:rtl/>
        </w:rPr>
      </w:pPr>
      <w:r w:rsidRPr="0009095B">
        <w:rPr>
          <w:rFonts w:cs="David"/>
          <w:sz w:val="22"/>
          <w:szCs w:val="22"/>
          <w:rtl/>
        </w:rPr>
        <w:t>המפריש בזמן הזה</w:t>
      </w:r>
    </w:p>
    <w:p w:rsidR="000664A7" w:rsidRPr="0009095B" w:rsidRDefault="000664A7" w:rsidP="000664A7">
      <w:pPr>
        <w:pStyle w:val="2"/>
        <w:numPr>
          <w:ilvl w:val="0"/>
          <w:numId w:val="1"/>
        </w:numPr>
        <w:spacing w:line="240" w:lineRule="auto"/>
        <w:rPr>
          <w:b w:val="0"/>
          <w:bCs w:val="0"/>
          <w:sz w:val="22"/>
          <w:szCs w:val="22"/>
          <w:rtl/>
        </w:rPr>
      </w:pPr>
      <w:r w:rsidRPr="0009095B">
        <w:rPr>
          <w:b w:val="0"/>
          <w:bCs w:val="0"/>
          <w:sz w:val="22"/>
          <w:szCs w:val="22"/>
          <w:rtl/>
        </w:rPr>
        <w:t xml:space="preserve">המקדיש ביכורים לבדק הבית ובזמן הזה </w:t>
      </w:r>
      <w:r w:rsidRPr="0009095B">
        <w:rPr>
          <w:b w:val="0"/>
          <w:bCs w:val="0"/>
          <w:sz w:val="22"/>
          <w:szCs w:val="22"/>
        </w:rPr>
        <w:t>–</w:t>
      </w:r>
      <w:r w:rsidRPr="0009095B">
        <w:rPr>
          <w:b w:val="0"/>
          <w:bCs w:val="0"/>
          <w:sz w:val="22"/>
          <w:szCs w:val="22"/>
          <w:rtl/>
        </w:rPr>
        <w:t xml:space="preserve"> שיטת הרמב"ם</w:t>
      </w:r>
    </w:p>
    <w:p w:rsidR="000664A7" w:rsidRPr="0009095B" w:rsidRDefault="000664A7" w:rsidP="000664A7">
      <w:pPr>
        <w:pStyle w:val="2"/>
        <w:numPr>
          <w:ilvl w:val="0"/>
          <w:numId w:val="1"/>
        </w:numPr>
        <w:spacing w:line="240" w:lineRule="auto"/>
        <w:rPr>
          <w:b w:val="0"/>
          <w:bCs w:val="0"/>
          <w:sz w:val="22"/>
          <w:szCs w:val="22"/>
          <w:rtl/>
        </w:rPr>
      </w:pPr>
      <w:r w:rsidRPr="0009095B">
        <w:rPr>
          <w:b w:val="0"/>
          <w:bCs w:val="0"/>
          <w:sz w:val="22"/>
          <w:szCs w:val="22"/>
          <w:rtl/>
        </w:rPr>
        <w:t>המפריש ביכורים בזמן הזה- חסיד שוטה</w:t>
      </w:r>
    </w:p>
    <w:p w:rsidR="000664A7" w:rsidRPr="0009095B" w:rsidRDefault="000664A7" w:rsidP="000664A7">
      <w:pPr>
        <w:pStyle w:val="2"/>
        <w:numPr>
          <w:ilvl w:val="0"/>
          <w:numId w:val="1"/>
        </w:numPr>
        <w:spacing w:line="240" w:lineRule="auto"/>
        <w:rPr>
          <w:b w:val="0"/>
          <w:bCs w:val="0"/>
          <w:sz w:val="22"/>
          <w:szCs w:val="22"/>
          <w:rtl/>
        </w:rPr>
      </w:pPr>
      <w:r w:rsidRPr="0009095B">
        <w:rPr>
          <w:b w:val="0"/>
          <w:bCs w:val="0"/>
          <w:sz w:val="22"/>
          <w:szCs w:val="22"/>
          <w:rtl/>
        </w:rPr>
        <w:t xml:space="preserve">טקסי ביכורים בהתיישבות- התייחסות </w:t>
      </w:r>
      <w:proofErr w:type="spellStart"/>
      <w:r w:rsidRPr="0009095B">
        <w:rPr>
          <w:b w:val="0"/>
          <w:bCs w:val="0"/>
          <w:sz w:val="22"/>
          <w:szCs w:val="22"/>
          <w:rtl/>
        </w:rPr>
        <w:t>הראי"ה</w:t>
      </w:r>
      <w:proofErr w:type="spellEnd"/>
      <w:r w:rsidRPr="0009095B">
        <w:rPr>
          <w:b w:val="0"/>
          <w:bCs w:val="0"/>
          <w:sz w:val="22"/>
          <w:szCs w:val="22"/>
          <w:rtl/>
        </w:rPr>
        <w:t xml:space="preserve"> קוק</w:t>
      </w:r>
    </w:p>
    <w:p w:rsidR="000664A7" w:rsidRPr="0009095B" w:rsidRDefault="000664A7" w:rsidP="000664A7">
      <w:pPr>
        <w:pStyle w:val="2"/>
        <w:spacing w:line="240" w:lineRule="auto"/>
        <w:rPr>
          <w:b w:val="0"/>
          <w:bCs w:val="0"/>
          <w:sz w:val="22"/>
          <w:szCs w:val="22"/>
          <w:rtl/>
        </w:rPr>
      </w:pPr>
      <w:r w:rsidRPr="0009095B">
        <w:rPr>
          <w:b w:val="0"/>
          <w:bCs w:val="0"/>
          <w:sz w:val="22"/>
          <w:szCs w:val="22"/>
          <w:rtl/>
        </w:rPr>
        <w:t xml:space="preserve">       1. הזמן- התקופה, וקיום החגיגות בשבת ובחג</w:t>
      </w:r>
    </w:p>
    <w:p w:rsidR="000664A7" w:rsidRPr="0009095B" w:rsidRDefault="000664A7" w:rsidP="000664A7">
      <w:pPr>
        <w:pStyle w:val="2"/>
        <w:spacing w:line="240" w:lineRule="auto"/>
        <w:rPr>
          <w:b w:val="0"/>
          <w:bCs w:val="0"/>
          <w:sz w:val="22"/>
          <w:szCs w:val="22"/>
          <w:rtl/>
        </w:rPr>
      </w:pPr>
      <w:r w:rsidRPr="0009095B">
        <w:rPr>
          <w:b w:val="0"/>
          <w:bCs w:val="0"/>
          <w:sz w:val="22"/>
          <w:szCs w:val="22"/>
          <w:rtl/>
        </w:rPr>
        <w:t xml:space="preserve">       2. האדמה אשר נתת לי</w:t>
      </w:r>
    </w:p>
    <w:p w:rsidR="000664A7" w:rsidRPr="0009095B" w:rsidRDefault="000664A7" w:rsidP="000664A7">
      <w:pPr>
        <w:pStyle w:val="2"/>
        <w:spacing w:line="240" w:lineRule="auto"/>
        <w:rPr>
          <w:b w:val="0"/>
          <w:bCs w:val="0"/>
          <w:sz w:val="22"/>
          <w:szCs w:val="22"/>
          <w:rtl/>
        </w:rPr>
      </w:pPr>
      <w:r w:rsidRPr="0009095B">
        <w:rPr>
          <w:b w:val="0"/>
          <w:bCs w:val="0"/>
          <w:sz w:val="22"/>
          <w:szCs w:val="22"/>
          <w:rtl/>
        </w:rPr>
        <w:t xml:space="preserve">       3</w:t>
      </w:r>
      <w:r w:rsidRPr="0009095B">
        <w:rPr>
          <w:sz w:val="22"/>
          <w:szCs w:val="22"/>
          <w:rtl/>
        </w:rPr>
        <w:t>.</w:t>
      </w:r>
      <w:r w:rsidRPr="0009095B">
        <w:rPr>
          <w:b w:val="0"/>
          <w:bCs w:val="0"/>
          <w:sz w:val="22"/>
          <w:szCs w:val="22"/>
          <w:rtl/>
        </w:rPr>
        <w:t xml:space="preserve"> זכר לביכורים</w:t>
      </w:r>
    </w:p>
    <w:p w:rsidR="000664A7" w:rsidRPr="00E12749" w:rsidRDefault="000664A7" w:rsidP="000664A7">
      <w:pPr>
        <w:pStyle w:val="2"/>
        <w:rPr>
          <w:rtl/>
        </w:rPr>
      </w:pPr>
    </w:p>
    <w:p w:rsidR="000664A7" w:rsidRPr="00E12749" w:rsidRDefault="000664A7" w:rsidP="000664A7">
      <w:pPr>
        <w:pStyle w:val="4"/>
        <w:spacing w:line="360" w:lineRule="auto"/>
        <w:rPr>
          <w:rFonts w:cs="David"/>
          <w:sz w:val="24"/>
          <w:szCs w:val="26"/>
          <w:rtl/>
        </w:rPr>
      </w:pPr>
      <w:r w:rsidRPr="00E12749">
        <w:rPr>
          <w:rFonts w:cs="David"/>
          <w:sz w:val="24"/>
          <w:szCs w:val="26"/>
          <w:rtl/>
        </w:rPr>
        <w:t>מבוא</w:t>
      </w:r>
    </w:p>
    <w:p w:rsidR="000664A7" w:rsidRPr="00E12749" w:rsidRDefault="000664A7" w:rsidP="000664A7">
      <w:pPr>
        <w:spacing w:line="360" w:lineRule="auto"/>
        <w:jc w:val="both"/>
        <w:rPr>
          <w:rFonts w:cs="David"/>
          <w:szCs w:val="24"/>
          <w:rtl/>
        </w:rPr>
      </w:pPr>
      <w:r w:rsidRPr="00E12749">
        <w:rPr>
          <w:rFonts w:cs="David"/>
          <w:szCs w:val="24"/>
          <w:rtl/>
        </w:rPr>
        <w:t>במשנה בשקלים ח, ח נאמר:</w:t>
      </w:r>
    </w:p>
    <w:p w:rsidR="000664A7" w:rsidRPr="00E12749" w:rsidRDefault="000664A7" w:rsidP="000664A7">
      <w:pPr>
        <w:pStyle w:val="a8"/>
        <w:spacing w:line="360" w:lineRule="auto"/>
        <w:rPr>
          <w:rFonts w:cs="David"/>
          <w:rtl/>
        </w:rPr>
      </w:pPr>
      <w:r w:rsidRPr="00E12749">
        <w:rPr>
          <w:rFonts w:cs="David"/>
          <w:rtl/>
        </w:rPr>
        <w:t>השקלים והביכורים אין נוהגים אלא בפני הבית.</w:t>
      </w:r>
    </w:p>
    <w:p w:rsidR="000664A7" w:rsidRPr="00E12749" w:rsidRDefault="000664A7" w:rsidP="000664A7">
      <w:pPr>
        <w:spacing w:line="360" w:lineRule="auto"/>
        <w:jc w:val="both"/>
        <w:rPr>
          <w:rFonts w:cs="David"/>
          <w:szCs w:val="24"/>
          <w:rtl/>
        </w:rPr>
      </w:pPr>
      <w:r w:rsidRPr="00E12749">
        <w:rPr>
          <w:rFonts w:cs="David"/>
          <w:szCs w:val="24"/>
          <w:rtl/>
        </w:rPr>
        <w:t>כך ניתן ללמוד מהמשנה בביכורים ב, ג, שהביכורים אינם אלא בשבעת המינים, ובפני הבית.</w:t>
      </w:r>
    </w:p>
    <w:p w:rsidR="000664A7" w:rsidRPr="00E12749" w:rsidRDefault="000664A7" w:rsidP="000664A7">
      <w:pPr>
        <w:spacing w:line="360" w:lineRule="auto"/>
        <w:jc w:val="both"/>
        <w:rPr>
          <w:rFonts w:cs="David"/>
          <w:szCs w:val="24"/>
          <w:rtl/>
        </w:rPr>
      </w:pPr>
      <w:r w:rsidRPr="00E12749">
        <w:rPr>
          <w:rFonts w:cs="David"/>
          <w:szCs w:val="24"/>
          <w:rtl/>
        </w:rPr>
        <w:t xml:space="preserve">מקור הדין הוא מהפסוק בשמות </w:t>
      </w:r>
      <w:proofErr w:type="spellStart"/>
      <w:r w:rsidRPr="00E12749">
        <w:rPr>
          <w:rFonts w:cs="David"/>
          <w:szCs w:val="24"/>
          <w:rtl/>
        </w:rPr>
        <w:t>כג</w:t>
      </w:r>
      <w:proofErr w:type="spellEnd"/>
      <w:r w:rsidRPr="00E12749">
        <w:rPr>
          <w:rFonts w:cs="David"/>
          <w:szCs w:val="24"/>
          <w:rtl/>
        </w:rPr>
        <w:t xml:space="preserve">, </w:t>
      </w:r>
      <w:proofErr w:type="spellStart"/>
      <w:r w:rsidRPr="00E12749">
        <w:rPr>
          <w:rFonts w:cs="David"/>
          <w:szCs w:val="24"/>
          <w:rtl/>
        </w:rPr>
        <w:t>יט</w:t>
      </w:r>
      <w:proofErr w:type="spellEnd"/>
      <w:r w:rsidRPr="00E12749">
        <w:rPr>
          <w:rFonts w:cs="David"/>
          <w:szCs w:val="24"/>
          <w:rtl/>
        </w:rPr>
        <w:t xml:space="preserve"> ולד, </w:t>
      </w:r>
      <w:proofErr w:type="spellStart"/>
      <w:r w:rsidRPr="00E12749">
        <w:rPr>
          <w:rFonts w:cs="David"/>
          <w:szCs w:val="24"/>
          <w:rtl/>
        </w:rPr>
        <w:t>כו</w:t>
      </w:r>
      <w:proofErr w:type="spellEnd"/>
      <w:r w:rsidRPr="00E12749">
        <w:rPr>
          <w:rFonts w:cs="David"/>
          <w:szCs w:val="24"/>
          <w:rtl/>
        </w:rPr>
        <w:t>: "ראשית ביכורי אדמתך תביא בית ה' אלוקיך". מאחר שכיום אין בית מקדש, מה דינם של פירות שיועדו לביכורים - האם חלה בהם קדושה? אם כן, כיצד יש לנהוג בהם? בהמשך המשנה בשקלים נאמר:</w:t>
      </w:r>
    </w:p>
    <w:p w:rsidR="000664A7" w:rsidRPr="00E12749" w:rsidRDefault="000664A7" w:rsidP="000664A7">
      <w:pPr>
        <w:pStyle w:val="a8"/>
        <w:spacing w:line="360" w:lineRule="auto"/>
        <w:rPr>
          <w:rFonts w:cs="David"/>
          <w:rtl/>
        </w:rPr>
      </w:pPr>
      <w:r w:rsidRPr="00E12749">
        <w:rPr>
          <w:rFonts w:cs="David"/>
          <w:rtl/>
        </w:rPr>
        <w:t>המקדיש שקלים וביכורים הרי זה קודש. ר' שמעון אומר: האומר ביכורים קודש, אינם קודש.</w:t>
      </w:r>
    </w:p>
    <w:p w:rsidR="000664A7" w:rsidRPr="00E12749" w:rsidRDefault="000664A7" w:rsidP="000664A7">
      <w:pPr>
        <w:spacing w:line="360" w:lineRule="auto"/>
        <w:jc w:val="both"/>
        <w:rPr>
          <w:rFonts w:cs="David"/>
          <w:szCs w:val="24"/>
          <w:rtl/>
        </w:rPr>
      </w:pPr>
      <w:r w:rsidRPr="00E12749">
        <w:rPr>
          <w:rFonts w:cs="David"/>
          <w:szCs w:val="24"/>
          <w:rtl/>
        </w:rPr>
        <w:t xml:space="preserve">ניתן לראות במחלוקת שבמשנה זו מחלוקת בשאלה שהוצבה לעיל. בביאור משנה זו ובפסק ההלכה מצינו מספר דעות במפרשים. פסיקת ההלכה בשאלה זו הפכה להיות ענין מעשי, משנת תרפ"ד ואילך, שעה שבהתיישבות העובדת בארץ ישראל הנהיגו טקסי הבאת ביכורים.  </w:t>
      </w:r>
    </w:p>
    <w:p w:rsidR="000664A7" w:rsidRPr="00E12749" w:rsidRDefault="000664A7" w:rsidP="000664A7">
      <w:pPr>
        <w:pStyle w:val="4"/>
        <w:spacing w:line="360" w:lineRule="auto"/>
        <w:rPr>
          <w:rFonts w:cs="David"/>
          <w:sz w:val="24"/>
          <w:szCs w:val="26"/>
          <w:rtl/>
        </w:rPr>
      </w:pPr>
      <w:r w:rsidRPr="00E12749">
        <w:rPr>
          <w:rFonts w:cs="David"/>
          <w:sz w:val="24"/>
          <w:szCs w:val="26"/>
          <w:rtl/>
        </w:rPr>
        <w:t>א. המפריש בזמן הזה</w:t>
      </w:r>
      <w:r w:rsidRPr="00E12749">
        <w:rPr>
          <w:rFonts w:cs="David"/>
          <w:sz w:val="24"/>
          <w:szCs w:val="26"/>
        </w:rPr>
        <w:t></w:t>
      </w:r>
      <w:r w:rsidRPr="00E12749">
        <w:rPr>
          <w:rFonts w:cs="David"/>
          <w:sz w:val="24"/>
          <w:szCs w:val="26"/>
        </w:rPr>
        <w:t></w:t>
      </w:r>
      <w:r w:rsidRPr="00E12749">
        <w:rPr>
          <w:rFonts w:cs="David"/>
          <w:sz w:val="24"/>
          <w:szCs w:val="26"/>
          <w:rtl/>
        </w:rPr>
        <w:t xml:space="preserve"> </w:t>
      </w:r>
    </w:p>
    <w:p w:rsidR="000664A7" w:rsidRPr="00E12749" w:rsidRDefault="000664A7" w:rsidP="000664A7">
      <w:pPr>
        <w:pStyle w:val="af0"/>
        <w:spacing w:line="360" w:lineRule="auto"/>
        <w:jc w:val="both"/>
        <w:rPr>
          <w:b w:val="0"/>
          <w:bCs w:val="0"/>
          <w:sz w:val="22"/>
          <w:szCs w:val="24"/>
          <w:rtl/>
        </w:rPr>
      </w:pPr>
      <w:r w:rsidRPr="00E12749">
        <w:rPr>
          <w:b w:val="0"/>
          <w:bCs w:val="0"/>
          <w:sz w:val="22"/>
          <w:szCs w:val="24"/>
          <w:rtl/>
        </w:rPr>
        <w:t xml:space="preserve">בתלמוד ירושלמי שקלים ח, ד נאמר: </w:t>
      </w:r>
    </w:p>
    <w:p w:rsidR="000664A7" w:rsidRPr="00E12749" w:rsidRDefault="000664A7" w:rsidP="000664A7">
      <w:pPr>
        <w:pStyle w:val="af0"/>
        <w:spacing w:line="360" w:lineRule="auto"/>
        <w:ind w:left="720"/>
        <w:jc w:val="both"/>
        <w:rPr>
          <w:b w:val="0"/>
          <w:bCs w:val="0"/>
          <w:sz w:val="22"/>
          <w:szCs w:val="24"/>
          <w:rtl/>
        </w:rPr>
      </w:pPr>
      <w:r w:rsidRPr="00E12749">
        <w:rPr>
          <w:b w:val="0"/>
          <w:bCs w:val="0"/>
          <w:sz w:val="22"/>
          <w:szCs w:val="24"/>
          <w:rtl/>
        </w:rPr>
        <w:t>הא שקלים קדשו? רבי שמעון בן יהודה אמר משם רבי שמעון בין אילו ובין אילו לא קדשו.</w:t>
      </w:r>
      <w:r w:rsidRPr="00E12749">
        <w:rPr>
          <w:rStyle w:val="a5"/>
          <w:b w:val="0"/>
          <w:bCs w:val="0"/>
          <w:sz w:val="22"/>
          <w:szCs w:val="24"/>
          <w:rtl/>
        </w:rPr>
        <w:footnoteReference w:id="1"/>
      </w:r>
      <w:r w:rsidRPr="00E12749">
        <w:rPr>
          <w:b w:val="0"/>
          <w:bCs w:val="0"/>
          <w:sz w:val="22"/>
          <w:szCs w:val="24"/>
          <w:rtl/>
        </w:rPr>
        <w:t xml:space="preserve"> </w:t>
      </w:r>
    </w:p>
    <w:p w:rsidR="000664A7" w:rsidRPr="00E12749" w:rsidRDefault="000664A7" w:rsidP="000664A7">
      <w:pPr>
        <w:pStyle w:val="af0"/>
        <w:spacing w:line="360" w:lineRule="auto"/>
        <w:jc w:val="both"/>
        <w:rPr>
          <w:b w:val="0"/>
          <w:bCs w:val="0"/>
          <w:szCs w:val="24"/>
          <w:rtl/>
        </w:rPr>
      </w:pPr>
      <w:r w:rsidRPr="00E12749">
        <w:rPr>
          <w:b w:val="0"/>
          <w:bCs w:val="0"/>
          <w:szCs w:val="24"/>
          <w:rtl/>
        </w:rPr>
        <w:t xml:space="preserve">המחלוקת בין חכמים ור' שמעון היא גם ביחס לשקלים. לא רק זאת בסוף אותה סוגיה בירושלמי נאמר: "רב </w:t>
      </w:r>
      <w:proofErr w:type="spellStart"/>
      <w:r w:rsidRPr="00E12749">
        <w:rPr>
          <w:b w:val="0"/>
          <w:bCs w:val="0"/>
          <w:szCs w:val="24"/>
          <w:rtl/>
        </w:rPr>
        <w:t>המנונא</w:t>
      </w:r>
      <w:proofErr w:type="spellEnd"/>
      <w:r w:rsidRPr="00E12749">
        <w:rPr>
          <w:b w:val="0"/>
          <w:bCs w:val="0"/>
          <w:szCs w:val="24"/>
          <w:rtl/>
        </w:rPr>
        <w:t xml:space="preserve"> ורב </w:t>
      </w:r>
      <w:proofErr w:type="spellStart"/>
      <w:r w:rsidRPr="00E12749">
        <w:rPr>
          <w:b w:val="0"/>
          <w:bCs w:val="0"/>
          <w:szCs w:val="24"/>
          <w:rtl/>
        </w:rPr>
        <w:t>אדא</w:t>
      </w:r>
      <w:proofErr w:type="spellEnd"/>
      <w:r w:rsidRPr="00E12749">
        <w:rPr>
          <w:b w:val="0"/>
          <w:bCs w:val="0"/>
          <w:szCs w:val="24"/>
          <w:rtl/>
        </w:rPr>
        <w:t xml:space="preserve"> בר אהבה בשם רב הלכה כר' שמעון". האם </w:t>
      </w:r>
      <w:proofErr w:type="spellStart"/>
      <w:r w:rsidRPr="00E12749">
        <w:rPr>
          <w:b w:val="0"/>
          <w:bCs w:val="0"/>
          <w:szCs w:val="24"/>
          <w:rtl/>
        </w:rPr>
        <w:t>כונת</w:t>
      </w:r>
      <w:proofErr w:type="spellEnd"/>
      <w:r w:rsidRPr="00E12749">
        <w:rPr>
          <w:b w:val="0"/>
          <w:bCs w:val="0"/>
          <w:szCs w:val="24"/>
          <w:rtl/>
        </w:rPr>
        <w:t xml:space="preserve"> הירושלמי כר' שמעון שבמשנה, הסובר שבכורים לא קדשו ושקלים התקדשו? האם כר' שמעון המובא ע"י ר' שמעון בן יהודה שביכורים ושקלים לא קדשו? או כדברי ר' שמעון בן יהודה עצמו? </w:t>
      </w:r>
      <w:proofErr w:type="spellStart"/>
      <w:r w:rsidRPr="00E12749">
        <w:rPr>
          <w:b w:val="0"/>
          <w:bCs w:val="0"/>
          <w:szCs w:val="24"/>
          <w:rtl/>
        </w:rPr>
        <w:t>הגר"א</w:t>
      </w:r>
      <w:proofErr w:type="spellEnd"/>
      <w:r w:rsidRPr="00E12749">
        <w:rPr>
          <w:b w:val="0"/>
          <w:bCs w:val="0"/>
          <w:szCs w:val="24"/>
          <w:rtl/>
        </w:rPr>
        <w:t xml:space="preserve"> בליקוטיו שם כותב </w:t>
      </w:r>
      <w:proofErr w:type="spellStart"/>
      <w:r w:rsidRPr="00E12749">
        <w:rPr>
          <w:b w:val="0"/>
          <w:bCs w:val="0"/>
          <w:szCs w:val="24"/>
          <w:rtl/>
        </w:rPr>
        <w:t>שהכונה</w:t>
      </w:r>
      <w:proofErr w:type="spellEnd"/>
      <w:r w:rsidRPr="00E12749">
        <w:rPr>
          <w:b w:val="0"/>
          <w:bCs w:val="0"/>
          <w:szCs w:val="24"/>
          <w:rtl/>
        </w:rPr>
        <w:t xml:space="preserve"> כר' שמעון המובא ע"י' ר' שמעון בן יהודה. בפני משה שם מפרש שהלכה כר' שמעון המובא במשנה. לפי שניהם, התלמוד ירושלמי פוסק שהמקדיש בכורים בזמן הזה הם אינם קדושים. הרב חיים הלוי </w:t>
      </w:r>
      <w:proofErr w:type="spellStart"/>
      <w:r w:rsidRPr="00E12749">
        <w:rPr>
          <w:b w:val="0"/>
          <w:bCs w:val="0"/>
          <w:szCs w:val="24"/>
          <w:rtl/>
        </w:rPr>
        <w:t>סולוביצ'יק</w:t>
      </w:r>
      <w:proofErr w:type="spellEnd"/>
      <w:r w:rsidRPr="00E12749">
        <w:rPr>
          <w:b w:val="0"/>
          <w:bCs w:val="0"/>
          <w:szCs w:val="24"/>
          <w:rtl/>
        </w:rPr>
        <w:t xml:space="preserve"> </w:t>
      </w:r>
      <w:proofErr w:type="spellStart"/>
      <w:r w:rsidRPr="00E12749">
        <w:rPr>
          <w:b w:val="0"/>
          <w:bCs w:val="0"/>
          <w:szCs w:val="24"/>
          <w:rtl/>
        </w:rPr>
        <w:t>מבריסק</w:t>
      </w:r>
      <w:proofErr w:type="spellEnd"/>
      <w:r w:rsidRPr="00E12749">
        <w:rPr>
          <w:b w:val="0"/>
          <w:bCs w:val="0"/>
          <w:szCs w:val="24"/>
          <w:rtl/>
        </w:rPr>
        <w:t xml:space="preserve">, על הרמב"ם בהלכות ערכין  ו, טז שכתב  </w:t>
      </w:r>
      <w:proofErr w:type="spellStart"/>
      <w:r w:rsidRPr="00E12749">
        <w:rPr>
          <w:b w:val="0"/>
          <w:bCs w:val="0"/>
          <w:szCs w:val="24"/>
          <w:rtl/>
        </w:rPr>
        <w:t>שלר</w:t>
      </w:r>
      <w:proofErr w:type="spellEnd"/>
      <w:r w:rsidRPr="00E12749">
        <w:rPr>
          <w:b w:val="0"/>
          <w:bCs w:val="0"/>
          <w:szCs w:val="24"/>
          <w:rtl/>
        </w:rPr>
        <w:t xml:space="preserve">' שמעון ביכורים הינם ממון כהן, וניתנים לאנשי משמר, ולכן אינו יכול להקדישם לבדק הבית. ואילו חכמים החולקים עליו סוברים שביכורים יש בהם הנאה לבעלים לכן התקדשו. לפיו, המחלוקת במשנה זו מקבילה למחלוקת ר' יהודה וחכמים במשנה בחלה ד, ט ובביכורים ג, </w:t>
      </w:r>
      <w:proofErr w:type="spellStart"/>
      <w:r w:rsidRPr="00E12749">
        <w:rPr>
          <w:b w:val="0"/>
          <w:bCs w:val="0"/>
          <w:szCs w:val="24"/>
          <w:rtl/>
        </w:rPr>
        <w:t>יב</w:t>
      </w:r>
      <w:proofErr w:type="spellEnd"/>
      <w:r w:rsidRPr="00E12749">
        <w:rPr>
          <w:b w:val="0"/>
          <w:bCs w:val="0"/>
          <w:szCs w:val="24"/>
          <w:rtl/>
        </w:rPr>
        <w:t xml:space="preserve">, כשר' שמעון במשנה בשקלים סובר כחכמים במשנה בחלה ובביכורים, </w:t>
      </w:r>
      <w:r w:rsidRPr="00E12749">
        <w:rPr>
          <w:b w:val="0"/>
          <w:bCs w:val="0"/>
          <w:szCs w:val="24"/>
          <w:rtl/>
        </w:rPr>
        <w:lastRenderedPageBreak/>
        <w:t>וחכמים במשנה בשקלים סוברים כר' יהודה במשנה בחלה ובביכורים.</w:t>
      </w:r>
      <w:r w:rsidRPr="00E12749">
        <w:rPr>
          <w:rStyle w:val="a5"/>
          <w:b w:val="0"/>
          <w:bCs w:val="0"/>
          <w:szCs w:val="24"/>
          <w:rtl/>
        </w:rPr>
        <w:footnoteReference w:id="2"/>
      </w:r>
      <w:r w:rsidRPr="00E12749">
        <w:rPr>
          <w:b w:val="0"/>
          <w:bCs w:val="0"/>
          <w:szCs w:val="24"/>
          <w:rtl/>
        </w:rPr>
        <w:t xml:space="preserve"> הרב אברהם ישעיהו </w:t>
      </w:r>
      <w:proofErr w:type="spellStart"/>
      <w:r w:rsidRPr="00E12749">
        <w:rPr>
          <w:b w:val="0"/>
          <w:bCs w:val="0"/>
          <w:szCs w:val="24"/>
          <w:rtl/>
        </w:rPr>
        <w:t>קרליץ</w:t>
      </w:r>
      <w:proofErr w:type="spellEnd"/>
      <w:r w:rsidRPr="00E12749">
        <w:rPr>
          <w:b w:val="0"/>
          <w:bCs w:val="0"/>
          <w:szCs w:val="24"/>
          <w:rtl/>
        </w:rPr>
        <w:t>, חזון איש, ליקוטים זרעים ח, ד מסביר שטעמו של ר' שמעון שאין נתפסת קדושת ביכורים בפירות, מאחר שאין לכהן טובת הנאה מהם. ואילו חכמים סבורים שלמרות שאין הכהן יכול כיום להשתמש בפירות הללו, בכל זאת יש לו טובת הנאה מעצם קבלתם.</w:t>
      </w:r>
    </w:p>
    <w:p w:rsidR="000664A7" w:rsidRPr="00E12749" w:rsidRDefault="000664A7" w:rsidP="000664A7">
      <w:pPr>
        <w:pStyle w:val="21"/>
        <w:rPr>
          <w:rtl/>
        </w:rPr>
      </w:pPr>
      <w:r w:rsidRPr="00E12749">
        <w:rPr>
          <w:rtl/>
        </w:rPr>
        <w:t>בין הפוסקים, ראשונים ואחרונים מצינו דעות שונות באשר לפסיקת ההלכה בשאלה זו.</w:t>
      </w:r>
    </w:p>
    <w:p w:rsidR="000664A7" w:rsidRPr="00E12749" w:rsidRDefault="000664A7" w:rsidP="000664A7">
      <w:pPr>
        <w:spacing w:line="360" w:lineRule="auto"/>
        <w:jc w:val="both"/>
        <w:rPr>
          <w:rFonts w:cs="David"/>
          <w:szCs w:val="24"/>
          <w:rtl/>
        </w:rPr>
      </w:pPr>
      <w:r w:rsidRPr="00E12749">
        <w:rPr>
          <w:rFonts w:cs="David"/>
          <w:szCs w:val="24"/>
          <w:rtl/>
        </w:rPr>
        <w:t xml:space="preserve"> </w:t>
      </w:r>
      <w:proofErr w:type="spellStart"/>
      <w:r w:rsidRPr="00E12749">
        <w:rPr>
          <w:rFonts w:cs="David"/>
          <w:szCs w:val="24"/>
          <w:rtl/>
        </w:rPr>
        <w:t>הראב"ן</w:t>
      </w:r>
      <w:proofErr w:type="spellEnd"/>
      <w:r w:rsidRPr="00E12749">
        <w:rPr>
          <w:rFonts w:cs="David"/>
          <w:szCs w:val="24"/>
          <w:rtl/>
        </w:rPr>
        <w:t xml:space="preserve">  בסי' נ פוסק:</w:t>
      </w:r>
    </w:p>
    <w:p w:rsidR="000664A7" w:rsidRPr="00E12749" w:rsidRDefault="000664A7" w:rsidP="000664A7">
      <w:pPr>
        <w:pStyle w:val="af0"/>
        <w:spacing w:line="360" w:lineRule="auto"/>
        <w:ind w:left="720"/>
        <w:jc w:val="both"/>
        <w:rPr>
          <w:b w:val="0"/>
          <w:bCs w:val="0"/>
          <w:szCs w:val="24"/>
          <w:rtl/>
        </w:rPr>
      </w:pPr>
      <w:r w:rsidRPr="00E12749">
        <w:rPr>
          <w:b w:val="0"/>
          <w:bCs w:val="0"/>
          <w:szCs w:val="24"/>
          <w:rtl/>
        </w:rPr>
        <w:t xml:space="preserve">וביכורים, </w:t>
      </w:r>
      <w:proofErr w:type="spellStart"/>
      <w:r w:rsidRPr="00E12749">
        <w:rPr>
          <w:b w:val="0"/>
          <w:bCs w:val="0"/>
          <w:szCs w:val="24"/>
          <w:rtl/>
        </w:rPr>
        <w:t>דבעו</w:t>
      </w:r>
      <w:proofErr w:type="spellEnd"/>
      <w:r w:rsidRPr="00E12749">
        <w:rPr>
          <w:b w:val="0"/>
          <w:bCs w:val="0"/>
          <w:szCs w:val="24"/>
          <w:rtl/>
        </w:rPr>
        <w:t xml:space="preserve"> הנחה לפני המזבח </w:t>
      </w:r>
      <w:proofErr w:type="spellStart"/>
      <w:r w:rsidRPr="00E12749">
        <w:rPr>
          <w:b w:val="0"/>
          <w:bCs w:val="0"/>
          <w:szCs w:val="24"/>
          <w:rtl/>
        </w:rPr>
        <w:t>וליכא</w:t>
      </w:r>
      <w:proofErr w:type="spellEnd"/>
      <w:r w:rsidRPr="00E12749">
        <w:rPr>
          <w:b w:val="0"/>
          <w:bCs w:val="0"/>
          <w:szCs w:val="24"/>
          <w:rtl/>
        </w:rPr>
        <w:t xml:space="preserve"> מזבח, לא מפרש להו כלל, דלא </w:t>
      </w:r>
      <w:proofErr w:type="spellStart"/>
      <w:r w:rsidRPr="00E12749">
        <w:rPr>
          <w:b w:val="0"/>
          <w:bCs w:val="0"/>
          <w:szCs w:val="24"/>
          <w:rtl/>
        </w:rPr>
        <w:t>לייתי</w:t>
      </w:r>
      <w:proofErr w:type="spellEnd"/>
      <w:r w:rsidRPr="00E12749">
        <w:rPr>
          <w:b w:val="0"/>
          <w:bCs w:val="0"/>
          <w:szCs w:val="24"/>
          <w:rtl/>
        </w:rPr>
        <w:t xml:space="preserve"> בהו לידי תקלה, </w:t>
      </w:r>
      <w:proofErr w:type="spellStart"/>
      <w:r w:rsidRPr="00E12749">
        <w:rPr>
          <w:b w:val="0"/>
          <w:bCs w:val="0"/>
          <w:szCs w:val="24"/>
          <w:rtl/>
        </w:rPr>
        <w:t>דלאו</w:t>
      </w:r>
      <w:proofErr w:type="spellEnd"/>
      <w:r w:rsidRPr="00E12749">
        <w:rPr>
          <w:b w:val="0"/>
          <w:bCs w:val="0"/>
          <w:szCs w:val="24"/>
          <w:rtl/>
        </w:rPr>
        <w:t xml:space="preserve"> בני פדייה </w:t>
      </w:r>
      <w:proofErr w:type="spellStart"/>
      <w:r w:rsidRPr="00E12749">
        <w:rPr>
          <w:b w:val="0"/>
          <w:bCs w:val="0"/>
          <w:szCs w:val="24"/>
          <w:rtl/>
        </w:rPr>
        <w:t>נינהו</w:t>
      </w:r>
      <w:proofErr w:type="spellEnd"/>
      <w:r w:rsidRPr="00E12749">
        <w:rPr>
          <w:b w:val="0"/>
          <w:bCs w:val="0"/>
          <w:szCs w:val="24"/>
          <w:rtl/>
        </w:rPr>
        <w:t xml:space="preserve">, ובעי </w:t>
      </w:r>
      <w:proofErr w:type="spellStart"/>
      <w:r w:rsidRPr="00E12749">
        <w:rPr>
          <w:b w:val="0"/>
          <w:bCs w:val="0"/>
          <w:szCs w:val="24"/>
          <w:rtl/>
        </w:rPr>
        <w:t>לשהינהו</w:t>
      </w:r>
      <w:proofErr w:type="spellEnd"/>
      <w:r w:rsidRPr="00E12749">
        <w:rPr>
          <w:b w:val="0"/>
          <w:bCs w:val="0"/>
          <w:szCs w:val="24"/>
          <w:rtl/>
        </w:rPr>
        <w:t xml:space="preserve"> עד שירקבו.</w:t>
      </w:r>
    </w:p>
    <w:p w:rsidR="000664A7" w:rsidRPr="00E12749" w:rsidRDefault="000664A7" w:rsidP="000664A7">
      <w:pPr>
        <w:pStyle w:val="af0"/>
        <w:spacing w:line="360" w:lineRule="auto"/>
        <w:jc w:val="both"/>
        <w:rPr>
          <w:b w:val="0"/>
          <w:bCs w:val="0"/>
          <w:szCs w:val="24"/>
          <w:rtl/>
        </w:rPr>
      </w:pPr>
      <w:proofErr w:type="spellStart"/>
      <w:r w:rsidRPr="00E12749">
        <w:rPr>
          <w:b w:val="0"/>
          <w:bCs w:val="0"/>
          <w:szCs w:val="24"/>
          <w:rtl/>
        </w:rPr>
        <w:t>הראב"ן</w:t>
      </w:r>
      <w:proofErr w:type="spellEnd"/>
      <w:r w:rsidRPr="00E12749">
        <w:rPr>
          <w:b w:val="0"/>
          <w:bCs w:val="0"/>
          <w:szCs w:val="24"/>
          <w:rtl/>
        </w:rPr>
        <w:t xml:space="preserve"> פוסק אם כן כתנא קמא, ולפיו המקדיש פירות לביכורים לאחר החורבן נתפסת בהם קדושה ויש לחכות עד שירקבו. </w:t>
      </w:r>
    </w:p>
    <w:p w:rsidR="000664A7" w:rsidRPr="00E12749" w:rsidRDefault="000664A7" w:rsidP="000664A7">
      <w:pPr>
        <w:spacing w:line="360" w:lineRule="auto"/>
        <w:jc w:val="both"/>
        <w:rPr>
          <w:rFonts w:cs="David"/>
          <w:szCs w:val="24"/>
          <w:rtl/>
        </w:rPr>
      </w:pPr>
      <w:r w:rsidRPr="00E12749">
        <w:rPr>
          <w:rFonts w:cs="David"/>
          <w:szCs w:val="24"/>
          <w:rtl/>
        </w:rPr>
        <w:t xml:space="preserve">ר' עובדיה </w:t>
      </w:r>
      <w:proofErr w:type="spellStart"/>
      <w:r w:rsidRPr="00E12749">
        <w:rPr>
          <w:rFonts w:cs="David"/>
          <w:szCs w:val="24"/>
          <w:rtl/>
        </w:rPr>
        <w:t>מברטנורא</w:t>
      </w:r>
      <w:proofErr w:type="spellEnd"/>
      <w:r w:rsidRPr="00E12749">
        <w:rPr>
          <w:rFonts w:cs="David"/>
          <w:szCs w:val="24"/>
          <w:rtl/>
        </w:rPr>
        <w:t xml:space="preserve"> כותב בפירושו למשנה שקלים ח, ח:</w:t>
      </w:r>
    </w:p>
    <w:p w:rsidR="000664A7" w:rsidRPr="00E12749" w:rsidRDefault="000664A7" w:rsidP="000664A7">
      <w:pPr>
        <w:pStyle w:val="a8"/>
        <w:spacing w:line="360" w:lineRule="auto"/>
        <w:rPr>
          <w:rFonts w:cs="David"/>
          <w:rtl/>
        </w:rPr>
      </w:pPr>
      <w:r w:rsidRPr="00E12749">
        <w:rPr>
          <w:rFonts w:cs="David"/>
          <w:rtl/>
        </w:rPr>
        <w:t xml:space="preserve">ביכורים אינם קודש - כיון שכתיב בהו: "תביא בית ה' אלוקיך", אפילו הפרישן בדיעבד לא קדשי, ואין שם ביכורים חל </w:t>
      </w:r>
      <w:proofErr w:type="spellStart"/>
      <w:r w:rsidRPr="00E12749">
        <w:rPr>
          <w:rFonts w:cs="David"/>
          <w:rtl/>
        </w:rPr>
        <w:t>עלייהו</w:t>
      </w:r>
      <w:proofErr w:type="spellEnd"/>
      <w:r w:rsidRPr="00E12749">
        <w:rPr>
          <w:rFonts w:cs="David"/>
          <w:rtl/>
        </w:rPr>
        <w:t xml:space="preserve"> שלא בפני הבית... והלכה כר' שמעון.</w:t>
      </w:r>
    </w:p>
    <w:p w:rsidR="000664A7" w:rsidRPr="00E12749" w:rsidRDefault="000664A7" w:rsidP="000664A7">
      <w:pPr>
        <w:spacing w:line="360" w:lineRule="auto"/>
        <w:jc w:val="both"/>
        <w:rPr>
          <w:rFonts w:cs="David"/>
          <w:szCs w:val="24"/>
          <w:rtl/>
        </w:rPr>
      </w:pPr>
      <w:r w:rsidRPr="00E12749">
        <w:rPr>
          <w:rFonts w:cs="David"/>
          <w:szCs w:val="24"/>
          <w:rtl/>
        </w:rPr>
        <w:t xml:space="preserve">כך גם מפרשים קרבן העדה ותקלין </w:t>
      </w:r>
      <w:proofErr w:type="spellStart"/>
      <w:r w:rsidRPr="00E12749">
        <w:rPr>
          <w:rFonts w:cs="David"/>
          <w:szCs w:val="24"/>
          <w:rtl/>
        </w:rPr>
        <w:t>חדתין</w:t>
      </w:r>
      <w:proofErr w:type="spellEnd"/>
      <w:r w:rsidRPr="00E12749">
        <w:rPr>
          <w:rFonts w:cs="David"/>
          <w:szCs w:val="24"/>
          <w:rtl/>
        </w:rPr>
        <w:t xml:space="preserve">. </w:t>
      </w:r>
    </w:p>
    <w:p w:rsidR="000664A7" w:rsidRPr="00B9229C" w:rsidRDefault="000664A7" w:rsidP="000664A7">
      <w:pPr>
        <w:pStyle w:val="21"/>
        <w:rPr>
          <w:rtl/>
        </w:rPr>
      </w:pPr>
      <w:r w:rsidRPr="00B9229C">
        <w:rPr>
          <w:rtl/>
        </w:rPr>
        <w:t xml:space="preserve">הרב יוסף </w:t>
      </w:r>
      <w:proofErr w:type="spellStart"/>
      <w:r w:rsidRPr="00B9229C">
        <w:rPr>
          <w:rtl/>
        </w:rPr>
        <w:t>באב"ד</w:t>
      </w:r>
      <w:proofErr w:type="spellEnd"/>
      <w:r w:rsidRPr="00B9229C">
        <w:rPr>
          <w:rtl/>
        </w:rPr>
        <w:t xml:space="preserve">, מנחת חינוך, דן בסוגיה זו במספר מקומות. </w:t>
      </w:r>
      <w:proofErr w:type="spellStart"/>
      <w:r w:rsidRPr="00B9229C">
        <w:rPr>
          <w:rtl/>
        </w:rPr>
        <w:t>במצוה</w:t>
      </w:r>
      <w:proofErr w:type="spellEnd"/>
      <w:r w:rsidRPr="00B9229C">
        <w:rPr>
          <w:rtl/>
        </w:rPr>
        <w:t xml:space="preserve"> צא מביא את דעת </w:t>
      </w:r>
      <w:proofErr w:type="spellStart"/>
      <w:r w:rsidRPr="00B9229C">
        <w:rPr>
          <w:rtl/>
        </w:rPr>
        <w:t>הרע"ב</w:t>
      </w:r>
      <w:proofErr w:type="spellEnd"/>
      <w:r w:rsidRPr="00B9229C">
        <w:rPr>
          <w:rtl/>
        </w:rPr>
        <w:t xml:space="preserve"> הפוסק כר' שמעון, ומציין שהרמב"ם לא גילה דעתו בזה, ונשאר </w:t>
      </w:r>
      <w:proofErr w:type="spellStart"/>
      <w:r w:rsidRPr="00B9229C">
        <w:rPr>
          <w:rtl/>
        </w:rPr>
        <w:t>בצ"ע</w:t>
      </w:r>
      <w:proofErr w:type="spellEnd"/>
      <w:r w:rsidRPr="00B9229C">
        <w:rPr>
          <w:rtl/>
        </w:rPr>
        <w:t xml:space="preserve">. כן כתב גם </w:t>
      </w:r>
      <w:proofErr w:type="spellStart"/>
      <w:r w:rsidRPr="00B9229C">
        <w:rPr>
          <w:rtl/>
        </w:rPr>
        <w:t>במצוה</w:t>
      </w:r>
      <w:proofErr w:type="spellEnd"/>
      <w:r w:rsidRPr="00B9229C">
        <w:rPr>
          <w:rtl/>
        </w:rPr>
        <w:t xml:space="preserve"> </w:t>
      </w:r>
      <w:proofErr w:type="spellStart"/>
      <w:r w:rsidRPr="00B9229C">
        <w:rPr>
          <w:rtl/>
        </w:rPr>
        <w:t>קה</w:t>
      </w:r>
      <w:proofErr w:type="spellEnd"/>
      <w:r w:rsidRPr="00B9229C">
        <w:rPr>
          <w:rtl/>
        </w:rPr>
        <w:t xml:space="preserve">. אך </w:t>
      </w:r>
      <w:proofErr w:type="spellStart"/>
      <w:r w:rsidRPr="00B9229C">
        <w:rPr>
          <w:rtl/>
        </w:rPr>
        <w:t>במצוה</w:t>
      </w:r>
      <w:proofErr w:type="spellEnd"/>
      <w:r w:rsidRPr="00B9229C">
        <w:rPr>
          <w:rtl/>
        </w:rPr>
        <w:t xml:space="preserve"> תמט כותב:</w:t>
      </w:r>
    </w:p>
    <w:p w:rsidR="000664A7" w:rsidRPr="00E12749" w:rsidRDefault="000664A7" w:rsidP="000664A7">
      <w:pPr>
        <w:pStyle w:val="a8"/>
        <w:spacing w:line="360" w:lineRule="auto"/>
        <w:rPr>
          <w:rFonts w:cs="David"/>
          <w:rtl/>
        </w:rPr>
      </w:pPr>
      <w:r w:rsidRPr="00B9229C">
        <w:rPr>
          <w:rFonts w:cs="David"/>
          <w:i/>
          <w:iCs/>
          <w:rtl/>
        </w:rPr>
        <w:t xml:space="preserve">מבואר בסוף שקלים: "המקדיש ביכורים הרי זה קודש, ר' שמעון אומר אינו קודש", ועיין </w:t>
      </w:r>
      <w:proofErr w:type="spellStart"/>
      <w:r w:rsidRPr="00B9229C">
        <w:rPr>
          <w:rFonts w:cs="David"/>
          <w:i/>
          <w:iCs/>
          <w:rtl/>
        </w:rPr>
        <w:t>ברע"ב</w:t>
      </w:r>
      <w:proofErr w:type="spellEnd"/>
      <w:r w:rsidRPr="00B9229C">
        <w:rPr>
          <w:rFonts w:cs="David"/>
          <w:i/>
          <w:iCs/>
          <w:rtl/>
        </w:rPr>
        <w:t xml:space="preserve">. </w:t>
      </w:r>
      <w:proofErr w:type="spellStart"/>
      <w:r w:rsidRPr="00B9229C">
        <w:rPr>
          <w:rFonts w:cs="David"/>
          <w:i/>
          <w:iCs/>
          <w:rtl/>
        </w:rPr>
        <w:t>ובודאי</w:t>
      </w:r>
      <w:proofErr w:type="spellEnd"/>
      <w:r w:rsidRPr="00B9229C">
        <w:rPr>
          <w:rFonts w:cs="David"/>
          <w:i/>
          <w:iCs/>
          <w:rtl/>
        </w:rPr>
        <w:t xml:space="preserve"> הלכה כתנא קמא, אם כן </w:t>
      </w:r>
      <w:proofErr w:type="spellStart"/>
      <w:r w:rsidRPr="00B9229C">
        <w:rPr>
          <w:rFonts w:cs="David"/>
          <w:i/>
          <w:iCs/>
          <w:rtl/>
        </w:rPr>
        <w:t>האידנא</w:t>
      </w:r>
      <w:proofErr w:type="spellEnd"/>
      <w:r w:rsidRPr="00B9229C">
        <w:rPr>
          <w:rFonts w:cs="David"/>
          <w:i/>
          <w:iCs/>
          <w:rtl/>
        </w:rPr>
        <w:t xml:space="preserve"> אינו נאכל, אבל הלאו נוהג, כמו מעשר שני בזמן הזה. אך הרמב"ם פירש</w:t>
      </w:r>
      <w:r w:rsidRPr="00E12749">
        <w:rPr>
          <w:rFonts w:cs="David"/>
          <w:rtl/>
        </w:rPr>
        <w:t xml:space="preserve"> פירוש אחר במשנה שם, וגם התוספות במכות </w:t>
      </w:r>
      <w:proofErr w:type="spellStart"/>
      <w:r w:rsidRPr="00E12749">
        <w:rPr>
          <w:rFonts w:cs="David"/>
          <w:rtl/>
        </w:rPr>
        <w:t>יט</w:t>
      </w:r>
      <w:proofErr w:type="spellEnd"/>
      <w:r w:rsidRPr="00E12749">
        <w:rPr>
          <w:rFonts w:cs="David"/>
          <w:rtl/>
        </w:rPr>
        <w:t xml:space="preserve"> ע"א כתבו </w:t>
      </w:r>
      <w:proofErr w:type="spellStart"/>
      <w:r w:rsidRPr="00E12749">
        <w:rPr>
          <w:rFonts w:cs="David"/>
          <w:rtl/>
        </w:rPr>
        <w:t>שהאידנא</w:t>
      </w:r>
      <w:proofErr w:type="spellEnd"/>
      <w:r w:rsidRPr="00E12749">
        <w:rPr>
          <w:rFonts w:cs="David"/>
          <w:rtl/>
        </w:rPr>
        <w:t xml:space="preserve"> ביכורים חולין.</w:t>
      </w:r>
    </w:p>
    <w:p w:rsidR="000664A7" w:rsidRPr="00E12749" w:rsidRDefault="000664A7" w:rsidP="000664A7">
      <w:pPr>
        <w:pStyle w:val="21"/>
        <w:rPr>
          <w:rtl/>
        </w:rPr>
      </w:pPr>
      <w:r w:rsidRPr="00E12749">
        <w:rPr>
          <w:rtl/>
        </w:rPr>
        <w:t>הרב גרשון אריאלי, מאריך להוכיח כדינו של ר' שמעון, ולפיו, חיוב הבאת ביכורים הוא רק כשיש מזבח, וממילא כשאין מזבח, לא רק שאין חיוב ומצוה בהפרשת ביכורים, אלא שלא חל מעיקרא דין קדושה על הפירות. באופן מעשי הוא מורה שיש להחמיר ושלא להפריש ביכורים בזמן הזה.</w:t>
      </w:r>
      <w:r w:rsidRPr="00E12749">
        <w:rPr>
          <w:rStyle w:val="a5"/>
          <w:rtl/>
        </w:rPr>
        <w:footnoteReference w:id="3"/>
      </w:r>
      <w:r w:rsidRPr="00E12749">
        <w:rPr>
          <w:rtl/>
        </w:rPr>
        <w:t xml:space="preserve"> </w:t>
      </w:r>
    </w:p>
    <w:p w:rsidR="000664A7" w:rsidRPr="00E12749" w:rsidRDefault="000664A7" w:rsidP="000664A7">
      <w:pPr>
        <w:spacing w:line="360" w:lineRule="auto"/>
        <w:jc w:val="both"/>
        <w:rPr>
          <w:rFonts w:cs="David"/>
          <w:szCs w:val="24"/>
          <w:rtl/>
        </w:rPr>
      </w:pPr>
    </w:p>
    <w:p w:rsidR="000664A7" w:rsidRPr="00E12749" w:rsidRDefault="000664A7" w:rsidP="000664A7">
      <w:pPr>
        <w:pStyle w:val="2"/>
        <w:rPr>
          <w:rtl/>
        </w:rPr>
      </w:pPr>
      <w:r w:rsidRPr="00E12749">
        <w:rPr>
          <w:rtl/>
        </w:rPr>
        <w:t xml:space="preserve">ב. המקדיש ביכורים לבדק הבית ובזמן הזה </w:t>
      </w:r>
      <w:r w:rsidRPr="00E12749">
        <w:t>–</w:t>
      </w:r>
      <w:r w:rsidRPr="00E12749">
        <w:rPr>
          <w:rtl/>
        </w:rPr>
        <w:t xml:space="preserve"> שיטת הרמב"ם</w:t>
      </w:r>
    </w:p>
    <w:p w:rsidR="000664A7" w:rsidRPr="00E12749" w:rsidRDefault="000664A7" w:rsidP="000664A7">
      <w:pPr>
        <w:pStyle w:val="21"/>
        <w:rPr>
          <w:rtl/>
        </w:rPr>
      </w:pPr>
      <w:r w:rsidRPr="00E12749">
        <w:rPr>
          <w:rtl/>
        </w:rPr>
        <w:t>הרמב"ם מפרש אחרת את המשנה בשקלים ח, ח. וכך כתב בפירוש המשנה:</w:t>
      </w:r>
    </w:p>
    <w:p w:rsidR="000664A7" w:rsidRPr="00E12749" w:rsidRDefault="000664A7" w:rsidP="000664A7">
      <w:pPr>
        <w:pStyle w:val="a8"/>
        <w:spacing w:line="360" w:lineRule="auto"/>
        <w:rPr>
          <w:rFonts w:cs="David"/>
          <w:rtl/>
        </w:rPr>
      </w:pPr>
      <w:r w:rsidRPr="00E12749">
        <w:rPr>
          <w:rFonts w:cs="David"/>
          <w:rtl/>
        </w:rPr>
        <w:t xml:space="preserve">ואמרו המקדיש שקלים וביכורים, הוא </w:t>
      </w:r>
      <w:proofErr w:type="spellStart"/>
      <w:r w:rsidRPr="00E12749">
        <w:rPr>
          <w:rFonts w:cs="David"/>
          <w:rtl/>
        </w:rPr>
        <w:t>שיתן</w:t>
      </w:r>
      <w:proofErr w:type="spellEnd"/>
      <w:r w:rsidRPr="00E12749">
        <w:rPr>
          <w:rFonts w:cs="David"/>
          <w:rtl/>
        </w:rPr>
        <w:t xml:space="preserve"> אותם הקדש לבדק הבית, והלכה כר' שמעון.</w:t>
      </w:r>
    </w:p>
    <w:p w:rsidR="000664A7" w:rsidRPr="00E12749" w:rsidRDefault="000664A7" w:rsidP="000664A7">
      <w:pPr>
        <w:spacing w:line="360" w:lineRule="auto"/>
        <w:jc w:val="both"/>
        <w:rPr>
          <w:rFonts w:cs="David"/>
          <w:szCs w:val="24"/>
          <w:rtl/>
        </w:rPr>
      </w:pPr>
      <w:r w:rsidRPr="00E12749">
        <w:rPr>
          <w:rFonts w:cs="David"/>
          <w:szCs w:val="24"/>
          <w:rtl/>
        </w:rPr>
        <w:t>וכן הרמב"ם בהל' ערכין ו, טז:</w:t>
      </w:r>
    </w:p>
    <w:p w:rsidR="000664A7" w:rsidRPr="00E12749" w:rsidRDefault="000664A7" w:rsidP="000664A7">
      <w:pPr>
        <w:pStyle w:val="a8"/>
        <w:spacing w:line="360" w:lineRule="auto"/>
        <w:rPr>
          <w:rFonts w:cs="David"/>
          <w:rtl/>
        </w:rPr>
      </w:pPr>
      <w:r w:rsidRPr="00E12749">
        <w:rPr>
          <w:rFonts w:cs="David"/>
          <w:rtl/>
        </w:rPr>
        <w:t>המקדיש שקלו לבדק הבית הרי זו קדש,</w:t>
      </w:r>
      <w:r w:rsidRPr="00E12749">
        <w:rPr>
          <w:rStyle w:val="a5"/>
          <w:rFonts w:cs="David"/>
          <w:rtl/>
        </w:rPr>
        <w:footnoteReference w:id="4"/>
      </w:r>
      <w:r w:rsidRPr="00E12749">
        <w:rPr>
          <w:rFonts w:cs="David"/>
          <w:rtl/>
        </w:rPr>
        <w:t xml:space="preserve"> הקדיש בכורים לבדק הבית אינן קדש, אבל אם הקדישן הכהן אחר שבאו לידו הרי אלו קדש. </w:t>
      </w:r>
    </w:p>
    <w:p w:rsidR="000664A7" w:rsidRPr="00E12749" w:rsidRDefault="000664A7" w:rsidP="000664A7">
      <w:pPr>
        <w:spacing w:line="360" w:lineRule="auto"/>
        <w:jc w:val="both"/>
        <w:rPr>
          <w:rFonts w:cs="David"/>
          <w:szCs w:val="24"/>
          <w:rtl/>
        </w:rPr>
      </w:pPr>
      <w:r w:rsidRPr="00E12749">
        <w:rPr>
          <w:rFonts w:cs="David"/>
          <w:szCs w:val="24"/>
          <w:rtl/>
        </w:rPr>
        <w:lastRenderedPageBreak/>
        <w:t xml:space="preserve">כך גם פירש המאירי בגמ' בשקלים. מדברי הרמב"ם הללו משמע שהוא לא ביאר את המשנה כאילו היא עוסקת בהקדשת ביכורים בזמן הזה, אלא כמחלוקת בין חכמים ור' שמעון בזמן הבית. נושא המחלוקת הוא מה דין הפירות כשהמקדיש שינה את </w:t>
      </w:r>
      <w:proofErr w:type="spellStart"/>
      <w:r w:rsidRPr="00E12749">
        <w:rPr>
          <w:rFonts w:cs="David"/>
          <w:szCs w:val="24"/>
          <w:rtl/>
        </w:rPr>
        <w:t>יעודם</w:t>
      </w:r>
      <w:proofErr w:type="spellEnd"/>
      <w:r w:rsidRPr="00E12749">
        <w:rPr>
          <w:rFonts w:cs="David"/>
          <w:szCs w:val="24"/>
          <w:rtl/>
        </w:rPr>
        <w:t xml:space="preserve">. פירות ביכורים ניתנים לכהן, ואילו כאן הקדישם לבדק הבית </w:t>
      </w:r>
      <w:r w:rsidRPr="00E12749">
        <w:rPr>
          <w:rStyle w:val="a6"/>
          <w:rtl/>
        </w:rPr>
        <w:t xml:space="preserve">(עין בחזון איש זרעים ליקוטים סי' ח </w:t>
      </w:r>
      <w:proofErr w:type="spellStart"/>
      <w:r w:rsidRPr="00E12749">
        <w:rPr>
          <w:rStyle w:val="a6"/>
          <w:rtl/>
        </w:rPr>
        <w:t>ס"ק</w:t>
      </w:r>
      <w:proofErr w:type="spellEnd"/>
      <w:r w:rsidRPr="00E12749">
        <w:rPr>
          <w:rStyle w:val="a6"/>
          <w:rtl/>
        </w:rPr>
        <w:t xml:space="preserve"> ד בסופו)</w:t>
      </w:r>
      <w:r w:rsidRPr="00E12749">
        <w:rPr>
          <w:rFonts w:cs="David"/>
          <w:szCs w:val="24"/>
          <w:rtl/>
        </w:rPr>
        <w:t>.</w:t>
      </w:r>
    </w:p>
    <w:p w:rsidR="000664A7" w:rsidRPr="00E12749" w:rsidRDefault="000664A7" w:rsidP="000664A7">
      <w:pPr>
        <w:spacing w:line="360" w:lineRule="auto"/>
        <w:jc w:val="both"/>
        <w:rPr>
          <w:rFonts w:cs="David"/>
          <w:szCs w:val="24"/>
          <w:rtl/>
        </w:rPr>
      </w:pPr>
      <w:r w:rsidRPr="00E12749">
        <w:rPr>
          <w:rFonts w:cs="David"/>
          <w:szCs w:val="24"/>
          <w:rtl/>
        </w:rPr>
        <w:t xml:space="preserve">הכסף משנה שם מצין שמקורו של הרמב"ם זו המשנה בשקלים ח, ח, ואילו </w:t>
      </w:r>
      <w:proofErr w:type="spellStart"/>
      <w:r w:rsidRPr="00E12749">
        <w:rPr>
          <w:rFonts w:cs="David"/>
          <w:szCs w:val="24"/>
          <w:rtl/>
        </w:rPr>
        <w:t>הרדב"ז</w:t>
      </w:r>
      <w:proofErr w:type="spellEnd"/>
      <w:r w:rsidRPr="00E12749">
        <w:rPr>
          <w:rFonts w:cs="David"/>
          <w:szCs w:val="24"/>
          <w:rtl/>
        </w:rPr>
        <w:t xml:space="preserve"> שם מסביר שאין ערך להקדשת הביכורים לבדק הבית מאחר שהביכורים הם נכסי כהן (רמב"ם הל' ביכורים ג, א), ואין אדם יכול להקדיש דבר שאינו שלו (רמב"ם הל' ערכין </w:t>
      </w:r>
      <w:proofErr w:type="spellStart"/>
      <w:r w:rsidRPr="00E12749">
        <w:rPr>
          <w:rFonts w:cs="David"/>
          <w:szCs w:val="24"/>
          <w:rtl/>
        </w:rPr>
        <w:t>וחרמין</w:t>
      </w:r>
      <w:proofErr w:type="spellEnd"/>
      <w:r w:rsidRPr="00E12749">
        <w:rPr>
          <w:rFonts w:cs="David"/>
          <w:szCs w:val="24"/>
          <w:rtl/>
        </w:rPr>
        <w:t xml:space="preserve"> ו, </w:t>
      </w:r>
      <w:proofErr w:type="spellStart"/>
      <w:r w:rsidRPr="00E12749">
        <w:rPr>
          <w:rFonts w:cs="David"/>
          <w:szCs w:val="24"/>
          <w:rtl/>
        </w:rPr>
        <w:t>כא</w:t>
      </w:r>
      <w:proofErr w:type="spellEnd"/>
      <w:r w:rsidRPr="00E12749">
        <w:rPr>
          <w:rFonts w:cs="David"/>
          <w:szCs w:val="24"/>
          <w:rtl/>
        </w:rPr>
        <w:t>), ולכן אם הקדישם הכהן לבדק הבית לאחר שהגיעו לרשותו, הרי אלו קדש.</w:t>
      </w:r>
      <w:r w:rsidRPr="00E12749">
        <w:rPr>
          <w:rStyle w:val="a5"/>
          <w:rFonts w:cs="David"/>
          <w:szCs w:val="24"/>
          <w:rtl/>
        </w:rPr>
        <w:footnoteReference w:id="5"/>
      </w:r>
      <w:r w:rsidRPr="00E12749">
        <w:rPr>
          <w:rFonts w:cs="David"/>
          <w:szCs w:val="24"/>
          <w:rtl/>
        </w:rPr>
        <w:t xml:space="preserve"> </w:t>
      </w:r>
    </w:p>
    <w:p w:rsidR="000664A7" w:rsidRPr="00E12749" w:rsidRDefault="000664A7" w:rsidP="000664A7">
      <w:pPr>
        <w:spacing w:line="360" w:lineRule="auto"/>
        <w:jc w:val="both"/>
        <w:rPr>
          <w:rFonts w:cs="David"/>
          <w:szCs w:val="24"/>
          <w:rtl/>
        </w:rPr>
      </w:pPr>
      <w:r w:rsidRPr="00E12749">
        <w:rPr>
          <w:rFonts w:cs="David"/>
          <w:szCs w:val="24"/>
          <w:rtl/>
        </w:rPr>
        <w:t xml:space="preserve">מה תהיה עמדתו של הרמב"ם בשאלתנו - המקדיש פירות בזמן הזה לביכורים, האם חלה בהם קדושה או לא? אמנם הרמב"ם בעצמו פוסק בהל' ביכורים ב, א שהביכורים נוהגים רק בפני הבית, אך עדיין לא יהיה ניתן ללמוד מכאן, מה תהיה עמדתו באשר למקדיש בזמן הזה. נשיב על שאלה זו לכשנצרף את שיטת התוספות להבנת שיטת הרמב"ם, אותם הזכיר המנחת חינוך </w:t>
      </w:r>
      <w:proofErr w:type="spellStart"/>
      <w:r w:rsidRPr="00E12749">
        <w:rPr>
          <w:rFonts w:cs="David"/>
          <w:szCs w:val="24"/>
          <w:rtl/>
        </w:rPr>
        <w:t>במצוה</w:t>
      </w:r>
      <w:proofErr w:type="spellEnd"/>
      <w:r w:rsidRPr="00E12749">
        <w:rPr>
          <w:rFonts w:cs="David"/>
          <w:szCs w:val="24"/>
          <w:rtl/>
        </w:rPr>
        <w:t xml:space="preserve"> תמט.</w:t>
      </w:r>
    </w:p>
    <w:p w:rsidR="000664A7" w:rsidRPr="00E12749" w:rsidRDefault="000664A7" w:rsidP="000664A7">
      <w:pPr>
        <w:spacing w:line="360" w:lineRule="auto"/>
        <w:jc w:val="both"/>
        <w:rPr>
          <w:rFonts w:cs="David"/>
          <w:szCs w:val="24"/>
          <w:rtl/>
        </w:rPr>
      </w:pPr>
      <w:r w:rsidRPr="00E12749">
        <w:rPr>
          <w:rFonts w:cs="David"/>
          <w:szCs w:val="24"/>
          <w:rtl/>
        </w:rPr>
        <w:t xml:space="preserve">הגמרא במכות </w:t>
      </w:r>
      <w:proofErr w:type="spellStart"/>
      <w:r w:rsidRPr="00E12749">
        <w:rPr>
          <w:rFonts w:cs="David"/>
          <w:szCs w:val="24"/>
          <w:rtl/>
        </w:rPr>
        <w:t>יט</w:t>
      </w:r>
      <w:proofErr w:type="spellEnd"/>
      <w:r w:rsidRPr="00E12749">
        <w:rPr>
          <w:rFonts w:cs="David"/>
          <w:szCs w:val="24"/>
          <w:rtl/>
        </w:rPr>
        <w:t xml:space="preserve"> ע"א דנה בהלכה בהלכות ביכורים </w:t>
      </w:r>
      <w:r w:rsidRPr="00E12749">
        <w:rPr>
          <w:rStyle w:val="a7"/>
          <w:rtl/>
        </w:rPr>
        <w:t>(לא ניכנס כאן לסוגיה עצמה)</w:t>
      </w:r>
      <w:r w:rsidRPr="00E12749">
        <w:rPr>
          <w:rFonts w:cs="David"/>
          <w:szCs w:val="24"/>
          <w:rtl/>
        </w:rPr>
        <w:t xml:space="preserve">. </w:t>
      </w:r>
      <w:proofErr w:type="spellStart"/>
      <w:r w:rsidRPr="00E12749">
        <w:rPr>
          <w:rFonts w:cs="David"/>
          <w:szCs w:val="24"/>
          <w:rtl/>
        </w:rPr>
        <w:t>התוס</w:t>
      </w:r>
      <w:proofErr w:type="spellEnd"/>
      <w:r w:rsidRPr="00E12749">
        <w:rPr>
          <w:rFonts w:cs="David"/>
          <w:szCs w:val="24"/>
          <w:rtl/>
        </w:rPr>
        <w:t xml:space="preserve">' בד"ה מה, אומרים שמדובר: "בביכורים שהופרשו בפני חורבן הבית </w:t>
      </w:r>
      <w:r w:rsidRPr="00E12749">
        <w:rPr>
          <w:rStyle w:val="a7"/>
          <w:rtl/>
        </w:rPr>
        <w:t xml:space="preserve">(צ"ל - לפני חורבן הבית. כך מעיר </w:t>
      </w:r>
      <w:proofErr w:type="spellStart"/>
      <w:r w:rsidRPr="00E12749">
        <w:rPr>
          <w:rStyle w:val="a7"/>
          <w:rtl/>
        </w:rPr>
        <w:t>הרש"ש</w:t>
      </w:r>
      <w:proofErr w:type="spellEnd"/>
      <w:r w:rsidRPr="00E12749">
        <w:rPr>
          <w:rStyle w:val="a7"/>
          <w:rtl/>
        </w:rPr>
        <w:t xml:space="preserve"> שם)</w:t>
      </w:r>
      <w:r w:rsidRPr="00E12749">
        <w:rPr>
          <w:rFonts w:cs="David"/>
          <w:szCs w:val="24"/>
          <w:rtl/>
        </w:rPr>
        <w:t xml:space="preserve">, </w:t>
      </w:r>
      <w:proofErr w:type="spellStart"/>
      <w:r w:rsidRPr="00E12749">
        <w:rPr>
          <w:rFonts w:cs="David"/>
          <w:szCs w:val="24"/>
          <w:rtl/>
        </w:rPr>
        <w:t>דאם</w:t>
      </w:r>
      <w:proofErr w:type="spellEnd"/>
      <w:r w:rsidRPr="00E12749">
        <w:rPr>
          <w:rFonts w:cs="David"/>
          <w:szCs w:val="24"/>
          <w:rtl/>
        </w:rPr>
        <w:t xml:space="preserve"> הופרשו לאחר הבית אינם קדושים כלל, וחולין הם, </w:t>
      </w:r>
      <w:proofErr w:type="spellStart"/>
      <w:r w:rsidRPr="00E12749">
        <w:rPr>
          <w:rFonts w:cs="David"/>
          <w:szCs w:val="24"/>
          <w:rtl/>
        </w:rPr>
        <w:t>דתנן</w:t>
      </w:r>
      <w:proofErr w:type="spellEnd"/>
      <w:r w:rsidRPr="00E12749">
        <w:rPr>
          <w:rFonts w:cs="David"/>
          <w:szCs w:val="24"/>
          <w:rtl/>
        </w:rPr>
        <w:t xml:space="preserve"> בביכורים ב, ג: יש בתרומה ובמעשר מה שאין כן בביכורים, שהתרומה והמעשר יש </w:t>
      </w:r>
      <w:proofErr w:type="spellStart"/>
      <w:r w:rsidRPr="00E12749">
        <w:rPr>
          <w:rFonts w:cs="David"/>
          <w:szCs w:val="24"/>
          <w:rtl/>
        </w:rPr>
        <w:t>אוסרין</w:t>
      </w:r>
      <w:proofErr w:type="spellEnd"/>
      <w:r w:rsidRPr="00E12749">
        <w:rPr>
          <w:rFonts w:cs="David"/>
          <w:szCs w:val="24"/>
          <w:rtl/>
        </w:rPr>
        <w:t xml:space="preserve">, ויש להם שיעור, </w:t>
      </w:r>
      <w:proofErr w:type="spellStart"/>
      <w:r w:rsidRPr="00E12749">
        <w:rPr>
          <w:rFonts w:cs="David"/>
          <w:szCs w:val="24"/>
          <w:rtl/>
        </w:rPr>
        <w:t>ונוהגין</w:t>
      </w:r>
      <w:proofErr w:type="spellEnd"/>
      <w:r w:rsidRPr="00E12749">
        <w:rPr>
          <w:rFonts w:cs="David"/>
          <w:szCs w:val="24"/>
          <w:rtl/>
        </w:rPr>
        <w:t xml:space="preserve"> בכל הפירות, בפני הבית ושלא בפני הבית, וביכורים אינם אלא בשבעה מינים". יוצא שאף </w:t>
      </w:r>
      <w:proofErr w:type="spellStart"/>
      <w:r w:rsidRPr="00E12749">
        <w:rPr>
          <w:rFonts w:cs="David"/>
          <w:szCs w:val="24"/>
          <w:rtl/>
        </w:rPr>
        <w:t>התוס</w:t>
      </w:r>
      <w:proofErr w:type="spellEnd"/>
      <w:r w:rsidRPr="00E12749">
        <w:rPr>
          <w:rFonts w:cs="David"/>
          <w:szCs w:val="24"/>
          <w:rtl/>
        </w:rPr>
        <w:t>' פסקו כר' שמעון, שהמקדיש ביכורים בזמן הזה אינם קודש, וחולין הם.</w:t>
      </w:r>
    </w:p>
    <w:p w:rsidR="000664A7" w:rsidRPr="00E12749" w:rsidRDefault="000664A7" w:rsidP="000664A7">
      <w:pPr>
        <w:spacing w:line="360" w:lineRule="auto"/>
        <w:jc w:val="both"/>
        <w:rPr>
          <w:rFonts w:cs="David"/>
          <w:szCs w:val="24"/>
          <w:rtl/>
        </w:rPr>
      </w:pPr>
      <w:r w:rsidRPr="00E12749">
        <w:rPr>
          <w:rFonts w:cs="David"/>
          <w:szCs w:val="24"/>
          <w:rtl/>
        </w:rPr>
        <w:t xml:space="preserve">אולם דברי </w:t>
      </w:r>
      <w:proofErr w:type="spellStart"/>
      <w:r w:rsidRPr="00E12749">
        <w:rPr>
          <w:rFonts w:cs="David"/>
          <w:szCs w:val="24"/>
          <w:rtl/>
        </w:rPr>
        <w:t>התוס</w:t>
      </w:r>
      <w:proofErr w:type="spellEnd"/>
      <w:r w:rsidRPr="00E12749">
        <w:rPr>
          <w:rFonts w:cs="David"/>
          <w:szCs w:val="24"/>
          <w:rtl/>
        </w:rPr>
        <w:t>' קשים:</w:t>
      </w:r>
    </w:p>
    <w:p w:rsidR="000664A7" w:rsidRPr="00E12749" w:rsidRDefault="000664A7" w:rsidP="000664A7">
      <w:pPr>
        <w:numPr>
          <w:ilvl w:val="0"/>
          <w:numId w:val="2"/>
        </w:numPr>
        <w:spacing w:line="360" w:lineRule="auto"/>
        <w:jc w:val="both"/>
        <w:rPr>
          <w:rFonts w:cs="David"/>
          <w:szCs w:val="24"/>
          <w:rtl/>
        </w:rPr>
      </w:pPr>
      <w:r w:rsidRPr="00E12749">
        <w:rPr>
          <w:rFonts w:cs="David"/>
          <w:szCs w:val="24"/>
          <w:rtl/>
        </w:rPr>
        <w:t xml:space="preserve">מדוע לא הביאו </w:t>
      </w:r>
      <w:proofErr w:type="spellStart"/>
      <w:r w:rsidRPr="00E12749">
        <w:rPr>
          <w:rFonts w:cs="David"/>
          <w:szCs w:val="24"/>
          <w:rtl/>
        </w:rPr>
        <w:t>התוס</w:t>
      </w:r>
      <w:proofErr w:type="spellEnd"/>
      <w:r w:rsidRPr="00E12749">
        <w:rPr>
          <w:rFonts w:cs="David"/>
          <w:szCs w:val="24"/>
          <w:rtl/>
        </w:rPr>
        <w:t xml:space="preserve">' ראיה לדבריהם מהמשנה בשקלים, בה קבע ר' שמעון שהאומר ביכורים קודש, אינן קודש? </w:t>
      </w:r>
    </w:p>
    <w:p w:rsidR="000664A7" w:rsidRPr="00E12749" w:rsidRDefault="000664A7" w:rsidP="000664A7">
      <w:pPr>
        <w:numPr>
          <w:ilvl w:val="0"/>
          <w:numId w:val="2"/>
        </w:numPr>
        <w:spacing w:line="360" w:lineRule="auto"/>
        <w:jc w:val="both"/>
        <w:rPr>
          <w:rFonts w:cs="David"/>
          <w:szCs w:val="24"/>
          <w:rtl/>
        </w:rPr>
      </w:pPr>
      <w:r w:rsidRPr="00E12749">
        <w:rPr>
          <w:rFonts w:cs="David"/>
          <w:szCs w:val="24"/>
          <w:rtl/>
        </w:rPr>
        <w:t xml:space="preserve">מה ההוכחה של התוספות מהמשנה בביכורים? לעיל ציינו שברור לכל שחייבים להפריש ביכורים רק כשיש בית. הדיון שאנו עוסקים בו הוא, מה דין אדם המפריש בכל זאת בזמן הזה, האם חלה קדושה בפירות או לא. התוספות סבורים שאם הפריש בזמן הזה </w:t>
      </w:r>
      <w:r w:rsidRPr="00E12749">
        <w:rPr>
          <w:rStyle w:val="a7"/>
          <w:rtl/>
        </w:rPr>
        <w:t>("לאחר החורבן" בלשונם)</w:t>
      </w:r>
      <w:r w:rsidRPr="00E12749">
        <w:rPr>
          <w:rFonts w:cs="David"/>
          <w:szCs w:val="24"/>
          <w:rtl/>
        </w:rPr>
        <w:t xml:space="preserve">, הפירות אינם קודש, אלא חולין. אך כיצד ניתן ללמוד דין זה מהמשנה בביכורים? הלא לכך </w:t>
      </w:r>
      <w:proofErr w:type="spellStart"/>
      <w:r w:rsidRPr="00E12749">
        <w:rPr>
          <w:rFonts w:cs="David"/>
          <w:szCs w:val="24"/>
          <w:rtl/>
        </w:rPr>
        <w:t>הכל</w:t>
      </w:r>
      <w:proofErr w:type="spellEnd"/>
      <w:r w:rsidRPr="00E12749">
        <w:rPr>
          <w:rFonts w:cs="David"/>
          <w:szCs w:val="24"/>
          <w:rtl/>
        </w:rPr>
        <w:t xml:space="preserve"> מסכימים שהביכורים נוהגים רק בפני הבית, כל המחלוקת היא מה דין המקדיש בזמן הזה, ובמשנה בביכורים אין כל תשובה לכך.</w:t>
      </w:r>
    </w:p>
    <w:p w:rsidR="000664A7" w:rsidRPr="00E12749" w:rsidRDefault="000664A7" w:rsidP="000664A7">
      <w:pPr>
        <w:spacing w:line="360" w:lineRule="auto"/>
        <w:jc w:val="both"/>
        <w:rPr>
          <w:rFonts w:cs="David"/>
          <w:szCs w:val="24"/>
          <w:rtl/>
        </w:rPr>
      </w:pPr>
      <w:r w:rsidRPr="00E12749">
        <w:rPr>
          <w:rFonts w:cs="David"/>
          <w:szCs w:val="24"/>
          <w:rtl/>
        </w:rPr>
        <w:t xml:space="preserve">הרב יעקב </w:t>
      </w:r>
      <w:proofErr w:type="spellStart"/>
      <w:r w:rsidRPr="00E12749">
        <w:rPr>
          <w:rFonts w:cs="David"/>
          <w:szCs w:val="24"/>
          <w:rtl/>
        </w:rPr>
        <w:t>עטלינגר</w:t>
      </w:r>
      <w:proofErr w:type="spellEnd"/>
      <w:r w:rsidRPr="00E12749">
        <w:rPr>
          <w:rFonts w:cs="David"/>
          <w:szCs w:val="24"/>
          <w:rtl/>
        </w:rPr>
        <w:t xml:space="preserve">, בערוך לנר במכות שם, כותב שהתוספות סוברים כמו הרמב"ם בפירוש המשנה בשקלים,  שהמשנה עוסקת בדין מקדיש ביכורים בזמן הבית, ולכן לא יכלו להביא הוכחה מדעתו של ר' שמעון שם. יתכן שלפי זה יצא, שמשמעות המשנה בביכורים, האומרת שביכורים נוהגים רק בפני הבית, הוא לא רק ללמד את צד החיוב - שביכורים נוהגים רק בפני הבית - אלא גם את המשמעות ההפוכה, </w:t>
      </w:r>
      <w:r w:rsidRPr="00E12749">
        <w:rPr>
          <w:rFonts w:cs="David"/>
          <w:szCs w:val="24"/>
          <w:rtl/>
        </w:rPr>
        <w:lastRenderedPageBreak/>
        <w:t xml:space="preserve">דהיינו שבזמן שאין בית אי אפשר להחיל קדושה בפירות מאחר ואין בית. לפי זה ברור כיצד למדו </w:t>
      </w:r>
      <w:proofErr w:type="spellStart"/>
      <w:r w:rsidRPr="00E12749">
        <w:rPr>
          <w:rFonts w:cs="David"/>
          <w:szCs w:val="24"/>
          <w:rtl/>
        </w:rPr>
        <w:t>התוס</w:t>
      </w:r>
      <w:proofErr w:type="spellEnd"/>
      <w:r w:rsidRPr="00E12749">
        <w:rPr>
          <w:rFonts w:cs="David"/>
          <w:szCs w:val="24"/>
          <w:rtl/>
        </w:rPr>
        <w:t xml:space="preserve">' דין זה מהמשנה בביכורים, וממילא גם ברורה דעת הרמב"ם </w:t>
      </w:r>
      <w:proofErr w:type="spellStart"/>
      <w:r w:rsidRPr="00E12749">
        <w:rPr>
          <w:rFonts w:cs="David"/>
          <w:szCs w:val="24"/>
          <w:rtl/>
        </w:rPr>
        <w:t>בענין</w:t>
      </w:r>
      <w:proofErr w:type="spellEnd"/>
      <w:r w:rsidRPr="00E12749">
        <w:rPr>
          <w:rFonts w:cs="David"/>
          <w:szCs w:val="24"/>
          <w:rtl/>
        </w:rPr>
        <w:t xml:space="preserve">, וכאמור מחלוקת ר' שמעון וחכמים איננה נוגעת לענייננו. </w:t>
      </w:r>
      <w:r w:rsidRPr="00E12749">
        <w:rPr>
          <w:rStyle w:val="a7"/>
          <w:rtl/>
        </w:rPr>
        <w:t xml:space="preserve">(ע"ע </w:t>
      </w:r>
      <w:proofErr w:type="spellStart"/>
      <w:r w:rsidRPr="00E12749">
        <w:rPr>
          <w:rStyle w:val="a7"/>
          <w:rtl/>
        </w:rPr>
        <w:t>בשו"ת</w:t>
      </w:r>
      <w:proofErr w:type="spellEnd"/>
      <w:r w:rsidRPr="00E12749">
        <w:rPr>
          <w:rStyle w:val="a7"/>
          <w:rtl/>
        </w:rPr>
        <w:t xml:space="preserve"> חתם סופר </w:t>
      </w:r>
      <w:proofErr w:type="spellStart"/>
      <w:r w:rsidRPr="00E12749">
        <w:rPr>
          <w:rStyle w:val="a7"/>
          <w:rtl/>
        </w:rPr>
        <w:t>או"ח</w:t>
      </w:r>
      <w:proofErr w:type="spellEnd"/>
      <w:r w:rsidRPr="00E12749">
        <w:rPr>
          <w:rStyle w:val="a7"/>
          <w:rtl/>
        </w:rPr>
        <w:t xml:space="preserve"> סי' קלט)</w:t>
      </w:r>
      <w:r w:rsidRPr="00E12749">
        <w:rPr>
          <w:rFonts w:cs="David"/>
          <w:szCs w:val="24"/>
          <w:rtl/>
        </w:rPr>
        <w:t>.</w:t>
      </w:r>
    </w:p>
    <w:p w:rsidR="000664A7" w:rsidRPr="00E12749" w:rsidRDefault="000664A7" w:rsidP="000664A7">
      <w:pPr>
        <w:spacing w:line="360" w:lineRule="auto"/>
        <w:jc w:val="both"/>
        <w:rPr>
          <w:rFonts w:cs="David"/>
          <w:szCs w:val="24"/>
          <w:rtl/>
        </w:rPr>
      </w:pPr>
      <w:r w:rsidRPr="00E12749">
        <w:rPr>
          <w:rFonts w:cs="David"/>
          <w:szCs w:val="24"/>
          <w:rtl/>
        </w:rPr>
        <w:t xml:space="preserve">אפשרות אחרת להסביר את שיטת הרמב"ם היא על פי דברי  </w:t>
      </w:r>
      <w:proofErr w:type="spellStart"/>
      <w:r w:rsidRPr="00E12749">
        <w:rPr>
          <w:rFonts w:cs="David"/>
          <w:szCs w:val="24"/>
          <w:rtl/>
        </w:rPr>
        <w:t>הראי"ה</w:t>
      </w:r>
      <w:proofErr w:type="spellEnd"/>
      <w:r w:rsidRPr="00E12749">
        <w:rPr>
          <w:rFonts w:cs="David"/>
          <w:szCs w:val="24"/>
          <w:rtl/>
        </w:rPr>
        <w:t xml:space="preserve"> קוק, שו"ת משפט כהן סי' </w:t>
      </w:r>
      <w:proofErr w:type="spellStart"/>
      <w:r w:rsidRPr="00E12749">
        <w:rPr>
          <w:rFonts w:cs="David"/>
          <w:szCs w:val="24"/>
          <w:rtl/>
        </w:rPr>
        <w:t>נז</w:t>
      </w:r>
      <w:proofErr w:type="spellEnd"/>
      <w:r w:rsidRPr="00E12749">
        <w:rPr>
          <w:rFonts w:cs="David"/>
          <w:szCs w:val="24"/>
          <w:rtl/>
        </w:rPr>
        <w:t xml:space="preserve"> שנשאל כיצד יש להתייחס למנהגם של המתיישבים המביאים ביכורים לטובת הקרן הקיימת, האם יש בזה איסור של הקדשת ביכורים.</w:t>
      </w:r>
      <w:r w:rsidRPr="00E12749">
        <w:rPr>
          <w:rStyle w:val="a5"/>
          <w:rFonts w:cs="David"/>
          <w:szCs w:val="24"/>
          <w:rtl/>
        </w:rPr>
        <w:footnoteReference w:id="6"/>
      </w:r>
      <w:r w:rsidRPr="00E12749">
        <w:rPr>
          <w:rFonts w:cs="David"/>
          <w:szCs w:val="24"/>
          <w:rtl/>
        </w:rPr>
        <w:t xml:space="preserve"> מסקנתו הסופית היא שאין קדושה בפירות אלו אף בדיעבד, מאחר שידוע שפירות אלו הם לשם </w:t>
      </w:r>
      <w:proofErr w:type="spellStart"/>
      <w:r w:rsidRPr="00E12749">
        <w:rPr>
          <w:rFonts w:cs="David"/>
          <w:szCs w:val="24"/>
          <w:rtl/>
        </w:rPr>
        <w:t>הקק"ל</w:t>
      </w:r>
      <w:proofErr w:type="spellEnd"/>
      <w:r w:rsidRPr="00E12749">
        <w:rPr>
          <w:rFonts w:cs="David"/>
          <w:szCs w:val="24"/>
          <w:rtl/>
        </w:rPr>
        <w:t xml:space="preserve"> ולגאולת הארץ,  אם כי הוא קורא </w:t>
      </w:r>
      <w:proofErr w:type="spellStart"/>
      <w:r w:rsidRPr="00E12749">
        <w:rPr>
          <w:rFonts w:cs="David"/>
          <w:szCs w:val="24"/>
          <w:rtl/>
        </w:rPr>
        <w:t>להמנע</w:t>
      </w:r>
      <w:proofErr w:type="spellEnd"/>
      <w:r w:rsidRPr="00E12749">
        <w:rPr>
          <w:rFonts w:cs="David"/>
          <w:szCs w:val="24"/>
          <w:rtl/>
        </w:rPr>
        <w:t xml:space="preserve"> מלקרוא לפירות הללו ביכורים. בדבריו שם הוא מלמד זכות על נוהג זה, מאחר שממילא לא חל שם ביכורים על הפירות הללו, מפני שלא מדובר בפירות </w:t>
      </w:r>
      <w:proofErr w:type="spellStart"/>
      <w:r w:rsidRPr="00E12749">
        <w:rPr>
          <w:rFonts w:cs="David"/>
          <w:szCs w:val="24"/>
          <w:rtl/>
        </w:rPr>
        <w:t>הראוים</w:t>
      </w:r>
      <w:proofErr w:type="spellEnd"/>
      <w:r w:rsidRPr="00E12749">
        <w:rPr>
          <w:rFonts w:cs="David"/>
          <w:szCs w:val="24"/>
          <w:rtl/>
        </w:rPr>
        <w:t xml:space="preserve"> לביכורים. הפירות שהובאו  לטקסי הביכורים הללו לא היו בהכרח משבעת המינים.</w:t>
      </w:r>
    </w:p>
    <w:p w:rsidR="000664A7" w:rsidRPr="00E12749" w:rsidRDefault="000664A7" w:rsidP="000664A7">
      <w:pPr>
        <w:spacing w:line="360" w:lineRule="auto"/>
        <w:jc w:val="both"/>
        <w:rPr>
          <w:rFonts w:cs="David"/>
          <w:szCs w:val="24"/>
          <w:rtl/>
        </w:rPr>
      </w:pPr>
      <w:r w:rsidRPr="00E12749">
        <w:rPr>
          <w:rFonts w:cs="David"/>
          <w:szCs w:val="24"/>
          <w:rtl/>
        </w:rPr>
        <w:t xml:space="preserve"> זאת על פי דברי </w:t>
      </w:r>
      <w:proofErr w:type="spellStart"/>
      <w:r w:rsidRPr="00E12749">
        <w:rPr>
          <w:rFonts w:cs="David"/>
          <w:szCs w:val="24"/>
          <w:rtl/>
        </w:rPr>
        <w:t>הגמ</w:t>
      </w:r>
      <w:proofErr w:type="spellEnd"/>
      <w:r w:rsidRPr="00E12749">
        <w:rPr>
          <w:rFonts w:cs="David"/>
          <w:szCs w:val="24"/>
          <w:rtl/>
        </w:rPr>
        <w:t xml:space="preserve">' בכתובות </w:t>
      </w:r>
      <w:proofErr w:type="spellStart"/>
      <w:r w:rsidRPr="00E12749">
        <w:rPr>
          <w:rFonts w:cs="David"/>
          <w:szCs w:val="24"/>
          <w:rtl/>
        </w:rPr>
        <w:t>קה</w:t>
      </w:r>
      <w:proofErr w:type="spellEnd"/>
      <w:r w:rsidRPr="00E12749">
        <w:rPr>
          <w:rFonts w:cs="David"/>
          <w:szCs w:val="24"/>
          <w:rtl/>
        </w:rPr>
        <w:t xml:space="preserve"> ע"ב שם מסופר על אדם שהביא לרב ענן "</w:t>
      </w:r>
      <w:proofErr w:type="spellStart"/>
      <w:r w:rsidRPr="00E12749">
        <w:rPr>
          <w:rFonts w:cs="David"/>
          <w:szCs w:val="24"/>
          <w:rtl/>
        </w:rPr>
        <w:t>כנתא</w:t>
      </w:r>
      <w:proofErr w:type="spellEnd"/>
      <w:r w:rsidRPr="00E12749">
        <w:rPr>
          <w:rFonts w:cs="David"/>
          <w:szCs w:val="24"/>
          <w:rtl/>
        </w:rPr>
        <w:t xml:space="preserve"> </w:t>
      </w:r>
      <w:proofErr w:type="spellStart"/>
      <w:r w:rsidRPr="00E12749">
        <w:rPr>
          <w:rFonts w:cs="David"/>
          <w:szCs w:val="24"/>
          <w:rtl/>
        </w:rPr>
        <w:t>דגילדני</w:t>
      </w:r>
      <w:proofErr w:type="spellEnd"/>
      <w:r w:rsidRPr="00E12749">
        <w:rPr>
          <w:rFonts w:cs="David"/>
          <w:szCs w:val="24"/>
          <w:rtl/>
        </w:rPr>
        <w:t xml:space="preserve"> דבי גילי" </w:t>
      </w:r>
      <w:r w:rsidRPr="00E12749">
        <w:rPr>
          <w:rStyle w:val="a7"/>
          <w:rtl/>
        </w:rPr>
        <w:t>(רש"י: דגים קטנים)</w:t>
      </w:r>
      <w:r w:rsidRPr="00E12749">
        <w:rPr>
          <w:rFonts w:cs="David"/>
          <w:szCs w:val="24"/>
          <w:rtl/>
        </w:rPr>
        <w:t>.</w:t>
      </w:r>
      <w:r w:rsidRPr="00E12749">
        <w:rPr>
          <w:rStyle w:val="a5"/>
          <w:rFonts w:cs="David"/>
          <w:szCs w:val="24"/>
          <w:rtl/>
        </w:rPr>
        <w:footnoteReference w:id="7"/>
      </w:r>
      <w:r w:rsidRPr="00E12749">
        <w:rPr>
          <w:rFonts w:cs="David"/>
          <w:szCs w:val="24"/>
          <w:rtl/>
        </w:rPr>
        <w:t xml:space="preserve"> רב ענן שאלו מדוע הוא מביא לו מתנה, ותשובת אותו אדם </w:t>
      </w:r>
      <w:proofErr w:type="spellStart"/>
      <w:r w:rsidRPr="00E12749">
        <w:rPr>
          <w:rFonts w:cs="David"/>
          <w:szCs w:val="24"/>
          <w:rtl/>
        </w:rPr>
        <w:t>היתה</w:t>
      </w:r>
      <w:proofErr w:type="spellEnd"/>
      <w:r w:rsidRPr="00E12749">
        <w:rPr>
          <w:rFonts w:cs="David"/>
          <w:szCs w:val="24"/>
          <w:rtl/>
        </w:rPr>
        <w:t xml:space="preserve"> שיש לו דין תורה אצלו. רב ענן לא קבל את המתנה ופסל את עצמו מלדון אותו.</w:t>
      </w:r>
      <w:r w:rsidRPr="00E12749">
        <w:rPr>
          <w:rStyle w:val="a5"/>
          <w:rFonts w:cs="David"/>
          <w:szCs w:val="24"/>
          <w:rtl/>
        </w:rPr>
        <w:footnoteReference w:id="8"/>
      </w:r>
      <w:r w:rsidRPr="00E12749">
        <w:rPr>
          <w:rFonts w:cs="David"/>
          <w:szCs w:val="24"/>
          <w:rtl/>
        </w:rPr>
        <w:t xml:space="preserve"> אותו אדם ביקש, שלמרות שרב ענן פסל עצמו מלדון, בכל זאת שיקבל את המתנה מידו, ושלא ימנע ממנו מלהקריב ביכורים, שנאמר: "ואיש בא מבעל שלישה ויבא לאיש האלוקים לחם ביכורים, עשרים לחם שעורים בצקלונו" </w:t>
      </w:r>
      <w:r w:rsidRPr="00E12749">
        <w:rPr>
          <w:rStyle w:val="a6"/>
          <w:rtl/>
        </w:rPr>
        <w:t xml:space="preserve">(מלכים ב ד, </w:t>
      </w:r>
      <w:proofErr w:type="spellStart"/>
      <w:r w:rsidRPr="00E12749">
        <w:rPr>
          <w:rStyle w:val="a6"/>
          <w:rtl/>
        </w:rPr>
        <w:t>מב</w:t>
      </w:r>
      <w:proofErr w:type="spellEnd"/>
      <w:r w:rsidRPr="00E12749">
        <w:rPr>
          <w:rStyle w:val="a6"/>
          <w:rtl/>
        </w:rPr>
        <w:t>)</w:t>
      </w:r>
      <w:r w:rsidRPr="00E12749">
        <w:rPr>
          <w:rFonts w:cs="David"/>
          <w:szCs w:val="24"/>
          <w:rtl/>
        </w:rPr>
        <w:t xml:space="preserve">. וכי אלישע אוכל ביכורים הוא? אלא לומר לך, כל המביא דורון לתלמיד חכם כאילו הקריב ביכורים. אמר לו רב ענן, שבתחילה לא רצה לקבל ממנו, אך מאחר שאמר לו דברי טעם הוא מקבל </w:t>
      </w:r>
      <w:r w:rsidRPr="00E12749">
        <w:rPr>
          <w:rStyle w:val="a7"/>
          <w:rtl/>
        </w:rPr>
        <w:t>(דברי הגמרא מתורגמים מארמית לעברית)</w:t>
      </w:r>
      <w:r w:rsidRPr="00E12749">
        <w:rPr>
          <w:rFonts w:cs="David"/>
          <w:szCs w:val="24"/>
          <w:rtl/>
        </w:rPr>
        <w:t>.</w:t>
      </w:r>
      <w:r w:rsidRPr="00E12749">
        <w:rPr>
          <w:rStyle w:val="a5"/>
          <w:rFonts w:cs="David"/>
          <w:szCs w:val="24"/>
          <w:rtl/>
        </w:rPr>
        <w:footnoteReference w:id="9"/>
      </w:r>
    </w:p>
    <w:p w:rsidR="000664A7" w:rsidRPr="00E12749" w:rsidRDefault="000664A7" w:rsidP="000664A7">
      <w:pPr>
        <w:spacing w:line="360" w:lineRule="auto"/>
        <w:jc w:val="both"/>
        <w:rPr>
          <w:rFonts w:cs="David"/>
          <w:szCs w:val="24"/>
          <w:rtl/>
        </w:rPr>
      </w:pPr>
      <w:proofErr w:type="spellStart"/>
      <w:r w:rsidRPr="00E12749">
        <w:rPr>
          <w:rFonts w:cs="David"/>
          <w:szCs w:val="24"/>
          <w:rtl/>
        </w:rPr>
        <w:t>הראי"ה</w:t>
      </w:r>
      <w:proofErr w:type="spellEnd"/>
      <w:r w:rsidRPr="00E12749">
        <w:rPr>
          <w:rFonts w:cs="David"/>
          <w:szCs w:val="24"/>
          <w:rtl/>
        </w:rPr>
        <w:t xml:space="preserve"> קוק מסיק מגמרא זו, שרב ענן בכלל לא חשש לקדושת ביכורים, משום שברורה </w:t>
      </w:r>
      <w:proofErr w:type="spellStart"/>
      <w:r w:rsidRPr="00E12749">
        <w:rPr>
          <w:rFonts w:cs="David"/>
          <w:szCs w:val="24"/>
          <w:rtl/>
        </w:rPr>
        <w:t>היתה</w:t>
      </w:r>
      <w:proofErr w:type="spellEnd"/>
      <w:r w:rsidRPr="00E12749">
        <w:rPr>
          <w:rFonts w:cs="David"/>
          <w:szCs w:val="24"/>
          <w:rtl/>
        </w:rPr>
        <w:t xml:space="preserve"> כוונתו של אותו אדם לתת מתנה לתלמיד חכם. אך שם מדובר בדגים קטנים שאינם ראויים לביכורים, וייתכן שאם הם היו פירות משבעת המינים, אולי היה חושש על כל פנים לכתחילה, או שהיה מעיר לאותו אדם שלא יאמר כך. מכאן משמע שבמקום שיש הוכחה גמורה לעניין אין כאן מקום לחשוש. גם אצל אלישע לא נאמר בלשון ביכורים ממש. לכן מסיים </w:t>
      </w:r>
      <w:proofErr w:type="spellStart"/>
      <w:r w:rsidRPr="00E12749">
        <w:rPr>
          <w:rFonts w:cs="David"/>
          <w:szCs w:val="24"/>
          <w:rtl/>
        </w:rPr>
        <w:t>הראי"ה</w:t>
      </w:r>
      <w:proofErr w:type="spellEnd"/>
      <w:r w:rsidRPr="00E12749">
        <w:rPr>
          <w:rFonts w:cs="David"/>
          <w:szCs w:val="24"/>
          <w:rtl/>
        </w:rPr>
        <w:t xml:space="preserve"> קוק את תשובתו שם, שבמקום שאפשר למנוע מלומר על הפירות שהם ביכורים, טוב </w:t>
      </w:r>
      <w:proofErr w:type="spellStart"/>
      <w:r w:rsidRPr="00E12749">
        <w:rPr>
          <w:rFonts w:cs="David"/>
          <w:szCs w:val="24"/>
          <w:rtl/>
        </w:rPr>
        <w:t>להמנע</w:t>
      </w:r>
      <w:proofErr w:type="spellEnd"/>
      <w:r w:rsidRPr="00E12749">
        <w:rPr>
          <w:rFonts w:cs="David"/>
          <w:szCs w:val="24"/>
          <w:rtl/>
        </w:rPr>
        <w:t xml:space="preserve"> מכך. אבל ודאי שאין בפירות הללו שום קדושה.</w:t>
      </w:r>
    </w:p>
    <w:p w:rsidR="000664A7" w:rsidRPr="00E12749" w:rsidRDefault="000664A7" w:rsidP="000664A7">
      <w:pPr>
        <w:spacing w:line="360" w:lineRule="auto"/>
        <w:jc w:val="both"/>
        <w:rPr>
          <w:rFonts w:cs="David"/>
          <w:szCs w:val="24"/>
          <w:rtl/>
        </w:rPr>
      </w:pPr>
      <w:r w:rsidRPr="00E12749">
        <w:rPr>
          <w:rFonts w:cs="David"/>
          <w:szCs w:val="24"/>
          <w:rtl/>
        </w:rPr>
        <w:t xml:space="preserve"> מדברי הגמרא שם ניתן להביא הוכחה נוספת לדברי </w:t>
      </w:r>
      <w:proofErr w:type="spellStart"/>
      <w:r w:rsidRPr="00E12749">
        <w:rPr>
          <w:rFonts w:cs="David"/>
          <w:szCs w:val="24"/>
          <w:rtl/>
        </w:rPr>
        <w:t>הראי"ה</w:t>
      </w:r>
      <w:proofErr w:type="spellEnd"/>
      <w:r w:rsidRPr="00E12749">
        <w:rPr>
          <w:rFonts w:cs="David"/>
          <w:szCs w:val="24"/>
          <w:rtl/>
        </w:rPr>
        <w:t xml:space="preserve"> קוק, הסובר שבמקום שברור שאין מתכוונים להביא ביכורים אין בהם קדושה כלל. הגמרא שם מספרת שאותו אדם הביא לרב ענן דגים, שהם בכלל לא ראויים לביכורים. אך גם אם היה מביא משבעת המינים לא היו אלו ביכורים, מאחר שרב </w:t>
      </w:r>
      <w:r w:rsidRPr="00E12749">
        <w:rPr>
          <w:rFonts w:cs="David"/>
          <w:szCs w:val="24"/>
          <w:rtl/>
        </w:rPr>
        <w:lastRenderedPageBreak/>
        <w:t xml:space="preserve">ענן לא היה בארץ ישראל אלא בבבל, ובכלל לא היה כהן. זאת </w:t>
      </w:r>
      <w:proofErr w:type="spellStart"/>
      <w:r w:rsidRPr="00E12749">
        <w:rPr>
          <w:rFonts w:cs="David"/>
          <w:szCs w:val="24"/>
          <w:rtl/>
        </w:rPr>
        <w:t>היתה</w:t>
      </w:r>
      <w:proofErr w:type="spellEnd"/>
      <w:r w:rsidRPr="00E12749">
        <w:rPr>
          <w:rFonts w:cs="David"/>
          <w:szCs w:val="24"/>
          <w:rtl/>
        </w:rPr>
        <w:t xml:space="preserve"> גם הוכחתו של אותו אדם מהסיפור על אלישע, שהרי אלישע לא היה כהן אלא משבט גד </w:t>
      </w:r>
      <w:r w:rsidRPr="00E12749">
        <w:rPr>
          <w:rStyle w:val="a7"/>
          <w:rtl/>
        </w:rPr>
        <w:t>(לשיטת רש"י שם)</w:t>
      </w:r>
      <w:r w:rsidRPr="00E12749">
        <w:rPr>
          <w:rFonts w:cs="David"/>
          <w:szCs w:val="24"/>
          <w:rtl/>
        </w:rPr>
        <w:t xml:space="preserve">, ואף אם היה כהן, אלישע חי בשומרון </w:t>
      </w:r>
      <w:r w:rsidRPr="00E12749">
        <w:rPr>
          <w:rStyle w:val="a7"/>
          <w:rtl/>
        </w:rPr>
        <w:t>(</w:t>
      </w:r>
      <w:proofErr w:type="spellStart"/>
      <w:r w:rsidRPr="00E12749">
        <w:rPr>
          <w:rStyle w:val="a7"/>
          <w:rtl/>
        </w:rPr>
        <w:t>הרש"ש</w:t>
      </w:r>
      <w:proofErr w:type="spellEnd"/>
      <w:r w:rsidRPr="00E12749">
        <w:rPr>
          <w:rStyle w:val="a7"/>
          <w:rtl/>
        </w:rPr>
        <w:t xml:space="preserve"> שם מדייק מסדר הכתובים שאלישע היה אז בגלגל)</w:t>
      </w:r>
      <w:r w:rsidRPr="00E12749">
        <w:rPr>
          <w:rFonts w:cs="David"/>
          <w:szCs w:val="24"/>
          <w:rtl/>
        </w:rPr>
        <w:t xml:space="preserve">, ואין ביכורים נאכלים מחוץ לחומה, "ובמקומו לא היה מקדש, ולא מזבח, ולא כהן גדול" </w:t>
      </w:r>
      <w:r w:rsidRPr="00E12749">
        <w:rPr>
          <w:rStyle w:val="a7"/>
          <w:rtl/>
        </w:rPr>
        <w:t xml:space="preserve">(עפ"י סדר אליהו זוטא, מופיע בדברי </w:t>
      </w:r>
      <w:proofErr w:type="spellStart"/>
      <w:r w:rsidRPr="00E12749">
        <w:rPr>
          <w:rStyle w:val="a7"/>
          <w:rtl/>
        </w:rPr>
        <w:t>התוס</w:t>
      </w:r>
      <w:proofErr w:type="spellEnd"/>
      <w:r w:rsidRPr="00E12749">
        <w:rPr>
          <w:rStyle w:val="a7"/>
          <w:rtl/>
        </w:rPr>
        <w:t>' שם בד"ה וכי)</w:t>
      </w:r>
      <w:r w:rsidRPr="00E12749">
        <w:rPr>
          <w:rFonts w:cs="David"/>
          <w:szCs w:val="24"/>
          <w:rtl/>
        </w:rPr>
        <w:t>. מכאן ברור שבמקום שידוע שאינם מתכונים להביא את הפירות כביכורים, מחמת מניעות שונות, אין להחשיבם כביכורים.</w:t>
      </w:r>
    </w:p>
    <w:p w:rsidR="000664A7" w:rsidRPr="00E12749" w:rsidRDefault="000664A7" w:rsidP="000664A7">
      <w:pPr>
        <w:spacing w:line="360" w:lineRule="auto"/>
        <w:jc w:val="both"/>
        <w:rPr>
          <w:rFonts w:cs="David"/>
          <w:szCs w:val="24"/>
          <w:rtl/>
        </w:rPr>
      </w:pPr>
      <w:r w:rsidRPr="00E12749">
        <w:rPr>
          <w:rFonts w:cs="David"/>
          <w:szCs w:val="24"/>
          <w:rtl/>
        </w:rPr>
        <w:t xml:space="preserve">יתכן אולי לומר שזה גם שורש המחלוקת שבין ר' שמעון וחכמים, מה יהיה הדין כשמפרישים ביכורים, אך לא ניתן להביא אותם מחמת מניעות שונות. לדעת חכמים, מאחר שהקדיש ביכורים, אף על פי שבאמת לא ניתן להקריבם בגלל סיבות שונות </w:t>
      </w:r>
      <w:r w:rsidRPr="00E12749">
        <w:rPr>
          <w:rStyle w:val="a7"/>
          <w:rtl/>
        </w:rPr>
        <w:t>(הפירות אינם ראויים, אין שם כהן, אין בית מקדש וכד')</w:t>
      </w:r>
      <w:r w:rsidRPr="00E12749">
        <w:rPr>
          <w:rFonts w:cs="David"/>
          <w:szCs w:val="24"/>
          <w:rtl/>
        </w:rPr>
        <w:t xml:space="preserve">, אין קדושה חלה בהם. </w:t>
      </w:r>
      <w:proofErr w:type="spellStart"/>
      <w:r w:rsidRPr="00E12749">
        <w:rPr>
          <w:rFonts w:cs="David"/>
          <w:szCs w:val="24"/>
          <w:rtl/>
        </w:rPr>
        <w:t>הנפקא</w:t>
      </w:r>
      <w:proofErr w:type="spellEnd"/>
      <w:r w:rsidRPr="00E12749">
        <w:rPr>
          <w:rFonts w:cs="David"/>
          <w:szCs w:val="24"/>
          <w:rtl/>
        </w:rPr>
        <w:t xml:space="preserve"> מינה היא גם בזמן שבית המקדש קיים, כשאי אפשר להקריב מחמת העובדה שהפירות לא ראויים.</w:t>
      </w:r>
    </w:p>
    <w:p w:rsidR="000664A7" w:rsidRPr="00E12749" w:rsidRDefault="000664A7" w:rsidP="000664A7">
      <w:pPr>
        <w:spacing w:line="360" w:lineRule="auto"/>
        <w:jc w:val="both"/>
        <w:rPr>
          <w:rFonts w:cs="David"/>
          <w:szCs w:val="24"/>
          <w:rtl/>
        </w:rPr>
      </w:pPr>
      <w:r w:rsidRPr="00E12749">
        <w:rPr>
          <w:rFonts w:cs="David"/>
          <w:szCs w:val="24"/>
          <w:rtl/>
        </w:rPr>
        <w:t xml:space="preserve">אם נכון הסברנו, הרי שזו כוונת הרמב"ם בהבנת המשנה ובדבריו בהל' ערכין. הרמב"ם שם כתב: "הקדיש ביכורים לבדק הבית, אינן קודש". לדברינו, הם אינם קודש, מאחר שהקדש כזה לא ניתן לממש, מאחר שביכורים מובאים למקדש </w:t>
      </w:r>
      <w:proofErr w:type="spellStart"/>
      <w:r w:rsidRPr="00E12749">
        <w:rPr>
          <w:rFonts w:cs="David"/>
          <w:szCs w:val="24"/>
          <w:rtl/>
        </w:rPr>
        <w:t>לכהני</w:t>
      </w:r>
      <w:proofErr w:type="spellEnd"/>
      <w:r w:rsidRPr="00E12749">
        <w:rPr>
          <w:rFonts w:cs="David"/>
          <w:szCs w:val="24"/>
          <w:rtl/>
        </w:rPr>
        <w:t xml:space="preserve"> משמר ולא לבדק הבית. פירות נתפסים בקדושת ביכורים רק כשאפשר לממש את הקרבתם, וזאת בתנאי שמולאו כל התנאים הנכונים בעת הבאתם - המקדש קים, והמביא נותנם </w:t>
      </w:r>
      <w:proofErr w:type="spellStart"/>
      <w:r w:rsidRPr="00E12749">
        <w:rPr>
          <w:rFonts w:cs="David"/>
          <w:szCs w:val="24"/>
          <w:rtl/>
        </w:rPr>
        <w:t>לכהני</w:t>
      </w:r>
      <w:proofErr w:type="spellEnd"/>
      <w:r w:rsidRPr="00E12749">
        <w:rPr>
          <w:rFonts w:cs="David"/>
          <w:szCs w:val="24"/>
          <w:rtl/>
        </w:rPr>
        <w:t xml:space="preserve"> משמר. אם חסר משהו בהליך זה, לא נתפסת קדושה בהם גם בזמן, הזה ואף בזמן הבית אם הביכורים לא יועדו למקומם הנכון </w:t>
      </w:r>
      <w:r w:rsidRPr="00E12749">
        <w:rPr>
          <w:rFonts w:cs="David"/>
          <w:szCs w:val="24"/>
        </w:rPr>
        <w:t>–</w:t>
      </w:r>
      <w:r w:rsidRPr="00E12749">
        <w:rPr>
          <w:rFonts w:cs="David"/>
          <w:szCs w:val="24"/>
          <w:rtl/>
        </w:rPr>
        <w:t xml:space="preserve"> כהני משמר אין נתפסת בהם קדושה, וכדעת ר'</w:t>
      </w:r>
      <w:r w:rsidRPr="00E12749">
        <w:rPr>
          <w:rFonts w:cs="David"/>
          <w:szCs w:val="24"/>
        </w:rPr>
        <w:t xml:space="preserve"> </w:t>
      </w:r>
      <w:r w:rsidRPr="00E12749">
        <w:rPr>
          <w:rFonts w:cs="David"/>
          <w:szCs w:val="24"/>
          <w:rtl/>
        </w:rPr>
        <w:t>שמעון.</w:t>
      </w:r>
      <w:r w:rsidRPr="00E12749">
        <w:rPr>
          <w:rStyle w:val="a5"/>
          <w:rFonts w:cs="David"/>
          <w:szCs w:val="24"/>
          <w:rtl/>
        </w:rPr>
        <w:footnoteReference w:id="10"/>
      </w:r>
    </w:p>
    <w:p w:rsidR="000664A7" w:rsidRPr="00E12749" w:rsidRDefault="000664A7" w:rsidP="000664A7">
      <w:pPr>
        <w:pStyle w:val="1"/>
        <w:spacing w:line="360" w:lineRule="auto"/>
        <w:rPr>
          <w:szCs w:val="24"/>
          <w:rtl/>
        </w:rPr>
      </w:pPr>
    </w:p>
    <w:p w:rsidR="000664A7" w:rsidRPr="00E12749" w:rsidRDefault="000664A7" w:rsidP="000664A7">
      <w:pPr>
        <w:pStyle w:val="af3"/>
        <w:rPr>
          <w:szCs w:val="24"/>
          <w:rtl/>
        </w:rPr>
      </w:pPr>
      <w:r w:rsidRPr="00E12749">
        <w:rPr>
          <w:rtl/>
        </w:rPr>
        <w:t>ג. המפריש ביכורים בזמן הזה- חסיד שוטה</w:t>
      </w:r>
    </w:p>
    <w:p w:rsidR="000664A7" w:rsidRPr="00E12749" w:rsidRDefault="000664A7" w:rsidP="000664A7">
      <w:pPr>
        <w:pStyle w:val="1"/>
        <w:spacing w:line="360" w:lineRule="auto"/>
        <w:rPr>
          <w:b w:val="0"/>
          <w:bCs w:val="0"/>
          <w:szCs w:val="24"/>
          <w:rtl/>
        </w:rPr>
      </w:pPr>
      <w:r w:rsidRPr="00E12749">
        <w:rPr>
          <w:b w:val="0"/>
          <w:bCs w:val="0"/>
          <w:szCs w:val="24"/>
          <w:rtl/>
        </w:rPr>
        <w:t xml:space="preserve">מסיבה נוספת היה מקום לשלול את חגיגת הביכורים הנהוגה כיום.  במשנה סוטה ג, ד נאמר: </w:t>
      </w:r>
    </w:p>
    <w:p w:rsidR="000664A7" w:rsidRPr="00E12749" w:rsidRDefault="000664A7" w:rsidP="000664A7">
      <w:pPr>
        <w:pStyle w:val="1"/>
        <w:spacing w:line="360" w:lineRule="auto"/>
        <w:ind w:left="720"/>
        <w:jc w:val="both"/>
        <w:rPr>
          <w:b w:val="0"/>
          <w:bCs w:val="0"/>
          <w:szCs w:val="24"/>
          <w:rtl/>
        </w:rPr>
      </w:pPr>
      <w:r w:rsidRPr="00E12749">
        <w:rPr>
          <w:b w:val="0"/>
          <w:bCs w:val="0"/>
          <w:szCs w:val="24"/>
          <w:rtl/>
        </w:rPr>
        <w:t xml:space="preserve">רבי יהושע אומר רוצה </w:t>
      </w:r>
      <w:proofErr w:type="spellStart"/>
      <w:r w:rsidRPr="00E12749">
        <w:rPr>
          <w:b w:val="0"/>
          <w:bCs w:val="0"/>
          <w:szCs w:val="24"/>
          <w:rtl/>
        </w:rPr>
        <w:t>אשה</w:t>
      </w:r>
      <w:proofErr w:type="spellEnd"/>
      <w:r w:rsidRPr="00E12749">
        <w:rPr>
          <w:b w:val="0"/>
          <w:bCs w:val="0"/>
          <w:szCs w:val="24"/>
          <w:rtl/>
        </w:rPr>
        <w:t xml:space="preserve"> בקב ותפלות מתשעה </w:t>
      </w:r>
      <w:proofErr w:type="spellStart"/>
      <w:r w:rsidRPr="00E12749">
        <w:rPr>
          <w:b w:val="0"/>
          <w:bCs w:val="0"/>
          <w:szCs w:val="24"/>
          <w:rtl/>
        </w:rPr>
        <w:t>קבין</w:t>
      </w:r>
      <w:proofErr w:type="spellEnd"/>
      <w:r w:rsidRPr="00E12749">
        <w:rPr>
          <w:b w:val="0"/>
          <w:bCs w:val="0"/>
          <w:szCs w:val="24"/>
          <w:rtl/>
        </w:rPr>
        <w:t xml:space="preserve"> ופרישות. הוא היה אומר: חסיד שוטה, ורשע ערום, ואשה פרושה, ומכות </w:t>
      </w:r>
      <w:proofErr w:type="spellStart"/>
      <w:r w:rsidRPr="00E12749">
        <w:rPr>
          <w:b w:val="0"/>
          <w:bCs w:val="0"/>
          <w:szCs w:val="24"/>
          <w:rtl/>
        </w:rPr>
        <w:t>פרושין</w:t>
      </w:r>
      <w:proofErr w:type="spellEnd"/>
      <w:r w:rsidRPr="00E12749">
        <w:rPr>
          <w:b w:val="0"/>
          <w:bCs w:val="0"/>
          <w:szCs w:val="24"/>
          <w:rtl/>
        </w:rPr>
        <w:t xml:space="preserve">, הרי אלו מכלי עולם. </w:t>
      </w:r>
    </w:p>
    <w:p w:rsidR="000664A7" w:rsidRPr="00E12749" w:rsidRDefault="000664A7" w:rsidP="000664A7">
      <w:pPr>
        <w:pStyle w:val="1"/>
        <w:spacing w:line="360" w:lineRule="auto"/>
        <w:jc w:val="both"/>
        <w:rPr>
          <w:b w:val="0"/>
          <w:bCs w:val="0"/>
          <w:szCs w:val="24"/>
          <w:rtl/>
        </w:rPr>
      </w:pPr>
      <w:r w:rsidRPr="00E12749">
        <w:rPr>
          <w:b w:val="0"/>
          <w:bCs w:val="0"/>
          <w:szCs w:val="24"/>
          <w:rtl/>
        </w:rPr>
        <w:t xml:space="preserve">בגמ' בסוטה </w:t>
      </w:r>
      <w:proofErr w:type="spellStart"/>
      <w:r w:rsidRPr="00E12749">
        <w:rPr>
          <w:b w:val="0"/>
          <w:bCs w:val="0"/>
          <w:szCs w:val="24"/>
          <w:rtl/>
        </w:rPr>
        <w:t>כא</w:t>
      </w:r>
      <w:proofErr w:type="spellEnd"/>
      <w:r w:rsidRPr="00E12749">
        <w:rPr>
          <w:b w:val="0"/>
          <w:bCs w:val="0"/>
          <w:szCs w:val="24"/>
          <w:rtl/>
        </w:rPr>
        <w:t xml:space="preserve"> ע"ב מוסבר מהו חסיד שוטה: </w:t>
      </w:r>
    </w:p>
    <w:p w:rsidR="000664A7" w:rsidRPr="00E12749" w:rsidRDefault="000664A7" w:rsidP="000664A7">
      <w:pPr>
        <w:pStyle w:val="1"/>
        <w:spacing w:line="360" w:lineRule="auto"/>
        <w:ind w:left="720"/>
        <w:jc w:val="both"/>
        <w:rPr>
          <w:b w:val="0"/>
          <w:bCs w:val="0"/>
          <w:szCs w:val="24"/>
          <w:rtl/>
        </w:rPr>
      </w:pPr>
      <w:proofErr w:type="spellStart"/>
      <w:r w:rsidRPr="00E12749">
        <w:rPr>
          <w:b w:val="0"/>
          <w:bCs w:val="0"/>
          <w:szCs w:val="24"/>
          <w:rtl/>
        </w:rPr>
        <w:t>היכי</w:t>
      </w:r>
      <w:proofErr w:type="spellEnd"/>
      <w:r w:rsidRPr="00E12749">
        <w:rPr>
          <w:b w:val="0"/>
          <w:bCs w:val="0"/>
          <w:szCs w:val="24"/>
          <w:rtl/>
        </w:rPr>
        <w:t xml:space="preserve"> דמי חסיד שוטה? כגון </w:t>
      </w:r>
      <w:proofErr w:type="spellStart"/>
      <w:r w:rsidRPr="00E12749">
        <w:rPr>
          <w:b w:val="0"/>
          <w:bCs w:val="0"/>
          <w:szCs w:val="24"/>
          <w:rtl/>
        </w:rPr>
        <w:t>דקא</w:t>
      </w:r>
      <w:proofErr w:type="spellEnd"/>
      <w:r w:rsidRPr="00E12749">
        <w:rPr>
          <w:b w:val="0"/>
          <w:bCs w:val="0"/>
          <w:szCs w:val="24"/>
          <w:rtl/>
        </w:rPr>
        <w:t xml:space="preserve"> טבעה </w:t>
      </w:r>
      <w:proofErr w:type="spellStart"/>
      <w:r w:rsidRPr="00E12749">
        <w:rPr>
          <w:b w:val="0"/>
          <w:bCs w:val="0"/>
          <w:szCs w:val="24"/>
          <w:rtl/>
        </w:rPr>
        <w:t>איתתא</w:t>
      </w:r>
      <w:proofErr w:type="spellEnd"/>
      <w:r w:rsidRPr="00E12749">
        <w:rPr>
          <w:b w:val="0"/>
          <w:bCs w:val="0"/>
          <w:szCs w:val="24"/>
          <w:rtl/>
        </w:rPr>
        <w:t xml:space="preserve"> </w:t>
      </w:r>
      <w:proofErr w:type="spellStart"/>
      <w:r w:rsidRPr="00E12749">
        <w:rPr>
          <w:b w:val="0"/>
          <w:bCs w:val="0"/>
          <w:szCs w:val="24"/>
          <w:rtl/>
        </w:rPr>
        <w:t>בנהרא</w:t>
      </w:r>
      <w:proofErr w:type="spellEnd"/>
      <w:r w:rsidRPr="00E12749">
        <w:rPr>
          <w:b w:val="0"/>
          <w:bCs w:val="0"/>
          <w:szCs w:val="24"/>
          <w:rtl/>
        </w:rPr>
        <w:t xml:space="preserve">, ואמר: לאו אורח ארעא </w:t>
      </w:r>
      <w:proofErr w:type="spellStart"/>
      <w:r w:rsidRPr="00E12749">
        <w:rPr>
          <w:b w:val="0"/>
          <w:bCs w:val="0"/>
          <w:szCs w:val="24"/>
          <w:rtl/>
        </w:rPr>
        <w:t>לאיסתכולי</w:t>
      </w:r>
      <w:proofErr w:type="spellEnd"/>
      <w:r w:rsidRPr="00E12749">
        <w:rPr>
          <w:b w:val="0"/>
          <w:bCs w:val="0"/>
          <w:szCs w:val="24"/>
          <w:rtl/>
        </w:rPr>
        <w:t xml:space="preserve"> בה ואצולה.</w:t>
      </w:r>
    </w:p>
    <w:p w:rsidR="000664A7" w:rsidRPr="00E12749" w:rsidRDefault="000664A7" w:rsidP="000664A7">
      <w:pPr>
        <w:pStyle w:val="1"/>
        <w:spacing w:line="360" w:lineRule="auto"/>
        <w:jc w:val="both"/>
        <w:rPr>
          <w:b w:val="0"/>
          <w:bCs w:val="0"/>
          <w:szCs w:val="24"/>
          <w:rtl/>
        </w:rPr>
      </w:pPr>
      <w:r w:rsidRPr="00E12749">
        <w:rPr>
          <w:b w:val="0"/>
          <w:bCs w:val="0"/>
          <w:szCs w:val="24"/>
          <w:rtl/>
        </w:rPr>
        <w:t xml:space="preserve"> בתלמוד ירושלמי סוטה ג, ד נאמר באופן שונה במעט, וכן נמצאת דוגמא נוספת: </w:t>
      </w:r>
    </w:p>
    <w:p w:rsidR="000664A7" w:rsidRPr="00E12749" w:rsidRDefault="000664A7" w:rsidP="000664A7">
      <w:pPr>
        <w:pStyle w:val="af2"/>
        <w:rPr>
          <w:rtl/>
        </w:rPr>
      </w:pPr>
      <w:r w:rsidRPr="00E12749">
        <w:rPr>
          <w:rtl/>
        </w:rPr>
        <w:t xml:space="preserve">אי זהו חסיד שוטה? ראה תינוק מבעבע בנהר. אמר: לכשאחלוץ תפילי </w:t>
      </w:r>
      <w:proofErr w:type="spellStart"/>
      <w:r w:rsidRPr="00E12749">
        <w:rPr>
          <w:rtl/>
        </w:rPr>
        <w:t>אצילינו</w:t>
      </w:r>
      <w:proofErr w:type="spellEnd"/>
      <w:r w:rsidRPr="00E12749">
        <w:rPr>
          <w:rtl/>
        </w:rPr>
        <w:t xml:space="preserve">. עם כשהוא חולץ </w:t>
      </w:r>
      <w:proofErr w:type="spellStart"/>
      <w:r w:rsidRPr="00E12749">
        <w:rPr>
          <w:rtl/>
        </w:rPr>
        <w:t>תפיליו</w:t>
      </w:r>
      <w:proofErr w:type="spellEnd"/>
      <w:r w:rsidRPr="00E12749">
        <w:rPr>
          <w:rtl/>
        </w:rPr>
        <w:t xml:space="preserve"> הוציא זה את נפשו. ראה </w:t>
      </w:r>
      <w:proofErr w:type="spellStart"/>
      <w:r w:rsidRPr="00E12749">
        <w:rPr>
          <w:rtl/>
        </w:rPr>
        <w:t>תאינה</w:t>
      </w:r>
      <w:proofErr w:type="spellEnd"/>
      <w:r w:rsidRPr="00E12749">
        <w:rPr>
          <w:rtl/>
        </w:rPr>
        <w:t xml:space="preserve"> בכורה, אמר במי שאפגע בו תחילה </w:t>
      </w:r>
      <w:proofErr w:type="spellStart"/>
      <w:r w:rsidRPr="00E12749">
        <w:rPr>
          <w:rtl/>
        </w:rPr>
        <w:t>אתננה</w:t>
      </w:r>
      <w:proofErr w:type="spellEnd"/>
      <w:r w:rsidRPr="00E12749">
        <w:rPr>
          <w:rtl/>
        </w:rPr>
        <w:t xml:space="preserve"> לו. </w:t>
      </w:r>
    </w:p>
    <w:p w:rsidR="000664A7" w:rsidRPr="00E12749" w:rsidRDefault="000664A7" w:rsidP="000664A7">
      <w:pPr>
        <w:spacing w:line="360" w:lineRule="auto"/>
        <w:jc w:val="both"/>
        <w:rPr>
          <w:rFonts w:cs="David"/>
          <w:szCs w:val="24"/>
          <w:rtl/>
        </w:rPr>
      </w:pPr>
      <w:proofErr w:type="spellStart"/>
      <w:r w:rsidRPr="00E12749">
        <w:rPr>
          <w:rFonts w:cs="David"/>
          <w:szCs w:val="24"/>
          <w:rtl/>
        </w:rPr>
        <w:t>לעניננו</w:t>
      </w:r>
      <w:proofErr w:type="spellEnd"/>
      <w:r w:rsidRPr="00E12749">
        <w:rPr>
          <w:rFonts w:cs="David"/>
          <w:szCs w:val="24"/>
          <w:rtl/>
        </w:rPr>
        <w:t xml:space="preserve"> רלוונטית הדוגמא </w:t>
      </w:r>
      <w:proofErr w:type="spellStart"/>
      <w:r w:rsidRPr="00E12749">
        <w:rPr>
          <w:rFonts w:cs="David"/>
          <w:szCs w:val="24"/>
          <w:rtl/>
        </w:rPr>
        <w:t>השניה</w:t>
      </w:r>
      <w:proofErr w:type="spellEnd"/>
      <w:r w:rsidRPr="00E12749">
        <w:rPr>
          <w:rFonts w:cs="David"/>
          <w:szCs w:val="24"/>
          <w:rtl/>
        </w:rPr>
        <w:t xml:space="preserve">. הביטוי: "תאנה שבכרה", מזכיר את האמור במשנה בביכורים ג, א: "כיצד </w:t>
      </w:r>
      <w:proofErr w:type="spellStart"/>
      <w:r w:rsidRPr="00E12749">
        <w:rPr>
          <w:rFonts w:cs="David"/>
          <w:szCs w:val="24"/>
          <w:rtl/>
        </w:rPr>
        <w:t>מפרישין</w:t>
      </w:r>
      <w:proofErr w:type="spellEnd"/>
      <w:r w:rsidRPr="00E12749">
        <w:rPr>
          <w:rFonts w:cs="David"/>
          <w:szCs w:val="24"/>
          <w:rtl/>
        </w:rPr>
        <w:t xml:space="preserve"> הבכורים? יורד אדם בתוך שדהו ורואה תאנה שבכרה אשכול שביכר רמון שביכר, קושרו </w:t>
      </w:r>
      <w:proofErr w:type="spellStart"/>
      <w:r w:rsidRPr="00E12749">
        <w:rPr>
          <w:rFonts w:cs="David"/>
          <w:szCs w:val="24"/>
          <w:rtl/>
        </w:rPr>
        <w:t>בגמי</w:t>
      </w:r>
      <w:proofErr w:type="spellEnd"/>
      <w:r w:rsidRPr="00E12749">
        <w:rPr>
          <w:rFonts w:cs="David"/>
          <w:szCs w:val="24"/>
          <w:rtl/>
        </w:rPr>
        <w:t xml:space="preserve"> ואומר: הרי אלו בכורים". אלא שכאן אין הוא מסמן, אלא מכריז שהוא אישית לא </w:t>
      </w:r>
      <w:proofErr w:type="spellStart"/>
      <w:r w:rsidRPr="00E12749">
        <w:rPr>
          <w:rFonts w:cs="David"/>
          <w:szCs w:val="24"/>
          <w:rtl/>
        </w:rPr>
        <w:t>יהנה</w:t>
      </w:r>
      <w:proofErr w:type="spellEnd"/>
      <w:r w:rsidRPr="00E12749">
        <w:rPr>
          <w:rFonts w:cs="David"/>
          <w:szCs w:val="24"/>
          <w:rtl/>
        </w:rPr>
        <w:t xml:space="preserve"> ממנה, ויתנה לאחרים. כך מפרש הפני משה: "במי שאפגע בו תחילה </w:t>
      </w:r>
      <w:proofErr w:type="spellStart"/>
      <w:r w:rsidRPr="00E12749">
        <w:rPr>
          <w:rFonts w:cs="David"/>
          <w:szCs w:val="24"/>
          <w:rtl/>
        </w:rPr>
        <w:t>אתננה</w:t>
      </w:r>
      <w:proofErr w:type="spellEnd"/>
      <w:r w:rsidRPr="00E12749">
        <w:rPr>
          <w:rFonts w:cs="David"/>
          <w:szCs w:val="24"/>
          <w:rtl/>
        </w:rPr>
        <w:t xml:space="preserve"> לו- שלא ליהנות ממנה כביכורים, וזה שטות הוא </w:t>
      </w:r>
      <w:proofErr w:type="spellStart"/>
      <w:r w:rsidRPr="00E12749">
        <w:rPr>
          <w:rFonts w:cs="David"/>
          <w:szCs w:val="24"/>
          <w:rtl/>
        </w:rPr>
        <w:t>דבזמן</w:t>
      </w:r>
      <w:proofErr w:type="spellEnd"/>
      <w:r w:rsidRPr="00E12749">
        <w:rPr>
          <w:rFonts w:cs="David"/>
          <w:szCs w:val="24"/>
          <w:rtl/>
        </w:rPr>
        <w:t xml:space="preserve"> הזה אין ביכורים". ההדגשה בהסבר זה היא עצם העובדה שהוא החסיד איננו רוצה </w:t>
      </w:r>
      <w:proofErr w:type="spellStart"/>
      <w:r w:rsidRPr="00E12749">
        <w:rPr>
          <w:rFonts w:cs="David"/>
          <w:szCs w:val="24"/>
          <w:rtl/>
        </w:rPr>
        <w:t>להנות</w:t>
      </w:r>
      <w:proofErr w:type="spellEnd"/>
      <w:r w:rsidRPr="00E12749">
        <w:rPr>
          <w:rFonts w:cs="David"/>
          <w:szCs w:val="24"/>
          <w:rtl/>
        </w:rPr>
        <w:t xml:space="preserve"> מפירות שבכרו ראשונה,</w:t>
      </w:r>
      <w:r w:rsidRPr="00E12749">
        <w:rPr>
          <w:rStyle w:val="a5"/>
          <w:rFonts w:cs="David"/>
          <w:szCs w:val="24"/>
          <w:rtl/>
        </w:rPr>
        <w:footnoteReference w:id="11"/>
      </w:r>
      <w:r w:rsidRPr="00E12749">
        <w:rPr>
          <w:rFonts w:cs="David"/>
          <w:szCs w:val="24"/>
          <w:rtl/>
        </w:rPr>
        <w:t xml:space="preserve"> אך אין פירוש זה מתייחס להמשך המשפט, למי שאפגע בו תחילה </w:t>
      </w:r>
      <w:proofErr w:type="spellStart"/>
      <w:r w:rsidRPr="00E12749">
        <w:rPr>
          <w:rFonts w:cs="David"/>
          <w:szCs w:val="24"/>
          <w:rtl/>
        </w:rPr>
        <w:t>אתננה</w:t>
      </w:r>
      <w:proofErr w:type="spellEnd"/>
      <w:r w:rsidRPr="00E12749">
        <w:rPr>
          <w:rFonts w:cs="David"/>
          <w:szCs w:val="24"/>
          <w:rtl/>
        </w:rPr>
        <w:t xml:space="preserve"> </w:t>
      </w:r>
      <w:r w:rsidRPr="00E12749">
        <w:rPr>
          <w:rFonts w:cs="David"/>
          <w:szCs w:val="24"/>
          <w:rtl/>
        </w:rPr>
        <w:lastRenderedPageBreak/>
        <w:t xml:space="preserve">לו. בקרבן העדה מפרש: "אמר שלא ליהנות ממנה, כיון </w:t>
      </w:r>
      <w:proofErr w:type="spellStart"/>
      <w:r w:rsidRPr="00E12749">
        <w:rPr>
          <w:rFonts w:cs="David"/>
          <w:szCs w:val="24"/>
          <w:rtl/>
        </w:rPr>
        <w:t>דאילו</w:t>
      </w:r>
      <w:proofErr w:type="spellEnd"/>
      <w:r w:rsidRPr="00E12749">
        <w:rPr>
          <w:rFonts w:cs="David"/>
          <w:szCs w:val="24"/>
          <w:rtl/>
        </w:rPr>
        <w:t xml:space="preserve"> היה בית המקדש קיים </w:t>
      </w:r>
      <w:proofErr w:type="spellStart"/>
      <w:r w:rsidRPr="00E12749">
        <w:rPr>
          <w:rFonts w:cs="David"/>
          <w:szCs w:val="24"/>
          <w:rtl/>
        </w:rPr>
        <w:t>היתה</w:t>
      </w:r>
      <w:proofErr w:type="spellEnd"/>
      <w:r w:rsidRPr="00E12749">
        <w:rPr>
          <w:rFonts w:cs="David"/>
          <w:szCs w:val="24"/>
          <w:rtl/>
        </w:rPr>
        <w:t xml:space="preserve"> אסורה, אף </w:t>
      </w:r>
      <w:proofErr w:type="spellStart"/>
      <w:r w:rsidRPr="00E12749">
        <w:rPr>
          <w:rFonts w:cs="David"/>
          <w:szCs w:val="24"/>
          <w:rtl/>
        </w:rPr>
        <w:t>עכשו</w:t>
      </w:r>
      <w:proofErr w:type="spellEnd"/>
      <w:r w:rsidRPr="00E12749">
        <w:rPr>
          <w:rFonts w:cs="David"/>
          <w:szCs w:val="24"/>
          <w:rtl/>
        </w:rPr>
        <w:t xml:space="preserve"> שאין בית המקדש קיים לא </w:t>
      </w:r>
      <w:proofErr w:type="spellStart"/>
      <w:r w:rsidRPr="00E12749">
        <w:rPr>
          <w:rFonts w:cs="David"/>
          <w:szCs w:val="24"/>
          <w:rtl/>
        </w:rPr>
        <w:t>יהנה</w:t>
      </w:r>
      <w:proofErr w:type="spellEnd"/>
      <w:r w:rsidRPr="00E12749">
        <w:rPr>
          <w:rFonts w:cs="David"/>
          <w:szCs w:val="24"/>
          <w:rtl/>
        </w:rPr>
        <w:t xml:space="preserve"> ממנה, וזהו חסידות של שטות, כיון שאמר </w:t>
      </w:r>
      <w:proofErr w:type="spellStart"/>
      <w:r w:rsidRPr="00E12749">
        <w:rPr>
          <w:rFonts w:cs="David"/>
          <w:szCs w:val="24"/>
          <w:rtl/>
        </w:rPr>
        <w:t>ליתנה</w:t>
      </w:r>
      <w:proofErr w:type="spellEnd"/>
      <w:r w:rsidRPr="00E12749">
        <w:rPr>
          <w:rFonts w:cs="David"/>
          <w:szCs w:val="24"/>
          <w:rtl/>
        </w:rPr>
        <w:t xml:space="preserve"> </w:t>
      </w:r>
      <w:proofErr w:type="spellStart"/>
      <w:r w:rsidRPr="00E12749">
        <w:rPr>
          <w:rFonts w:cs="David"/>
          <w:szCs w:val="24"/>
          <w:rtl/>
        </w:rPr>
        <w:t>להפוגע</w:t>
      </w:r>
      <w:proofErr w:type="spellEnd"/>
      <w:r w:rsidRPr="00E12749">
        <w:rPr>
          <w:rFonts w:cs="David"/>
          <w:szCs w:val="24"/>
          <w:rtl/>
        </w:rPr>
        <w:t xml:space="preserve"> בו ראשון, אפשר שיעבור על דברי תורה, אולי ימצאנו אדם שאסור לו </w:t>
      </w:r>
      <w:proofErr w:type="spellStart"/>
      <w:r w:rsidRPr="00E12749">
        <w:rPr>
          <w:rFonts w:cs="David"/>
          <w:szCs w:val="24"/>
          <w:rtl/>
        </w:rPr>
        <w:t>להנהותו</w:t>
      </w:r>
      <w:proofErr w:type="spellEnd"/>
      <w:r w:rsidRPr="00E12749">
        <w:rPr>
          <w:rFonts w:cs="David"/>
          <w:szCs w:val="24"/>
          <w:rtl/>
        </w:rPr>
        <w:t xml:space="preserve">, ועוד אם אינו עושה אלא לשם שמים, היה לו לגנזן. אלא ודאי שעושה כן לרמות בני אדם שיחשבו שהוא חסיד". כך גם חזר בשירי הקרבן. </w:t>
      </w:r>
    </w:p>
    <w:p w:rsidR="000664A7" w:rsidRPr="00E12749" w:rsidRDefault="000664A7" w:rsidP="000664A7">
      <w:pPr>
        <w:spacing w:line="360" w:lineRule="auto"/>
        <w:jc w:val="both"/>
        <w:rPr>
          <w:rFonts w:cs="David"/>
          <w:szCs w:val="24"/>
          <w:rtl/>
        </w:rPr>
      </w:pPr>
      <w:r w:rsidRPr="00E12749">
        <w:rPr>
          <w:rFonts w:cs="David"/>
          <w:szCs w:val="24"/>
          <w:rtl/>
        </w:rPr>
        <w:t xml:space="preserve">לפיו, הוא לא רוצה </w:t>
      </w:r>
      <w:proofErr w:type="spellStart"/>
      <w:r w:rsidRPr="00E12749">
        <w:rPr>
          <w:rFonts w:cs="David"/>
          <w:szCs w:val="24"/>
          <w:rtl/>
        </w:rPr>
        <w:t>להנות</w:t>
      </w:r>
      <w:proofErr w:type="spellEnd"/>
      <w:r w:rsidRPr="00E12749">
        <w:rPr>
          <w:rFonts w:cs="David"/>
          <w:szCs w:val="24"/>
          <w:rtl/>
        </w:rPr>
        <w:t xml:space="preserve"> מהפירות כאילו הם ביכורים, אך נותנם לאחרים. הרב יששכר תמר, רואה את החיסרון גם בכך שאמר שיתנה לאחרים. לו היה אומר שיתנה לתלמיד חכם, היה זה מתאים לדברי חז"ל: "כל המביא דורון לתלמיד חכם כאילו הקריב ביכורים" (כתובות </w:t>
      </w:r>
      <w:proofErr w:type="spellStart"/>
      <w:r w:rsidRPr="00E12749">
        <w:rPr>
          <w:rFonts w:cs="David"/>
          <w:szCs w:val="24"/>
          <w:rtl/>
        </w:rPr>
        <w:t>קה</w:t>
      </w:r>
      <w:proofErr w:type="spellEnd"/>
      <w:r w:rsidRPr="00E12749">
        <w:rPr>
          <w:rFonts w:cs="David"/>
          <w:szCs w:val="24"/>
          <w:rtl/>
        </w:rPr>
        <w:t xml:space="preserve"> ע"ב), אבל כשאומר במי שאפגע תחילה, יתכן שיהיה זה מי שלא ראוי לכך- בור ועם הארץ או רשע. מעין נדרו של יפתח שאמר: "והיה היוצא אשר יצא מדלתי ביתי לקראתי בשובי בשלום מבני עמון והיה לה' </w:t>
      </w:r>
      <w:proofErr w:type="spellStart"/>
      <w:r w:rsidRPr="00E12749">
        <w:rPr>
          <w:rFonts w:cs="David"/>
          <w:szCs w:val="24"/>
          <w:rtl/>
        </w:rPr>
        <w:t>והעליתהו</w:t>
      </w:r>
      <w:proofErr w:type="spellEnd"/>
      <w:r w:rsidRPr="00E12749">
        <w:rPr>
          <w:rFonts w:cs="David"/>
          <w:szCs w:val="24"/>
          <w:rtl/>
        </w:rPr>
        <w:t xml:space="preserve"> עולה" (שופטים יא, לא), ודרשו חכמים: "יכול אפילו דבר טמא? (רש"י- כלב או חזיר), השיבו שלא כהוגן - </w:t>
      </w:r>
      <w:proofErr w:type="spellStart"/>
      <w:r w:rsidRPr="00E12749">
        <w:rPr>
          <w:rFonts w:cs="David"/>
          <w:szCs w:val="24"/>
          <w:rtl/>
        </w:rPr>
        <w:t>נזדמנה</w:t>
      </w:r>
      <w:proofErr w:type="spellEnd"/>
      <w:r w:rsidRPr="00E12749">
        <w:rPr>
          <w:rFonts w:cs="David"/>
          <w:szCs w:val="24"/>
          <w:rtl/>
        </w:rPr>
        <w:t xml:space="preserve"> לו בתו" (תענית ד ע"א). גם כאן יתכן והראשון לא יהיה ראוי.</w:t>
      </w:r>
      <w:r w:rsidRPr="00E12749">
        <w:rPr>
          <w:rStyle w:val="a5"/>
          <w:rFonts w:cs="David"/>
          <w:szCs w:val="24"/>
          <w:rtl/>
        </w:rPr>
        <w:t xml:space="preserve"> </w:t>
      </w:r>
      <w:r w:rsidRPr="00E12749">
        <w:rPr>
          <w:rStyle w:val="a5"/>
          <w:rFonts w:cs="David"/>
          <w:szCs w:val="24"/>
          <w:rtl/>
        </w:rPr>
        <w:footnoteReference w:id="12"/>
      </w:r>
      <w:r w:rsidRPr="00E12749">
        <w:rPr>
          <w:rFonts w:cs="David"/>
          <w:szCs w:val="24"/>
          <w:rtl/>
        </w:rPr>
        <w:t xml:space="preserve"> </w:t>
      </w:r>
    </w:p>
    <w:p w:rsidR="000664A7" w:rsidRPr="00E12749" w:rsidRDefault="000664A7" w:rsidP="000664A7">
      <w:pPr>
        <w:pStyle w:val="ae"/>
        <w:spacing w:line="360" w:lineRule="auto"/>
        <w:rPr>
          <w:color w:val="auto"/>
          <w:rtl/>
        </w:rPr>
      </w:pPr>
      <w:r w:rsidRPr="00E12749">
        <w:rPr>
          <w:color w:val="auto"/>
          <w:rtl/>
        </w:rPr>
        <w:t xml:space="preserve">הרב יששכר תמר שם מפרש עוד,  שיש לקשור זאת לירושלמי בפאה ה, ה שם נאמר: "אמר רבי יצחק: 'ועניים מרודים תביא בית' (ישעיהו נח, ז). אמר רבי אבין, אם עשית כן מעלה אני עליך כאלו הבאת ביכורי' לבית המקדש. נאמר כאן: 'תביא' ונאמר להלן: 'ראשית בכורי אדמתך תביא בית ה' </w:t>
      </w:r>
      <w:proofErr w:type="spellStart"/>
      <w:r w:rsidRPr="00E12749">
        <w:rPr>
          <w:color w:val="auto"/>
          <w:rtl/>
        </w:rPr>
        <w:t>אלהיך</w:t>
      </w:r>
      <w:proofErr w:type="spellEnd"/>
      <w:r w:rsidRPr="00E12749">
        <w:rPr>
          <w:color w:val="auto"/>
          <w:rtl/>
        </w:rPr>
        <w:t xml:space="preserve"> (שמות </w:t>
      </w:r>
      <w:proofErr w:type="spellStart"/>
      <w:r w:rsidRPr="00E12749">
        <w:rPr>
          <w:color w:val="auto"/>
          <w:rtl/>
        </w:rPr>
        <w:t>כג</w:t>
      </w:r>
      <w:proofErr w:type="spellEnd"/>
      <w:r w:rsidRPr="00E12749">
        <w:rPr>
          <w:color w:val="auto"/>
          <w:rtl/>
        </w:rPr>
        <w:t xml:space="preserve">, </w:t>
      </w:r>
      <w:proofErr w:type="spellStart"/>
      <w:r w:rsidRPr="00E12749">
        <w:rPr>
          <w:color w:val="auto"/>
          <w:rtl/>
        </w:rPr>
        <w:t>יט</w:t>
      </w:r>
      <w:proofErr w:type="spellEnd"/>
      <w:r w:rsidRPr="00E12749">
        <w:rPr>
          <w:color w:val="auto"/>
          <w:rtl/>
        </w:rPr>
        <w:t xml:space="preserve">; לד, </w:t>
      </w:r>
      <w:proofErr w:type="spellStart"/>
      <w:r w:rsidRPr="00E12749">
        <w:rPr>
          <w:color w:val="auto"/>
          <w:rtl/>
        </w:rPr>
        <w:t>כו</w:t>
      </w:r>
      <w:proofErr w:type="spellEnd"/>
      <w:r w:rsidRPr="00E12749">
        <w:rPr>
          <w:color w:val="auto"/>
          <w:rtl/>
        </w:rPr>
        <w:t xml:space="preserve">)". מי שראוי לקבל אילו הם העניים, ואז יהיה זה כאילו הביא ביכורים. כשאומר במי שאפגע ראשון, אין הכרח שיהיה זה עני. </w:t>
      </w:r>
    </w:p>
    <w:p w:rsidR="000664A7" w:rsidRPr="00E12749" w:rsidRDefault="000664A7" w:rsidP="000664A7">
      <w:pPr>
        <w:spacing w:line="360" w:lineRule="auto"/>
        <w:jc w:val="both"/>
        <w:rPr>
          <w:rFonts w:cs="David"/>
          <w:szCs w:val="24"/>
          <w:rtl/>
        </w:rPr>
      </w:pPr>
      <w:r w:rsidRPr="00E12749">
        <w:rPr>
          <w:rFonts w:cs="David"/>
          <w:szCs w:val="24"/>
          <w:rtl/>
        </w:rPr>
        <w:t xml:space="preserve">מכאן, שמי שבאמת </w:t>
      </w:r>
      <w:proofErr w:type="spellStart"/>
      <w:r w:rsidRPr="00E12749">
        <w:rPr>
          <w:rFonts w:cs="David"/>
          <w:szCs w:val="24"/>
          <w:rtl/>
        </w:rPr>
        <w:t>מתכוין</w:t>
      </w:r>
      <w:proofErr w:type="spellEnd"/>
      <w:r w:rsidRPr="00E12749">
        <w:rPr>
          <w:rFonts w:cs="David"/>
          <w:szCs w:val="24"/>
          <w:rtl/>
        </w:rPr>
        <w:t xml:space="preserve"> להפריש ביכורים בזמן הזה הרי הוא חסיד שוטה, ואין ערך וענין בדבר.</w:t>
      </w:r>
      <w:r w:rsidRPr="00E12749">
        <w:rPr>
          <w:rStyle w:val="a5"/>
          <w:rFonts w:cs="David"/>
          <w:szCs w:val="24"/>
          <w:rtl/>
        </w:rPr>
        <w:footnoteReference w:id="13"/>
      </w:r>
      <w:r w:rsidRPr="00E12749">
        <w:rPr>
          <w:rFonts w:cs="David"/>
          <w:szCs w:val="24"/>
          <w:rtl/>
        </w:rPr>
        <w:t xml:space="preserve"> אמנם בחגיגות הביכורים הללו ברור לכל שאין </w:t>
      </w:r>
      <w:proofErr w:type="spellStart"/>
      <w:r w:rsidRPr="00E12749">
        <w:rPr>
          <w:rFonts w:cs="David"/>
          <w:szCs w:val="24"/>
          <w:rtl/>
        </w:rPr>
        <w:t>כונת</w:t>
      </w:r>
      <w:proofErr w:type="spellEnd"/>
      <w:r w:rsidRPr="00E12749">
        <w:rPr>
          <w:rFonts w:cs="David"/>
          <w:szCs w:val="24"/>
          <w:rtl/>
        </w:rPr>
        <w:t xml:space="preserve"> החוגגים להקדיש את הפירות הללו כביכורים, ואין הם רואים את מעשיהם כמעשה חסידות, אלא מעין זכר </w:t>
      </w:r>
      <w:proofErr w:type="spellStart"/>
      <w:r w:rsidRPr="00E12749">
        <w:rPr>
          <w:rFonts w:cs="David"/>
          <w:szCs w:val="24"/>
          <w:rtl/>
        </w:rPr>
        <w:t>למצוה</w:t>
      </w:r>
      <w:proofErr w:type="spellEnd"/>
      <w:r w:rsidRPr="00E12749">
        <w:rPr>
          <w:rFonts w:cs="David"/>
          <w:szCs w:val="24"/>
          <w:rtl/>
        </w:rPr>
        <w:t xml:space="preserve"> כפי </w:t>
      </w:r>
      <w:proofErr w:type="spellStart"/>
      <w:r w:rsidRPr="00E12749">
        <w:rPr>
          <w:rFonts w:cs="David"/>
          <w:szCs w:val="24"/>
          <w:rtl/>
        </w:rPr>
        <w:t>שהיתה</w:t>
      </w:r>
      <w:proofErr w:type="spellEnd"/>
      <w:r w:rsidRPr="00E12749">
        <w:rPr>
          <w:rFonts w:cs="David"/>
          <w:szCs w:val="24"/>
          <w:rtl/>
        </w:rPr>
        <w:t xml:space="preserve"> נהוגה בזמן המקדש. </w:t>
      </w:r>
    </w:p>
    <w:p w:rsidR="000664A7" w:rsidRPr="00E12749" w:rsidRDefault="000664A7" w:rsidP="000664A7">
      <w:pPr>
        <w:spacing w:line="360" w:lineRule="auto"/>
        <w:jc w:val="both"/>
        <w:rPr>
          <w:rFonts w:cs="David"/>
          <w:szCs w:val="24"/>
          <w:rtl/>
        </w:rPr>
      </w:pPr>
      <w:r w:rsidRPr="00E12749">
        <w:rPr>
          <w:rFonts w:cs="David"/>
          <w:szCs w:val="24"/>
          <w:rtl/>
        </w:rPr>
        <w:t xml:space="preserve"> </w:t>
      </w:r>
    </w:p>
    <w:p w:rsidR="000664A7" w:rsidRPr="00E12749" w:rsidRDefault="000664A7" w:rsidP="000664A7">
      <w:pPr>
        <w:pStyle w:val="2"/>
        <w:rPr>
          <w:rtl/>
        </w:rPr>
      </w:pPr>
      <w:r w:rsidRPr="00E12749">
        <w:rPr>
          <w:sz w:val="22"/>
          <w:szCs w:val="26"/>
          <w:rtl/>
        </w:rPr>
        <w:t xml:space="preserve">ד. טקסי ביכורים בהתיישבות- התייחסות </w:t>
      </w:r>
      <w:proofErr w:type="spellStart"/>
      <w:r w:rsidRPr="00E12749">
        <w:rPr>
          <w:sz w:val="22"/>
          <w:szCs w:val="26"/>
          <w:rtl/>
        </w:rPr>
        <w:t>הראי"ה</w:t>
      </w:r>
      <w:proofErr w:type="spellEnd"/>
      <w:r w:rsidRPr="00E12749">
        <w:rPr>
          <w:sz w:val="22"/>
          <w:szCs w:val="26"/>
          <w:rtl/>
        </w:rPr>
        <w:t xml:space="preserve"> קוק</w:t>
      </w:r>
    </w:p>
    <w:p w:rsidR="000664A7" w:rsidRPr="00E12749" w:rsidRDefault="000664A7" w:rsidP="000664A7">
      <w:pPr>
        <w:spacing w:line="360" w:lineRule="auto"/>
        <w:jc w:val="both"/>
        <w:rPr>
          <w:rFonts w:cs="David"/>
          <w:szCs w:val="24"/>
          <w:rtl/>
        </w:rPr>
      </w:pPr>
      <w:r w:rsidRPr="00E12749">
        <w:rPr>
          <w:rFonts w:cs="David"/>
          <w:szCs w:val="24"/>
          <w:rtl/>
        </w:rPr>
        <w:t xml:space="preserve">כאמור שאלת "המקדיש ביכורים בזמן הזה" הפכה להיות שאלה מעשית, החל משנת תרפ"ד, שעה שבהתיישבות העובדת בארץ ישראל הנהיגו טקסי הבאת ביכורים. </w:t>
      </w:r>
      <w:proofErr w:type="spellStart"/>
      <w:r w:rsidRPr="00E12749">
        <w:rPr>
          <w:rFonts w:cs="David"/>
          <w:szCs w:val="24"/>
          <w:rtl/>
        </w:rPr>
        <w:t>הראי"ה</w:t>
      </w:r>
      <w:proofErr w:type="spellEnd"/>
      <w:r w:rsidRPr="00E12749">
        <w:rPr>
          <w:rFonts w:cs="David"/>
          <w:szCs w:val="24"/>
          <w:rtl/>
        </w:rPr>
        <w:t xml:space="preserve"> קוק עסק בזה בהרחבה רבה </w:t>
      </w:r>
      <w:proofErr w:type="spellStart"/>
      <w:r w:rsidRPr="00E12749">
        <w:rPr>
          <w:rFonts w:cs="David"/>
          <w:szCs w:val="24"/>
          <w:rtl/>
        </w:rPr>
        <w:t>בשו"ת</w:t>
      </w:r>
      <w:proofErr w:type="spellEnd"/>
      <w:r w:rsidRPr="00E12749">
        <w:rPr>
          <w:rFonts w:cs="David"/>
          <w:szCs w:val="24"/>
          <w:rtl/>
        </w:rPr>
        <w:t xml:space="preserve"> משפט כהן (עניני א"י) סימן </w:t>
      </w:r>
      <w:proofErr w:type="spellStart"/>
      <w:r w:rsidRPr="00E12749">
        <w:rPr>
          <w:rFonts w:cs="David"/>
          <w:szCs w:val="24"/>
          <w:rtl/>
        </w:rPr>
        <w:t>נז</w:t>
      </w:r>
      <w:proofErr w:type="spellEnd"/>
      <w:r w:rsidRPr="00E12749">
        <w:rPr>
          <w:rFonts w:cs="David"/>
          <w:szCs w:val="24"/>
          <w:rtl/>
        </w:rPr>
        <w:t>, ולהלן פתיחת תשובתו:</w:t>
      </w:r>
      <w:r w:rsidRPr="00E12749">
        <w:rPr>
          <w:rStyle w:val="a5"/>
          <w:rFonts w:cs="David"/>
          <w:szCs w:val="24"/>
          <w:rtl/>
        </w:rPr>
        <w:t xml:space="preserve"> </w:t>
      </w:r>
      <w:r w:rsidRPr="00E12749">
        <w:rPr>
          <w:rStyle w:val="a5"/>
          <w:rFonts w:cs="David"/>
          <w:szCs w:val="24"/>
          <w:rtl/>
        </w:rPr>
        <w:footnoteReference w:id="14"/>
      </w:r>
    </w:p>
    <w:p w:rsidR="000664A7" w:rsidRPr="00E12749" w:rsidRDefault="000664A7" w:rsidP="000664A7">
      <w:pPr>
        <w:spacing w:line="360" w:lineRule="auto"/>
        <w:ind w:left="720"/>
        <w:jc w:val="both"/>
        <w:rPr>
          <w:rFonts w:cs="David"/>
          <w:szCs w:val="24"/>
          <w:rtl/>
        </w:rPr>
      </w:pPr>
      <w:r w:rsidRPr="00E12749">
        <w:rPr>
          <w:rFonts w:cs="David"/>
          <w:szCs w:val="24"/>
          <w:rtl/>
        </w:rPr>
        <w:t xml:space="preserve">ב"ה עיה"ק ירושלים תובב"א, כ"ד סיון תרפ"ז. לכבוד </w:t>
      </w:r>
      <w:proofErr w:type="spellStart"/>
      <w:r w:rsidRPr="00E12749">
        <w:rPr>
          <w:rFonts w:cs="David"/>
          <w:szCs w:val="24"/>
          <w:rtl/>
        </w:rPr>
        <w:t>ידי"נ</w:t>
      </w:r>
      <w:proofErr w:type="spellEnd"/>
      <w:r w:rsidRPr="00E12749">
        <w:rPr>
          <w:rFonts w:cs="David"/>
          <w:szCs w:val="24"/>
          <w:rtl/>
        </w:rPr>
        <w:t xml:space="preserve"> הרב הגדול לתורה ולתעודה בישראל </w:t>
      </w:r>
      <w:proofErr w:type="spellStart"/>
      <w:r w:rsidRPr="00E12749">
        <w:rPr>
          <w:rFonts w:cs="David"/>
          <w:szCs w:val="24"/>
          <w:rtl/>
        </w:rPr>
        <w:t>מוהר"מ</w:t>
      </w:r>
      <w:proofErr w:type="spellEnd"/>
      <w:r w:rsidRPr="00E12749">
        <w:rPr>
          <w:rFonts w:cs="David"/>
          <w:szCs w:val="24"/>
          <w:rtl/>
        </w:rPr>
        <w:t xml:space="preserve"> ברלין </w:t>
      </w:r>
      <w:proofErr w:type="spellStart"/>
      <w:r w:rsidRPr="00E12749">
        <w:rPr>
          <w:rFonts w:cs="David"/>
          <w:szCs w:val="24"/>
          <w:rtl/>
        </w:rPr>
        <w:t>שליט"א</w:t>
      </w:r>
      <w:proofErr w:type="spellEnd"/>
      <w:r w:rsidRPr="00E12749">
        <w:rPr>
          <w:rFonts w:cs="David"/>
          <w:szCs w:val="24"/>
          <w:rtl/>
        </w:rPr>
        <w:t xml:space="preserve">. שלו' רב. אהובי הרב! </w:t>
      </w:r>
    </w:p>
    <w:p w:rsidR="000664A7" w:rsidRPr="00E12749" w:rsidRDefault="000664A7" w:rsidP="000664A7">
      <w:pPr>
        <w:spacing w:line="360" w:lineRule="auto"/>
        <w:ind w:left="720"/>
        <w:jc w:val="both"/>
        <w:rPr>
          <w:rFonts w:cs="David"/>
          <w:szCs w:val="24"/>
          <w:rtl/>
        </w:rPr>
      </w:pPr>
      <w:r w:rsidRPr="00E12749">
        <w:rPr>
          <w:rFonts w:cs="David"/>
          <w:szCs w:val="24"/>
          <w:rtl/>
        </w:rPr>
        <w:t xml:space="preserve">בתשובה על הערתו של ידידנו </w:t>
      </w:r>
      <w:proofErr w:type="spellStart"/>
      <w:r w:rsidRPr="00E12749">
        <w:rPr>
          <w:rFonts w:cs="David"/>
          <w:szCs w:val="24"/>
          <w:rtl/>
        </w:rPr>
        <w:t>הרא"מ</w:t>
      </w:r>
      <w:proofErr w:type="spellEnd"/>
      <w:r w:rsidRPr="00E12749">
        <w:rPr>
          <w:rFonts w:cs="David"/>
          <w:szCs w:val="24"/>
          <w:rtl/>
        </w:rPr>
        <w:t xml:space="preserve"> ליפשיץ </w:t>
      </w:r>
      <w:proofErr w:type="spellStart"/>
      <w:r w:rsidRPr="00E12749">
        <w:rPr>
          <w:rFonts w:cs="David"/>
          <w:szCs w:val="24"/>
          <w:rtl/>
        </w:rPr>
        <w:t>שליט"א</w:t>
      </w:r>
      <w:proofErr w:type="spellEnd"/>
      <w:r w:rsidRPr="00E12749">
        <w:rPr>
          <w:rFonts w:cs="David"/>
          <w:szCs w:val="24"/>
          <w:rtl/>
        </w:rPr>
        <w:t xml:space="preserve">, נגד מנהיגי </w:t>
      </w:r>
      <w:proofErr w:type="spellStart"/>
      <w:r w:rsidRPr="00E12749">
        <w:rPr>
          <w:rFonts w:cs="David"/>
          <w:szCs w:val="24"/>
          <w:rtl/>
        </w:rPr>
        <w:t>הקהק"ל</w:t>
      </w:r>
      <w:proofErr w:type="spellEnd"/>
      <w:r w:rsidRPr="00E12749">
        <w:rPr>
          <w:rFonts w:cs="David"/>
          <w:szCs w:val="24"/>
          <w:rtl/>
        </w:rPr>
        <w:t xml:space="preserve">, שדורשים להביא בכורים לטובתה, אם יש בזה משום איסור של קידוש בכורים. </w:t>
      </w:r>
    </w:p>
    <w:p w:rsidR="000664A7" w:rsidRPr="00E12749" w:rsidRDefault="000664A7" w:rsidP="000664A7">
      <w:pPr>
        <w:pStyle w:val="21"/>
        <w:rPr>
          <w:rtl/>
        </w:rPr>
      </w:pPr>
      <w:r w:rsidRPr="00E12749">
        <w:rPr>
          <w:rtl/>
        </w:rPr>
        <w:t xml:space="preserve">בהמשך דן הרב זצ"ל בשאלת איסורי הנאה בביכורים, ובשאלת מקדיש ביכורים לאחר החורבן, ומסיק: </w:t>
      </w:r>
    </w:p>
    <w:p w:rsidR="000664A7" w:rsidRPr="00E12749" w:rsidRDefault="000664A7" w:rsidP="000664A7">
      <w:pPr>
        <w:spacing w:line="360" w:lineRule="auto"/>
        <w:ind w:left="720"/>
        <w:jc w:val="both"/>
        <w:rPr>
          <w:rFonts w:cs="David"/>
          <w:szCs w:val="24"/>
          <w:rtl/>
        </w:rPr>
      </w:pPr>
      <w:r w:rsidRPr="00E12749">
        <w:rPr>
          <w:rFonts w:cs="David"/>
          <w:szCs w:val="24"/>
          <w:rtl/>
        </w:rPr>
        <w:lastRenderedPageBreak/>
        <w:t xml:space="preserve">אבל בבכורים </w:t>
      </w:r>
      <w:proofErr w:type="spellStart"/>
      <w:r w:rsidRPr="00E12749">
        <w:rPr>
          <w:rFonts w:cs="David"/>
          <w:szCs w:val="24"/>
          <w:rtl/>
        </w:rPr>
        <w:t>לקהק"ל</w:t>
      </w:r>
      <w:proofErr w:type="spellEnd"/>
      <w:r w:rsidRPr="00E12749">
        <w:rPr>
          <w:rFonts w:cs="David"/>
          <w:szCs w:val="24"/>
          <w:rtl/>
        </w:rPr>
        <w:t xml:space="preserve">, שעצם </w:t>
      </w:r>
      <w:proofErr w:type="spellStart"/>
      <w:r w:rsidRPr="00E12749">
        <w:rPr>
          <w:rFonts w:cs="David"/>
          <w:szCs w:val="24"/>
          <w:rtl/>
        </w:rPr>
        <w:t>הענין</w:t>
      </w:r>
      <w:proofErr w:type="spellEnd"/>
      <w:r w:rsidRPr="00E12749">
        <w:rPr>
          <w:rFonts w:cs="David"/>
          <w:szCs w:val="24"/>
          <w:rtl/>
        </w:rPr>
        <w:t xml:space="preserve"> מוכיח שהוא כדי לגאול את הארץ, יכול להיות שגם לכתחילה אין בזה בית מיחוש, ובפרט שלדעת </w:t>
      </w:r>
      <w:proofErr w:type="spellStart"/>
      <w:r w:rsidRPr="00E12749">
        <w:rPr>
          <w:rFonts w:cs="David"/>
          <w:szCs w:val="24"/>
          <w:rtl/>
        </w:rPr>
        <w:t>הרע"ב</w:t>
      </w:r>
      <w:proofErr w:type="spellEnd"/>
      <w:r w:rsidRPr="00E12749">
        <w:rPr>
          <w:rFonts w:cs="David"/>
          <w:szCs w:val="24"/>
          <w:rtl/>
        </w:rPr>
        <w:t xml:space="preserve"> הלא </w:t>
      </w:r>
      <w:proofErr w:type="spellStart"/>
      <w:r w:rsidRPr="00E12749">
        <w:rPr>
          <w:rFonts w:cs="David"/>
          <w:szCs w:val="24"/>
          <w:rtl/>
        </w:rPr>
        <w:t>קיי"ל</w:t>
      </w:r>
      <w:proofErr w:type="spellEnd"/>
      <w:r w:rsidRPr="00E12749">
        <w:rPr>
          <w:rFonts w:cs="David"/>
          <w:szCs w:val="24"/>
          <w:rtl/>
        </w:rPr>
        <w:t xml:space="preserve"> </w:t>
      </w:r>
      <w:proofErr w:type="spellStart"/>
      <w:r w:rsidRPr="00E12749">
        <w:rPr>
          <w:rFonts w:cs="David"/>
          <w:szCs w:val="24"/>
          <w:rtl/>
        </w:rPr>
        <w:t>כר"ש</w:t>
      </w:r>
      <w:proofErr w:type="spellEnd"/>
      <w:r w:rsidRPr="00E12749">
        <w:rPr>
          <w:rFonts w:cs="David"/>
          <w:szCs w:val="24"/>
          <w:rtl/>
        </w:rPr>
        <w:t xml:space="preserve">, ולפירושו אין חל כלל שם בכורים </w:t>
      </w:r>
      <w:proofErr w:type="spellStart"/>
      <w:r w:rsidRPr="00E12749">
        <w:rPr>
          <w:rFonts w:cs="David"/>
          <w:szCs w:val="24"/>
          <w:rtl/>
        </w:rPr>
        <w:t>בזה"ז</w:t>
      </w:r>
      <w:proofErr w:type="spellEnd"/>
      <w:r w:rsidRPr="00E12749">
        <w:rPr>
          <w:rFonts w:cs="David"/>
          <w:szCs w:val="24"/>
          <w:rtl/>
        </w:rPr>
        <w:t xml:space="preserve">, </w:t>
      </w:r>
      <w:proofErr w:type="spellStart"/>
      <w:r w:rsidRPr="00E12749">
        <w:rPr>
          <w:rFonts w:cs="David"/>
          <w:szCs w:val="24"/>
          <w:rtl/>
        </w:rPr>
        <w:t>מכח</w:t>
      </w:r>
      <w:proofErr w:type="spellEnd"/>
      <w:r w:rsidRPr="00E12749">
        <w:rPr>
          <w:rFonts w:cs="David"/>
          <w:szCs w:val="24"/>
          <w:rtl/>
        </w:rPr>
        <w:t xml:space="preserve"> </w:t>
      </w:r>
      <w:proofErr w:type="spellStart"/>
      <w:r w:rsidRPr="00E12749">
        <w:rPr>
          <w:rFonts w:cs="David"/>
          <w:szCs w:val="24"/>
          <w:rtl/>
        </w:rPr>
        <w:t>גזה"כ</w:t>
      </w:r>
      <w:proofErr w:type="spellEnd"/>
      <w:r w:rsidRPr="00E12749">
        <w:rPr>
          <w:rFonts w:cs="David"/>
          <w:szCs w:val="24"/>
          <w:rtl/>
        </w:rPr>
        <w:t xml:space="preserve"> של תביא בית ד"א. ע"כ לא מצאתי בזה מקום להקפיד כ"כ, בדיעבד, אבל מנהלי </w:t>
      </w:r>
      <w:proofErr w:type="spellStart"/>
      <w:r w:rsidRPr="00E12749">
        <w:rPr>
          <w:rFonts w:cs="David"/>
          <w:szCs w:val="24"/>
          <w:rtl/>
        </w:rPr>
        <w:t>הענינים</w:t>
      </w:r>
      <w:proofErr w:type="spellEnd"/>
      <w:r w:rsidRPr="00E12749">
        <w:rPr>
          <w:rFonts w:cs="David"/>
          <w:szCs w:val="24"/>
          <w:rtl/>
        </w:rPr>
        <w:t xml:space="preserve"> הלאומיים שלנו ראויים הם לגערה, על אשר הם נוהגים קלות ראש בכל קודש ואינם שמים לב שלפעמים יוכל איזה </w:t>
      </w:r>
      <w:proofErr w:type="spellStart"/>
      <w:r w:rsidRPr="00E12749">
        <w:rPr>
          <w:rFonts w:cs="David"/>
          <w:szCs w:val="24"/>
          <w:rtl/>
        </w:rPr>
        <w:t>בטוי</w:t>
      </w:r>
      <w:proofErr w:type="spellEnd"/>
      <w:r w:rsidRPr="00E12749">
        <w:rPr>
          <w:rFonts w:cs="David"/>
          <w:szCs w:val="24"/>
          <w:rtl/>
        </w:rPr>
        <w:t xml:space="preserve"> להביא תקלה לרבים, והי' הדבר ראוי </w:t>
      </w:r>
      <w:proofErr w:type="spellStart"/>
      <w:r w:rsidRPr="00E12749">
        <w:rPr>
          <w:rFonts w:cs="David"/>
          <w:szCs w:val="24"/>
          <w:rtl/>
        </w:rPr>
        <w:t>להעשות</w:t>
      </w:r>
      <w:proofErr w:type="spellEnd"/>
      <w:r w:rsidRPr="00E12749">
        <w:rPr>
          <w:rFonts w:cs="David"/>
          <w:szCs w:val="24"/>
          <w:rtl/>
        </w:rPr>
        <w:t xml:space="preserve"> ע"פ הוראת רבנים. </w:t>
      </w:r>
    </w:p>
    <w:p w:rsidR="000664A7" w:rsidRPr="00E12749" w:rsidRDefault="000664A7" w:rsidP="000664A7">
      <w:pPr>
        <w:pStyle w:val="af2"/>
        <w:ind w:left="0"/>
        <w:rPr>
          <w:rtl/>
        </w:rPr>
      </w:pPr>
      <w:r w:rsidRPr="00E12749">
        <w:rPr>
          <w:rtl/>
        </w:rPr>
        <w:t xml:space="preserve">לאחר זאת ממשיך הרב זצ"ל לדון בשאלת הקדשת פירות שאינם ראויים לביכורים ע"פ הסוגיה בכתובות </w:t>
      </w:r>
      <w:proofErr w:type="spellStart"/>
      <w:r w:rsidRPr="00E12749">
        <w:rPr>
          <w:rtl/>
        </w:rPr>
        <w:t>קה</w:t>
      </w:r>
      <w:proofErr w:type="spellEnd"/>
      <w:r w:rsidRPr="00E12749">
        <w:rPr>
          <w:rtl/>
        </w:rPr>
        <w:t xml:space="preserve"> ע"ב (שהובאה לעיל), ומסיים:</w:t>
      </w:r>
    </w:p>
    <w:p w:rsidR="000664A7" w:rsidRPr="00E12749" w:rsidRDefault="000664A7" w:rsidP="000664A7">
      <w:pPr>
        <w:pStyle w:val="af2"/>
        <w:rPr>
          <w:rtl/>
        </w:rPr>
      </w:pPr>
      <w:r w:rsidRPr="00E12749">
        <w:rPr>
          <w:rtl/>
        </w:rPr>
        <w:t xml:space="preserve">ומ"מ מה שאפשר בדרכי נועם למנוע </w:t>
      </w:r>
      <w:proofErr w:type="spellStart"/>
      <w:r w:rsidRPr="00E12749">
        <w:rPr>
          <w:rtl/>
        </w:rPr>
        <w:t>מבטוי</w:t>
      </w:r>
      <w:proofErr w:type="spellEnd"/>
      <w:r w:rsidRPr="00E12749">
        <w:rPr>
          <w:rtl/>
        </w:rPr>
        <w:t xml:space="preserve"> זה משום לעז, ודאי ראוי הוא והגון. </w:t>
      </w:r>
    </w:p>
    <w:p w:rsidR="000664A7" w:rsidRPr="00E12749" w:rsidRDefault="000664A7" w:rsidP="000664A7">
      <w:pPr>
        <w:pStyle w:val="21"/>
        <w:rPr>
          <w:rtl/>
        </w:rPr>
      </w:pPr>
    </w:p>
    <w:p w:rsidR="000664A7" w:rsidRPr="00E12749" w:rsidRDefault="000664A7" w:rsidP="000664A7">
      <w:pPr>
        <w:pStyle w:val="2"/>
        <w:rPr>
          <w:rtl/>
        </w:rPr>
      </w:pPr>
      <w:r w:rsidRPr="00E12749">
        <w:rPr>
          <w:rtl/>
        </w:rPr>
        <w:t>1. הזמן והתקופה-  קיום החגיגות בשבת ובחג</w:t>
      </w:r>
    </w:p>
    <w:p w:rsidR="000664A7" w:rsidRPr="00E12749" w:rsidRDefault="000664A7" w:rsidP="000664A7">
      <w:pPr>
        <w:pStyle w:val="21"/>
        <w:rPr>
          <w:rtl/>
        </w:rPr>
      </w:pPr>
      <w:r w:rsidRPr="00E12749">
        <w:rPr>
          <w:rtl/>
        </w:rPr>
        <w:t>פתיחת המכתב, תשמש בידינו  כנקודת מוצא להבנת הרקע ההיסטורי של התשובה.</w:t>
      </w:r>
      <w:r w:rsidRPr="00E12749">
        <w:rPr>
          <w:rStyle w:val="a5"/>
          <w:rtl/>
        </w:rPr>
        <w:footnoteReference w:id="15"/>
      </w:r>
      <w:r w:rsidRPr="00E12749">
        <w:rPr>
          <w:rtl/>
        </w:rPr>
        <w:t xml:space="preserve"> בשנת תרפ"ד החלו לחגוג בקיבוצי עמק יזרעאל המזרחי (עין חרוד, גבע, וכפר יחזקאל), חגיגה משותפת שנקראה: "חג הביכורים". </w:t>
      </w:r>
      <w:proofErr w:type="spellStart"/>
      <w:r w:rsidRPr="00E12749">
        <w:rPr>
          <w:rtl/>
        </w:rPr>
        <w:t>היתה</w:t>
      </w:r>
      <w:proofErr w:type="spellEnd"/>
      <w:r w:rsidRPr="00E12749">
        <w:rPr>
          <w:rtl/>
        </w:rPr>
        <w:t xml:space="preserve"> זו הדגשה אחרת לחג השבועות. הם העניקו לעבודתם החקלאית משמעות היסטורית וערכית וראו בה חידוש הקשר בין האדם היהודי לארצו, לאחר שנות הגלות הארוכות. היה זה ביטוי טקסי, סמלי ומרוכז למערכת הערכים של ההתיישבות העובדת. במשך השנים הצטרפו קיבוצים נוספים לחוג ביחד חג זה. חגיגה זו היא חלק ממכלול שלם של עיצוב מחודש של חגים מסורתיים.  </w:t>
      </w:r>
    </w:p>
    <w:p w:rsidR="000664A7" w:rsidRPr="00E12749" w:rsidRDefault="000664A7" w:rsidP="000664A7">
      <w:pPr>
        <w:spacing w:line="360" w:lineRule="auto"/>
        <w:jc w:val="both"/>
        <w:rPr>
          <w:rFonts w:cs="David"/>
          <w:szCs w:val="24"/>
          <w:rtl/>
        </w:rPr>
      </w:pPr>
      <w:r w:rsidRPr="00E12749">
        <w:rPr>
          <w:rFonts w:cs="David"/>
          <w:szCs w:val="24"/>
          <w:rtl/>
        </w:rPr>
        <w:t xml:space="preserve">חגיגות אלה התקיימו בחג השבועות או בשבתות הסמוכות לחג השבועות, והם גובו ע"י המוסדות הלאומיים, ההנהלה הציונית והקרן הקיימת לישראל. הרבנים החלו להתייחס לחגיגות אלו, לאחר השנה השלישית לקיומם של החגיגות, בשנת תרפ"ז, בשל הפומביות והפרסום שניתנה אז לחגיגה זו. בשנה זו גם נכתבה תשובתו זו של </w:t>
      </w:r>
      <w:proofErr w:type="spellStart"/>
      <w:r w:rsidRPr="00E12749">
        <w:rPr>
          <w:rFonts w:cs="David"/>
          <w:szCs w:val="24"/>
          <w:rtl/>
        </w:rPr>
        <w:t>הראי"ה</w:t>
      </w:r>
      <w:proofErr w:type="spellEnd"/>
      <w:r w:rsidRPr="00E12749">
        <w:rPr>
          <w:rFonts w:cs="David"/>
          <w:szCs w:val="24"/>
          <w:rtl/>
        </w:rPr>
        <w:t xml:space="preserve"> קוק. ההתייחסות המרכזית </w:t>
      </w:r>
      <w:proofErr w:type="spellStart"/>
      <w:r w:rsidRPr="00E12749">
        <w:rPr>
          <w:rFonts w:cs="David"/>
          <w:szCs w:val="24"/>
          <w:rtl/>
        </w:rPr>
        <w:t>היתה</w:t>
      </w:r>
      <w:proofErr w:type="spellEnd"/>
      <w:r w:rsidRPr="00E12749">
        <w:rPr>
          <w:rFonts w:cs="David"/>
          <w:szCs w:val="24"/>
          <w:rtl/>
        </w:rPr>
        <w:t xml:space="preserve"> סביב חילול השבת והחג באדמת הלאום ע"י המוסדות הלאומיים. הרבנים הראשיים, ורבנים נוספים ניסו להשפיע על החוגגים לקיים את החגיגה בימי חול, לפני החג או אחריו.</w:t>
      </w:r>
      <w:r w:rsidRPr="00E12749">
        <w:rPr>
          <w:rStyle w:val="a5"/>
          <w:rFonts w:cs="David"/>
          <w:szCs w:val="24"/>
          <w:rtl/>
        </w:rPr>
        <w:footnoteReference w:id="16"/>
      </w:r>
    </w:p>
    <w:p w:rsidR="000664A7" w:rsidRPr="00E12749" w:rsidRDefault="000664A7" w:rsidP="000664A7">
      <w:pPr>
        <w:pStyle w:val="21"/>
        <w:rPr>
          <w:rtl/>
        </w:rPr>
      </w:pPr>
      <w:r w:rsidRPr="00E12749">
        <w:rPr>
          <w:rtl/>
        </w:rPr>
        <w:t xml:space="preserve">בחודש אייר שנת תרפ"ז, סייר </w:t>
      </w:r>
      <w:proofErr w:type="spellStart"/>
      <w:r w:rsidRPr="00E12749">
        <w:rPr>
          <w:rtl/>
        </w:rPr>
        <w:t>הראי"ה</w:t>
      </w:r>
      <w:proofErr w:type="spellEnd"/>
      <w:r w:rsidRPr="00E12749">
        <w:rPr>
          <w:rtl/>
        </w:rPr>
        <w:t xml:space="preserve"> קוק </w:t>
      </w:r>
      <w:proofErr w:type="spellStart"/>
      <w:r w:rsidRPr="00E12749">
        <w:rPr>
          <w:rtl/>
        </w:rPr>
        <w:t>בישובי</w:t>
      </w:r>
      <w:proofErr w:type="spellEnd"/>
      <w:r w:rsidRPr="00E12749">
        <w:rPr>
          <w:rtl/>
        </w:rPr>
        <w:t xml:space="preserve"> העמק, עם הרב א"י הכהן בורוכוב, והרב מאיר בר אילן, ודיבר איתם אף </w:t>
      </w:r>
      <w:proofErr w:type="spellStart"/>
      <w:r w:rsidRPr="00E12749">
        <w:rPr>
          <w:rtl/>
        </w:rPr>
        <w:t>בענין</w:t>
      </w:r>
      <w:proofErr w:type="spellEnd"/>
      <w:r w:rsidRPr="00E12749">
        <w:rPr>
          <w:rtl/>
        </w:rPr>
        <w:t xml:space="preserve"> חגיגת הביכורים, אך החגיגה התקיימה בכל זאת באותה שנה בחג. הרב מאיר בר אילן, יו"ר הנהלת המזרחי, שלח בי"ז בסיון תרפ"ז, מכתב חריף </w:t>
      </w:r>
      <w:proofErr w:type="spellStart"/>
      <w:r w:rsidRPr="00E12749">
        <w:rPr>
          <w:rtl/>
        </w:rPr>
        <w:t>בענין</w:t>
      </w:r>
      <w:proofErr w:type="spellEnd"/>
      <w:r w:rsidRPr="00E12749">
        <w:rPr>
          <w:rtl/>
        </w:rPr>
        <w:t xml:space="preserve"> להנהלת קרן היסוד, להנהלת </w:t>
      </w:r>
      <w:proofErr w:type="spellStart"/>
      <w:r w:rsidRPr="00E12749">
        <w:rPr>
          <w:rtl/>
        </w:rPr>
        <w:lastRenderedPageBreak/>
        <w:t>הקק"ל</w:t>
      </w:r>
      <w:proofErr w:type="spellEnd"/>
      <w:r w:rsidRPr="00E12749">
        <w:rPr>
          <w:rtl/>
        </w:rPr>
        <w:t xml:space="preserve">, </w:t>
      </w:r>
      <w:proofErr w:type="spellStart"/>
      <w:r w:rsidRPr="00E12749">
        <w:rPr>
          <w:rtl/>
        </w:rPr>
        <w:t>לועד</w:t>
      </w:r>
      <w:proofErr w:type="spellEnd"/>
      <w:r w:rsidRPr="00E12749">
        <w:rPr>
          <w:rtl/>
        </w:rPr>
        <w:t xml:space="preserve"> הלאומי, </w:t>
      </w:r>
      <w:proofErr w:type="spellStart"/>
      <w:r w:rsidRPr="00E12749">
        <w:rPr>
          <w:rtl/>
        </w:rPr>
        <w:t>ולועד</w:t>
      </w:r>
      <w:proofErr w:type="spellEnd"/>
      <w:r w:rsidRPr="00E12749">
        <w:rPr>
          <w:rtl/>
        </w:rPr>
        <w:t xml:space="preserve"> העיר ליהודי ירושלים, בו הוא מודיע על אספת מחאה האמורה להתקיים בכ' בסיון תרפ"ז, בבית כנסת הגדול 'בית יעקב' שבחורבת ר' יהודה החסיד שברובע היהודי.</w:t>
      </w:r>
      <w:r w:rsidRPr="00E12749">
        <w:rPr>
          <w:rStyle w:val="a5"/>
          <w:rtl/>
        </w:rPr>
        <w:footnoteReference w:id="17"/>
      </w:r>
      <w:r w:rsidRPr="00E12749">
        <w:rPr>
          <w:rtl/>
        </w:rPr>
        <w:t xml:space="preserve"> באסיפה נאמו הרבנים הראשיים- </w:t>
      </w:r>
      <w:proofErr w:type="spellStart"/>
      <w:r w:rsidRPr="00E12749">
        <w:rPr>
          <w:rtl/>
        </w:rPr>
        <w:t>הראי"ה</w:t>
      </w:r>
      <w:proofErr w:type="spellEnd"/>
      <w:r w:rsidRPr="00E12749">
        <w:rPr>
          <w:rtl/>
        </w:rPr>
        <w:t xml:space="preserve"> קוק והרב יעקב מאיר, הרב מאיר בר אילן, והרב מ"ז מרגליות נשיא הכבוד של אגודת הרבנים באמריקה.</w:t>
      </w:r>
      <w:r w:rsidRPr="00E12749">
        <w:rPr>
          <w:rStyle w:val="a5"/>
          <w:rtl/>
        </w:rPr>
        <w:footnoteReference w:id="18"/>
      </w:r>
      <w:r w:rsidRPr="00E12749">
        <w:rPr>
          <w:rtl/>
        </w:rPr>
        <w:t xml:space="preserve"> באסיפה מחאה זו נתקבלו החלטות, והרב מאיר בר אילן שלח בכ"ז בסיון תרפ"ז את ההחלטות הללו, לד"ר א"ל מוצקין, יו"ר ועד הפועל הציוני, בפריז, על מנת שידונו בהם בישיבה הבאה של הועד הפועל. להלן נוסח ההחלטות:</w:t>
      </w:r>
    </w:p>
    <w:p w:rsidR="000664A7" w:rsidRPr="00E12749" w:rsidRDefault="000664A7" w:rsidP="000664A7">
      <w:pPr>
        <w:pStyle w:val="21"/>
        <w:numPr>
          <w:ilvl w:val="0"/>
          <w:numId w:val="3"/>
        </w:numPr>
        <w:rPr>
          <w:rtl/>
        </w:rPr>
      </w:pPr>
      <w:r w:rsidRPr="00E12749">
        <w:rPr>
          <w:rtl/>
        </w:rPr>
        <w:t xml:space="preserve">חילול קדושת יום טוב בחג השבועות העבר שנשנה לצערנו הגדול זו השנה </w:t>
      </w:r>
      <w:proofErr w:type="spellStart"/>
      <w:r w:rsidRPr="00E12749">
        <w:rPr>
          <w:rtl/>
        </w:rPr>
        <w:t>השניה</w:t>
      </w:r>
      <w:proofErr w:type="spellEnd"/>
      <w:r w:rsidRPr="00E12749">
        <w:rPr>
          <w:rStyle w:val="a5"/>
          <w:rtl/>
        </w:rPr>
        <w:footnoteReference w:id="19"/>
      </w:r>
      <w:r w:rsidRPr="00E12749">
        <w:rPr>
          <w:rtl/>
        </w:rPr>
        <w:t xml:space="preserve"> מאת "קבוצות" ידועות בעמק יזרעאל. למרות כל הדרישות והאזהרות שבאו נגד זה מנשיאות הרבנות הראשית לארץ ישראל ומההנהלה הציונית בארץ ישראל, פורץ פרצה גדולה בחומת הדת ובחומת בית ישראל כולו, השואף לחדש את חיו הלאומיים בצביונם המקורי בארצנו </w:t>
      </w:r>
      <w:proofErr w:type="spellStart"/>
      <w:r w:rsidRPr="00E12749">
        <w:rPr>
          <w:rtl/>
        </w:rPr>
        <w:t>בבנינה</w:t>
      </w:r>
      <w:proofErr w:type="spellEnd"/>
      <w:r w:rsidRPr="00E12749">
        <w:rPr>
          <w:rtl/>
        </w:rPr>
        <w:t>.</w:t>
      </w:r>
    </w:p>
    <w:p w:rsidR="000664A7" w:rsidRPr="00E12749" w:rsidRDefault="000664A7" w:rsidP="000664A7">
      <w:pPr>
        <w:pStyle w:val="21"/>
        <w:numPr>
          <w:ilvl w:val="0"/>
          <w:numId w:val="3"/>
        </w:numPr>
        <w:rPr>
          <w:rtl/>
        </w:rPr>
      </w:pPr>
      <w:r w:rsidRPr="00E12749">
        <w:rPr>
          <w:rtl/>
        </w:rPr>
        <w:t xml:space="preserve"> חילול הקדושה באופן פומבי בציבור שכזה ממיט חרפה על העבודה הלאומית כולה, בעלות על הדעת אשר כל הציבור </w:t>
      </w:r>
      <w:proofErr w:type="spellStart"/>
      <w:r w:rsidRPr="00E12749">
        <w:rPr>
          <w:rtl/>
        </w:rPr>
        <w:t>הישובי</w:t>
      </w:r>
      <w:proofErr w:type="spellEnd"/>
      <w:r w:rsidRPr="00E12749">
        <w:rPr>
          <w:rtl/>
        </w:rPr>
        <w:t xml:space="preserve"> בארץ ישראל  חייב בשביל המיעוט המתפרץ </w:t>
      </w:r>
      <w:proofErr w:type="spellStart"/>
      <w:r w:rsidRPr="00E12749">
        <w:rPr>
          <w:rtl/>
        </w:rPr>
        <w:t>והמהרס</w:t>
      </w:r>
      <w:proofErr w:type="spellEnd"/>
      <w:r w:rsidRPr="00E12749">
        <w:rPr>
          <w:rtl/>
        </w:rPr>
        <w:t xml:space="preserve">.   </w:t>
      </w:r>
    </w:p>
    <w:p w:rsidR="000664A7" w:rsidRPr="00E12749" w:rsidRDefault="000664A7" w:rsidP="000664A7">
      <w:pPr>
        <w:pStyle w:val="21"/>
        <w:numPr>
          <w:ilvl w:val="0"/>
          <w:numId w:val="3"/>
        </w:numPr>
        <w:rPr>
          <w:rtl/>
        </w:rPr>
      </w:pPr>
      <w:r w:rsidRPr="00E12749">
        <w:rPr>
          <w:rtl/>
        </w:rPr>
        <w:t xml:space="preserve"> חילול הקדושה הנורא הזה מעמיד בסכנה את קיום העבודה </w:t>
      </w:r>
      <w:proofErr w:type="spellStart"/>
      <w:r w:rsidRPr="00E12749">
        <w:rPr>
          <w:rtl/>
        </w:rPr>
        <w:t>הישובית</w:t>
      </w:r>
      <w:proofErr w:type="spellEnd"/>
      <w:r w:rsidRPr="00E12749">
        <w:rPr>
          <w:rtl/>
        </w:rPr>
        <w:t xml:space="preserve"> והתפתחותה מצד אחד, ואת חינוך הדור הבא המתגדל בארצנו מצד שני. </w:t>
      </w:r>
    </w:p>
    <w:p w:rsidR="000664A7" w:rsidRPr="00E12749" w:rsidRDefault="000664A7" w:rsidP="000664A7">
      <w:pPr>
        <w:pStyle w:val="21"/>
        <w:numPr>
          <w:ilvl w:val="0"/>
          <w:numId w:val="3"/>
        </w:numPr>
        <w:rPr>
          <w:rtl/>
        </w:rPr>
      </w:pPr>
      <w:r w:rsidRPr="00E12749">
        <w:rPr>
          <w:rtl/>
        </w:rPr>
        <w:t xml:space="preserve"> בשביל זה חובה גדולה וקדושה מוטלת על כל עסקני הישוב וראשי ההסתדרות הציונית המרכזית והארציות, לעצור בכל תוקף ועוז שלא יעשו עוד דברים נוראים שכאלה וכיוצא בזה ולא יתבזו הקדשים קדשי התורה והאומה על אדמת הקדש.  והקהל הנאסף דורש בכל תוקף מאת מנהיגי ההסתדרות הציונית וראשי הקרנות הלאומיות וכל חברי הקונגרס הציוני הבא לחוק חוקים ולגדור גדרים שלא יאפשרו פרצות שכאלו באיזו נקודה שהיא בארץ ישראל.</w:t>
      </w:r>
    </w:p>
    <w:p w:rsidR="000664A7" w:rsidRPr="00E12749" w:rsidRDefault="000664A7" w:rsidP="000664A7">
      <w:pPr>
        <w:pStyle w:val="21"/>
        <w:numPr>
          <w:ilvl w:val="0"/>
          <w:numId w:val="3"/>
        </w:numPr>
        <w:rPr>
          <w:rtl/>
        </w:rPr>
      </w:pPr>
      <w:r w:rsidRPr="00E12749">
        <w:rPr>
          <w:rtl/>
        </w:rPr>
        <w:t xml:space="preserve"> הקהל הנאסף מוסר את ההחלטות האלו אל המרכז העולמי של המזרחי להביאן אל המקומות הראויים, ביחוד אל הקונגרס ולהוציאן לפועל.</w:t>
      </w:r>
      <w:r w:rsidRPr="00E12749">
        <w:rPr>
          <w:rStyle w:val="a5"/>
          <w:rtl/>
        </w:rPr>
        <w:footnoteReference w:id="20"/>
      </w:r>
      <w:r w:rsidRPr="00E12749">
        <w:rPr>
          <w:rtl/>
        </w:rPr>
        <w:t xml:space="preserve"> </w:t>
      </w:r>
    </w:p>
    <w:p w:rsidR="000664A7" w:rsidRPr="00E12749" w:rsidRDefault="000664A7" w:rsidP="000664A7">
      <w:pPr>
        <w:spacing w:line="360" w:lineRule="auto"/>
        <w:jc w:val="both"/>
        <w:rPr>
          <w:rFonts w:cs="David"/>
          <w:szCs w:val="24"/>
          <w:rtl/>
        </w:rPr>
      </w:pPr>
      <w:r w:rsidRPr="00E12749">
        <w:rPr>
          <w:rFonts w:cs="David"/>
          <w:szCs w:val="24"/>
          <w:rtl/>
        </w:rPr>
        <w:t xml:space="preserve">יומיים לאחר עצרת המחאה, בכ"ב סיון תרפ"ז, </w:t>
      </w:r>
      <w:proofErr w:type="spellStart"/>
      <w:r w:rsidRPr="00E12749">
        <w:rPr>
          <w:rFonts w:cs="David"/>
          <w:szCs w:val="24"/>
          <w:rtl/>
        </w:rPr>
        <w:t>פירסם</w:t>
      </w:r>
      <w:proofErr w:type="spellEnd"/>
      <w:r w:rsidRPr="00E12749">
        <w:rPr>
          <w:rFonts w:cs="David"/>
          <w:szCs w:val="24"/>
          <w:rtl/>
        </w:rPr>
        <w:t xml:space="preserve"> הרב יהודה לייב פישמן </w:t>
      </w:r>
      <w:r w:rsidRPr="00E12749">
        <w:rPr>
          <w:rFonts w:cs="David"/>
          <w:szCs w:val="24"/>
        </w:rPr>
        <w:t>–</w:t>
      </w:r>
      <w:r w:rsidRPr="00E12749">
        <w:rPr>
          <w:rFonts w:cs="David"/>
          <w:szCs w:val="24"/>
          <w:rtl/>
        </w:rPr>
        <w:t xml:space="preserve"> מימון מאמר בעיתון </w:t>
      </w:r>
      <w:proofErr w:type="spellStart"/>
      <w:r w:rsidRPr="00E12749">
        <w:rPr>
          <w:rFonts w:cs="David"/>
          <w:szCs w:val="24"/>
          <w:rtl/>
        </w:rPr>
        <w:t>בענין</w:t>
      </w:r>
      <w:proofErr w:type="spellEnd"/>
      <w:r w:rsidRPr="00E12749">
        <w:rPr>
          <w:rFonts w:cs="David"/>
          <w:szCs w:val="24"/>
          <w:rtl/>
        </w:rPr>
        <w:t xml:space="preserve">:  </w:t>
      </w:r>
    </w:p>
    <w:p w:rsidR="000664A7" w:rsidRPr="00E12749" w:rsidRDefault="000664A7" w:rsidP="000664A7">
      <w:pPr>
        <w:spacing w:line="360" w:lineRule="auto"/>
        <w:ind w:left="720"/>
        <w:jc w:val="both"/>
        <w:rPr>
          <w:rFonts w:cs="David"/>
          <w:szCs w:val="24"/>
          <w:rtl/>
        </w:rPr>
      </w:pPr>
      <w:r w:rsidRPr="00E12749">
        <w:rPr>
          <w:rFonts w:cs="David"/>
          <w:szCs w:val="24"/>
          <w:rtl/>
        </w:rPr>
        <w:t xml:space="preserve">חוגגים הם את חג הביכורים ושמים חגי האומה לחגא. את חגם הם חוגגים ואת חגנו הם מחללים. </w:t>
      </w:r>
      <w:proofErr w:type="gramStart"/>
      <w:r w:rsidRPr="00E12749">
        <w:rPr>
          <w:rFonts w:cs="David"/>
          <w:szCs w:val="24"/>
        </w:rPr>
        <w:t>…</w:t>
      </w:r>
      <w:r w:rsidRPr="00E12749">
        <w:rPr>
          <w:rFonts w:cs="David"/>
          <w:szCs w:val="24"/>
          <w:rtl/>
        </w:rPr>
        <w:t>מנהגים כאלה בשום פנים לא תוכל כנסת ישראל לסבול אותם בימי מועד וחג.</w:t>
      </w:r>
      <w:proofErr w:type="gramEnd"/>
      <w:r w:rsidRPr="00E12749">
        <w:rPr>
          <w:rStyle w:val="a5"/>
          <w:rFonts w:cs="David"/>
          <w:szCs w:val="24"/>
          <w:rtl/>
        </w:rPr>
        <w:footnoteReference w:id="21"/>
      </w:r>
      <w:r w:rsidRPr="00E12749">
        <w:rPr>
          <w:rFonts w:cs="David"/>
          <w:szCs w:val="24"/>
          <w:rtl/>
        </w:rPr>
        <w:t xml:space="preserve"> </w:t>
      </w:r>
    </w:p>
    <w:p w:rsidR="000664A7" w:rsidRPr="00E12749" w:rsidRDefault="000664A7" w:rsidP="000664A7">
      <w:pPr>
        <w:pStyle w:val="21"/>
        <w:rPr>
          <w:rtl/>
        </w:rPr>
      </w:pPr>
      <w:r w:rsidRPr="00E12749">
        <w:rPr>
          <w:rtl/>
        </w:rPr>
        <w:t xml:space="preserve">גם הסופר ר' בנימין (ר' יהושע </w:t>
      </w:r>
      <w:proofErr w:type="spellStart"/>
      <w:r w:rsidRPr="00E12749">
        <w:rPr>
          <w:rtl/>
        </w:rPr>
        <w:t>רדלר</w:t>
      </w:r>
      <w:proofErr w:type="spellEnd"/>
      <w:r w:rsidRPr="00E12749">
        <w:rPr>
          <w:rtl/>
        </w:rPr>
        <w:t xml:space="preserve"> - פלדמן), כתב רשימה כואבת </w:t>
      </w:r>
      <w:proofErr w:type="spellStart"/>
      <w:r w:rsidRPr="00E12749">
        <w:rPr>
          <w:rtl/>
        </w:rPr>
        <w:t>בענין</w:t>
      </w:r>
      <w:proofErr w:type="spellEnd"/>
      <w:r w:rsidRPr="00E12749">
        <w:rPr>
          <w:rtl/>
        </w:rPr>
        <w:t>:</w:t>
      </w:r>
    </w:p>
    <w:p w:rsidR="000664A7" w:rsidRPr="00E12749" w:rsidRDefault="000664A7" w:rsidP="000664A7">
      <w:pPr>
        <w:spacing w:line="360" w:lineRule="auto"/>
        <w:ind w:left="720"/>
        <w:jc w:val="both"/>
        <w:rPr>
          <w:rFonts w:cs="David"/>
          <w:szCs w:val="24"/>
          <w:rtl/>
        </w:rPr>
      </w:pPr>
      <w:r w:rsidRPr="00E12749">
        <w:rPr>
          <w:rFonts w:cs="David"/>
          <w:szCs w:val="24"/>
          <w:rtl/>
        </w:rPr>
        <w:t xml:space="preserve">הן את חגי ישראל הם אמורים לחוג, חג האומה העברית, חג האדמה העברית. </w:t>
      </w:r>
      <w:proofErr w:type="gramStart"/>
      <w:r w:rsidRPr="00E12749">
        <w:rPr>
          <w:rFonts w:cs="David"/>
          <w:szCs w:val="24"/>
        </w:rPr>
        <w:t>…</w:t>
      </w:r>
      <w:r w:rsidRPr="00E12749">
        <w:rPr>
          <w:rFonts w:cs="David"/>
          <w:szCs w:val="24"/>
          <w:rtl/>
        </w:rPr>
        <w:t xml:space="preserve"> הן זה להם חפץ לשוב אל המסורת העממית.</w:t>
      </w:r>
      <w:proofErr w:type="gramEnd"/>
      <w:r w:rsidRPr="00E12749">
        <w:rPr>
          <w:rFonts w:cs="David"/>
          <w:szCs w:val="24"/>
          <w:rtl/>
        </w:rPr>
        <w:t xml:space="preserve"> והם הזרים למחצה לא שיערו </w:t>
      </w:r>
      <w:proofErr w:type="spellStart"/>
      <w:r w:rsidRPr="00E12749">
        <w:rPr>
          <w:rFonts w:cs="David"/>
          <w:szCs w:val="24"/>
          <w:rtl/>
        </w:rPr>
        <w:t>בנפשותם</w:t>
      </w:r>
      <w:proofErr w:type="spellEnd"/>
      <w:r w:rsidRPr="00E12749">
        <w:rPr>
          <w:rFonts w:cs="David"/>
          <w:szCs w:val="24"/>
          <w:rtl/>
        </w:rPr>
        <w:t xml:space="preserve"> כי </w:t>
      </w:r>
      <w:proofErr w:type="spellStart"/>
      <w:r w:rsidRPr="00E12749">
        <w:rPr>
          <w:rFonts w:cs="David"/>
          <w:szCs w:val="24"/>
          <w:rtl/>
        </w:rPr>
        <w:t>דוקא</w:t>
      </w:r>
      <w:proofErr w:type="spellEnd"/>
      <w:r w:rsidRPr="00E12749">
        <w:rPr>
          <w:rFonts w:cs="David"/>
          <w:szCs w:val="24"/>
          <w:rtl/>
        </w:rPr>
        <w:t xml:space="preserve"> בזה הם עושים </w:t>
      </w:r>
      <w:r w:rsidRPr="00E12749">
        <w:rPr>
          <w:rFonts w:cs="David"/>
          <w:szCs w:val="24"/>
          <w:rtl/>
        </w:rPr>
        <w:lastRenderedPageBreak/>
        <w:t xml:space="preserve">מסורת קדושה זו פלסתר, כי המעשה הזה הוא חיתוך </w:t>
      </w:r>
      <w:proofErr w:type="spellStart"/>
      <w:r w:rsidRPr="00E12749">
        <w:rPr>
          <w:rFonts w:cs="David"/>
          <w:szCs w:val="24"/>
          <w:rtl/>
        </w:rPr>
        <w:t>באיזמל</w:t>
      </w:r>
      <w:proofErr w:type="spellEnd"/>
      <w:r w:rsidRPr="00E12749">
        <w:rPr>
          <w:rFonts w:cs="David"/>
          <w:szCs w:val="24"/>
          <w:rtl/>
        </w:rPr>
        <w:t xml:space="preserve"> בגופו החי של העם, אשר בהכרח יתגודד ויזדעזע מעוצמת הכאב. </w:t>
      </w:r>
      <w:r w:rsidRPr="00E12749">
        <w:rPr>
          <w:rStyle w:val="a5"/>
          <w:rFonts w:cs="David"/>
          <w:szCs w:val="24"/>
          <w:rtl/>
        </w:rPr>
        <w:footnoteReference w:id="22"/>
      </w:r>
    </w:p>
    <w:p w:rsidR="000664A7" w:rsidRPr="00E12749" w:rsidRDefault="000664A7" w:rsidP="000664A7">
      <w:pPr>
        <w:spacing w:line="360" w:lineRule="auto"/>
        <w:jc w:val="both"/>
        <w:rPr>
          <w:rFonts w:cs="David"/>
          <w:szCs w:val="24"/>
          <w:rtl/>
        </w:rPr>
      </w:pPr>
      <w:r w:rsidRPr="00E12749">
        <w:rPr>
          <w:rFonts w:cs="David"/>
          <w:szCs w:val="24"/>
          <w:rtl/>
        </w:rPr>
        <w:t xml:space="preserve">המחאות הללו בשל חילול השבת והחג ע"י רבנים ואישים מרכזיים אחרים, הם באותם ימים בהם נשאל </w:t>
      </w:r>
      <w:proofErr w:type="spellStart"/>
      <w:r w:rsidRPr="00E12749">
        <w:rPr>
          <w:rFonts w:cs="David"/>
          <w:szCs w:val="24"/>
          <w:rtl/>
        </w:rPr>
        <w:t>הראי"ה</w:t>
      </w:r>
      <w:proofErr w:type="spellEnd"/>
      <w:r w:rsidRPr="00E12749">
        <w:rPr>
          <w:rFonts w:cs="David"/>
          <w:szCs w:val="24"/>
          <w:rtl/>
        </w:rPr>
        <w:t xml:space="preserve"> קוק את השאלה בדבר עצם קיומם של החגיגות הללו, בשל החשש לקדושת הפירות, ומבלי כל קשר לשאלת חילול השבת והחג. מכתבו של הרב מאיר בר אילן </w:t>
      </w:r>
      <w:proofErr w:type="spellStart"/>
      <w:r w:rsidRPr="00E12749">
        <w:rPr>
          <w:rFonts w:cs="David"/>
          <w:szCs w:val="24"/>
          <w:rtl/>
        </w:rPr>
        <w:t>לראי"ה</w:t>
      </w:r>
      <w:proofErr w:type="spellEnd"/>
      <w:r w:rsidRPr="00E12749">
        <w:rPr>
          <w:rFonts w:cs="David"/>
          <w:szCs w:val="24"/>
          <w:rtl/>
        </w:rPr>
        <w:t xml:space="preserve"> קוק, ובו שאלה משמו של הרב אליעזר מאיר ליפשיץ, שנכתבה בכ"ב סיון תרפ"ז,</w:t>
      </w:r>
      <w:r w:rsidRPr="00E12749">
        <w:rPr>
          <w:rStyle w:val="a5"/>
          <w:rFonts w:cs="David"/>
          <w:szCs w:val="24"/>
          <w:rtl/>
        </w:rPr>
        <w:footnoteReference w:id="23"/>
      </w:r>
      <w:r w:rsidRPr="00E12749">
        <w:rPr>
          <w:rFonts w:cs="David"/>
          <w:szCs w:val="24"/>
          <w:rtl/>
        </w:rPr>
        <w:t xml:space="preserve"> </w:t>
      </w:r>
      <w:proofErr w:type="spellStart"/>
      <w:r w:rsidRPr="00E12749">
        <w:rPr>
          <w:rFonts w:cs="David"/>
          <w:szCs w:val="24"/>
          <w:rtl/>
        </w:rPr>
        <w:t>והראי"ה</w:t>
      </w:r>
      <w:proofErr w:type="spellEnd"/>
      <w:r w:rsidRPr="00E12749">
        <w:rPr>
          <w:rFonts w:cs="David"/>
          <w:szCs w:val="24"/>
          <w:rtl/>
        </w:rPr>
        <w:t xml:space="preserve"> קוק השיב עליה </w:t>
      </w:r>
      <w:proofErr w:type="spellStart"/>
      <w:r w:rsidRPr="00E12749">
        <w:rPr>
          <w:rFonts w:cs="David"/>
          <w:szCs w:val="24"/>
          <w:rtl/>
        </w:rPr>
        <w:t>יומים</w:t>
      </w:r>
      <w:proofErr w:type="spellEnd"/>
      <w:r w:rsidRPr="00E12749">
        <w:rPr>
          <w:rFonts w:cs="David"/>
          <w:szCs w:val="24"/>
          <w:rtl/>
        </w:rPr>
        <w:t xml:space="preserve"> אחר כך, בכ"ד סיון תרפ"ז. עושה רושם שבמסגרת </w:t>
      </w:r>
      <w:proofErr w:type="spellStart"/>
      <w:r w:rsidRPr="00E12749">
        <w:rPr>
          <w:rFonts w:cs="David"/>
          <w:szCs w:val="24"/>
          <w:rtl/>
        </w:rPr>
        <w:t>הנסיונות</w:t>
      </w:r>
      <w:proofErr w:type="spellEnd"/>
      <w:r w:rsidRPr="00E12749">
        <w:rPr>
          <w:rFonts w:cs="David"/>
          <w:szCs w:val="24"/>
          <w:rtl/>
        </w:rPr>
        <w:t xml:space="preserve"> למנוע את חילול השבת, הועלתה שאלה עקרונית יותר על עצם </w:t>
      </w:r>
      <w:proofErr w:type="spellStart"/>
      <w:r w:rsidRPr="00E12749">
        <w:rPr>
          <w:rFonts w:cs="David"/>
          <w:szCs w:val="24"/>
          <w:rtl/>
        </w:rPr>
        <w:t>הענין</w:t>
      </w:r>
      <w:proofErr w:type="spellEnd"/>
      <w:r w:rsidRPr="00E12749">
        <w:rPr>
          <w:rFonts w:cs="David"/>
          <w:szCs w:val="24"/>
          <w:rtl/>
        </w:rPr>
        <w:t xml:space="preserve">. וכאן, באותו שבוע בו התקיימה אסיפת המחאה על חילול החג ע"י המתיישבים בעמק, משיב </w:t>
      </w:r>
      <w:proofErr w:type="spellStart"/>
      <w:r w:rsidRPr="00E12749">
        <w:rPr>
          <w:rFonts w:cs="David"/>
          <w:szCs w:val="24"/>
          <w:rtl/>
        </w:rPr>
        <w:t>הראי"ה</w:t>
      </w:r>
      <w:proofErr w:type="spellEnd"/>
      <w:r w:rsidRPr="00E12749">
        <w:rPr>
          <w:rFonts w:cs="David"/>
          <w:szCs w:val="24"/>
          <w:rtl/>
        </w:rPr>
        <w:t xml:space="preserve"> קוק תשובה </w:t>
      </w:r>
      <w:proofErr w:type="spellStart"/>
      <w:r w:rsidRPr="00E12749">
        <w:rPr>
          <w:rFonts w:cs="David"/>
          <w:szCs w:val="24"/>
          <w:rtl/>
        </w:rPr>
        <w:t>ענינית</w:t>
      </w:r>
      <w:proofErr w:type="spellEnd"/>
      <w:r w:rsidRPr="00E12749">
        <w:rPr>
          <w:rFonts w:cs="David"/>
          <w:szCs w:val="24"/>
          <w:rtl/>
        </w:rPr>
        <w:t xml:space="preserve"> לגופה של השאלה מבלי לערב זאת עם שאלת חילול החג. לא רק זאת, אלא שבמהלך התשובה הוא אף דן אותם לכף זכות באשר לקריאת השם על הביכורים, מאחר שהפירות המובאים, לא </w:t>
      </w:r>
      <w:proofErr w:type="spellStart"/>
      <w:r w:rsidRPr="00E12749">
        <w:rPr>
          <w:rFonts w:cs="David"/>
          <w:szCs w:val="24"/>
          <w:rtl/>
        </w:rPr>
        <w:t>ראוים</w:t>
      </w:r>
      <w:proofErr w:type="spellEnd"/>
      <w:r w:rsidRPr="00E12749">
        <w:rPr>
          <w:rFonts w:cs="David"/>
          <w:szCs w:val="24"/>
          <w:rtl/>
        </w:rPr>
        <w:t xml:space="preserve"> לביכורים אם הם אינם משבעת המינים. </w:t>
      </w:r>
    </w:p>
    <w:p w:rsidR="000664A7" w:rsidRPr="00E12749" w:rsidRDefault="000664A7" w:rsidP="000664A7">
      <w:pPr>
        <w:pStyle w:val="21"/>
        <w:rPr>
          <w:rtl/>
        </w:rPr>
      </w:pPr>
      <w:r w:rsidRPr="00E12749">
        <w:rPr>
          <w:rtl/>
        </w:rPr>
        <w:t xml:space="preserve">גם בשנה שאחר כך, נעשו </w:t>
      </w:r>
      <w:proofErr w:type="spellStart"/>
      <w:r w:rsidRPr="00E12749">
        <w:rPr>
          <w:rtl/>
        </w:rPr>
        <w:t>נסיונות</w:t>
      </w:r>
      <w:proofErr w:type="spellEnd"/>
      <w:r w:rsidRPr="00E12749">
        <w:rPr>
          <w:rtl/>
        </w:rPr>
        <w:t xml:space="preserve"> לשכנע את המתיישבים שלא לקיים את החגיגה בחג ובשבת (ו' בסיון חל ביום ששי),</w:t>
      </w:r>
      <w:r w:rsidRPr="00E12749">
        <w:rPr>
          <w:rStyle w:val="a5"/>
          <w:rtl/>
        </w:rPr>
        <w:footnoteReference w:id="24"/>
      </w:r>
      <w:r w:rsidRPr="00E12749">
        <w:rPr>
          <w:rtl/>
        </w:rPr>
        <w:t xml:space="preserve"> ובסופו של ענין התקיימה חגיגה תוך חילול החג. אך המאמצים והפעילויות למנוע את חילול החג במשך כל השנה הועילו ונשאו פרי, ובשנת תרפ"ט לא התקיימה החגיגה בחג אלא ביום חול.</w:t>
      </w:r>
      <w:r w:rsidRPr="00E12749">
        <w:rPr>
          <w:rStyle w:val="a5"/>
          <w:rtl/>
        </w:rPr>
        <w:footnoteReference w:id="25"/>
      </w:r>
      <w:r w:rsidRPr="00E12749">
        <w:rPr>
          <w:rtl/>
        </w:rPr>
        <w:t xml:space="preserve">  </w:t>
      </w:r>
    </w:p>
    <w:p w:rsidR="000664A7" w:rsidRPr="00E12749" w:rsidRDefault="000664A7" w:rsidP="000664A7">
      <w:pPr>
        <w:pStyle w:val="21"/>
        <w:rPr>
          <w:rtl/>
        </w:rPr>
      </w:pPr>
      <w:r w:rsidRPr="00E12749">
        <w:rPr>
          <w:rtl/>
        </w:rPr>
        <w:t xml:space="preserve">בשנת תרצ"ג שוב פונה </w:t>
      </w:r>
      <w:proofErr w:type="spellStart"/>
      <w:r w:rsidRPr="00E12749">
        <w:rPr>
          <w:rtl/>
        </w:rPr>
        <w:t>הראי"ה</w:t>
      </w:r>
      <w:proofErr w:type="spellEnd"/>
      <w:r w:rsidRPr="00E12749">
        <w:rPr>
          <w:rtl/>
        </w:rPr>
        <w:t xml:space="preserve"> קוק במכתב לאנשי נהלל </w:t>
      </w:r>
      <w:proofErr w:type="spellStart"/>
      <w:r w:rsidRPr="00E12749">
        <w:rPr>
          <w:rtl/>
        </w:rPr>
        <w:t>בענין</w:t>
      </w:r>
      <w:proofErr w:type="spellEnd"/>
      <w:r w:rsidRPr="00E12749">
        <w:rPr>
          <w:rtl/>
        </w:rPr>
        <w:t xml:space="preserve"> זה. גם כאן </w:t>
      </w:r>
      <w:proofErr w:type="spellStart"/>
      <w:r w:rsidRPr="00E12749">
        <w:rPr>
          <w:rtl/>
        </w:rPr>
        <w:t>הראי"ה</w:t>
      </w:r>
      <w:proofErr w:type="spellEnd"/>
      <w:r w:rsidRPr="00E12749">
        <w:rPr>
          <w:rtl/>
        </w:rPr>
        <w:t xml:space="preserve"> קוק מברך על עצם המפעל </w:t>
      </w:r>
      <w:proofErr w:type="spellStart"/>
      <w:r w:rsidRPr="00E12749">
        <w:rPr>
          <w:rtl/>
        </w:rPr>
        <w:t>ההתישבותי</w:t>
      </w:r>
      <w:proofErr w:type="spellEnd"/>
      <w:r w:rsidRPr="00E12749">
        <w:rPr>
          <w:rtl/>
        </w:rPr>
        <w:t xml:space="preserve">, ועל הביטוי המיוחד שהם נותנים לו בחגיגה זו, אם כי הוא מבהיר שאין אילו ביכורים ממש, ואין לחלל את השבת והחג בעבורם: </w:t>
      </w:r>
    </w:p>
    <w:p w:rsidR="000664A7" w:rsidRPr="00E12749" w:rsidRDefault="000664A7" w:rsidP="000664A7">
      <w:pPr>
        <w:spacing w:line="360" w:lineRule="auto"/>
        <w:ind w:left="720"/>
        <w:jc w:val="both"/>
        <w:rPr>
          <w:rFonts w:cs="David" w:hint="cs"/>
          <w:szCs w:val="24"/>
          <w:rtl/>
        </w:rPr>
      </w:pPr>
      <w:r w:rsidRPr="00E12749">
        <w:rPr>
          <w:rFonts w:cs="David" w:hint="cs"/>
          <w:szCs w:val="24"/>
          <w:rtl/>
        </w:rPr>
        <w:t>זכרו את התנאי היסודי שהוא ההוקרה כלפי אוצר הח</w:t>
      </w:r>
      <w:r w:rsidRPr="00E12749">
        <w:rPr>
          <w:rFonts w:cs="David"/>
          <w:szCs w:val="24"/>
          <w:rtl/>
        </w:rPr>
        <w:t>י</w:t>
      </w:r>
      <w:r w:rsidRPr="00E12749">
        <w:rPr>
          <w:rFonts w:cs="David" w:hint="cs"/>
          <w:szCs w:val="24"/>
          <w:rtl/>
        </w:rPr>
        <w:t>ים של נחלת האבות שבו גנוז הוא סוד חיינו, על כן ככל ההתלהבות הקדושה גם מפני האור הדקיק של התחיה הלאומית ההולכת ומקרנת את פנינו בם כעת, אל נא תשכחו את המקור החי המפכה לנו, את אור החיים בכל מלואו ונצחו, זאת היא קדושת המסורת קדושת התורה אשר בעבו</w:t>
      </w:r>
      <w:r w:rsidRPr="00E12749">
        <w:rPr>
          <w:rFonts w:cs="David"/>
          <w:szCs w:val="24"/>
          <w:rtl/>
        </w:rPr>
        <w:t>ר</w:t>
      </w:r>
      <w:r w:rsidRPr="00E12749">
        <w:rPr>
          <w:rFonts w:cs="David" w:hint="cs"/>
          <w:szCs w:val="24"/>
          <w:rtl/>
        </w:rPr>
        <w:t>ה באש ובמים באנו, והיא היא, אשר היא מחיה את רוחנו לעד באור חייה הנפלאים.</w:t>
      </w:r>
    </w:p>
    <w:p w:rsidR="000664A7" w:rsidRPr="00E12749" w:rsidRDefault="000664A7" w:rsidP="000664A7">
      <w:pPr>
        <w:spacing w:line="360" w:lineRule="auto"/>
        <w:ind w:left="720"/>
        <w:jc w:val="both"/>
        <w:rPr>
          <w:rFonts w:cs="David" w:hint="cs"/>
          <w:szCs w:val="24"/>
          <w:rtl/>
        </w:rPr>
      </w:pPr>
      <w:r w:rsidRPr="00E12749">
        <w:rPr>
          <w:rFonts w:cs="David" w:hint="cs"/>
          <w:szCs w:val="24"/>
          <w:rtl/>
        </w:rPr>
        <w:t xml:space="preserve">ובשביל כך כבר הוסכם והונהג שהכינוס וכל עניני החגיגה השייכים לזה לא יהיו ביום טוב עצמו כי אם ביום אסרו חג וחלילה לשנות מזה, שלא להביא חילול יום החג הקדוש ע"י הזכר הנכבד הזה. ואל נא תחללו חלילה את היום הקדוש, יום הבכורים, שהוא ג"כ </w:t>
      </w:r>
      <w:r w:rsidRPr="00E12749">
        <w:rPr>
          <w:rFonts w:cs="David"/>
          <w:szCs w:val="24"/>
          <w:rtl/>
        </w:rPr>
        <w:t>זמ</w:t>
      </w:r>
      <w:r w:rsidRPr="00E12749">
        <w:rPr>
          <w:rFonts w:cs="David" w:hint="cs"/>
          <w:szCs w:val="24"/>
          <w:rtl/>
        </w:rPr>
        <w:t>ן מתן תורתנו, במלאכת עבודה האסורה</w:t>
      </w:r>
      <w:r w:rsidRPr="00E12749">
        <w:rPr>
          <w:rFonts w:cs="David"/>
          <w:szCs w:val="24"/>
          <w:rtl/>
        </w:rPr>
        <w:t>.</w:t>
      </w:r>
      <w:r w:rsidRPr="00E12749">
        <w:rPr>
          <w:rFonts w:cs="David" w:hint="cs"/>
          <w:szCs w:val="24"/>
          <w:rtl/>
        </w:rPr>
        <w:t xml:space="preserve"> התעוררו ובאו והרנינו לאות התחלת מפעלי חיי האומה על ארץ יר</w:t>
      </w:r>
      <w:r w:rsidRPr="00E12749">
        <w:rPr>
          <w:rFonts w:cs="David"/>
          <w:szCs w:val="24"/>
          <w:rtl/>
        </w:rPr>
        <w:t xml:space="preserve">ושתה </w:t>
      </w:r>
      <w:r w:rsidRPr="00E12749">
        <w:rPr>
          <w:rFonts w:cs="David" w:hint="cs"/>
          <w:szCs w:val="24"/>
          <w:rtl/>
        </w:rPr>
        <w:t>הנצחית והקדישו את אשר יקדשו כל עם ישראל הגוי כולו, שומר האמונים ונוצר חיי העם לדורות עולמים</w:t>
      </w:r>
      <w:r w:rsidRPr="00E12749">
        <w:rPr>
          <w:rFonts w:cs="David"/>
          <w:szCs w:val="24"/>
          <w:rtl/>
        </w:rPr>
        <w:t>.</w:t>
      </w:r>
      <w:r w:rsidRPr="00E12749">
        <w:rPr>
          <w:rFonts w:cs="David" w:hint="cs"/>
          <w:szCs w:val="24"/>
          <w:rtl/>
        </w:rPr>
        <w:t xml:space="preserve"> הכינו בשביל </w:t>
      </w:r>
      <w:r w:rsidRPr="00E12749">
        <w:rPr>
          <w:rFonts w:cs="David"/>
          <w:szCs w:val="24"/>
          <w:rtl/>
        </w:rPr>
        <w:t xml:space="preserve">יום החגיגה של זכר הביכורים שיהיה ביום אסרו חג אחר חצות היום, ואת אשר דרושים להכין לפני החג הקדוש או אחריו, אבל יום החג הקדוש יום הביכורים </w:t>
      </w:r>
      <w:r w:rsidRPr="00E12749">
        <w:rPr>
          <w:rFonts w:cs="David" w:hint="cs"/>
          <w:szCs w:val="24"/>
          <w:rtl/>
        </w:rPr>
        <w:t>עצמו יהיה ל</w:t>
      </w:r>
      <w:r w:rsidRPr="00E12749">
        <w:rPr>
          <w:rFonts w:cs="David"/>
          <w:szCs w:val="24"/>
          <w:rtl/>
        </w:rPr>
        <w:t>כ</w:t>
      </w:r>
      <w:r w:rsidRPr="00E12749">
        <w:rPr>
          <w:rFonts w:cs="David" w:hint="cs"/>
          <w:szCs w:val="24"/>
          <w:rtl/>
        </w:rPr>
        <w:t>ם, כמו לכל ישראל</w:t>
      </w:r>
      <w:r w:rsidRPr="00E12749">
        <w:rPr>
          <w:rFonts w:cs="David"/>
          <w:szCs w:val="24"/>
          <w:rtl/>
        </w:rPr>
        <w:t xml:space="preserve">, </w:t>
      </w:r>
      <w:r w:rsidRPr="00E12749">
        <w:rPr>
          <w:rFonts w:cs="David" w:hint="cs"/>
          <w:szCs w:val="24"/>
          <w:rtl/>
        </w:rPr>
        <w:t>שבתון מקרא קודש וחדו</w:t>
      </w:r>
      <w:r w:rsidRPr="00E12749">
        <w:rPr>
          <w:rFonts w:cs="David"/>
          <w:szCs w:val="24"/>
          <w:rtl/>
        </w:rPr>
        <w:t>ו</w:t>
      </w:r>
      <w:r w:rsidRPr="00E12749">
        <w:rPr>
          <w:rFonts w:cs="David" w:hint="cs"/>
          <w:szCs w:val="24"/>
          <w:rtl/>
        </w:rPr>
        <w:t xml:space="preserve">ת ד' </w:t>
      </w:r>
      <w:r w:rsidRPr="00E12749">
        <w:rPr>
          <w:rFonts w:cs="David"/>
          <w:szCs w:val="24"/>
          <w:rtl/>
        </w:rPr>
        <w:t>י</w:t>
      </w:r>
      <w:r w:rsidRPr="00E12749">
        <w:rPr>
          <w:rFonts w:cs="David" w:hint="cs"/>
          <w:szCs w:val="24"/>
          <w:rtl/>
        </w:rPr>
        <w:t xml:space="preserve">היה מעוזכם. בטוח אני שבזה </w:t>
      </w:r>
      <w:r w:rsidRPr="00E12749">
        <w:rPr>
          <w:rFonts w:cs="David"/>
          <w:szCs w:val="24"/>
          <w:rtl/>
        </w:rPr>
        <w:t>י</w:t>
      </w:r>
      <w:r w:rsidRPr="00E12749">
        <w:rPr>
          <w:rFonts w:cs="David" w:hint="cs"/>
          <w:szCs w:val="24"/>
          <w:rtl/>
        </w:rPr>
        <w:t xml:space="preserve">גדל כבודנו </w:t>
      </w:r>
      <w:r w:rsidRPr="00E12749">
        <w:rPr>
          <w:rFonts w:cs="David" w:hint="cs"/>
          <w:szCs w:val="24"/>
          <w:rtl/>
        </w:rPr>
        <w:lastRenderedPageBreak/>
        <w:t>ויחזק רוחנו ללכת בצעדי און לקראת המעלה העומדת אחר כתלנו שהיא צפייתנו הדורית של העתיד הגדול לעמנו, שהנביאים העומדים לאור עמים ממנו יצאו, ובטוחים אנו שגם לעתיד תהיה ארצנו ארץ החזון הגדול לאושר האדם גם אחרי נפלו.</w:t>
      </w:r>
      <w:r w:rsidRPr="00E12749">
        <w:rPr>
          <w:rStyle w:val="a5"/>
          <w:rFonts w:cs="David"/>
          <w:szCs w:val="24"/>
          <w:rtl/>
        </w:rPr>
        <w:footnoteReference w:id="26"/>
      </w:r>
    </w:p>
    <w:p w:rsidR="000664A7" w:rsidRPr="00E12749" w:rsidRDefault="000664A7" w:rsidP="000664A7">
      <w:pPr>
        <w:spacing w:line="360" w:lineRule="auto"/>
        <w:jc w:val="both"/>
        <w:rPr>
          <w:rFonts w:cs="David"/>
          <w:szCs w:val="24"/>
          <w:rtl/>
        </w:rPr>
      </w:pPr>
      <w:r w:rsidRPr="00E12749">
        <w:rPr>
          <w:rFonts w:cs="David"/>
          <w:szCs w:val="24"/>
          <w:rtl/>
        </w:rPr>
        <w:t xml:space="preserve">נוסיף עוד, שאת בכורי שבעת המינים לא הביאו במקדש, בשבת וביום טוב. </w:t>
      </w:r>
      <w:proofErr w:type="spellStart"/>
      <w:r w:rsidRPr="00E12749">
        <w:rPr>
          <w:rFonts w:cs="David"/>
          <w:szCs w:val="24"/>
          <w:rtl/>
        </w:rPr>
        <w:t>בתוס</w:t>
      </w:r>
      <w:proofErr w:type="spellEnd"/>
      <w:r w:rsidRPr="00E12749">
        <w:rPr>
          <w:rFonts w:cs="David"/>
          <w:szCs w:val="24"/>
          <w:rtl/>
        </w:rPr>
        <w:t xml:space="preserve">' </w:t>
      </w:r>
      <w:proofErr w:type="spellStart"/>
      <w:r w:rsidRPr="00E12749">
        <w:rPr>
          <w:rFonts w:cs="David"/>
          <w:szCs w:val="24"/>
          <w:rtl/>
        </w:rPr>
        <w:t>שאנץ</w:t>
      </w:r>
      <w:proofErr w:type="spellEnd"/>
      <w:r w:rsidRPr="00E12749">
        <w:rPr>
          <w:rFonts w:cs="David"/>
          <w:szCs w:val="24"/>
          <w:rtl/>
        </w:rPr>
        <w:t xml:space="preserve"> לבכורות </w:t>
      </w:r>
      <w:proofErr w:type="spellStart"/>
      <w:r w:rsidRPr="00E12749">
        <w:rPr>
          <w:rFonts w:cs="David"/>
          <w:szCs w:val="24"/>
          <w:rtl/>
        </w:rPr>
        <w:t>כו</w:t>
      </w:r>
      <w:proofErr w:type="spellEnd"/>
      <w:r w:rsidRPr="00E12749">
        <w:rPr>
          <w:rFonts w:cs="David"/>
          <w:szCs w:val="24"/>
          <w:rtl/>
        </w:rPr>
        <w:t xml:space="preserve"> ע"ב כותב: "וי"ל </w:t>
      </w:r>
      <w:proofErr w:type="spellStart"/>
      <w:r w:rsidRPr="00E12749">
        <w:rPr>
          <w:rFonts w:cs="David"/>
          <w:szCs w:val="24"/>
          <w:rtl/>
        </w:rPr>
        <w:t>דבכורי</w:t>
      </w:r>
      <w:proofErr w:type="spellEnd"/>
      <w:r w:rsidRPr="00E12749">
        <w:rPr>
          <w:rFonts w:cs="David"/>
          <w:szCs w:val="24"/>
          <w:rtl/>
        </w:rPr>
        <w:t xml:space="preserve"> יחיד לא </w:t>
      </w:r>
      <w:proofErr w:type="spellStart"/>
      <w:r w:rsidRPr="00E12749">
        <w:rPr>
          <w:rFonts w:cs="David"/>
          <w:szCs w:val="24"/>
          <w:rtl/>
        </w:rPr>
        <w:t>מייתי</w:t>
      </w:r>
      <w:proofErr w:type="spellEnd"/>
      <w:r w:rsidRPr="00E12749">
        <w:rPr>
          <w:rFonts w:cs="David"/>
          <w:szCs w:val="24"/>
          <w:rtl/>
        </w:rPr>
        <w:t xml:space="preserve"> עד לאחר עצרת". וכך כותב בשמו בשיטה מקובצת שם. </w:t>
      </w:r>
      <w:proofErr w:type="spellStart"/>
      <w:r w:rsidRPr="00E12749">
        <w:rPr>
          <w:rFonts w:cs="David"/>
          <w:szCs w:val="24"/>
          <w:rtl/>
        </w:rPr>
        <w:t>המהרי"ט</w:t>
      </w:r>
      <w:proofErr w:type="spellEnd"/>
      <w:r w:rsidRPr="00E12749">
        <w:rPr>
          <w:rFonts w:cs="David"/>
          <w:szCs w:val="24"/>
          <w:rtl/>
        </w:rPr>
        <w:t xml:space="preserve"> </w:t>
      </w:r>
      <w:proofErr w:type="spellStart"/>
      <w:r w:rsidRPr="00E12749">
        <w:rPr>
          <w:rFonts w:cs="David"/>
          <w:szCs w:val="24"/>
          <w:rtl/>
        </w:rPr>
        <w:t>אלגאזי</w:t>
      </w:r>
      <w:proofErr w:type="spellEnd"/>
      <w:r w:rsidRPr="00E12749">
        <w:rPr>
          <w:rFonts w:cs="David"/>
          <w:szCs w:val="24"/>
          <w:rtl/>
        </w:rPr>
        <w:t xml:space="preserve"> בבכורות שם כותב, שסיבת הדבר היא שיחד עם הביכורים צריך להביא קרבן, ואמנם אם לא הביא קרבן אין מעכבים בעדו, אך מכל מקום כשלא ניתן להביא את הקרבן, אין מביאים לכתחילה גם את הביכורים. </w:t>
      </w:r>
      <w:proofErr w:type="spellStart"/>
      <w:r w:rsidRPr="00E12749">
        <w:rPr>
          <w:rFonts w:cs="David"/>
          <w:szCs w:val="24"/>
          <w:rtl/>
        </w:rPr>
        <w:t>ומכיון</w:t>
      </w:r>
      <w:proofErr w:type="spellEnd"/>
      <w:r w:rsidRPr="00E12749">
        <w:rPr>
          <w:rFonts w:cs="David"/>
          <w:szCs w:val="24"/>
          <w:rtl/>
        </w:rPr>
        <w:t xml:space="preserve"> שקרבן זה הוא כנדרים ונדבות </w:t>
      </w:r>
      <w:r w:rsidRPr="00E12749">
        <w:rPr>
          <w:rStyle w:val="a7"/>
          <w:rtl/>
        </w:rPr>
        <w:t>(שהרי אינו מעכב)</w:t>
      </w:r>
      <w:r w:rsidRPr="00E12749">
        <w:rPr>
          <w:rFonts w:cs="David"/>
          <w:szCs w:val="24"/>
          <w:rtl/>
        </w:rPr>
        <w:t xml:space="preserve">, לכן קרבן זה אינו קרב ביום טוב, כי אין מביאים קרבנות יחיד בשבת וביום טוב. המנחת חינוך </w:t>
      </w:r>
      <w:proofErr w:type="spellStart"/>
      <w:r w:rsidRPr="00E12749">
        <w:rPr>
          <w:rFonts w:cs="David"/>
          <w:szCs w:val="24"/>
          <w:rtl/>
        </w:rPr>
        <w:t>במצוה</w:t>
      </w:r>
      <w:proofErr w:type="spellEnd"/>
      <w:r w:rsidRPr="00E12749">
        <w:rPr>
          <w:rFonts w:cs="David"/>
          <w:szCs w:val="24"/>
          <w:rtl/>
        </w:rPr>
        <w:t xml:space="preserve"> </w:t>
      </w:r>
      <w:proofErr w:type="spellStart"/>
      <w:r w:rsidRPr="00E12749">
        <w:rPr>
          <w:rFonts w:cs="David"/>
          <w:szCs w:val="24"/>
          <w:rtl/>
        </w:rPr>
        <w:t>יח</w:t>
      </w:r>
      <w:proofErr w:type="spellEnd"/>
      <w:r w:rsidRPr="00E12749">
        <w:rPr>
          <w:rFonts w:cs="David"/>
          <w:szCs w:val="24"/>
          <w:rtl/>
        </w:rPr>
        <w:t xml:space="preserve">, ג (וכן </w:t>
      </w:r>
      <w:proofErr w:type="spellStart"/>
      <w:r w:rsidRPr="00E12749">
        <w:rPr>
          <w:rFonts w:cs="David"/>
          <w:szCs w:val="24"/>
          <w:rtl/>
        </w:rPr>
        <w:t>במצוה</w:t>
      </w:r>
      <w:proofErr w:type="spellEnd"/>
      <w:r w:rsidRPr="00E12749">
        <w:rPr>
          <w:rFonts w:cs="David"/>
          <w:szCs w:val="24"/>
          <w:rtl/>
        </w:rPr>
        <w:t xml:space="preserve"> צא, י, </w:t>
      </w:r>
      <w:proofErr w:type="spellStart"/>
      <w:r w:rsidRPr="00E12749">
        <w:rPr>
          <w:rFonts w:cs="David"/>
          <w:szCs w:val="24"/>
          <w:rtl/>
        </w:rPr>
        <w:t>ובמצוה</w:t>
      </w:r>
      <w:proofErr w:type="spellEnd"/>
      <w:r w:rsidRPr="00E12749">
        <w:rPr>
          <w:rFonts w:cs="David"/>
          <w:szCs w:val="24"/>
          <w:rtl/>
        </w:rPr>
        <w:t xml:space="preserve"> </w:t>
      </w:r>
      <w:proofErr w:type="spellStart"/>
      <w:r w:rsidRPr="00E12749">
        <w:rPr>
          <w:rFonts w:cs="David"/>
          <w:szCs w:val="24"/>
          <w:rtl/>
        </w:rPr>
        <w:t>שז</w:t>
      </w:r>
      <w:proofErr w:type="spellEnd"/>
      <w:r w:rsidRPr="00E12749">
        <w:rPr>
          <w:rFonts w:cs="David"/>
          <w:szCs w:val="24"/>
          <w:rtl/>
        </w:rPr>
        <w:t xml:space="preserve">, יז) מעיר על דברי </w:t>
      </w:r>
      <w:proofErr w:type="spellStart"/>
      <w:r w:rsidRPr="00E12749">
        <w:rPr>
          <w:rFonts w:cs="David"/>
          <w:szCs w:val="24"/>
          <w:rtl/>
        </w:rPr>
        <w:t>המהרי"ט</w:t>
      </w:r>
      <w:proofErr w:type="spellEnd"/>
      <w:r w:rsidRPr="00E12749">
        <w:rPr>
          <w:rFonts w:cs="David"/>
          <w:szCs w:val="24"/>
          <w:rtl/>
        </w:rPr>
        <w:t xml:space="preserve"> </w:t>
      </w:r>
      <w:proofErr w:type="spellStart"/>
      <w:r w:rsidRPr="00E12749">
        <w:rPr>
          <w:rFonts w:cs="David"/>
          <w:szCs w:val="24"/>
          <w:rtl/>
        </w:rPr>
        <w:t>אלגאזי</w:t>
      </w:r>
      <w:proofErr w:type="spellEnd"/>
      <w:r w:rsidRPr="00E12749">
        <w:rPr>
          <w:rFonts w:cs="David"/>
          <w:szCs w:val="24"/>
          <w:rtl/>
        </w:rPr>
        <w:t xml:space="preserve"> הללו וכותב שניתן להביא קרבן זה ביום טוב כיון שהוא נקרא שמחה, ויוצא משום שמחת יום טוב. אמנם גם הוא מסכים שכשחל יום טוב בשבת לא היו מביאים ביכורים.  שאלת חילול השבת והחג לא נפתרה, ועד היום נהוג במספר קיבוצים לקיים את חגיגות ביכורים. </w:t>
      </w:r>
    </w:p>
    <w:p w:rsidR="000664A7" w:rsidRPr="00E12749" w:rsidRDefault="000664A7" w:rsidP="000664A7">
      <w:pPr>
        <w:pStyle w:val="21"/>
        <w:rPr>
          <w:rtl/>
        </w:rPr>
      </w:pPr>
    </w:p>
    <w:p w:rsidR="000664A7" w:rsidRPr="00E12749" w:rsidRDefault="000664A7" w:rsidP="000664A7">
      <w:pPr>
        <w:pStyle w:val="21"/>
        <w:rPr>
          <w:b/>
          <w:bCs/>
          <w:rtl/>
        </w:rPr>
      </w:pPr>
      <w:r w:rsidRPr="00E12749">
        <w:rPr>
          <w:b/>
          <w:bCs/>
          <w:sz w:val="22"/>
          <w:szCs w:val="26"/>
          <w:rtl/>
        </w:rPr>
        <w:t>2. את האדמה אשר נתת לי</w:t>
      </w:r>
    </w:p>
    <w:p w:rsidR="000664A7" w:rsidRPr="00E12749" w:rsidRDefault="000664A7" w:rsidP="000664A7">
      <w:pPr>
        <w:pStyle w:val="21"/>
        <w:rPr>
          <w:rtl/>
        </w:rPr>
      </w:pPr>
      <w:r w:rsidRPr="00E12749">
        <w:rPr>
          <w:rtl/>
        </w:rPr>
        <w:t>את הפירות שהובאו כביכורים, הקדישו לטובת הקרן הקיימת. היה בחגיגה זו רצון להצביע על הישגי ההתיישבות העובדת בתחום החקלאות.</w:t>
      </w:r>
    </w:p>
    <w:p w:rsidR="000664A7" w:rsidRPr="00E12749" w:rsidRDefault="000664A7" w:rsidP="000664A7">
      <w:pPr>
        <w:pStyle w:val="21"/>
        <w:rPr>
          <w:rtl/>
        </w:rPr>
      </w:pPr>
      <w:r w:rsidRPr="00E12749">
        <w:rPr>
          <w:rtl/>
        </w:rPr>
        <w:t xml:space="preserve">חגיגה שכזו, יש בה ניגוד מה למגמתה של התורה </w:t>
      </w:r>
      <w:proofErr w:type="spellStart"/>
      <w:r w:rsidRPr="00E12749">
        <w:rPr>
          <w:rtl/>
        </w:rPr>
        <w:t>במצוה</w:t>
      </w:r>
      <w:proofErr w:type="spellEnd"/>
      <w:r w:rsidRPr="00E12749">
        <w:rPr>
          <w:rtl/>
        </w:rPr>
        <w:t xml:space="preserve"> זו. </w:t>
      </w:r>
      <w:r w:rsidRPr="00E12749">
        <w:rPr>
          <w:snapToGrid w:val="0"/>
          <w:rtl/>
        </w:rPr>
        <w:t>ה</w:t>
      </w:r>
      <w:r w:rsidRPr="00E12749">
        <w:rPr>
          <w:rFonts w:hint="cs"/>
          <w:rtl/>
        </w:rPr>
        <w:t xml:space="preserve">רמב"ם </w:t>
      </w:r>
      <w:r w:rsidRPr="00E12749">
        <w:rPr>
          <w:rtl/>
        </w:rPr>
        <w:t>מ</w:t>
      </w:r>
      <w:r w:rsidRPr="00E12749">
        <w:rPr>
          <w:rFonts w:hint="cs"/>
          <w:rtl/>
        </w:rPr>
        <w:t>ו</w:t>
      </w:r>
      <w:r w:rsidRPr="00E12749">
        <w:rPr>
          <w:rtl/>
        </w:rPr>
        <w:t xml:space="preserve">רה </w:t>
      </w:r>
      <w:r w:rsidRPr="00E12749">
        <w:rPr>
          <w:rFonts w:hint="cs"/>
          <w:rtl/>
        </w:rPr>
        <w:t>נ</w:t>
      </w:r>
      <w:r w:rsidRPr="00E12749">
        <w:rPr>
          <w:rtl/>
        </w:rPr>
        <w:t xml:space="preserve">בוכים </w:t>
      </w:r>
      <w:r w:rsidRPr="00E12749">
        <w:rPr>
          <w:rFonts w:hint="cs"/>
          <w:rtl/>
        </w:rPr>
        <w:t>ג</w:t>
      </w:r>
      <w:r w:rsidRPr="00E12749">
        <w:rPr>
          <w:rtl/>
        </w:rPr>
        <w:t>,</w:t>
      </w:r>
      <w:r w:rsidRPr="00E12749">
        <w:rPr>
          <w:rFonts w:hint="cs"/>
          <w:rtl/>
        </w:rPr>
        <w:t xml:space="preserve"> לט</w:t>
      </w:r>
      <w:r w:rsidRPr="00E12749">
        <w:rPr>
          <w:rtl/>
        </w:rPr>
        <w:t xml:space="preserve"> כותב:</w:t>
      </w:r>
    </w:p>
    <w:p w:rsidR="000664A7" w:rsidRPr="00E12749" w:rsidRDefault="000664A7" w:rsidP="000664A7">
      <w:pPr>
        <w:spacing w:line="360" w:lineRule="auto"/>
        <w:ind w:left="720"/>
        <w:jc w:val="both"/>
        <w:rPr>
          <w:rFonts w:cs="David" w:hint="cs"/>
          <w:szCs w:val="24"/>
          <w:rtl/>
        </w:rPr>
      </w:pPr>
      <w:r w:rsidRPr="00E12749">
        <w:rPr>
          <w:rFonts w:cs="David" w:hint="cs"/>
          <w:szCs w:val="24"/>
          <w:rtl/>
        </w:rPr>
        <w:t>אבל 'מקרא ביכורים' יש בו מדת ענוה גם כן, שהוא לוקח סל על כתפיו ומודיע חסדי הא-</w:t>
      </w:r>
      <w:proofErr w:type="spellStart"/>
      <w:r w:rsidRPr="00E12749">
        <w:rPr>
          <w:rFonts w:cs="David" w:hint="cs"/>
          <w:szCs w:val="24"/>
          <w:rtl/>
        </w:rPr>
        <w:t>לוה</w:t>
      </w:r>
      <w:proofErr w:type="spellEnd"/>
      <w:r w:rsidRPr="00E12749">
        <w:rPr>
          <w:rFonts w:cs="David" w:hint="cs"/>
          <w:szCs w:val="24"/>
          <w:rtl/>
        </w:rPr>
        <w:t xml:space="preserve"> </w:t>
      </w:r>
      <w:proofErr w:type="spellStart"/>
      <w:r w:rsidRPr="00E12749">
        <w:rPr>
          <w:rFonts w:cs="David" w:hint="cs"/>
          <w:szCs w:val="24"/>
          <w:rtl/>
        </w:rPr>
        <w:t>וגמולותיו</w:t>
      </w:r>
      <w:proofErr w:type="spellEnd"/>
      <w:r w:rsidRPr="00E12749">
        <w:rPr>
          <w:rFonts w:cs="David" w:hint="cs"/>
          <w:szCs w:val="24"/>
          <w:rtl/>
        </w:rPr>
        <w:t>, להודיע לבני אדם - שמעבודת הא-</w:t>
      </w:r>
      <w:proofErr w:type="spellStart"/>
      <w:r w:rsidRPr="00E12749">
        <w:rPr>
          <w:rFonts w:cs="David" w:hint="cs"/>
          <w:szCs w:val="24"/>
          <w:rtl/>
        </w:rPr>
        <w:t>לוה</w:t>
      </w:r>
      <w:proofErr w:type="spellEnd"/>
      <w:r w:rsidRPr="00E12749">
        <w:rPr>
          <w:rFonts w:cs="David" w:hint="cs"/>
          <w:szCs w:val="24"/>
          <w:rtl/>
        </w:rPr>
        <w:t xml:space="preserve"> הוא שיזכור </w:t>
      </w:r>
      <w:proofErr w:type="spellStart"/>
      <w:r w:rsidRPr="00E12749">
        <w:rPr>
          <w:rFonts w:cs="David" w:hint="cs"/>
          <w:szCs w:val="24"/>
          <w:rtl/>
        </w:rPr>
        <w:t>עיתות</w:t>
      </w:r>
      <w:proofErr w:type="spellEnd"/>
      <w:r w:rsidRPr="00E12749">
        <w:rPr>
          <w:rFonts w:cs="David" w:hint="cs"/>
          <w:szCs w:val="24"/>
          <w:rtl/>
        </w:rPr>
        <w:t xml:space="preserve"> צרתו ועניני מצוקותיו כשירחיב לו הא-</w:t>
      </w:r>
      <w:proofErr w:type="spellStart"/>
      <w:r w:rsidRPr="00E12749">
        <w:rPr>
          <w:rFonts w:cs="David" w:hint="cs"/>
          <w:szCs w:val="24"/>
          <w:rtl/>
        </w:rPr>
        <w:t>לוה</w:t>
      </w:r>
      <w:proofErr w:type="spellEnd"/>
      <w:r w:rsidRPr="00E12749">
        <w:rPr>
          <w:rFonts w:cs="David" w:hint="cs"/>
          <w:szCs w:val="24"/>
          <w:rtl/>
        </w:rPr>
        <w:t xml:space="preserve">. וזאת </w:t>
      </w:r>
      <w:proofErr w:type="spellStart"/>
      <w:r w:rsidRPr="00E12749">
        <w:rPr>
          <w:rFonts w:cs="David" w:hint="cs"/>
          <w:szCs w:val="24"/>
          <w:rtl/>
        </w:rPr>
        <w:t>הכונה</w:t>
      </w:r>
      <w:proofErr w:type="spellEnd"/>
      <w:r w:rsidRPr="00E12749">
        <w:rPr>
          <w:rFonts w:cs="David" w:hint="cs"/>
          <w:szCs w:val="24"/>
          <w:rtl/>
        </w:rPr>
        <w:t xml:space="preserve"> חיזקה אותה ה'תורה' במקומות רבים: "וזכרת כי עבד היית וגו'" - מפני שפחד מן המידות המפורסמות לכל מי שגדל בעושר ונחת - רצוני לומר: הבעיטה, </w:t>
      </w:r>
      <w:proofErr w:type="spellStart"/>
      <w:r w:rsidRPr="00E12749">
        <w:rPr>
          <w:rFonts w:cs="David" w:hint="cs"/>
          <w:szCs w:val="24"/>
          <w:rtl/>
        </w:rPr>
        <w:t>והגאוה</w:t>
      </w:r>
      <w:proofErr w:type="spellEnd"/>
      <w:r w:rsidRPr="00E12749">
        <w:rPr>
          <w:rFonts w:cs="David" w:hint="cs"/>
          <w:szCs w:val="24"/>
          <w:rtl/>
        </w:rPr>
        <w:t xml:space="preserve">, ועזיבת הדעות </w:t>
      </w:r>
      <w:proofErr w:type="spellStart"/>
      <w:r w:rsidRPr="00E12749">
        <w:rPr>
          <w:rFonts w:cs="David" w:hint="cs"/>
          <w:szCs w:val="24"/>
          <w:rtl/>
        </w:rPr>
        <w:t>האמיתיות</w:t>
      </w:r>
      <w:proofErr w:type="spellEnd"/>
      <w:r w:rsidRPr="00E12749">
        <w:rPr>
          <w:rFonts w:cs="David" w:hint="cs"/>
          <w:szCs w:val="24"/>
          <w:rtl/>
        </w:rPr>
        <w:t xml:space="preserve"> - "פן תאכל ושבעת ובתים</w:t>
      </w:r>
      <w:r w:rsidRPr="00E12749">
        <w:rPr>
          <w:rFonts w:cs="David"/>
          <w:szCs w:val="24"/>
          <w:rtl/>
        </w:rPr>
        <w:t>"</w:t>
      </w:r>
      <w:r w:rsidRPr="00E12749">
        <w:rPr>
          <w:rFonts w:cs="David" w:hint="cs"/>
          <w:szCs w:val="24"/>
          <w:rtl/>
        </w:rPr>
        <w:t xml:space="preserve"> </w:t>
      </w:r>
      <w:r w:rsidRPr="00E12749">
        <w:rPr>
          <w:rFonts w:cs="David"/>
          <w:szCs w:val="24"/>
          <w:rtl/>
        </w:rPr>
        <w:t xml:space="preserve">(דברים ח, </w:t>
      </w:r>
      <w:proofErr w:type="spellStart"/>
      <w:r w:rsidRPr="00E12749">
        <w:rPr>
          <w:rFonts w:cs="David"/>
          <w:szCs w:val="24"/>
          <w:rtl/>
        </w:rPr>
        <w:t>יב</w:t>
      </w:r>
      <w:proofErr w:type="spellEnd"/>
      <w:r w:rsidRPr="00E12749">
        <w:rPr>
          <w:rFonts w:cs="David"/>
          <w:szCs w:val="24"/>
          <w:rtl/>
        </w:rPr>
        <w:t>)</w:t>
      </w:r>
      <w:r w:rsidRPr="00E12749">
        <w:rPr>
          <w:rFonts w:cs="David" w:hint="cs"/>
          <w:szCs w:val="24"/>
          <w:rtl/>
        </w:rPr>
        <w:t>, ואמר: "וישמן ישורון ויבעט</w:t>
      </w:r>
      <w:r w:rsidRPr="00E12749">
        <w:rPr>
          <w:rFonts w:cs="David"/>
          <w:szCs w:val="24"/>
          <w:rtl/>
        </w:rPr>
        <w:t>"</w:t>
      </w:r>
      <w:r w:rsidRPr="00E12749">
        <w:rPr>
          <w:rFonts w:cs="David" w:hint="cs"/>
          <w:szCs w:val="24"/>
          <w:rtl/>
        </w:rPr>
        <w:t xml:space="preserve"> </w:t>
      </w:r>
      <w:r w:rsidRPr="00E12749">
        <w:rPr>
          <w:rFonts w:cs="David"/>
          <w:szCs w:val="24"/>
          <w:rtl/>
        </w:rPr>
        <w:t>(דברים לב, טו),</w:t>
      </w:r>
      <w:r w:rsidRPr="00E12749">
        <w:rPr>
          <w:rFonts w:cs="David" w:hint="cs"/>
          <w:szCs w:val="24"/>
          <w:rtl/>
        </w:rPr>
        <w:t xml:space="preserve"> ומפני זאת היראה </w:t>
      </w:r>
      <w:proofErr w:type="spellStart"/>
      <w:r w:rsidRPr="00E12749">
        <w:rPr>
          <w:rFonts w:cs="David" w:hint="cs"/>
          <w:szCs w:val="24"/>
          <w:rtl/>
        </w:rPr>
        <w:t>צוה</w:t>
      </w:r>
      <w:proofErr w:type="spellEnd"/>
      <w:r w:rsidRPr="00E12749">
        <w:rPr>
          <w:rFonts w:cs="David" w:hint="cs"/>
          <w:szCs w:val="24"/>
          <w:rtl/>
        </w:rPr>
        <w:t xml:space="preserve"> ב'מקרא בכורים' בכל שנה לפניו </w:t>
      </w:r>
      <w:proofErr w:type="spellStart"/>
      <w:r w:rsidRPr="00E12749">
        <w:rPr>
          <w:rFonts w:cs="David" w:hint="cs"/>
          <w:szCs w:val="24"/>
          <w:rtl/>
        </w:rPr>
        <w:t>ית</w:t>
      </w:r>
      <w:proofErr w:type="spellEnd"/>
      <w:r w:rsidRPr="00E12749">
        <w:rPr>
          <w:rFonts w:cs="David" w:hint="cs"/>
          <w:szCs w:val="24"/>
          <w:rtl/>
        </w:rPr>
        <w:t>' ולפני שכינתו.</w:t>
      </w:r>
    </w:p>
    <w:p w:rsidR="000664A7" w:rsidRPr="00E12749" w:rsidRDefault="000664A7" w:rsidP="000664A7">
      <w:pPr>
        <w:pStyle w:val="7"/>
        <w:rPr>
          <w:rtl/>
        </w:rPr>
      </w:pPr>
      <w:r w:rsidRPr="00E12749">
        <w:rPr>
          <w:rtl/>
        </w:rPr>
        <w:t xml:space="preserve">טקס דומה לחגיגת הביכורים היו מקיימים גם בחג הפסח- טקס הבאת העומר. וגם שם הבליטו את ההישגים חומריים. הבלטה שכזו היא ביטוי </w:t>
      </w:r>
      <w:proofErr w:type="spellStart"/>
      <w:r w:rsidRPr="00E12749">
        <w:rPr>
          <w:rtl/>
        </w:rPr>
        <w:t>לגאוה</w:t>
      </w:r>
      <w:proofErr w:type="spellEnd"/>
      <w:r w:rsidRPr="00E12749">
        <w:rPr>
          <w:rtl/>
        </w:rPr>
        <w:t xml:space="preserve">, </w:t>
      </w:r>
      <w:proofErr w:type="spellStart"/>
      <w:r w:rsidRPr="00E12749">
        <w:rPr>
          <w:rtl/>
        </w:rPr>
        <w:t>לכח</w:t>
      </w:r>
      <w:proofErr w:type="spellEnd"/>
      <w:r w:rsidRPr="00E12749">
        <w:rPr>
          <w:rtl/>
        </w:rPr>
        <w:t xml:space="preserve"> ולעוצמה. כך הגיבה על חגיגה זו, נחמה </w:t>
      </w:r>
      <w:proofErr w:type="spellStart"/>
      <w:r w:rsidRPr="00E12749">
        <w:rPr>
          <w:rtl/>
        </w:rPr>
        <w:t>ליבוביץ</w:t>
      </w:r>
      <w:proofErr w:type="spellEnd"/>
      <w:r w:rsidRPr="00E12749">
        <w:rPr>
          <w:rtl/>
        </w:rPr>
        <w:t xml:space="preserve">': </w:t>
      </w:r>
    </w:p>
    <w:p w:rsidR="000664A7" w:rsidRPr="00E12749" w:rsidRDefault="000664A7" w:rsidP="000664A7">
      <w:pPr>
        <w:spacing w:line="360" w:lineRule="auto"/>
        <w:ind w:left="720"/>
        <w:jc w:val="both"/>
        <w:rPr>
          <w:rFonts w:cs="David"/>
          <w:szCs w:val="24"/>
          <w:rtl/>
        </w:rPr>
      </w:pPr>
      <w:r w:rsidRPr="00E12749">
        <w:rPr>
          <w:rFonts w:cs="David"/>
          <w:szCs w:val="24"/>
          <w:rtl/>
        </w:rPr>
        <w:t xml:space="preserve"> בימינו אחרי שובנו לארצנו, ארץ הקודש, לעבדה ולשומרה ולאכול מפריה, חשבו רבים שלא משומרי מצוות על פי התורה ל"החיות" מצווה זו של קציר העומר ולהפכה ל"טקס" חקלאי. </w:t>
      </w:r>
      <w:proofErr w:type="spellStart"/>
      <w:r w:rsidRPr="00E12749">
        <w:rPr>
          <w:rFonts w:cs="David"/>
          <w:szCs w:val="24"/>
          <w:rtl/>
        </w:rPr>
        <w:t>הכונה</w:t>
      </w:r>
      <w:proofErr w:type="spellEnd"/>
      <w:r w:rsidRPr="00E12749">
        <w:rPr>
          <w:rFonts w:cs="David"/>
          <w:szCs w:val="24"/>
          <w:rtl/>
        </w:rPr>
        <w:t xml:space="preserve"> היא (כבמצוות אחרות,</w:t>
      </w:r>
      <w:r w:rsidRPr="00E12749">
        <w:rPr>
          <w:rFonts w:cs="David"/>
          <w:b/>
          <w:bCs/>
          <w:szCs w:val="24"/>
          <w:rtl/>
        </w:rPr>
        <w:t xml:space="preserve"> כגון בחג השבועות, בהבאת ביכורים וכד'</w:t>
      </w:r>
      <w:r w:rsidRPr="00E12749">
        <w:rPr>
          <w:rFonts w:cs="David"/>
          <w:szCs w:val="24"/>
          <w:rtl/>
        </w:rPr>
        <w:t xml:space="preserve">), להבליט את אופיו החקלאי הטבעי של טקס זה. יש בזה ביודעים ובלא יודעים- מגמה לטשטש את </w:t>
      </w:r>
      <w:proofErr w:type="spellStart"/>
      <w:r w:rsidRPr="00E12749">
        <w:rPr>
          <w:rFonts w:cs="David"/>
          <w:szCs w:val="24"/>
          <w:rtl/>
        </w:rPr>
        <w:t>אופיה</w:t>
      </w:r>
      <w:proofErr w:type="spellEnd"/>
      <w:r w:rsidRPr="00E12749">
        <w:rPr>
          <w:rFonts w:cs="David"/>
          <w:szCs w:val="24"/>
          <w:rtl/>
        </w:rPr>
        <w:t xml:space="preserve"> התורני של המצווה. להפכה לשמחה ביש החומרי, ללבות את יצר גאוות האדם בעמלו, בכוחו ובהונו (והלא עקרונית אין כל הבדל אם הון זה דגים מלוחים או קמח או שקלי זהב), בזה שיונף העומר לפני</w:t>
      </w:r>
      <w:r w:rsidRPr="00E12749">
        <w:rPr>
          <w:rFonts w:cs="David"/>
          <w:b/>
          <w:bCs/>
          <w:szCs w:val="24"/>
          <w:rtl/>
        </w:rPr>
        <w:t xml:space="preserve"> האדם</w:t>
      </w:r>
      <w:r w:rsidRPr="00E12749">
        <w:rPr>
          <w:rFonts w:cs="David"/>
          <w:szCs w:val="24"/>
          <w:rtl/>
        </w:rPr>
        <w:t xml:space="preserve"> </w:t>
      </w:r>
      <w:r w:rsidRPr="00E12749">
        <w:rPr>
          <w:rFonts w:cs="David"/>
          <w:szCs w:val="24"/>
        </w:rPr>
        <w:t>–</w:t>
      </w:r>
      <w:r w:rsidRPr="00E12749">
        <w:rPr>
          <w:rFonts w:cs="David"/>
          <w:szCs w:val="24"/>
          <w:rtl/>
        </w:rPr>
        <w:t xml:space="preserve"> הפרטי, הציבורי,  במקום שלפי </w:t>
      </w:r>
      <w:proofErr w:type="spellStart"/>
      <w:r w:rsidRPr="00E12749">
        <w:rPr>
          <w:rFonts w:cs="David"/>
          <w:szCs w:val="24"/>
          <w:rtl/>
        </w:rPr>
        <w:t>המצוה</w:t>
      </w:r>
      <w:proofErr w:type="spellEnd"/>
      <w:r w:rsidRPr="00E12749">
        <w:rPr>
          <w:rFonts w:cs="David"/>
          <w:szCs w:val="24"/>
          <w:rtl/>
        </w:rPr>
        <w:t xml:space="preserve"> יונף "לפני ה'". משליטים הם את הטבע את החומר מעל לרוח , מעמידים הם את הגאווה במקום את הכרת התודה. קשה לראות בזה </w:t>
      </w:r>
      <w:r w:rsidRPr="00E12749">
        <w:rPr>
          <w:rFonts w:cs="David"/>
          <w:szCs w:val="24"/>
          <w:rtl/>
        </w:rPr>
        <w:lastRenderedPageBreak/>
        <w:t xml:space="preserve">"ריענון" מצוה עתיקה או "החייאתה". הלא אין בזה אלא העמדת הקמח </w:t>
      </w:r>
      <w:r w:rsidRPr="00E12749">
        <w:rPr>
          <w:rFonts w:cs="David"/>
          <w:szCs w:val="24"/>
        </w:rPr>
        <w:t>–</w:t>
      </w:r>
      <w:r w:rsidRPr="00E12749">
        <w:rPr>
          <w:rFonts w:cs="David"/>
          <w:szCs w:val="24"/>
          <w:rtl/>
        </w:rPr>
        <w:t xml:space="preserve"> פשוטו כמשמעו- במקום התודה, ולא ראיית הקמח כאמצעי הכרחי לקיומה של התורה.</w:t>
      </w:r>
      <w:r w:rsidRPr="00E12749">
        <w:rPr>
          <w:rStyle w:val="a5"/>
          <w:rFonts w:cs="David"/>
          <w:szCs w:val="24"/>
          <w:rtl/>
        </w:rPr>
        <w:footnoteReference w:id="27"/>
      </w:r>
      <w:r w:rsidRPr="00E12749">
        <w:rPr>
          <w:rFonts w:cs="David"/>
          <w:szCs w:val="24"/>
          <w:rtl/>
        </w:rPr>
        <w:t xml:space="preserve">          </w:t>
      </w:r>
    </w:p>
    <w:p w:rsidR="000664A7" w:rsidRPr="00E12749" w:rsidRDefault="000664A7" w:rsidP="000664A7">
      <w:pPr>
        <w:spacing w:line="360" w:lineRule="auto"/>
        <w:jc w:val="both"/>
        <w:rPr>
          <w:rFonts w:cs="David"/>
          <w:szCs w:val="24"/>
          <w:rtl/>
        </w:rPr>
      </w:pPr>
      <w:r w:rsidRPr="00E12749">
        <w:rPr>
          <w:rFonts w:cs="David"/>
          <w:szCs w:val="24"/>
          <w:rtl/>
        </w:rPr>
        <w:t xml:space="preserve">עם זאת,  יש לראות בחיוב את היות הארץ נותנת פירותיה בעין יפה לעם השב אליה לאחר שנות גלות ארוכות.  כך כתב הרב יהודה לייב פישמן </w:t>
      </w:r>
      <w:r w:rsidRPr="00E12749">
        <w:rPr>
          <w:rFonts w:cs="David"/>
          <w:szCs w:val="24"/>
        </w:rPr>
        <w:t>–</w:t>
      </w:r>
      <w:r w:rsidRPr="00E12749">
        <w:rPr>
          <w:rFonts w:cs="David"/>
          <w:szCs w:val="24"/>
          <w:rtl/>
        </w:rPr>
        <w:t xml:space="preserve"> מימון: </w:t>
      </w:r>
    </w:p>
    <w:p w:rsidR="000664A7" w:rsidRPr="00E12749" w:rsidRDefault="000664A7" w:rsidP="000664A7">
      <w:pPr>
        <w:spacing w:line="360" w:lineRule="auto"/>
        <w:ind w:left="720"/>
        <w:jc w:val="both"/>
        <w:rPr>
          <w:rFonts w:cs="David"/>
          <w:szCs w:val="24"/>
          <w:rtl/>
        </w:rPr>
      </w:pPr>
      <w:r w:rsidRPr="00E12749">
        <w:rPr>
          <w:rFonts w:cs="David"/>
          <w:szCs w:val="24"/>
          <w:rtl/>
        </w:rPr>
        <w:t>אנשי עין חרוד ויתר תושבי העמק</w:t>
      </w:r>
      <w:r w:rsidRPr="00E12749">
        <w:rPr>
          <w:rFonts w:cs="David"/>
          <w:szCs w:val="24"/>
        </w:rPr>
        <w:t>…</w:t>
      </w:r>
      <w:r w:rsidRPr="00E12749">
        <w:rPr>
          <w:rFonts w:cs="David"/>
          <w:szCs w:val="24"/>
          <w:rtl/>
        </w:rPr>
        <w:t>סידרו חגיגת קציר לפי טעמם ורוחם</w:t>
      </w:r>
      <w:r w:rsidRPr="00E12749">
        <w:rPr>
          <w:rFonts w:cs="David"/>
          <w:szCs w:val="24"/>
        </w:rPr>
        <w:t>…</w:t>
      </w:r>
      <w:r w:rsidRPr="00E12749">
        <w:rPr>
          <w:rFonts w:cs="David"/>
          <w:szCs w:val="24"/>
          <w:rtl/>
        </w:rPr>
        <w:t xml:space="preserve">ושמחנו גם אנו בשמחתם. </w:t>
      </w:r>
      <w:proofErr w:type="gramStart"/>
      <w:r w:rsidRPr="00E12749">
        <w:rPr>
          <w:rFonts w:cs="David"/>
          <w:szCs w:val="24"/>
        </w:rPr>
        <w:t>…</w:t>
      </w:r>
      <w:r w:rsidRPr="00E12749">
        <w:rPr>
          <w:rFonts w:cs="David"/>
          <w:szCs w:val="24"/>
          <w:rtl/>
        </w:rPr>
        <w:t xml:space="preserve">אחרי אלפים שנות שממה ושואה </w:t>
      </w:r>
      <w:r w:rsidRPr="00E12749">
        <w:rPr>
          <w:rFonts w:cs="David"/>
          <w:szCs w:val="24"/>
        </w:rPr>
        <w:t>–</w:t>
      </w:r>
      <w:r w:rsidRPr="00E12749">
        <w:rPr>
          <w:rFonts w:cs="David"/>
          <w:szCs w:val="24"/>
          <w:rtl/>
        </w:rPr>
        <w:t xml:space="preserve"> גאולה </w:t>
      </w:r>
      <w:proofErr w:type="spellStart"/>
      <w:r w:rsidRPr="00E12749">
        <w:rPr>
          <w:rFonts w:cs="David"/>
          <w:szCs w:val="24"/>
          <w:rtl/>
        </w:rPr>
        <w:t>היתה</w:t>
      </w:r>
      <w:proofErr w:type="spellEnd"/>
      <w:r w:rsidRPr="00E12749">
        <w:rPr>
          <w:rFonts w:cs="David"/>
          <w:szCs w:val="24"/>
          <w:rtl/>
        </w:rPr>
        <w:t xml:space="preserve"> לאדמת העמק, מבחר אדמות ישראל עבר לרשותה של האומה.</w:t>
      </w:r>
      <w:proofErr w:type="gramEnd"/>
      <w:r w:rsidRPr="00E12749">
        <w:rPr>
          <w:rFonts w:cs="David"/>
          <w:szCs w:val="24"/>
          <w:rtl/>
        </w:rPr>
        <w:t xml:space="preserve"> </w:t>
      </w:r>
      <w:r w:rsidRPr="00E12749">
        <w:rPr>
          <w:rStyle w:val="a5"/>
          <w:rFonts w:cs="David"/>
          <w:szCs w:val="24"/>
          <w:rtl/>
        </w:rPr>
        <w:footnoteReference w:id="28"/>
      </w:r>
    </w:p>
    <w:p w:rsidR="000664A7" w:rsidRPr="00E12749" w:rsidRDefault="000664A7" w:rsidP="000664A7">
      <w:pPr>
        <w:spacing w:line="360" w:lineRule="auto"/>
        <w:jc w:val="both"/>
        <w:rPr>
          <w:rFonts w:cs="David"/>
          <w:szCs w:val="24"/>
          <w:rtl/>
        </w:rPr>
      </w:pPr>
    </w:p>
    <w:p w:rsidR="000664A7" w:rsidRPr="00E12749" w:rsidRDefault="000664A7" w:rsidP="000664A7">
      <w:pPr>
        <w:pStyle w:val="2"/>
        <w:rPr>
          <w:rtl/>
        </w:rPr>
      </w:pPr>
      <w:r w:rsidRPr="00E12749">
        <w:rPr>
          <w:rtl/>
        </w:rPr>
        <w:t>3. זכר לביכורים</w:t>
      </w:r>
    </w:p>
    <w:p w:rsidR="000664A7" w:rsidRPr="00E12749" w:rsidRDefault="000664A7" w:rsidP="000664A7">
      <w:pPr>
        <w:pStyle w:val="21"/>
        <w:rPr>
          <w:rtl/>
        </w:rPr>
      </w:pPr>
      <w:r w:rsidRPr="00E12749">
        <w:rPr>
          <w:rtl/>
        </w:rPr>
        <w:t xml:space="preserve">כאמור, השאלה לה השיב </w:t>
      </w:r>
      <w:proofErr w:type="spellStart"/>
      <w:r w:rsidRPr="00E12749">
        <w:rPr>
          <w:rtl/>
        </w:rPr>
        <w:t>הראי"ה</w:t>
      </w:r>
      <w:proofErr w:type="spellEnd"/>
      <w:r w:rsidRPr="00E12749">
        <w:rPr>
          <w:rtl/>
        </w:rPr>
        <w:t xml:space="preserve"> קוק הוא האם חלה קדושה בפירות שנקראו בשם ביכורים,  כיום לאחר החורבן. ראשית הוא דן בשאלה האם יש בפירות איסורי הנאה, והאם יש בהם קדשי מזבח, ואח"כ הוא דן בסוגיה בה עסקנו דין המקדיש בכורים בזמן הזה. הוא מצין שלדעת </w:t>
      </w:r>
      <w:proofErr w:type="spellStart"/>
      <w:r w:rsidRPr="00E12749">
        <w:rPr>
          <w:rtl/>
        </w:rPr>
        <w:t>הרע"ב</w:t>
      </w:r>
      <w:proofErr w:type="spellEnd"/>
      <w:r w:rsidRPr="00E12749">
        <w:rPr>
          <w:rtl/>
        </w:rPr>
        <w:t xml:space="preserve"> הלכה כר' שמעון שהמקדיש בזמן הזה אין זה קדוש, ואת שיטת הרמב"ם המבאר שמשנה זו אמורה בזמן הבית. מכאן מסקנתו:</w:t>
      </w:r>
    </w:p>
    <w:p w:rsidR="000664A7" w:rsidRPr="00E12749" w:rsidRDefault="000664A7" w:rsidP="000664A7">
      <w:pPr>
        <w:pStyle w:val="21"/>
        <w:ind w:left="720"/>
        <w:rPr>
          <w:rtl/>
        </w:rPr>
      </w:pPr>
      <w:r w:rsidRPr="00E12749">
        <w:rPr>
          <w:rtl/>
        </w:rPr>
        <w:t xml:space="preserve">בבכורים </w:t>
      </w:r>
      <w:proofErr w:type="spellStart"/>
      <w:r w:rsidRPr="00E12749">
        <w:rPr>
          <w:rtl/>
        </w:rPr>
        <w:t>לקהק"ל</w:t>
      </w:r>
      <w:proofErr w:type="spellEnd"/>
      <w:r w:rsidRPr="00E12749">
        <w:rPr>
          <w:rtl/>
        </w:rPr>
        <w:t xml:space="preserve">, שעצם </w:t>
      </w:r>
      <w:proofErr w:type="spellStart"/>
      <w:r w:rsidRPr="00E12749">
        <w:rPr>
          <w:rtl/>
        </w:rPr>
        <w:t>הענין</w:t>
      </w:r>
      <w:proofErr w:type="spellEnd"/>
      <w:r w:rsidRPr="00E12749">
        <w:rPr>
          <w:rtl/>
        </w:rPr>
        <w:t xml:space="preserve"> מוכיח שהוא כדי לגאול את הארץ, יכול להיות שגם לכתחילה אין בזה בית מיחוש, ובפרט שלדעת </w:t>
      </w:r>
      <w:proofErr w:type="spellStart"/>
      <w:r w:rsidRPr="00E12749">
        <w:rPr>
          <w:rtl/>
        </w:rPr>
        <w:t>הרע"ב</w:t>
      </w:r>
      <w:proofErr w:type="spellEnd"/>
      <w:r w:rsidRPr="00E12749">
        <w:rPr>
          <w:rtl/>
        </w:rPr>
        <w:t xml:space="preserve"> הלא </w:t>
      </w:r>
      <w:proofErr w:type="spellStart"/>
      <w:r w:rsidRPr="00E12749">
        <w:rPr>
          <w:rtl/>
        </w:rPr>
        <w:t>קיי"ל</w:t>
      </w:r>
      <w:proofErr w:type="spellEnd"/>
      <w:r w:rsidRPr="00E12749">
        <w:rPr>
          <w:rtl/>
        </w:rPr>
        <w:t xml:space="preserve"> </w:t>
      </w:r>
      <w:proofErr w:type="spellStart"/>
      <w:r w:rsidRPr="00E12749">
        <w:rPr>
          <w:rtl/>
        </w:rPr>
        <w:t>כר"ש</w:t>
      </w:r>
      <w:proofErr w:type="spellEnd"/>
      <w:r w:rsidRPr="00E12749">
        <w:rPr>
          <w:rtl/>
        </w:rPr>
        <w:t xml:space="preserve">, ולפירושו אין חל כלל שם בכורים </w:t>
      </w:r>
      <w:proofErr w:type="spellStart"/>
      <w:r w:rsidRPr="00E12749">
        <w:rPr>
          <w:rtl/>
        </w:rPr>
        <w:t>בזה"ז</w:t>
      </w:r>
      <w:proofErr w:type="spellEnd"/>
      <w:r w:rsidRPr="00E12749">
        <w:rPr>
          <w:rtl/>
        </w:rPr>
        <w:t xml:space="preserve">, </w:t>
      </w:r>
      <w:proofErr w:type="spellStart"/>
      <w:r w:rsidRPr="00E12749">
        <w:rPr>
          <w:rtl/>
        </w:rPr>
        <w:t>מכח</w:t>
      </w:r>
      <w:proofErr w:type="spellEnd"/>
      <w:r w:rsidRPr="00E12749">
        <w:rPr>
          <w:rtl/>
        </w:rPr>
        <w:t xml:space="preserve"> </w:t>
      </w:r>
      <w:proofErr w:type="spellStart"/>
      <w:r w:rsidRPr="00E12749">
        <w:rPr>
          <w:rtl/>
        </w:rPr>
        <w:t>גזה"כ</w:t>
      </w:r>
      <w:proofErr w:type="spellEnd"/>
      <w:r w:rsidRPr="00E12749">
        <w:rPr>
          <w:rtl/>
        </w:rPr>
        <w:t xml:space="preserve"> של תביא בית ד"א. ע"כ לא מצאתי בזה מקום להקפיד כ"כ בדיעבד, אבל מנהלי </w:t>
      </w:r>
      <w:proofErr w:type="spellStart"/>
      <w:r w:rsidRPr="00E12749">
        <w:rPr>
          <w:rtl/>
        </w:rPr>
        <w:t>הענינים</w:t>
      </w:r>
      <w:proofErr w:type="spellEnd"/>
      <w:r w:rsidRPr="00E12749">
        <w:rPr>
          <w:rtl/>
        </w:rPr>
        <w:t xml:space="preserve"> הלאומיים שלנו ראויים הם לגערה, על אשר הם נוהגים קלות ראש בכל קודש ואינם שמים לב שלפעמים יוכל איזה </w:t>
      </w:r>
      <w:proofErr w:type="spellStart"/>
      <w:r w:rsidRPr="00E12749">
        <w:rPr>
          <w:rtl/>
        </w:rPr>
        <w:t>בטוי</w:t>
      </w:r>
      <w:proofErr w:type="spellEnd"/>
      <w:r w:rsidRPr="00E12749">
        <w:rPr>
          <w:rtl/>
        </w:rPr>
        <w:t xml:space="preserve"> להביא תקלה לרבים, והי' הדבר ראוי </w:t>
      </w:r>
      <w:proofErr w:type="spellStart"/>
      <w:r w:rsidRPr="00E12749">
        <w:rPr>
          <w:rtl/>
        </w:rPr>
        <w:t>להעשות</w:t>
      </w:r>
      <w:proofErr w:type="spellEnd"/>
      <w:r w:rsidRPr="00E12749">
        <w:rPr>
          <w:rtl/>
        </w:rPr>
        <w:t xml:space="preserve"> ע"פ הוראת רבנים. </w:t>
      </w:r>
    </w:p>
    <w:p w:rsidR="000664A7" w:rsidRPr="00E12749" w:rsidRDefault="000664A7" w:rsidP="000664A7">
      <w:pPr>
        <w:spacing w:line="360" w:lineRule="auto"/>
        <w:jc w:val="both"/>
        <w:rPr>
          <w:rFonts w:cs="David"/>
          <w:szCs w:val="24"/>
          <w:rtl/>
        </w:rPr>
      </w:pPr>
      <w:r w:rsidRPr="00E12749">
        <w:rPr>
          <w:rFonts w:cs="David"/>
          <w:szCs w:val="24"/>
          <w:rtl/>
        </w:rPr>
        <w:t xml:space="preserve">כבר בתשובה זו רומז </w:t>
      </w:r>
      <w:proofErr w:type="spellStart"/>
      <w:r w:rsidRPr="00E12749">
        <w:rPr>
          <w:rFonts w:cs="David"/>
          <w:szCs w:val="24"/>
          <w:rtl/>
        </w:rPr>
        <w:t>הראי"ה</w:t>
      </w:r>
      <w:proofErr w:type="spellEnd"/>
      <w:r w:rsidRPr="00E12749">
        <w:rPr>
          <w:rFonts w:cs="David"/>
          <w:szCs w:val="24"/>
          <w:rtl/>
        </w:rPr>
        <w:t xml:space="preserve"> קוק על הערך החיובי של חגיגה זו- גאולת הארץ, אם כי לפיו, מן הראוי שלא להקל ראש, בקריאת שם ביכורים לפירות הללו, על מנת שלא לגרום תקלה. נימה חיובית מעין זו, לצד הסתייגות מקריאת שם ביכורים לפירות, נשמעת גם ממכתבו של </w:t>
      </w:r>
      <w:proofErr w:type="spellStart"/>
      <w:r w:rsidRPr="00E12749">
        <w:rPr>
          <w:rFonts w:cs="David"/>
          <w:szCs w:val="24"/>
          <w:rtl/>
        </w:rPr>
        <w:t>הראי"ה</w:t>
      </w:r>
      <w:proofErr w:type="spellEnd"/>
      <w:r w:rsidRPr="00E12749">
        <w:rPr>
          <w:rFonts w:cs="David"/>
          <w:szCs w:val="24"/>
          <w:rtl/>
        </w:rPr>
        <w:t xml:space="preserve"> קוק לאנשי נהלל מיום י"ט אייר תרצ"ג:  </w:t>
      </w:r>
    </w:p>
    <w:p w:rsidR="000664A7" w:rsidRPr="00E12749" w:rsidRDefault="000664A7" w:rsidP="000664A7">
      <w:pPr>
        <w:spacing w:line="360" w:lineRule="auto"/>
        <w:ind w:left="720"/>
        <w:jc w:val="both"/>
        <w:rPr>
          <w:rFonts w:cs="David" w:hint="cs"/>
          <w:szCs w:val="24"/>
          <w:rtl/>
        </w:rPr>
      </w:pPr>
      <w:r w:rsidRPr="00E12749">
        <w:rPr>
          <w:rFonts w:cs="David" w:hint="cs"/>
          <w:szCs w:val="24"/>
          <w:rtl/>
        </w:rPr>
        <w:t>אחים חביבים, בנ</w:t>
      </w:r>
      <w:r w:rsidRPr="00E12749">
        <w:rPr>
          <w:rFonts w:cs="David"/>
          <w:szCs w:val="24"/>
          <w:rtl/>
        </w:rPr>
        <w:t>ה</w:t>
      </w:r>
      <w:r w:rsidRPr="00E12749">
        <w:rPr>
          <w:rFonts w:cs="David" w:hint="cs"/>
          <w:szCs w:val="24"/>
          <w:rtl/>
        </w:rPr>
        <w:t>לל והסביבה, שלו</w:t>
      </w:r>
      <w:r w:rsidRPr="00E12749">
        <w:rPr>
          <w:rFonts w:cs="David"/>
          <w:szCs w:val="24"/>
          <w:rtl/>
        </w:rPr>
        <w:t>'</w:t>
      </w:r>
      <w:r w:rsidRPr="00E12749">
        <w:rPr>
          <w:rFonts w:cs="David" w:hint="cs"/>
          <w:szCs w:val="24"/>
          <w:rtl/>
        </w:rPr>
        <w:t xml:space="preserve"> רב,</w:t>
      </w:r>
    </w:p>
    <w:p w:rsidR="000664A7" w:rsidRPr="00E12749" w:rsidRDefault="000664A7" w:rsidP="000664A7">
      <w:pPr>
        <w:spacing w:line="360" w:lineRule="auto"/>
        <w:ind w:left="720"/>
        <w:jc w:val="both"/>
        <w:rPr>
          <w:rFonts w:cs="David" w:hint="cs"/>
          <w:szCs w:val="24"/>
          <w:rtl/>
        </w:rPr>
      </w:pPr>
      <w:r w:rsidRPr="00E12749">
        <w:rPr>
          <w:rFonts w:cs="David" w:hint="cs"/>
          <w:szCs w:val="24"/>
          <w:rtl/>
        </w:rPr>
        <w:t>אחי היקרים!</w:t>
      </w:r>
    </w:p>
    <w:p w:rsidR="000664A7" w:rsidRPr="00E12749" w:rsidRDefault="000664A7" w:rsidP="000664A7">
      <w:pPr>
        <w:spacing w:line="360" w:lineRule="auto"/>
        <w:ind w:left="720"/>
        <w:jc w:val="both"/>
        <w:rPr>
          <w:rFonts w:cs="David" w:hint="cs"/>
          <w:szCs w:val="24"/>
          <w:rtl/>
        </w:rPr>
      </w:pPr>
      <w:r w:rsidRPr="00E12749">
        <w:rPr>
          <w:rFonts w:cs="David" w:hint="cs"/>
          <w:szCs w:val="24"/>
          <w:rtl/>
        </w:rPr>
        <w:t xml:space="preserve">זכר הבכורים שהונהג להיות נחגג בארצנו </w:t>
      </w:r>
      <w:proofErr w:type="spellStart"/>
      <w:r w:rsidRPr="00E12749">
        <w:rPr>
          <w:rFonts w:cs="David" w:hint="cs"/>
          <w:szCs w:val="24"/>
          <w:rtl/>
        </w:rPr>
        <w:t>בתחיתה</w:t>
      </w:r>
      <w:proofErr w:type="spellEnd"/>
      <w:r w:rsidRPr="00E12749">
        <w:rPr>
          <w:rFonts w:cs="David" w:hint="cs"/>
          <w:szCs w:val="24"/>
          <w:rtl/>
        </w:rPr>
        <w:t xml:space="preserve"> בקשר עם חג השבועות</w:t>
      </w:r>
      <w:r w:rsidRPr="00E12749">
        <w:rPr>
          <w:rFonts w:cs="David"/>
          <w:szCs w:val="24"/>
          <w:rtl/>
        </w:rPr>
        <w:t>,</w:t>
      </w:r>
      <w:r w:rsidRPr="00E12749">
        <w:rPr>
          <w:rFonts w:cs="David" w:hint="cs"/>
          <w:szCs w:val="24"/>
          <w:rtl/>
        </w:rPr>
        <w:t xml:space="preserve"> הוא מכמה פנים מעוררנו ונותן לנו חדות נפש, אמנם לא בכורים רק זכר לבכורים אנו חוגגים כעת</w:t>
      </w:r>
      <w:r w:rsidRPr="00E12749">
        <w:rPr>
          <w:rFonts w:cs="David"/>
          <w:szCs w:val="24"/>
          <w:rtl/>
        </w:rPr>
        <w:t>.</w:t>
      </w:r>
      <w:r w:rsidRPr="00E12749">
        <w:rPr>
          <w:rFonts w:cs="David" w:hint="cs"/>
          <w:szCs w:val="24"/>
          <w:rtl/>
        </w:rPr>
        <w:t xml:space="preserve"> אנחנו לא נהיה </w:t>
      </w:r>
      <w:proofErr w:type="spellStart"/>
      <w:r w:rsidRPr="00E12749">
        <w:rPr>
          <w:rFonts w:cs="David" w:hint="cs"/>
          <w:szCs w:val="24"/>
          <w:rtl/>
        </w:rPr>
        <w:t>מהמסתפקים</w:t>
      </w:r>
      <w:proofErr w:type="spellEnd"/>
      <w:r w:rsidRPr="00E12749">
        <w:rPr>
          <w:rFonts w:cs="David" w:hint="cs"/>
          <w:szCs w:val="24"/>
          <w:rtl/>
        </w:rPr>
        <w:t xml:space="preserve"> במועט בשיבת </w:t>
      </w:r>
      <w:proofErr w:type="spellStart"/>
      <w:r w:rsidRPr="00E12749">
        <w:rPr>
          <w:rFonts w:cs="David" w:hint="cs"/>
          <w:szCs w:val="24"/>
          <w:rtl/>
        </w:rPr>
        <w:t>שבותינו</w:t>
      </w:r>
      <w:proofErr w:type="spellEnd"/>
      <w:r w:rsidRPr="00E12749">
        <w:rPr>
          <w:rFonts w:cs="David" w:hint="cs"/>
          <w:szCs w:val="24"/>
          <w:rtl/>
        </w:rPr>
        <w:t xml:space="preserve">, כל זמן שזרים שולטים על מקום בית חיינו, כל זמן שהננו </w:t>
      </w:r>
      <w:proofErr w:type="spellStart"/>
      <w:r w:rsidRPr="00E12749">
        <w:rPr>
          <w:rFonts w:cs="David" w:hint="cs"/>
          <w:szCs w:val="24"/>
          <w:rtl/>
        </w:rPr>
        <w:t>רצוצי</w:t>
      </w:r>
      <w:proofErr w:type="spellEnd"/>
      <w:r w:rsidRPr="00E12749">
        <w:rPr>
          <w:rFonts w:cs="David" w:hint="cs"/>
          <w:szCs w:val="24"/>
          <w:rtl/>
        </w:rPr>
        <w:t xml:space="preserve"> משפט גם בתוך ביתנו הלאומי, כל זמן שאין לנו כח לכנס את רוב </w:t>
      </w:r>
      <w:r w:rsidRPr="00E12749">
        <w:rPr>
          <w:rFonts w:cs="David"/>
          <w:szCs w:val="24"/>
          <w:rtl/>
        </w:rPr>
        <w:t>ע</w:t>
      </w:r>
      <w:r w:rsidRPr="00E12749">
        <w:rPr>
          <w:rFonts w:cs="David" w:hint="cs"/>
          <w:szCs w:val="24"/>
          <w:rtl/>
        </w:rPr>
        <w:t xml:space="preserve">מנו המעונה אל אדמת קדשנו, ולסדרו בגאון עולם כימי קדם שהמקדש והממלכה בכל מילואיהם הם </w:t>
      </w:r>
      <w:proofErr w:type="spellStart"/>
      <w:r w:rsidRPr="00E12749">
        <w:rPr>
          <w:rFonts w:cs="David" w:hint="cs"/>
          <w:szCs w:val="24"/>
          <w:rtl/>
        </w:rPr>
        <w:t>הם</w:t>
      </w:r>
      <w:proofErr w:type="spellEnd"/>
      <w:r w:rsidRPr="00E12749">
        <w:rPr>
          <w:rFonts w:cs="David" w:hint="cs"/>
          <w:szCs w:val="24"/>
          <w:rtl/>
        </w:rPr>
        <w:t xml:space="preserve"> </w:t>
      </w:r>
      <w:proofErr w:type="spellStart"/>
      <w:r w:rsidRPr="00E12749">
        <w:rPr>
          <w:rFonts w:cs="David" w:hint="cs"/>
          <w:szCs w:val="24"/>
          <w:rtl/>
        </w:rPr>
        <w:t>תוי</w:t>
      </w:r>
      <w:proofErr w:type="spellEnd"/>
      <w:r w:rsidRPr="00E12749">
        <w:rPr>
          <w:rFonts w:cs="David" w:hint="cs"/>
          <w:szCs w:val="24"/>
          <w:rtl/>
        </w:rPr>
        <w:t xml:space="preserve"> החיים השלמים הללו. אין אנו יכולים לומר את השם המלא "בכורים" המקושר עם הקודש והמקדש, שהוא מקושר עם החירות והממלכה העצמית בכל ההוד המלא שלנו. אבל </w:t>
      </w:r>
      <w:proofErr w:type="spellStart"/>
      <w:r w:rsidRPr="00E12749">
        <w:rPr>
          <w:rFonts w:cs="David" w:hint="cs"/>
          <w:szCs w:val="24"/>
          <w:rtl/>
        </w:rPr>
        <w:t>רטית</w:t>
      </w:r>
      <w:proofErr w:type="spellEnd"/>
      <w:r w:rsidRPr="00E12749">
        <w:rPr>
          <w:rFonts w:cs="David" w:hint="cs"/>
          <w:szCs w:val="24"/>
          <w:rtl/>
        </w:rPr>
        <w:t xml:space="preserve"> נופש היא לנו גם </w:t>
      </w:r>
      <w:r w:rsidRPr="00E12749">
        <w:rPr>
          <w:rFonts w:cs="David" w:hint="cs"/>
          <w:szCs w:val="24"/>
          <w:rtl/>
        </w:rPr>
        <w:lastRenderedPageBreak/>
        <w:t xml:space="preserve">המחיה הזעירה גם הצד הזעיר של הפדות ההולך ומתגלה ע"י מפעלינו </w:t>
      </w:r>
      <w:proofErr w:type="spellStart"/>
      <w:r w:rsidRPr="00E12749">
        <w:rPr>
          <w:rFonts w:cs="David" w:hint="cs"/>
          <w:szCs w:val="24"/>
          <w:rtl/>
        </w:rPr>
        <w:t>הבנינים</w:t>
      </w:r>
      <w:proofErr w:type="spellEnd"/>
      <w:r w:rsidRPr="00E12749">
        <w:rPr>
          <w:rFonts w:cs="David" w:hint="cs"/>
          <w:szCs w:val="24"/>
          <w:rtl/>
        </w:rPr>
        <w:t>,</w:t>
      </w:r>
      <w:r w:rsidRPr="00E12749">
        <w:rPr>
          <w:rFonts w:cs="David"/>
          <w:szCs w:val="24"/>
          <w:rtl/>
        </w:rPr>
        <w:t xml:space="preserve"> </w:t>
      </w:r>
      <w:r w:rsidRPr="00E12749">
        <w:rPr>
          <w:rFonts w:cs="David" w:hint="cs"/>
          <w:szCs w:val="24"/>
          <w:rtl/>
        </w:rPr>
        <w:t xml:space="preserve">שהנכם אחים אהובים </w:t>
      </w:r>
      <w:proofErr w:type="spellStart"/>
      <w:r w:rsidRPr="00E12749">
        <w:rPr>
          <w:rFonts w:cs="David" w:hint="cs"/>
          <w:szCs w:val="24"/>
          <w:rtl/>
        </w:rPr>
        <w:t>אקטיבים</w:t>
      </w:r>
      <w:proofErr w:type="spellEnd"/>
      <w:r w:rsidRPr="00E12749">
        <w:rPr>
          <w:rFonts w:cs="David" w:hint="cs"/>
          <w:szCs w:val="24"/>
          <w:rtl/>
        </w:rPr>
        <w:t xml:space="preserve"> בו במסירתכם החלוצית המפליאה.</w:t>
      </w:r>
    </w:p>
    <w:p w:rsidR="000664A7" w:rsidRPr="00E12749" w:rsidRDefault="000664A7" w:rsidP="000664A7">
      <w:pPr>
        <w:spacing w:line="360" w:lineRule="auto"/>
        <w:ind w:left="720"/>
        <w:jc w:val="both"/>
        <w:rPr>
          <w:rFonts w:cs="David"/>
          <w:szCs w:val="24"/>
          <w:rtl/>
        </w:rPr>
      </w:pPr>
      <w:r w:rsidRPr="00E12749">
        <w:rPr>
          <w:rFonts w:cs="David" w:hint="cs"/>
          <w:szCs w:val="24"/>
          <w:rtl/>
        </w:rPr>
        <w:t>ובכ</w:t>
      </w:r>
      <w:r w:rsidRPr="00E12749">
        <w:rPr>
          <w:rFonts w:cs="David"/>
          <w:szCs w:val="24"/>
          <w:rtl/>
        </w:rPr>
        <w:t>ן</w:t>
      </w:r>
      <w:r w:rsidRPr="00E12749">
        <w:rPr>
          <w:rFonts w:cs="David" w:hint="cs"/>
          <w:szCs w:val="24"/>
          <w:rtl/>
        </w:rPr>
        <w:t xml:space="preserve"> זכר לבכורים טוב ונאה הוא לנו וברוכים תהיו על השתתפותכם הנהדרת ועל המאמץ וההוד אשר הנכם נותנים בזה לקרן </w:t>
      </w:r>
      <w:proofErr w:type="spellStart"/>
      <w:r w:rsidRPr="00E12749">
        <w:rPr>
          <w:rFonts w:cs="David" w:hint="cs"/>
          <w:szCs w:val="24"/>
          <w:rtl/>
        </w:rPr>
        <w:t>הקימת</w:t>
      </w:r>
      <w:proofErr w:type="spellEnd"/>
      <w:r w:rsidRPr="00E12749">
        <w:rPr>
          <w:rFonts w:cs="David" w:hint="cs"/>
          <w:szCs w:val="24"/>
          <w:rtl/>
        </w:rPr>
        <w:t xml:space="preserve"> לישראל</w:t>
      </w:r>
      <w:r w:rsidRPr="00E12749">
        <w:rPr>
          <w:rFonts w:cs="David"/>
          <w:szCs w:val="24"/>
          <w:rtl/>
        </w:rPr>
        <w:t>.</w:t>
      </w:r>
    </w:p>
    <w:p w:rsidR="000664A7" w:rsidRPr="00E12749" w:rsidRDefault="000664A7" w:rsidP="000664A7">
      <w:pPr>
        <w:spacing w:line="360" w:lineRule="auto"/>
        <w:jc w:val="both"/>
        <w:rPr>
          <w:rFonts w:cs="David"/>
          <w:szCs w:val="24"/>
          <w:rtl/>
          <w:lang w:eastAsia="uk-UA"/>
        </w:rPr>
      </w:pPr>
      <w:proofErr w:type="spellStart"/>
      <w:r w:rsidRPr="00E12749">
        <w:rPr>
          <w:rFonts w:cs="David"/>
          <w:szCs w:val="24"/>
          <w:rtl/>
        </w:rPr>
        <w:t>הראי"ה</w:t>
      </w:r>
      <w:proofErr w:type="spellEnd"/>
      <w:r w:rsidRPr="00E12749">
        <w:rPr>
          <w:rFonts w:cs="David"/>
          <w:szCs w:val="24"/>
          <w:rtl/>
        </w:rPr>
        <w:t xml:space="preserve"> קוק מכנה חגיגה זו בשם: </w:t>
      </w:r>
      <w:r w:rsidRPr="00E12749">
        <w:rPr>
          <w:rFonts w:cs="David"/>
          <w:b/>
          <w:bCs/>
          <w:szCs w:val="24"/>
          <w:rtl/>
        </w:rPr>
        <w:t>זכר הביכורים</w:t>
      </w:r>
      <w:r w:rsidRPr="00E12749">
        <w:rPr>
          <w:rFonts w:cs="David"/>
          <w:szCs w:val="24"/>
          <w:rtl/>
        </w:rPr>
        <w:t xml:space="preserve">. הגדרת חגיגה זו כזכר לביכורים, מזכירה הנהגות אחרות שהונהגו כזכר למקדש, מהשנים הסמוכות לחורבן, מהנהגת </w:t>
      </w:r>
      <w:proofErr w:type="spellStart"/>
      <w:r w:rsidRPr="00E12749">
        <w:rPr>
          <w:rFonts w:cs="David"/>
          <w:szCs w:val="24"/>
          <w:rtl/>
          <w:lang w:eastAsia="uk-UA"/>
        </w:rPr>
        <w:t>ריב"ז</w:t>
      </w:r>
      <w:proofErr w:type="spellEnd"/>
      <w:r w:rsidRPr="00E12749">
        <w:rPr>
          <w:rFonts w:cs="David"/>
          <w:szCs w:val="24"/>
          <w:rtl/>
          <w:lang w:eastAsia="uk-UA"/>
        </w:rPr>
        <w:t xml:space="preserve"> ליטול שבעה ימים את ארבעת המינים זכר למקדש, דרך הנהגות אחרות שהונהגו אח"כ בימי התנאים והאמוראים - ערנות בליל יום כיפור, כריכת מצה ומרור בליל הסדר, הקפת בימת בית הכנסת עם ארבעה מינים, עד הנהגות חדשות זכר למקדש שהונהגו במאות השנים האחרונות - זכר לשמחת בית השואבה, זכר </w:t>
      </w:r>
      <w:proofErr w:type="spellStart"/>
      <w:r w:rsidRPr="00E12749">
        <w:rPr>
          <w:rFonts w:cs="David"/>
          <w:szCs w:val="24"/>
          <w:rtl/>
          <w:lang w:eastAsia="uk-UA"/>
        </w:rPr>
        <w:t>לוידוי</w:t>
      </w:r>
      <w:proofErr w:type="spellEnd"/>
      <w:r w:rsidRPr="00E12749">
        <w:rPr>
          <w:rFonts w:cs="David"/>
          <w:szCs w:val="24"/>
          <w:rtl/>
          <w:lang w:eastAsia="uk-UA"/>
        </w:rPr>
        <w:t xml:space="preserve"> מעשרות, ומעמד זכר </w:t>
      </w:r>
      <w:proofErr w:type="spellStart"/>
      <w:r w:rsidRPr="00E12749">
        <w:rPr>
          <w:rFonts w:cs="David"/>
          <w:szCs w:val="24"/>
          <w:rtl/>
          <w:lang w:eastAsia="uk-UA"/>
        </w:rPr>
        <w:t>להקהל</w:t>
      </w:r>
      <w:proofErr w:type="spellEnd"/>
      <w:r w:rsidRPr="00E12749">
        <w:rPr>
          <w:rFonts w:cs="David"/>
          <w:szCs w:val="24"/>
          <w:rtl/>
          <w:lang w:eastAsia="uk-UA"/>
        </w:rPr>
        <w:t>.</w:t>
      </w:r>
      <w:r w:rsidRPr="00E12749">
        <w:rPr>
          <w:rFonts w:cs="David"/>
          <w:szCs w:val="24"/>
          <w:lang w:eastAsia="uk-UA"/>
        </w:rPr>
        <w:t xml:space="preserve">  </w:t>
      </w:r>
    </w:p>
    <w:p w:rsidR="000664A7" w:rsidRPr="00E12749" w:rsidRDefault="000664A7" w:rsidP="000664A7">
      <w:pPr>
        <w:pStyle w:val="af0"/>
        <w:spacing w:line="360" w:lineRule="auto"/>
        <w:jc w:val="both"/>
        <w:rPr>
          <w:b w:val="0"/>
          <w:bCs w:val="0"/>
          <w:sz w:val="22"/>
          <w:szCs w:val="24"/>
          <w:rtl/>
        </w:rPr>
      </w:pPr>
      <w:r w:rsidRPr="00E12749">
        <w:rPr>
          <w:b w:val="0"/>
          <w:bCs w:val="0"/>
          <w:szCs w:val="24"/>
          <w:rtl/>
        </w:rPr>
        <w:t xml:space="preserve"> כאן זוהי הנהגה שהונהגה תוך חילול שבת וחג, דבר </w:t>
      </w:r>
      <w:proofErr w:type="spellStart"/>
      <w:r w:rsidRPr="00E12749">
        <w:rPr>
          <w:b w:val="0"/>
          <w:bCs w:val="0"/>
          <w:szCs w:val="24"/>
          <w:rtl/>
        </w:rPr>
        <w:t>שהראי"ה</w:t>
      </w:r>
      <w:proofErr w:type="spellEnd"/>
      <w:r w:rsidRPr="00E12749">
        <w:rPr>
          <w:b w:val="0"/>
          <w:bCs w:val="0"/>
          <w:szCs w:val="24"/>
          <w:rtl/>
        </w:rPr>
        <w:t xml:space="preserve"> קוק נאבק כנגדו, על ידי מתיישבים שרחוקים משמירת תורה ומצוות, ובכל זאת מכנה אותה </w:t>
      </w:r>
      <w:proofErr w:type="spellStart"/>
      <w:r w:rsidRPr="00E12749">
        <w:rPr>
          <w:b w:val="0"/>
          <w:bCs w:val="0"/>
          <w:szCs w:val="24"/>
          <w:rtl/>
        </w:rPr>
        <w:t>הראי"ה</w:t>
      </w:r>
      <w:proofErr w:type="spellEnd"/>
      <w:r w:rsidRPr="00E12749">
        <w:rPr>
          <w:b w:val="0"/>
          <w:bCs w:val="0"/>
          <w:szCs w:val="24"/>
          <w:rtl/>
        </w:rPr>
        <w:t xml:space="preserve"> קוק בשם "זכר לביכורים". לא רק זאת. ההקפדה שלא לקרוא לפירות בשם ביכורים, רק זכר לביכורים, מזכירה תחומים אחרים בהם הנהיגו לעשות זכר למה שהיה במקדש, אך הקפידו לומר שהדבר הוא רק זכר, ולא </w:t>
      </w:r>
      <w:proofErr w:type="spellStart"/>
      <w:r w:rsidRPr="00E12749">
        <w:rPr>
          <w:b w:val="0"/>
          <w:bCs w:val="0"/>
          <w:szCs w:val="24"/>
          <w:rtl/>
        </w:rPr>
        <w:t>המצוה</w:t>
      </w:r>
      <w:proofErr w:type="spellEnd"/>
      <w:r w:rsidRPr="00E12749">
        <w:rPr>
          <w:b w:val="0"/>
          <w:bCs w:val="0"/>
          <w:szCs w:val="24"/>
          <w:rtl/>
        </w:rPr>
        <w:t xml:space="preserve"> עצמה. כמו: </w:t>
      </w:r>
      <w:r w:rsidRPr="00E12749">
        <w:rPr>
          <w:b w:val="0"/>
          <w:bCs w:val="0"/>
          <w:snapToGrid w:val="0"/>
          <w:szCs w:val="24"/>
          <w:rtl/>
        </w:rPr>
        <w:t xml:space="preserve">"אסור לו לאדם שיאמר בשר זה לפסח הוא, מפני שנראה כמקדיש בהמתו, ואוכל קדשים בחוץ" (פסחים </w:t>
      </w:r>
      <w:proofErr w:type="spellStart"/>
      <w:r w:rsidRPr="00E12749">
        <w:rPr>
          <w:b w:val="0"/>
          <w:bCs w:val="0"/>
          <w:snapToGrid w:val="0"/>
          <w:szCs w:val="24"/>
          <w:rtl/>
        </w:rPr>
        <w:t>נג</w:t>
      </w:r>
      <w:proofErr w:type="spellEnd"/>
      <w:r w:rsidRPr="00E12749">
        <w:rPr>
          <w:b w:val="0"/>
          <w:bCs w:val="0"/>
          <w:snapToGrid w:val="0"/>
          <w:szCs w:val="24"/>
          <w:rtl/>
        </w:rPr>
        <w:t xml:space="preserve"> ע"א); </w:t>
      </w:r>
      <w:r w:rsidRPr="00E12749">
        <w:rPr>
          <w:b w:val="0"/>
          <w:bCs w:val="0"/>
          <w:szCs w:val="24"/>
          <w:rtl/>
        </w:rPr>
        <w:t>שלא לומר על מטבעות שהם מחצית השקל (</w:t>
      </w:r>
      <w:r w:rsidRPr="00E12749">
        <w:rPr>
          <w:b w:val="0"/>
          <w:bCs w:val="0"/>
          <w:sz w:val="22"/>
          <w:szCs w:val="24"/>
          <w:rtl/>
        </w:rPr>
        <w:t>תשובות הגאונים מזרח ומערב סימן מ), ועוד.</w:t>
      </w:r>
    </w:p>
    <w:p w:rsidR="000664A7" w:rsidRPr="00E12749" w:rsidRDefault="000664A7" w:rsidP="000664A7">
      <w:pPr>
        <w:pStyle w:val="af0"/>
        <w:spacing w:line="360" w:lineRule="auto"/>
        <w:jc w:val="both"/>
        <w:rPr>
          <w:b w:val="0"/>
          <w:bCs w:val="0"/>
          <w:szCs w:val="24"/>
          <w:rtl/>
        </w:rPr>
      </w:pPr>
      <w:r w:rsidRPr="00E12749">
        <w:rPr>
          <w:b w:val="0"/>
          <w:bCs w:val="0"/>
          <w:sz w:val="22"/>
          <w:szCs w:val="24"/>
          <w:rtl/>
        </w:rPr>
        <w:t>עם זאת יש לזכור ש</w:t>
      </w:r>
      <w:r w:rsidRPr="00E12749">
        <w:rPr>
          <w:b w:val="0"/>
          <w:bCs w:val="0"/>
          <w:szCs w:val="24"/>
          <w:rtl/>
        </w:rPr>
        <w:t xml:space="preserve">הנהגה זו היא רק זכר ולא </w:t>
      </w:r>
      <w:proofErr w:type="spellStart"/>
      <w:r w:rsidRPr="00E12749">
        <w:rPr>
          <w:b w:val="0"/>
          <w:bCs w:val="0"/>
          <w:szCs w:val="24"/>
          <w:rtl/>
        </w:rPr>
        <w:t>המצוה</w:t>
      </w:r>
      <w:proofErr w:type="spellEnd"/>
      <w:r w:rsidRPr="00E12749">
        <w:rPr>
          <w:b w:val="0"/>
          <w:bCs w:val="0"/>
          <w:szCs w:val="24"/>
          <w:rtl/>
        </w:rPr>
        <w:t xml:space="preserve"> עצמה. לשם קיום </w:t>
      </w:r>
      <w:proofErr w:type="spellStart"/>
      <w:r w:rsidRPr="00E12749">
        <w:rPr>
          <w:b w:val="0"/>
          <w:bCs w:val="0"/>
          <w:szCs w:val="24"/>
          <w:rtl/>
        </w:rPr>
        <w:t>המצוה</w:t>
      </w:r>
      <w:proofErr w:type="spellEnd"/>
      <w:r w:rsidRPr="00E12749">
        <w:rPr>
          <w:b w:val="0"/>
          <w:bCs w:val="0"/>
          <w:szCs w:val="24"/>
          <w:rtl/>
        </w:rPr>
        <w:t xml:space="preserve"> במלואה נדרש בית מקדש, ממלכה וחיים שלמים של האומה בארצה דבר שאין לנו כיום הזה. כך הדגיש גם הרב צבי יהודה הכהן קוק:</w:t>
      </w:r>
    </w:p>
    <w:p w:rsidR="000664A7" w:rsidRPr="00E12749" w:rsidRDefault="000664A7" w:rsidP="000664A7">
      <w:pPr>
        <w:pStyle w:val="6"/>
        <w:ind w:left="720"/>
        <w:jc w:val="both"/>
        <w:rPr>
          <w:rtl/>
        </w:rPr>
      </w:pPr>
      <w:r w:rsidRPr="00E12749">
        <w:rPr>
          <w:rtl/>
        </w:rPr>
        <w:t xml:space="preserve">כל כניסתנו והתכנסותנו אל ארץ ישראל מרוכזת ומופנית היא בבנינו </w:t>
      </w:r>
      <w:proofErr w:type="spellStart"/>
      <w:r w:rsidRPr="00E12749">
        <w:rPr>
          <w:rtl/>
        </w:rPr>
        <w:t>ובענינו</w:t>
      </w:r>
      <w:proofErr w:type="spellEnd"/>
      <w:r w:rsidRPr="00E12749">
        <w:rPr>
          <w:rtl/>
        </w:rPr>
        <w:t xml:space="preserve"> של בית הבחירה, אשר פאר קדשו ושפעי עוזו ממלא וחודר את כל ארץ ישראל לכל ערכי מדרגותיה. הקדושה הכפולה על עמידתנו על הר סיני, מכוונת ומגיעה, בכל טהרת </w:t>
      </w:r>
      <w:proofErr w:type="spellStart"/>
      <w:r w:rsidRPr="00E12749">
        <w:rPr>
          <w:rtl/>
        </w:rPr>
        <w:t>אמתתה</w:t>
      </w:r>
      <w:proofErr w:type="spellEnd"/>
      <w:r w:rsidRPr="00E12749">
        <w:rPr>
          <w:rtl/>
        </w:rPr>
        <w:t xml:space="preserve"> ותמימותה בקביעות יציבותנו בנחלת סגולתנו ב"מקומנו הטבעי לנו" (מהר"ל, נצח ישראל פרק א), בישיבת רובנו ושלטוננו עליה (חינוך מצוה </w:t>
      </w:r>
      <w:proofErr w:type="spellStart"/>
      <w:r w:rsidRPr="00E12749">
        <w:rPr>
          <w:rtl/>
        </w:rPr>
        <w:t>צה</w:t>
      </w:r>
      <w:proofErr w:type="spellEnd"/>
      <w:r w:rsidRPr="00E12749">
        <w:rPr>
          <w:rtl/>
        </w:rPr>
        <w:t>), "</w:t>
      </w:r>
      <w:proofErr w:type="spellStart"/>
      <w:r w:rsidRPr="00E12749">
        <w:rPr>
          <w:rtl/>
        </w:rPr>
        <w:t>ויתן</w:t>
      </w:r>
      <w:proofErr w:type="spellEnd"/>
      <w:r w:rsidRPr="00E12749">
        <w:rPr>
          <w:rtl/>
        </w:rPr>
        <w:t xml:space="preserve"> להם ארצות גוים ועמל </w:t>
      </w:r>
      <w:proofErr w:type="spellStart"/>
      <w:r w:rsidRPr="00E12749">
        <w:rPr>
          <w:rtl/>
        </w:rPr>
        <w:t>לאמים</w:t>
      </w:r>
      <w:proofErr w:type="spellEnd"/>
      <w:r w:rsidRPr="00E12749">
        <w:rPr>
          <w:rtl/>
        </w:rPr>
        <w:t xml:space="preserve"> יירשו בעבור ישמרו חוקיו ותורותיו </w:t>
      </w:r>
      <w:proofErr w:type="spellStart"/>
      <w:r w:rsidRPr="00E12749">
        <w:rPr>
          <w:rtl/>
        </w:rPr>
        <w:t>ינצורו</w:t>
      </w:r>
      <w:proofErr w:type="spellEnd"/>
      <w:r w:rsidRPr="00E12749">
        <w:rPr>
          <w:rtl/>
        </w:rPr>
        <w:t xml:space="preserve">" (תהילים </w:t>
      </w:r>
      <w:proofErr w:type="spellStart"/>
      <w:r w:rsidRPr="00E12749">
        <w:rPr>
          <w:rtl/>
        </w:rPr>
        <w:t>קה</w:t>
      </w:r>
      <w:proofErr w:type="spellEnd"/>
      <w:r w:rsidRPr="00E12749">
        <w:rPr>
          <w:rtl/>
        </w:rPr>
        <w:t xml:space="preserve">, מד </w:t>
      </w:r>
      <w:r w:rsidRPr="00E12749">
        <w:t>–</w:t>
      </w:r>
      <w:r w:rsidRPr="00E12749">
        <w:rPr>
          <w:rtl/>
        </w:rPr>
        <w:t xml:space="preserve"> מה), ו"מרום מראשון מרום מקדשנו" (ירמיהו יז, </w:t>
      </w:r>
      <w:proofErr w:type="spellStart"/>
      <w:r w:rsidRPr="00E12749">
        <w:rPr>
          <w:rtl/>
        </w:rPr>
        <w:t>יב</w:t>
      </w:r>
      <w:proofErr w:type="spellEnd"/>
      <w:r w:rsidRPr="00E12749">
        <w:rPr>
          <w:rtl/>
        </w:rPr>
        <w:t xml:space="preserve">).  </w:t>
      </w:r>
      <w:r w:rsidRPr="00E12749">
        <w:rPr>
          <w:b/>
          <w:bCs/>
          <w:rtl/>
        </w:rPr>
        <w:t>בכורי תנובות שדותינ</w:t>
      </w:r>
      <w:r w:rsidRPr="00E12749">
        <w:rPr>
          <w:rtl/>
        </w:rPr>
        <w:t xml:space="preserve">ו עם בכורי חיינו הפנימיים, של </w:t>
      </w:r>
      <w:proofErr w:type="spellStart"/>
      <w:r w:rsidRPr="00E12749">
        <w:rPr>
          <w:rtl/>
        </w:rPr>
        <w:t>הויתנו</w:t>
      </w:r>
      <w:proofErr w:type="spellEnd"/>
      <w:r w:rsidRPr="00E12749">
        <w:rPr>
          <w:rtl/>
        </w:rPr>
        <w:t xml:space="preserve"> העצמית, </w:t>
      </w:r>
      <w:r w:rsidRPr="00E12749">
        <w:rPr>
          <w:b/>
          <w:bCs/>
          <w:rtl/>
        </w:rPr>
        <w:t xml:space="preserve">עולים ומתרוממים אל הר הבית בקדושתו של חג שבועותינו התמימות, </w:t>
      </w:r>
      <w:r w:rsidRPr="00E12749">
        <w:rPr>
          <w:rtl/>
        </w:rPr>
        <w:t>זמן מתן תורתנו ותוקף קבלתנו אותה, בהיות כולנו כאיש אחד חברים בו.</w:t>
      </w:r>
      <w:r w:rsidRPr="00E12749">
        <w:rPr>
          <w:rStyle w:val="a5"/>
          <w:rtl/>
        </w:rPr>
        <w:footnoteReference w:id="29"/>
      </w:r>
      <w:r w:rsidRPr="00E12749">
        <w:rPr>
          <w:rtl/>
        </w:rPr>
        <w:t xml:space="preserve"> </w:t>
      </w:r>
    </w:p>
    <w:p w:rsidR="000664A7" w:rsidRPr="00E12749" w:rsidRDefault="000664A7" w:rsidP="000664A7">
      <w:pPr>
        <w:pStyle w:val="21"/>
        <w:rPr>
          <w:rtl/>
        </w:rPr>
      </w:pPr>
      <w:r w:rsidRPr="00E12749">
        <w:rPr>
          <w:rtl/>
        </w:rPr>
        <w:t xml:space="preserve">חגיגת ביכורים זו פשטה גם </w:t>
      </w:r>
      <w:proofErr w:type="spellStart"/>
      <w:r w:rsidRPr="00E12749">
        <w:rPr>
          <w:rtl/>
        </w:rPr>
        <w:t>לישובי</w:t>
      </w:r>
      <w:proofErr w:type="spellEnd"/>
      <w:r w:rsidRPr="00E12749">
        <w:rPr>
          <w:rtl/>
        </w:rPr>
        <w:t xml:space="preserve"> הקיבוץ הדתי. לפני חג השבועות תש"ד, פנו חברי קבוצת טירת צבי בעמק בית שאן, לרב יוחנן זרחי, רב ראשי בטבריה:</w:t>
      </w:r>
      <w:r w:rsidRPr="00E12749">
        <w:rPr>
          <w:rStyle w:val="a5"/>
          <w:rtl/>
        </w:rPr>
        <w:footnoteReference w:id="30"/>
      </w:r>
      <w:r w:rsidRPr="00E12749">
        <w:rPr>
          <w:rtl/>
        </w:rPr>
        <w:t xml:space="preserve"> </w:t>
      </w:r>
    </w:p>
    <w:p w:rsidR="000664A7" w:rsidRPr="00E12749" w:rsidRDefault="000664A7" w:rsidP="000664A7">
      <w:pPr>
        <w:pStyle w:val="21"/>
        <w:ind w:left="720"/>
        <w:rPr>
          <w:rtl/>
        </w:rPr>
      </w:pPr>
      <w:r w:rsidRPr="00E12749">
        <w:rPr>
          <w:rtl/>
        </w:rPr>
        <w:lastRenderedPageBreak/>
        <w:t xml:space="preserve">על דבר מה </w:t>
      </w:r>
      <w:proofErr w:type="spellStart"/>
      <w:r w:rsidRPr="00E12749">
        <w:rPr>
          <w:rtl/>
        </w:rPr>
        <w:t>שנוהגין</w:t>
      </w:r>
      <w:proofErr w:type="spellEnd"/>
      <w:r w:rsidRPr="00E12749">
        <w:rPr>
          <w:rtl/>
        </w:rPr>
        <w:t xml:space="preserve"> בארץ ישראל מנהג ביכורים, שבשביל הנוער ובעיקר בשביל הילדים זהו עונג רוחני ושמחת נפש, כי עושים זאת בלהבת קדש ובחגיגיות יתרה. אם אין בזה משום קדשים בחוץ.</w:t>
      </w:r>
    </w:p>
    <w:p w:rsidR="000664A7" w:rsidRPr="00E12749" w:rsidRDefault="000664A7" w:rsidP="000664A7">
      <w:pPr>
        <w:pStyle w:val="21"/>
        <w:rPr>
          <w:rtl/>
        </w:rPr>
      </w:pPr>
      <w:r w:rsidRPr="00E12749">
        <w:rPr>
          <w:rtl/>
        </w:rPr>
        <w:t xml:space="preserve"> תשובתו </w:t>
      </w:r>
      <w:proofErr w:type="spellStart"/>
      <w:r w:rsidRPr="00E12749">
        <w:rPr>
          <w:rtl/>
        </w:rPr>
        <w:t>היתה</w:t>
      </w:r>
      <w:proofErr w:type="spellEnd"/>
      <w:r w:rsidRPr="00E12749">
        <w:rPr>
          <w:rtl/>
        </w:rPr>
        <w:t xml:space="preserve"> שיעשו את החגיגה מדברים שאין מביאים מהם ביכורים כמו תפוחי אדמה, עגבניות גזר, ביצים וכד', וגם אם מביאים מדברים שמביאים מהם ביכורים, יכריזו מראש שזה רק סמל לזכר העבר ושאין מקדישים את הפירות לביכורים, והם חולין לכל דבר, "ואין זה אלא מתנה לקרן קיימת או למה שאתם רוצים, זכר לזמן המקדש, כמו שאנו עושים </w:t>
      </w:r>
      <w:proofErr w:type="spellStart"/>
      <w:r w:rsidRPr="00E12749">
        <w:rPr>
          <w:rtl/>
        </w:rPr>
        <w:t>זכרונות</w:t>
      </w:r>
      <w:proofErr w:type="spellEnd"/>
      <w:r w:rsidRPr="00E12749">
        <w:rPr>
          <w:rtl/>
        </w:rPr>
        <w:t xml:space="preserve"> לכמה דברים". הרב זרחי לא הסתפק בתשובתו, והפנה את השאלה לראשון לציון - הרב בן ציון מאיר חי עוזיאל.</w:t>
      </w:r>
      <w:r w:rsidRPr="00E12749">
        <w:rPr>
          <w:rStyle w:val="a5"/>
          <w:rtl/>
        </w:rPr>
        <w:footnoteReference w:id="31"/>
      </w:r>
      <w:r w:rsidRPr="00E12749">
        <w:rPr>
          <w:rtl/>
        </w:rPr>
        <w:t xml:space="preserve"> בשאלתו לרב עוזיאל הוא מפרט את שכתב בתשובתו הראשונה לחברי הקיבוץ, אך פנייתו היא מפני: "שיש שם חסידים גמורים החוששים על כל דבר שיש בו חשש איסור ורוצים שאם זה מותר להראות להם דין מפורש על ביכורים ולא </w:t>
      </w:r>
      <w:proofErr w:type="spellStart"/>
      <w:r w:rsidRPr="00E12749">
        <w:rPr>
          <w:rtl/>
        </w:rPr>
        <w:t>למילף</w:t>
      </w:r>
      <w:proofErr w:type="spellEnd"/>
      <w:r w:rsidRPr="00E12749">
        <w:rPr>
          <w:rtl/>
        </w:rPr>
        <w:t xml:space="preserve"> מילתא למילתא". במקביל הוא כותב שוב לחברי טירת צבי, וכותב שהלכה היא שביכורים נוהגים רק בפני הבית, והלכה כר' שמעון האומר שביכורים כיום אינם קדש. </w:t>
      </w:r>
    </w:p>
    <w:p w:rsidR="000664A7" w:rsidRPr="00E12749" w:rsidRDefault="000664A7" w:rsidP="000664A7">
      <w:pPr>
        <w:pStyle w:val="21"/>
        <w:rPr>
          <w:rtl/>
        </w:rPr>
      </w:pPr>
      <w:r w:rsidRPr="00E12749">
        <w:rPr>
          <w:rtl/>
        </w:rPr>
        <w:t xml:space="preserve">הרב עוזיאל משיב, שאכן שאלה זו נשאל כבר </w:t>
      </w:r>
      <w:proofErr w:type="spellStart"/>
      <w:r w:rsidRPr="00E12749">
        <w:rPr>
          <w:rtl/>
        </w:rPr>
        <w:t>הראי"ה</w:t>
      </w:r>
      <w:proofErr w:type="spellEnd"/>
      <w:r w:rsidRPr="00E12749">
        <w:rPr>
          <w:rtl/>
        </w:rPr>
        <w:t xml:space="preserve"> קוק: </w:t>
      </w:r>
      <w:r w:rsidRPr="00E12749">
        <w:rPr>
          <w:b/>
          <w:bCs/>
          <w:rtl/>
        </w:rPr>
        <w:t>"וזכורני שאז יצאה הוראתו לומר 'זכר לביכורים'"</w:t>
      </w:r>
      <w:r w:rsidRPr="00E12749">
        <w:rPr>
          <w:rtl/>
        </w:rPr>
        <w:t xml:space="preserve">. הוא מאריך להסביר שבכורים נוהגים רק בזמן הבית, ושהלכה היא כר' שמעון שהמקדיש בכורים בזמן הזה אינם קודש, וכך גם לדעת הרמב"ם, וכן אין לחוש לקריאת שם ביכורים אף על פירות שבעת המינים.  אלא שכשם שנהגו לומר על מטבעות- זכר למחצית השקל, כך יש לעשות כאן:  </w:t>
      </w:r>
    </w:p>
    <w:p w:rsidR="000664A7" w:rsidRPr="00E12749" w:rsidRDefault="000664A7" w:rsidP="000664A7">
      <w:pPr>
        <w:pStyle w:val="21"/>
        <w:ind w:left="720"/>
        <w:rPr>
          <w:rtl/>
        </w:rPr>
      </w:pPr>
      <w:r w:rsidRPr="00E12749">
        <w:rPr>
          <w:rtl/>
        </w:rPr>
        <w:t xml:space="preserve">מינה נלמד לביכורים שמותר לעשות זאת באמירת 'זכר לביכורים' וכהוראת הגאון </w:t>
      </w:r>
      <w:proofErr w:type="spellStart"/>
      <w:r w:rsidRPr="00E12749">
        <w:rPr>
          <w:rtl/>
        </w:rPr>
        <w:t>מהרי"ק</w:t>
      </w:r>
      <w:proofErr w:type="spellEnd"/>
      <w:r w:rsidRPr="00E12749">
        <w:rPr>
          <w:rtl/>
        </w:rPr>
        <w:t xml:space="preserve"> (=</w:t>
      </w:r>
      <w:proofErr w:type="spellStart"/>
      <w:r w:rsidRPr="00E12749">
        <w:rPr>
          <w:rtl/>
        </w:rPr>
        <w:t>הראי"ה</w:t>
      </w:r>
      <w:proofErr w:type="spellEnd"/>
      <w:r w:rsidRPr="00E12749">
        <w:rPr>
          <w:rtl/>
        </w:rPr>
        <w:t xml:space="preserve"> קוק) זצוק"ל, ויש בזה צד חיובי לזכור את חורבן המקדש ולאמץ </w:t>
      </w:r>
      <w:proofErr w:type="spellStart"/>
      <w:r w:rsidRPr="00E12749">
        <w:rPr>
          <w:rtl/>
        </w:rPr>
        <w:t>תקותנו</w:t>
      </w:r>
      <w:proofErr w:type="spellEnd"/>
      <w:r w:rsidRPr="00E12749">
        <w:rPr>
          <w:rtl/>
        </w:rPr>
        <w:t xml:space="preserve"> לבנינו. אולם דבר זה צריך להיות ברור שאין לקרוא פרשת ביכורים לא כולה ולא אפילו חלק ממנה בחגיגת ביכורים זאת שאנו עושים בארצנו. </w:t>
      </w:r>
      <w:r w:rsidRPr="00E12749">
        <w:t>…</w:t>
      </w:r>
      <w:r w:rsidRPr="00E12749">
        <w:rPr>
          <w:rtl/>
        </w:rPr>
        <w:t xml:space="preserve">קריאת פרשת הביכורים אינה נוהגת אלא בפני הבית ובקרבן שיר ותנופה ולינה (רמב"ם הלכות ביכורים ד, א), </w:t>
      </w:r>
      <w:proofErr w:type="spellStart"/>
      <w:r w:rsidRPr="00E12749">
        <w:rPr>
          <w:rtl/>
        </w:rPr>
        <w:t>וכדכתיב</w:t>
      </w:r>
      <w:proofErr w:type="spellEnd"/>
      <w:r w:rsidRPr="00E12749">
        <w:rPr>
          <w:rtl/>
        </w:rPr>
        <w:t xml:space="preserve">: "והנחתו לפני ה' אלוקיך, </w:t>
      </w:r>
      <w:proofErr w:type="spellStart"/>
      <w:r w:rsidRPr="00E12749">
        <w:rPr>
          <w:rtl/>
        </w:rPr>
        <w:t>והשתחוית</w:t>
      </w:r>
      <w:proofErr w:type="spellEnd"/>
      <w:r w:rsidRPr="00E12749">
        <w:rPr>
          <w:rtl/>
        </w:rPr>
        <w:t xml:space="preserve"> לפני ה' אלוקיך (דברים </w:t>
      </w:r>
      <w:proofErr w:type="spellStart"/>
      <w:r w:rsidRPr="00E12749">
        <w:rPr>
          <w:rtl/>
        </w:rPr>
        <w:t>כו</w:t>
      </w:r>
      <w:proofErr w:type="spellEnd"/>
      <w:r w:rsidRPr="00E12749">
        <w:rPr>
          <w:rtl/>
        </w:rPr>
        <w:t>, י</w:t>
      </w:r>
      <w:proofErr w:type="gramStart"/>
      <w:r w:rsidRPr="00E12749">
        <w:rPr>
          <w:rtl/>
        </w:rPr>
        <w:t xml:space="preserve">)  </w:t>
      </w:r>
      <w:r w:rsidRPr="00E12749">
        <w:t>…</w:t>
      </w:r>
      <w:proofErr w:type="gramEnd"/>
      <w:r w:rsidRPr="00E12749">
        <w:rPr>
          <w:rtl/>
        </w:rPr>
        <w:t>וענית ואמרת לפני ה' אלוקיך" (שם ה). ועתה שבעונותינו שרבו, אין אנו יכולים לקיים מצוה זאת אין מצוה קריאה נוהגת, וחוששני שיש איסור בדבר מדין אוכל קדשים בחוץ, והוא הדין קריאת פרשת ביכורים בחוץ.</w:t>
      </w:r>
    </w:p>
    <w:p w:rsidR="000664A7" w:rsidRPr="00E12749" w:rsidRDefault="000664A7" w:rsidP="000664A7">
      <w:pPr>
        <w:pStyle w:val="21"/>
        <w:ind w:left="720"/>
        <w:rPr>
          <w:rtl/>
        </w:rPr>
      </w:pPr>
      <w:r w:rsidRPr="00E12749">
        <w:rPr>
          <w:rtl/>
        </w:rPr>
        <w:t xml:space="preserve">ולכן אין </w:t>
      </w:r>
      <w:proofErr w:type="spellStart"/>
      <w:r w:rsidRPr="00E12749">
        <w:rPr>
          <w:rtl/>
        </w:rPr>
        <w:t>להמנע</w:t>
      </w:r>
      <w:proofErr w:type="spellEnd"/>
      <w:r w:rsidRPr="00E12749">
        <w:rPr>
          <w:rtl/>
        </w:rPr>
        <w:t xml:space="preserve"> מחגיגה זאת שיש בה הודאה לשעבר ותפילה לעתיד ותחזינה </w:t>
      </w:r>
      <w:proofErr w:type="spellStart"/>
      <w:r w:rsidRPr="00E12749">
        <w:rPr>
          <w:rtl/>
        </w:rPr>
        <w:t>עיננינו</w:t>
      </w:r>
      <w:proofErr w:type="spellEnd"/>
      <w:r w:rsidRPr="00E12749">
        <w:rPr>
          <w:rtl/>
        </w:rPr>
        <w:t xml:space="preserve"> בשובך לציון כבתחילה, וכך נאה ומחויב עלינו לזכור את חורבן ירושלים והמקדש בראש כל שמחותינו בכדי שנזכה לשמוח </w:t>
      </w:r>
      <w:proofErr w:type="spellStart"/>
      <w:r w:rsidRPr="00E12749">
        <w:rPr>
          <w:rtl/>
        </w:rPr>
        <w:t>בבנינה</w:t>
      </w:r>
      <w:proofErr w:type="spellEnd"/>
      <w:r w:rsidRPr="00E12749">
        <w:rPr>
          <w:rtl/>
        </w:rPr>
        <w:t xml:space="preserve">. </w:t>
      </w:r>
    </w:p>
    <w:p w:rsidR="000664A7" w:rsidRPr="00E12749" w:rsidRDefault="000664A7" w:rsidP="000664A7">
      <w:pPr>
        <w:pStyle w:val="21"/>
        <w:rPr>
          <w:rtl/>
        </w:rPr>
      </w:pPr>
      <w:r w:rsidRPr="00E12749">
        <w:rPr>
          <w:rtl/>
        </w:rPr>
        <w:t xml:space="preserve">גם הרב עוזיאל רואה ערך חיובי בחגיגה זו וממליץ על  אופן קיומה, אם כי הוא שולל את קריאת פרשת הביכורים בעת החגיגה. </w:t>
      </w:r>
      <w:r w:rsidRPr="00E12749">
        <w:rPr>
          <w:rStyle w:val="a5"/>
          <w:rtl/>
        </w:rPr>
        <w:footnoteReference w:id="32"/>
      </w:r>
    </w:p>
    <w:p w:rsidR="000664A7" w:rsidRPr="00E12749" w:rsidRDefault="000664A7" w:rsidP="000664A7">
      <w:pPr>
        <w:pStyle w:val="a3"/>
        <w:bidi/>
        <w:spacing w:line="360" w:lineRule="auto"/>
        <w:jc w:val="both"/>
        <w:rPr>
          <w:rFonts w:cs="David"/>
          <w:szCs w:val="24"/>
          <w:rtl/>
        </w:rPr>
      </w:pPr>
      <w:r w:rsidRPr="00E12749">
        <w:rPr>
          <w:rFonts w:cs="David"/>
          <w:szCs w:val="24"/>
          <w:rtl/>
        </w:rPr>
        <w:t xml:space="preserve">חגיגות זכר ביכורים נזכרו שוב בעת שחידשו את מעמד זכר </w:t>
      </w:r>
      <w:proofErr w:type="spellStart"/>
      <w:r w:rsidRPr="00E12749">
        <w:rPr>
          <w:rFonts w:cs="David"/>
          <w:szCs w:val="24"/>
          <w:rtl/>
        </w:rPr>
        <w:t>להקהל</w:t>
      </w:r>
      <w:proofErr w:type="spellEnd"/>
      <w:r w:rsidRPr="00E12749">
        <w:rPr>
          <w:rFonts w:cs="David"/>
          <w:szCs w:val="24"/>
          <w:rtl/>
        </w:rPr>
        <w:t xml:space="preserve">, בסוכות תש"ו. </w:t>
      </w:r>
      <w:proofErr w:type="spellStart"/>
      <w:r w:rsidRPr="00E12749">
        <w:rPr>
          <w:rFonts w:cs="David"/>
          <w:szCs w:val="24"/>
          <w:rtl/>
        </w:rPr>
        <w:t>הריא"ה</w:t>
      </w:r>
      <w:proofErr w:type="spellEnd"/>
      <w:r w:rsidRPr="00E12749">
        <w:rPr>
          <w:rFonts w:cs="David"/>
          <w:szCs w:val="24"/>
          <w:rtl/>
        </w:rPr>
        <w:t xml:space="preserve"> הרצוג, כתב קונטרס ארוך באשר לחידוש מעמד זכר </w:t>
      </w:r>
      <w:proofErr w:type="spellStart"/>
      <w:r w:rsidRPr="00E12749">
        <w:rPr>
          <w:rFonts w:cs="David"/>
          <w:szCs w:val="24"/>
          <w:rtl/>
        </w:rPr>
        <w:t>להקהל</w:t>
      </w:r>
      <w:proofErr w:type="spellEnd"/>
      <w:r w:rsidRPr="00E12749">
        <w:rPr>
          <w:rFonts w:cs="David"/>
          <w:szCs w:val="24"/>
          <w:rtl/>
        </w:rPr>
        <w:t xml:space="preserve">, בו הוא השיב לטענות מתנגדים. טענה שנשמעה: "כבר ראינו התקלות שיצאו מחידוש של יום הביכורים כידוע". על כך השיב: </w:t>
      </w:r>
    </w:p>
    <w:p w:rsidR="000664A7" w:rsidRPr="00E12749" w:rsidRDefault="000664A7" w:rsidP="000664A7">
      <w:pPr>
        <w:pStyle w:val="a3"/>
        <w:bidi/>
        <w:spacing w:line="360" w:lineRule="auto"/>
        <w:ind w:left="720"/>
        <w:jc w:val="both"/>
        <w:rPr>
          <w:rFonts w:cs="David"/>
          <w:szCs w:val="24"/>
          <w:rtl/>
        </w:rPr>
      </w:pPr>
      <w:r w:rsidRPr="00E12749">
        <w:rPr>
          <w:rFonts w:cs="David"/>
          <w:szCs w:val="24"/>
          <w:rtl/>
        </w:rPr>
        <w:t xml:space="preserve">לדעתי אין כאן צל של דמיון. ראשית, הרי עצם קריאת השם ביכורים בזמן הזה שאין בית הוא שלא כהוגן, אבל איזה נדנוד של מעשה שלא כראוי ח"ו יש בקריאת פרשיות בתורה? ושנית וזה העיקר, הרי </w:t>
      </w:r>
      <w:proofErr w:type="spellStart"/>
      <w:r w:rsidRPr="00E12749">
        <w:rPr>
          <w:rFonts w:cs="David"/>
          <w:szCs w:val="24"/>
          <w:rtl/>
        </w:rPr>
        <w:t>הכל</w:t>
      </w:r>
      <w:proofErr w:type="spellEnd"/>
      <w:r w:rsidRPr="00E12749">
        <w:rPr>
          <w:rFonts w:cs="David"/>
          <w:szCs w:val="24"/>
          <w:rtl/>
        </w:rPr>
        <w:t xml:space="preserve"> תלוי במקור. והרעיון הזה שאנו דנים עליו הוא יצא כאמור לעיל ממקור קדוש </w:t>
      </w:r>
      <w:r w:rsidRPr="00E12749">
        <w:rPr>
          <w:rFonts w:cs="David"/>
          <w:szCs w:val="24"/>
          <w:rtl/>
        </w:rPr>
        <w:lastRenderedPageBreak/>
        <w:t xml:space="preserve">מאותו גאון וצדיק יסוד עולם </w:t>
      </w:r>
      <w:proofErr w:type="spellStart"/>
      <w:r w:rsidRPr="00E12749">
        <w:rPr>
          <w:rFonts w:cs="David"/>
          <w:szCs w:val="24"/>
          <w:rtl/>
        </w:rPr>
        <w:t>האדר"ת</w:t>
      </w:r>
      <w:proofErr w:type="spellEnd"/>
      <w:r w:rsidRPr="00E12749">
        <w:rPr>
          <w:rFonts w:cs="David"/>
          <w:szCs w:val="24"/>
          <w:rtl/>
        </w:rPr>
        <w:t xml:space="preserve">, ונתקדש גם ע"י קודמי החסיד </w:t>
      </w:r>
      <w:proofErr w:type="spellStart"/>
      <w:r w:rsidRPr="00E12749">
        <w:rPr>
          <w:rFonts w:cs="David"/>
          <w:szCs w:val="24"/>
          <w:rtl/>
        </w:rPr>
        <w:t>האמיתי</w:t>
      </w:r>
      <w:proofErr w:type="spellEnd"/>
      <w:r w:rsidRPr="00E12749">
        <w:rPr>
          <w:rFonts w:cs="David"/>
          <w:szCs w:val="24"/>
          <w:rtl/>
        </w:rPr>
        <w:t xml:space="preserve"> מרן אברהם יצחק הכהן קוק זצוק"ל שסמך ידיו על אותו הרעיון הקדוש אלא שלא יצא אל הפועל בימיו מפני סיבות מובנות. </w:t>
      </w:r>
      <w:r w:rsidRPr="00E12749">
        <w:rPr>
          <w:rStyle w:val="a5"/>
          <w:rFonts w:cs="David"/>
          <w:szCs w:val="24"/>
          <w:rtl/>
        </w:rPr>
        <w:footnoteReference w:id="33"/>
      </w:r>
    </w:p>
    <w:p w:rsidR="000664A7" w:rsidRPr="00E12749" w:rsidRDefault="000664A7" w:rsidP="000664A7">
      <w:pPr>
        <w:pStyle w:val="21"/>
        <w:rPr>
          <w:rtl/>
        </w:rPr>
      </w:pPr>
      <w:r w:rsidRPr="00E12749">
        <w:rPr>
          <w:rtl/>
        </w:rPr>
        <w:t xml:space="preserve">גם </w:t>
      </w:r>
      <w:proofErr w:type="spellStart"/>
      <w:r w:rsidRPr="00E12749">
        <w:rPr>
          <w:rtl/>
        </w:rPr>
        <w:t>לריא"ה</w:t>
      </w:r>
      <w:proofErr w:type="spellEnd"/>
      <w:r w:rsidRPr="00E12749">
        <w:rPr>
          <w:rtl/>
        </w:rPr>
        <w:t xml:space="preserve"> הרצוג, אין לקרוא שם ביכורים כיום לפירות, ובדבריו הוא רומז שמקור חגיגות זכר לביכורים באו שלא ממקורות קודש בניגוד למעמד זכר </w:t>
      </w:r>
      <w:proofErr w:type="spellStart"/>
      <w:r w:rsidRPr="00E12749">
        <w:rPr>
          <w:rtl/>
        </w:rPr>
        <w:t>להקהל</w:t>
      </w:r>
      <w:proofErr w:type="spellEnd"/>
      <w:r w:rsidRPr="00E12749">
        <w:rPr>
          <w:rtl/>
        </w:rPr>
        <w:t xml:space="preserve"> שהיוזמה לעשייתו באה ממקור קודש- יוזמתו של </w:t>
      </w:r>
      <w:proofErr w:type="spellStart"/>
      <w:r w:rsidRPr="00E12749">
        <w:rPr>
          <w:rtl/>
        </w:rPr>
        <w:t>האדר"ת</w:t>
      </w:r>
      <w:proofErr w:type="spellEnd"/>
      <w:r w:rsidRPr="00E12749">
        <w:rPr>
          <w:rtl/>
        </w:rPr>
        <w:t>.</w:t>
      </w:r>
      <w:r w:rsidRPr="00E12749">
        <w:rPr>
          <w:rStyle w:val="a5"/>
          <w:rtl/>
        </w:rPr>
        <w:footnoteReference w:id="34"/>
      </w:r>
      <w:r w:rsidRPr="00E12749">
        <w:rPr>
          <w:rtl/>
        </w:rPr>
        <w:t xml:space="preserve"> </w:t>
      </w:r>
    </w:p>
    <w:p w:rsidR="000664A7" w:rsidRPr="00E12749" w:rsidRDefault="000664A7" w:rsidP="000664A7">
      <w:pPr>
        <w:pStyle w:val="21"/>
        <w:rPr>
          <w:szCs w:val="28"/>
          <w:rtl/>
        </w:rPr>
      </w:pPr>
      <w:r w:rsidRPr="00E12749">
        <w:rPr>
          <w:rtl/>
        </w:rPr>
        <w:t xml:space="preserve">כאמור לעיל, גם בשנים אלה ממשיכים לקיים את טקסי הבאת ביכורים בהתיישבות, ואף בגני ילדים ובבתי ספר נהוג לקיים טקסי הבאת ביכורים בימים הסמוכים לחג השבועות. אופי החגיגה שונה </w:t>
      </w:r>
      <w:proofErr w:type="spellStart"/>
      <w:r w:rsidRPr="00E12749">
        <w:rPr>
          <w:rtl/>
        </w:rPr>
        <w:t>מבעבר</w:t>
      </w:r>
      <w:proofErr w:type="spellEnd"/>
      <w:r w:rsidRPr="00E12749">
        <w:rPr>
          <w:rtl/>
        </w:rPr>
        <w:t xml:space="preserve">. היא נושאת אופי של </w:t>
      </w:r>
      <w:proofErr w:type="spellStart"/>
      <w:r w:rsidRPr="00E12749">
        <w:rPr>
          <w:rtl/>
        </w:rPr>
        <w:t>הפינינג</w:t>
      </w:r>
      <w:proofErr w:type="spellEnd"/>
      <w:r w:rsidRPr="00E12749">
        <w:rPr>
          <w:rtl/>
        </w:rPr>
        <w:t xml:space="preserve">, הופעות, שעשועים, ואת מוצרי החקלאות תורמים לגופים שונים- נזקקים חיילי צה"ל וכד'. </w:t>
      </w:r>
    </w:p>
    <w:p w:rsidR="000664A7" w:rsidRPr="00E12749" w:rsidRDefault="000664A7" w:rsidP="000664A7">
      <w:pPr>
        <w:pStyle w:val="af0"/>
        <w:spacing w:line="360" w:lineRule="auto"/>
        <w:jc w:val="both"/>
        <w:rPr>
          <w:szCs w:val="24"/>
        </w:rPr>
      </w:pPr>
      <w:r w:rsidRPr="00E12749">
        <w:rPr>
          <w:szCs w:val="28"/>
          <w:rtl/>
        </w:rPr>
        <w:br w:type="page"/>
      </w:r>
      <w:r w:rsidRPr="00E12749">
        <w:rPr>
          <w:szCs w:val="24"/>
          <w:rtl/>
        </w:rPr>
        <w:lastRenderedPageBreak/>
        <w:t xml:space="preserve"> </w:t>
      </w:r>
    </w:p>
    <w:p w:rsidR="000664A7" w:rsidRPr="00E12749" w:rsidRDefault="000664A7" w:rsidP="000664A7"/>
    <w:p w:rsidR="000664A7" w:rsidRPr="00E12749" w:rsidRDefault="000664A7" w:rsidP="000664A7">
      <w:pPr>
        <w:pStyle w:val="6"/>
        <w:jc w:val="both"/>
      </w:pPr>
    </w:p>
    <w:p w:rsidR="004F196B" w:rsidRDefault="00B76FE8"/>
    <w:sectPr w:rsidR="004F196B">
      <w:headerReference w:type="even" r:id="rId8"/>
      <w:headerReference w:type="default" r:id="rId9"/>
      <w:pgSz w:w="11906" w:h="16838"/>
      <w:pgMar w:top="1440" w:right="1133" w:bottom="1440" w:left="1800"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FE8" w:rsidRDefault="00B76FE8" w:rsidP="000664A7">
      <w:r>
        <w:separator/>
      </w:r>
    </w:p>
  </w:endnote>
  <w:endnote w:type="continuationSeparator" w:id="0">
    <w:p w:rsidR="00B76FE8" w:rsidRDefault="00B76FE8" w:rsidP="0006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Responsa Draw">
    <w:altName w:val="Symbol"/>
    <w:charset w:val="02"/>
    <w:family w:val="auto"/>
    <w:pitch w:val="variable"/>
    <w:sig w:usb0="00000000" w:usb1="10000000" w:usb2="00000000" w:usb3="00000000" w:csb0="80000000" w:csb1="00000000"/>
  </w:font>
  <w:font w:name="Narkisim">
    <w:panose1 w:val="00000000000000000000"/>
    <w:charset w:val="B1"/>
    <w:family w:val="auto"/>
    <w:pitch w:val="variable"/>
    <w:sig w:usb0="00000801" w:usb1="00000000" w:usb2="00000000" w:usb3="00000000" w:csb0="00000020"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Levenim M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FE8" w:rsidRDefault="00B76FE8" w:rsidP="000664A7">
      <w:r>
        <w:separator/>
      </w:r>
    </w:p>
  </w:footnote>
  <w:footnote w:type="continuationSeparator" w:id="0">
    <w:p w:rsidR="00B76FE8" w:rsidRDefault="00B76FE8" w:rsidP="000664A7">
      <w:r>
        <w:continuationSeparator/>
      </w:r>
    </w:p>
  </w:footnote>
  <w:footnote w:id="1">
    <w:p w:rsidR="000664A7" w:rsidRPr="0009095B" w:rsidRDefault="000664A7" w:rsidP="000664A7">
      <w:pPr>
        <w:pStyle w:val="a3"/>
        <w:bidi/>
        <w:jc w:val="both"/>
        <w:rPr>
          <w:rFonts w:cs="David"/>
          <w:sz w:val="22"/>
          <w:szCs w:val="22"/>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ראה: שאול ליברמן, </w:t>
      </w:r>
      <w:proofErr w:type="spellStart"/>
      <w:r w:rsidRPr="0009095B">
        <w:rPr>
          <w:rFonts w:cs="David"/>
          <w:sz w:val="22"/>
          <w:szCs w:val="22"/>
          <w:rtl/>
        </w:rPr>
        <w:t>תוכ"פ</w:t>
      </w:r>
      <w:proofErr w:type="spellEnd"/>
      <w:r w:rsidRPr="0009095B">
        <w:rPr>
          <w:rFonts w:cs="David"/>
          <w:sz w:val="22"/>
          <w:szCs w:val="22"/>
          <w:rtl/>
        </w:rPr>
        <w:t xml:space="preserve">, שקלים עמ' 713. </w:t>
      </w:r>
    </w:p>
  </w:footnote>
  <w:footnote w:id="2">
    <w:p w:rsidR="000664A7" w:rsidRPr="0009095B" w:rsidRDefault="000664A7" w:rsidP="000664A7">
      <w:pPr>
        <w:pStyle w:val="af0"/>
        <w:jc w:val="both"/>
        <w:rPr>
          <w:b w:val="0"/>
          <w:bCs w:val="0"/>
          <w:sz w:val="22"/>
          <w:szCs w:val="22"/>
          <w:rtl/>
        </w:rPr>
      </w:pPr>
      <w:r w:rsidRPr="0009095B">
        <w:rPr>
          <w:rStyle w:val="a5"/>
          <w:sz w:val="22"/>
          <w:szCs w:val="22"/>
        </w:rPr>
        <w:footnoteRef/>
      </w:r>
      <w:r w:rsidRPr="0009095B">
        <w:rPr>
          <w:sz w:val="22"/>
          <w:szCs w:val="22"/>
        </w:rPr>
        <w:t xml:space="preserve"> </w:t>
      </w:r>
      <w:r w:rsidRPr="0009095B">
        <w:rPr>
          <w:b w:val="0"/>
          <w:bCs w:val="0"/>
          <w:sz w:val="22"/>
          <w:szCs w:val="22"/>
          <w:rtl/>
        </w:rPr>
        <w:t xml:space="preserve">ראה מה שהשיג עליו הרב </w:t>
      </w:r>
      <w:proofErr w:type="spellStart"/>
      <w:r w:rsidRPr="0009095B">
        <w:rPr>
          <w:b w:val="0"/>
          <w:bCs w:val="0"/>
          <w:sz w:val="22"/>
          <w:szCs w:val="22"/>
          <w:rtl/>
        </w:rPr>
        <w:t>זעליג</w:t>
      </w:r>
      <w:proofErr w:type="spellEnd"/>
      <w:r w:rsidRPr="0009095B">
        <w:rPr>
          <w:b w:val="0"/>
          <w:bCs w:val="0"/>
          <w:sz w:val="22"/>
          <w:szCs w:val="22"/>
          <w:rtl/>
        </w:rPr>
        <w:t xml:space="preserve"> ראובן </w:t>
      </w:r>
      <w:proofErr w:type="spellStart"/>
      <w:r w:rsidRPr="0009095B">
        <w:rPr>
          <w:b w:val="0"/>
          <w:bCs w:val="0"/>
          <w:sz w:val="22"/>
          <w:szCs w:val="22"/>
          <w:rtl/>
        </w:rPr>
        <w:t>בענגיס</w:t>
      </w:r>
      <w:proofErr w:type="spellEnd"/>
      <w:r w:rsidRPr="0009095B">
        <w:rPr>
          <w:b w:val="0"/>
          <w:bCs w:val="0"/>
          <w:sz w:val="22"/>
          <w:szCs w:val="22"/>
          <w:rtl/>
        </w:rPr>
        <w:t xml:space="preserve">, חידושי </w:t>
      </w:r>
      <w:proofErr w:type="spellStart"/>
      <w:r w:rsidRPr="0009095B">
        <w:rPr>
          <w:b w:val="0"/>
          <w:bCs w:val="0"/>
          <w:sz w:val="22"/>
          <w:szCs w:val="22"/>
          <w:rtl/>
        </w:rPr>
        <w:t>הגרז"ר</w:t>
      </w:r>
      <w:proofErr w:type="spellEnd"/>
      <w:r w:rsidRPr="0009095B">
        <w:rPr>
          <w:b w:val="0"/>
          <w:bCs w:val="0"/>
          <w:sz w:val="22"/>
          <w:szCs w:val="22"/>
          <w:rtl/>
        </w:rPr>
        <w:t xml:space="preserve">, חלק ב סימן </w:t>
      </w:r>
      <w:proofErr w:type="spellStart"/>
      <w:r w:rsidRPr="0009095B">
        <w:rPr>
          <w:b w:val="0"/>
          <w:bCs w:val="0"/>
          <w:sz w:val="22"/>
          <w:szCs w:val="22"/>
          <w:rtl/>
        </w:rPr>
        <w:t>סז</w:t>
      </w:r>
      <w:proofErr w:type="spellEnd"/>
      <w:r w:rsidRPr="0009095B">
        <w:rPr>
          <w:b w:val="0"/>
          <w:bCs w:val="0"/>
          <w:sz w:val="22"/>
          <w:szCs w:val="22"/>
          <w:rtl/>
        </w:rPr>
        <w:t xml:space="preserve"> סעיף א, וכתב בדומה לחזון איש לקמן. </w:t>
      </w:r>
    </w:p>
    <w:p w:rsidR="000664A7" w:rsidRPr="0009095B" w:rsidRDefault="000664A7" w:rsidP="000664A7">
      <w:pPr>
        <w:pStyle w:val="a3"/>
        <w:bidi/>
        <w:jc w:val="both"/>
        <w:rPr>
          <w:rFonts w:cs="David"/>
          <w:sz w:val="22"/>
          <w:szCs w:val="22"/>
        </w:rPr>
      </w:pPr>
    </w:p>
  </w:footnote>
  <w:footnote w:id="3">
    <w:p w:rsidR="000664A7" w:rsidRDefault="000664A7" w:rsidP="000664A7">
      <w:pPr>
        <w:pStyle w:val="a3"/>
        <w:bidi/>
        <w:jc w:val="both"/>
        <w:rPr>
          <w:rFonts w:cs="David" w:hint="cs"/>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הרב גרשון אריאלי, "בדין ביכורים בזמן הזה", נעם, ז (תשכ"ד), עמ' </w:t>
      </w:r>
      <w:proofErr w:type="spellStart"/>
      <w:r w:rsidRPr="0009095B">
        <w:rPr>
          <w:rFonts w:cs="David"/>
          <w:sz w:val="22"/>
          <w:szCs w:val="22"/>
          <w:rtl/>
        </w:rPr>
        <w:t>קצט</w:t>
      </w:r>
      <w:proofErr w:type="spellEnd"/>
      <w:r w:rsidRPr="0009095B">
        <w:rPr>
          <w:rFonts w:cs="David"/>
          <w:sz w:val="22"/>
          <w:szCs w:val="22"/>
          <w:rtl/>
        </w:rPr>
        <w:t xml:space="preserve">- </w:t>
      </w:r>
      <w:proofErr w:type="spellStart"/>
      <w:r w:rsidRPr="0009095B">
        <w:rPr>
          <w:rFonts w:cs="David"/>
          <w:sz w:val="22"/>
          <w:szCs w:val="22"/>
          <w:rtl/>
        </w:rPr>
        <w:t>ריא</w:t>
      </w:r>
      <w:proofErr w:type="spellEnd"/>
      <w:r w:rsidRPr="0009095B">
        <w:rPr>
          <w:rFonts w:cs="David"/>
          <w:sz w:val="22"/>
          <w:szCs w:val="22"/>
          <w:rtl/>
        </w:rPr>
        <w:t xml:space="preserve">. וראה עוד: הרב שלמה חיים ברנשטיין, "ביכורים ושתי הלחם שלא בפני הבית",  שמעתין, 58 (תשל"ט), עמ' 35 </w:t>
      </w:r>
      <w:r>
        <w:rPr>
          <w:rFonts w:cs="David" w:hint="cs"/>
          <w:sz w:val="22"/>
          <w:szCs w:val="22"/>
          <w:rtl/>
        </w:rPr>
        <w:t>-</w:t>
      </w:r>
      <w:r w:rsidRPr="0009095B">
        <w:rPr>
          <w:rFonts w:cs="David"/>
          <w:sz w:val="22"/>
          <w:szCs w:val="22"/>
          <w:rtl/>
        </w:rPr>
        <w:t>37.</w:t>
      </w:r>
    </w:p>
    <w:p w:rsidR="000664A7" w:rsidRPr="0009095B" w:rsidRDefault="000664A7" w:rsidP="000664A7">
      <w:pPr>
        <w:pStyle w:val="a3"/>
        <w:bidi/>
        <w:jc w:val="both"/>
        <w:rPr>
          <w:rFonts w:cs="David"/>
          <w:sz w:val="22"/>
          <w:szCs w:val="22"/>
        </w:rPr>
      </w:pPr>
    </w:p>
  </w:footnote>
  <w:footnote w:id="4">
    <w:p w:rsidR="000664A7" w:rsidRPr="0009095B" w:rsidRDefault="000664A7" w:rsidP="000664A7">
      <w:pPr>
        <w:pStyle w:val="a3"/>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כאן מקום לתקן טעות שנפלה </w:t>
      </w:r>
      <w:proofErr w:type="spellStart"/>
      <w:r w:rsidRPr="0009095B">
        <w:rPr>
          <w:rFonts w:cs="David"/>
          <w:sz w:val="22"/>
          <w:szCs w:val="22"/>
          <w:rtl/>
        </w:rPr>
        <w:t>בגירסה</w:t>
      </w:r>
      <w:proofErr w:type="spellEnd"/>
      <w:r w:rsidRPr="0009095B">
        <w:rPr>
          <w:rFonts w:cs="David"/>
          <w:sz w:val="22"/>
          <w:szCs w:val="22"/>
          <w:rtl/>
        </w:rPr>
        <w:t xml:space="preserve"> ראשונה של המאמר: ביכורי הארץ, כפר דרום: מכון התורה והארץ, תשס"ג עמ' 466, שם נכתב: המקדיש שקלו לבדק הבית אינו קודש. וצריך להיות להיפך: "הרי זו קדש". </w:t>
      </w:r>
    </w:p>
    <w:p w:rsidR="000664A7" w:rsidRPr="0009095B" w:rsidRDefault="000664A7" w:rsidP="000664A7">
      <w:pPr>
        <w:pStyle w:val="a3"/>
        <w:bidi/>
        <w:jc w:val="both"/>
        <w:rPr>
          <w:rFonts w:cs="David"/>
          <w:sz w:val="22"/>
          <w:szCs w:val="22"/>
        </w:rPr>
      </w:pPr>
    </w:p>
  </w:footnote>
  <w:footnote w:id="5">
    <w:p w:rsidR="000664A7" w:rsidRPr="0009095B" w:rsidRDefault="000664A7" w:rsidP="000664A7">
      <w:pPr>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לאחר שהכהן הקדישם לבדק הבית, הם קדושים ויש בהם מעילה. ראה ברמב"ם הל' מעילה ה, א הכותב: "אחד המקדיש לבדק הבית דבר הראוי לחזק הבדק כגון אבן או קורה, </w:t>
      </w:r>
      <w:r w:rsidRPr="0009095B">
        <w:rPr>
          <w:rFonts w:cs="David"/>
          <w:b/>
          <w:bCs/>
          <w:sz w:val="22"/>
          <w:szCs w:val="22"/>
          <w:rtl/>
        </w:rPr>
        <w:t xml:space="preserve">או המקדיש לבדק הבית דבר הראוי למזבח כגון כבשים ותורים, </w:t>
      </w:r>
      <w:r w:rsidRPr="0009095B">
        <w:rPr>
          <w:rFonts w:cs="David"/>
          <w:sz w:val="22"/>
          <w:szCs w:val="22"/>
          <w:rtl/>
        </w:rPr>
        <w:t xml:space="preserve">או המקדיש למזבח דבר הראוי לבדק הבית כגון אבן וקורה, או המקדיש לזה ולזה דברים שאינן </w:t>
      </w:r>
      <w:proofErr w:type="spellStart"/>
      <w:r w:rsidRPr="0009095B">
        <w:rPr>
          <w:rFonts w:cs="David"/>
          <w:sz w:val="22"/>
          <w:szCs w:val="22"/>
          <w:rtl/>
        </w:rPr>
        <w:t>ראויין</w:t>
      </w:r>
      <w:proofErr w:type="spellEnd"/>
      <w:r w:rsidRPr="0009095B">
        <w:rPr>
          <w:rFonts w:cs="David"/>
          <w:sz w:val="22"/>
          <w:szCs w:val="22"/>
          <w:rtl/>
        </w:rPr>
        <w:t xml:space="preserve"> לא לזה ולא לזה, כגון המקדיש </w:t>
      </w:r>
      <w:proofErr w:type="spellStart"/>
      <w:r w:rsidRPr="0009095B">
        <w:rPr>
          <w:rFonts w:cs="David"/>
          <w:sz w:val="22"/>
          <w:szCs w:val="22"/>
          <w:rtl/>
        </w:rPr>
        <w:t>תרנגולין</w:t>
      </w:r>
      <w:proofErr w:type="spellEnd"/>
      <w:r w:rsidRPr="0009095B">
        <w:rPr>
          <w:rFonts w:cs="David"/>
          <w:sz w:val="22"/>
          <w:szCs w:val="22"/>
          <w:rtl/>
        </w:rPr>
        <w:t xml:space="preserve"> וחומץ וציר או קרקע אפילו הקדיש אשפה מליאה זבל או עפר או אפר, </w:t>
      </w:r>
      <w:proofErr w:type="spellStart"/>
      <w:r w:rsidRPr="0009095B">
        <w:rPr>
          <w:rFonts w:cs="David"/>
          <w:sz w:val="22"/>
          <w:szCs w:val="22"/>
          <w:rtl/>
        </w:rPr>
        <w:t>מועלין</w:t>
      </w:r>
      <w:proofErr w:type="spellEnd"/>
      <w:r w:rsidRPr="0009095B">
        <w:rPr>
          <w:rFonts w:cs="David"/>
          <w:sz w:val="22"/>
          <w:szCs w:val="22"/>
          <w:rtl/>
        </w:rPr>
        <w:t xml:space="preserve"> בכולן משעה שהוקדשו עד שיפדו דברים הראויים </w:t>
      </w:r>
      <w:proofErr w:type="spellStart"/>
      <w:r w:rsidRPr="0009095B">
        <w:rPr>
          <w:rFonts w:cs="David"/>
          <w:sz w:val="22"/>
          <w:szCs w:val="22"/>
          <w:rtl/>
        </w:rPr>
        <w:t>להפדות</w:t>
      </w:r>
      <w:proofErr w:type="spellEnd"/>
      <w:r w:rsidRPr="0009095B">
        <w:rPr>
          <w:rFonts w:cs="David"/>
          <w:sz w:val="22"/>
          <w:szCs w:val="22"/>
          <w:rtl/>
        </w:rPr>
        <w:t xml:space="preserve">". לפי זה גם פירות ביכורים יכולים </w:t>
      </w:r>
      <w:proofErr w:type="spellStart"/>
      <w:r w:rsidRPr="0009095B">
        <w:rPr>
          <w:rFonts w:cs="David"/>
          <w:sz w:val="22"/>
          <w:szCs w:val="22"/>
          <w:rtl/>
        </w:rPr>
        <w:t>להכלל</w:t>
      </w:r>
      <w:proofErr w:type="spellEnd"/>
      <w:r w:rsidRPr="0009095B">
        <w:rPr>
          <w:rFonts w:cs="David"/>
          <w:sz w:val="22"/>
          <w:szCs w:val="22"/>
          <w:rtl/>
        </w:rPr>
        <w:t xml:space="preserve"> בדוגמא של הקדיש לבדק הבית דבר הראוי למזבח, וזאת בהנחה שתנופה על המזבח נחשב לראוי למזבח, כהערתו של </w:t>
      </w:r>
      <w:proofErr w:type="spellStart"/>
      <w:r w:rsidRPr="0009095B">
        <w:rPr>
          <w:rFonts w:cs="David"/>
          <w:sz w:val="22"/>
          <w:szCs w:val="22"/>
          <w:rtl/>
        </w:rPr>
        <w:t>הרש"ש</w:t>
      </w:r>
      <w:proofErr w:type="spellEnd"/>
      <w:r w:rsidRPr="0009095B">
        <w:rPr>
          <w:rFonts w:cs="David"/>
          <w:sz w:val="22"/>
          <w:szCs w:val="22"/>
          <w:rtl/>
        </w:rPr>
        <w:t xml:space="preserve"> במעילה </w:t>
      </w:r>
      <w:proofErr w:type="spellStart"/>
      <w:r w:rsidRPr="0009095B">
        <w:rPr>
          <w:rFonts w:cs="David"/>
          <w:sz w:val="22"/>
          <w:szCs w:val="22"/>
          <w:rtl/>
        </w:rPr>
        <w:t>יג</w:t>
      </w:r>
      <w:proofErr w:type="spellEnd"/>
      <w:r w:rsidRPr="0009095B">
        <w:rPr>
          <w:rFonts w:cs="David"/>
          <w:sz w:val="22"/>
          <w:szCs w:val="22"/>
          <w:rtl/>
        </w:rPr>
        <w:t xml:space="preserve"> ע"א (וכ"כ </w:t>
      </w:r>
      <w:proofErr w:type="spellStart"/>
      <w:r w:rsidRPr="0009095B">
        <w:rPr>
          <w:rFonts w:cs="David"/>
          <w:sz w:val="22"/>
          <w:szCs w:val="22"/>
          <w:rtl/>
        </w:rPr>
        <w:t>הרש"ש</w:t>
      </w:r>
      <w:proofErr w:type="spellEnd"/>
      <w:r w:rsidRPr="0009095B">
        <w:rPr>
          <w:rFonts w:cs="David"/>
          <w:sz w:val="22"/>
          <w:szCs w:val="22"/>
          <w:rtl/>
        </w:rPr>
        <w:t xml:space="preserve"> גם </w:t>
      </w:r>
      <w:proofErr w:type="spellStart"/>
      <w:r w:rsidRPr="0009095B">
        <w:rPr>
          <w:rFonts w:cs="David"/>
          <w:sz w:val="22"/>
          <w:szCs w:val="22"/>
          <w:rtl/>
        </w:rPr>
        <w:t>בערכין</w:t>
      </w:r>
      <w:proofErr w:type="spellEnd"/>
      <w:r w:rsidRPr="0009095B">
        <w:rPr>
          <w:rFonts w:cs="David"/>
          <w:sz w:val="22"/>
          <w:szCs w:val="22"/>
          <w:rtl/>
        </w:rPr>
        <w:t xml:space="preserve"> יא ע"א). כך משמע שם מרבנו גרשום. זאת בניגוד לרש"י שם </w:t>
      </w:r>
      <w:proofErr w:type="spellStart"/>
      <w:r w:rsidRPr="0009095B">
        <w:rPr>
          <w:rFonts w:cs="David"/>
          <w:sz w:val="22"/>
          <w:szCs w:val="22"/>
          <w:rtl/>
        </w:rPr>
        <w:t>ולרשב"ם</w:t>
      </w:r>
      <w:proofErr w:type="spellEnd"/>
      <w:r w:rsidRPr="0009095B">
        <w:rPr>
          <w:rFonts w:cs="David"/>
          <w:sz w:val="22"/>
          <w:szCs w:val="22"/>
          <w:rtl/>
        </w:rPr>
        <w:t xml:space="preserve"> </w:t>
      </w:r>
      <w:proofErr w:type="spellStart"/>
      <w:r w:rsidRPr="0009095B">
        <w:rPr>
          <w:rFonts w:cs="David"/>
          <w:sz w:val="22"/>
          <w:szCs w:val="22"/>
          <w:rtl/>
        </w:rPr>
        <w:t>בבבא</w:t>
      </w:r>
      <w:proofErr w:type="spellEnd"/>
      <w:r w:rsidRPr="0009095B">
        <w:rPr>
          <w:rFonts w:cs="David"/>
          <w:sz w:val="22"/>
          <w:szCs w:val="22"/>
          <w:rtl/>
        </w:rPr>
        <w:t xml:space="preserve"> </w:t>
      </w:r>
      <w:proofErr w:type="spellStart"/>
      <w:r w:rsidRPr="0009095B">
        <w:rPr>
          <w:rFonts w:cs="David"/>
          <w:sz w:val="22"/>
          <w:szCs w:val="22"/>
          <w:rtl/>
        </w:rPr>
        <w:t>בתרא</w:t>
      </w:r>
      <w:proofErr w:type="spellEnd"/>
      <w:r w:rsidRPr="0009095B">
        <w:rPr>
          <w:rFonts w:cs="David"/>
          <w:sz w:val="22"/>
          <w:szCs w:val="22"/>
          <w:rtl/>
        </w:rPr>
        <w:t xml:space="preserve"> עט ע"א בד"ה אילן, הכותבים שביכורים נחשבים כדבר שאינו ראוי למזבח, כי לא ניתן להקריב שאור ודבש, למרות שמניפים את הביכורים על המזבח. ראה עוד </w:t>
      </w:r>
      <w:proofErr w:type="spellStart"/>
      <w:r w:rsidRPr="0009095B">
        <w:rPr>
          <w:rFonts w:cs="David"/>
          <w:sz w:val="22"/>
          <w:szCs w:val="22"/>
          <w:rtl/>
        </w:rPr>
        <w:t>ברע"ב</w:t>
      </w:r>
      <w:proofErr w:type="spellEnd"/>
      <w:r w:rsidRPr="0009095B">
        <w:rPr>
          <w:rFonts w:cs="David"/>
          <w:sz w:val="22"/>
          <w:szCs w:val="22"/>
          <w:rtl/>
        </w:rPr>
        <w:t xml:space="preserve"> </w:t>
      </w:r>
      <w:proofErr w:type="spellStart"/>
      <w:r w:rsidRPr="0009095B">
        <w:rPr>
          <w:rFonts w:cs="David"/>
          <w:sz w:val="22"/>
          <w:szCs w:val="22"/>
          <w:rtl/>
        </w:rPr>
        <w:t>ותויו"ט</w:t>
      </w:r>
      <w:proofErr w:type="spellEnd"/>
      <w:r w:rsidRPr="0009095B">
        <w:rPr>
          <w:rFonts w:cs="David"/>
          <w:sz w:val="22"/>
          <w:szCs w:val="22"/>
          <w:rtl/>
        </w:rPr>
        <w:t xml:space="preserve"> במשנה מעילה ג, ו. </w:t>
      </w:r>
    </w:p>
    <w:p w:rsidR="000664A7" w:rsidRPr="0009095B" w:rsidRDefault="000664A7" w:rsidP="000664A7">
      <w:pPr>
        <w:pStyle w:val="a3"/>
        <w:bidi/>
        <w:jc w:val="both"/>
        <w:rPr>
          <w:rFonts w:cs="David"/>
          <w:sz w:val="22"/>
          <w:szCs w:val="22"/>
        </w:rPr>
      </w:pPr>
    </w:p>
  </w:footnote>
  <w:footnote w:id="6">
    <w:p w:rsidR="000664A7" w:rsidRPr="0009095B" w:rsidRDefault="000664A7" w:rsidP="000664A7">
      <w:pPr>
        <w:pStyle w:val="a3"/>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ברקע ההיסטורי של התשובה, ולהתייחסותו של </w:t>
      </w:r>
      <w:proofErr w:type="spellStart"/>
      <w:r w:rsidRPr="0009095B">
        <w:rPr>
          <w:rFonts w:cs="David"/>
          <w:sz w:val="22"/>
          <w:szCs w:val="22"/>
          <w:rtl/>
        </w:rPr>
        <w:t>הראי"ה</w:t>
      </w:r>
      <w:proofErr w:type="spellEnd"/>
      <w:r w:rsidRPr="0009095B">
        <w:rPr>
          <w:rFonts w:cs="David"/>
          <w:sz w:val="22"/>
          <w:szCs w:val="22"/>
          <w:rtl/>
        </w:rPr>
        <w:t xml:space="preserve"> קוק </w:t>
      </w:r>
      <w:proofErr w:type="spellStart"/>
      <w:r w:rsidRPr="0009095B">
        <w:rPr>
          <w:rFonts w:cs="David"/>
          <w:sz w:val="22"/>
          <w:szCs w:val="22"/>
          <w:rtl/>
        </w:rPr>
        <w:t>לענין</w:t>
      </w:r>
      <w:proofErr w:type="spellEnd"/>
      <w:r w:rsidRPr="0009095B">
        <w:rPr>
          <w:rFonts w:cs="David"/>
          <w:sz w:val="22"/>
          <w:szCs w:val="22"/>
          <w:rtl/>
        </w:rPr>
        <w:t xml:space="preserve"> נעסוק לקמן בפרק ג.</w:t>
      </w:r>
    </w:p>
    <w:p w:rsidR="000664A7" w:rsidRPr="0009095B" w:rsidRDefault="000664A7" w:rsidP="000664A7">
      <w:pPr>
        <w:pStyle w:val="a3"/>
        <w:bidi/>
        <w:jc w:val="both"/>
        <w:rPr>
          <w:rFonts w:cs="David"/>
          <w:sz w:val="22"/>
          <w:szCs w:val="22"/>
        </w:rPr>
      </w:pPr>
    </w:p>
  </w:footnote>
  <w:footnote w:id="7">
    <w:p w:rsidR="000664A7" w:rsidRPr="0009095B" w:rsidRDefault="000664A7" w:rsidP="000664A7">
      <w:pPr>
        <w:pStyle w:val="a3"/>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בברכות מד ע"ב נאמר: "כל נפש משיב נפש. אמר רב </w:t>
      </w:r>
      <w:proofErr w:type="spellStart"/>
      <w:r w:rsidRPr="0009095B">
        <w:rPr>
          <w:rFonts w:cs="David"/>
          <w:sz w:val="22"/>
          <w:szCs w:val="22"/>
          <w:rtl/>
        </w:rPr>
        <w:t>פפא</w:t>
      </w:r>
      <w:proofErr w:type="spellEnd"/>
      <w:r w:rsidRPr="0009095B">
        <w:rPr>
          <w:rFonts w:cs="David"/>
          <w:sz w:val="22"/>
          <w:szCs w:val="22"/>
          <w:rtl/>
        </w:rPr>
        <w:t xml:space="preserve">: אפילו </w:t>
      </w:r>
      <w:proofErr w:type="spellStart"/>
      <w:r w:rsidRPr="0009095B">
        <w:rPr>
          <w:rFonts w:cs="David"/>
          <w:sz w:val="22"/>
          <w:szCs w:val="22"/>
          <w:rtl/>
        </w:rPr>
        <w:t>גילדני</w:t>
      </w:r>
      <w:proofErr w:type="spellEnd"/>
      <w:r w:rsidRPr="0009095B">
        <w:rPr>
          <w:rFonts w:cs="David"/>
          <w:sz w:val="22"/>
          <w:szCs w:val="22"/>
          <w:rtl/>
        </w:rPr>
        <w:t xml:space="preserve"> דבי גילי". יתכן שלאותו אדם </w:t>
      </w:r>
      <w:proofErr w:type="spellStart"/>
      <w:r w:rsidRPr="0009095B">
        <w:rPr>
          <w:rFonts w:cs="David"/>
          <w:sz w:val="22"/>
          <w:szCs w:val="22"/>
          <w:rtl/>
        </w:rPr>
        <w:t>היתה</w:t>
      </w:r>
      <w:proofErr w:type="spellEnd"/>
      <w:r w:rsidRPr="0009095B">
        <w:rPr>
          <w:rFonts w:cs="David"/>
          <w:sz w:val="22"/>
          <w:szCs w:val="22"/>
          <w:rtl/>
        </w:rPr>
        <w:t xml:space="preserve"> כונה מסוימת בכך שהוא הביא דבר שמשיב נפש. </w:t>
      </w:r>
    </w:p>
    <w:p w:rsidR="000664A7" w:rsidRPr="0009095B" w:rsidRDefault="000664A7" w:rsidP="000664A7">
      <w:pPr>
        <w:pStyle w:val="a3"/>
        <w:bidi/>
        <w:jc w:val="both"/>
        <w:rPr>
          <w:rFonts w:cs="David"/>
          <w:sz w:val="22"/>
          <w:szCs w:val="22"/>
        </w:rPr>
      </w:pPr>
    </w:p>
  </w:footnote>
  <w:footnote w:id="8">
    <w:p w:rsidR="000664A7" w:rsidRPr="0009095B" w:rsidRDefault="000664A7" w:rsidP="000664A7">
      <w:pPr>
        <w:pStyle w:val="a3"/>
        <w:bidi/>
        <w:jc w:val="both"/>
        <w:rPr>
          <w:rFonts w:cs="David"/>
          <w:sz w:val="22"/>
          <w:szCs w:val="22"/>
        </w:rPr>
      </w:pPr>
      <w:r w:rsidRPr="0009095B">
        <w:rPr>
          <w:rStyle w:val="a5"/>
          <w:rFonts w:cs="David"/>
          <w:sz w:val="22"/>
          <w:szCs w:val="22"/>
        </w:rPr>
        <w:footnoteRef/>
      </w:r>
      <w:r w:rsidRPr="0009095B">
        <w:rPr>
          <w:rFonts w:cs="David"/>
          <w:sz w:val="22"/>
          <w:szCs w:val="22"/>
        </w:rPr>
        <w:t xml:space="preserve"> </w:t>
      </w:r>
      <w:proofErr w:type="spellStart"/>
      <w:r w:rsidRPr="0009095B">
        <w:rPr>
          <w:rFonts w:cs="David"/>
          <w:sz w:val="22"/>
          <w:szCs w:val="22"/>
          <w:rtl/>
        </w:rPr>
        <w:t>בענין</w:t>
      </w:r>
      <w:proofErr w:type="spellEnd"/>
      <w:r w:rsidRPr="0009095B">
        <w:rPr>
          <w:rFonts w:cs="David"/>
          <w:sz w:val="22"/>
          <w:szCs w:val="22"/>
          <w:rtl/>
        </w:rPr>
        <w:t xml:space="preserve"> נתינת מתנה לדיין ע"י התובע קודם הזמנת הנתבע לדין, בעקבות המעשה עם רב ענן, ראה עוד בדברי </w:t>
      </w:r>
      <w:proofErr w:type="spellStart"/>
      <w:r w:rsidRPr="0009095B">
        <w:rPr>
          <w:rFonts w:cs="David"/>
          <w:sz w:val="22"/>
          <w:szCs w:val="22"/>
          <w:rtl/>
        </w:rPr>
        <w:t>הראי"ה</w:t>
      </w:r>
      <w:proofErr w:type="spellEnd"/>
      <w:r w:rsidRPr="0009095B">
        <w:rPr>
          <w:rFonts w:cs="David"/>
          <w:sz w:val="22"/>
          <w:szCs w:val="22"/>
          <w:rtl/>
        </w:rPr>
        <w:t xml:space="preserve"> קוק, באר אליהו, סימן ט </w:t>
      </w:r>
      <w:proofErr w:type="spellStart"/>
      <w:r w:rsidRPr="0009095B">
        <w:rPr>
          <w:rFonts w:cs="David"/>
          <w:sz w:val="22"/>
          <w:szCs w:val="22"/>
          <w:rtl/>
        </w:rPr>
        <w:t>ס"ק</w:t>
      </w:r>
      <w:proofErr w:type="spellEnd"/>
      <w:r w:rsidRPr="0009095B">
        <w:rPr>
          <w:rFonts w:cs="David"/>
          <w:sz w:val="22"/>
          <w:szCs w:val="22"/>
          <w:rtl/>
        </w:rPr>
        <w:t xml:space="preserve"> ה עמ' צ.</w:t>
      </w:r>
      <w:r w:rsidRPr="0009095B">
        <w:rPr>
          <w:rFonts w:cs="David"/>
          <w:sz w:val="22"/>
          <w:szCs w:val="22"/>
        </w:rPr>
        <w:t xml:space="preserve"> </w:t>
      </w:r>
    </w:p>
  </w:footnote>
  <w:footnote w:id="9">
    <w:p w:rsidR="000664A7" w:rsidRPr="0009095B" w:rsidRDefault="000664A7" w:rsidP="000664A7">
      <w:pPr>
        <w:pStyle w:val="a3"/>
        <w:bidi/>
        <w:jc w:val="both"/>
        <w:rPr>
          <w:rFonts w:cs="David"/>
          <w:sz w:val="22"/>
          <w:szCs w:val="22"/>
        </w:rPr>
      </w:pPr>
    </w:p>
    <w:p w:rsidR="000664A7" w:rsidRPr="0009095B" w:rsidRDefault="000664A7" w:rsidP="000664A7">
      <w:pPr>
        <w:pStyle w:val="a3"/>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 </w:t>
      </w:r>
      <w:r w:rsidRPr="0009095B">
        <w:rPr>
          <w:rFonts w:cs="David"/>
          <w:sz w:val="22"/>
          <w:szCs w:val="22"/>
          <w:rtl/>
        </w:rPr>
        <w:t xml:space="preserve">בחוברת: לשלושה באלול, ירושלים תשל"ח, עמ' ח (הרב משה צבי נריה, בשדה הראיה, עמ' 25) מסופר </w:t>
      </w:r>
      <w:proofErr w:type="spellStart"/>
      <w:r w:rsidRPr="0009095B">
        <w:rPr>
          <w:rFonts w:cs="David"/>
          <w:sz w:val="22"/>
          <w:szCs w:val="22"/>
          <w:rtl/>
        </w:rPr>
        <w:t>שבהיות</w:t>
      </w:r>
      <w:proofErr w:type="spellEnd"/>
      <w:r w:rsidRPr="0009095B">
        <w:rPr>
          <w:rFonts w:cs="David"/>
          <w:sz w:val="22"/>
          <w:szCs w:val="22"/>
          <w:rtl/>
        </w:rPr>
        <w:t xml:space="preserve"> </w:t>
      </w:r>
      <w:proofErr w:type="spellStart"/>
      <w:r w:rsidRPr="0009095B">
        <w:rPr>
          <w:rFonts w:cs="David"/>
          <w:sz w:val="22"/>
          <w:szCs w:val="22"/>
          <w:rtl/>
        </w:rPr>
        <w:t>הראי"ה</w:t>
      </w:r>
      <w:proofErr w:type="spellEnd"/>
      <w:r w:rsidRPr="0009095B">
        <w:rPr>
          <w:rFonts w:cs="David"/>
          <w:sz w:val="22"/>
          <w:szCs w:val="22"/>
          <w:rtl/>
        </w:rPr>
        <w:t xml:space="preserve"> קוק רב </w:t>
      </w:r>
      <w:proofErr w:type="spellStart"/>
      <w:r w:rsidRPr="0009095B">
        <w:rPr>
          <w:rFonts w:cs="David"/>
          <w:sz w:val="22"/>
          <w:szCs w:val="22"/>
          <w:rtl/>
        </w:rPr>
        <w:t>בזיימל</w:t>
      </w:r>
      <w:proofErr w:type="spellEnd"/>
      <w:r w:rsidRPr="0009095B">
        <w:rPr>
          <w:rFonts w:cs="David"/>
          <w:sz w:val="22"/>
          <w:szCs w:val="22"/>
          <w:rtl/>
        </w:rPr>
        <w:t xml:space="preserve">, הביא כפרי לרב מתנה - עגלה עמוסה תפוחי עץ. הרב </w:t>
      </w:r>
      <w:proofErr w:type="spellStart"/>
      <w:r w:rsidRPr="0009095B">
        <w:rPr>
          <w:rFonts w:cs="David"/>
          <w:sz w:val="22"/>
          <w:szCs w:val="22"/>
          <w:rtl/>
        </w:rPr>
        <w:t>צוה</w:t>
      </w:r>
      <w:proofErr w:type="spellEnd"/>
      <w:r w:rsidRPr="0009095B">
        <w:rPr>
          <w:rFonts w:cs="David"/>
          <w:sz w:val="22"/>
          <w:szCs w:val="22"/>
          <w:rtl/>
        </w:rPr>
        <w:t xml:space="preserve"> בבית שלא להשתמש בהם, ואח"כ התברר שהם היו פירות ערלה, והמביא טעה וחשב שזה גם כן ממתנות כהונה. הדברים מזכירים את האמור בגמ' ביבמות </w:t>
      </w:r>
      <w:proofErr w:type="spellStart"/>
      <w:r w:rsidRPr="0009095B">
        <w:rPr>
          <w:rFonts w:cs="David"/>
          <w:sz w:val="22"/>
          <w:szCs w:val="22"/>
          <w:rtl/>
        </w:rPr>
        <w:t>קכב</w:t>
      </w:r>
      <w:proofErr w:type="spellEnd"/>
      <w:r w:rsidRPr="0009095B">
        <w:rPr>
          <w:rFonts w:cs="David"/>
          <w:sz w:val="22"/>
          <w:szCs w:val="22"/>
          <w:rtl/>
        </w:rPr>
        <w:t xml:space="preserve"> ע"א: "</w:t>
      </w:r>
      <w:r w:rsidRPr="0009095B">
        <w:rPr>
          <w:rFonts w:cs="David"/>
          <w:b/>
          <w:bCs/>
          <w:sz w:val="22"/>
          <w:szCs w:val="22"/>
          <w:rtl/>
        </w:rPr>
        <w:t xml:space="preserve">עובד כוכבים </w:t>
      </w:r>
      <w:r w:rsidRPr="0009095B">
        <w:rPr>
          <w:rFonts w:cs="David"/>
          <w:sz w:val="22"/>
          <w:szCs w:val="22"/>
          <w:rtl/>
        </w:rPr>
        <w:t xml:space="preserve">שהיה מוכר פירות בשוק, </w:t>
      </w:r>
      <w:r w:rsidRPr="0009095B">
        <w:rPr>
          <w:rFonts w:cs="David"/>
          <w:b/>
          <w:bCs/>
          <w:sz w:val="22"/>
          <w:szCs w:val="22"/>
          <w:rtl/>
        </w:rPr>
        <w:t>ואמר פירות הללו של ערלה הן</w:t>
      </w:r>
      <w:r w:rsidRPr="0009095B">
        <w:rPr>
          <w:rFonts w:cs="David"/>
          <w:sz w:val="22"/>
          <w:szCs w:val="22"/>
          <w:rtl/>
        </w:rPr>
        <w:t xml:space="preserve">, של </w:t>
      </w:r>
      <w:proofErr w:type="spellStart"/>
      <w:r w:rsidRPr="0009095B">
        <w:rPr>
          <w:rFonts w:cs="David"/>
          <w:sz w:val="22"/>
          <w:szCs w:val="22"/>
          <w:rtl/>
        </w:rPr>
        <w:t>עזיקה</w:t>
      </w:r>
      <w:proofErr w:type="spellEnd"/>
      <w:r w:rsidRPr="0009095B">
        <w:rPr>
          <w:rFonts w:cs="David"/>
          <w:sz w:val="22"/>
          <w:szCs w:val="22"/>
          <w:rtl/>
        </w:rPr>
        <w:t xml:space="preserve"> הן, של נטע רבעי הן, לא אמר כלום, </w:t>
      </w:r>
      <w:r w:rsidRPr="0009095B">
        <w:rPr>
          <w:rFonts w:cs="David"/>
          <w:b/>
          <w:bCs/>
          <w:sz w:val="22"/>
          <w:szCs w:val="22"/>
          <w:rtl/>
        </w:rPr>
        <w:t xml:space="preserve">לא נתכוון אלא להשביח </w:t>
      </w:r>
      <w:proofErr w:type="spellStart"/>
      <w:r w:rsidRPr="0009095B">
        <w:rPr>
          <w:rFonts w:cs="David"/>
          <w:b/>
          <w:bCs/>
          <w:sz w:val="22"/>
          <w:szCs w:val="22"/>
          <w:rtl/>
        </w:rPr>
        <w:t>מקחו</w:t>
      </w:r>
      <w:proofErr w:type="spellEnd"/>
      <w:r w:rsidRPr="0009095B">
        <w:rPr>
          <w:rFonts w:cs="David"/>
          <w:sz w:val="22"/>
          <w:szCs w:val="22"/>
          <w:rtl/>
        </w:rPr>
        <w:t xml:space="preserve">". ראה עוד: </w:t>
      </w:r>
      <w:proofErr w:type="spellStart"/>
      <w:r w:rsidRPr="0009095B">
        <w:rPr>
          <w:rFonts w:cs="David"/>
          <w:sz w:val="22"/>
          <w:szCs w:val="22"/>
          <w:rtl/>
        </w:rPr>
        <w:t>הראי"ה</w:t>
      </w:r>
      <w:proofErr w:type="spellEnd"/>
      <w:r w:rsidRPr="0009095B">
        <w:rPr>
          <w:rFonts w:cs="David"/>
          <w:sz w:val="22"/>
          <w:szCs w:val="22"/>
          <w:rtl/>
        </w:rPr>
        <w:t xml:space="preserve"> קוק, עולת ראיה א עמ' </w:t>
      </w:r>
      <w:proofErr w:type="spellStart"/>
      <w:r w:rsidRPr="0009095B">
        <w:rPr>
          <w:rFonts w:cs="David"/>
          <w:sz w:val="22"/>
          <w:szCs w:val="22"/>
          <w:rtl/>
        </w:rPr>
        <w:t>סג</w:t>
      </w:r>
      <w:proofErr w:type="spellEnd"/>
      <w:r w:rsidRPr="0009095B">
        <w:rPr>
          <w:rFonts w:cs="David"/>
          <w:sz w:val="22"/>
          <w:szCs w:val="22"/>
          <w:rtl/>
        </w:rPr>
        <w:t xml:space="preserve">: "נטית ההערצה לקדושת ההארה האלוקית בחיי האדם, הבאה ע"י הערצתם של </w:t>
      </w:r>
      <w:proofErr w:type="spellStart"/>
      <w:r w:rsidRPr="0009095B">
        <w:rPr>
          <w:rFonts w:cs="David"/>
          <w:sz w:val="22"/>
          <w:szCs w:val="22"/>
          <w:rtl/>
        </w:rPr>
        <w:t>תופשי</w:t>
      </w:r>
      <w:proofErr w:type="spellEnd"/>
      <w:r w:rsidRPr="0009095B">
        <w:rPr>
          <w:rFonts w:cs="David"/>
          <w:sz w:val="22"/>
          <w:szCs w:val="22"/>
          <w:rtl/>
        </w:rPr>
        <w:t xml:space="preserve"> התורה </w:t>
      </w:r>
      <w:proofErr w:type="spellStart"/>
      <w:r w:rsidRPr="0009095B">
        <w:rPr>
          <w:rFonts w:cs="David"/>
          <w:sz w:val="22"/>
          <w:szCs w:val="22"/>
          <w:rtl/>
        </w:rPr>
        <w:t>ומחזיקיה</w:t>
      </w:r>
      <w:proofErr w:type="spellEnd"/>
      <w:r w:rsidRPr="0009095B">
        <w:rPr>
          <w:rFonts w:cs="David"/>
          <w:sz w:val="22"/>
          <w:szCs w:val="22"/>
          <w:rtl/>
        </w:rPr>
        <w:t xml:space="preserve">, שיסודם הוא קדושת הכהונה, שהתבטאה ביחוד ע"י הביכורים שנכנסה בזה מתנת כהונה עד לידי </w:t>
      </w:r>
      <w:proofErr w:type="spellStart"/>
      <w:r w:rsidRPr="0009095B">
        <w:rPr>
          <w:rFonts w:cs="David"/>
          <w:sz w:val="22"/>
          <w:szCs w:val="22"/>
          <w:rtl/>
        </w:rPr>
        <w:t>המדריגה</w:t>
      </w:r>
      <w:proofErr w:type="spellEnd"/>
      <w:r w:rsidRPr="0009095B">
        <w:rPr>
          <w:rFonts w:cs="David"/>
          <w:sz w:val="22"/>
          <w:szCs w:val="22"/>
          <w:rtl/>
        </w:rPr>
        <w:t xml:space="preserve"> העליונה של קדשי מקדש".  </w:t>
      </w:r>
    </w:p>
    <w:p w:rsidR="000664A7" w:rsidRPr="0009095B" w:rsidRDefault="000664A7" w:rsidP="000664A7">
      <w:pPr>
        <w:pStyle w:val="a3"/>
        <w:bidi/>
        <w:jc w:val="both"/>
        <w:rPr>
          <w:rFonts w:cs="David"/>
          <w:sz w:val="22"/>
          <w:szCs w:val="22"/>
        </w:rPr>
      </w:pPr>
    </w:p>
  </w:footnote>
  <w:footnote w:id="10">
    <w:p w:rsidR="000664A7" w:rsidRPr="0009095B" w:rsidRDefault="000664A7" w:rsidP="000664A7">
      <w:pPr>
        <w:pStyle w:val="a3"/>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 </w:t>
      </w:r>
      <w:r w:rsidRPr="0009095B">
        <w:rPr>
          <w:rFonts w:cs="David"/>
          <w:sz w:val="22"/>
          <w:szCs w:val="22"/>
          <w:rtl/>
        </w:rPr>
        <w:t xml:space="preserve">דברים ברוח זו בהבנת שיטת הרמב"ם, כתב הרב בן ציון מאיר חי עוזיאל, שו"ת משפטי עוזיאל, </w:t>
      </w:r>
      <w:proofErr w:type="spellStart"/>
      <w:r w:rsidRPr="0009095B">
        <w:rPr>
          <w:rFonts w:cs="David"/>
          <w:sz w:val="22"/>
          <w:szCs w:val="22"/>
          <w:rtl/>
        </w:rPr>
        <w:t>מהדורא</w:t>
      </w:r>
      <w:proofErr w:type="spellEnd"/>
      <w:r w:rsidRPr="0009095B">
        <w:rPr>
          <w:rFonts w:cs="David"/>
          <w:sz w:val="22"/>
          <w:szCs w:val="22"/>
          <w:rtl/>
        </w:rPr>
        <w:t xml:space="preserve"> </w:t>
      </w:r>
      <w:proofErr w:type="spellStart"/>
      <w:r w:rsidRPr="0009095B">
        <w:rPr>
          <w:rFonts w:cs="David"/>
          <w:sz w:val="22"/>
          <w:szCs w:val="22"/>
          <w:rtl/>
        </w:rPr>
        <w:t>תנינא</w:t>
      </w:r>
      <w:proofErr w:type="spellEnd"/>
      <w:r w:rsidRPr="0009095B">
        <w:rPr>
          <w:rFonts w:cs="David"/>
          <w:sz w:val="22"/>
          <w:szCs w:val="22"/>
          <w:rtl/>
        </w:rPr>
        <w:t>, יו"ד סימן ק.</w:t>
      </w:r>
    </w:p>
    <w:p w:rsidR="000664A7" w:rsidRPr="0009095B" w:rsidRDefault="000664A7" w:rsidP="000664A7">
      <w:pPr>
        <w:pStyle w:val="a3"/>
        <w:bidi/>
        <w:jc w:val="both"/>
        <w:rPr>
          <w:rFonts w:cs="David"/>
          <w:sz w:val="22"/>
          <w:szCs w:val="22"/>
        </w:rPr>
      </w:pPr>
    </w:p>
  </w:footnote>
  <w:footnote w:id="11">
    <w:p w:rsidR="000664A7" w:rsidRPr="0009095B" w:rsidRDefault="000664A7" w:rsidP="000664A7">
      <w:pPr>
        <w:jc w:val="both"/>
        <w:rPr>
          <w:rFonts w:cs="David"/>
          <w:snapToGrid w:val="0"/>
          <w:sz w:val="22"/>
          <w:szCs w:val="22"/>
          <w:rtl/>
          <w:lang w:eastAsia="he-IL"/>
        </w:rPr>
      </w:pPr>
      <w:r w:rsidRPr="0009095B">
        <w:rPr>
          <w:rStyle w:val="a5"/>
          <w:rFonts w:cs="David"/>
          <w:sz w:val="22"/>
          <w:szCs w:val="22"/>
          <w:rtl/>
        </w:rPr>
        <w:footnoteRef/>
      </w:r>
      <w:r w:rsidRPr="0009095B">
        <w:rPr>
          <w:rFonts w:cs="David"/>
          <w:sz w:val="22"/>
          <w:szCs w:val="22"/>
          <w:rtl/>
        </w:rPr>
        <w:t xml:space="preserve"> </w:t>
      </w:r>
      <w:r w:rsidRPr="0009095B">
        <w:rPr>
          <w:rFonts w:cs="David"/>
          <w:sz w:val="22"/>
          <w:szCs w:val="22"/>
          <w:rtl/>
        </w:rPr>
        <w:t xml:space="preserve">הרמב"ם בהלכות ערכין </w:t>
      </w:r>
      <w:proofErr w:type="spellStart"/>
      <w:r w:rsidRPr="0009095B">
        <w:rPr>
          <w:rFonts w:cs="David"/>
          <w:sz w:val="22"/>
          <w:szCs w:val="22"/>
          <w:rtl/>
        </w:rPr>
        <w:t>וחרמין</w:t>
      </w:r>
      <w:proofErr w:type="spellEnd"/>
      <w:r w:rsidRPr="0009095B">
        <w:rPr>
          <w:rFonts w:cs="David"/>
          <w:sz w:val="22"/>
          <w:szCs w:val="22"/>
          <w:rtl/>
        </w:rPr>
        <w:t xml:space="preserve"> ח, </w:t>
      </w:r>
      <w:proofErr w:type="spellStart"/>
      <w:r w:rsidRPr="0009095B">
        <w:rPr>
          <w:rFonts w:cs="David"/>
          <w:sz w:val="22"/>
          <w:szCs w:val="22"/>
          <w:rtl/>
        </w:rPr>
        <w:t>יג</w:t>
      </w:r>
      <w:proofErr w:type="spellEnd"/>
      <w:r w:rsidRPr="0009095B">
        <w:rPr>
          <w:rFonts w:cs="David"/>
          <w:sz w:val="22"/>
          <w:szCs w:val="22"/>
          <w:rtl/>
        </w:rPr>
        <w:t xml:space="preserve"> כותב על אדם שמקדיש את כל נכסיו כך: "לעולם לא יקדיש אדם ולא יחרים כל נכסיו, והעושה כן עובר על דעת הכתוב שהרי הוא אומר מכל אשר לו, ולא כל אשר לו כמו שבארו חכמים (ספרא </w:t>
      </w:r>
      <w:proofErr w:type="spellStart"/>
      <w:r w:rsidRPr="0009095B">
        <w:rPr>
          <w:rFonts w:cs="David"/>
          <w:sz w:val="22"/>
          <w:szCs w:val="22"/>
          <w:rtl/>
        </w:rPr>
        <w:t>בחוקותי</w:t>
      </w:r>
      <w:proofErr w:type="spellEnd"/>
      <w:r w:rsidRPr="0009095B">
        <w:rPr>
          <w:rFonts w:cs="David"/>
          <w:sz w:val="22"/>
          <w:szCs w:val="22"/>
          <w:rtl/>
        </w:rPr>
        <w:t xml:space="preserve"> ח, </w:t>
      </w:r>
      <w:proofErr w:type="spellStart"/>
      <w:r w:rsidRPr="0009095B">
        <w:rPr>
          <w:rFonts w:cs="David"/>
          <w:sz w:val="22"/>
          <w:szCs w:val="22"/>
          <w:rtl/>
        </w:rPr>
        <w:t>יב</w:t>
      </w:r>
      <w:proofErr w:type="spellEnd"/>
      <w:r w:rsidRPr="0009095B">
        <w:rPr>
          <w:rFonts w:cs="David"/>
          <w:sz w:val="22"/>
          <w:szCs w:val="22"/>
          <w:rtl/>
        </w:rPr>
        <w:t xml:space="preserve">), </w:t>
      </w:r>
      <w:r w:rsidRPr="0009095B">
        <w:rPr>
          <w:rFonts w:cs="David"/>
          <w:b/>
          <w:bCs/>
          <w:sz w:val="22"/>
          <w:szCs w:val="22"/>
          <w:rtl/>
        </w:rPr>
        <w:t>ואין זו חסידות אלא שטות</w:t>
      </w:r>
      <w:r w:rsidRPr="0009095B">
        <w:rPr>
          <w:rFonts w:cs="David"/>
          <w:sz w:val="22"/>
          <w:szCs w:val="22"/>
          <w:rtl/>
        </w:rPr>
        <w:t xml:space="preserve"> שהרי הוא מאבד כל ממונו ויצטרך לבריות, ואין </w:t>
      </w:r>
      <w:proofErr w:type="spellStart"/>
      <w:r w:rsidRPr="0009095B">
        <w:rPr>
          <w:rFonts w:cs="David"/>
          <w:sz w:val="22"/>
          <w:szCs w:val="22"/>
          <w:rtl/>
        </w:rPr>
        <w:t>מרחמין</w:t>
      </w:r>
      <w:proofErr w:type="spellEnd"/>
      <w:r w:rsidRPr="0009095B">
        <w:rPr>
          <w:rFonts w:cs="David"/>
          <w:sz w:val="22"/>
          <w:szCs w:val="22"/>
          <w:rtl/>
        </w:rPr>
        <w:t xml:space="preserve"> עליו, </w:t>
      </w:r>
      <w:r w:rsidRPr="0009095B">
        <w:rPr>
          <w:rFonts w:cs="David"/>
          <w:b/>
          <w:bCs/>
          <w:sz w:val="22"/>
          <w:szCs w:val="22"/>
          <w:rtl/>
        </w:rPr>
        <w:t>ובזה וכיוצא בו</w:t>
      </w:r>
      <w:r w:rsidRPr="0009095B">
        <w:rPr>
          <w:rFonts w:cs="David"/>
          <w:sz w:val="22"/>
          <w:szCs w:val="22"/>
          <w:rtl/>
        </w:rPr>
        <w:t xml:space="preserve"> אמרו חכמים חסיד שוטה מכלל מבלי עולם". נראה שהירושלמי בסוטה ג, ד משמש מקור לדברי הרמב"ם הללו, שהרי כתב "ובזה וכיוצא בזה". אמנם יתכן שהרמב"ם פירש את הירושלמי אחרת ולפיו הבעיה היא שהוא עושה את </w:t>
      </w:r>
      <w:r w:rsidRPr="0009095B">
        <w:rPr>
          <w:rFonts w:cs="David"/>
          <w:snapToGrid w:val="0"/>
          <w:color w:val="C0C0C0"/>
          <w:sz w:val="22"/>
          <w:szCs w:val="22"/>
          <w:rtl/>
          <w:lang w:eastAsia="he-IL"/>
        </w:rPr>
        <w:t xml:space="preserve"> </w:t>
      </w:r>
      <w:r w:rsidRPr="0009095B">
        <w:rPr>
          <w:rFonts w:cs="David"/>
          <w:snapToGrid w:val="0"/>
          <w:sz w:val="22"/>
          <w:szCs w:val="22"/>
          <w:rtl/>
          <w:lang w:eastAsia="he-IL"/>
        </w:rPr>
        <w:t xml:space="preserve">כל שדהו בכורים (משנה ביכורים ב, ד; רמב"ם הל' ביכורים ב, יז), ועל אף שהדבר מותר, אין לעשות כן כדי שלא יהיה עני ויזדקק לבריות.  </w:t>
      </w:r>
    </w:p>
    <w:p w:rsidR="000664A7" w:rsidRPr="0009095B" w:rsidRDefault="000664A7" w:rsidP="000664A7">
      <w:pPr>
        <w:jc w:val="both"/>
        <w:rPr>
          <w:rFonts w:cs="David"/>
          <w:sz w:val="22"/>
          <w:szCs w:val="22"/>
          <w:rtl/>
        </w:rPr>
      </w:pPr>
    </w:p>
  </w:footnote>
  <w:footnote w:id="12">
    <w:p w:rsidR="000664A7" w:rsidRPr="0009095B" w:rsidRDefault="000664A7" w:rsidP="000664A7">
      <w:pPr>
        <w:pStyle w:val="a3"/>
        <w:bidi/>
        <w:jc w:val="both"/>
        <w:rPr>
          <w:rFonts w:cs="David"/>
          <w:sz w:val="22"/>
          <w:szCs w:val="22"/>
          <w:rtl/>
        </w:rPr>
      </w:pPr>
      <w:r w:rsidRPr="0009095B">
        <w:rPr>
          <w:rStyle w:val="a5"/>
          <w:rFonts w:cs="David"/>
          <w:sz w:val="22"/>
          <w:szCs w:val="22"/>
          <w:rtl/>
        </w:rPr>
        <w:footnoteRef/>
      </w:r>
      <w:r w:rsidRPr="0009095B">
        <w:rPr>
          <w:rFonts w:cs="David"/>
          <w:sz w:val="22"/>
          <w:szCs w:val="22"/>
          <w:rtl/>
        </w:rPr>
        <w:t xml:space="preserve"> </w:t>
      </w:r>
      <w:r w:rsidRPr="0009095B">
        <w:rPr>
          <w:rFonts w:cs="David"/>
          <w:sz w:val="22"/>
          <w:szCs w:val="22"/>
          <w:rtl/>
        </w:rPr>
        <w:t xml:space="preserve">עלי תמר, סוטה עמ' </w:t>
      </w:r>
      <w:proofErr w:type="spellStart"/>
      <w:r w:rsidRPr="0009095B">
        <w:rPr>
          <w:rFonts w:cs="David"/>
          <w:sz w:val="22"/>
          <w:szCs w:val="22"/>
          <w:rtl/>
        </w:rPr>
        <w:t>רא</w:t>
      </w:r>
      <w:proofErr w:type="spellEnd"/>
      <w:r w:rsidRPr="0009095B">
        <w:rPr>
          <w:rFonts w:cs="David"/>
          <w:sz w:val="22"/>
          <w:szCs w:val="22"/>
          <w:rtl/>
        </w:rPr>
        <w:t>- רב.</w:t>
      </w:r>
    </w:p>
    <w:p w:rsidR="000664A7" w:rsidRPr="0009095B" w:rsidRDefault="000664A7" w:rsidP="000664A7">
      <w:pPr>
        <w:pStyle w:val="a3"/>
        <w:bidi/>
        <w:jc w:val="both"/>
        <w:rPr>
          <w:rFonts w:cs="David"/>
          <w:sz w:val="22"/>
          <w:szCs w:val="22"/>
          <w:rtl/>
        </w:rPr>
      </w:pPr>
    </w:p>
  </w:footnote>
  <w:footnote w:id="13">
    <w:p w:rsidR="000664A7" w:rsidRPr="0009095B" w:rsidRDefault="000664A7" w:rsidP="000664A7">
      <w:pPr>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ראה: הרב </w:t>
      </w:r>
      <w:proofErr w:type="spellStart"/>
      <w:r w:rsidRPr="0009095B">
        <w:rPr>
          <w:rFonts w:cs="David"/>
          <w:sz w:val="22"/>
          <w:szCs w:val="22"/>
          <w:rtl/>
        </w:rPr>
        <w:t>ארלה</w:t>
      </w:r>
      <w:proofErr w:type="spellEnd"/>
      <w:r w:rsidRPr="0009095B">
        <w:rPr>
          <w:rFonts w:cs="David"/>
          <w:sz w:val="22"/>
          <w:szCs w:val="22"/>
          <w:rtl/>
        </w:rPr>
        <w:t xml:space="preserve"> הראל, "סימון ביכורים בזמן הזה", אמונת </w:t>
      </w:r>
      <w:proofErr w:type="spellStart"/>
      <w:r w:rsidRPr="0009095B">
        <w:rPr>
          <w:rFonts w:cs="David"/>
          <w:sz w:val="22"/>
          <w:szCs w:val="22"/>
          <w:rtl/>
        </w:rPr>
        <w:t>עיתך</w:t>
      </w:r>
      <w:proofErr w:type="spellEnd"/>
      <w:r w:rsidRPr="0009095B">
        <w:rPr>
          <w:rFonts w:cs="David"/>
          <w:sz w:val="22"/>
          <w:szCs w:val="22"/>
          <w:rtl/>
        </w:rPr>
        <w:t xml:space="preserve">, 53 (ניסן- אייר תשס"ג), עמ' </w:t>
      </w:r>
      <w:r>
        <w:rPr>
          <w:rFonts w:cs="David" w:hint="cs"/>
          <w:sz w:val="22"/>
          <w:szCs w:val="22"/>
          <w:rtl/>
        </w:rPr>
        <w:t>30-24</w:t>
      </w:r>
      <w:r w:rsidRPr="0009095B">
        <w:rPr>
          <w:rFonts w:cs="David"/>
          <w:sz w:val="22"/>
          <w:szCs w:val="22"/>
          <w:rtl/>
        </w:rPr>
        <w:t>.</w:t>
      </w:r>
    </w:p>
    <w:p w:rsidR="000664A7" w:rsidRPr="0009095B" w:rsidRDefault="000664A7" w:rsidP="000664A7">
      <w:pPr>
        <w:pStyle w:val="a3"/>
        <w:bidi/>
        <w:jc w:val="both"/>
        <w:rPr>
          <w:rFonts w:cs="David"/>
          <w:sz w:val="22"/>
          <w:szCs w:val="22"/>
        </w:rPr>
      </w:pPr>
    </w:p>
  </w:footnote>
  <w:footnote w:id="14">
    <w:p w:rsidR="000664A7" w:rsidRPr="0009095B" w:rsidRDefault="000664A7" w:rsidP="000664A7">
      <w:pPr>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תשובה זו, בתוספת מספר מקורות לנושא, הובאה ע"י: הרב משה  צבי נריה, מועדי </w:t>
      </w:r>
      <w:proofErr w:type="spellStart"/>
      <w:r w:rsidRPr="0009095B">
        <w:rPr>
          <w:rFonts w:cs="David"/>
          <w:sz w:val="22"/>
          <w:szCs w:val="22"/>
          <w:rtl/>
        </w:rPr>
        <w:t>הראי"ה</w:t>
      </w:r>
      <w:proofErr w:type="spellEnd"/>
      <w:r w:rsidRPr="0009095B">
        <w:rPr>
          <w:rFonts w:cs="David"/>
          <w:sz w:val="22"/>
          <w:szCs w:val="22"/>
          <w:rtl/>
        </w:rPr>
        <w:t xml:space="preserve">, עמ' </w:t>
      </w:r>
      <w:proofErr w:type="spellStart"/>
      <w:r w:rsidRPr="0009095B">
        <w:rPr>
          <w:rFonts w:cs="David"/>
          <w:sz w:val="22"/>
          <w:szCs w:val="22"/>
          <w:rtl/>
        </w:rPr>
        <w:t>תקכב</w:t>
      </w:r>
      <w:proofErr w:type="spellEnd"/>
      <w:r w:rsidRPr="0009095B">
        <w:rPr>
          <w:rFonts w:cs="David"/>
          <w:sz w:val="22"/>
          <w:szCs w:val="22"/>
          <w:rtl/>
        </w:rPr>
        <w:t xml:space="preserve">.  </w:t>
      </w:r>
    </w:p>
    <w:p w:rsidR="000664A7" w:rsidRPr="0009095B" w:rsidRDefault="000664A7" w:rsidP="000664A7">
      <w:pPr>
        <w:pStyle w:val="a3"/>
        <w:bidi/>
        <w:jc w:val="both"/>
        <w:rPr>
          <w:rFonts w:cs="David"/>
          <w:sz w:val="22"/>
          <w:szCs w:val="22"/>
        </w:rPr>
      </w:pPr>
    </w:p>
  </w:footnote>
  <w:footnote w:id="15">
    <w:p w:rsidR="000664A7" w:rsidRPr="0009095B" w:rsidRDefault="000664A7" w:rsidP="000664A7">
      <w:pPr>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הרקע ההיסטורי המתומצת להלן, לקוח משלושה מקורות מרכזיים: יום טוב לוינסקי, "במולדת הנבנית", ספר </w:t>
      </w:r>
      <w:proofErr w:type="spellStart"/>
      <w:r w:rsidRPr="0009095B">
        <w:rPr>
          <w:rFonts w:cs="David"/>
          <w:sz w:val="22"/>
          <w:szCs w:val="22"/>
          <w:rtl/>
        </w:rPr>
        <w:t>המועדעים</w:t>
      </w:r>
      <w:proofErr w:type="spellEnd"/>
      <w:r w:rsidRPr="0009095B">
        <w:rPr>
          <w:rFonts w:cs="David"/>
          <w:sz w:val="22"/>
          <w:szCs w:val="22"/>
          <w:rtl/>
        </w:rPr>
        <w:t xml:space="preserve">- עצרת, כרך ג עמ' 195 200-. גם בניו יורק חגגו עצרת </w:t>
      </w:r>
      <w:proofErr w:type="spellStart"/>
      <w:r w:rsidRPr="0009095B">
        <w:rPr>
          <w:rFonts w:cs="David"/>
          <w:sz w:val="22"/>
          <w:szCs w:val="22"/>
          <w:rtl/>
        </w:rPr>
        <w:t>זכרון</w:t>
      </w:r>
      <w:proofErr w:type="spellEnd"/>
      <w:r w:rsidRPr="0009095B">
        <w:rPr>
          <w:rFonts w:cs="David"/>
          <w:sz w:val="22"/>
          <w:szCs w:val="22"/>
          <w:rtl/>
        </w:rPr>
        <w:t xml:space="preserve"> הביכורים, שם עמ' </w:t>
      </w:r>
      <w:r>
        <w:rPr>
          <w:rFonts w:cs="David" w:hint="cs"/>
          <w:sz w:val="22"/>
          <w:szCs w:val="22"/>
          <w:rtl/>
        </w:rPr>
        <w:t>243-242</w:t>
      </w:r>
      <w:r w:rsidRPr="0009095B">
        <w:rPr>
          <w:rFonts w:cs="David"/>
          <w:sz w:val="22"/>
          <w:szCs w:val="22"/>
          <w:rtl/>
        </w:rPr>
        <w:t xml:space="preserve">; עזרא שפרוט, "חג הביכורים בעמק יזרעאל (1923 1929-) בעיני החוגים הדתיים", מחקרי חג, 1 (תשמ"ח), עמ' </w:t>
      </w:r>
      <w:r>
        <w:rPr>
          <w:rFonts w:cs="David" w:hint="cs"/>
          <w:sz w:val="22"/>
          <w:szCs w:val="22"/>
          <w:rtl/>
        </w:rPr>
        <w:t>103-91</w:t>
      </w:r>
      <w:r w:rsidRPr="0009095B">
        <w:rPr>
          <w:rFonts w:cs="David"/>
          <w:sz w:val="22"/>
          <w:szCs w:val="22"/>
          <w:rtl/>
        </w:rPr>
        <w:t xml:space="preserve">; מוטי </w:t>
      </w:r>
      <w:proofErr w:type="spellStart"/>
      <w:r w:rsidRPr="0009095B">
        <w:rPr>
          <w:rFonts w:cs="David"/>
          <w:sz w:val="22"/>
          <w:szCs w:val="22"/>
          <w:rtl/>
        </w:rPr>
        <w:t>זעירא</w:t>
      </w:r>
      <w:proofErr w:type="spellEnd"/>
      <w:r w:rsidRPr="0009095B">
        <w:rPr>
          <w:rFonts w:cs="David"/>
          <w:sz w:val="22"/>
          <w:szCs w:val="22"/>
          <w:rtl/>
        </w:rPr>
        <w:t xml:space="preserve">, קרועים אנו- זיקתה של ההתיישבות העובדת בשנות העשרים אל התרבות היהודית, ירושלים: יד יצחק בן צבי, תשס"ב, עמ' </w:t>
      </w:r>
      <w:r>
        <w:rPr>
          <w:rFonts w:cs="David" w:hint="cs"/>
          <w:sz w:val="22"/>
          <w:szCs w:val="22"/>
          <w:rtl/>
        </w:rPr>
        <w:t>183-167</w:t>
      </w:r>
      <w:r w:rsidRPr="0009095B">
        <w:rPr>
          <w:rFonts w:cs="David"/>
          <w:sz w:val="22"/>
          <w:szCs w:val="22"/>
          <w:rtl/>
        </w:rPr>
        <w:t>: "הפולמוס סביב חג הביכורים בעמק יזרעאל"; שם עמ'</w:t>
      </w:r>
      <w:r>
        <w:rPr>
          <w:rFonts w:cs="David" w:hint="cs"/>
          <w:sz w:val="22"/>
          <w:szCs w:val="22"/>
          <w:rtl/>
        </w:rPr>
        <w:t xml:space="preserve"> 200-184</w:t>
      </w:r>
      <w:r w:rsidRPr="0009095B">
        <w:rPr>
          <w:rFonts w:cs="David"/>
          <w:sz w:val="22"/>
          <w:szCs w:val="22"/>
          <w:rtl/>
        </w:rPr>
        <w:t xml:space="preserve">: "ההתיישבות העובדת והרב קוק"; שם עמ' </w:t>
      </w:r>
      <w:r>
        <w:rPr>
          <w:rFonts w:cs="David" w:hint="cs"/>
          <w:sz w:val="22"/>
          <w:szCs w:val="22"/>
          <w:rtl/>
        </w:rPr>
        <w:t>254-249</w:t>
      </w:r>
      <w:r w:rsidRPr="0009095B">
        <w:rPr>
          <w:rFonts w:cs="David"/>
          <w:sz w:val="22"/>
          <w:szCs w:val="22"/>
          <w:rtl/>
        </w:rPr>
        <w:t xml:space="preserve">: "פדיון הבכורים קודש לקרן הקיימת". בספר תמונות מחגיגות הביכורים בעמק בשנות העשרים, והוא עוסק </w:t>
      </w:r>
      <w:proofErr w:type="spellStart"/>
      <w:r w:rsidRPr="0009095B">
        <w:rPr>
          <w:rFonts w:cs="David"/>
          <w:sz w:val="22"/>
          <w:szCs w:val="22"/>
          <w:rtl/>
        </w:rPr>
        <w:t>בנסיונות</w:t>
      </w:r>
      <w:proofErr w:type="spellEnd"/>
      <w:r w:rsidRPr="0009095B">
        <w:rPr>
          <w:rFonts w:cs="David"/>
          <w:sz w:val="22"/>
          <w:szCs w:val="22"/>
          <w:rtl/>
        </w:rPr>
        <w:t xml:space="preserve"> של ההתיישבות העובדת להעניק משמעות אחרת למועדי ישראל, גם כאלה שנוהגים רק בזמן שבית המקדש קיים. בשני המקורות בולטת העובדה שהמתח בין הרבנים ואנשי ההתיישבות היה סביב שאלת חילול השבת והחג, אך אין כל התייחסות לשאלת הקדשת הפירות בזמן הזה, בה עוסקת תשובתו זו של </w:t>
      </w:r>
      <w:proofErr w:type="spellStart"/>
      <w:r w:rsidRPr="0009095B">
        <w:rPr>
          <w:rFonts w:cs="David"/>
          <w:sz w:val="22"/>
          <w:szCs w:val="22"/>
          <w:rtl/>
        </w:rPr>
        <w:t>הראי"ה</w:t>
      </w:r>
      <w:proofErr w:type="spellEnd"/>
      <w:r w:rsidRPr="0009095B">
        <w:rPr>
          <w:rFonts w:cs="David"/>
          <w:sz w:val="22"/>
          <w:szCs w:val="22"/>
          <w:rtl/>
        </w:rPr>
        <w:t xml:space="preserve"> קוק. גיבוי מקראי כביכול, לחגיגות ביכורים אילו, ראה: יורם גורן, "בין חג הביכורים לחג השבועות", </w:t>
      </w:r>
      <w:proofErr w:type="spellStart"/>
      <w:r w:rsidRPr="0009095B">
        <w:rPr>
          <w:rFonts w:cs="David"/>
          <w:sz w:val="22"/>
          <w:szCs w:val="22"/>
          <w:rtl/>
        </w:rPr>
        <w:t>טורא</w:t>
      </w:r>
      <w:proofErr w:type="spellEnd"/>
      <w:r w:rsidRPr="0009095B">
        <w:rPr>
          <w:rFonts w:cs="David"/>
          <w:sz w:val="22"/>
          <w:szCs w:val="22"/>
          <w:rtl/>
        </w:rPr>
        <w:t xml:space="preserve">, ד (1996), עמ' </w:t>
      </w:r>
      <w:r>
        <w:rPr>
          <w:rFonts w:cs="David" w:hint="cs"/>
          <w:sz w:val="22"/>
          <w:szCs w:val="22"/>
          <w:rtl/>
        </w:rPr>
        <w:t>58-48</w:t>
      </w:r>
      <w:r w:rsidRPr="0009095B">
        <w:rPr>
          <w:rFonts w:cs="David"/>
          <w:sz w:val="22"/>
          <w:szCs w:val="22"/>
          <w:rtl/>
        </w:rPr>
        <w:t xml:space="preserve">.    </w:t>
      </w:r>
    </w:p>
    <w:p w:rsidR="000664A7" w:rsidRPr="0009095B" w:rsidRDefault="000664A7" w:rsidP="000664A7">
      <w:pPr>
        <w:pStyle w:val="a3"/>
        <w:bidi/>
        <w:jc w:val="both"/>
        <w:rPr>
          <w:rFonts w:cs="David"/>
          <w:sz w:val="22"/>
          <w:szCs w:val="22"/>
        </w:rPr>
      </w:pPr>
    </w:p>
  </w:footnote>
  <w:footnote w:id="16">
    <w:p w:rsidR="000664A7" w:rsidRPr="0009095B" w:rsidRDefault="000664A7" w:rsidP="000664A7">
      <w:pPr>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בכתבי </w:t>
      </w:r>
      <w:proofErr w:type="spellStart"/>
      <w:r w:rsidRPr="0009095B">
        <w:rPr>
          <w:rFonts w:cs="David"/>
          <w:sz w:val="22"/>
          <w:szCs w:val="22"/>
          <w:rtl/>
        </w:rPr>
        <w:t>הראי"ה</w:t>
      </w:r>
      <w:proofErr w:type="spellEnd"/>
      <w:r w:rsidRPr="0009095B">
        <w:rPr>
          <w:rFonts w:cs="David"/>
          <w:sz w:val="22"/>
          <w:szCs w:val="22"/>
          <w:rtl/>
        </w:rPr>
        <w:t xml:space="preserve"> קוק מצויים מספר אגרות ובהם דברי עידוד לרכישת קרקעות </w:t>
      </w:r>
      <w:proofErr w:type="spellStart"/>
      <w:r w:rsidRPr="0009095B">
        <w:rPr>
          <w:rFonts w:cs="David"/>
          <w:sz w:val="22"/>
          <w:szCs w:val="22"/>
          <w:rtl/>
        </w:rPr>
        <w:t>והתישבות</w:t>
      </w:r>
      <w:proofErr w:type="spellEnd"/>
      <w:r w:rsidRPr="0009095B">
        <w:rPr>
          <w:rFonts w:cs="David"/>
          <w:sz w:val="22"/>
          <w:szCs w:val="22"/>
          <w:rtl/>
        </w:rPr>
        <w:t xml:space="preserve"> בהם לצד מחאה </w:t>
      </w:r>
      <w:proofErr w:type="spellStart"/>
      <w:r w:rsidRPr="0009095B">
        <w:rPr>
          <w:rFonts w:cs="David"/>
          <w:sz w:val="22"/>
          <w:szCs w:val="22"/>
          <w:rtl/>
        </w:rPr>
        <w:t>ותערומת</w:t>
      </w:r>
      <w:proofErr w:type="spellEnd"/>
      <w:r w:rsidRPr="0009095B">
        <w:rPr>
          <w:rFonts w:cs="David"/>
          <w:sz w:val="22"/>
          <w:szCs w:val="22"/>
          <w:rtl/>
        </w:rPr>
        <w:t xml:space="preserve"> על חילול שבת. מקורות בכתביו העוסקים בכך, ראה: </w:t>
      </w:r>
      <w:proofErr w:type="spellStart"/>
      <w:r w:rsidRPr="0009095B">
        <w:rPr>
          <w:rFonts w:cs="David"/>
          <w:sz w:val="22"/>
          <w:szCs w:val="22"/>
          <w:rtl/>
        </w:rPr>
        <w:t>הראי"ה</w:t>
      </w:r>
      <w:proofErr w:type="spellEnd"/>
      <w:r w:rsidRPr="0009095B">
        <w:rPr>
          <w:rFonts w:cs="David"/>
          <w:sz w:val="22"/>
          <w:szCs w:val="22"/>
          <w:rtl/>
        </w:rPr>
        <w:t xml:space="preserve"> קוק, חזון הגאולה עמ' </w:t>
      </w:r>
      <w:proofErr w:type="spellStart"/>
      <w:r w:rsidRPr="0009095B">
        <w:rPr>
          <w:rFonts w:cs="David"/>
          <w:sz w:val="22"/>
          <w:szCs w:val="22"/>
          <w:rtl/>
        </w:rPr>
        <w:t>רכ</w:t>
      </w:r>
      <w:proofErr w:type="spellEnd"/>
      <w:r w:rsidRPr="0009095B">
        <w:rPr>
          <w:rFonts w:cs="David"/>
          <w:sz w:val="22"/>
          <w:szCs w:val="22"/>
          <w:rtl/>
        </w:rPr>
        <w:t xml:space="preserve">- </w:t>
      </w:r>
      <w:proofErr w:type="spellStart"/>
      <w:r w:rsidRPr="0009095B">
        <w:rPr>
          <w:rFonts w:cs="David"/>
          <w:sz w:val="22"/>
          <w:szCs w:val="22"/>
          <w:rtl/>
        </w:rPr>
        <w:t>רל</w:t>
      </w:r>
      <w:proofErr w:type="spellEnd"/>
      <w:r w:rsidRPr="0009095B">
        <w:rPr>
          <w:rFonts w:cs="David"/>
          <w:sz w:val="22"/>
          <w:szCs w:val="22"/>
          <w:rtl/>
        </w:rPr>
        <w:t xml:space="preserve">; הרב ד"ר נריה </w:t>
      </w:r>
      <w:proofErr w:type="spellStart"/>
      <w:r w:rsidRPr="0009095B">
        <w:rPr>
          <w:rFonts w:cs="David"/>
          <w:sz w:val="22"/>
          <w:szCs w:val="22"/>
          <w:rtl/>
        </w:rPr>
        <w:t>גוטל</w:t>
      </w:r>
      <w:proofErr w:type="spellEnd"/>
      <w:r w:rsidRPr="0009095B">
        <w:rPr>
          <w:rFonts w:cs="David"/>
          <w:sz w:val="22"/>
          <w:szCs w:val="22"/>
          <w:rtl/>
        </w:rPr>
        <w:t xml:space="preserve">, מכותבי </w:t>
      </w:r>
      <w:proofErr w:type="spellStart"/>
      <w:r w:rsidRPr="0009095B">
        <w:rPr>
          <w:rFonts w:cs="David"/>
          <w:sz w:val="22"/>
          <w:szCs w:val="22"/>
          <w:rtl/>
        </w:rPr>
        <w:t>הראי"ה</w:t>
      </w:r>
      <w:proofErr w:type="spellEnd"/>
      <w:r w:rsidRPr="0009095B">
        <w:rPr>
          <w:rFonts w:cs="David"/>
          <w:sz w:val="22"/>
          <w:szCs w:val="22"/>
          <w:rtl/>
        </w:rPr>
        <w:t xml:space="preserve">, ירושלים תש"ס, עמ' </w:t>
      </w:r>
      <w:proofErr w:type="spellStart"/>
      <w:r w:rsidRPr="0009095B">
        <w:rPr>
          <w:rFonts w:cs="David"/>
          <w:sz w:val="22"/>
          <w:szCs w:val="22"/>
          <w:rtl/>
        </w:rPr>
        <w:t>עח</w:t>
      </w:r>
      <w:proofErr w:type="spellEnd"/>
      <w:r w:rsidRPr="0009095B">
        <w:rPr>
          <w:rFonts w:cs="David"/>
          <w:sz w:val="22"/>
          <w:szCs w:val="22"/>
          <w:rtl/>
        </w:rPr>
        <w:t xml:space="preserve"> </w:t>
      </w:r>
      <w:proofErr w:type="spellStart"/>
      <w:r w:rsidRPr="0009095B">
        <w:rPr>
          <w:rFonts w:cs="David"/>
          <w:sz w:val="22"/>
          <w:szCs w:val="22"/>
          <w:rtl/>
        </w:rPr>
        <w:t>הע</w:t>
      </w:r>
      <w:proofErr w:type="spellEnd"/>
      <w:r w:rsidRPr="0009095B">
        <w:rPr>
          <w:rFonts w:cs="David"/>
          <w:sz w:val="22"/>
          <w:szCs w:val="22"/>
          <w:rtl/>
        </w:rPr>
        <w:t xml:space="preserve">' 205; הנ"ל, "הלכות והליכות </w:t>
      </w:r>
      <w:proofErr w:type="spellStart"/>
      <w:r w:rsidRPr="0009095B">
        <w:rPr>
          <w:rFonts w:cs="David"/>
          <w:sz w:val="22"/>
          <w:szCs w:val="22"/>
          <w:rtl/>
        </w:rPr>
        <w:t>הקק"ל</w:t>
      </w:r>
      <w:proofErr w:type="spellEnd"/>
      <w:r w:rsidRPr="0009095B">
        <w:rPr>
          <w:rFonts w:cs="David"/>
          <w:sz w:val="22"/>
          <w:szCs w:val="22"/>
          <w:rtl/>
        </w:rPr>
        <w:t xml:space="preserve"> והחוג ההתיישבותי במערכת התכתבויותיו של הרב קוק", סיני, </w:t>
      </w:r>
      <w:proofErr w:type="spellStart"/>
      <w:r w:rsidRPr="0009095B">
        <w:rPr>
          <w:rFonts w:cs="David"/>
          <w:sz w:val="22"/>
          <w:szCs w:val="22"/>
          <w:rtl/>
        </w:rPr>
        <w:t>קכא</w:t>
      </w:r>
      <w:proofErr w:type="spellEnd"/>
      <w:r w:rsidRPr="0009095B">
        <w:rPr>
          <w:rFonts w:cs="David"/>
          <w:sz w:val="22"/>
          <w:szCs w:val="22"/>
          <w:rtl/>
        </w:rPr>
        <w:t xml:space="preserve"> (תשנ"ח), עמ' </w:t>
      </w:r>
      <w:proofErr w:type="spellStart"/>
      <w:r w:rsidRPr="0009095B">
        <w:rPr>
          <w:rFonts w:cs="David"/>
          <w:sz w:val="22"/>
          <w:szCs w:val="22"/>
          <w:rtl/>
        </w:rPr>
        <w:t>קג</w:t>
      </w:r>
      <w:proofErr w:type="spellEnd"/>
      <w:r w:rsidRPr="0009095B">
        <w:rPr>
          <w:rFonts w:cs="David"/>
          <w:sz w:val="22"/>
          <w:szCs w:val="22"/>
          <w:rtl/>
        </w:rPr>
        <w:t xml:space="preserve"> </w:t>
      </w:r>
      <w:r w:rsidRPr="0009095B">
        <w:rPr>
          <w:rFonts w:cs="David"/>
          <w:sz w:val="22"/>
          <w:szCs w:val="22"/>
        </w:rPr>
        <w:t>–</w:t>
      </w:r>
      <w:r w:rsidRPr="0009095B">
        <w:rPr>
          <w:rFonts w:cs="David"/>
          <w:sz w:val="22"/>
          <w:szCs w:val="22"/>
          <w:rtl/>
        </w:rPr>
        <w:t xml:space="preserve"> </w:t>
      </w:r>
      <w:proofErr w:type="spellStart"/>
      <w:r w:rsidRPr="0009095B">
        <w:rPr>
          <w:rFonts w:cs="David"/>
          <w:sz w:val="22"/>
          <w:szCs w:val="22"/>
          <w:rtl/>
        </w:rPr>
        <w:t>קיב</w:t>
      </w:r>
      <w:proofErr w:type="spellEnd"/>
      <w:r w:rsidRPr="0009095B">
        <w:rPr>
          <w:rFonts w:cs="David"/>
          <w:sz w:val="22"/>
          <w:szCs w:val="22"/>
          <w:rtl/>
        </w:rPr>
        <w:t xml:space="preserve">; הנ"ל, "הדור בהלכות </w:t>
      </w:r>
      <w:proofErr w:type="spellStart"/>
      <w:r w:rsidRPr="0009095B">
        <w:rPr>
          <w:rFonts w:cs="David"/>
          <w:sz w:val="22"/>
          <w:szCs w:val="22"/>
          <w:rtl/>
        </w:rPr>
        <w:t>הראי"ה</w:t>
      </w:r>
      <w:proofErr w:type="spellEnd"/>
      <w:r w:rsidRPr="0009095B">
        <w:rPr>
          <w:rFonts w:cs="David"/>
          <w:sz w:val="22"/>
          <w:szCs w:val="22"/>
          <w:rtl/>
        </w:rPr>
        <w:t xml:space="preserve"> - מעמדו ההגותי היסטורי של ה'דור', כשיקול הלכתי במשנתו הפסיקתית של </w:t>
      </w:r>
      <w:proofErr w:type="spellStart"/>
      <w:r w:rsidRPr="0009095B">
        <w:rPr>
          <w:rFonts w:cs="David"/>
          <w:sz w:val="22"/>
          <w:szCs w:val="22"/>
          <w:rtl/>
        </w:rPr>
        <w:t>הראי"ה</w:t>
      </w:r>
      <w:proofErr w:type="spellEnd"/>
      <w:r w:rsidRPr="0009095B">
        <w:rPr>
          <w:rFonts w:cs="David"/>
          <w:sz w:val="22"/>
          <w:szCs w:val="22"/>
          <w:rtl/>
        </w:rPr>
        <w:t xml:space="preserve"> קוק", </w:t>
      </w:r>
      <w:proofErr w:type="spellStart"/>
      <w:r w:rsidRPr="0009095B">
        <w:rPr>
          <w:rFonts w:cs="David"/>
          <w:sz w:val="22"/>
          <w:szCs w:val="22"/>
          <w:rtl/>
        </w:rPr>
        <w:t>סידרא</w:t>
      </w:r>
      <w:proofErr w:type="spellEnd"/>
      <w:r w:rsidRPr="0009095B">
        <w:rPr>
          <w:rFonts w:cs="David"/>
          <w:sz w:val="22"/>
          <w:szCs w:val="22"/>
          <w:rtl/>
        </w:rPr>
        <w:t>, יז (תשס"ג),</w:t>
      </w:r>
      <w:r>
        <w:rPr>
          <w:rFonts w:cs="David" w:hint="cs"/>
          <w:sz w:val="22"/>
          <w:szCs w:val="22"/>
          <w:rtl/>
        </w:rPr>
        <w:t xml:space="preserve"> עמ'</w:t>
      </w:r>
      <w:r w:rsidRPr="0009095B">
        <w:rPr>
          <w:rFonts w:cs="David"/>
          <w:sz w:val="22"/>
          <w:szCs w:val="22"/>
          <w:rtl/>
        </w:rPr>
        <w:t xml:space="preserve"> </w:t>
      </w:r>
      <w:r>
        <w:rPr>
          <w:rFonts w:cs="David" w:hint="cs"/>
          <w:sz w:val="22"/>
          <w:szCs w:val="22"/>
          <w:rtl/>
        </w:rPr>
        <w:t>62-23</w:t>
      </w:r>
      <w:r w:rsidRPr="0009095B">
        <w:rPr>
          <w:rFonts w:cs="David"/>
          <w:sz w:val="22"/>
          <w:szCs w:val="22"/>
          <w:rtl/>
        </w:rPr>
        <w:t xml:space="preserve">.       </w:t>
      </w:r>
    </w:p>
    <w:p w:rsidR="000664A7" w:rsidRPr="0009095B" w:rsidRDefault="000664A7" w:rsidP="000664A7">
      <w:pPr>
        <w:pStyle w:val="a3"/>
        <w:bidi/>
        <w:jc w:val="both"/>
        <w:rPr>
          <w:rFonts w:cs="David"/>
          <w:sz w:val="22"/>
          <w:szCs w:val="22"/>
        </w:rPr>
      </w:pPr>
    </w:p>
  </w:footnote>
  <w:footnote w:id="17">
    <w:p w:rsidR="000664A7" w:rsidRPr="0009095B" w:rsidRDefault="000664A7" w:rsidP="000664A7">
      <w:pPr>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אגרות הרב מאיר בר אילן (עורך: נ' </w:t>
      </w:r>
      <w:proofErr w:type="spellStart"/>
      <w:r w:rsidRPr="0009095B">
        <w:rPr>
          <w:rFonts w:cs="David"/>
          <w:sz w:val="22"/>
          <w:szCs w:val="22"/>
          <w:rtl/>
        </w:rPr>
        <w:t>קצבורג</w:t>
      </w:r>
      <w:proofErr w:type="spellEnd"/>
      <w:r w:rsidRPr="0009095B">
        <w:rPr>
          <w:rFonts w:cs="David"/>
          <w:sz w:val="22"/>
          <w:szCs w:val="22"/>
          <w:rtl/>
        </w:rPr>
        <w:t xml:space="preserve">), רמת גן תשל"ו, כרך א,  עמ' 222 </w:t>
      </w:r>
      <w:r>
        <w:rPr>
          <w:rFonts w:cs="David" w:hint="cs"/>
          <w:sz w:val="22"/>
          <w:szCs w:val="22"/>
          <w:rtl/>
        </w:rPr>
        <w:t>-</w:t>
      </w:r>
      <w:r w:rsidRPr="0009095B">
        <w:rPr>
          <w:rFonts w:cs="David"/>
          <w:sz w:val="22"/>
          <w:szCs w:val="22"/>
          <w:rtl/>
        </w:rPr>
        <w:t xml:space="preserve">223. </w:t>
      </w:r>
    </w:p>
    <w:p w:rsidR="000664A7" w:rsidRPr="0009095B" w:rsidRDefault="000664A7" w:rsidP="000664A7">
      <w:pPr>
        <w:pStyle w:val="a3"/>
        <w:bidi/>
        <w:jc w:val="both"/>
        <w:rPr>
          <w:rFonts w:cs="David"/>
          <w:sz w:val="22"/>
          <w:szCs w:val="22"/>
        </w:rPr>
      </w:pPr>
    </w:p>
  </w:footnote>
  <w:footnote w:id="18">
    <w:p w:rsidR="000664A7" w:rsidRPr="0009095B" w:rsidRDefault="000664A7" w:rsidP="000664A7">
      <w:pPr>
        <w:pStyle w:val="21"/>
        <w:spacing w:line="240" w:lineRule="auto"/>
        <w:rPr>
          <w:sz w:val="22"/>
          <w:szCs w:val="22"/>
          <w:rtl/>
        </w:rPr>
      </w:pPr>
      <w:r w:rsidRPr="0009095B">
        <w:rPr>
          <w:rStyle w:val="a5"/>
          <w:sz w:val="22"/>
          <w:szCs w:val="22"/>
        </w:rPr>
        <w:footnoteRef/>
      </w:r>
      <w:r w:rsidRPr="0009095B">
        <w:rPr>
          <w:sz w:val="22"/>
          <w:szCs w:val="22"/>
        </w:rPr>
        <w:t xml:space="preserve"> </w:t>
      </w:r>
      <w:r w:rsidRPr="0009095B">
        <w:rPr>
          <w:sz w:val="22"/>
          <w:szCs w:val="22"/>
          <w:rtl/>
        </w:rPr>
        <w:t xml:space="preserve">ראה עוד: "יומן פעילות של הרבנות הראשית", הרבנות הראשית לישראל- שבעים שנה לייסודה (עורכים: א' </w:t>
      </w:r>
      <w:proofErr w:type="spellStart"/>
      <w:r w:rsidRPr="0009095B">
        <w:rPr>
          <w:sz w:val="22"/>
          <w:szCs w:val="22"/>
          <w:rtl/>
        </w:rPr>
        <w:t>ורהפטיג</w:t>
      </w:r>
      <w:proofErr w:type="spellEnd"/>
      <w:r w:rsidRPr="0009095B">
        <w:rPr>
          <w:sz w:val="22"/>
          <w:szCs w:val="22"/>
          <w:rtl/>
        </w:rPr>
        <w:t xml:space="preserve">, ש' כץ), עמ' 1204. </w:t>
      </w:r>
    </w:p>
    <w:p w:rsidR="000664A7" w:rsidRPr="0009095B" w:rsidRDefault="000664A7" w:rsidP="000664A7">
      <w:pPr>
        <w:pStyle w:val="a3"/>
        <w:bidi/>
        <w:jc w:val="both"/>
        <w:rPr>
          <w:rFonts w:cs="David"/>
          <w:sz w:val="22"/>
          <w:szCs w:val="22"/>
        </w:rPr>
      </w:pPr>
    </w:p>
  </w:footnote>
  <w:footnote w:id="19">
    <w:p w:rsidR="000664A7" w:rsidRPr="0009095B" w:rsidRDefault="000664A7" w:rsidP="000664A7">
      <w:pPr>
        <w:pStyle w:val="a3"/>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על פי דברינו לעיל זו השנה הרביעית בהם התקיימו חגיגות אלה. </w:t>
      </w:r>
    </w:p>
    <w:p w:rsidR="000664A7" w:rsidRPr="0009095B" w:rsidRDefault="000664A7" w:rsidP="000664A7">
      <w:pPr>
        <w:pStyle w:val="a3"/>
        <w:bidi/>
        <w:jc w:val="both"/>
        <w:rPr>
          <w:rFonts w:cs="David"/>
          <w:sz w:val="22"/>
          <w:szCs w:val="22"/>
        </w:rPr>
      </w:pPr>
    </w:p>
  </w:footnote>
  <w:footnote w:id="20">
    <w:p w:rsidR="000664A7" w:rsidRPr="0009095B" w:rsidRDefault="000664A7" w:rsidP="000664A7">
      <w:pPr>
        <w:pStyle w:val="a3"/>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אגרות הרב מאיר בר אילן (לעיל הערה 17), עמ'</w:t>
      </w:r>
      <w:r>
        <w:rPr>
          <w:rFonts w:cs="David" w:hint="cs"/>
          <w:sz w:val="22"/>
          <w:szCs w:val="22"/>
          <w:rtl/>
        </w:rPr>
        <w:t xml:space="preserve"> 228-227</w:t>
      </w:r>
      <w:r w:rsidRPr="0009095B">
        <w:rPr>
          <w:rFonts w:cs="David"/>
          <w:sz w:val="22"/>
          <w:szCs w:val="22"/>
          <w:rtl/>
        </w:rPr>
        <w:t xml:space="preserve">. באגרת נכתב שהתקיימו </w:t>
      </w:r>
      <w:proofErr w:type="spellStart"/>
      <w:r w:rsidRPr="0009095B">
        <w:rPr>
          <w:rFonts w:cs="David"/>
          <w:sz w:val="22"/>
          <w:szCs w:val="22"/>
          <w:rtl/>
        </w:rPr>
        <w:t>אסיפות</w:t>
      </w:r>
      <w:proofErr w:type="spellEnd"/>
      <w:r w:rsidRPr="0009095B">
        <w:rPr>
          <w:rFonts w:cs="David"/>
          <w:sz w:val="22"/>
          <w:szCs w:val="22"/>
          <w:rtl/>
        </w:rPr>
        <w:t xml:space="preserve"> מחאה גם בתל אביב ובחיפה </w:t>
      </w:r>
      <w:proofErr w:type="spellStart"/>
      <w:r w:rsidRPr="0009095B">
        <w:rPr>
          <w:rFonts w:cs="David"/>
          <w:sz w:val="22"/>
          <w:szCs w:val="22"/>
          <w:rtl/>
        </w:rPr>
        <w:t>בענין</w:t>
      </w:r>
      <w:proofErr w:type="spellEnd"/>
      <w:r w:rsidRPr="0009095B">
        <w:rPr>
          <w:rFonts w:cs="David"/>
          <w:sz w:val="22"/>
          <w:szCs w:val="22"/>
          <w:rtl/>
        </w:rPr>
        <w:t xml:space="preserve"> זה.  </w:t>
      </w:r>
    </w:p>
    <w:p w:rsidR="000664A7" w:rsidRPr="0009095B" w:rsidRDefault="000664A7" w:rsidP="000664A7">
      <w:pPr>
        <w:pStyle w:val="a3"/>
        <w:bidi/>
        <w:jc w:val="both"/>
        <w:rPr>
          <w:rFonts w:cs="David"/>
          <w:sz w:val="22"/>
          <w:szCs w:val="22"/>
        </w:rPr>
      </w:pPr>
    </w:p>
  </w:footnote>
  <w:footnote w:id="21">
    <w:p w:rsidR="000664A7" w:rsidRPr="0009095B" w:rsidRDefault="000664A7" w:rsidP="000664A7">
      <w:pPr>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"אוי לנו משמחתם", עיתון התור, כ"ב סיון תרפ"ז.   </w:t>
      </w:r>
    </w:p>
    <w:p w:rsidR="000664A7" w:rsidRPr="0009095B" w:rsidRDefault="000664A7" w:rsidP="000664A7">
      <w:pPr>
        <w:pStyle w:val="a3"/>
        <w:bidi/>
        <w:jc w:val="both"/>
        <w:rPr>
          <w:rFonts w:cs="David"/>
          <w:sz w:val="22"/>
          <w:szCs w:val="22"/>
        </w:rPr>
      </w:pPr>
    </w:p>
  </w:footnote>
  <w:footnote w:id="22">
    <w:p w:rsidR="000664A7" w:rsidRPr="0009095B" w:rsidRDefault="000664A7" w:rsidP="000664A7">
      <w:pPr>
        <w:pStyle w:val="a3"/>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ר' בנימין, "בחרדת עין חרוד", ההד תמוז תרפ"ז.</w:t>
      </w:r>
    </w:p>
    <w:p w:rsidR="000664A7" w:rsidRPr="0009095B" w:rsidRDefault="000664A7" w:rsidP="000664A7">
      <w:pPr>
        <w:pStyle w:val="a3"/>
        <w:bidi/>
        <w:jc w:val="both"/>
        <w:rPr>
          <w:rFonts w:cs="David"/>
          <w:sz w:val="22"/>
          <w:szCs w:val="22"/>
        </w:rPr>
      </w:pPr>
    </w:p>
  </w:footnote>
  <w:footnote w:id="23">
    <w:p w:rsidR="000664A7" w:rsidRPr="0009095B" w:rsidRDefault="000664A7" w:rsidP="000664A7">
      <w:pPr>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מכתבו של </w:t>
      </w:r>
      <w:proofErr w:type="spellStart"/>
      <w:r w:rsidRPr="0009095B">
        <w:rPr>
          <w:rFonts w:cs="David"/>
          <w:sz w:val="22"/>
          <w:szCs w:val="22"/>
          <w:rtl/>
        </w:rPr>
        <w:t>הרא"ם</w:t>
      </w:r>
      <w:proofErr w:type="spellEnd"/>
      <w:r w:rsidRPr="0009095B">
        <w:rPr>
          <w:rFonts w:cs="David"/>
          <w:sz w:val="22"/>
          <w:szCs w:val="22"/>
          <w:rtl/>
        </w:rPr>
        <w:t xml:space="preserve"> ליפשיץ מתאריך זה נמצא בגנזך הציונות הדתית בירושלים, תיק המרכז העולמי של המזרחי תרפ"ז. </w:t>
      </w:r>
    </w:p>
    <w:p w:rsidR="000664A7" w:rsidRPr="0009095B" w:rsidRDefault="000664A7" w:rsidP="000664A7">
      <w:pPr>
        <w:jc w:val="both"/>
        <w:rPr>
          <w:rFonts w:cs="David"/>
          <w:sz w:val="22"/>
          <w:szCs w:val="22"/>
        </w:rPr>
      </w:pPr>
    </w:p>
  </w:footnote>
  <w:footnote w:id="24">
    <w:p w:rsidR="000664A7" w:rsidRPr="0009095B" w:rsidRDefault="000664A7" w:rsidP="000664A7">
      <w:pPr>
        <w:pStyle w:val="a3"/>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ראה לעיל </w:t>
      </w:r>
      <w:proofErr w:type="spellStart"/>
      <w:r w:rsidRPr="0009095B">
        <w:rPr>
          <w:rFonts w:cs="David"/>
          <w:sz w:val="22"/>
          <w:szCs w:val="22"/>
          <w:rtl/>
        </w:rPr>
        <w:t>הע</w:t>
      </w:r>
      <w:proofErr w:type="spellEnd"/>
      <w:r w:rsidRPr="0009095B">
        <w:rPr>
          <w:rFonts w:cs="David"/>
          <w:sz w:val="22"/>
          <w:szCs w:val="22"/>
          <w:rtl/>
        </w:rPr>
        <w:t xml:space="preserve">' 18 עמ' 1207. </w:t>
      </w:r>
    </w:p>
    <w:p w:rsidR="000664A7" w:rsidRPr="0009095B" w:rsidRDefault="000664A7" w:rsidP="000664A7">
      <w:pPr>
        <w:pStyle w:val="a3"/>
        <w:bidi/>
        <w:jc w:val="both"/>
        <w:rPr>
          <w:rFonts w:cs="David"/>
          <w:sz w:val="22"/>
          <w:szCs w:val="22"/>
        </w:rPr>
      </w:pPr>
    </w:p>
  </w:footnote>
  <w:footnote w:id="25">
    <w:p w:rsidR="000664A7" w:rsidRPr="0009095B" w:rsidRDefault="000664A7" w:rsidP="000664A7">
      <w:pPr>
        <w:pStyle w:val="a3"/>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אם כי מספר ימים  לפני חג השבועות, בג' סיון תרפ"ט כותב הרב אבא יעקב הכהן בורוכוב, אגרות </w:t>
      </w:r>
      <w:proofErr w:type="spellStart"/>
      <w:r w:rsidRPr="0009095B">
        <w:rPr>
          <w:rFonts w:cs="David"/>
          <w:sz w:val="22"/>
          <w:szCs w:val="22"/>
          <w:rtl/>
        </w:rPr>
        <w:t>לראי"ה</w:t>
      </w:r>
      <w:proofErr w:type="spellEnd"/>
      <w:r w:rsidRPr="0009095B">
        <w:rPr>
          <w:rFonts w:cs="David"/>
          <w:sz w:val="22"/>
          <w:szCs w:val="22"/>
          <w:rtl/>
        </w:rPr>
        <w:t xml:space="preserve"> עמ' שסה, מכתב </w:t>
      </w:r>
      <w:proofErr w:type="spellStart"/>
      <w:r w:rsidRPr="0009095B">
        <w:rPr>
          <w:rFonts w:cs="David"/>
          <w:sz w:val="22"/>
          <w:szCs w:val="22"/>
          <w:rtl/>
        </w:rPr>
        <w:t>לראי"ה</w:t>
      </w:r>
      <w:proofErr w:type="spellEnd"/>
      <w:r w:rsidRPr="0009095B">
        <w:rPr>
          <w:rFonts w:cs="David"/>
          <w:sz w:val="22"/>
          <w:szCs w:val="22"/>
          <w:rtl/>
        </w:rPr>
        <w:t xml:space="preserve"> קוק על דבר חילול שבת וחג הצפוי בחגיגות הביכורים. </w:t>
      </w:r>
      <w:proofErr w:type="spellStart"/>
      <w:r w:rsidRPr="0009095B">
        <w:rPr>
          <w:rFonts w:cs="David"/>
          <w:sz w:val="22"/>
          <w:szCs w:val="22"/>
          <w:rtl/>
        </w:rPr>
        <w:t>הראי"ה</w:t>
      </w:r>
      <w:proofErr w:type="spellEnd"/>
      <w:r w:rsidRPr="0009095B">
        <w:rPr>
          <w:rFonts w:cs="David"/>
          <w:sz w:val="22"/>
          <w:szCs w:val="22"/>
          <w:rtl/>
        </w:rPr>
        <w:t xml:space="preserve"> קוק שלח מכתב תודה להסתדרות העובדים על פועלה בביטול החגיגה, ומניעת חילול שבת ויום טוב. ראה לעיל </w:t>
      </w:r>
      <w:proofErr w:type="spellStart"/>
      <w:r w:rsidRPr="0009095B">
        <w:rPr>
          <w:rFonts w:cs="David"/>
          <w:sz w:val="22"/>
          <w:szCs w:val="22"/>
          <w:rtl/>
        </w:rPr>
        <w:t>הע</w:t>
      </w:r>
      <w:proofErr w:type="spellEnd"/>
      <w:r w:rsidRPr="0009095B">
        <w:rPr>
          <w:rFonts w:cs="David"/>
          <w:sz w:val="22"/>
          <w:szCs w:val="22"/>
          <w:rtl/>
        </w:rPr>
        <w:t xml:space="preserve">' 18 עמ' 1211.  </w:t>
      </w:r>
    </w:p>
    <w:p w:rsidR="000664A7" w:rsidRPr="0009095B" w:rsidRDefault="000664A7" w:rsidP="000664A7">
      <w:pPr>
        <w:pStyle w:val="a3"/>
        <w:bidi/>
        <w:jc w:val="both"/>
        <w:rPr>
          <w:rFonts w:cs="David"/>
          <w:sz w:val="22"/>
          <w:szCs w:val="22"/>
        </w:rPr>
      </w:pPr>
    </w:p>
  </w:footnote>
  <w:footnote w:id="26">
    <w:p w:rsidR="000664A7" w:rsidRPr="0009095B" w:rsidRDefault="000664A7" w:rsidP="000664A7">
      <w:pPr>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 </w:t>
      </w:r>
      <w:proofErr w:type="spellStart"/>
      <w:r w:rsidRPr="0009095B">
        <w:rPr>
          <w:rFonts w:cs="David"/>
          <w:sz w:val="22"/>
          <w:szCs w:val="22"/>
          <w:rtl/>
        </w:rPr>
        <w:t>הראי"ה</w:t>
      </w:r>
      <w:proofErr w:type="spellEnd"/>
      <w:r w:rsidRPr="0009095B">
        <w:rPr>
          <w:rFonts w:cs="David"/>
          <w:sz w:val="22"/>
          <w:szCs w:val="22"/>
          <w:rtl/>
        </w:rPr>
        <w:t xml:space="preserve"> קוק, "זכר לביכורים", ביכורי הארץ, כפר דרום: מכון התורה והארץ, תשס"ג, עמ' 36</w:t>
      </w:r>
      <w:r>
        <w:rPr>
          <w:rFonts w:cs="David" w:hint="cs"/>
          <w:sz w:val="22"/>
          <w:szCs w:val="22"/>
          <w:rtl/>
        </w:rPr>
        <w:t>-</w:t>
      </w:r>
      <w:r w:rsidRPr="0009095B">
        <w:rPr>
          <w:rFonts w:cs="David"/>
          <w:sz w:val="22"/>
          <w:szCs w:val="22"/>
          <w:rtl/>
        </w:rPr>
        <w:t xml:space="preserve"> 37. מכתב זה שנכתב בשנת תרצ"ג מוכיח </w:t>
      </w:r>
      <w:proofErr w:type="spellStart"/>
      <w:r w:rsidRPr="0009095B">
        <w:rPr>
          <w:rFonts w:cs="David"/>
          <w:sz w:val="22"/>
          <w:szCs w:val="22"/>
          <w:rtl/>
        </w:rPr>
        <w:t>שהראי"ה</w:t>
      </w:r>
      <w:proofErr w:type="spellEnd"/>
      <w:r w:rsidRPr="0009095B">
        <w:rPr>
          <w:rFonts w:cs="David"/>
          <w:sz w:val="22"/>
          <w:szCs w:val="22"/>
          <w:rtl/>
        </w:rPr>
        <w:t xml:space="preserve"> קוק לא התייאש מלשכנע את אנשי </w:t>
      </w:r>
      <w:proofErr w:type="spellStart"/>
      <w:r w:rsidRPr="0009095B">
        <w:rPr>
          <w:rFonts w:cs="David"/>
          <w:sz w:val="22"/>
          <w:szCs w:val="22"/>
          <w:rtl/>
        </w:rPr>
        <w:t>ההתישבות</w:t>
      </w:r>
      <w:proofErr w:type="spellEnd"/>
      <w:r w:rsidRPr="0009095B">
        <w:rPr>
          <w:rFonts w:cs="David"/>
          <w:sz w:val="22"/>
          <w:szCs w:val="22"/>
          <w:rtl/>
        </w:rPr>
        <w:t xml:space="preserve"> העובדת בדרכי נועם בהסברה ובשכנוע שלא לחלל את השבת והחג, בניגוד לדברי מוטי </w:t>
      </w:r>
      <w:proofErr w:type="spellStart"/>
      <w:r w:rsidRPr="0009095B">
        <w:rPr>
          <w:rFonts w:cs="David"/>
          <w:sz w:val="22"/>
          <w:szCs w:val="22"/>
          <w:rtl/>
        </w:rPr>
        <w:t>זעירא</w:t>
      </w:r>
      <w:proofErr w:type="spellEnd"/>
      <w:r w:rsidRPr="0009095B">
        <w:rPr>
          <w:rFonts w:cs="David"/>
          <w:sz w:val="22"/>
          <w:szCs w:val="22"/>
          <w:rtl/>
        </w:rPr>
        <w:t xml:space="preserve">, קרועים אנו, עמ' 197. </w:t>
      </w:r>
    </w:p>
    <w:p w:rsidR="000664A7" w:rsidRPr="0009095B" w:rsidRDefault="000664A7" w:rsidP="000664A7">
      <w:pPr>
        <w:pStyle w:val="a3"/>
        <w:bidi/>
        <w:jc w:val="both"/>
        <w:rPr>
          <w:rFonts w:cs="David"/>
          <w:sz w:val="22"/>
          <w:szCs w:val="22"/>
        </w:rPr>
      </w:pPr>
    </w:p>
  </w:footnote>
  <w:footnote w:id="27">
    <w:p w:rsidR="000664A7" w:rsidRPr="0009095B" w:rsidRDefault="000664A7" w:rsidP="000664A7">
      <w:pPr>
        <w:pStyle w:val="a3"/>
        <w:bidi/>
        <w:jc w:val="both"/>
        <w:rPr>
          <w:rFonts w:cs="David" w:hint="cs"/>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נחמה </w:t>
      </w:r>
      <w:proofErr w:type="spellStart"/>
      <w:r w:rsidRPr="0009095B">
        <w:rPr>
          <w:rFonts w:cs="David"/>
          <w:sz w:val="22"/>
          <w:szCs w:val="22"/>
          <w:rtl/>
        </w:rPr>
        <w:t>ליבוביץ</w:t>
      </w:r>
      <w:proofErr w:type="spellEnd"/>
      <w:r w:rsidRPr="0009095B">
        <w:rPr>
          <w:rFonts w:cs="David"/>
          <w:sz w:val="22"/>
          <w:szCs w:val="22"/>
          <w:rtl/>
        </w:rPr>
        <w:t xml:space="preserve">', "עומר התנופה", עיונים חדשים בספר ויקרא, ירושלים תשמ"ג, עמ' 335. היא חזרה על רעיון זה בקצרה: "חג השבועות", שם עמ' 353 </w:t>
      </w:r>
      <w:r>
        <w:rPr>
          <w:rFonts w:cs="David" w:hint="cs"/>
          <w:sz w:val="22"/>
          <w:szCs w:val="22"/>
          <w:rtl/>
        </w:rPr>
        <w:t>-</w:t>
      </w:r>
      <w:r w:rsidRPr="0009095B">
        <w:rPr>
          <w:rFonts w:cs="David"/>
          <w:sz w:val="22"/>
          <w:szCs w:val="22"/>
          <w:rtl/>
        </w:rPr>
        <w:t>354</w:t>
      </w:r>
      <w:r>
        <w:rPr>
          <w:rFonts w:cs="David" w:hint="cs"/>
          <w:sz w:val="22"/>
          <w:szCs w:val="22"/>
          <w:rtl/>
        </w:rPr>
        <w:t xml:space="preserve">; </w:t>
      </w:r>
      <w:proofErr w:type="spellStart"/>
      <w:r w:rsidRPr="0009095B">
        <w:rPr>
          <w:rFonts w:cs="David" w:hint="cs"/>
          <w:sz w:val="22"/>
          <w:szCs w:val="22"/>
          <w:rtl/>
        </w:rPr>
        <w:t>הרמ"צ</w:t>
      </w:r>
      <w:proofErr w:type="spellEnd"/>
      <w:r w:rsidRPr="0009095B">
        <w:rPr>
          <w:rFonts w:cs="David" w:hint="cs"/>
          <w:sz w:val="22"/>
          <w:szCs w:val="22"/>
          <w:rtl/>
        </w:rPr>
        <w:t xml:space="preserve"> נריה, ענבי פתחיה, עמ' 307</w:t>
      </w:r>
      <w:r>
        <w:rPr>
          <w:rFonts w:cs="David" w:hint="cs"/>
          <w:sz w:val="22"/>
          <w:szCs w:val="22"/>
          <w:rtl/>
        </w:rPr>
        <w:t>.</w:t>
      </w:r>
    </w:p>
    <w:p w:rsidR="000664A7" w:rsidRPr="0009095B" w:rsidRDefault="000664A7" w:rsidP="000664A7">
      <w:pPr>
        <w:pStyle w:val="a3"/>
        <w:bidi/>
        <w:jc w:val="both"/>
        <w:rPr>
          <w:rFonts w:cs="David"/>
          <w:sz w:val="22"/>
          <w:szCs w:val="22"/>
        </w:rPr>
      </w:pPr>
    </w:p>
  </w:footnote>
  <w:footnote w:id="28">
    <w:p w:rsidR="000664A7" w:rsidRPr="0009095B" w:rsidRDefault="000664A7" w:rsidP="000664A7">
      <w:pPr>
        <w:pStyle w:val="21"/>
        <w:spacing w:line="240" w:lineRule="auto"/>
        <w:rPr>
          <w:sz w:val="22"/>
          <w:szCs w:val="22"/>
          <w:rtl/>
        </w:rPr>
      </w:pPr>
      <w:r w:rsidRPr="0009095B">
        <w:rPr>
          <w:rStyle w:val="a5"/>
          <w:sz w:val="22"/>
          <w:szCs w:val="22"/>
        </w:rPr>
        <w:footnoteRef/>
      </w:r>
      <w:r w:rsidRPr="0009095B">
        <w:rPr>
          <w:sz w:val="22"/>
          <w:szCs w:val="22"/>
        </w:rPr>
        <w:t xml:space="preserve"> </w:t>
      </w:r>
      <w:r w:rsidRPr="0009095B">
        <w:rPr>
          <w:sz w:val="22"/>
          <w:szCs w:val="22"/>
          <w:rtl/>
        </w:rPr>
        <w:t xml:space="preserve"> </w:t>
      </w:r>
      <w:r w:rsidRPr="0009095B">
        <w:rPr>
          <w:sz w:val="22"/>
          <w:szCs w:val="22"/>
          <w:rtl/>
        </w:rPr>
        <w:t xml:space="preserve">"אוי לנו משמחתם", עיתון התור, כ"ב סיון תרפ"ז. באותו מכתב הוא כותב בקורת חריפה על חילול השבת. ראה לעיל </w:t>
      </w:r>
      <w:proofErr w:type="spellStart"/>
      <w:r w:rsidRPr="0009095B">
        <w:rPr>
          <w:sz w:val="22"/>
          <w:szCs w:val="22"/>
          <w:rtl/>
        </w:rPr>
        <w:t>הע</w:t>
      </w:r>
      <w:proofErr w:type="spellEnd"/>
      <w:r w:rsidRPr="0009095B">
        <w:rPr>
          <w:sz w:val="22"/>
          <w:szCs w:val="22"/>
          <w:rtl/>
        </w:rPr>
        <w:t>' 21.</w:t>
      </w:r>
    </w:p>
    <w:p w:rsidR="000664A7" w:rsidRPr="0009095B" w:rsidRDefault="000664A7" w:rsidP="000664A7">
      <w:pPr>
        <w:pStyle w:val="a3"/>
        <w:bidi/>
        <w:jc w:val="both"/>
        <w:rPr>
          <w:rFonts w:cs="David"/>
          <w:sz w:val="22"/>
          <w:szCs w:val="22"/>
        </w:rPr>
      </w:pPr>
    </w:p>
  </w:footnote>
  <w:footnote w:id="29">
    <w:p w:rsidR="000664A7" w:rsidRPr="0009095B" w:rsidRDefault="000664A7" w:rsidP="000664A7">
      <w:pPr>
        <w:pStyle w:val="af0"/>
        <w:jc w:val="both"/>
        <w:rPr>
          <w:b w:val="0"/>
          <w:bCs w:val="0"/>
          <w:sz w:val="22"/>
          <w:szCs w:val="22"/>
          <w:rtl/>
        </w:rPr>
      </w:pPr>
      <w:r w:rsidRPr="0009095B">
        <w:rPr>
          <w:rStyle w:val="a5"/>
          <w:sz w:val="22"/>
          <w:szCs w:val="22"/>
        </w:rPr>
        <w:footnoteRef/>
      </w:r>
      <w:r w:rsidRPr="0009095B">
        <w:rPr>
          <w:sz w:val="22"/>
          <w:szCs w:val="22"/>
        </w:rPr>
        <w:t xml:space="preserve"> </w:t>
      </w:r>
      <w:r w:rsidRPr="0009095B">
        <w:rPr>
          <w:b w:val="0"/>
          <w:bCs w:val="0"/>
          <w:sz w:val="22"/>
          <w:szCs w:val="22"/>
          <w:rtl/>
        </w:rPr>
        <w:t xml:space="preserve"> </w:t>
      </w:r>
      <w:r w:rsidRPr="0009095B">
        <w:rPr>
          <w:b w:val="0"/>
          <w:bCs w:val="0"/>
          <w:sz w:val="22"/>
          <w:szCs w:val="22"/>
          <w:rtl/>
        </w:rPr>
        <w:t>הרב צבי יהודה הכהן קוק, "ישראל שעמדו על הר סיני", לנתיבות ישראל, חלק א עמ' 135</w:t>
      </w:r>
      <w:r>
        <w:rPr>
          <w:rFonts w:hint="cs"/>
          <w:b w:val="0"/>
          <w:bCs w:val="0"/>
          <w:sz w:val="22"/>
          <w:szCs w:val="22"/>
          <w:rtl/>
        </w:rPr>
        <w:t>-</w:t>
      </w:r>
      <w:r w:rsidRPr="0009095B">
        <w:rPr>
          <w:b w:val="0"/>
          <w:bCs w:val="0"/>
          <w:sz w:val="22"/>
          <w:szCs w:val="22"/>
          <w:rtl/>
        </w:rPr>
        <w:t xml:space="preserve"> 137; מאורות </w:t>
      </w:r>
      <w:proofErr w:type="spellStart"/>
      <w:r w:rsidRPr="0009095B">
        <w:rPr>
          <w:b w:val="0"/>
          <w:bCs w:val="0"/>
          <w:sz w:val="22"/>
          <w:szCs w:val="22"/>
          <w:rtl/>
        </w:rPr>
        <w:t>הראי"ה</w:t>
      </w:r>
      <w:proofErr w:type="spellEnd"/>
      <w:r w:rsidRPr="0009095B">
        <w:rPr>
          <w:b w:val="0"/>
          <w:bCs w:val="0"/>
          <w:sz w:val="22"/>
          <w:szCs w:val="22"/>
          <w:rtl/>
        </w:rPr>
        <w:t xml:space="preserve">, שבועות עמוד צא </w:t>
      </w:r>
      <w:r w:rsidRPr="0009095B">
        <w:rPr>
          <w:b w:val="0"/>
          <w:bCs w:val="0"/>
          <w:sz w:val="22"/>
          <w:szCs w:val="22"/>
        </w:rPr>
        <w:t>–</w:t>
      </w:r>
      <w:r w:rsidRPr="0009095B">
        <w:rPr>
          <w:b w:val="0"/>
          <w:bCs w:val="0"/>
          <w:sz w:val="22"/>
          <w:szCs w:val="22"/>
          <w:rtl/>
        </w:rPr>
        <w:t xml:space="preserve"> צג.</w:t>
      </w:r>
    </w:p>
    <w:p w:rsidR="000664A7" w:rsidRPr="0009095B" w:rsidRDefault="000664A7" w:rsidP="000664A7">
      <w:pPr>
        <w:pStyle w:val="a3"/>
        <w:bidi/>
        <w:jc w:val="both"/>
        <w:rPr>
          <w:rFonts w:cs="David"/>
          <w:sz w:val="22"/>
          <w:szCs w:val="22"/>
        </w:rPr>
      </w:pPr>
    </w:p>
  </w:footnote>
  <w:footnote w:id="30">
    <w:p w:rsidR="000664A7" w:rsidRPr="0009095B" w:rsidRDefault="000664A7" w:rsidP="000664A7">
      <w:pPr>
        <w:pStyle w:val="21"/>
        <w:spacing w:line="240" w:lineRule="auto"/>
        <w:rPr>
          <w:sz w:val="22"/>
          <w:szCs w:val="22"/>
          <w:rtl/>
        </w:rPr>
      </w:pPr>
      <w:r w:rsidRPr="0009095B">
        <w:rPr>
          <w:rStyle w:val="a5"/>
          <w:sz w:val="22"/>
          <w:szCs w:val="22"/>
        </w:rPr>
        <w:footnoteRef/>
      </w:r>
      <w:r w:rsidRPr="0009095B">
        <w:rPr>
          <w:sz w:val="22"/>
          <w:szCs w:val="22"/>
        </w:rPr>
        <w:t xml:space="preserve"> </w:t>
      </w:r>
      <w:r w:rsidRPr="0009095B">
        <w:rPr>
          <w:sz w:val="22"/>
          <w:szCs w:val="22"/>
          <w:rtl/>
        </w:rPr>
        <w:t>הרב יוחנן זרחי (</w:t>
      </w:r>
      <w:proofErr w:type="spellStart"/>
      <w:r w:rsidRPr="0009095B">
        <w:rPr>
          <w:sz w:val="22"/>
          <w:szCs w:val="22"/>
          <w:rtl/>
        </w:rPr>
        <w:t>זופוביץ</w:t>
      </w:r>
      <w:proofErr w:type="spellEnd"/>
      <w:r w:rsidRPr="0009095B">
        <w:rPr>
          <w:sz w:val="22"/>
          <w:szCs w:val="22"/>
          <w:rtl/>
        </w:rPr>
        <w:t>'), היה  משיב לחברי קיבוץ טירת צבי בשנים הראשונות לעלייתם על הקרקע, משנת תרצ"ז עד שנת תש"ה. השואל היה החבר מאיר אור (</w:t>
      </w:r>
      <w:proofErr w:type="spellStart"/>
      <w:r w:rsidRPr="0009095B">
        <w:rPr>
          <w:sz w:val="22"/>
          <w:szCs w:val="22"/>
          <w:rtl/>
        </w:rPr>
        <w:t>אורלאן</w:t>
      </w:r>
      <w:proofErr w:type="spellEnd"/>
      <w:r w:rsidRPr="0009095B">
        <w:rPr>
          <w:sz w:val="22"/>
          <w:szCs w:val="22"/>
          <w:rtl/>
        </w:rPr>
        <w:t xml:space="preserve">), חתנו של הרב. הפניות לרב היו על בסיס אישי - משפחתי, והרב זרחי לא ראה עצמו כפוסק הלכה לחברי הקיבוץ והוא מדגיש זאת במכתביו. מידע זה, וכן עותק ממכתביו של הרב זרחי, וכן העתק תשובתו של הרב </w:t>
      </w:r>
      <w:proofErr w:type="spellStart"/>
      <w:r w:rsidRPr="0009095B">
        <w:rPr>
          <w:sz w:val="22"/>
          <w:szCs w:val="22"/>
          <w:rtl/>
        </w:rPr>
        <w:t>בצמ"ח</w:t>
      </w:r>
      <w:proofErr w:type="spellEnd"/>
      <w:r w:rsidRPr="0009095B">
        <w:rPr>
          <w:sz w:val="22"/>
          <w:szCs w:val="22"/>
          <w:rtl/>
        </w:rPr>
        <w:t xml:space="preserve"> עוזיאל (המצוינת בהערה הבאה), נמסרו לי ע"י הגב' </w:t>
      </w:r>
      <w:proofErr w:type="spellStart"/>
      <w:r w:rsidRPr="0009095B">
        <w:rPr>
          <w:sz w:val="22"/>
          <w:szCs w:val="22"/>
          <w:rtl/>
        </w:rPr>
        <w:t>יזרעאלה</w:t>
      </w:r>
      <w:proofErr w:type="spellEnd"/>
      <w:r w:rsidRPr="0009095B">
        <w:rPr>
          <w:sz w:val="22"/>
          <w:szCs w:val="22"/>
          <w:rtl/>
        </w:rPr>
        <w:t xml:space="preserve"> כספי, ארכיונאית בקיבוץ טירת צבי, ועל כך תודתי הרבה לה. חליפת מכתבים זו פורסמה בעיתון הקיבוץ הדתי- עמודים, מס' 168.</w:t>
      </w:r>
    </w:p>
    <w:p w:rsidR="000664A7" w:rsidRPr="0009095B" w:rsidRDefault="000664A7" w:rsidP="000664A7">
      <w:pPr>
        <w:pStyle w:val="a3"/>
        <w:bidi/>
        <w:jc w:val="both"/>
        <w:rPr>
          <w:rFonts w:cs="David"/>
          <w:sz w:val="22"/>
          <w:szCs w:val="22"/>
        </w:rPr>
      </w:pPr>
    </w:p>
  </w:footnote>
  <w:footnote w:id="31">
    <w:p w:rsidR="000664A7" w:rsidRPr="0009095B" w:rsidRDefault="000664A7" w:rsidP="000664A7">
      <w:pPr>
        <w:pStyle w:val="a3"/>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שו"ת משפטי עוזיאל, </w:t>
      </w:r>
      <w:proofErr w:type="spellStart"/>
      <w:r w:rsidRPr="0009095B">
        <w:rPr>
          <w:rFonts w:cs="David"/>
          <w:sz w:val="22"/>
          <w:szCs w:val="22"/>
          <w:rtl/>
        </w:rPr>
        <w:t>מהדורא</w:t>
      </w:r>
      <w:proofErr w:type="spellEnd"/>
      <w:r w:rsidRPr="0009095B">
        <w:rPr>
          <w:rFonts w:cs="David"/>
          <w:sz w:val="22"/>
          <w:szCs w:val="22"/>
          <w:rtl/>
        </w:rPr>
        <w:t xml:space="preserve"> </w:t>
      </w:r>
      <w:proofErr w:type="spellStart"/>
      <w:r w:rsidRPr="0009095B">
        <w:rPr>
          <w:rFonts w:cs="David"/>
          <w:sz w:val="22"/>
          <w:szCs w:val="22"/>
          <w:rtl/>
        </w:rPr>
        <w:t>תנינא</w:t>
      </w:r>
      <w:proofErr w:type="spellEnd"/>
      <w:r w:rsidRPr="0009095B">
        <w:rPr>
          <w:rFonts w:cs="David"/>
          <w:sz w:val="22"/>
          <w:szCs w:val="22"/>
          <w:rtl/>
        </w:rPr>
        <w:t>, יו"ד סימן ק.</w:t>
      </w:r>
    </w:p>
    <w:p w:rsidR="000664A7" w:rsidRPr="0009095B" w:rsidRDefault="000664A7" w:rsidP="000664A7">
      <w:pPr>
        <w:pStyle w:val="a3"/>
        <w:bidi/>
        <w:jc w:val="both"/>
        <w:rPr>
          <w:rFonts w:cs="David"/>
          <w:sz w:val="22"/>
          <w:szCs w:val="22"/>
        </w:rPr>
      </w:pPr>
    </w:p>
  </w:footnote>
  <w:footnote w:id="32">
    <w:p w:rsidR="000664A7" w:rsidRPr="0009095B" w:rsidRDefault="000664A7" w:rsidP="000664A7">
      <w:pPr>
        <w:pStyle w:val="QtxDos"/>
        <w:tabs>
          <w:tab w:val="left" w:pos="337"/>
        </w:tabs>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 </w:t>
      </w:r>
      <w:r w:rsidRPr="0009095B">
        <w:rPr>
          <w:rFonts w:cs="David"/>
          <w:sz w:val="22"/>
          <w:szCs w:val="22"/>
          <w:rtl/>
        </w:rPr>
        <w:t xml:space="preserve">אם כי הוא </w:t>
      </w:r>
      <w:proofErr w:type="spellStart"/>
      <w:r w:rsidRPr="0009095B">
        <w:rPr>
          <w:rFonts w:cs="David"/>
          <w:sz w:val="22"/>
          <w:szCs w:val="22"/>
          <w:rtl/>
        </w:rPr>
        <w:t>איפשר</w:t>
      </w:r>
      <w:proofErr w:type="spellEnd"/>
      <w:r w:rsidRPr="0009095B">
        <w:rPr>
          <w:rFonts w:cs="David"/>
          <w:sz w:val="22"/>
          <w:szCs w:val="22"/>
          <w:rtl/>
        </w:rPr>
        <w:t xml:space="preserve"> לקרוא בספר תורה ללא ברכות התורה במעמד זכר </w:t>
      </w:r>
      <w:proofErr w:type="spellStart"/>
      <w:r w:rsidRPr="0009095B">
        <w:rPr>
          <w:rFonts w:cs="David"/>
          <w:sz w:val="22"/>
          <w:szCs w:val="22"/>
          <w:rtl/>
        </w:rPr>
        <w:t>להקהל</w:t>
      </w:r>
      <w:proofErr w:type="spellEnd"/>
      <w:r w:rsidRPr="0009095B">
        <w:rPr>
          <w:rFonts w:cs="David"/>
          <w:sz w:val="22"/>
          <w:szCs w:val="22"/>
          <w:rtl/>
        </w:rPr>
        <w:t xml:space="preserve"> שהתקיים בסוכות תשי"ג. ראה: הרב בן ציון מאיר חי עוזיאל, "קריאת פרשת הקהל בציבור מתוך ספר תורה בברכות", השמיטה היובל והקהל במשנת הרב עוזיאל, ירושלים תשנ"ד, עמ' 167 </w:t>
      </w:r>
      <w:r>
        <w:rPr>
          <w:rFonts w:cs="David" w:hint="cs"/>
          <w:sz w:val="22"/>
          <w:szCs w:val="22"/>
          <w:rtl/>
        </w:rPr>
        <w:t>-</w:t>
      </w:r>
      <w:r w:rsidRPr="0009095B">
        <w:rPr>
          <w:rFonts w:cs="David"/>
          <w:sz w:val="22"/>
          <w:szCs w:val="22"/>
          <w:rtl/>
        </w:rPr>
        <w:t xml:space="preserve">173. </w:t>
      </w:r>
    </w:p>
    <w:p w:rsidR="000664A7" w:rsidRPr="0009095B" w:rsidRDefault="000664A7" w:rsidP="000664A7">
      <w:pPr>
        <w:pStyle w:val="a3"/>
        <w:bidi/>
        <w:jc w:val="both"/>
        <w:rPr>
          <w:rFonts w:cs="David"/>
          <w:sz w:val="22"/>
          <w:szCs w:val="22"/>
        </w:rPr>
      </w:pPr>
    </w:p>
  </w:footnote>
  <w:footnote w:id="33">
    <w:p w:rsidR="000664A7" w:rsidRPr="0009095B" w:rsidRDefault="000664A7" w:rsidP="000664A7">
      <w:pPr>
        <w:pStyle w:val="a3"/>
        <w:bidi/>
        <w:jc w:val="both"/>
        <w:rPr>
          <w:rFonts w:cs="David"/>
          <w:sz w:val="22"/>
          <w:szCs w:val="22"/>
          <w:rtl/>
        </w:rPr>
      </w:pPr>
      <w:r w:rsidRPr="0009095B">
        <w:rPr>
          <w:rStyle w:val="a5"/>
          <w:rFonts w:cs="David"/>
          <w:sz w:val="22"/>
          <w:szCs w:val="22"/>
        </w:rPr>
        <w:footnoteRef/>
      </w:r>
      <w:r w:rsidRPr="0009095B">
        <w:rPr>
          <w:rFonts w:cs="David"/>
          <w:sz w:val="22"/>
          <w:szCs w:val="22"/>
        </w:rPr>
        <w:t xml:space="preserve"> </w:t>
      </w:r>
      <w:proofErr w:type="spellStart"/>
      <w:r w:rsidRPr="0009095B">
        <w:rPr>
          <w:rFonts w:cs="David"/>
          <w:sz w:val="22"/>
          <w:szCs w:val="22"/>
          <w:rtl/>
        </w:rPr>
        <w:t>הריא"ה</w:t>
      </w:r>
      <w:proofErr w:type="spellEnd"/>
      <w:r w:rsidRPr="0009095B">
        <w:rPr>
          <w:rFonts w:cs="David"/>
          <w:sz w:val="22"/>
          <w:szCs w:val="22"/>
          <w:rtl/>
        </w:rPr>
        <w:t xml:space="preserve"> הרצוג, פסקים וכתבים, שו"ת בדיני אורח חיים חלק ב עמ' תטו; הנ"ל, קובץ הקהל, ירושלים:  מוסד הרב קוק, תשל"ג, עמ' נו בתשובה מערב ר"ח תמוז תש"ה. </w:t>
      </w:r>
    </w:p>
    <w:p w:rsidR="000664A7" w:rsidRPr="0009095B" w:rsidRDefault="000664A7" w:rsidP="000664A7">
      <w:pPr>
        <w:pStyle w:val="a3"/>
        <w:bidi/>
        <w:jc w:val="both"/>
        <w:rPr>
          <w:rFonts w:cs="David"/>
          <w:sz w:val="22"/>
          <w:szCs w:val="22"/>
        </w:rPr>
      </w:pPr>
    </w:p>
  </w:footnote>
  <w:footnote w:id="34">
    <w:p w:rsidR="000664A7" w:rsidRPr="0009095B" w:rsidRDefault="000664A7" w:rsidP="000664A7">
      <w:pPr>
        <w:jc w:val="both"/>
        <w:rPr>
          <w:rFonts w:cs="David"/>
          <w:sz w:val="22"/>
          <w:szCs w:val="22"/>
          <w:rtl/>
        </w:rPr>
      </w:pPr>
      <w:r w:rsidRPr="0009095B">
        <w:rPr>
          <w:rStyle w:val="a5"/>
          <w:rFonts w:cs="David"/>
          <w:sz w:val="22"/>
          <w:szCs w:val="22"/>
        </w:rPr>
        <w:footnoteRef/>
      </w:r>
      <w:r w:rsidRPr="0009095B">
        <w:rPr>
          <w:rFonts w:cs="David"/>
          <w:sz w:val="22"/>
          <w:szCs w:val="22"/>
        </w:rPr>
        <w:t xml:space="preserve"> </w:t>
      </w:r>
      <w:r w:rsidRPr="0009095B">
        <w:rPr>
          <w:rFonts w:cs="David"/>
          <w:sz w:val="22"/>
          <w:szCs w:val="22"/>
          <w:rtl/>
        </w:rPr>
        <w:t xml:space="preserve">על פעילותם של </w:t>
      </w:r>
      <w:proofErr w:type="spellStart"/>
      <w:r w:rsidRPr="0009095B">
        <w:rPr>
          <w:rFonts w:cs="David"/>
          <w:sz w:val="22"/>
          <w:szCs w:val="22"/>
          <w:rtl/>
        </w:rPr>
        <w:t>הריא"ה</w:t>
      </w:r>
      <w:proofErr w:type="spellEnd"/>
      <w:r w:rsidRPr="0009095B">
        <w:rPr>
          <w:rFonts w:cs="David"/>
          <w:sz w:val="22"/>
          <w:szCs w:val="22"/>
          <w:rtl/>
        </w:rPr>
        <w:t xml:space="preserve"> הרצוג והרב </w:t>
      </w:r>
      <w:proofErr w:type="spellStart"/>
      <w:r w:rsidRPr="0009095B">
        <w:rPr>
          <w:rFonts w:cs="David"/>
          <w:sz w:val="22"/>
          <w:szCs w:val="22"/>
          <w:rtl/>
        </w:rPr>
        <w:t>בצמ"ח</w:t>
      </w:r>
      <w:proofErr w:type="spellEnd"/>
      <w:r w:rsidRPr="0009095B">
        <w:rPr>
          <w:rFonts w:cs="David"/>
          <w:sz w:val="22"/>
          <w:szCs w:val="22"/>
          <w:rtl/>
        </w:rPr>
        <w:t xml:space="preserve"> עוזיאל ביישום מעמד "זכר </w:t>
      </w:r>
      <w:proofErr w:type="spellStart"/>
      <w:r w:rsidRPr="0009095B">
        <w:rPr>
          <w:rFonts w:cs="David"/>
          <w:sz w:val="22"/>
          <w:szCs w:val="22"/>
          <w:rtl/>
        </w:rPr>
        <w:t>להקהל</w:t>
      </w:r>
      <w:proofErr w:type="spellEnd"/>
      <w:r w:rsidRPr="0009095B">
        <w:rPr>
          <w:rFonts w:cs="David"/>
          <w:sz w:val="22"/>
          <w:szCs w:val="22"/>
          <w:rtl/>
        </w:rPr>
        <w:t xml:space="preserve">", ראה ספרי: מלכות יהודה וישראל, "לתולדות זכר </w:t>
      </w:r>
      <w:proofErr w:type="spellStart"/>
      <w:r w:rsidRPr="0009095B">
        <w:rPr>
          <w:rFonts w:cs="David"/>
          <w:sz w:val="22"/>
          <w:szCs w:val="22"/>
          <w:rtl/>
        </w:rPr>
        <w:t>להקהל</w:t>
      </w:r>
      <w:proofErr w:type="spellEnd"/>
      <w:r w:rsidRPr="0009095B">
        <w:rPr>
          <w:rFonts w:cs="David"/>
          <w:sz w:val="22"/>
          <w:szCs w:val="22"/>
          <w:rtl/>
        </w:rPr>
        <w:t xml:space="preserve"> מאחר החורבן עד ימינו", מרכז שפירא: ישיבת אור עציון,  תשס"ב, עמ' 444 </w:t>
      </w:r>
      <w:r>
        <w:rPr>
          <w:rFonts w:cs="David" w:hint="cs"/>
          <w:sz w:val="22"/>
          <w:szCs w:val="22"/>
          <w:rtl/>
        </w:rPr>
        <w:t>-</w:t>
      </w:r>
      <w:r w:rsidRPr="0009095B">
        <w:rPr>
          <w:rFonts w:cs="David"/>
          <w:sz w:val="22"/>
          <w:szCs w:val="22"/>
          <w:rtl/>
        </w:rPr>
        <w:t xml:space="preserve">478. </w:t>
      </w:r>
    </w:p>
    <w:p w:rsidR="000664A7" w:rsidRPr="0009095B" w:rsidRDefault="000664A7" w:rsidP="000664A7">
      <w:pPr>
        <w:pStyle w:val="a3"/>
        <w:bidi/>
        <w:jc w:val="both"/>
        <w:rPr>
          <w:rFonts w:cs="David"/>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10" w:rsidRDefault="00B76FE8">
    <w:pPr>
      <w:pStyle w:val="ab"/>
      <w:framePr w:wrap="around" w:vAnchor="text" w:hAnchor="margin" w:y="1"/>
      <w:rPr>
        <w:rStyle w:val="ad"/>
        <w:rtl/>
      </w:rPr>
    </w:pPr>
    <w:r>
      <w:rPr>
        <w:rStyle w:val="ad"/>
        <w:rtl/>
      </w:rPr>
      <w:fldChar w:fldCharType="begin"/>
    </w:r>
    <w:r>
      <w:rPr>
        <w:rStyle w:val="ad"/>
      </w:rPr>
      <w:instrText xml:space="preserve">PAGE  </w:instrText>
    </w:r>
    <w:r>
      <w:rPr>
        <w:rStyle w:val="ad"/>
        <w:rtl/>
      </w:rPr>
      <w:fldChar w:fldCharType="separate"/>
    </w:r>
    <w:r>
      <w:rPr>
        <w:rStyle w:val="ad"/>
        <w:rtl/>
      </w:rPr>
      <w:t>1</w:t>
    </w:r>
    <w:r>
      <w:rPr>
        <w:rStyle w:val="ad"/>
        <w:rtl/>
      </w:rPr>
      <w:fldChar w:fldCharType="end"/>
    </w:r>
  </w:p>
  <w:p w:rsidR="006D2410" w:rsidRDefault="00B76FE8">
    <w:pPr>
      <w:pStyle w:val="ab"/>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410" w:rsidRDefault="00B76FE8">
    <w:pPr>
      <w:pStyle w:val="ab"/>
      <w:framePr w:wrap="around" w:vAnchor="text" w:hAnchor="margin" w:y="1"/>
      <w:rPr>
        <w:rStyle w:val="ad"/>
        <w:rtl/>
      </w:rPr>
    </w:pPr>
    <w:r>
      <w:rPr>
        <w:rStyle w:val="ad"/>
        <w:rtl/>
      </w:rPr>
      <w:fldChar w:fldCharType="begin"/>
    </w:r>
    <w:r>
      <w:rPr>
        <w:rStyle w:val="ad"/>
      </w:rPr>
      <w:instrText xml:space="preserve">PAGE  </w:instrText>
    </w:r>
    <w:r>
      <w:rPr>
        <w:rStyle w:val="ad"/>
        <w:rtl/>
      </w:rPr>
      <w:fldChar w:fldCharType="separate"/>
    </w:r>
    <w:r w:rsidR="000664A7">
      <w:rPr>
        <w:rStyle w:val="ad"/>
        <w:noProof/>
        <w:rtl/>
      </w:rPr>
      <w:t>1</w:t>
    </w:r>
    <w:r>
      <w:rPr>
        <w:rStyle w:val="ad"/>
        <w:rtl/>
      </w:rPr>
      <w:fldChar w:fldCharType="end"/>
    </w:r>
  </w:p>
  <w:p w:rsidR="006D2410" w:rsidRDefault="00B76FE8">
    <w:pPr>
      <w:pStyle w:val="ab"/>
      <w:ind w:right="360"/>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51717"/>
    <w:multiLevelType w:val="singleLevel"/>
    <w:tmpl w:val="2196D668"/>
    <w:lvl w:ilvl="0">
      <w:start w:val="1"/>
      <w:numFmt w:val="hebrew1"/>
      <w:lvlText w:val="%1."/>
      <w:lvlJc w:val="left"/>
      <w:pPr>
        <w:tabs>
          <w:tab w:val="num" w:pos="360"/>
        </w:tabs>
        <w:ind w:left="360" w:hanging="360"/>
      </w:pPr>
      <w:rPr>
        <w:rFonts w:hint="default"/>
        <w:sz w:val="24"/>
      </w:rPr>
    </w:lvl>
  </w:abstractNum>
  <w:abstractNum w:abstractNumId="1">
    <w:nsid w:val="403E3AE6"/>
    <w:multiLevelType w:val="singleLevel"/>
    <w:tmpl w:val="AC781128"/>
    <w:lvl w:ilvl="0">
      <w:start w:val="1"/>
      <w:numFmt w:val="hebrew1"/>
      <w:lvlText w:val="%1."/>
      <w:lvlJc w:val="left"/>
      <w:pPr>
        <w:tabs>
          <w:tab w:val="num" w:pos="360"/>
        </w:tabs>
        <w:ind w:left="360" w:hanging="360"/>
      </w:pPr>
      <w:rPr>
        <w:rFonts w:hint="default"/>
        <w:sz w:val="24"/>
      </w:rPr>
    </w:lvl>
  </w:abstractNum>
  <w:abstractNum w:abstractNumId="2">
    <w:nsid w:val="519B76C3"/>
    <w:multiLevelType w:val="singleLevel"/>
    <w:tmpl w:val="C3B694A0"/>
    <w:lvl w:ilvl="0">
      <w:start w:val="1"/>
      <w:numFmt w:val="decimal"/>
      <w:lvlText w:val="%1."/>
      <w:lvlJc w:val="left"/>
      <w:pPr>
        <w:tabs>
          <w:tab w:val="num" w:pos="360"/>
        </w:tabs>
        <w:ind w:left="360" w:hanging="360"/>
      </w:pPr>
      <w:rPr>
        <w:rFonts w:hint="default"/>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A6"/>
    <w:rsid w:val="000664A7"/>
    <w:rsid w:val="000B21A6"/>
    <w:rsid w:val="00A07BC7"/>
    <w:rsid w:val="00A37130"/>
    <w:rsid w:val="00B76F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4A7"/>
    <w:pPr>
      <w:bidi/>
      <w:spacing w:after="0" w:line="240" w:lineRule="auto"/>
    </w:pPr>
    <w:rPr>
      <w:rFonts w:ascii="Times New Roman" w:eastAsia="Times New Roman" w:hAnsi="Times New Roman" w:cs="Miriam"/>
      <w:sz w:val="20"/>
      <w:szCs w:val="20"/>
    </w:rPr>
  </w:style>
  <w:style w:type="paragraph" w:styleId="1">
    <w:name w:val="heading 1"/>
    <w:basedOn w:val="a"/>
    <w:next w:val="a"/>
    <w:link w:val="10"/>
    <w:qFormat/>
    <w:rsid w:val="000664A7"/>
    <w:pPr>
      <w:keepNext/>
      <w:outlineLvl w:val="0"/>
    </w:pPr>
    <w:rPr>
      <w:rFonts w:cs="David"/>
      <w:b/>
      <w:bCs/>
      <w:szCs w:val="28"/>
    </w:rPr>
  </w:style>
  <w:style w:type="paragraph" w:styleId="2">
    <w:name w:val="heading 2"/>
    <w:basedOn w:val="a"/>
    <w:next w:val="a"/>
    <w:link w:val="20"/>
    <w:qFormat/>
    <w:rsid w:val="000664A7"/>
    <w:pPr>
      <w:keepNext/>
      <w:spacing w:line="360" w:lineRule="auto"/>
      <w:jc w:val="both"/>
      <w:outlineLvl w:val="1"/>
    </w:pPr>
    <w:rPr>
      <w:rFonts w:cs="David"/>
      <w:b/>
      <w:bCs/>
      <w:szCs w:val="24"/>
    </w:rPr>
  </w:style>
  <w:style w:type="paragraph" w:styleId="4">
    <w:name w:val="heading 4"/>
    <w:basedOn w:val="a"/>
    <w:next w:val="a"/>
    <w:link w:val="40"/>
    <w:qFormat/>
    <w:rsid w:val="000664A7"/>
    <w:pPr>
      <w:keepNext/>
      <w:spacing w:before="240" w:after="60" w:line="300" w:lineRule="auto"/>
      <w:jc w:val="both"/>
      <w:outlineLvl w:val="3"/>
    </w:pPr>
    <w:rPr>
      <w:rFonts w:ascii="Responsa Draw" w:hAnsi="Responsa Draw" w:cs="Narkisim"/>
      <w:b/>
      <w:bCs/>
      <w:i/>
      <w:sz w:val="30"/>
      <w:szCs w:val="30"/>
    </w:rPr>
  </w:style>
  <w:style w:type="paragraph" w:styleId="6">
    <w:name w:val="heading 6"/>
    <w:basedOn w:val="a"/>
    <w:next w:val="a"/>
    <w:link w:val="60"/>
    <w:qFormat/>
    <w:rsid w:val="000664A7"/>
    <w:pPr>
      <w:keepNext/>
      <w:spacing w:line="360" w:lineRule="auto"/>
      <w:outlineLvl w:val="5"/>
    </w:pPr>
    <w:rPr>
      <w:rFonts w:cs="David"/>
      <w:szCs w:val="24"/>
    </w:rPr>
  </w:style>
  <w:style w:type="paragraph" w:styleId="7">
    <w:name w:val="heading 7"/>
    <w:basedOn w:val="a"/>
    <w:next w:val="a"/>
    <w:link w:val="70"/>
    <w:qFormat/>
    <w:rsid w:val="000664A7"/>
    <w:pPr>
      <w:keepNext/>
      <w:spacing w:line="360" w:lineRule="auto"/>
      <w:jc w:val="both"/>
      <w:outlineLvl w:val="6"/>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0664A7"/>
    <w:rPr>
      <w:rFonts w:ascii="Times New Roman" w:eastAsia="Times New Roman" w:hAnsi="Times New Roman" w:cs="David"/>
      <w:b/>
      <w:bCs/>
      <w:sz w:val="20"/>
      <w:szCs w:val="28"/>
    </w:rPr>
  </w:style>
  <w:style w:type="character" w:customStyle="1" w:styleId="20">
    <w:name w:val="כותרת 2 תו"/>
    <w:basedOn w:val="a0"/>
    <w:link w:val="2"/>
    <w:rsid w:val="000664A7"/>
    <w:rPr>
      <w:rFonts w:ascii="Times New Roman" w:eastAsia="Times New Roman" w:hAnsi="Times New Roman" w:cs="David"/>
      <w:b/>
      <w:bCs/>
      <w:sz w:val="20"/>
      <w:szCs w:val="24"/>
    </w:rPr>
  </w:style>
  <w:style w:type="character" w:customStyle="1" w:styleId="40">
    <w:name w:val="כותרת 4 תו"/>
    <w:basedOn w:val="a0"/>
    <w:link w:val="4"/>
    <w:rsid w:val="000664A7"/>
    <w:rPr>
      <w:rFonts w:ascii="Responsa Draw" w:eastAsia="Times New Roman" w:hAnsi="Responsa Draw" w:cs="Narkisim"/>
      <w:b/>
      <w:bCs/>
      <w:i/>
      <w:sz w:val="30"/>
      <w:szCs w:val="30"/>
    </w:rPr>
  </w:style>
  <w:style w:type="character" w:customStyle="1" w:styleId="60">
    <w:name w:val="כותרת 6 תו"/>
    <w:basedOn w:val="a0"/>
    <w:link w:val="6"/>
    <w:rsid w:val="000664A7"/>
    <w:rPr>
      <w:rFonts w:ascii="Times New Roman" w:eastAsia="Times New Roman" w:hAnsi="Times New Roman" w:cs="David"/>
      <w:sz w:val="20"/>
      <w:szCs w:val="24"/>
    </w:rPr>
  </w:style>
  <w:style w:type="character" w:customStyle="1" w:styleId="70">
    <w:name w:val="כותרת 7 תו"/>
    <w:basedOn w:val="a0"/>
    <w:link w:val="7"/>
    <w:rsid w:val="000664A7"/>
    <w:rPr>
      <w:rFonts w:ascii="Times New Roman" w:eastAsia="Times New Roman" w:hAnsi="Times New Roman" w:cs="David"/>
      <w:sz w:val="20"/>
      <w:szCs w:val="24"/>
    </w:rPr>
  </w:style>
  <w:style w:type="paragraph" w:customStyle="1" w:styleId="QtxDos">
    <w:name w:val="QtxDos"/>
    <w:rsid w:val="000664A7"/>
    <w:pPr>
      <w:widowControl w:val="0"/>
      <w:spacing w:after="0" w:line="240" w:lineRule="auto"/>
    </w:pPr>
    <w:rPr>
      <w:rFonts w:ascii="Arial" w:eastAsia="Times New Roman" w:hAnsi="Akhbar Simplified MT" w:cs="QMiriam"/>
      <w:snapToGrid w:val="0"/>
      <w:sz w:val="20"/>
      <w:szCs w:val="20"/>
      <w:lang w:eastAsia="he-IL"/>
    </w:rPr>
  </w:style>
  <w:style w:type="paragraph" w:styleId="a3">
    <w:name w:val="footnote text"/>
    <w:basedOn w:val="a"/>
    <w:link w:val="a4"/>
    <w:semiHidden/>
    <w:rsid w:val="000664A7"/>
    <w:pPr>
      <w:bidi w:val="0"/>
    </w:pPr>
  </w:style>
  <w:style w:type="character" w:customStyle="1" w:styleId="a4">
    <w:name w:val="טקסט הערת שוליים תו"/>
    <w:basedOn w:val="a0"/>
    <w:link w:val="a3"/>
    <w:semiHidden/>
    <w:rsid w:val="000664A7"/>
    <w:rPr>
      <w:rFonts w:ascii="Times New Roman" w:eastAsia="Times New Roman" w:hAnsi="Times New Roman" w:cs="Miriam"/>
      <w:sz w:val="20"/>
      <w:szCs w:val="20"/>
    </w:rPr>
  </w:style>
  <w:style w:type="character" w:styleId="a5">
    <w:name w:val="footnote reference"/>
    <w:semiHidden/>
    <w:rsid w:val="000664A7"/>
    <w:rPr>
      <w:vertAlign w:val="superscript"/>
    </w:rPr>
  </w:style>
  <w:style w:type="character" w:customStyle="1" w:styleId="a6">
    <w:name w:val="מראהמקום"/>
    <w:rsid w:val="000664A7"/>
    <w:rPr>
      <w:rFonts w:ascii="Times New Roman" w:hAnsi="Times New Roman" w:cs="Levenim MT"/>
      <w:sz w:val="16"/>
      <w:szCs w:val="16"/>
    </w:rPr>
  </w:style>
  <w:style w:type="character" w:customStyle="1" w:styleId="a7">
    <w:name w:val="הערה בגוף המאמר"/>
    <w:rsid w:val="000664A7"/>
    <w:rPr>
      <w:noProof w:val="0"/>
      <w:sz w:val="20"/>
      <w:szCs w:val="20"/>
      <w:lang w:bidi="he-IL"/>
    </w:rPr>
  </w:style>
  <w:style w:type="paragraph" w:styleId="a8">
    <w:name w:val="Quote"/>
    <w:basedOn w:val="a"/>
    <w:link w:val="a9"/>
    <w:qFormat/>
    <w:rsid w:val="000664A7"/>
    <w:pPr>
      <w:spacing w:line="300" w:lineRule="auto"/>
      <w:ind w:left="567"/>
      <w:jc w:val="both"/>
    </w:pPr>
    <w:rPr>
      <w:rFonts w:cs="Narkisim"/>
      <w:sz w:val="24"/>
      <w:szCs w:val="24"/>
    </w:rPr>
  </w:style>
  <w:style w:type="character" w:customStyle="1" w:styleId="a9">
    <w:name w:val="ציטוט תו"/>
    <w:basedOn w:val="a0"/>
    <w:link w:val="a8"/>
    <w:rsid w:val="000664A7"/>
    <w:rPr>
      <w:rFonts w:ascii="Times New Roman" w:eastAsia="Times New Roman" w:hAnsi="Times New Roman" w:cs="Narkisim"/>
      <w:sz w:val="24"/>
      <w:szCs w:val="24"/>
    </w:rPr>
  </w:style>
  <w:style w:type="paragraph" w:customStyle="1" w:styleId="aa">
    <w:name w:val="ראשי פרקים"/>
    <w:basedOn w:val="a"/>
    <w:rsid w:val="000664A7"/>
    <w:pPr>
      <w:spacing w:line="300" w:lineRule="auto"/>
      <w:ind w:left="567"/>
      <w:jc w:val="both"/>
    </w:pPr>
    <w:rPr>
      <w:rFonts w:cs="Narkisim"/>
    </w:rPr>
  </w:style>
  <w:style w:type="paragraph" w:styleId="ab">
    <w:name w:val="header"/>
    <w:basedOn w:val="a"/>
    <w:link w:val="ac"/>
    <w:rsid w:val="000664A7"/>
    <w:pPr>
      <w:tabs>
        <w:tab w:val="center" w:pos="4153"/>
        <w:tab w:val="right" w:pos="8306"/>
      </w:tabs>
    </w:pPr>
  </w:style>
  <w:style w:type="character" w:customStyle="1" w:styleId="ac">
    <w:name w:val="כותרת עליונה תו"/>
    <w:basedOn w:val="a0"/>
    <w:link w:val="ab"/>
    <w:rsid w:val="000664A7"/>
    <w:rPr>
      <w:rFonts w:ascii="Times New Roman" w:eastAsia="Times New Roman" w:hAnsi="Times New Roman" w:cs="Miriam"/>
      <w:sz w:val="20"/>
      <w:szCs w:val="20"/>
    </w:rPr>
  </w:style>
  <w:style w:type="character" w:styleId="ad">
    <w:name w:val="page number"/>
    <w:basedOn w:val="a0"/>
    <w:rsid w:val="000664A7"/>
  </w:style>
  <w:style w:type="paragraph" w:styleId="ae">
    <w:name w:val="Body Text"/>
    <w:basedOn w:val="a"/>
    <w:link w:val="af"/>
    <w:rsid w:val="000664A7"/>
    <w:pPr>
      <w:jc w:val="both"/>
    </w:pPr>
    <w:rPr>
      <w:rFonts w:cs="David"/>
      <w:snapToGrid w:val="0"/>
      <w:color w:val="00FF00"/>
      <w:sz w:val="24"/>
      <w:szCs w:val="24"/>
      <w:lang w:eastAsia="he-IL"/>
    </w:rPr>
  </w:style>
  <w:style w:type="character" w:customStyle="1" w:styleId="af">
    <w:name w:val="גוף טקסט תו"/>
    <w:basedOn w:val="a0"/>
    <w:link w:val="ae"/>
    <w:rsid w:val="000664A7"/>
    <w:rPr>
      <w:rFonts w:ascii="Times New Roman" w:eastAsia="Times New Roman" w:hAnsi="Times New Roman" w:cs="David"/>
      <w:snapToGrid w:val="0"/>
      <w:color w:val="00FF00"/>
      <w:sz w:val="24"/>
      <w:szCs w:val="24"/>
      <w:lang w:eastAsia="he-IL"/>
    </w:rPr>
  </w:style>
  <w:style w:type="paragraph" w:styleId="af0">
    <w:name w:val="Title"/>
    <w:basedOn w:val="a"/>
    <w:link w:val="af1"/>
    <w:qFormat/>
    <w:rsid w:val="000664A7"/>
    <w:pPr>
      <w:jc w:val="center"/>
    </w:pPr>
    <w:rPr>
      <w:rFonts w:cs="David"/>
      <w:b/>
      <w:bCs/>
      <w:szCs w:val="36"/>
    </w:rPr>
  </w:style>
  <w:style w:type="character" w:customStyle="1" w:styleId="af1">
    <w:name w:val="כותרת טקסט תו"/>
    <w:basedOn w:val="a0"/>
    <w:link w:val="af0"/>
    <w:rsid w:val="000664A7"/>
    <w:rPr>
      <w:rFonts w:ascii="Times New Roman" w:eastAsia="Times New Roman" w:hAnsi="Times New Roman" w:cs="David"/>
      <w:b/>
      <w:bCs/>
      <w:sz w:val="20"/>
      <w:szCs w:val="36"/>
    </w:rPr>
  </w:style>
  <w:style w:type="paragraph" w:styleId="21">
    <w:name w:val="Body Text 2"/>
    <w:basedOn w:val="a"/>
    <w:link w:val="22"/>
    <w:rsid w:val="000664A7"/>
    <w:pPr>
      <w:spacing w:line="360" w:lineRule="auto"/>
      <w:jc w:val="both"/>
    </w:pPr>
    <w:rPr>
      <w:rFonts w:cs="David"/>
      <w:szCs w:val="24"/>
    </w:rPr>
  </w:style>
  <w:style w:type="character" w:customStyle="1" w:styleId="22">
    <w:name w:val="גוף טקסט 2 תו"/>
    <w:basedOn w:val="a0"/>
    <w:link w:val="21"/>
    <w:rsid w:val="000664A7"/>
    <w:rPr>
      <w:rFonts w:ascii="Times New Roman" w:eastAsia="Times New Roman" w:hAnsi="Times New Roman" w:cs="David"/>
      <w:sz w:val="20"/>
      <w:szCs w:val="24"/>
    </w:rPr>
  </w:style>
  <w:style w:type="paragraph" w:styleId="af2">
    <w:name w:val="Block Text"/>
    <w:basedOn w:val="a"/>
    <w:rsid w:val="000664A7"/>
    <w:pPr>
      <w:spacing w:line="360" w:lineRule="auto"/>
      <w:ind w:left="720"/>
      <w:jc w:val="both"/>
    </w:pPr>
    <w:rPr>
      <w:rFonts w:cs="David"/>
      <w:szCs w:val="24"/>
    </w:rPr>
  </w:style>
  <w:style w:type="paragraph" w:styleId="af3">
    <w:name w:val="Subtitle"/>
    <w:basedOn w:val="a"/>
    <w:link w:val="af4"/>
    <w:qFormat/>
    <w:rsid w:val="000664A7"/>
    <w:pPr>
      <w:spacing w:line="360" w:lineRule="auto"/>
      <w:jc w:val="both"/>
    </w:pPr>
    <w:rPr>
      <w:rFonts w:cs="David"/>
      <w:b/>
      <w:bCs/>
      <w:sz w:val="22"/>
      <w:szCs w:val="26"/>
    </w:rPr>
  </w:style>
  <w:style w:type="character" w:customStyle="1" w:styleId="af4">
    <w:name w:val="כותרת משנה תו"/>
    <w:basedOn w:val="a0"/>
    <w:link w:val="af3"/>
    <w:rsid w:val="000664A7"/>
    <w:rPr>
      <w:rFonts w:ascii="Times New Roman" w:eastAsia="Times New Roman" w:hAnsi="Times New Roman" w:cs="David"/>
      <w:b/>
      <w:bCs/>
      <w:szCs w:val="26"/>
    </w:rPr>
  </w:style>
  <w:style w:type="paragraph" w:styleId="3">
    <w:name w:val="Body Text 3"/>
    <w:basedOn w:val="a"/>
    <w:link w:val="30"/>
    <w:rsid w:val="000664A7"/>
    <w:pPr>
      <w:spacing w:after="120"/>
    </w:pPr>
    <w:rPr>
      <w:sz w:val="16"/>
      <w:szCs w:val="16"/>
    </w:rPr>
  </w:style>
  <w:style w:type="character" w:customStyle="1" w:styleId="30">
    <w:name w:val="גוף טקסט 3 תו"/>
    <w:basedOn w:val="a0"/>
    <w:link w:val="3"/>
    <w:rsid w:val="000664A7"/>
    <w:rPr>
      <w:rFonts w:ascii="Times New Roman" w:eastAsia="Times New Roman" w:hAnsi="Times New Roman" w:cs="Miriam"/>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4A7"/>
    <w:pPr>
      <w:bidi/>
      <w:spacing w:after="0" w:line="240" w:lineRule="auto"/>
    </w:pPr>
    <w:rPr>
      <w:rFonts w:ascii="Times New Roman" w:eastAsia="Times New Roman" w:hAnsi="Times New Roman" w:cs="Miriam"/>
      <w:sz w:val="20"/>
      <w:szCs w:val="20"/>
    </w:rPr>
  </w:style>
  <w:style w:type="paragraph" w:styleId="1">
    <w:name w:val="heading 1"/>
    <w:basedOn w:val="a"/>
    <w:next w:val="a"/>
    <w:link w:val="10"/>
    <w:qFormat/>
    <w:rsid w:val="000664A7"/>
    <w:pPr>
      <w:keepNext/>
      <w:outlineLvl w:val="0"/>
    </w:pPr>
    <w:rPr>
      <w:rFonts w:cs="David"/>
      <w:b/>
      <w:bCs/>
      <w:szCs w:val="28"/>
    </w:rPr>
  </w:style>
  <w:style w:type="paragraph" w:styleId="2">
    <w:name w:val="heading 2"/>
    <w:basedOn w:val="a"/>
    <w:next w:val="a"/>
    <w:link w:val="20"/>
    <w:qFormat/>
    <w:rsid w:val="000664A7"/>
    <w:pPr>
      <w:keepNext/>
      <w:spacing w:line="360" w:lineRule="auto"/>
      <w:jc w:val="both"/>
      <w:outlineLvl w:val="1"/>
    </w:pPr>
    <w:rPr>
      <w:rFonts w:cs="David"/>
      <w:b/>
      <w:bCs/>
      <w:szCs w:val="24"/>
    </w:rPr>
  </w:style>
  <w:style w:type="paragraph" w:styleId="4">
    <w:name w:val="heading 4"/>
    <w:basedOn w:val="a"/>
    <w:next w:val="a"/>
    <w:link w:val="40"/>
    <w:qFormat/>
    <w:rsid w:val="000664A7"/>
    <w:pPr>
      <w:keepNext/>
      <w:spacing w:before="240" w:after="60" w:line="300" w:lineRule="auto"/>
      <w:jc w:val="both"/>
      <w:outlineLvl w:val="3"/>
    </w:pPr>
    <w:rPr>
      <w:rFonts w:ascii="Responsa Draw" w:hAnsi="Responsa Draw" w:cs="Narkisim"/>
      <w:b/>
      <w:bCs/>
      <w:i/>
      <w:sz w:val="30"/>
      <w:szCs w:val="30"/>
    </w:rPr>
  </w:style>
  <w:style w:type="paragraph" w:styleId="6">
    <w:name w:val="heading 6"/>
    <w:basedOn w:val="a"/>
    <w:next w:val="a"/>
    <w:link w:val="60"/>
    <w:qFormat/>
    <w:rsid w:val="000664A7"/>
    <w:pPr>
      <w:keepNext/>
      <w:spacing w:line="360" w:lineRule="auto"/>
      <w:outlineLvl w:val="5"/>
    </w:pPr>
    <w:rPr>
      <w:rFonts w:cs="David"/>
      <w:szCs w:val="24"/>
    </w:rPr>
  </w:style>
  <w:style w:type="paragraph" w:styleId="7">
    <w:name w:val="heading 7"/>
    <w:basedOn w:val="a"/>
    <w:next w:val="a"/>
    <w:link w:val="70"/>
    <w:qFormat/>
    <w:rsid w:val="000664A7"/>
    <w:pPr>
      <w:keepNext/>
      <w:spacing w:line="360" w:lineRule="auto"/>
      <w:jc w:val="both"/>
      <w:outlineLvl w:val="6"/>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0664A7"/>
    <w:rPr>
      <w:rFonts w:ascii="Times New Roman" w:eastAsia="Times New Roman" w:hAnsi="Times New Roman" w:cs="David"/>
      <w:b/>
      <w:bCs/>
      <w:sz w:val="20"/>
      <w:szCs w:val="28"/>
    </w:rPr>
  </w:style>
  <w:style w:type="character" w:customStyle="1" w:styleId="20">
    <w:name w:val="כותרת 2 תו"/>
    <w:basedOn w:val="a0"/>
    <w:link w:val="2"/>
    <w:rsid w:val="000664A7"/>
    <w:rPr>
      <w:rFonts w:ascii="Times New Roman" w:eastAsia="Times New Roman" w:hAnsi="Times New Roman" w:cs="David"/>
      <w:b/>
      <w:bCs/>
      <w:sz w:val="20"/>
      <w:szCs w:val="24"/>
    </w:rPr>
  </w:style>
  <w:style w:type="character" w:customStyle="1" w:styleId="40">
    <w:name w:val="כותרת 4 תו"/>
    <w:basedOn w:val="a0"/>
    <w:link w:val="4"/>
    <w:rsid w:val="000664A7"/>
    <w:rPr>
      <w:rFonts w:ascii="Responsa Draw" w:eastAsia="Times New Roman" w:hAnsi="Responsa Draw" w:cs="Narkisim"/>
      <w:b/>
      <w:bCs/>
      <w:i/>
      <w:sz w:val="30"/>
      <w:szCs w:val="30"/>
    </w:rPr>
  </w:style>
  <w:style w:type="character" w:customStyle="1" w:styleId="60">
    <w:name w:val="כותרת 6 תו"/>
    <w:basedOn w:val="a0"/>
    <w:link w:val="6"/>
    <w:rsid w:val="000664A7"/>
    <w:rPr>
      <w:rFonts w:ascii="Times New Roman" w:eastAsia="Times New Roman" w:hAnsi="Times New Roman" w:cs="David"/>
      <w:sz w:val="20"/>
      <w:szCs w:val="24"/>
    </w:rPr>
  </w:style>
  <w:style w:type="character" w:customStyle="1" w:styleId="70">
    <w:name w:val="כותרת 7 תו"/>
    <w:basedOn w:val="a0"/>
    <w:link w:val="7"/>
    <w:rsid w:val="000664A7"/>
    <w:rPr>
      <w:rFonts w:ascii="Times New Roman" w:eastAsia="Times New Roman" w:hAnsi="Times New Roman" w:cs="David"/>
      <w:sz w:val="20"/>
      <w:szCs w:val="24"/>
    </w:rPr>
  </w:style>
  <w:style w:type="paragraph" w:customStyle="1" w:styleId="QtxDos">
    <w:name w:val="QtxDos"/>
    <w:rsid w:val="000664A7"/>
    <w:pPr>
      <w:widowControl w:val="0"/>
      <w:spacing w:after="0" w:line="240" w:lineRule="auto"/>
    </w:pPr>
    <w:rPr>
      <w:rFonts w:ascii="Arial" w:eastAsia="Times New Roman" w:hAnsi="Akhbar Simplified MT" w:cs="QMiriam"/>
      <w:snapToGrid w:val="0"/>
      <w:sz w:val="20"/>
      <w:szCs w:val="20"/>
      <w:lang w:eastAsia="he-IL"/>
    </w:rPr>
  </w:style>
  <w:style w:type="paragraph" w:styleId="a3">
    <w:name w:val="footnote text"/>
    <w:basedOn w:val="a"/>
    <w:link w:val="a4"/>
    <w:semiHidden/>
    <w:rsid w:val="000664A7"/>
    <w:pPr>
      <w:bidi w:val="0"/>
    </w:pPr>
  </w:style>
  <w:style w:type="character" w:customStyle="1" w:styleId="a4">
    <w:name w:val="טקסט הערת שוליים תו"/>
    <w:basedOn w:val="a0"/>
    <w:link w:val="a3"/>
    <w:semiHidden/>
    <w:rsid w:val="000664A7"/>
    <w:rPr>
      <w:rFonts w:ascii="Times New Roman" w:eastAsia="Times New Roman" w:hAnsi="Times New Roman" w:cs="Miriam"/>
      <w:sz w:val="20"/>
      <w:szCs w:val="20"/>
    </w:rPr>
  </w:style>
  <w:style w:type="character" w:styleId="a5">
    <w:name w:val="footnote reference"/>
    <w:semiHidden/>
    <w:rsid w:val="000664A7"/>
    <w:rPr>
      <w:vertAlign w:val="superscript"/>
    </w:rPr>
  </w:style>
  <w:style w:type="character" w:customStyle="1" w:styleId="a6">
    <w:name w:val="מראהמקום"/>
    <w:rsid w:val="000664A7"/>
    <w:rPr>
      <w:rFonts w:ascii="Times New Roman" w:hAnsi="Times New Roman" w:cs="Levenim MT"/>
      <w:sz w:val="16"/>
      <w:szCs w:val="16"/>
    </w:rPr>
  </w:style>
  <w:style w:type="character" w:customStyle="1" w:styleId="a7">
    <w:name w:val="הערה בגוף המאמר"/>
    <w:rsid w:val="000664A7"/>
    <w:rPr>
      <w:noProof w:val="0"/>
      <w:sz w:val="20"/>
      <w:szCs w:val="20"/>
      <w:lang w:bidi="he-IL"/>
    </w:rPr>
  </w:style>
  <w:style w:type="paragraph" w:styleId="a8">
    <w:name w:val="Quote"/>
    <w:basedOn w:val="a"/>
    <w:link w:val="a9"/>
    <w:qFormat/>
    <w:rsid w:val="000664A7"/>
    <w:pPr>
      <w:spacing w:line="300" w:lineRule="auto"/>
      <w:ind w:left="567"/>
      <w:jc w:val="both"/>
    </w:pPr>
    <w:rPr>
      <w:rFonts w:cs="Narkisim"/>
      <w:sz w:val="24"/>
      <w:szCs w:val="24"/>
    </w:rPr>
  </w:style>
  <w:style w:type="character" w:customStyle="1" w:styleId="a9">
    <w:name w:val="ציטוט תו"/>
    <w:basedOn w:val="a0"/>
    <w:link w:val="a8"/>
    <w:rsid w:val="000664A7"/>
    <w:rPr>
      <w:rFonts w:ascii="Times New Roman" w:eastAsia="Times New Roman" w:hAnsi="Times New Roman" w:cs="Narkisim"/>
      <w:sz w:val="24"/>
      <w:szCs w:val="24"/>
    </w:rPr>
  </w:style>
  <w:style w:type="paragraph" w:customStyle="1" w:styleId="aa">
    <w:name w:val="ראשי פרקים"/>
    <w:basedOn w:val="a"/>
    <w:rsid w:val="000664A7"/>
    <w:pPr>
      <w:spacing w:line="300" w:lineRule="auto"/>
      <w:ind w:left="567"/>
      <w:jc w:val="both"/>
    </w:pPr>
    <w:rPr>
      <w:rFonts w:cs="Narkisim"/>
    </w:rPr>
  </w:style>
  <w:style w:type="paragraph" w:styleId="ab">
    <w:name w:val="header"/>
    <w:basedOn w:val="a"/>
    <w:link w:val="ac"/>
    <w:rsid w:val="000664A7"/>
    <w:pPr>
      <w:tabs>
        <w:tab w:val="center" w:pos="4153"/>
        <w:tab w:val="right" w:pos="8306"/>
      </w:tabs>
    </w:pPr>
  </w:style>
  <w:style w:type="character" w:customStyle="1" w:styleId="ac">
    <w:name w:val="כותרת עליונה תו"/>
    <w:basedOn w:val="a0"/>
    <w:link w:val="ab"/>
    <w:rsid w:val="000664A7"/>
    <w:rPr>
      <w:rFonts w:ascii="Times New Roman" w:eastAsia="Times New Roman" w:hAnsi="Times New Roman" w:cs="Miriam"/>
      <w:sz w:val="20"/>
      <w:szCs w:val="20"/>
    </w:rPr>
  </w:style>
  <w:style w:type="character" w:styleId="ad">
    <w:name w:val="page number"/>
    <w:basedOn w:val="a0"/>
    <w:rsid w:val="000664A7"/>
  </w:style>
  <w:style w:type="paragraph" w:styleId="ae">
    <w:name w:val="Body Text"/>
    <w:basedOn w:val="a"/>
    <w:link w:val="af"/>
    <w:rsid w:val="000664A7"/>
    <w:pPr>
      <w:jc w:val="both"/>
    </w:pPr>
    <w:rPr>
      <w:rFonts w:cs="David"/>
      <w:snapToGrid w:val="0"/>
      <w:color w:val="00FF00"/>
      <w:sz w:val="24"/>
      <w:szCs w:val="24"/>
      <w:lang w:eastAsia="he-IL"/>
    </w:rPr>
  </w:style>
  <w:style w:type="character" w:customStyle="1" w:styleId="af">
    <w:name w:val="גוף טקסט תו"/>
    <w:basedOn w:val="a0"/>
    <w:link w:val="ae"/>
    <w:rsid w:val="000664A7"/>
    <w:rPr>
      <w:rFonts w:ascii="Times New Roman" w:eastAsia="Times New Roman" w:hAnsi="Times New Roman" w:cs="David"/>
      <w:snapToGrid w:val="0"/>
      <w:color w:val="00FF00"/>
      <w:sz w:val="24"/>
      <w:szCs w:val="24"/>
      <w:lang w:eastAsia="he-IL"/>
    </w:rPr>
  </w:style>
  <w:style w:type="paragraph" w:styleId="af0">
    <w:name w:val="Title"/>
    <w:basedOn w:val="a"/>
    <w:link w:val="af1"/>
    <w:qFormat/>
    <w:rsid w:val="000664A7"/>
    <w:pPr>
      <w:jc w:val="center"/>
    </w:pPr>
    <w:rPr>
      <w:rFonts w:cs="David"/>
      <w:b/>
      <w:bCs/>
      <w:szCs w:val="36"/>
    </w:rPr>
  </w:style>
  <w:style w:type="character" w:customStyle="1" w:styleId="af1">
    <w:name w:val="כותרת טקסט תו"/>
    <w:basedOn w:val="a0"/>
    <w:link w:val="af0"/>
    <w:rsid w:val="000664A7"/>
    <w:rPr>
      <w:rFonts w:ascii="Times New Roman" w:eastAsia="Times New Roman" w:hAnsi="Times New Roman" w:cs="David"/>
      <w:b/>
      <w:bCs/>
      <w:sz w:val="20"/>
      <w:szCs w:val="36"/>
    </w:rPr>
  </w:style>
  <w:style w:type="paragraph" w:styleId="21">
    <w:name w:val="Body Text 2"/>
    <w:basedOn w:val="a"/>
    <w:link w:val="22"/>
    <w:rsid w:val="000664A7"/>
    <w:pPr>
      <w:spacing w:line="360" w:lineRule="auto"/>
      <w:jc w:val="both"/>
    </w:pPr>
    <w:rPr>
      <w:rFonts w:cs="David"/>
      <w:szCs w:val="24"/>
    </w:rPr>
  </w:style>
  <w:style w:type="character" w:customStyle="1" w:styleId="22">
    <w:name w:val="גוף טקסט 2 תו"/>
    <w:basedOn w:val="a0"/>
    <w:link w:val="21"/>
    <w:rsid w:val="000664A7"/>
    <w:rPr>
      <w:rFonts w:ascii="Times New Roman" w:eastAsia="Times New Roman" w:hAnsi="Times New Roman" w:cs="David"/>
      <w:sz w:val="20"/>
      <w:szCs w:val="24"/>
    </w:rPr>
  </w:style>
  <w:style w:type="paragraph" w:styleId="af2">
    <w:name w:val="Block Text"/>
    <w:basedOn w:val="a"/>
    <w:rsid w:val="000664A7"/>
    <w:pPr>
      <w:spacing w:line="360" w:lineRule="auto"/>
      <w:ind w:left="720"/>
      <w:jc w:val="both"/>
    </w:pPr>
    <w:rPr>
      <w:rFonts w:cs="David"/>
      <w:szCs w:val="24"/>
    </w:rPr>
  </w:style>
  <w:style w:type="paragraph" w:styleId="af3">
    <w:name w:val="Subtitle"/>
    <w:basedOn w:val="a"/>
    <w:link w:val="af4"/>
    <w:qFormat/>
    <w:rsid w:val="000664A7"/>
    <w:pPr>
      <w:spacing w:line="360" w:lineRule="auto"/>
      <w:jc w:val="both"/>
    </w:pPr>
    <w:rPr>
      <w:rFonts w:cs="David"/>
      <w:b/>
      <w:bCs/>
      <w:sz w:val="22"/>
      <w:szCs w:val="26"/>
    </w:rPr>
  </w:style>
  <w:style w:type="character" w:customStyle="1" w:styleId="af4">
    <w:name w:val="כותרת משנה תו"/>
    <w:basedOn w:val="a0"/>
    <w:link w:val="af3"/>
    <w:rsid w:val="000664A7"/>
    <w:rPr>
      <w:rFonts w:ascii="Times New Roman" w:eastAsia="Times New Roman" w:hAnsi="Times New Roman" w:cs="David"/>
      <w:b/>
      <w:bCs/>
      <w:szCs w:val="26"/>
    </w:rPr>
  </w:style>
  <w:style w:type="paragraph" w:styleId="3">
    <w:name w:val="Body Text 3"/>
    <w:basedOn w:val="a"/>
    <w:link w:val="30"/>
    <w:rsid w:val="000664A7"/>
    <w:pPr>
      <w:spacing w:after="120"/>
    </w:pPr>
    <w:rPr>
      <w:sz w:val="16"/>
      <w:szCs w:val="16"/>
    </w:rPr>
  </w:style>
  <w:style w:type="character" w:customStyle="1" w:styleId="30">
    <w:name w:val="גוף טקסט 3 תו"/>
    <w:basedOn w:val="a0"/>
    <w:link w:val="3"/>
    <w:rsid w:val="000664A7"/>
    <w:rPr>
      <w:rFonts w:ascii="Times New Roman" w:eastAsia="Times New Roman" w:hAnsi="Times New Roman" w:cs="Miriam"/>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4964</Words>
  <Characters>24821</Characters>
  <Application>Microsoft Office Word</Application>
  <DocSecurity>0</DocSecurity>
  <Lines>206</Lines>
  <Paragraphs>59</Paragraphs>
  <ScaleCrop>false</ScaleCrop>
  <Company>z</Company>
  <LinksUpToDate>false</LinksUpToDate>
  <CharactersWithSpaces>29726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2</cp:revision>
  <dcterms:created xsi:type="dcterms:W3CDTF">2013-10-06T19:23:00Z</dcterms:created>
  <dcterms:modified xsi:type="dcterms:W3CDTF">2013-10-06T19:24:00Z</dcterms:modified>
</cp:coreProperties>
</file>