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24" w:rsidRDefault="00AD0024" w:rsidP="00AD0024">
      <w:pPr>
        <w:pStyle w:val="a2"/>
        <w:rPr>
          <w:rtl/>
        </w:rPr>
      </w:pPr>
      <w:r>
        <w:rPr>
          <w:rFonts w:hint="cs"/>
          <w:rtl/>
        </w:rPr>
        <w:t>שווה כסף ככסף</w:t>
      </w:r>
    </w:p>
    <w:p w:rsidR="00795D53" w:rsidRPr="009212CF" w:rsidRDefault="009212CF" w:rsidP="00AD0024">
      <w:pPr>
        <w:pStyle w:val="a2"/>
        <w:rPr>
          <w:sz w:val="28"/>
          <w:szCs w:val="28"/>
          <w:rtl/>
        </w:rPr>
      </w:pPr>
      <w:r w:rsidRPr="009212CF">
        <w:rPr>
          <w:rFonts w:hint="cs"/>
          <w:sz w:val="28"/>
          <w:szCs w:val="28"/>
          <w:rtl/>
        </w:rPr>
        <w:t>דיון בסוגיית 'המקדש בשיראי'</w:t>
      </w:r>
    </w:p>
    <w:p w:rsidR="00795D53" w:rsidRDefault="00795D53" w:rsidP="00795D53">
      <w:pPr>
        <w:pStyle w:val="a"/>
        <w:rPr>
          <w:rtl/>
        </w:rPr>
      </w:pPr>
      <w:r>
        <w:rPr>
          <w:rFonts w:hint="cs"/>
          <w:rtl/>
        </w:rPr>
        <w:t>יואב גלזנר</w:t>
      </w:r>
    </w:p>
    <w:p w:rsidR="00795D53" w:rsidRDefault="00795D53" w:rsidP="005C64BD">
      <w:pPr>
        <w:rPr>
          <w:rFonts w:ascii="Cambria" w:eastAsiaTheme="majorEastAsia" w:hAnsi="Cambria" w:cs="Guttman Drogolin"/>
          <w:b/>
          <w:sz w:val="44"/>
          <w:szCs w:val="44"/>
          <w:rtl/>
        </w:rPr>
      </w:pPr>
    </w:p>
    <w:p w:rsidR="00816F8D" w:rsidRDefault="005C64BD" w:rsidP="005C64BD">
      <w:pPr>
        <w:rPr>
          <w:rtl/>
        </w:rPr>
      </w:pPr>
      <w:r w:rsidRPr="00C37F50">
        <w:rPr>
          <w:rStyle w:val="SubtitleChar"/>
          <w:rFonts w:hint="cs"/>
          <w:rtl/>
        </w:rPr>
        <w:t>כפי</w:t>
      </w:r>
      <w:r>
        <w:rPr>
          <w:rFonts w:hint="cs"/>
          <w:rtl/>
        </w:rPr>
        <w:t xml:space="preserve"> שנאמר במשנה הראשונה במסכת קידושין, אחת הדרכים בהן האישה נקנית היא 'קניין כסף'. לאור קביעה זו, מציגה הגמרא דיון לגבי שימוש בחפצים בתור חלופה לכסף, ותוקף הקניין</w:t>
      </w:r>
      <w:r w:rsidR="00816F8D">
        <w:rPr>
          <w:rFonts w:hint="cs"/>
          <w:rtl/>
        </w:rPr>
        <w:t xml:space="preserve"> במקרים שונים. אנו נדון במחלוקת האמוראים שתוצג להלן, וננסה להבינה.</w:t>
      </w:r>
    </w:p>
    <w:p w:rsidR="005C64BD" w:rsidRDefault="00816F8D" w:rsidP="005C64BD">
      <w:pPr>
        <w:rPr>
          <w:rtl/>
        </w:rPr>
      </w:pPr>
      <w:r>
        <w:rPr>
          <w:rFonts w:hint="cs"/>
          <w:rtl/>
        </w:rPr>
        <w:t>אומרת הגמרא</w:t>
      </w:r>
      <w:r w:rsidR="006263ED">
        <w:rPr>
          <w:rFonts w:hint="cs"/>
          <w:rtl/>
        </w:rPr>
        <w:t>:</w:t>
      </w:r>
    </w:p>
    <w:p w:rsidR="005C64BD" w:rsidRPr="00B300EF" w:rsidRDefault="005C64BD" w:rsidP="00816F8D">
      <w:pPr>
        <w:pStyle w:val="Quote1"/>
        <w:tabs>
          <w:tab w:val="right" w:pos="8306"/>
        </w:tabs>
        <w:rPr>
          <w:rtl/>
        </w:rPr>
      </w:pPr>
      <w:r w:rsidRPr="00B300EF">
        <w:rPr>
          <w:rtl/>
        </w:rPr>
        <w:t>ההוא גברא דאקדיש בשיראי</w:t>
      </w:r>
      <w:r w:rsidRPr="00B300EF">
        <w:rPr>
          <w:rStyle w:val="FootnoteReference"/>
          <w:rtl/>
        </w:rPr>
        <w:footnoteReference w:id="1"/>
      </w:r>
      <w:r w:rsidRPr="00B300EF">
        <w:rPr>
          <w:rtl/>
        </w:rPr>
        <w:t>, רבה אמר: לא צריכי שומא, רב יוסף אמר: צריכי שומא.</w:t>
      </w:r>
      <w:r w:rsidR="00B300EF" w:rsidRPr="00B300EF">
        <w:rPr>
          <w:rFonts w:hint="cs"/>
          <w:rtl/>
        </w:rPr>
        <w:t xml:space="preserve">.. </w:t>
      </w:r>
      <w:r w:rsidRPr="00B300EF">
        <w:rPr>
          <w:rtl/>
        </w:rPr>
        <w:t>איכא דאמרי: בכל דהו נמי פליגי, רב יוסף אמר: שוה כסף הרי הוא ככסף, מה כסף דקיץ,</w:t>
      </w:r>
      <w:r w:rsidRPr="00B300EF">
        <w:rPr>
          <w:rFonts w:hint="cs"/>
          <w:rtl/>
        </w:rPr>
        <w:t xml:space="preserve"> </w:t>
      </w:r>
      <w:r w:rsidRPr="00B300EF">
        <w:rPr>
          <w:rtl/>
        </w:rPr>
        <w:t>אף שוה כסף נמי דקייץ</w:t>
      </w:r>
      <w:r w:rsidR="00816F8D">
        <w:rPr>
          <w:rFonts w:hint="cs"/>
          <w:rtl/>
        </w:rPr>
        <w:tab/>
        <w:t>(קידושין ז:)</w:t>
      </w:r>
    </w:p>
    <w:p w:rsidR="000A3732" w:rsidRDefault="005C64BD" w:rsidP="003567F5">
      <w:pPr>
        <w:rPr>
          <w:rtl/>
        </w:rPr>
      </w:pPr>
      <w:r>
        <w:rPr>
          <w:rFonts w:hint="cs"/>
          <w:rtl/>
        </w:rPr>
        <w:t>הגמרא מציגה מקרה בו מקדש איש אישה בחפץ</w:t>
      </w:r>
      <w:r w:rsidR="003567F5">
        <w:rPr>
          <w:rFonts w:hint="cs"/>
          <w:rtl/>
        </w:rPr>
        <w:t xml:space="preserve">, כאשר אומר לה שתתקדש לו 'בכל דהו' </w:t>
      </w:r>
      <w:r w:rsidR="003567F5">
        <w:rPr>
          <w:rtl/>
        </w:rPr>
        <w:t>–</w:t>
      </w:r>
      <w:r w:rsidR="00E01FB0">
        <w:rPr>
          <w:rFonts w:hint="cs"/>
          <w:rtl/>
        </w:rPr>
        <w:t xml:space="preserve"> בהן כמו ש</w:t>
      </w:r>
      <w:r w:rsidR="003567F5">
        <w:rPr>
          <w:rFonts w:hint="cs"/>
          <w:rtl/>
        </w:rPr>
        <w:t>הן</w:t>
      </w:r>
      <w:r w:rsidR="003567F5">
        <w:rPr>
          <w:rStyle w:val="FootnoteReference"/>
          <w:rtl/>
        </w:rPr>
        <w:footnoteReference w:id="2"/>
      </w:r>
      <w:r>
        <w:rPr>
          <w:rFonts w:hint="cs"/>
          <w:rtl/>
        </w:rPr>
        <w:t xml:space="preserve">. </w:t>
      </w:r>
      <w:r w:rsidR="000A3732">
        <w:rPr>
          <w:rFonts w:hint="cs"/>
          <w:rtl/>
        </w:rPr>
        <w:t xml:space="preserve">לדעת רבה אין צורך לשום את החפץ לפני נתינתו לאישה, ואילו לדעת רב יוסף יש צורך בשומה, ואם זו לא הייתה </w:t>
      </w:r>
      <w:r w:rsidR="000A3732">
        <w:rPr>
          <w:rtl/>
        </w:rPr>
        <w:t>–</w:t>
      </w:r>
      <w:r w:rsidR="000A3732">
        <w:rPr>
          <w:rFonts w:hint="cs"/>
          <w:rtl/>
        </w:rPr>
        <w:t xml:space="preserve"> הרי שלא תהא מקודשת.</w:t>
      </w:r>
    </w:p>
    <w:p w:rsidR="00B03570" w:rsidRDefault="005652B1" w:rsidP="00E01FB0">
      <w:pPr>
        <w:rPr>
          <w:rtl/>
        </w:rPr>
      </w:pPr>
      <w:r>
        <w:rPr>
          <w:rFonts w:hint="cs"/>
          <w:rtl/>
        </w:rPr>
        <w:t xml:space="preserve">שיטת רבה מובנת למדי </w:t>
      </w:r>
      <w:r>
        <w:rPr>
          <w:rtl/>
        </w:rPr>
        <w:t>–</w:t>
      </w:r>
      <w:r>
        <w:rPr>
          <w:rFonts w:hint="cs"/>
          <w:rtl/>
        </w:rPr>
        <w:t xml:space="preserve"> במהותו, קניין הוא העברת בעלות של חפץ בין אחד לאחר, כאשר הכסף</w:t>
      </w:r>
      <w:r w:rsidR="0066740B">
        <w:rPr>
          <w:rFonts w:hint="cs"/>
          <w:rtl/>
        </w:rPr>
        <w:t xml:space="preserve"> בקניין הכסף</w:t>
      </w:r>
      <w:r>
        <w:rPr>
          <w:rFonts w:hint="cs"/>
          <w:rtl/>
        </w:rPr>
        <w:t xml:space="preserve"> אינו חלק אינטגרלי מהקניין. מטרת הכסף היא לתת תמורה למוכר, אשר תגרום לו לרצות בקניין ובהעברת </w:t>
      </w:r>
      <w:r w:rsidR="00B03570">
        <w:rPr>
          <w:rFonts w:hint="cs"/>
          <w:rtl/>
        </w:rPr>
        <w:t>החפץ ועל ידי כך להחיל את הקניין.</w:t>
      </w:r>
    </w:p>
    <w:p w:rsidR="00B03570" w:rsidRDefault="00B03570" w:rsidP="00B03570">
      <w:pPr>
        <w:rPr>
          <w:rtl/>
        </w:rPr>
      </w:pPr>
      <w:r>
        <w:rPr>
          <w:rFonts w:hint="cs"/>
          <w:rtl/>
        </w:rPr>
        <w:t xml:space="preserve">כך, לדעת רבה, כאשר האישה מסכימה להתקדש, ורוצה בקניין, אין זה משנה מה היא מקבלת </w:t>
      </w:r>
      <w:r>
        <w:rPr>
          <w:rtl/>
        </w:rPr>
        <w:t>–</w:t>
      </w:r>
      <w:r>
        <w:rPr>
          <w:rFonts w:hint="cs"/>
          <w:rtl/>
        </w:rPr>
        <w:t xml:space="preserve"> כסף או חפץ (שווה כסף כלשון הגמרא)</w:t>
      </w:r>
      <w:r w:rsidR="0069304E">
        <w:rPr>
          <w:rFonts w:hint="cs"/>
          <w:rtl/>
        </w:rPr>
        <w:t xml:space="preserve"> אפילו ללא ידיעת שוויו</w:t>
      </w:r>
      <w:r>
        <w:rPr>
          <w:rFonts w:hint="cs"/>
          <w:rtl/>
        </w:rPr>
        <w:t>. התמורה עצמה נועדה רק לכונן את הרצון, אך אינה חלק אינטגרלי מהקניין</w:t>
      </w:r>
      <w:r w:rsidR="00443AAE">
        <w:rPr>
          <w:rStyle w:val="FootnoteReference"/>
          <w:rtl/>
        </w:rPr>
        <w:footnoteReference w:id="3"/>
      </w:r>
      <w:r w:rsidR="00D118DC">
        <w:rPr>
          <w:rFonts w:hint="cs"/>
          <w:rtl/>
        </w:rPr>
        <w:t>, והרי האישה רוצה בקניין.</w:t>
      </w:r>
    </w:p>
    <w:p w:rsidR="0069304E" w:rsidRDefault="0069304E" w:rsidP="00B03570">
      <w:pPr>
        <w:rPr>
          <w:rtl/>
        </w:rPr>
      </w:pPr>
      <w:r>
        <w:rPr>
          <w:rFonts w:hint="cs"/>
          <w:rtl/>
        </w:rPr>
        <w:t xml:space="preserve">לעומת זאת, כיצד יש להבין את דעתו של רב יוסף? מדוע </w:t>
      </w:r>
      <w:r w:rsidR="00A40B37">
        <w:rPr>
          <w:rFonts w:hint="cs"/>
          <w:rtl/>
        </w:rPr>
        <w:t>כאשר האישה רוצה בקניין ובקידושיה, לא יחולו הקידושין ללא שומת החפץ טרם קבלתו?</w:t>
      </w:r>
    </w:p>
    <w:p w:rsidR="00091BE4" w:rsidRDefault="00091BE4" w:rsidP="006263ED">
      <w:pPr>
        <w:rPr>
          <w:rFonts w:hint="cs"/>
          <w:sz w:val="24"/>
          <w:szCs w:val="24"/>
          <w:rtl/>
        </w:rPr>
      </w:pPr>
    </w:p>
    <w:p w:rsidR="006263ED" w:rsidRDefault="006263ED" w:rsidP="006263ED">
      <w:pPr>
        <w:rPr>
          <w:rtl/>
        </w:rPr>
      </w:pPr>
      <w:r w:rsidRPr="00CA53E3">
        <w:rPr>
          <w:rFonts w:hint="cs"/>
          <w:sz w:val="24"/>
          <w:szCs w:val="24"/>
          <w:rtl/>
        </w:rPr>
        <w:t>להבנת</w:t>
      </w:r>
      <w:r>
        <w:rPr>
          <w:rFonts w:hint="cs"/>
          <w:rtl/>
        </w:rPr>
        <w:t xml:space="preserve"> שיטת רב יוסף, ניתן לצע</w:t>
      </w:r>
      <w:r w:rsidR="00CA53E3">
        <w:rPr>
          <w:rFonts w:hint="cs"/>
          <w:rtl/>
        </w:rPr>
        <w:t>ו</w:t>
      </w:r>
      <w:r>
        <w:rPr>
          <w:rFonts w:hint="cs"/>
          <w:rtl/>
        </w:rPr>
        <w:t>ד לעבר שני כיוונים, המתארים פגמים שונים בחוסר השומה</w:t>
      </w:r>
      <w:r w:rsidR="00F14C5C">
        <w:rPr>
          <w:rStyle w:val="FootnoteReference"/>
          <w:rtl/>
        </w:rPr>
        <w:footnoteReference w:id="4"/>
      </w:r>
      <w:r>
        <w:rPr>
          <w:rFonts w:hint="cs"/>
          <w:rtl/>
        </w:rPr>
        <w:t>:</w:t>
      </w:r>
    </w:p>
    <w:p w:rsidR="000737A8" w:rsidRDefault="00F10FA5" w:rsidP="006263ED">
      <w:pPr>
        <w:pStyle w:val="ListParagraph"/>
        <w:numPr>
          <w:ilvl w:val="0"/>
          <w:numId w:val="1"/>
        </w:numPr>
      </w:pPr>
      <w:r>
        <w:rPr>
          <w:rFonts w:hint="cs"/>
          <w:rtl/>
        </w:rPr>
        <w:t>פגם בדעתה וברצונה של האישה.</w:t>
      </w:r>
    </w:p>
    <w:p w:rsidR="00630E03" w:rsidRDefault="00F10FA5" w:rsidP="00091BE4">
      <w:pPr>
        <w:pStyle w:val="ListParagraph"/>
        <w:numPr>
          <w:ilvl w:val="0"/>
          <w:numId w:val="1"/>
        </w:numPr>
        <w:rPr>
          <w:rFonts w:hint="cs"/>
        </w:rPr>
      </w:pPr>
      <w:r>
        <w:rPr>
          <w:rFonts w:hint="cs"/>
          <w:rtl/>
        </w:rPr>
        <w:t>פגם בחפץ עצמו.</w:t>
      </w:r>
    </w:p>
    <w:p w:rsidR="00091BE4" w:rsidRDefault="00091BE4" w:rsidP="00564EE6">
      <w:pPr>
        <w:rPr>
          <w:rFonts w:hint="cs"/>
          <w:rtl/>
        </w:rPr>
      </w:pPr>
    </w:p>
    <w:p w:rsidR="00F10FA5" w:rsidRDefault="003567F5" w:rsidP="00564EE6">
      <w:pPr>
        <w:rPr>
          <w:rtl/>
        </w:rPr>
      </w:pPr>
      <w:r w:rsidRPr="00630E03">
        <w:rPr>
          <w:rFonts w:hint="cs"/>
          <w:rtl/>
        </w:rPr>
        <w:t>הכיוון</w:t>
      </w:r>
      <w:r>
        <w:rPr>
          <w:rFonts w:hint="cs"/>
          <w:rtl/>
        </w:rPr>
        <w:t xml:space="preserve"> הראשון טוען כי חוסר שומת </w:t>
      </w:r>
      <w:r w:rsidR="00564EE6">
        <w:rPr>
          <w:rFonts w:hint="cs"/>
          <w:rtl/>
        </w:rPr>
        <w:t>החפץ פוגם ברצון האישה בקניין. נציע אפשרות אחת להבנת כיוון זה, אם כי ישנן אפשרויות נוספות.</w:t>
      </w:r>
    </w:p>
    <w:p w:rsidR="00FD3C55" w:rsidRDefault="00C501F6" w:rsidP="00B9259E">
      <w:pPr>
        <w:rPr>
          <w:rtl/>
        </w:rPr>
      </w:pPr>
      <w:r>
        <w:rPr>
          <w:rFonts w:hint="cs"/>
          <w:rtl/>
        </w:rPr>
        <w:t>ניתן לטעון כי רב יוסף סובר כי במידה ואין האישה יודעת כמה שווה בדיוק הדבר בו היא עתידה להתקדש, הרי שאין הסכמתה מלאה. כלומר, כאשר אדם מבין דברים באופן מלא, ואת ההשלכות שלהם</w:t>
      </w:r>
      <w:r w:rsidR="00FD3C55">
        <w:rPr>
          <w:rFonts w:hint="cs"/>
          <w:rtl/>
        </w:rPr>
        <w:t>,</w:t>
      </w:r>
      <w:r>
        <w:rPr>
          <w:rFonts w:hint="cs"/>
          <w:rtl/>
        </w:rPr>
        <w:t xml:space="preserve"> עלולים להתעורר מיני ספקות וע</w:t>
      </w:r>
      <w:r w:rsidR="00FD3C55">
        <w:rPr>
          <w:rFonts w:hint="cs"/>
          <w:rtl/>
        </w:rPr>
        <w:t>רעורים אשר עלולים לפגום ברצונו.</w:t>
      </w:r>
    </w:p>
    <w:p w:rsidR="00B9259E" w:rsidRDefault="00C501F6" w:rsidP="00FD3C55">
      <w:pPr>
        <w:rPr>
          <w:rtl/>
        </w:rPr>
      </w:pPr>
      <w:r>
        <w:rPr>
          <w:rFonts w:hint="cs"/>
          <w:rtl/>
        </w:rPr>
        <w:t>כלומר, אמנם האיש</w:t>
      </w:r>
      <w:r w:rsidR="00FD3C55">
        <w:rPr>
          <w:rFonts w:hint="cs"/>
          <w:rtl/>
        </w:rPr>
        <w:t>ה מסכימה להתקדש בחפץ, אך לכשתכה בה העובדה ש</w:t>
      </w:r>
      <w:r>
        <w:rPr>
          <w:rFonts w:hint="cs"/>
          <w:rtl/>
        </w:rPr>
        <w:t xml:space="preserve">הוא שווה </w:t>
      </w:r>
      <w:r w:rsidR="00FD3C55">
        <w:rPr>
          <w:rFonts w:hint="cs"/>
          <w:rtl/>
        </w:rPr>
        <w:t xml:space="preserve">למשל </w:t>
      </w:r>
      <w:r>
        <w:rPr>
          <w:rFonts w:hint="cs"/>
          <w:rtl/>
        </w:rPr>
        <w:t>אך ורק שתי פרוטות, ייתכן כי דעתה תשתנה, על אף הסכמתה הנוכחית להתקדש בכל סכום ממוני.</w:t>
      </w:r>
      <w:r w:rsidR="00FD3C55">
        <w:rPr>
          <w:rFonts w:hint="cs"/>
          <w:rtl/>
        </w:rPr>
        <w:t xml:space="preserve"> אנו מצריכים שומה טרם הקידושין בכדי לברר האם רצון האישה מוחלט, או אף לכונן כזה.</w:t>
      </w:r>
    </w:p>
    <w:p w:rsidR="00B404DA" w:rsidRDefault="00B404DA" w:rsidP="00B404DA">
      <w:pPr>
        <w:rPr>
          <w:rtl/>
        </w:rPr>
      </w:pPr>
      <w:r>
        <w:rPr>
          <w:rFonts w:hint="cs"/>
          <w:rtl/>
        </w:rPr>
        <w:t xml:space="preserve">דוגמות לשינוי דעה בעקבות הכרה מציאותית ניתן לראות במספר תחומים. למשל, בנדרים קיים מושג ה'הפרה' </w:t>
      </w:r>
      <w:r>
        <w:rPr>
          <w:rtl/>
        </w:rPr>
        <w:t>–</w:t>
      </w:r>
      <w:r>
        <w:rPr>
          <w:rFonts w:hint="cs"/>
          <w:rtl/>
        </w:rPr>
        <w:t xml:space="preserve"> ניתן להפר נדר לאור הכרה בעובדות אשר מוכיחות למפרע כי האדם לא רצה באמת לנדור במקרה כזה. בנוסף</w:t>
      </w:r>
      <w:r w:rsidR="0037777E">
        <w:rPr>
          <w:rFonts w:hint="cs"/>
          <w:rtl/>
        </w:rPr>
        <w:t>, בקידושין למשל</w:t>
      </w:r>
      <w:r w:rsidR="001E3DAC">
        <w:rPr>
          <w:rFonts w:hint="cs"/>
          <w:rtl/>
        </w:rPr>
        <w:t>,</w:t>
      </w:r>
      <w:r w:rsidR="0037777E">
        <w:rPr>
          <w:rFonts w:hint="cs"/>
          <w:rtl/>
        </w:rPr>
        <w:t xml:space="preserve"> </w:t>
      </w:r>
      <w:r>
        <w:rPr>
          <w:rFonts w:hint="cs"/>
          <w:rtl/>
        </w:rPr>
        <w:t xml:space="preserve">קיים המושג של 'אומדנא דמוכח' </w:t>
      </w:r>
      <w:r>
        <w:rPr>
          <w:rtl/>
        </w:rPr>
        <w:t>–</w:t>
      </w:r>
      <w:r>
        <w:rPr>
          <w:rFonts w:hint="cs"/>
          <w:rtl/>
        </w:rPr>
        <w:t xml:space="preserve"> ביטול קידושין לאור מציאות חדשה בה ניכר כי לפחות אחד הצדדים לא רצה להתקדש לאור אפשרות קיומה.</w:t>
      </w:r>
    </w:p>
    <w:p w:rsidR="00C37F50" w:rsidRDefault="00C37F50" w:rsidP="008D2E59">
      <w:pPr>
        <w:rPr>
          <w:rtl/>
        </w:rPr>
      </w:pPr>
    </w:p>
    <w:p w:rsidR="007A373F" w:rsidRDefault="00AD3637" w:rsidP="00C37F50">
      <w:pPr>
        <w:rPr>
          <w:rtl/>
        </w:rPr>
      </w:pPr>
      <w:r>
        <w:rPr>
          <w:rFonts w:hint="cs"/>
          <w:rtl/>
        </w:rPr>
        <w:t>הכיוון השני טוען כי חוסר שומת החפץ פוגם בחפץ עצמו</w:t>
      </w:r>
      <w:r w:rsidR="007A373F">
        <w:rPr>
          <w:rFonts w:hint="cs"/>
          <w:rtl/>
        </w:rPr>
        <w:t xml:space="preserve">. מהי כוונת הדברים? להבנתם, </w:t>
      </w:r>
      <w:r w:rsidR="008D2E59">
        <w:rPr>
          <w:rFonts w:hint="cs"/>
          <w:rtl/>
        </w:rPr>
        <w:t>נפנה לעבר שני כיוונים, אך טרם נציעם, נבאר מה שומת החפץ עושה.</w:t>
      </w:r>
    </w:p>
    <w:p w:rsidR="00B215EC" w:rsidRDefault="008F3B33" w:rsidP="00B215EC">
      <w:pPr>
        <w:rPr>
          <w:rtl/>
        </w:rPr>
      </w:pPr>
      <w:r>
        <w:rPr>
          <w:rFonts w:hint="cs"/>
          <w:rtl/>
        </w:rPr>
        <w:t xml:space="preserve">בביאור </w:t>
      </w:r>
      <w:r w:rsidR="00B215EC">
        <w:rPr>
          <w:rFonts w:hint="cs"/>
          <w:rtl/>
        </w:rPr>
        <w:t>מעשה שומת החפץ, ניתן לצעוד לעבר שני כיוונים.</w:t>
      </w:r>
    </w:p>
    <w:p w:rsidR="00CF5D58" w:rsidRDefault="00B215EC" w:rsidP="00E11FA2">
      <w:pPr>
        <w:rPr>
          <w:rtl/>
        </w:rPr>
      </w:pPr>
      <w:r w:rsidRPr="00CF5D58">
        <w:rPr>
          <w:rFonts w:hint="cs"/>
          <w:u w:val="single"/>
          <w:rtl/>
        </w:rPr>
        <w:t>הראשון</w:t>
      </w:r>
      <w:r>
        <w:rPr>
          <w:rFonts w:hint="cs"/>
          <w:rtl/>
        </w:rPr>
        <w:t>, טוען כי השומה מבררת את ערכו הממוני של החפץ.</w:t>
      </w:r>
    </w:p>
    <w:p w:rsidR="004C768C" w:rsidRDefault="00B215EC" w:rsidP="004C768C">
      <w:pPr>
        <w:rPr>
          <w:rtl/>
        </w:rPr>
      </w:pPr>
      <w:r w:rsidRPr="00CF5D58">
        <w:rPr>
          <w:rFonts w:hint="cs"/>
          <w:u w:val="single"/>
          <w:rtl/>
        </w:rPr>
        <w:lastRenderedPageBreak/>
        <w:t>השני</w:t>
      </w:r>
      <w:r>
        <w:rPr>
          <w:rFonts w:hint="cs"/>
          <w:rtl/>
        </w:rPr>
        <w:t>, טוען כי אמנם השומה מבררת את ערכו ה</w:t>
      </w:r>
      <w:r w:rsidR="00646FD2">
        <w:rPr>
          <w:rFonts w:hint="cs"/>
          <w:rtl/>
        </w:rPr>
        <w:t>ממוני של</w:t>
      </w:r>
      <w:r w:rsidR="00E11FA2">
        <w:rPr>
          <w:rFonts w:hint="cs"/>
          <w:rtl/>
        </w:rPr>
        <w:t xml:space="preserve"> החפץ, אך גם קובעת אותו. כלומר, </w:t>
      </w:r>
      <w:r w:rsidR="00E11FA2" w:rsidRPr="00E11FA2">
        <w:rPr>
          <w:rFonts w:hint="cs"/>
          <w:rtl/>
        </w:rPr>
        <w:t xml:space="preserve">באופן עקרוני, שומה מגלה מהו ערכו הממוני של אובייקט כלשהו. עם זאת, יש לשים לב כי קביעת השמאי היא אובייקטיבית ברובה וסובייקטיבית במיעוטה. היינו, כאשר שמאי מעריך חפץ כלשהו, יתכן כי יבוא שמאי אחר ויעריך אותו בסכום אחר. אמנם, הפרשי הסכומים יהיו </w:t>
      </w:r>
      <w:r w:rsidR="004C768C">
        <w:rPr>
          <w:rFonts w:hint="cs"/>
          <w:rtl/>
        </w:rPr>
        <w:t>קטנים למדי, אך הם עדיין קיימים.</w:t>
      </w:r>
    </w:p>
    <w:p w:rsidR="00B950E2" w:rsidRDefault="00E11FA2" w:rsidP="004C768C">
      <w:pPr>
        <w:rPr>
          <w:rtl/>
        </w:rPr>
      </w:pPr>
      <w:r w:rsidRPr="00E11FA2">
        <w:rPr>
          <w:rFonts w:hint="cs"/>
          <w:rtl/>
        </w:rPr>
        <w:t xml:space="preserve">להפרש זה, או לסובייקטיביות של ההערכה ניתן להתייחס בשני אופנים. הראשון יניח כי ישנו מחיר 'אובייקטיבי' של חפץ. היינו </w:t>
      </w:r>
      <w:r w:rsidRPr="00E11FA2">
        <w:rPr>
          <w:rtl/>
        </w:rPr>
        <w:t>–</w:t>
      </w:r>
      <w:r w:rsidRPr="00E11FA2">
        <w:rPr>
          <w:rFonts w:hint="cs"/>
          <w:rtl/>
        </w:rPr>
        <w:t xml:space="preserve"> חפץ </w:t>
      </w:r>
      <w:r w:rsidRPr="00E11FA2">
        <w:t>x</w:t>
      </w:r>
      <w:r w:rsidRPr="00E11FA2">
        <w:rPr>
          <w:rFonts w:hint="cs"/>
          <w:rtl/>
        </w:rPr>
        <w:t xml:space="preserve"> בהכרח שווה </w:t>
      </w:r>
      <w:r w:rsidRPr="00E11FA2">
        <w:t>y</w:t>
      </w:r>
      <w:r w:rsidRPr="00E11FA2">
        <w:rPr>
          <w:rFonts w:hint="cs"/>
          <w:rtl/>
        </w:rPr>
        <w:t>. כל חריגה מה-</w:t>
      </w:r>
      <w:r w:rsidRPr="00E11FA2">
        <w:t>y</w:t>
      </w:r>
      <w:r w:rsidRPr="00E11FA2">
        <w:rPr>
          <w:rFonts w:hint="cs"/>
          <w:rtl/>
        </w:rPr>
        <w:t xml:space="preserve"> הנה טעות בהערכה. השני יטען כי אמנם ישנו טווח מחירים סביר לחפץ, אך לא מחיר מסוים. </w:t>
      </w:r>
      <w:r w:rsidR="00B950E2">
        <w:rPr>
          <w:rFonts w:hint="cs"/>
          <w:rtl/>
        </w:rPr>
        <w:t xml:space="preserve">כאשר </w:t>
      </w:r>
      <w:r w:rsidRPr="00E11FA2">
        <w:rPr>
          <w:rFonts w:hint="cs"/>
          <w:rtl/>
        </w:rPr>
        <w:t xml:space="preserve">שמאי מעריך כי חפץ </w:t>
      </w:r>
      <w:r w:rsidRPr="00E11FA2">
        <w:t>x</w:t>
      </w:r>
      <w:r w:rsidRPr="00E11FA2">
        <w:rPr>
          <w:rFonts w:hint="cs"/>
          <w:rtl/>
        </w:rPr>
        <w:t xml:space="preserve"> שווה </w:t>
      </w:r>
      <w:r w:rsidRPr="00E11FA2">
        <w:t>y</w:t>
      </w:r>
      <w:r w:rsidRPr="00E11FA2">
        <w:rPr>
          <w:rFonts w:hint="cs"/>
          <w:rtl/>
        </w:rPr>
        <w:t xml:space="preserve">, אמנם הוא מתחיל בהערכה, אך מסיים בקביעה. במידה ושמאי אחר יקבע מחיר </w:t>
      </w:r>
      <w:r w:rsidRPr="00E11FA2">
        <w:t>z</w:t>
      </w:r>
      <w:r w:rsidR="008E5E11">
        <w:rPr>
          <w:rFonts w:hint="cs"/>
          <w:rtl/>
        </w:rPr>
        <w:t xml:space="preserve"> לחפץ, הרי שזה יהיה מחירו, וזה יהא ערכו הממוני.</w:t>
      </w:r>
    </w:p>
    <w:p w:rsidR="00CF5D58" w:rsidRDefault="001E3DAC" w:rsidP="00CF5D58">
      <w:pPr>
        <w:rPr>
          <w:rtl/>
        </w:rPr>
      </w:pPr>
      <w:r>
        <w:rPr>
          <w:rFonts w:hint="cs"/>
          <w:rtl/>
        </w:rPr>
        <w:t>בהמשך לדברים לעיל</w:t>
      </w:r>
      <w:r w:rsidR="00CF5D58">
        <w:rPr>
          <w:rFonts w:hint="cs"/>
          <w:rtl/>
        </w:rPr>
        <w:t>, ניתן להתייחס לפגם שיש בחפץ בחוסר השומה בשתי דרכים.</w:t>
      </w:r>
    </w:p>
    <w:p w:rsidR="00F14C5C" w:rsidRDefault="00CF5D58" w:rsidP="00F14C5C">
      <w:pPr>
        <w:rPr>
          <w:rtl/>
        </w:rPr>
      </w:pPr>
      <w:r>
        <w:rPr>
          <w:rFonts w:hint="cs"/>
          <w:u w:val="single"/>
          <w:rtl/>
        </w:rPr>
        <w:t>הראשונה</w:t>
      </w:r>
      <w:r>
        <w:rPr>
          <w:rFonts w:hint="cs"/>
          <w:rtl/>
        </w:rPr>
        <w:t>, תטען כי</w:t>
      </w:r>
      <w:r w:rsidR="00FE355C">
        <w:rPr>
          <w:rFonts w:hint="cs"/>
          <w:rtl/>
        </w:rPr>
        <w:t xml:space="preserve"> </w:t>
      </w:r>
      <w:r w:rsidR="00665CF2">
        <w:rPr>
          <w:rFonts w:hint="cs"/>
          <w:rtl/>
        </w:rPr>
        <w:t xml:space="preserve">בכסף קיימים שני מרכיבים </w:t>
      </w:r>
      <w:r w:rsidR="00665CF2">
        <w:rPr>
          <w:rtl/>
        </w:rPr>
        <w:t>–</w:t>
      </w:r>
      <w:r w:rsidR="00665CF2">
        <w:rPr>
          <w:rFonts w:hint="cs"/>
          <w:rtl/>
        </w:rPr>
        <w:t xml:space="preserve"> החומר וערכו הממוני של החומר</w:t>
      </w:r>
      <w:r w:rsidR="00665CF2">
        <w:rPr>
          <w:rStyle w:val="FootnoteReference"/>
          <w:rtl/>
        </w:rPr>
        <w:footnoteReference w:id="5"/>
      </w:r>
      <w:r w:rsidR="00F14C5C">
        <w:rPr>
          <w:rFonts w:hint="cs"/>
          <w:rtl/>
        </w:rPr>
        <w:t xml:space="preserve">, כאשר את הערך הממוני של החומר ניתן לגלות בנקל </w:t>
      </w:r>
      <w:r w:rsidR="00F14C5C">
        <w:rPr>
          <w:rtl/>
        </w:rPr>
        <w:t>–</w:t>
      </w:r>
      <w:r w:rsidR="00F14C5C">
        <w:rPr>
          <w:rFonts w:hint="cs"/>
          <w:rtl/>
        </w:rPr>
        <w:t xml:space="preserve"> על ידי מבט חטוף על החומר. לעומת זאת, לשווה כסף, לחפץ, אמנם יש ערך ממוני, אלא שהוא אינו ידוע, וזקוק לשומה על מנת לגלותו. לאחר השומה, </w:t>
      </w:r>
      <w:r w:rsidR="00F67DA5">
        <w:rPr>
          <w:rFonts w:hint="cs"/>
          <w:rtl/>
        </w:rPr>
        <w:t>מתגלה ערכו הממוני של החפץ, ובכך הוא הופך לדומה לכסף.</w:t>
      </w:r>
    </w:p>
    <w:p w:rsidR="00052AA6" w:rsidRDefault="00DF4F8E" w:rsidP="004F0640">
      <w:pPr>
        <w:rPr>
          <w:rtl/>
        </w:rPr>
      </w:pPr>
      <w:r>
        <w:rPr>
          <w:rFonts w:hint="cs"/>
          <w:u w:val="single"/>
          <w:rtl/>
        </w:rPr>
        <w:t>השנייה</w:t>
      </w:r>
      <w:r>
        <w:rPr>
          <w:rFonts w:hint="cs"/>
          <w:rtl/>
        </w:rPr>
        <w:t xml:space="preserve">, </w:t>
      </w:r>
      <w:r w:rsidR="00192400">
        <w:rPr>
          <w:rFonts w:hint="cs"/>
          <w:rtl/>
        </w:rPr>
        <w:t xml:space="preserve">בדומה לקודם, תטען כי בכסף ישנם שני מרכיבים </w:t>
      </w:r>
      <w:r w:rsidR="00192400">
        <w:rPr>
          <w:rtl/>
        </w:rPr>
        <w:t>–</w:t>
      </w:r>
      <w:r w:rsidR="00192400">
        <w:rPr>
          <w:rFonts w:hint="cs"/>
          <w:rtl/>
        </w:rPr>
        <w:t xml:space="preserve"> החומר וערכו הממוני.</w:t>
      </w:r>
      <w:r w:rsidR="00947483">
        <w:rPr>
          <w:rFonts w:hint="cs"/>
          <w:rtl/>
        </w:rPr>
        <w:t xml:space="preserve"> אולם, היא תטען כי יש</w:t>
      </w:r>
      <w:r w:rsidR="00073D6E">
        <w:rPr>
          <w:rFonts w:hint="cs"/>
          <w:rtl/>
        </w:rPr>
        <w:t>נה בעיה הנעוצה בכך שלחפץ</w:t>
      </w:r>
      <w:r w:rsidR="000E14EB">
        <w:rPr>
          <w:rFonts w:hint="cs"/>
          <w:rtl/>
        </w:rPr>
        <w:t>,</w:t>
      </w:r>
      <w:r w:rsidR="00073D6E">
        <w:rPr>
          <w:rFonts w:hint="cs"/>
          <w:rtl/>
        </w:rPr>
        <w:t xml:space="preserve"> </w:t>
      </w:r>
      <w:r w:rsidR="000E14EB">
        <w:rPr>
          <w:rFonts w:hint="cs"/>
          <w:rtl/>
        </w:rPr>
        <w:t xml:space="preserve">טרם השומה, </w:t>
      </w:r>
      <w:r w:rsidR="00947483">
        <w:rPr>
          <w:rFonts w:hint="cs"/>
          <w:rtl/>
        </w:rPr>
        <w:t>אין ערך ממוני</w:t>
      </w:r>
      <w:r w:rsidR="007F533E">
        <w:rPr>
          <w:rFonts w:hint="cs"/>
          <w:rtl/>
        </w:rPr>
        <w:t xml:space="preserve"> מסוים</w:t>
      </w:r>
      <w:r w:rsidR="00947483">
        <w:rPr>
          <w:rFonts w:hint="cs"/>
          <w:rtl/>
        </w:rPr>
        <w:t>.</w:t>
      </w:r>
      <w:r w:rsidR="000E14EB">
        <w:rPr>
          <w:rFonts w:hint="cs"/>
          <w:rtl/>
        </w:rPr>
        <w:t xml:space="preserve"> כלומר, בכסף הערך הממוני קבוע </w:t>
      </w:r>
      <w:r w:rsidR="000E14EB">
        <w:rPr>
          <w:rtl/>
        </w:rPr>
        <w:t>–</w:t>
      </w:r>
      <w:r w:rsidR="000E14EB">
        <w:rPr>
          <w:rFonts w:hint="cs"/>
          <w:rtl/>
        </w:rPr>
        <w:t xml:space="preserve"> לוקחים </w:t>
      </w:r>
      <w:r w:rsidR="000E14EB">
        <w:t>x</w:t>
      </w:r>
      <w:r w:rsidR="000E14EB">
        <w:rPr>
          <w:rFonts w:hint="cs"/>
          <w:rtl/>
        </w:rPr>
        <w:t xml:space="preserve"> גרמים של נחושת, וקובעים כי ערכה הממוני הוא </w:t>
      </w:r>
      <w:r w:rsidR="000E14EB">
        <w:t>y</w:t>
      </w:r>
      <w:r w:rsidR="000E14EB">
        <w:rPr>
          <w:rFonts w:hint="cs"/>
          <w:rtl/>
        </w:rPr>
        <w:t>.</w:t>
      </w:r>
      <w:r w:rsidR="00BD3E1F">
        <w:rPr>
          <w:rFonts w:hint="cs"/>
          <w:rtl/>
        </w:rPr>
        <w:t xml:space="preserve"> לעומת זאת, חפץ רגיל, טרם השומה, חסר ערך ממוני</w:t>
      </w:r>
      <w:r w:rsidR="004F0640">
        <w:rPr>
          <w:rFonts w:hint="cs"/>
          <w:rtl/>
        </w:rPr>
        <w:t xml:space="preserve"> מסוים וקבוע</w:t>
      </w:r>
      <w:r w:rsidR="00BD3E1F">
        <w:rPr>
          <w:rFonts w:hint="cs"/>
          <w:rtl/>
        </w:rPr>
        <w:t>.</w:t>
      </w:r>
      <w:r w:rsidR="007F533E">
        <w:rPr>
          <w:rFonts w:hint="cs"/>
          <w:rtl/>
        </w:rPr>
        <w:t xml:space="preserve"> </w:t>
      </w:r>
      <w:r w:rsidR="00D46517">
        <w:rPr>
          <w:rFonts w:hint="cs"/>
          <w:rtl/>
        </w:rPr>
        <w:t xml:space="preserve">כאשר ירקן </w:t>
      </w:r>
      <w:r w:rsidR="004F0640">
        <w:rPr>
          <w:rFonts w:hint="cs"/>
          <w:rtl/>
        </w:rPr>
        <w:t xml:space="preserve">ימכור ק"ג עגבניות במחיר </w:t>
      </w:r>
      <w:r w:rsidR="004F0640">
        <w:t>x</w:t>
      </w:r>
      <w:r w:rsidR="004F0640">
        <w:rPr>
          <w:rFonts w:hint="cs"/>
          <w:rtl/>
        </w:rPr>
        <w:t xml:space="preserve"> ו</w:t>
      </w:r>
      <w:r w:rsidR="00D46517">
        <w:rPr>
          <w:rFonts w:hint="cs"/>
          <w:rtl/>
        </w:rPr>
        <w:t xml:space="preserve">ירקן </w:t>
      </w:r>
      <w:r w:rsidR="004F0640">
        <w:rPr>
          <w:rFonts w:hint="cs"/>
          <w:rtl/>
        </w:rPr>
        <w:t xml:space="preserve">אחר במחיר </w:t>
      </w:r>
      <w:r w:rsidR="004F0640">
        <w:t>y</w:t>
      </w:r>
      <w:r w:rsidR="004F0640">
        <w:rPr>
          <w:rFonts w:hint="cs"/>
          <w:rtl/>
        </w:rPr>
        <w:t>, הדבר לא ינבע מטעות הערכתית או מחוסר ה</w:t>
      </w:r>
      <w:r w:rsidR="007A7F91">
        <w:rPr>
          <w:rFonts w:hint="cs"/>
          <w:rtl/>
        </w:rPr>
        <w:t xml:space="preserve">תחשבות במחיר ה'אובייקטיבי', אלא </w:t>
      </w:r>
      <w:r w:rsidR="009455F0">
        <w:rPr>
          <w:rFonts w:hint="cs"/>
          <w:rtl/>
        </w:rPr>
        <w:t>מקביעה של ערכים ממוניים שונים.</w:t>
      </w:r>
    </w:p>
    <w:p w:rsidR="00052AA6" w:rsidRDefault="00052AA6" w:rsidP="00052AA6">
      <w:pPr>
        <w:rPr>
          <w:rtl/>
        </w:rPr>
      </w:pPr>
      <w:r>
        <w:rPr>
          <w:rFonts w:hint="cs"/>
          <w:rtl/>
        </w:rPr>
        <w:t xml:space="preserve">לאור עובדה זו, סובר רב יוסף כי לא ניתן לקיים קניין כסף בחפץ, טרם שומתו </w:t>
      </w:r>
      <w:r>
        <w:rPr>
          <w:rtl/>
        </w:rPr>
        <w:t>–</w:t>
      </w:r>
      <w:r w:rsidR="0040034B">
        <w:rPr>
          <w:rFonts w:hint="cs"/>
          <w:rtl/>
        </w:rPr>
        <w:t xml:space="preserve"> שהרי הוא חסר ערך ממוני קבוע</w:t>
      </w:r>
      <w:r w:rsidR="0040034B">
        <w:t xml:space="preserve"> </w:t>
      </w:r>
      <w:r w:rsidR="0040034B">
        <w:rPr>
          <w:rFonts w:hint="cs"/>
          <w:rtl/>
        </w:rPr>
        <w:t>ואינו דומה לכסף.</w:t>
      </w:r>
    </w:p>
    <w:p w:rsidR="00F25BA6" w:rsidRDefault="0040034B" w:rsidP="00F25BA6">
      <w:pPr>
        <w:rPr>
          <w:rtl/>
        </w:rPr>
      </w:pPr>
      <w:r>
        <w:rPr>
          <w:rFonts w:hint="cs"/>
          <w:rtl/>
        </w:rPr>
        <w:t xml:space="preserve">ייתכן כי </w:t>
      </w:r>
      <w:r w:rsidR="007F7A0E">
        <w:rPr>
          <w:rFonts w:hint="cs"/>
          <w:rtl/>
        </w:rPr>
        <w:t>ניתן לראות הד לגישה זו</w:t>
      </w:r>
      <w:r w:rsidR="00265431">
        <w:rPr>
          <w:rFonts w:hint="cs"/>
          <w:rtl/>
        </w:rPr>
        <w:t>, הסוברת כי חוסר השומה מהווה פגם בחפץ עצמו,</w:t>
      </w:r>
      <w:r w:rsidR="007F7A0E">
        <w:rPr>
          <w:rFonts w:hint="cs"/>
          <w:rtl/>
        </w:rPr>
        <w:t xml:space="preserve"> בדברי </w:t>
      </w:r>
      <w:r>
        <w:rPr>
          <w:rFonts w:hint="cs"/>
          <w:rtl/>
        </w:rPr>
        <w:t>ה</w:t>
      </w:r>
      <w:r w:rsidR="00F25BA6" w:rsidRPr="0040034B">
        <w:rPr>
          <w:rFonts w:hint="cs"/>
          <w:rtl/>
        </w:rPr>
        <w:t>ירושלמי</w:t>
      </w:r>
      <w:r w:rsidR="007F7A0E">
        <w:rPr>
          <w:rFonts w:hint="cs"/>
          <w:rtl/>
        </w:rPr>
        <w:t xml:space="preserve"> (קידושין א', ב):</w:t>
      </w:r>
    </w:p>
    <w:p w:rsidR="00A21A39" w:rsidRPr="00265431" w:rsidRDefault="0071272B" w:rsidP="007F7A0E">
      <w:pPr>
        <w:pStyle w:val="Quote1"/>
        <w:rPr>
          <w:u w:val="single"/>
          <w:rtl/>
        </w:rPr>
      </w:pPr>
      <w:r w:rsidRPr="007F7A0E">
        <w:rPr>
          <w:rtl/>
        </w:rPr>
        <w:t>והיה כסף ממכרו בכסף הוא נגאל ואינו נגאל לא בתבואה ולא בכלים בכל אתר את עבד שוה כסף ככסף והכא לית את עביד שוה כסף ככסף אמר ר' אבא מרי שניי</w:t>
      </w:r>
      <w:r w:rsidR="007F7A0E" w:rsidRPr="007F7A0E">
        <w:rPr>
          <w:rtl/>
        </w:rPr>
        <w:t>א היא ששינה עליו הכתוב כסף בכסף</w:t>
      </w:r>
      <w:r w:rsidR="007F7A0E" w:rsidRPr="007F7A0E">
        <w:rPr>
          <w:rFonts w:hint="cs"/>
          <w:rtl/>
        </w:rPr>
        <w:t>...</w:t>
      </w:r>
      <w:r w:rsidRPr="007F7A0E">
        <w:rPr>
          <w:rtl/>
        </w:rPr>
        <w:t xml:space="preserve"> אמר ר' יודן אבוי דר' מתנייה הדא דתימר בשלא עשאן</w:t>
      </w:r>
      <w:r w:rsidR="007F7A0E">
        <w:rPr>
          <w:rtl/>
        </w:rPr>
        <w:t xml:space="preserve"> דמים אבל </w:t>
      </w:r>
      <w:r w:rsidR="007F7A0E" w:rsidRPr="00265431">
        <w:rPr>
          <w:u w:val="single"/>
          <w:rtl/>
        </w:rPr>
        <w:t>אם עשאן דמים ככסף הוא</w:t>
      </w:r>
    </w:p>
    <w:p w:rsidR="00161466" w:rsidRPr="00161466" w:rsidRDefault="00161466" w:rsidP="00161466">
      <w:pPr>
        <w:rPr>
          <w:rtl/>
        </w:rPr>
      </w:pPr>
      <w:r w:rsidRPr="00161466">
        <w:rPr>
          <w:rFonts w:hint="cs"/>
          <w:rtl/>
        </w:rPr>
        <w:t>הירושלמי, כהמשך למשנה, דן בשחרור עבד עבדי. הדעה הראשונה המובאת בירושלמי היא כי באופן עקרוני הרי ששווה כסף ככסף, אלא שהיה בכתובים ריבוי של 'כסף' שממנו לומדים כי דווקא בכסף</w:t>
      </w:r>
      <w:r>
        <w:rPr>
          <w:rFonts w:hint="cs"/>
          <w:rtl/>
        </w:rPr>
        <w:t xml:space="preserve"> תתבצע הגאולה</w:t>
      </w:r>
      <w:r w:rsidRPr="00161466">
        <w:rPr>
          <w:rFonts w:hint="cs"/>
          <w:rtl/>
        </w:rPr>
        <w:t>. ר' יודן אבוי דר' מתנייה דן</w:t>
      </w:r>
      <w:r>
        <w:rPr>
          <w:rFonts w:hint="cs"/>
          <w:rtl/>
        </w:rPr>
        <w:t xml:space="preserve"> בדברי הירושלמי הראשונים, ואומר </w:t>
      </w:r>
      <w:r w:rsidR="002E40B4">
        <w:rPr>
          <w:rFonts w:hint="cs"/>
          <w:rtl/>
        </w:rPr>
        <w:t>שאם 'עשאן דמים', הרי הכלים כדמים, ככסף</w:t>
      </w:r>
      <w:r w:rsidRPr="00161466">
        <w:rPr>
          <w:rFonts w:hint="cs"/>
          <w:rtl/>
        </w:rPr>
        <w:t>.</w:t>
      </w:r>
    </w:p>
    <w:p w:rsidR="00161466" w:rsidRPr="00161466" w:rsidRDefault="00161466" w:rsidP="00161466">
      <w:pPr>
        <w:rPr>
          <w:rtl/>
        </w:rPr>
      </w:pPr>
      <w:r w:rsidRPr="00161466">
        <w:rPr>
          <w:rFonts w:hint="cs"/>
          <w:rtl/>
        </w:rPr>
        <w:t xml:space="preserve">פירוש המונח 'עשאן </w:t>
      </w:r>
      <w:r w:rsidR="001A6970">
        <w:rPr>
          <w:rFonts w:hint="cs"/>
          <w:rtl/>
        </w:rPr>
        <w:t>דמים' הרי הוא שומה</w:t>
      </w:r>
      <w:r w:rsidRPr="00161466">
        <w:rPr>
          <w:rFonts w:hint="cs"/>
          <w:rtl/>
        </w:rPr>
        <w:t>, כפי שאומר ה'פני משה' על אתר (ד"ה 'הדא דתימר'):</w:t>
      </w:r>
    </w:p>
    <w:p w:rsidR="00161466" w:rsidRPr="00161466" w:rsidRDefault="0071272B" w:rsidP="00161466">
      <w:pPr>
        <w:pStyle w:val="Quote1"/>
        <w:rPr>
          <w:rtl/>
        </w:rPr>
      </w:pPr>
      <w:r w:rsidRPr="00161466">
        <w:rPr>
          <w:rtl/>
        </w:rPr>
        <w:t xml:space="preserve">דאינו נגאל בתבואה וכלים בשלא עשאן דמים בשויין אלא נתן לו כך וכך מדות לשנה דגזירת הכתוב שאינו נגאל בהן אבל אם </w:t>
      </w:r>
      <w:r w:rsidRPr="00161466">
        <w:rPr>
          <w:u w:val="single"/>
          <w:rtl/>
        </w:rPr>
        <w:t>שמאן בדמים לפי שויין ככסף הוי</w:t>
      </w:r>
      <w:r w:rsidRPr="00161466">
        <w:rPr>
          <w:rtl/>
        </w:rPr>
        <w:t xml:space="preserve"> ונגאל בהן</w:t>
      </w:r>
    </w:p>
    <w:p w:rsidR="00052AA6" w:rsidRPr="00DF4F8E" w:rsidRDefault="00265431" w:rsidP="00633BC8">
      <w:pPr>
        <w:rPr>
          <w:rtl/>
        </w:rPr>
      </w:pPr>
      <w:r>
        <w:rPr>
          <w:rFonts w:hint="cs"/>
          <w:rtl/>
        </w:rPr>
        <w:t xml:space="preserve">כפי שאנו רואים, עולה מהירושלמי כי שומת </w:t>
      </w:r>
      <w:r w:rsidR="00656898">
        <w:rPr>
          <w:rFonts w:hint="cs"/>
          <w:rtl/>
        </w:rPr>
        <w:t>החפץ הופכת אותו להיות ככסף</w:t>
      </w:r>
      <w:r w:rsidR="00752BE4">
        <w:rPr>
          <w:rFonts w:hint="cs"/>
          <w:rtl/>
        </w:rPr>
        <w:t>, בדומה לגישה השנייה שהצענו בדברי רב יוסף</w:t>
      </w:r>
      <w:r w:rsidR="00656898">
        <w:rPr>
          <w:rFonts w:hint="cs"/>
          <w:rtl/>
        </w:rPr>
        <w:t>.</w:t>
      </w:r>
    </w:p>
    <w:sectPr w:rsidR="00052AA6" w:rsidRPr="00DF4F8E" w:rsidSect="00B215B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00" w:rsidRDefault="00247600" w:rsidP="005C64BD">
      <w:pPr>
        <w:spacing w:after="0" w:line="240" w:lineRule="auto"/>
      </w:pPr>
      <w:r>
        <w:separator/>
      </w:r>
    </w:p>
  </w:endnote>
  <w:endnote w:type="continuationSeparator" w:id="0">
    <w:p w:rsidR="00247600" w:rsidRDefault="00247600" w:rsidP="005C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uttman Hatzvi">
    <w:panose1 w:val="00000400000000000000"/>
    <w:charset w:val="B1"/>
    <w:family w:val="auto"/>
    <w:pitch w:val="variable"/>
    <w:sig w:usb0="00000801" w:usb1="40000000" w:usb2="00000000" w:usb3="00000000" w:csb0="00000020" w:csb1="00000000"/>
  </w:font>
  <w:font w:name="Guttman Keren">
    <w:panose1 w:val="00000400000000000000"/>
    <w:charset w:val="B1"/>
    <w:family w:val="auto"/>
    <w:pitch w:val="variable"/>
    <w:sig w:usb0="00000801" w:usb1="40000000" w:usb2="00000000" w:usb3="00000000" w:csb0="00000020" w:csb1="00000000"/>
  </w:font>
  <w:font w:name="Guttman Drogolin">
    <w:panose1 w:val="02000400000000000000"/>
    <w:charset w:val="B1"/>
    <w:family w:val="auto"/>
    <w:pitch w:val="variable"/>
    <w:sig w:usb0="00000801" w:usb1="4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00" w:rsidRDefault="00247600" w:rsidP="005C64BD">
      <w:pPr>
        <w:spacing w:after="0" w:line="240" w:lineRule="auto"/>
      </w:pPr>
      <w:r>
        <w:separator/>
      </w:r>
    </w:p>
  </w:footnote>
  <w:footnote w:type="continuationSeparator" w:id="0">
    <w:p w:rsidR="00247600" w:rsidRDefault="00247600" w:rsidP="005C64BD">
      <w:pPr>
        <w:spacing w:after="0" w:line="240" w:lineRule="auto"/>
      </w:pPr>
      <w:r>
        <w:continuationSeparator/>
      </w:r>
    </w:p>
  </w:footnote>
  <w:footnote w:id="1">
    <w:p w:rsidR="005C64BD" w:rsidRDefault="005C64BD" w:rsidP="005C64BD">
      <w:pPr>
        <w:pStyle w:val="a4"/>
        <w:rPr>
          <w:rtl/>
        </w:rPr>
      </w:pPr>
      <w:r>
        <w:rPr>
          <w:rStyle w:val="FootnoteReference"/>
        </w:rPr>
        <w:footnoteRef/>
      </w:r>
      <w:r>
        <w:rPr>
          <w:rtl/>
        </w:rPr>
        <w:t xml:space="preserve"> </w:t>
      </w:r>
      <w:r>
        <w:rPr>
          <w:rFonts w:hint="cs"/>
          <w:rtl/>
        </w:rPr>
        <w:t>מעיל של משי (מנחות לט:, רש"י ד"ה 'השיראין').</w:t>
      </w:r>
    </w:p>
  </w:footnote>
  <w:footnote w:id="2">
    <w:p w:rsidR="003567F5" w:rsidRDefault="003567F5" w:rsidP="003567F5">
      <w:pPr>
        <w:pStyle w:val="a4"/>
        <w:rPr>
          <w:rtl/>
        </w:rPr>
      </w:pPr>
      <w:r>
        <w:rPr>
          <w:rStyle w:val="FootnoteReference"/>
        </w:rPr>
        <w:footnoteRef/>
      </w:r>
      <w:r>
        <w:rPr>
          <w:rtl/>
        </w:rPr>
        <w:t xml:space="preserve"> </w:t>
      </w:r>
      <w:r>
        <w:rPr>
          <w:rFonts w:hint="cs"/>
          <w:rtl/>
        </w:rPr>
        <w:t>רש"י על אתר (ד"ה 'בכל דהו')</w:t>
      </w:r>
      <w:r w:rsidR="007F533E">
        <w:rPr>
          <w:rFonts w:hint="cs"/>
          <w:rtl/>
        </w:rPr>
        <w:t>.</w:t>
      </w:r>
    </w:p>
  </w:footnote>
  <w:footnote w:id="3">
    <w:p w:rsidR="003202CC" w:rsidRDefault="00443AAE" w:rsidP="0069304E">
      <w:pPr>
        <w:pStyle w:val="a4"/>
        <w:rPr>
          <w:rtl/>
        </w:rPr>
      </w:pPr>
      <w:r>
        <w:rPr>
          <w:rStyle w:val="FootnoteReference"/>
        </w:rPr>
        <w:footnoteRef/>
      </w:r>
      <w:r>
        <w:rPr>
          <w:rtl/>
        </w:rPr>
        <w:t xml:space="preserve"> </w:t>
      </w:r>
      <w:r>
        <w:rPr>
          <w:rFonts w:hint="cs"/>
          <w:rtl/>
        </w:rPr>
        <w:t>כמובן שיש צורך שהכסף/שוו</w:t>
      </w:r>
      <w:r w:rsidR="003202CC">
        <w:rPr>
          <w:rFonts w:hint="cs"/>
          <w:rtl/>
        </w:rPr>
        <w:t xml:space="preserve">ה כסף יהא שווה לפחות פרוטה, אך את הצורך בשווי מסוים, אשר מהווה חלק בלתי נפרד מהמנגנון הקנייני בקניין הכסף, ניתן להסביר על ידי צורך 'הגדרתי' </w:t>
      </w:r>
      <w:r w:rsidR="003202CC">
        <w:rPr>
          <w:rtl/>
        </w:rPr>
        <w:t>–</w:t>
      </w:r>
      <w:r w:rsidR="003202CC">
        <w:rPr>
          <w:rFonts w:hint="cs"/>
          <w:rtl/>
        </w:rPr>
        <w:t xml:space="preserve"> אמנם, במהותו, הקניין מצריך אך ורק רצון (וכן מעשה, ללא קשר לזהות המעשה), אך </w:t>
      </w:r>
      <w:r w:rsidR="003202CC">
        <w:rPr>
          <w:rFonts w:hint="cs"/>
          <w:rtl/>
        </w:rPr>
        <w:t>מאחר ובד"כ הרצון כונן אך ורק על ידי תמורה, העניקה התורה תוקף לקנייני 'תמורה', וכך הם הוגדרו. מתוקף העובדה שדבר אשר ערכו הממוני פחות משווה פרוטה נחשב כחסר ערך, הרי שלא ניתן לקדש בו.</w:t>
      </w:r>
    </w:p>
    <w:p w:rsidR="003202CC" w:rsidRDefault="003202CC" w:rsidP="0069304E">
      <w:pPr>
        <w:pStyle w:val="a4"/>
        <w:rPr>
          <w:rtl/>
        </w:rPr>
      </w:pPr>
      <w:r>
        <w:rPr>
          <w:rFonts w:hint="cs"/>
          <w:rtl/>
        </w:rPr>
        <w:t>לחלופין, ניתן לטעון כי באופן עקרוני מספיק רצון לקניי</w:t>
      </w:r>
      <w:r w:rsidR="00A43057">
        <w:rPr>
          <w:rFonts w:hint="cs"/>
          <w:rtl/>
        </w:rPr>
        <w:t>ן, אך חכמים העריכו כי אין האישה תסכים להתקדש בפחות מערך של שווה פרוטה.</w:t>
      </w:r>
    </w:p>
  </w:footnote>
  <w:footnote w:id="4">
    <w:p w:rsidR="00F14C5C" w:rsidRDefault="00F14C5C" w:rsidP="00F14C5C">
      <w:pPr>
        <w:pStyle w:val="a4"/>
        <w:rPr>
          <w:rtl/>
        </w:rPr>
      </w:pPr>
      <w:r>
        <w:rPr>
          <w:rStyle w:val="FootnoteReference"/>
        </w:rPr>
        <w:footnoteRef/>
      </w:r>
      <w:r>
        <w:rPr>
          <w:rtl/>
        </w:rPr>
        <w:t xml:space="preserve"> </w:t>
      </w:r>
      <w:r>
        <w:rPr>
          <w:rFonts w:hint="cs"/>
          <w:rtl/>
        </w:rPr>
        <w:t>אשר ניתן לשלב ביניהם.</w:t>
      </w:r>
    </w:p>
  </w:footnote>
  <w:footnote w:id="5">
    <w:p w:rsidR="00665CF2" w:rsidRDefault="00665CF2" w:rsidP="002E4C4A">
      <w:pPr>
        <w:pStyle w:val="a4"/>
        <w:rPr>
          <w:rFonts w:hint="cs"/>
          <w:rtl/>
        </w:rPr>
      </w:pPr>
      <w:r>
        <w:rPr>
          <w:rStyle w:val="FootnoteReference"/>
        </w:rPr>
        <w:footnoteRef/>
      </w:r>
      <w:r>
        <w:rPr>
          <w:rtl/>
        </w:rPr>
        <w:t xml:space="preserve"> </w:t>
      </w:r>
      <w:r>
        <w:rPr>
          <w:rFonts w:hint="cs"/>
          <w:rtl/>
        </w:rPr>
        <w:t>ההבנה כי הערך הממוני של</w:t>
      </w:r>
      <w:r w:rsidR="006F4B73">
        <w:rPr>
          <w:rFonts w:hint="cs"/>
          <w:rtl/>
        </w:rPr>
        <w:t xml:space="preserve"> המטבע אינו </w:t>
      </w:r>
      <w:r w:rsidR="000336CA">
        <w:rPr>
          <w:rFonts w:hint="cs"/>
          <w:rtl/>
        </w:rPr>
        <w:t>'הדבקה' של ערך, סימול,</w:t>
      </w:r>
      <w:r w:rsidR="002E4C4A">
        <w:rPr>
          <w:rFonts w:hint="cs"/>
          <w:rtl/>
        </w:rPr>
        <w:t xml:space="preserve"> בדומה לשטרות בימינו,</w:t>
      </w:r>
      <w:r w:rsidR="006F4B73">
        <w:rPr>
          <w:rFonts w:hint="cs"/>
          <w:rtl/>
        </w:rPr>
        <w:t xml:space="preserve"> א</w:t>
      </w:r>
      <w:r>
        <w:rPr>
          <w:rFonts w:hint="cs"/>
          <w:rtl/>
        </w:rPr>
        <w:t>ל</w:t>
      </w:r>
      <w:r w:rsidR="006F4B73">
        <w:rPr>
          <w:rFonts w:hint="cs"/>
          <w:rtl/>
        </w:rPr>
        <w:t>א</w:t>
      </w:r>
      <w:r>
        <w:rPr>
          <w:rFonts w:hint="cs"/>
          <w:rtl/>
        </w:rPr>
        <w:t xml:space="preserve"> ערך החומר </w:t>
      </w:r>
      <w:r w:rsidR="000336CA">
        <w:rPr>
          <w:rFonts w:hint="cs"/>
          <w:rtl/>
        </w:rPr>
        <w:t xml:space="preserve">עצמו </w:t>
      </w:r>
      <w:r w:rsidR="002E4C4A">
        <w:rPr>
          <w:rFonts w:hint="cs"/>
          <w:rtl/>
        </w:rPr>
        <w:t xml:space="preserve">ממנו עשוי המטבע, </w:t>
      </w:r>
      <w:r>
        <w:rPr>
          <w:rFonts w:hint="cs"/>
          <w:rtl/>
        </w:rPr>
        <w:t>נגזר</w:t>
      </w:r>
      <w:r w:rsidR="002E4C4A">
        <w:rPr>
          <w:rFonts w:hint="cs"/>
          <w:rtl/>
        </w:rPr>
        <w:t>ת</w:t>
      </w:r>
      <w:r>
        <w:rPr>
          <w:rFonts w:hint="cs"/>
          <w:rtl/>
        </w:rPr>
        <w:t xml:space="preserve"> </w:t>
      </w:r>
      <w:r w:rsidR="000336CA">
        <w:rPr>
          <w:rFonts w:hint="cs"/>
          <w:rtl/>
        </w:rPr>
        <w:t xml:space="preserve">מדברי רש"י (קידושין יב., ד"ה </w:t>
      </w:r>
      <w:r w:rsidR="000336CA">
        <w:rPr>
          <w:rFonts w:hint="cs"/>
          <w:rtl/>
        </w:rPr>
        <w:t>'כל דהו'</w:t>
      </w:r>
      <w:r w:rsidR="008E7DF2">
        <w:rPr>
          <w:rFonts w:hint="cs"/>
          <w:rtl/>
        </w:rPr>
        <w:t>), ועיין שם.</w:t>
      </w:r>
    </w:p>
    <w:p w:rsidR="00791E4E" w:rsidRPr="00791E4E" w:rsidRDefault="00791E4E" w:rsidP="00791E4E">
      <w:pPr>
        <w:pStyle w:val="a4"/>
        <w:rPr>
          <w:rFonts w:hint="cs"/>
          <w:rtl/>
        </w:rPr>
      </w:pPr>
      <w:r w:rsidRPr="00791E4E">
        <w:rPr>
          <w:rFonts w:hint="cs"/>
          <w:rtl/>
        </w:rPr>
        <w:t>בנוסף, ראה את הכתוב בויקיפדיה, בערך 'מטבע' – "שלא כמטבעות בני זמננו, ערכם של המטבעות בעת העתיקה לא נגזר מהתחייבות בנקאית הניתנת כנגדם ("</w:t>
      </w:r>
      <w:hyperlink r:id="rId1" w:tooltip="כסף פיאט" w:history="1">
        <w:r w:rsidRPr="00791E4E">
          <w:rPr>
            <w:rStyle w:val="Hyperlink"/>
            <w:rFonts w:hint="cs"/>
            <w:color w:val="auto"/>
            <w:u w:val="none"/>
            <w:rtl/>
          </w:rPr>
          <w:t>כסף סינתטי</w:t>
        </w:r>
      </w:hyperlink>
      <w:r w:rsidRPr="00791E4E">
        <w:rPr>
          <w:rFonts w:hint="cs"/>
          <w:rtl/>
        </w:rPr>
        <w:t>"), אלא משוויה האמית</w:t>
      </w:r>
      <w:bookmarkStart w:id="0" w:name="_GoBack"/>
      <w:bookmarkEnd w:id="0"/>
      <w:r w:rsidRPr="00791E4E">
        <w:rPr>
          <w:rFonts w:hint="cs"/>
          <w:rtl/>
        </w:rPr>
        <w:t>י של המתכת ("כסף טבעי")" –</w:t>
      </w:r>
    </w:p>
    <w:p w:rsidR="00791E4E" w:rsidRPr="00791E4E" w:rsidRDefault="00791E4E" w:rsidP="00791E4E">
      <w:pPr>
        <w:pStyle w:val="a4"/>
        <w:rPr>
          <w:rFonts w:hint="cs"/>
          <w:rtl/>
        </w:rPr>
      </w:pPr>
      <w:hyperlink r:id="rId2" w:history="1">
        <w:r w:rsidRPr="007C32E4">
          <w:rPr>
            <w:rStyle w:val="Hyperlink"/>
          </w:rPr>
          <w:t>http://he.wikipedia.org/wiki/%D7%9E%D7%98%D7%91%D7%A2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97912"/>
    <w:multiLevelType w:val="hybridMultilevel"/>
    <w:tmpl w:val="DC22A100"/>
    <w:lvl w:ilvl="0" w:tplc="27869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BD"/>
    <w:rsid w:val="000071DB"/>
    <w:rsid w:val="000124B3"/>
    <w:rsid w:val="00021292"/>
    <w:rsid w:val="000217BD"/>
    <w:rsid w:val="000336CA"/>
    <w:rsid w:val="00041A95"/>
    <w:rsid w:val="00042B11"/>
    <w:rsid w:val="00052AA6"/>
    <w:rsid w:val="0007174C"/>
    <w:rsid w:val="000737A8"/>
    <w:rsid w:val="00073D6E"/>
    <w:rsid w:val="000850EA"/>
    <w:rsid w:val="00091BE4"/>
    <w:rsid w:val="00096DB9"/>
    <w:rsid w:val="000A3732"/>
    <w:rsid w:val="000D004B"/>
    <w:rsid w:val="000D71E8"/>
    <w:rsid w:val="000E14EB"/>
    <w:rsid w:val="000E3419"/>
    <w:rsid w:val="000E5890"/>
    <w:rsid w:val="000F7D35"/>
    <w:rsid w:val="0010191F"/>
    <w:rsid w:val="00132768"/>
    <w:rsid w:val="00132C30"/>
    <w:rsid w:val="0013402F"/>
    <w:rsid w:val="00155CB1"/>
    <w:rsid w:val="00161466"/>
    <w:rsid w:val="00183020"/>
    <w:rsid w:val="001858C4"/>
    <w:rsid w:val="00191EF8"/>
    <w:rsid w:val="00192400"/>
    <w:rsid w:val="001A6970"/>
    <w:rsid w:val="001B3E89"/>
    <w:rsid w:val="001B42D9"/>
    <w:rsid w:val="001C3689"/>
    <w:rsid w:val="001C469D"/>
    <w:rsid w:val="001C5665"/>
    <w:rsid w:val="001D12CA"/>
    <w:rsid w:val="001E3DAC"/>
    <w:rsid w:val="001E4E83"/>
    <w:rsid w:val="001E772B"/>
    <w:rsid w:val="00230120"/>
    <w:rsid w:val="00247600"/>
    <w:rsid w:val="00265431"/>
    <w:rsid w:val="00292D6D"/>
    <w:rsid w:val="002931D1"/>
    <w:rsid w:val="002C110A"/>
    <w:rsid w:val="002E40B4"/>
    <w:rsid w:val="002E4C4A"/>
    <w:rsid w:val="003113A1"/>
    <w:rsid w:val="00312A29"/>
    <w:rsid w:val="003202CC"/>
    <w:rsid w:val="00320C8B"/>
    <w:rsid w:val="0033236C"/>
    <w:rsid w:val="00336EC6"/>
    <w:rsid w:val="003567F5"/>
    <w:rsid w:val="0036094C"/>
    <w:rsid w:val="003610E9"/>
    <w:rsid w:val="00367392"/>
    <w:rsid w:val="00371EA3"/>
    <w:rsid w:val="00376C8E"/>
    <w:rsid w:val="003772E3"/>
    <w:rsid w:val="0037777E"/>
    <w:rsid w:val="00383F0D"/>
    <w:rsid w:val="003A221E"/>
    <w:rsid w:val="003A43CF"/>
    <w:rsid w:val="003B226D"/>
    <w:rsid w:val="003C00D1"/>
    <w:rsid w:val="003C3EBB"/>
    <w:rsid w:val="003C4657"/>
    <w:rsid w:val="003F2D40"/>
    <w:rsid w:val="003F4B37"/>
    <w:rsid w:val="003F55AF"/>
    <w:rsid w:val="003F722A"/>
    <w:rsid w:val="0040034B"/>
    <w:rsid w:val="004019AD"/>
    <w:rsid w:val="00405160"/>
    <w:rsid w:val="004144E1"/>
    <w:rsid w:val="004145C1"/>
    <w:rsid w:val="00416FBD"/>
    <w:rsid w:val="00443AAE"/>
    <w:rsid w:val="00472FFF"/>
    <w:rsid w:val="00477959"/>
    <w:rsid w:val="004A70CE"/>
    <w:rsid w:val="004B142C"/>
    <w:rsid w:val="004C768C"/>
    <w:rsid w:val="004D06CE"/>
    <w:rsid w:val="004F0640"/>
    <w:rsid w:val="005016F9"/>
    <w:rsid w:val="00510FD0"/>
    <w:rsid w:val="00516F47"/>
    <w:rsid w:val="0052649A"/>
    <w:rsid w:val="00531641"/>
    <w:rsid w:val="00536887"/>
    <w:rsid w:val="00537C56"/>
    <w:rsid w:val="005605E1"/>
    <w:rsid w:val="00564EE6"/>
    <w:rsid w:val="005652B1"/>
    <w:rsid w:val="005B6C1B"/>
    <w:rsid w:val="005C64BD"/>
    <w:rsid w:val="005F0C7E"/>
    <w:rsid w:val="005F5446"/>
    <w:rsid w:val="00610B9C"/>
    <w:rsid w:val="00622872"/>
    <w:rsid w:val="006252F6"/>
    <w:rsid w:val="006255CD"/>
    <w:rsid w:val="006263ED"/>
    <w:rsid w:val="00630E03"/>
    <w:rsid w:val="00633BC8"/>
    <w:rsid w:val="00646FD2"/>
    <w:rsid w:val="00656898"/>
    <w:rsid w:val="00657A60"/>
    <w:rsid w:val="00665CF2"/>
    <w:rsid w:val="0066740B"/>
    <w:rsid w:val="00681321"/>
    <w:rsid w:val="0068794A"/>
    <w:rsid w:val="00687CE3"/>
    <w:rsid w:val="0069304E"/>
    <w:rsid w:val="006A5970"/>
    <w:rsid w:val="006C5409"/>
    <w:rsid w:val="006D0C2D"/>
    <w:rsid w:val="006D1E85"/>
    <w:rsid w:val="006E6F44"/>
    <w:rsid w:val="006F495A"/>
    <w:rsid w:val="006F4B73"/>
    <w:rsid w:val="0071272B"/>
    <w:rsid w:val="007370EA"/>
    <w:rsid w:val="00752BE4"/>
    <w:rsid w:val="00774703"/>
    <w:rsid w:val="00791E4E"/>
    <w:rsid w:val="00795D53"/>
    <w:rsid w:val="007A324E"/>
    <w:rsid w:val="007A373F"/>
    <w:rsid w:val="007A7F91"/>
    <w:rsid w:val="007C5CB6"/>
    <w:rsid w:val="007D3A1E"/>
    <w:rsid w:val="007F1024"/>
    <w:rsid w:val="007F199A"/>
    <w:rsid w:val="007F533E"/>
    <w:rsid w:val="007F7A0E"/>
    <w:rsid w:val="00816F8D"/>
    <w:rsid w:val="00831CFE"/>
    <w:rsid w:val="00835633"/>
    <w:rsid w:val="00852839"/>
    <w:rsid w:val="008847BD"/>
    <w:rsid w:val="008918BE"/>
    <w:rsid w:val="008A6335"/>
    <w:rsid w:val="008B0A19"/>
    <w:rsid w:val="008B6FE3"/>
    <w:rsid w:val="008C0AE7"/>
    <w:rsid w:val="008C5E46"/>
    <w:rsid w:val="008D23B8"/>
    <w:rsid w:val="008D2E59"/>
    <w:rsid w:val="008D608D"/>
    <w:rsid w:val="008E5E11"/>
    <w:rsid w:val="008E6296"/>
    <w:rsid w:val="008E7DF2"/>
    <w:rsid w:val="008F3B33"/>
    <w:rsid w:val="00907F92"/>
    <w:rsid w:val="0092077D"/>
    <w:rsid w:val="009212CF"/>
    <w:rsid w:val="00927A94"/>
    <w:rsid w:val="00936911"/>
    <w:rsid w:val="00936BA6"/>
    <w:rsid w:val="00940F4C"/>
    <w:rsid w:val="009455F0"/>
    <w:rsid w:val="00947483"/>
    <w:rsid w:val="00972EAB"/>
    <w:rsid w:val="00980C53"/>
    <w:rsid w:val="00985EEB"/>
    <w:rsid w:val="009931EB"/>
    <w:rsid w:val="009A52D1"/>
    <w:rsid w:val="009B24EA"/>
    <w:rsid w:val="00A24FFD"/>
    <w:rsid w:val="00A27363"/>
    <w:rsid w:val="00A40B37"/>
    <w:rsid w:val="00A43057"/>
    <w:rsid w:val="00A44C2D"/>
    <w:rsid w:val="00A60424"/>
    <w:rsid w:val="00A657A5"/>
    <w:rsid w:val="00A84C8A"/>
    <w:rsid w:val="00A8752B"/>
    <w:rsid w:val="00AA202E"/>
    <w:rsid w:val="00AA4774"/>
    <w:rsid w:val="00AB554E"/>
    <w:rsid w:val="00AB65F4"/>
    <w:rsid w:val="00AC02D9"/>
    <w:rsid w:val="00AC3E62"/>
    <w:rsid w:val="00AC464B"/>
    <w:rsid w:val="00AC7C64"/>
    <w:rsid w:val="00AD0024"/>
    <w:rsid w:val="00AD0DF0"/>
    <w:rsid w:val="00AD3637"/>
    <w:rsid w:val="00AE3678"/>
    <w:rsid w:val="00B00417"/>
    <w:rsid w:val="00B03570"/>
    <w:rsid w:val="00B215B9"/>
    <w:rsid w:val="00B215EC"/>
    <w:rsid w:val="00B300EF"/>
    <w:rsid w:val="00B404DA"/>
    <w:rsid w:val="00B64A10"/>
    <w:rsid w:val="00B74403"/>
    <w:rsid w:val="00B85C38"/>
    <w:rsid w:val="00B9259E"/>
    <w:rsid w:val="00B932F5"/>
    <w:rsid w:val="00B950E2"/>
    <w:rsid w:val="00BD131D"/>
    <w:rsid w:val="00BD3E1F"/>
    <w:rsid w:val="00BD41C8"/>
    <w:rsid w:val="00BF5460"/>
    <w:rsid w:val="00C15CCE"/>
    <w:rsid w:val="00C37F50"/>
    <w:rsid w:val="00C43417"/>
    <w:rsid w:val="00C4623C"/>
    <w:rsid w:val="00C501F6"/>
    <w:rsid w:val="00C57B41"/>
    <w:rsid w:val="00C72995"/>
    <w:rsid w:val="00C73E4B"/>
    <w:rsid w:val="00C86E83"/>
    <w:rsid w:val="00C90B5B"/>
    <w:rsid w:val="00C94572"/>
    <w:rsid w:val="00C96A44"/>
    <w:rsid w:val="00CA005F"/>
    <w:rsid w:val="00CA0737"/>
    <w:rsid w:val="00CA12BE"/>
    <w:rsid w:val="00CA16E3"/>
    <w:rsid w:val="00CA53E3"/>
    <w:rsid w:val="00CA7709"/>
    <w:rsid w:val="00CA7CDB"/>
    <w:rsid w:val="00CB2EC9"/>
    <w:rsid w:val="00CB4E38"/>
    <w:rsid w:val="00CC15AF"/>
    <w:rsid w:val="00CD56F3"/>
    <w:rsid w:val="00CE40D0"/>
    <w:rsid w:val="00CF5D58"/>
    <w:rsid w:val="00D00ADB"/>
    <w:rsid w:val="00D118DC"/>
    <w:rsid w:val="00D37C9F"/>
    <w:rsid w:val="00D46517"/>
    <w:rsid w:val="00D85C8F"/>
    <w:rsid w:val="00D908F5"/>
    <w:rsid w:val="00D92E67"/>
    <w:rsid w:val="00DA60DC"/>
    <w:rsid w:val="00DB15C6"/>
    <w:rsid w:val="00DD1F7E"/>
    <w:rsid w:val="00DD66FA"/>
    <w:rsid w:val="00DF4F8E"/>
    <w:rsid w:val="00E01FB0"/>
    <w:rsid w:val="00E11FA2"/>
    <w:rsid w:val="00E260DD"/>
    <w:rsid w:val="00E2670E"/>
    <w:rsid w:val="00E3714B"/>
    <w:rsid w:val="00E530D2"/>
    <w:rsid w:val="00E93105"/>
    <w:rsid w:val="00EA2591"/>
    <w:rsid w:val="00EB288F"/>
    <w:rsid w:val="00EB406C"/>
    <w:rsid w:val="00ED35F2"/>
    <w:rsid w:val="00ED4F68"/>
    <w:rsid w:val="00EF62B5"/>
    <w:rsid w:val="00F10FA5"/>
    <w:rsid w:val="00F14C5C"/>
    <w:rsid w:val="00F22C7C"/>
    <w:rsid w:val="00F25BA6"/>
    <w:rsid w:val="00F35BA7"/>
    <w:rsid w:val="00F476F7"/>
    <w:rsid w:val="00F67DA5"/>
    <w:rsid w:val="00F91432"/>
    <w:rsid w:val="00F93837"/>
    <w:rsid w:val="00FB699C"/>
    <w:rsid w:val="00FC5211"/>
    <w:rsid w:val="00FD3C55"/>
    <w:rsid w:val="00FD7FD5"/>
    <w:rsid w:val="00FE355C"/>
    <w:rsid w:val="00FF4C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Narkisi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64BD"/>
    <w:pPr>
      <w:bidi/>
      <w:spacing w:after="50" w:line="240" w:lineRule="exact"/>
      <w:jc w:val="both"/>
    </w:pPr>
    <w:rPr>
      <w:rFonts w:eastAsia="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כותב"/>
    <w:basedOn w:val="Subtitle"/>
    <w:link w:val="a0"/>
    <w:qFormat/>
    <w:rsid w:val="005C64BD"/>
    <w:pPr>
      <w:jc w:val="center"/>
    </w:pPr>
    <w:rPr>
      <w:rFonts w:cs="Guttman Hatzvi"/>
      <w:b/>
    </w:rPr>
  </w:style>
  <w:style w:type="character" w:customStyle="1" w:styleId="a0">
    <w:name w:val="כותב תו"/>
    <w:link w:val="a"/>
    <w:rsid w:val="005C64BD"/>
    <w:rPr>
      <w:rFonts w:ascii="Cambria" w:eastAsiaTheme="majorEastAsia" w:hAnsi="Cambria" w:cs="Guttman Hatzvi"/>
      <w:b/>
      <w:bCs/>
      <w:sz w:val="22"/>
      <w:szCs w:val="26"/>
    </w:rPr>
  </w:style>
  <w:style w:type="paragraph" w:styleId="Subtitle">
    <w:name w:val="Subtitle"/>
    <w:basedOn w:val="Normal"/>
    <w:next w:val="Normal"/>
    <w:link w:val="SubtitleChar"/>
    <w:qFormat/>
    <w:rsid w:val="005C64BD"/>
    <w:pPr>
      <w:spacing w:after="0" w:line="240" w:lineRule="auto"/>
      <w:jc w:val="left"/>
      <w:outlineLvl w:val="1"/>
    </w:pPr>
    <w:rPr>
      <w:rFonts w:ascii="Cambria" w:eastAsiaTheme="majorEastAsia" w:hAnsi="Cambria"/>
      <w:bCs/>
      <w:sz w:val="22"/>
      <w:szCs w:val="26"/>
    </w:rPr>
  </w:style>
  <w:style w:type="character" w:customStyle="1" w:styleId="SubtitleChar">
    <w:name w:val="Subtitle Char"/>
    <w:link w:val="Subtitle"/>
    <w:rsid w:val="005C64BD"/>
    <w:rPr>
      <w:rFonts w:ascii="Cambria" w:eastAsiaTheme="majorEastAsia" w:hAnsi="Cambria"/>
      <w:bCs/>
      <w:sz w:val="22"/>
      <w:szCs w:val="26"/>
    </w:rPr>
  </w:style>
  <w:style w:type="paragraph" w:customStyle="1" w:styleId="Quote1">
    <w:name w:val="Quote1"/>
    <w:basedOn w:val="Normal"/>
    <w:link w:val="a1"/>
    <w:qFormat/>
    <w:rsid w:val="005C64BD"/>
    <w:pPr>
      <w:ind w:left="227"/>
    </w:pPr>
    <w:rPr>
      <w:rFonts w:cs="Guttman Keren"/>
      <w:b/>
      <w:bCs/>
      <w:sz w:val="15"/>
      <w:szCs w:val="15"/>
    </w:rPr>
  </w:style>
  <w:style w:type="character" w:customStyle="1" w:styleId="a1">
    <w:name w:val="ציטוט תו"/>
    <w:link w:val="Quote1"/>
    <w:rsid w:val="005C64BD"/>
    <w:rPr>
      <w:rFonts w:eastAsia="Tahoma" w:cs="Guttman Keren"/>
      <w:b/>
      <w:bCs/>
      <w:sz w:val="15"/>
      <w:szCs w:val="15"/>
    </w:rPr>
  </w:style>
  <w:style w:type="paragraph" w:customStyle="1" w:styleId="a2">
    <w:name w:val="כותרת מאמר"/>
    <w:basedOn w:val="a"/>
    <w:link w:val="a3"/>
    <w:qFormat/>
    <w:rsid w:val="005C64BD"/>
    <w:rPr>
      <w:rFonts w:cs="Guttman Drogolin"/>
      <w:bCs w:val="0"/>
      <w:sz w:val="44"/>
      <w:szCs w:val="44"/>
    </w:rPr>
  </w:style>
  <w:style w:type="character" w:customStyle="1" w:styleId="a3">
    <w:name w:val="כותרת מאמר תו"/>
    <w:link w:val="a2"/>
    <w:rsid w:val="005C64BD"/>
    <w:rPr>
      <w:rFonts w:ascii="Cambria" w:eastAsiaTheme="majorEastAsia" w:hAnsi="Cambria" w:cs="Guttman Drogolin"/>
      <w:b/>
      <w:sz w:val="44"/>
      <w:szCs w:val="44"/>
    </w:rPr>
  </w:style>
  <w:style w:type="paragraph" w:customStyle="1" w:styleId="a4">
    <w:name w:val="הערת שוליים"/>
    <w:basedOn w:val="FootnoteText"/>
    <w:link w:val="a5"/>
    <w:qFormat/>
    <w:rsid w:val="005C64BD"/>
    <w:pPr>
      <w:spacing w:line="240" w:lineRule="auto"/>
    </w:pPr>
    <w:rPr>
      <w:sz w:val="16"/>
      <w:szCs w:val="16"/>
    </w:rPr>
  </w:style>
  <w:style w:type="character" w:customStyle="1" w:styleId="a5">
    <w:name w:val="הערת שוליים תו"/>
    <w:link w:val="a4"/>
    <w:rsid w:val="005C64BD"/>
    <w:rPr>
      <w:rFonts w:eastAsia="Tahoma"/>
      <w:sz w:val="16"/>
      <w:szCs w:val="16"/>
    </w:rPr>
  </w:style>
  <w:style w:type="paragraph" w:styleId="FootnoteText">
    <w:name w:val="footnote text"/>
    <w:basedOn w:val="Normal"/>
    <w:link w:val="FootnoteTextChar"/>
    <w:uiPriority w:val="99"/>
    <w:semiHidden/>
    <w:unhideWhenUsed/>
    <w:rsid w:val="005C64BD"/>
  </w:style>
  <w:style w:type="character" w:customStyle="1" w:styleId="FootnoteTextChar">
    <w:name w:val="Footnote Text Char"/>
    <w:basedOn w:val="DefaultParagraphFont"/>
    <w:link w:val="FootnoteText"/>
    <w:uiPriority w:val="99"/>
    <w:semiHidden/>
    <w:rsid w:val="005C64BD"/>
  </w:style>
  <w:style w:type="paragraph" w:customStyle="1" w:styleId="a6">
    <w:name w:val="חדשות"/>
    <w:basedOn w:val="Normal"/>
    <w:link w:val="Char"/>
    <w:qFormat/>
    <w:rsid w:val="005C64BD"/>
    <w:rPr>
      <w:sz w:val="16"/>
      <w:szCs w:val="16"/>
    </w:rPr>
  </w:style>
  <w:style w:type="character" w:customStyle="1" w:styleId="Char">
    <w:name w:val="חדשות Char"/>
    <w:link w:val="a6"/>
    <w:rsid w:val="005C64BD"/>
    <w:rPr>
      <w:rFonts w:eastAsia="Tahoma"/>
      <w:sz w:val="16"/>
      <w:szCs w:val="16"/>
    </w:rPr>
  </w:style>
  <w:style w:type="character" w:styleId="FootnoteReference">
    <w:name w:val="footnote reference"/>
    <w:basedOn w:val="DefaultParagraphFont"/>
    <w:uiPriority w:val="99"/>
    <w:semiHidden/>
    <w:unhideWhenUsed/>
    <w:rsid w:val="005C64BD"/>
    <w:rPr>
      <w:vertAlign w:val="superscript"/>
    </w:rPr>
  </w:style>
  <w:style w:type="paragraph" w:styleId="ListParagraph">
    <w:name w:val="List Paragraph"/>
    <w:basedOn w:val="Normal"/>
    <w:uiPriority w:val="34"/>
    <w:rsid w:val="006263ED"/>
    <w:pPr>
      <w:ind w:left="720"/>
      <w:contextualSpacing/>
    </w:pPr>
  </w:style>
  <w:style w:type="character" w:styleId="Hyperlink">
    <w:name w:val="Hyperlink"/>
    <w:basedOn w:val="DefaultParagraphFont"/>
    <w:uiPriority w:val="99"/>
    <w:unhideWhenUsed/>
    <w:rsid w:val="00791E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Narkisi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64BD"/>
    <w:pPr>
      <w:bidi/>
      <w:spacing w:after="50" w:line="240" w:lineRule="exact"/>
      <w:jc w:val="both"/>
    </w:pPr>
    <w:rPr>
      <w:rFonts w:eastAsia="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כותב"/>
    <w:basedOn w:val="Subtitle"/>
    <w:link w:val="a0"/>
    <w:qFormat/>
    <w:rsid w:val="005C64BD"/>
    <w:pPr>
      <w:jc w:val="center"/>
    </w:pPr>
    <w:rPr>
      <w:rFonts w:cs="Guttman Hatzvi"/>
      <w:b/>
    </w:rPr>
  </w:style>
  <w:style w:type="character" w:customStyle="1" w:styleId="a0">
    <w:name w:val="כותב תו"/>
    <w:link w:val="a"/>
    <w:rsid w:val="005C64BD"/>
    <w:rPr>
      <w:rFonts w:ascii="Cambria" w:eastAsiaTheme="majorEastAsia" w:hAnsi="Cambria" w:cs="Guttman Hatzvi"/>
      <w:b/>
      <w:bCs/>
      <w:sz w:val="22"/>
      <w:szCs w:val="26"/>
    </w:rPr>
  </w:style>
  <w:style w:type="paragraph" w:styleId="Subtitle">
    <w:name w:val="Subtitle"/>
    <w:basedOn w:val="Normal"/>
    <w:next w:val="Normal"/>
    <w:link w:val="SubtitleChar"/>
    <w:qFormat/>
    <w:rsid w:val="005C64BD"/>
    <w:pPr>
      <w:spacing w:after="0" w:line="240" w:lineRule="auto"/>
      <w:jc w:val="left"/>
      <w:outlineLvl w:val="1"/>
    </w:pPr>
    <w:rPr>
      <w:rFonts w:ascii="Cambria" w:eastAsiaTheme="majorEastAsia" w:hAnsi="Cambria"/>
      <w:bCs/>
      <w:sz w:val="22"/>
      <w:szCs w:val="26"/>
    </w:rPr>
  </w:style>
  <w:style w:type="character" w:customStyle="1" w:styleId="SubtitleChar">
    <w:name w:val="Subtitle Char"/>
    <w:link w:val="Subtitle"/>
    <w:rsid w:val="005C64BD"/>
    <w:rPr>
      <w:rFonts w:ascii="Cambria" w:eastAsiaTheme="majorEastAsia" w:hAnsi="Cambria"/>
      <w:bCs/>
      <w:sz w:val="22"/>
      <w:szCs w:val="26"/>
    </w:rPr>
  </w:style>
  <w:style w:type="paragraph" w:customStyle="1" w:styleId="Quote1">
    <w:name w:val="Quote1"/>
    <w:basedOn w:val="Normal"/>
    <w:link w:val="a1"/>
    <w:qFormat/>
    <w:rsid w:val="005C64BD"/>
    <w:pPr>
      <w:ind w:left="227"/>
    </w:pPr>
    <w:rPr>
      <w:rFonts w:cs="Guttman Keren"/>
      <w:b/>
      <w:bCs/>
      <w:sz w:val="15"/>
      <w:szCs w:val="15"/>
    </w:rPr>
  </w:style>
  <w:style w:type="character" w:customStyle="1" w:styleId="a1">
    <w:name w:val="ציטוט תו"/>
    <w:link w:val="Quote1"/>
    <w:rsid w:val="005C64BD"/>
    <w:rPr>
      <w:rFonts w:eastAsia="Tahoma" w:cs="Guttman Keren"/>
      <w:b/>
      <w:bCs/>
      <w:sz w:val="15"/>
      <w:szCs w:val="15"/>
    </w:rPr>
  </w:style>
  <w:style w:type="paragraph" w:customStyle="1" w:styleId="a2">
    <w:name w:val="כותרת מאמר"/>
    <w:basedOn w:val="a"/>
    <w:link w:val="a3"/>
    <w:qFormat/>
    <w:rsid w:val="005C64BD"/>
    <w:rPr>
      <w:rFonts w:cs="Guttman Drogolin"/>
      <w:bCs w:val="0"/>
      <w:sz w:val="44"/>
      <w:szCs w:val="44"/>
    </w:rPr>
  </w:style>
  <w:style w:type="character" w:customStyle="1" w:styleId="a3">
    <w:name w:val="כותרת מאמר תו"/>
    <w:link w:val="a2"/>
    <w:rsid w:val="005C64BD"/>
    <w:rPr>
      <w:rFonts w:ascii="Cambria" w:eastAsiaTheme="majorEastAsia" w:hAnsi="Cambria" w:cs="Guttman Drogolin"/>
      <w:b/>
      <w:sz w:val="44"/>
      <w:szCs w:val="44"/>
    </w:rPr>
  </w:style>
  <w:style w:type="paragraph" w:customStyle="1" w:styleId="a4">
    <w:name w:val="הערת שוליים"/>
    <w:basedOn w:val="FootnoteText"/>
    <w:link w:val="a5"/>
    <w:qFormat/>
    <w:rsid w:val="005C64BD"/>
    <w:pPr>
      <w:spacing w:line="240" w:lineRule="auto"/>
    </w:pPr>
    <w:rPr>
      <w:sz w:val="16"/>
      <w:szCs w:val="16"/>
    </w:rPr>
  </w:style>
  <w:style w:type="character" w:customStyle="1" w:styleId="a5">
    <w:name w:val="הערת שוליים תו"/>
    <w:link w:val="a4"/>
    <w:rsid w:val="005C64BD"/>
    <w:rPr>
      <w:rFonts w:eastAsia="Tahoma"/>
      <w:sz w:val="16"/>
      <w:szCs w:val="16"/>
    </w:rPr>
  </w:style>
  <w:style w:type="paragraph" w:styleId="FootnoteText">
    <w:name w:val="footnote text"/>
    <w:basedOn w:val="Normal"/>
    <w:link w:val="FootnoteTextChar"/>
    <w:uiPriority w:val="99"/>
    <w:semiHidden/>
    <w:unhideWhenUsed/>
    <w:rsid w:val="005C64BD"/>
  </w:style>
  <w:style w:type="character" w:customStyle="1" w:styleId="FootnoteTextChar">
    <w:name w:val="Footnote Text Char"/>
    <w:basedOn w:val="DefaultParagraphFont"/>
    <w:link w:val="FootnoteText"/>
    <w:uiPriority w:val="99"/>
    <w:semiHidden/>
    <w:rsid w:val="005C64BD"/>
  </w:style>
  <w:style w:type="paragraph" w:customStyle="1" w:styleId="a6">
    <w:name w:val="חדשות"/>
    <w:basedOn w:val="Normal"/>
    <w:link w:val="Char"/>
    <w:qFormat/>
    <w:rsid w:val="005C64BD"/>
    <w:rPr>
      <w:sz w:val="16"/>
      <w:szCs w:val="16"/>
    </w:rPr>
  </w:style>
  <w:style w:type="character" w:customStyle="1" w:styleId="Char">
    <w:name w:val="חדשות Char"/>
    <w:link w:val="a6"/>
    <w:rsid w:val="005C64BD"/>
    <w:rPr>
      <w:rFonts w:eastAsia="Tahoma"/>
      <w:sz w:val="16"/>
      <w:szCs w:val="16"/>
    </w:rPr>
  </w:style>
  <w:style w:type="character" w:styleId="FootnoteReference">
    <w:name w:val="footnote reference"/>
    <w:basedOn w:val="DefaultParagraphFont"/>
    <w:uiPriority w:val="99"/>
    <w:semiHidden/>
    <w:unhideWhenUsed/>
    <w:rsid w:val="005C64BD"/>
    <w:rPr>
      <w:vertAlign w:val="superscript"/>
    </w:rPr>
  </w:style>
  <w:style w:type="paragraph" w:styleId="ListParagraph">
    <w:name w:val="List Paragraph"/>
    <w:basedOn w:val="Normal"/>
    <w:uiPriority w:val="34"/>
    <w:rsid w:val="006263ED"/>
    <w:pPr>
      <w:ind w:left="720"/>
      <w:contextualSpacing/>
    </w:pPr>
  </w:style>
  <w:style w:type="character" w:styleId="Hyperlink">
    <w:name w:val="Hyperlink"/>
    <w:basedOn w:val="DefaultParagraphFont"/>
    <w:uiPriority w:val="99"/>
    <w:unhideWhenUsed/>
    <w:rsid w:val="00791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he.wikipedia.org/wiki/%D7%9E%D7%98%D7%91%D7%A2" TargetMode="External"/><Relationship Id="rId1" Type="http://schemas.openxmlformats.org/officeDocument/2006/relationships/hyperlink" Target="http://he.wikipedia.org/wiki/%D7%9B%D7%A1%D7%A3_%D7%A4%D7%99%D7%90%D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4E70-BDE8-4340-A0BB-6F9FF5E6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870</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YoavG</dc:creator>
  <cp:lastModifiedBy>YoavG</cp:lastModifiedBy>
  <cp:revision>89</cp:revision>
  <dcterms:created xsi:type="dcterms:W3CDTF">2013-10-13T07:56:00Z</dcterms:created>
  <dcterms:modified xsi:type="dcterms:W3CDTF">2013-10-13T13:14:00Z</dcterms:modified>
</cp:coreProperties>
</file>