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361" w:rsidRPr="00325361" w:rsidRDefault="00325361" w:rsidP="00325361">
      <w:pPr>
        <w:spacing w:after="240" w:line="276" w:lineRule="auto"/>
        <w:jc w:val="both"/>
        <w:rPr>
          <w:rFonts w:asciiTheme="minorBidi" w:hAnsiTheme="minorBidi" w:cstheme="minorBidi"/>
          <w:b/>
          <w:bCs/>
          <w:sz w:val="36"/>
          <w:szCs w:val="36"/>
          <w:u w:val="single"/>
          <w:rtl/>
        </w:rPr>
      </w:pPr>
      <w:r w:rsidRPr="00325361">
        <w:rPr>
          <w:rFonts w:asciiTheme="minorBidi" w:hAnsiTheme="minorBidi" w:cstheme="minorBidi"/>
          <w:b/>
          <w:bCs/>
          <w:sz w:val="36"/>
          <w:szCs w:val="36"/>
          <w:u w:val="single"/>
          <w:rtl/>
        </w:rPr>
        <w:t xml:space="preserve">ב. הזרע באדם: מציאות בזמן ומעבר לו (יבמות פרק ב, דפים </w:t>
      </w:r>
      <w:proofErr w:type="spellStart"/>
      <w:r w:rsidRPr="00325361">
        <w:rPr>
          <w:rFonts w:asciiTheme="minorBidi" w:hAnsiTheme="minorBidi" w:cstheme="minorBidi"/>
          <w:b/>
          <w:bCs/>
          <w:sz w:val="36"/>
          <w:szCs w:val="36"/>
          <w:u w:val="single"/>
          <w:rtl/>
        </w:rPr>
        <w:t>יז-יח</w:t>
      </w:r>
      <w:proofErr w:type="spellEnd"/>
      <w:r w:rsidRPr="00325361">
        <w:rPr>
          <w:rFonts w:asciiTheme="minorBidi" w:hAnsiTheme="minorBidi" w:cstheme="minorBidi"/>
          <w:b/>
          <w:bCs/>
          <w:sz w:val="36"/>
          <w:szCs w:val="36"/>
          <w:u w:val="single"/>
          <w:rtl/>
        </w:rPr>
        <w:t>)</w:t>
      </w:r>
    </w:p>
    <w:p w:rsidR="00325361" w:rsidRPr="00325361" w:rsidRDefault="00325361" w:rsidP="00325361">
      <w:pPr>
        <w:spacing w:after="240" w:line="276" w:lineRule="auto"/>
        <w:jc w:val="both"/>
        <w:rPr>
          <w:rFonts w:asciiTheme="minorBidi" w:hAnsiTheme="minorBidi" w:cstheme="minorBidi"/>
          <w:b/>
          <w:bCs/>
          <w:sz w:val="28"/>
          <w:szCs w:val="28"/>
          <w:rtl/>
        </w:rPr>
      </w:pPr>
      <w:r w:rsidRPr="00325361">
        <w:rPr>
          <w:rFonts w:asciiTheme="minorBidi" w:hAnsiTheme="minorBidi" w:cstheme="minorBidi"/>
          <w:b/>
          <w:bCs/>
          <w:sz w:val="28"/>
          <w:szCs w:val="28"/>
          <w:rtl/>
        </w:rPr>
        <w:t>השימוש בביטוי "עולם", החוזר ונשנה במסכת יבמות, הוא ביטוי להתקשרות זוגית, קשרי אחים, מרחב וזמן. על גלגול עולמות וגלגול נשמות ועל חתונה מן השמים.</w:t>
      </w:r>
    </w:p>
    <w:p w:rsidR="00325361" w:rsidRPr="00325361" w:rsidRDefault="00325361" w:rsidP="00325361">
      <w:pPr>
        <w:spacing w:after="240" w:line="276" w:lineRule="auto"/>
        <w:jc w:val="both"/>
        <w:rPr>
          <w:rFonts w:asciiTheme="minorBidi" w:hAnsiTheme="minorBidi" w:cstheme="minorBidi"/>
          <w:rtl/>
        </w:rPr>
      </w:pPr>
    </w:p>
    <w:p w:rsidR="00325361" w:rsidRPr="00325361" w:rsidRDefault="00325361" w:rsidP="00325361">
      <w:pPr>
        <w:spacing w:after="240" w:line="276" w:lineRule="auto"/>
        <w:jc w:val="both"/>
        <w:rPr>
          <w:rFonts w:asciiTheme="minorBidi" w:hAnsiTheme="minorBidi" w:cstheme="minorBidi"/>
          <w:b/>
          <w:bCs/>
          <w:u w:val="single"/>
          <w:rtl/>
        </w:rPr>
      </w:pPr>
      <w:r w:rsidRPr="00325361">
        <w:rPr>
          <w:rFonts w:asciiTheme="minorBidi" w:hAnsiTheme="minorBidi" w:cstheme="minorBidi"/>
          <w:b/>
          <w:bCs/>
          <w:u w:val="single"/>
          <w:rtl/>
        </w:rPr>
        <w:t xml:space="preserve">1. עולמו של האדם               </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המשנה הפותחת את הפרק השני משתמשת בביטוי ייחודי לתיאור יחסי אדם שנולד אחר פטירת אחיו לבין אחיו הנפטר – "אחיו [שנפטר] שלא היה בעולמו" (של האח הצעיר שנולד רק לאחר מות אחיו).</w:t>
      </w:r>
      <w:r w:rsidRPr="00325361">
        <w:rPr>
          <w:rStyle w:val="a9"/>
          <w:rFonts w:asciiTheme="minorBidi" w:hAnsiTheme="minorBidi" w:cstheme="minorBidi"/>
          <w:rtl/>
        </w:rPr>
        <w:footnoteReference w:id="1"/>
      </w:r>
      <w:r w:rsidRPr="00325361">
        <w:rPr>
          <w:rFonts w:asciiTheme="minorBidi" w:hAnsiTheme="minorBidi" w:cstheme="minorBidi"/>
          <w:rtl/>
        </w:rPr>
        <w:t xml:space="preserve"> יש כאן ביטוי דק ועדין המדגיש כי לכל אדם יש "עולם"; עולם שהוא חוליה של רצון ומאמץ, שאיפה וחלום. אין לך אדם שאין לו עולם.</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 xml:space="preserve">בתחילת המסכת מצוי ביטוי נוסף המעורר עניין: </w:t>
      </w:r>
    </w:p>
    <w:p w:rsidR="00325361" w:rsidRPr="00325361" w:rsidRDefault="00325361" w:rsidP="00325361">
      <w:pPr>
        <w:spacing w:after="240" w:line="276" w:lineRule="auto"/>
        <w:ind w:left="720"/>
        <w:jc w:val="both"/>
        <w:rPr>
          <w:rFonts w:asciiTheme="minorBidi" w:hAnsiTheme="minorBidi" w:cstheme="minorBidi"/>
          <w:rtl/>
        </w:rPr>
      </w:pPr>
      <w:r w:rsidRPr="00325361">
        <w:rPr>
          <w:rFonts w:asciiTheme="minorBidi" w:hAnsiTheme="minorBidi" w:cstheme="minorBidi"/>
          <w:rtl/>
        </w:rPr>
        <w:t>חמש עשרה נשים [הנמצאות ביחס של איסור עריות ליבם] פוטרות צרותיהן [נשים אחרות הנשואות לאותו גבר] וצרות צרותיהן מן הייבום ומן החליצה עד סוף העולם.</w:t>
      </w:r>
      <w:r w:rsidRPr="00325361">
        <w:rPr>
          <w:rStyle w:val="a9"/>
          <w:rFonts w:asciiTheme="minorBidi" w:hAnsiTheme="minorBidi" w:cstheme="minorBidi"/>
          <w:rtl/>
        </w:rPr>
        <w:footnoteReference w:id="2"/>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 xml:space="preserve">הביטוי "עד סוף העולם" מופיע רק בעוד שלושה הקשרים אחרים בכל המשנה – למשל, במסגרת התיאור במסכת סנהדרין של אזהרות בית הדין לעדים המעידים בדיני נפשות: </w:t>
      </w:r>
    </w:p>
    <w:p w:rsidR="00325361" w:rsidRPr="00325361" w:rsidRDefault="00325361" w:rsidP="00325361">
      <w:pPr>
        <w:spacing w:after="240" w:line="276" w:lineRule="auto"/>
        <w:ind w:left="720"/>
        <w:jc w:val="both"/>
        <w:rPr>
          <w:rFonts w:asciiTheme="minorBidi" w:hAnsiTheme="minorBidi" w:cstheme="minorBidi"/>
          <w:rtl/>
        </w:rPr>
      </w:pPr>
      <w:r w:rsidRPr="00325361">
        <w:rPr>
          <w:rFonts w:asciiTheme="minorBidi" w:hAnsiTheme="minorBidi" w:cstheme="minorBidi"/>
          <w:rtl/>
        </w:rPr>
        <w:t xml:space="preserve">הוו יודעין שלא כדיני ממונות דיני נפשות: דיני ממונות – אדם נותן ממון ומתכפר לו. דיני נפשות – דמו ודם </w:t>
      </w:r>
      <w:proofErr w:type="spellStart"/>
      <w:r w:rsidRPr="00325361">
        <w:rPr>
          <w:rFonts w:asciiTheme="minorBidi" w:hAnsiTheme="minorBidi" w:cstheme="minorBidi"/>
          <w:rtl/>
        </w:rPr>
        <w:t>זרעָיותיו</w:t>
      </w:r>
      <w:proofErr w:type="spellEnd"/>
      <w:r w:rsidRPr="00325361">
        <w:rPr>
          <w:rStyle w:val="a9"/>
          <w:rFonts w:asciiTheme="minorBidi" w:hAnsiTheme="minorBidi" w:cstheme="minorBidi"/>
          <w:rtl/>
        </w:rPr>
        <w:footnoteReference w:id="3"/>
      </w:r>
      <w:r w:rsidRPr="00325361">
        <w:rPr>
          <w:rFonts w:asciiTheme="minorBidi" w:hAnsiTheme="minorBidi" w:cstheme="minorBidi"/>
          <w:rtl/>
        </w:rPr>
        <w:t xml:space="preserve"> [של הנאשם] תלוי בו [בעֵד השקר שהביא להריגתו] עד סוף העולם.</w:t>
      </w:r>
      <w:r w:rsidRPr="00325361">
        <w:rPr>
          <w:rStyle w:val="a9"/>
          <w:rFonts w:asciiTheme="minorBidi" w:hAnsiTheme="minorBidi" w:cstheme="minorBidi"/>
          <w:rtl/>
        </w:rPr>
        <w:footnoteReference w:id="4"/>
      </w:r>
      <w:r w:rsidRPr="00325361">
        <w:rPr>
          <w:rFonts w:asciiTheme="minorBidi" w:hAnsiTheme="minorBidi" w:cstheme="minorBidi"/>
          <w:rtl/>
        </w:rPr>
        <w:t xml:space="preserve"> </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כוונת הביטוי היא "עד סוף הדורות" – אם הנאשם נהרג בשל עדות שקר, הרי שבעדות זו קופחו גם כל דורות זרעו וזרע זרעו. זהו הבסיס לנאמר בהמשך המשנה שם:</w:t>
      </w:r>
    </w:p>
    <w:p w:rsidR="00325361" w:rsidRPr="00325361" w:rsidRDefault="00325361" w:rsidP="00325361">
      <w:pPr>
        <w:spacing w:after="240" w:line="276" w:lineRule="auto"/>
        <w:ind w:left="720"/>
        <w:jc w:val="both"/>
        <w:rPr>
          <w:rFonts w:asciiTheme="minorBidi" w:hAnsiTheme="minorBidi" w:cstheme="minorBidi"/>
          <w:rtl/>
        </w:rPr>
      </w:pPr>
      <w:r w:rsidRPr="00325361">
        <w:rPr>
          <w:rFonts w:asciiTheme="minorBidi" w:hAnsiTheme="minorBidi" w:cstheme="minorBidi"/>
          <w:rtl/>
        </w:rPr>
        <w:t>לפיכך נברא אדם יחידי; ללמדך, שכל המאבד נפש אחת (מישראל), מעלה עליו הכתוב כאלו אִבֵּד עולם מלא. וכל המקַיֵם נפש אחת (מישראל),</w:t>
      </w:r>
      <w:r w:rsidRPr="00325361">
        <w:rPr>
          <w:rStyle w:val="a9"/>
          <w:rFonts w:asciiTheme="minorBidi" w:hAnsiTheme="minorBidi" w:cstheme="minorBidi"/>
          <w:rtl/>
        </w:rPr>
        <w:footnoteReference w:id="5"/>
      </w:r>
      <w:r w:rsidRPr="00325361">
        <w:rPr>
          <w:rFonts w:asciiTheme="minorBidi" w:hAnsiTheme="minorBidi" w:cstheme="minorBidi"/>
          <w:rtl/>
        </w:rPr>
        <w:t xml:space="preserve"> מעלה עליו הכתוב כאלו קִיֵּם עולם מלא.</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lastRenderedPageBreak/>
        <w:t>על רקע זה אפשר להבין את הביטוי "עד סוף העולם" כמתייחס לדורות העולם באופן כללי או לדורות שיבואו בעולם הפרטי של אדם זה.</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הופעה נוספת של הביטוי היא בדברי המשנה במסכת תמורה (פרק ג) המתארת החלת קדושת קרבן על הדורות שייוולדו מוולד שנולד אחרי שבהמה הוקדשה אך קודם שהועלתה למזבח:</w:t>
      </w:r>
    </w:p>
    <w:p w:rsidR="00325361" w:rsidRPr="00325361" w:rsidRDefault="00325361" w:rsidP="00325361">
      <w:pPr>
        <w:spacing w:after="240" w:line="276" w:lineRule="auto"/>
        <w:ind w:left="720"/>
        <w:jc w:val="both"/>
        <w:rPr>
          <w:rFonts w:asciiTheme="minorBidi" w:hAnsiTheme="minorBidi" w:cstheme="minorBidi"/>
          <w:rtl/>
        </w:rPr>
      </w:pPr>
      <w:r w:rsidRPr="00325361">
        <w:rPr>
          <w:rFonts w:asciiTheme="minorBidi" w:hAnsiTheme="minorBidi" w:cstheme="minorBidi"/>
          <w:rtl/>
        </w:rPr>
        <w:t>אלו קדשים שולדותיהן... כיוצא בהן. ולד שלמים... ולדן וולד ולדן, עד סוף העולם – הרי אלו כשלמים, וטעונים (כשלמים) סמיכה ונסכים ותנופה וחזה ושוק.</w:t>
      </w:r>
      <w:r w:rsidRPr="00325361">
        <w:rPr>
          <w:rStyle w:val="a9"/>
          <w:rFonts w:asciiTheme="minorBidi" w:hAnsiTheme="minorBidi" w:cstheme="minorBidi"/>
          <w:rtl/>
        </w:rPr>
        <w:footnoteReference w:id="6"/>
      </w:r>
      <w:r w:rsidRPr="00325361">
        <w:rPr>
          <w:rFonts w:asciiTheme="minorBidi" w:hAnsiTheme="minorBidi" w:cstheme="minorBidi"/>
          <w:rtl/>
        </w:rPr>
        <w:t xml:space="preserve"> </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"עד סוף העולם", אם כן, כולל את כל דורות העתיד שבהשתלשלותם יוצרים את "העולם" הנמצא בפוטנציה באדם או בבהמה, עולם ההולך ובא בהתמלאות הדורות.</w:t>
      </w:r>
      <w:r w:rsidRPr="00325361">
        <w:rPr>
          <w:rStyle w:val="a9"/>
          <w:rFonts w:asciiTheme="minorBidi" w:hAnsiTheme="minorBidi" w:cstheme="minorBidi"/>
          <w:rtl/>
        </w:rPr>
        <w:footnoteReference w:id="7"/>
      </w:r>
      <w:r w:rsidRPr="00325361">
        <w:rPr>
          <w:rFonts w:asciiTheme="minorBidi" w:hAnsiTheme="minorBidi" w:cstheme="minorBidi"/>
          <w:rtl/>
        </w:rPr>
        <w:t xml:space="preserve"> </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לעומת זאת, במשנה הראשונה במסכתנו שלשלת הנשים הצרות זו לזו – "צרות צרותיהן עד סוף העולם" – איננה תיאור של התהוות זמן הדורות. כאן, כל קשרי הנשים "הצרות" מהווים רקמה אחת, מורכבת ככל שתהיה, המחברת בין התקשרות זוגית אחת לשנייה, "בעולם אחד", כלומר, בדור אחד. השימוש בביטוי "עד סוף העולם" בהקשר זה מורה על כך שכל הבתים המקושרים יחד ברקמה זו אמנם הנו מציאות של "עולם אחד", אבל זהו "עולם" המכונן "עולמות", דור אחר דור, "עד סוף העולם". הנשים הרבות, הצרות זו לזו, יוצרות תמונה של זמן דורות הרווי בהיתכנות ריבוי החיים.</w:t>
      </w:r>
      <w:r w:rsidRPr="00325361">
        <w:rPr>
          <w:rStyle w:val="a9"/>
          <w:rFonts w:asciiTheme="minorBidi" w:hAnsiTheme="minorBidi" w:cstheme="minorBidi"/>
          <w:rtl/>
        </w:rPr>
        <w:footnoteReference w:id="8"/>
      </w:r>
      <w:r w:rsidRPr="00325361">
        <w:rPr>
          <w:rFonts w:asciiTheme="minorBidi" w:hAnsiTheme="minorBidi" w:cstheme="minorBidi"/>
          <w:rtl/>
        </w:rPr>
        <w:t xml:space="preserve"> </w:t>
      </w:r>
    </w:p>
    <w:p w:rsidR="00325361" w:rsidRPr="00325361" w:rsidRDefault="00325361" w:rsidP="00325361">
      <w:pPr>
        <w:spacing w:after="240" w:line="276" w:lineRule="auto"/>
        <w:jc w:val="both"/>
        <w:rPr>
          <w:rFonts w:asciiTheme="minorBidi" w:hAnsiTheme="minorBidi" w:cstheme="minorBidi"/>
          <w:rtl/>
        </w:rPr>
      </w:pPr>
    </w:p>
    <w:p w:rsidR="00325361" w:rsidRPr="00325361" w:rsidRDefault="00325361" w:rsidP="00325361">
      <w:pPr>
        <w:spacing w:after="240" w:line="276" w:lineRule="auto"/>
        <w:jc w:val="both"/>
        <w:rPr>
          <w:rFonts w:asciiTheme="minorBidi" w:hAnsiTheme="minorBidi" w:cstheme="minorBidi"/>
          <w:b/>
          <w:bCs/>
          <w:u w:val="single"/>
          <w:rtl/>
        </w:rPr>
      </w:pPr>
      <w:r w:rsidRPr="00325361">
        <w:rPr>
          <w:rFonts w:asciiTheme="minorBidi" w:hAnsiTheme="minorBidi" w:cstheme="minorBidi"/>
          <w:b/>
          <w:bCs/>
          <w:u w:val="single"/>
          <w:rtl/>
        </w:rPr>
        <w:t>2. השתלשלות הדורות ונחלת האדם</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 xml:space="preserve">הסוגיה הראשונה בפרק השני במסכת (דפים </w:t>
      </w:r>
      <w:proofErr w:type="spellStart"/>
      <w:r w:rsidRPr="00325361">
        <w:rPr>
          <w:rFonts w:asciiTheme="minorBidi" w:hAnsiTheme="minorBidi" w:cstheme="minorBidi"/>
          <w:rtl/>
        </w:rPr>
        <w:t>יז-יח</w:t>
      </w:r>
      <w:proofErr w:type="spellEnd"/>
      <w:r w:rsidRPr="00325361">
        <w:rPr>
          <w:rFonts w:asciiTheme="minorBidi" w:hAnsiTheme="minorBidi" w:cstheme="minorBidi"/>
          <w:rtl/>
        </w:rPr>
        <w:t xml:space="preserve">) יונקת ממושגי שורש אלו המתארים את זמן הדורות בחיי משפחה. הגמרא מנמקת את קביעת המשנה שאדם אינו יכול לייבם את אשת "אחיו שלא היה בעולמו" שמת ללא בנים, בכתוב בפרשת הייבום: " 'כי ישבו אחים יחדו' (דברים כה, ה) – </w:t>
      </w:r>
      <w:proofErr w:type="spellStart"/>
      <w:r w:rsidRPr="00325361">
        <w:rPr>
          <w:rFonts w:asciiTheme="minorBidi" w:hAnsiTheme="minorBidi" w:cstheme="minorBidi"/>
          <w:rtl/>
        </w:rPr>
        <w:t>שהיתה</w:t>
      </w:r>
      <w:proofErr w:type="spellEnd"/>
      <w:r w:rsidRPr="00325361">
        <w:rPr>
          <w:rFonts w:asciiTheme="minorBidi" w:hAnsiTheme="minorBidi" w:cstheme="minorBidi"/>
          <w:rtl/>
        </w:rPr>
        <w:t xml:space="preserve"> להם ישיבה אחת בעולם" ("עולם" במובן של מרחב ולא של זמן).</w:t>
      </w:r>
      <w:r w:rsidRPr="00325361">
        <w:rPr>
          <w:rStyle w:val="a9"/>
          <w:rFonts w:asciiTheme="minorBidi" w:hAnsiTheme="minorBidi" w:cstheme="minorBidi"/>
          <w:rtl/>
        </w:rPr>
        <w:footnoteReference w:id="9"/>
      </w:r>
      <w:r w:rsidRPr="00325361">
        <w:rPr>
          <w:rFonts w:asciiTheme="minorBidi" w:hAnsiTheme="minorBidi" w:cstheme="minorBidi"/>
          <w:rtl/>
        </w:rPr>
        <w:t xml:space="preserve"> היות שמצות הייבום מותנית בישיבה משותפת בנחלה ("מיוחדים בנחלה"),</w:t>
      </w:r>
      <w:r w:rsidRPr="00325361">
        <w:rPr>
          <w:rStyle w:val="a9"/>
          <w:rFonts w:asciiTheme="minorBidi" w:hAnsiTheme="minorBidi" w:cstheme="minorBidi"/>
          <w:rtl/>
        </w:rPr>
        <w:footnoteReference w:id="10"/>
      </w:r>
      <w:r w:rsidRPr="00325361">
        <w:rPr>
          <w:rFonts w:asciiTheme="minorBidi" w:hAnsiTheme="minorBidi" w:cstheme="minorBidi"/>
          <w:rtl/>
        </w:rPr>
        <w:t xml:space="preserve"> מעשה </w:t>
      </w:r>
      <w:proofErr w:type="spellStart"/>
      <w:r w:rsidRPr="00325361">
        <w:rPr>
          <w:rFonts w:asciiTheme="minorBidi" w:hAnsiTheme="minorBidi" w:cstheme="minorBidi"/>
          <w:rtl/>
        </w:rPr>
        <w:t>המצוה</w:t>
      </w:r>
      <w:proofErr w:type="spellEnd"/>
      <w:r w:rsidRPr="00325361">
        <w:rPr>
          <w:rFonts w:asciiTheme="minorBidi" w:hAnsiTheme="minorBidi" w:cstheme="minorBidi"/>
          <w:rtl/>
        </w:rPr>
        <w:t xml:space="preserve"> יכול להתממש רק כאשר עולמו (בזמן) של האח המייבם חופף, לפחות בכלשהו, לעולמו של האח שמת. </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lastRenderedPageBreak/>
        <w:t xml:space="preserve">נדמה שזוהי הסיבה שבשונה מארבע עשרה הדוגמאות האחרות "הפוטרות את צרותיהן" על פי המשנה הפותחת את המסכת, ייחד עורך המשנה למקרה של "אחיו שלא היה בעולמו" משנה מיוחדת, משנה הפותחת פרק חדש במסכתנו. בפתיחה זו בעניין "אחיו שלא היה בעולמו" ניתנת הגדרה לסוד "הנחלה" המהווה, בהשתלשלות הדיון לנושאים נוספים, בסיס לסוגיה החושפת משהו ממהותה של מצוַת ייבום ושל קדושת המשפחה. </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הסוגיה, המרחיבה את הדיון שבמשנה, מבחינה בין ארבעה סוגי התקשרות משפחתית שנראים לכאורה כמתאימים להוות מסגרת הלכתית למצות ייבום: קרבת אחווה קרובה, כלומר אחים מאב ואם; קרבת אחווה שבהלכות נחלה וירושה, כלומר, אחים רק מאב ולא מאם; קרבה משפחתית רחבה המוגדרת באיסורי העריות, דוגמת קרבת הורות, ילדות ועוד; וקרבת אחווה רחוקה הכוללת למשל בני דודים וכדומה.</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הגמרא מדגישה שמצות ייבום תקפה רק באחווה שבהלכות ירושה ונחלה, כלומר אחווה מאב, וכך ממקדת את שורש ההזדקקות המיוחד בין אחים המאפשר (ומחייב) ייבום. מצות הייבום אינה נובעת מהאינטימיות של אחוות אחים – מה שהיה מחייב ייבום בין  אחים מאב ומאם; או ממושגי היסוד של קדושת ישראל הקובעים את גבולות הזוגיות באיסורי עריות – מה שהיה מאפשר למשל ייבום על ידי אב; ואף לא מרצון להשתרשות בקרקע וקביעת נחלה המחבר בין ענפים שונים במשפחה הרחבה – מה היה מאפשר ייבום אף בין בני דודים. אז מה הוא, אם כן, פִּשרה של מצות ייבום, בחינת "כִּי יֵשְׁבוּ אַחִים יַחְדָּו"</w:t>
      </w:r>
      <w:r w:rsidRPr="00325361">
        <w:rPr>
          <w:rStyle w:val="a9"/>
          <w:rFonts w:asciiTheme="minorBidi" w:hAnsiTheme="minorBidi" w:cstheme="minorBidi"/>
          <w:rtl/>
        </w:rPr>
        <w:footnoteReference w:id="11"/>
      </w:r>
      <w:r w:rsidRPr="00325361">
        <w:rPr>
          <w:rFonts w:asciiTheme="minorBidi" w:hAnsiTheme="minorBidi" w:cstheme="minorBidi"/>
          <w:rtl/>
        </w:rPr>
        <w:t xml:space="preserve"> – חיי אחים מאב בצוותא בנחלה משפחתית?</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בשם החכם רבה הגמרא מציעה כמודל ליחסים המחייבים מצות ייבום את יחסי האחווה שבפסוק: "וַיֹּאמְרוּ שְׁנֵים עָשָׂר עֲבָדֶיךָ אַחִים אֲנַחְנוּ בְּנֵי אִישׁ אֶחָד בְּאֶרֶץ כְּנָעַן וְהִנֵּה הַקָּטֹן אֶת אָבִינוּ הַיּוֹם וְהָאֶחָד אֵינֶנּוּ".</w:t>
      </w:r>
      <w:r w:rsidRPr="00325361">
        <w:rPr>
          <w:rStyle w:val="a9"/>
          <w:rFonts w:asciiTheme="minorBidi" w:hAnsiTheme="minorBidi" w:cstheme="minorBidi"/>
          <w:rtl/>
        </w:rPr>
        <w:footnoteReference w:id="12"/>
      </w:r>
      <w:r w:rsidRPr="00325361">
        <w:rPr>
          <w:rFonts w:asciiTheme="minorBidi" w:hAnsiTheme="minorBidi" w:cstheme="minorBidi"/>
          <w:rtl/>
        </w:rPr>
        <w:t xml:space="preserve"> אחווה זו של בני אב אחד וארבע אימהות שונות לא </w:t>
      </w:r>
      <w:proofErr w:type="spellStart"/>
      <w:r w:rsidRPr="00325361">
        <w:rPr>
          <w:rFonts w:asciiTheme="minorBidi" w:hAnsiTheme="minorBidi" w:cstheme="minorBidi"/>
          <w:rtl/>
        </w:rPr>
        <w:t>היתה</w:t>
      </w:r>
      <w:proofErr w:type="spellEnd"/>
      <w:r w:rsidRPr="00325361">
        <w:rPr>
          <w:rFonts w:asciiTheme="minorBidi" w:hAnsiTheme="minorBidi" w:cstheme="minorBidi"/>
          <w:rtl/>
        </w:rPr>
        <w:t xml:space="preserve"> רק אחווה של אחיזה בקרקע, של נחלה רק במובן הפיזי, שמעבדים אותה במשותף. שנים עשר אחים אלו היוו בסיס לעולמות רבים שיבואו בהמשך, אשר יחד יעצבו בית נאמן לשורשו "עד סוף העולם". הישיבה המשותפת בנחלה מהווה שותפות ב"עולם רוחני אחד" שנבנה מתוך שלשלת העולמות של בית יעקב, התהוות לאורך זמן של רצונות ומאמצים, שאיפות וחלומות, שהיו פירוט רב של יסוד האב, יעקב. הנחלה הפיזית, ההשתרשות בקרקע משותפת, מאפשרת מימוש של עולם רוחני. זהו המובן המלא של נחלה.</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 xml:space="preserve">במסגרת תורת הגמול שבמקרא אפשר לזהות משהו מתפיסת זמן זו המדגישה את הזיקה החיה בין "העולם" של דור אחד ל"עולם" של הדור הבא אחריו, תפיסה היונקת מתשתית קיום הבית לדורותיו. תמיד מוזכר שכר האדם דווקא בעולם הזה, כמו למשל: "לְמַעַן יִרְבּוּ יְמֵיכֶם וִימֵי בְנֵיכֶם עַל הָאֲדָמָה אֲשֶׁר נִשְׁבַּע ה' </w:t>
      </w:r>
      <w:proofErr w:type="spellStart"/>
      <w:r w:rsidRPr="00325361">
        <w:rPr>
          <w:rFonts w:asciiTheme="minorBidi" w:hAnsiTheme="minorBidi" w:cstheme="minorBidi"/>
          <w:rtl/>
        </w:rPr>
        <w:t>לַאֲבֹתֵיכֶם</w:t>
      </w:r>
      <w:proofErr w:type="spellEnd"/>
      <w:r w:rsidRPr="00325361">
        <w:rPr>
          <w:rFonts w:asciiTheme="minorBidi" w:hAnsiTheme="minorBidi" w:cstheme="minorBidi"/>
          <w:rtl/>
        </w:rPr>
        <w:t xml:space="preserve"> לָתֵת לָהֶם כִּימֵי הַשָּׁמַיִם עַל הָאָרֶץ".</w:t>
      </w:r>
      <w:r w:rsidRPr="00325361">
        <w:rPr>
          <w:rStyle w:val="a9"/>
          <w:rFonts w:asciiTheme="minorBidi" w:hAnsiTheme="minorBidi" w:cstheme="minorBidi"/>
          <w:rtl/>
        </w:rPr>
        <w:footnoteReference w:id="13"/>
      </w:r>
      <w:r w:rsidRPr="00325361">
        <w:rPr>
          <w:rFonts w:asciiTheme="minorBidi" w:hAnsiTheme="minorBidi" w:cstheme="minorBidi"/>
          <w:rtl/>
        </w:rPr>
        <w:t xml:space="preserve"> במובן זה, "העולם הבא" של כל אדם הנו הדורות הבאים הממשיכים אותו בקיום נחלה, כאשר משמעה של נחלה הוא המשך צורת החיים של האב לפני ה' באופן המקיים את נחלת הארץ הממשית. כך מתהווה המשך קיומו </w:t>
      </w:r>
      <w:r w:rsidRPr="00325361">
        <w:rPr>
          <w:rFonts w:asciiTheme="minorBidi" w:hAnsiTheme="minorBidi" w:cstheme="minorBidi"/>
          <w:rtl/>
        </w:rPr>
        <w:lastRenderedPageBreak/>
        <w:t>של הדור שהלך ונעלם – ולמעשה אין דור שנעלם אם זרעו וזרע זרעו קיימים "עַל הָאֲדָמָה אֲשֶׁר נִשְׁבַּע ה' ".</w:t>
      </w:r>
      <w:r w:rsidRPr="00325361">
        <w:rPr>
          <w:rStyle w:val="a9"/>
          <w:rFonts w:asciiTheme="minorBidi" w:hAnsiTheme="minorBidi" w:cstheme="minorBidi"/>
          <w:rtl/>
        </w:rPr>
        <w:footnoteReference w:id="14"/>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זהו הרקע למה שנראה כבלתי רציונאליות המובהקת של מצוות ייבום. אח שמקיים את שמו של אחיו, בבחינת "וְלֹא יִמָּחֶה שְׁמוֹ מִיִּשְׂרָאֵל",</w:t>
      </w:r>
      <w:r w:rsidRPr="00325361">
        <w:rPr>
          <w:rStyle w:val="a9"/>
          <w:rFonts w:asciiTheme="minorBidi" w:hAnsiTheme="minorBidi" w:cstheme="minorBidi"/>
          <w:rtl/>
        </w:rPr>
        <w:footnoteReference w:id="15"/>
      </w:r>
      <w:r w:rsidRPr="00325361">
        <w:rPr>
          <w:rFonts w:asciiTheme="minorBidi" w:hAnsiTheme="minorBidi" w:cstheme="minorBidi"/>
          <w:rtl/>
        </w:rPr>
        <w:t xml:space="preserve"> נותן לו למעשה את ה"עולם הבא" שלו. זרעו וזרע </w:t>
      </w:r>
      <w:proofErr w:type="spellStart"/>
      <w:r w:rsidRPr="00325361">
        <w:rPr>
          <w:rFonts w:asciiTheme="minorBidi" w:hAnsiTheme="minorBidi" w:cstheme="minorBidi"/>
          <w:rtl/>
        </w:rPr>
        <w:t>זרעיותיו</w:t>
      </w:r>
      <w:proofErr w:type="spellEnd"/>
      <w:r w:rsidRPr="00325361">
        <w:rPr>
          <w:rFonts w:asciiTheme="minorBidi" w:hAnsiTheme="minorBidi" w:cstheme="minorBidi"/>
          <w:rtl/>
        </w:rPr>
        <w:t xml:space="preserve"> של הנפטר ללא בנים ישתלשלו "עד סוף העולם" בחסדם של אחיו ושל אשתו. זהו גלגול העולמות מדור דור, מרקם אחווה של שותפות בנחלה במובן הרחב בזמן המתהווה והמתמשך. </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הרמב"ן בפירושו לפרשת הייבום של תמר ואונן לאחר מותו של ער בכור יהודה, מפרש את מעשה הייבום כהמשכיות של חיי האח שנפטר, והוא טוען שיש בו "סוד גדול מסודות התורה בתולדת האדם... יש תועלת גדולה בייבום האח".</w:t>
      </w:r>
      <w:r w:rsidRPr="00325361">
        <w:rPr>
          <w:rStyle w:val="a9"/>
          <w:rFonts w:asciiTheme="minorBidi" w:hAnsiTheme="minorBidi" w:cstheme="minorBidi"/>
          <w:rtl/>
        </w:rPr>
        <w:footnoteReference w:id="16"/>
      </w:r>
      <w:r w:rsidRPr="00325361">
        <w:rPr>
          <w:rFonts w:asciiTheme="minorBidi" w:hAnsiTheme="minorBidi" w:cstheme="minorBidi"/>
          <w:rtl/>
        </w:rPr>
        <w:t xml:space="preserve"> הוא מכוון, ככל הנראה, על מה שקרוי בפינו "גלגול נשמות", מושג שהתפתח מאוד בעולמה של הקבלה. הרמב"ן טוען שבשל חשיבות העניין, התורה התירה את איסור אשת אח לשם מטרה נעלה זו: </w:t>
      </w:r>
    </w:p>
    <w:p w:rsidR="00325361" w:rsidRPr="00325361" w:rsidRDefault="00325361" w:rsidP="00325361">
      <w:pPr>
        <w:spacing w:after="240" w:line="276" w:lineRule="auto"/>
        <w:ind w:left="720"/>
        <w:jc w:val="both"/>
        <w:rPr>
          <w:rFonts w:asciiTheme="minorBidi" w:hAnsiTheme="minorBidi" w:cstheme="minorBidi"/>
          <w:rtl/>
        </w:rPr>
      </w:pPr>
      <w:r w:rsidRPr="00325361">
        <w:rPr>
          <w:rFonts w:asciiTheme="minorBidi" w:hAnsiTheme="minorBidi" w:cstheme="minorBidi"/>
          <w:rtl/>
        </w:rPr>
        <w:t xml:space="preserve">וכאשר באתה התורה ואסרה אשת קצת הקרובים, רצה הקב"ה להתיר איסור אשת האח מפני </w:t>
      </w:r>
      <w:proofErr w:type="spellStart"/>
      <w:r w:rsidRPr="00325361">
        <w:rPr>
          <w:rFonts w:asciiTheme="minorBidi" w:hAnsiTheme="minorBidi" w:cstheme="minorBidi"/>
          <w:rtl/>
        </w:rPr>
        <w:t>היבום</w:t>
      </w:r>
      <w:proofErr w:type="spellEnd"/>
      <w:r w:rsidRPr="00325361">
        <w:rPr>
          <w:rFonts w:asciiTheme="minorBidi" w:hAnsiTheme="minorBidi" w:cstheme="minorBidi"/>
          <w:rtl/>
        </w:rPr>
        <w:t>, ולא רצה שידָחה [הייבום] מפניו איסור אשת אחי האב והבן וזולתם, כי באח הורגל הדבר ותועלת קרובה ולא בהם.</w:t>
      </w:r>
      <w:r w:rsidRPr="00325361">
        <w:rPr>
          <w:rStyle w:val="a9"/>
          <w:rFonts w:asciiTheme="minorBidi" w:hAnsiTheme="minorBidi" w:cstheme="minorBidi"/>
          <w:rtl/>
        </w:rPr>
        <w:footnoteReference w:id="17"/>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נראה שפשט הכתובים מלמד, שהמשכיות חיי אח שנפטר היא בקיום זרעו בתשתית חיותם-נפשותיהם של בני הדורות הבאים; זרעו הוא המהווה המשך לקיומו לאחר מיתתו. "סוד הייבום" הוא שזרע האח החי המייבם יכול להוות תחליף לזרע האח שנפטר, זאת כדי לכונן את המשך השתלשלות עולמו של האח הנפטר "עד סוף העולם".</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זהו עומק מושג שותפות האחווה בנחלת אבות.</w:t>
      </w:r>
    </w:p>
    <w:p w:rsidR="00325361" w:rsidRPr="00325361" w:rsidRDefault="00325361" w:rsidP="00325361">
      <w:pPr>
        <w:spacing w:after="240" w:line="276" w:lineRule="auto"/>
        <w:jc w:val="both"/>
        <w:rPr>
          <w:rFonts w:asciiTheme="minorBidi" w:hAnsiTheme="minorBidi" w:cstheme="minorBidi"/>
          <w:rtl/>
        </w:rPr>
      </w:pPr>
    </w:p>
    <w:p w:rsidR="00325361" w:rsidRPr="00325361" w:rsidRDefault="00325361" w:rsidP="00325361">
      <w:pPr>
        <w:spacing w:after="240" w:line="276" w:lineRule="auto"/>
        <w:jc w:val="both"/>
        <w:rPr>
          <w:rFonts w:asciiTheme="minorBidi" w:hAnsiTheme="minorBidi" w:cstheme="minorBidi"/>
          <w:b/>
          <w:bCs/>
          <w:u w:val="single"/>
          <w:rtl/>
        </w:rPr>
      </w:pPr>
      <w:r w:rsidRPr="00325361">
        <w:rPr>
          <w:rFonts w:asciiTheme="minorBidi" w:hAnsiTheme="minorBidi" w:cstheme="minorBidi"/>
          <w:b/>
          <w:bCs/>
          <w:u w:val="single"/>
          <w:rtl/>
        </w:rPr>
        <w:t>3. זיקת ייבום – בין שמים וארץ, בין א-לוהים ואדם</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לאחר העמדת מושג "הנחלה" בהקשר של מצות ייבום, הגמרא מבררת את אופיו של המנוף התורני, המסוגל לכונן שותפות שכזאת בנחלה שתאפשר לאח חי להקנות לאח הנפטר את המשך קיומו בדורות הבאים. מי יוצר את קשר הנישואין בין האח החי, היבם, לבין אשתו של האח המת? ומה אופי הקשר – הזיקה – בין היבמה ליבם עוד לפני הייבום? המשנה הראשונה במסכת קידושין קובעת: "היבמה נקנית בביאה, וקונה את עצמה בחליצה ובמיתת היבם".</w:t>
      </w:r>
      <w:r w:rsidRPr="00325361">
        <w:rPr>
          <w:rStyle w:val="a9"/>
          <w:rFonts w:asciiTheme="minorBidi" w:hAnsiTheme="minorBidi" w:cstheme="minorBidi"/>
          <w:rtl/>
        </w:rPr>
        <w:footnoteReference w:id="18"/>
      </w:r>
      <w:r w:rsidRPr="00325361">
        <w:rPr>
          <w:rFonts w:asciiTheme="minorBidi" w:hAnsiTheme="minorBidi" w:cstheme="minorBidi"/>
          <w:rtl/>
        </w:rPr>
        <w:t xml:space="preserve"> בקביעה זו טמון פרדוקס ברור. אם היבמה "נקנית בביאה", משמע שלא קיים </w:t>
      </w:r>
      <w:r w:rsidRPr="00325361">
        <w:rPr>
          <w:rFonts w:asciiTheme="minorBidi" w:hAnsiTheme="minorBidi" w:cstheme="minorBidi"/>
          <w:rtl/>
        </w:rPr>
        <w:lastRenderedPageBreak/>
        <w:t>מעמד של אישות לפני מעשה הייבום; אם כן, ממי היא "קונה את עצמה" במעשה החליצה של היבם או במיתתו? לא מהיבם, שלא עשה שום מעשה של קיום אישות, וגם לא מהאח המת, שהרי היא "קנתה את עצמה" ממנו בשעת מיתתו.</w:t>
      </w:r>
      <w:r w:rsidRPr="00325361">
        <w:rPr>
          <w:rStyle w:val="a9"/>
          <w:rFonts w:asciiTheme="minorBidi" w:hAnsiTheme="minorBidi" w:cstheme="minorBidi"/>
          <w:rtl/>
        </w:rPr>
        <w:footnoteReference w:id="19"/>
      </w:r>
      <w:r w:rsidRPr="00325361">
        <w:rPr>
          <w:rFonts w:asciiTheme="minorBidi" w:hAnsiTheme="minorBidi" w:cstheme="minorBidi"/>
          <w:rtl/>
        </w:rPr>
        <w:t xml:space="preserve"> </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חכמי התלמוד השתמשו בביטוי "זיקת ייבום" לתאר מצב שבו מתהווה קשר של זוגיות ללא מעשה של אדם וללא אישות במובן המלא. זיקה זו מתוארת במשנה באופן מפתיע כ"אשה שהקנו לו (ליבם) מן השמים".</w:t>
      </w:r>
      <w:r w:rsidRPr="00325361">
        <w:rPr>
          <w:rStyle w:val="a9"/>
          <w:rFonts w:asciiTheme="minorBidi" w:hAnsiTheme="minorBidi" w:cstheme="minorBidi"/>
          <w:rtl/>
        </w:rPr>
        <w:footnoteReference w:id="20"/>
      </w:r>
      <w:r w:rsidRPr="00325361">
        <w:rPr>
          <w:rFonts w:asciiTheme="minorBidi" w:hAnsiTheme="minorBidi" w:cstheme="minorBidi"/>
          <w:rtl/>
        </w:rPr>
        <w:t xml:space="preserve"> בעצם פטירתו של אח ללא בנים מתהווה קשר אישות בין האח החי לבין אשת המת – קשר שא-לוהים, מי שחיות הנבראים, סוד הזרע שבמעיים, נמצאת בידו – הוא </w:t>
      </w:r>
      <w:proofErr w:type="spellStart"/>
      <w:r w:rsidRPr="00325361">
        <w:rPr>
          <w:rFonts w:asciiTheme="minorBidi" w:hAnsiTheme="minorBidi" w:cstheme="minorBidi"/>
          <w:rtl/>
        </w:rPr>
        <w:t>המביאו</w:t>
      </w:r>
      <w:proofErr w:type="spellEnd"/>
      <w:r w:rsidRPr="00325361">
        <w:rPr>
          <w:rFonts w:asciiTheme="minorBidi" w:hAnsiTheme="minorBidi" w:cstheme="minorBidi"/>
          <w:rtl/>
        </w:rPr>
        <w:t xml:space="preserve"> לכדי קיום. במובן זה, מצות ייבום מבטאת את הרצון הא-</w:t>
      </w:r>
      <w:proofErr w:type="spellStart"/>
      <w:r w:rsidRPr="00325361">
        <w:rPr>
          <w:rFonts w:asciiTheme="minorBidi" w:hAnsiTheme="minorBidi" w:cstheme="minorBidi"/>
          <w:rtl/>
        </w:rPr>
        <w:t>לוהי</w:t>
      </w:r>
      <w:proofErr w:type="spellEnd"/>
      <w:r w:rsidRPr="00325361">
        <w:rPr>
          <w:rFonts w:asciiTheme="minorBidi" w:hAnsiTheme="minorBidi" w:cstheme="minorBidi"/>
          <w:rtl/>
        </w:rPr>
        <w:t xml:space="preserve"> בהקמת בתים שיתקיימו "עד סוף העולם". ביאת היבם עם היבמה מממשת קשר אישות שקיים זה מכבר; היא איננה מעשה היוצר מציאות של אישות חדשה כמו בביאה לשם קידושין, והחליצה היא סוג של גירושין מיחסי אישות שהיבם לא מימש בה את המעשה הא-</w:t>
      </w:r>
      <w:proofErr w:type="spellStart"/>
      <w:r w:rsidRPr="00325361">
        <w:rPr>
          <w:rFonts w:asciiTheme="minorBidi" w:hAnsiTheme="minorBidi" w:cstheme="minorBidi"/>
          <w:rtl/>
        </w:rPr>
        <w:t>לוהי</w:t>
      </w:r>
      <w:proofErr w:type="spellEnd"/>
      <w:r w:rsidRPr="00325361">
        <w:rPr>
          <w:rFonts w:asciiTheme="minorBidi" w:hAnsiTheme="minorBidi" w:cstheme="minorBidi"/>
          <w:rtl/>
        </w:rPr>
        <w:t xml:space="preserve"> של "קניין משמים". במובן זה, מצות ייבום מבטאת בשורשה את הרצון הא-</w:t>
      </w:r>
      <w:proofErr w:type="spellStart"/>
      <w:r w:rsidRPr="00325361">
        <w:rPr>
          <w:rFonts w:asciiTheme="minorBidi" w:hAnsiTheme="minorBidi" w:cstheme="minorBidi"/>
          <w:rtl/>
        </w:rPr>
        <w:t>לוהי</w:t>
      </w:r>
      <w:proofErr w:type="spellEnd"/>
      <w:r w:rsidRPr="00325361">
        <w:rPr>
          <w:rFonts w:asciiTheme="minorBidi" w:hAnsiTheme="minorBidi" w:cstheme="minorBidi"/>
          <w:rtl/>
        </w:rPr>
        <w:t xml:space="preserve"> בבתים שיתקיימו "עד סוף העולם".</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 xml:space="preserve">מציאות מיוחדת זו מעוררת שאלה עקרונית: האם קשר אישות שבזיקת הייבום עוד לפני ביאת היבם והיבמה, קשר שנוצר על ידי א-לוהים ללא מעשה אנושי, יוצר משפחה במובן ההלכתי והחברתי? האם קשר זה יוצר איסורי עריות הנוצרים מקשר קידושין? למשל, האם האימא של היבמה אסורה ליבָם לצמיתות מדין איסורי עריות, כמו ביחסי אישות שבני אדם מכוננים ביניהם? שאלה זו עוררה אחד הוויכוחים העמוקים והעקרוניים בין חכמי התלמוד בשאלה: האם קדושת האישות היא מהות שרק א-לוהים מסוגל לכונן או שהיא פרי יצירה של רצון האדם? </w:t>
      </w:r>
    </w:p>
    <w:p w:rsidR="00325361" w:rsidRPr="00325361" w:rsidRDefault="00325361" w:rsidP="00EB2CF3">
      <w:pPr>
        <w:spacing w:after="240" w:line="276" w:lineRule="auto"/>
        <w:jc w:val="both"/>
        <w:rPr>
          <w:rFonts w:asciiTheme="minorBidi" w:hAnsiTheme="minorBidi" w:cstheme="minorBidi"/>
          <w:rtl/>
        </w:rPr>
      </w:pPr>
      <w:r w:rsidRPr="00325361">
        <w:rPr>
          <w:rFonts w:asciiTheme="minorBidi" w:hAnsiTheme="minorBidi" w:cstheme="minorBidi"/>
          <w:rtl/>
        </w:rPr>
        <w:t>באחד הפרקים הבאים נברר את העיקרון שמעשה הקידושין, לפי ההלכה, חייב לבטא הסכמת רצונות של שני צדדים חופשיים בכדי לכונן אישות, ועל כן רק בכינון קשר אישות על ידי מעשה קניין יכולה להתממש קדושת אישות. הסוגיה הראשונה במסכת קידושין טורחת להוכיח שמעשה הקניין בקידושין שונה במהותו משתי צורות ההתקשרות האחרות בין איש לאשה האפשריות על פי התורה, היות שבשני המקרים האחרים ישנו מרכיב מרכזי של כפייה: הייבום – בו שורש הכפייה הוא במצוות הבורא, ואמה עבריה – בו שורש הכפייה הוא אנושי.</w:t>
      </w:r>
      <w:r w:rsidRPr="00325361">
        <w:rPr>
          <w:rStyle w:val="a9"/>
          <w:rFonts w:asciiTheme="minorBidi" w:hAnsiTheme="minorBidi" w:cstheme="minorBidi"/>
          <w:rtl/>
        </w:rPr>
        <w:footnoteReference w:id="21"/>
      </w:r>
      <w:r w:rsidRPr="00325361">
        <w:rPr>
          <w:rFonts w:asciiTheme="minorBidi" w:hAnsiTheme="minorBidi" w:cstheme="minorBidi"/>
          <w:rtl/>
        </w:rPr>
        <w:t xml:space="preserve"> על רקע זה, האפשרות של יצירת קדושת אישות בתקופה שבין מיתת אח ללא בנים לבין ביאת היבם והיבמה נראית כאנומליה מוחלטת.</w:t>
      </w:r>
    </w:p>
    <w:p w:rsidR="00325361" w:rsidRPr="00325361" w:rsidRDefault="00325361" w:rsidP="00325361">
      <w:pPr>
        <w:spacing w:after="240" w:line="276" w:lineRule="auto"/>
        <w:jc w:val="both"/>
        <w:rPr>
          <w:rFonts w:asciiTheme="minorBidi" w:hAnsiTheme="minorBidi" w:cstheme="minorBidi"/>
          <w:rtl/>
        </w:rPr>
      </w:pPr>
      <w:r w:rsidRPr="00325361">
        <w:rPr>
          <w:rFonts w:asciiTheme="minorBidi" w:hAnsiTheme="minorBidi" w:cstheme="minorBidi"/>
          <w:rtl/>
        </w:rPr>
        <w:t>אסכם כמה יסודות בדיון העקרוני העוסק באנומליה זו שבסוגיות הפותחות את הפרק השני בשני התלמודים.</w:t>
      </w:r>
      <w:r w:rsidRPr="00325361">
        <w:rPr>
          <w:rStyle w:val="a9"/>
          <w:rFonts w:asciiTheme="minorBidi" w:hAnsiTheme="minorBidi" w:cstheme="minorBidi"/>
          <w:rtl/>
        </w:rPr>
        <w:footnoteReference w:id="22"/>
      </w:r>
      <w:r w:rsidRPr="00325361">
        <w:rPr>
          <w:rFonts w:asciiTheme="minorBidi" w:hAnsiTheme="minorBidi" w:cstheme="minorBidi"/>
          <w:rtl/>
        </w:rPr>
        <w:t xml:space="preserve"> יסודות אלו משקפים תפיסות עולם עקרוניות ביותר של חכמי התלמוד על מהותה של קדושת המשפחה:</w:t>
      </w:r>
    </w:p>
    <w:p w:rsidR="00325361" w:rsidRPr="00325361" w:rsidRDefault="00325361" w:rsidP="00325361">
      <w:pPr>
        <w:numPr>
          <w:ilvl w:val="0"/>
          <w:numId w:val="2"/>
        </w:numPr>
        <w:spacing w:after="240" w:line="276" w:lineRule="auto"/>
        <w:jc w:val="both"/>
        <w:rPr>
          <w:rFonts w:asciiTheme="minorBidi" w:hAnsiTheme="minorBidi" w:cstheme="minorBidi"/>
        </w:rPr>
      </w:pPr>
      <w:r w:rsidRPr="00325361">
        <w:rPr>
          <w:rFonts w:asciiTheme="minorBidi" w:hAnsiTheme="minorBidi" w:cstheme="minorBidi"/>
          <w:rtl/>
        </w:rPr>
        <w:t>חכמי המשנה והגמרא נחלקו לאורך לפחות שבעה דורות,</w:t>
      </w:r>
      <w:r w:rsidRPr="00325361">
        <w:rPr>
          <w:rStyle w:val="a9"/>
          <w:rFonts w:asciiTheme="minorBidi" w:hAnsiTheme="minorBidi" w:cstheme="minorBidi"/>
          <w:rtl/>
        </w:rPr>
        <w:footnoteReference w:id="23"/>
      </w:r>
      <w:r w:rsidRPr="00325361">
        <w:rPr>
          <w:rFonts w:asciiTheme="minorBidi" w:hAnsiTheme="minorBidi" w:cstheme="minorBidi"/>
          <w:rtl/>
        </w:rPr>
        <w:t xml:space="preserve"> אם זיקת ייבום יוצרת מסגרת משפחתית של איסורי עריות כמו משפחה שנוצרה במעשה אנושי של קניין קידושין. השיטות הקוטביות שביסוד המחלוקת הן: [א] "אין זיקה" (רב </w:t>
      </w:r>
      <w:proofErr w:type="spellStart"/>
      <w:r w:rsidRPr="00325361">
        <w:rPr>
          <w:rFonts w:asciiTheme="minorBidi" w:hAnsiTheme="minorBidi" w:cstheme="minorBidi"/>
          <w:rtl/>
        </w:rPr>
        <w:t>הונא</w:t>
      </w:r>
      <w:proofErr w:type="spellEnd"/>
      <w:r w:rsidRPr="00325361">
        <w:rPr>
          <w:rFonts w:asciiTheme="minorBidi" w:hAnsiTheme="minorBidi" w:cstheme="minorBidi"/>
          <w:rtl/>
        </w:rPr>
        <w:t xml:space="preserve"> אמר רב) </w:t>
      </w:r>
      <w:r w:rsidRPr="00325361">
        <w:rPr>
          <w:rFonts w:asciiTheme="minorBidi" w:hAnsiTheme="minorBidi" w:cstheme="minorBidi"/>
          <w:rtl/>
        </w:rPr>
        <w:lastRenderedPageBreak/>
        <w:t xml:space="preserve">– כלומר, </w:t>
      </w:r>
      <w:proofErr w:type="spellStart"/>
      <w:r w:rsidRPr="00325361">
        <w:rPr>
          <w:rFonts w:asciiTheme="minorBidi" w:hAnsiTheme="minorBidi" w:cstheme="minorBidi"/>
          <w:rtl/>
        </w:rPr>
        <w:t>המצוה</w:t>
      </w:r>
      <w:proofErr w:type="spellEnd"/>
      <w:r w:rsidRPr="00325361">
        <w:rPr>
          <w:rFonts w:asciiTheme="minorBidi" w:hAnsiTheme="minorBidi" w:cstheme="minorBidi"/>
          <w:rtl/>
        </w:rPr>
        <w:t xml:space="preserve"> הא-</w:t>
      </w:r>
      <w:proofErr w:type="spellStart"/>
      <w:r w:rsidRPr="00325361">
        <w:rPr>
          <w:rFonts w:asciiTheme="minorBidi" w:hAnsiTheme="minorBidi" w:cstheme="minorBidi"/>
          <w:rtl/>
        </w:rPr>
        <w:t>לוהית</w:t>
      </w:r>
      <w:proofErr w:type="spellEnd"/>
      <w:r w:rsidRPr="00325361">
        <w:rPr>
          <w:rFonts w:asciiTheme="minorBidi" w:hAnsiTheme="minorBidi" w:cstheme="minorBidi"/>
          <w:rtl/>
        </w:rPr>
        <w:t xml:space="preserve"> מצד עצמה אינה יוצרת קדושת אישות. על כן, אין בזיקה הנוצרת בגין כך בין אשת האח המת לבין המייבם בסיס לכינון איסורי עריות; ביאת היבם והיבמה היא המכוננת את קשרי האישות והקדושה הנובעת מהם, ורק בה יש כדי לחייב את השניים באיסורי עריות; [ב] "יש זיקה" (רב יהודה) – אכן קיים סוג של קשר אישות שלא כהבעת הרצונות של בני אדם, והמתהווה אך ורק בזכות הרצון הא-</w:t>
      </w:r>
      <w:proofErr w:type="spellStart"/>
      <w:r w:rsidRPr="00325361">
        <w:rPr>
          <w:rFonts w:asciiTheme="minorBidi" w:hAnsiTheme="minorBidi" w:cstheme="minorBidi"/>
          <w:rtl/>
        </w:rPr>
        <w:t>לוהי</w:t>
      </w:r>
      <w:proofErr w:type="spellEnd"/>
      <w:r w:rsidRPr="00325361">
        <w:rPr>
          <w:rFonts w:asciiTheme="minorBidi" w:hAnsiTheme="minorBidi" w:cstheme="minorBidi"/>
          <w:rtl/>
        </w:rPr>
        <w:t>, המחייב איסורי עריות בזיקה הנוצרת במצוות הייבום.</w:t>
      </w:r>
    </w:p>
    <w:p w:rsidR="00325361" w:rsidRPr="00325361" w:rsidRDefault="00325361" w:rsidP="00325361">
      <w:pPr>
        <w:numPr>
          <w:ilvl w:val="0"/>
          <w:numId w:val="2"/>
        </w:numPr>
        <w:spacing w:after="240" w:line="276" w:lineRule="auto"/>
        <w:jc w:val="both"/>
        <w:rPr>
          <w:rFonts w:asciiTheme="minorBidi" w:hAnsiTheme="minorBidi" w:cstheme="minorBidi"/>
        </w:rPr>
      </w:pPr>
      <w:r w:rsidRPr="00325361">
        <w:rPr>
          <w:rFonts w:asciiTheme="minorBidi" w:hAnsiTheme="minorBidi" w:cstheme="minorBidi"/>
          <w:rtl/>
        </w:rPr>
        <w:t>אחת הנקודות הנוקבות והמרתקות ביותר במחלוקת התעוררה סביב ההלכה הקובעת שבתקופה שאחרי פטירת אח ללא בנים כל אחד מהאחים החיים מהווה מועמד פוטנציאלי להיות המייבם. קיים "קשר אישות פוטנציאלי" מבחינת הצו הא-</w:t>
      </w:r>
      <w:proofErr w:type="spellStart"/>
      <w:r w:rsidRPr="00325361">
        <w:rPr>
          <w:rFonts w:asciiTheme="minorBidi" w:hAnsiTheme="minorBidi" w:cstheme="minorBidi"/>
          <w:rtl/>
        </w:rPr>
        <w:t>לוהי</w:t>
      </w:r>
      <w:proofErr w:type="spellEnd"/>
      <w:r w:rsidRPr="00325361">
        <w:rPr>
          <w:rFonts w:asciiTheme="minorBidi" w:hAnsiTheme="minorBidi" w:cstheme="minorBidi"/>
          <w:rtl/>
        </w:rPr>
        <w:t xml:space="preserve"> בין אשת האח המת לבין כל אחד ואחד מהאחים. על רקע זה התעוררה השאלה, אם בכלל תיתכן מציאות הלכתית שבה בו זמנית יחולו איסורי עריות בין אשת הנפטר לבין כמה אחים. הרי כל התוקף והמשמעות של איסורי עריות הנוצרים בגלל קשר אישות, נובעים מעצם ייחודיות הקשר בין </w:t>
      </w:r>
      <w:proofErr w:type="spellStart"/>
      <w:r w:rsidRPr="00325361">
        <w:rPr>
          <w:rFonts w:asciiTheme="minorBidi" w:hAnsiTheme="minorBidi" w:cstheme="minorBidi"/>
          <w:rtl/>
        </w:rPr>
        <w:t>אשה</w:t>
      </w:r>
      <w:proofErr w:type="spellEnd"/>
      <w:r w:rsidRPr="00325361">
        <w:rPr>
          <w:rFonts w:asciiTheme="minorBidi" w:hAnsiTheme="minorBidi" w:cstheme="minorBidi"/>
          <w:rtl/>
        </w:rPr>
        <w:t xml:space="preserve"> אחת לבין איש אחד! זו אחת הטענות המרכזיות לטובת שיטת "אין זיקה". </w:t>
      </w:r>
    </w:p>
    <w:p w:rsidR="00325361" w:rsidRPr="00325361" w:rsidRDefault="00325361" w:rsidP="00325361">
      <w:pPr>
        <w:spacing w:after="240" w:line="276" w:lineRule="auto"/>
        <w:ind w:left="720"/>
        <w:jc w:val="both"/>
        <w:rPr>
          <w:rFonts w:asciiTheme="minorBidi" w:hAnsiTheme="minorBidi" w:cstheme="minorBidi"/>
        </w:rPr>
      </w:pPr>
      <w:r w:rsidRPr="00325361">
        <w:rPr>
          <w:rFonts w:asciiTheme="minorBidi" w:hAnsiTheme="minorBidi" w:cstheme="minorBidi"/>
          <w:rtl/>
        </w:rPr>
        <w:t xml:space="preserve">שאלה זו מבליטה את ההבדל העקרוני הקוטבי בהבנת "זיקת הייבום" ומשמעותה לגבי יסוד קדושת האישות. הסובר "יש זיקה", על פי הגמרא, מחזיק בדעה שגם אם יש יותר מאח אחד המסוגל לייבם את אשת הנפטר, נעשה קניין קידושין "משמים" ממש בשעת מיתת האח; קניין אשר מכונן אישות כמו וירטואלית בין </w:t>
      </w:r>
      <w:proofErr w:type="spellStart"/>
      <w:r w:rsidRPr="00325361">
        <w:rPr>
          <w:rFonts w:asciiTheme="minorBidi" w:hAnsiTheme="minorBidi" w:cstheme="minorBidi"/>
          <w:rtl/>
        </w:rPr>
        <w:t>האשה</w:t>
      </w:r>
      <w:proofErr w:type="spellEnd"/>
      <w:r w:rsidRPr="00325361">
        <w:rPr>
          <w:rFonts w:asciiTheme="minorBidi" w:hAnsiTheme="minorBidi" w:cstheme="minorBidi"/>
          <w:rtl/>
        </w:rPr>
        <w:t xml:space="preserve"> לבין כל אחד מהמייבמים הפוטנציאליים עד שיתברר איזה אח יקיים את מצות הייבום. לעומת זאת, הסובר "אין זיקה" טוען שללא מעשה קניין אנושי בין איש ואשה לרצונם לא תיתכן קיומה של קדושת אישות כלשהי, ועל כן, אין כל השלכה הלכתית לזיקה, אפילו אם קיים רק אח אחד של הנפטר.</w:t>
      </w:r>
      <w:r w:rsidRPr="00325361">
        <w:rPr>
          <w:rStyle w:val="a9"/>
          <w:rFonts w:asciiTheme="minorBidi" w:hAnsiTheme="minorBidi" w:cstheme="minorBidi"/>
          <w:rtl/>
        </w:rPr>
        <w:footnoteReference w:id="24"/>
      </w:r>
      <w:r w:rsidRPr="00325361">
        <w:rPr>
          <w:rFonts w:asciiTheme="minorBidi" w:hAnsiTheme="minorBidi" w:cstheme="minorBidi"/>
          <w:rtl/>
        </w:rPr>
        <w:t xml:space="preserve">   </w:t>
      </w:r>
    </w:p>
    <w:p w:rsidR="00325361" w:rsidRPr="00325361" w:rsidRDefault="00325361" w:rsidP="00325361">
      <w:pPr>
        <w:numPr>
          <w:ilvl w:val="0"/>
          <w:numId w:val="2"/>
        </w:numPr>
        <w:spacing w:after="240" w:line="276" w:lineRule="auto"/>
        <w:jc w:val="both"/>
        <w:rPr>
          <w:rFonts w:asciiTheme="minorBidi" w:hAnsiTheme="minorBidi" w:cstheme="minorBidi"/>
        </w:rPr>
      </w:pPr>
      <w:r w:rsidRPr="00325361">
        <w:rPr>
          <w:rFonts w:asciiTheme="minorBidi" w:hAnsiTheme="minorBidi" w:cstheme="minorBidi"/>
          <w:rtl/>
        </w:rPr>
        <w:t>חכמים תיקנו שהאח המייבם יעשה מעשה קניין קידושין הדומה לקניין קידושין רגיל.</w:t>
      </w:r>
      <w:r w:rsidRPr="00325361">
        <w:rPr>
          <w:rStyle w:val="a9"/>
          <w:rFonts w:asciiTheme="minorBidi" w:hAnsiTheme="minorBidi" w:cstheme="minorBidi"/>
          <w:rtl/>
        </w:rPr>
        <w:footnoteReference w:id="25"/>
      </w:r>
      <w:r w:rsidRPr="00325361">
        <w:rPr>
          <w:rFonts w:asciiTheme="minorBidi" w:hAnsiTheme="minorBidi" w:cstheme="minorBidi"/>
          <w:rtl/>
        </w:rPr>
        <w:t xml:space="preserve"> מעשה זה מכונה "מאמר" על שם חובת חתן ללוות את מסירת כסף הקידושין (כמו הטבעת הנהוגה בימינו) באמירת: "הרי את מקודשת לי... כדת משה וישראל". תקנה זו נעשתה כדי להוסיף ל"קניין מהשמים" את המעשה הארצי האנושי של חיבור בין רצונות האיש </w:t>
      </w:r>
      <w:proofErr w:type="spellStart"/>
      <w:r w:rsidRPr="00325361">
        <w:rPr>
          <w:rFonts w:asciiTheme="minorBidi" w:hAnsiTheme="minorBidi" w:cstheme="minorBidi"/>
          <w:rtl/>
        </w:rPr>
        <w:t>והאשה</w:t>
      </w:r>
      <w:proofErr w:type="spellEnd"/>
      <w:r w:rsidRPr="00325361">
        <w:rPr>
          <w:rFonts w:asciiTheme="minorBidi" w:hAnsiTheme="minorBidi" w:cstheme="minorBidi"/>
          <w:rtl/>
        </w:rPr>
        <w:t xml:space="preserve">. והנה, גם בכך נחלקו חכמי התלמוד הראשונים, אם המאמר </w:t>
      </w:r>
      <w:r w:rsidRPr="00325361">
        <w:rPr>
          <w:rFonts w:asciiTheme="minorBidi" w:hAnsiTheme="minorBidi" w:cstheme="minorBidi"/>
          <w:rtl/>
        </w:rPr>
        <w:lastRenderedPageBreak/>
        <w:t>פועל ממש כמעשה קידושין המכונן קדושת אישות ואיסורי עריות, או שהוא מהווה רק סימן כלשהו, מעין זֵכר לקידושי איש ואשה נורמטיביים, וכדי שלא ליצור תחושה של זילות אצל המייבם והיבמה.</w:t>
      </w:r>
    </w:p>
    <w:p w:rsidR="00325361" w:rsidRPr="00325361" w:rsidRDefault="00325361" w:rsidP="00325361">
      <w:pPr>
        <w:numPr>
          <w:ilvl w:val="0"/>
          <w:numId w:val="2"/>
        </w:numPr>
        <w:spacing w:after="240" w:line="276" w:lineRule="auto"/>
        <w:jc w:val="both"/>
        <w:rPr>
          <w:rFonts w:asciiTheme="minorBidi" w:hAnsiTheme="minorBidi" w:cstheme="minorBidi"/>
        </w:rPr>
      </w:pPr>
      <w:r w:rsidRPr="00325361">
        <w:rPr>
          <w:rFonts w:asciiTheme="minorBidi" w:hAnsiTheme="minorBidi" w:cstheme="minorBidi"/>
          <w:rtl/>
        </w:rPr>
        <w:t>על תוקפו של "המאמר" נחלקו בית שמאי ובית הלל באופן המשקף שוני עקרוני ביחס לכל מעשה קניין הקידושין – ובמונחים הדומים להבדלי הגישה ביניהם במסגרת אמירת קידוש בשבת ויום טוב.</w:t>
      </w:r>
      <w:r w:rsidRPr="00325361">
        <w:rPr>
          <w:rStyle w:val="a9"/>
          <w:rFonts w:asciiTheme="minorBidi" w:hAnsiTheme="minorBidi" w:cstheme="minorBidi"/>
          <w:rtl/>
        </w:rPr>
        <w:footnoteReference w:id="26"/>
      </w:r>
      <w:r w:rsidRPr="00325361">
        <w:rPr>
          <w:rFonts w:asciiTheme="minorBidi" w:hAnsiTheme="minorBidi" w:cstheme="minorBidi"/>
          <w:rtl/>
        </w:rPr>
        <w:t xml:space="preserve"> על פי בית שמאי, אמירה אנושית בהקשר של עיצוב מציאות של קדושה רק מממשת מעשה של קידוש מהשמים. גם תוקפו וקדושתו של מעשה ההתקשרות הנורמטיבי בין איש ואשה, שלא במציאות של ייבום, הנם פרי קניין מהשמים, והאדם רק נותן לכך ביטוי באמירתו.</w:t>
      </w:r>
      <w:r w:rsidRPr="00325361">
        <w:rPr>
          <w:rStyle w:val="a9"/>
          <w:rFonts w:asciiTheme="minorBidi" w:hAnsiTheme="minorBidi" w:cstheme="minorBidi"/>
          <w:rtl/>
        </w:rPr>
        <w:footnoteReference w:id="27"/>
      </w:r>
      <w:r w:rsidRPr="00325361">
        <w:rPr>
          <w:rFonts w:asciiTheme="minorBidi" w:hAnsiTheme="minorBidi" w:cstheme="minorBidi"/>
          <w:rtl/>
        </w:rPr>
        <w:t xml:space="preserve"> משום כך, אליבא </w:t>
      </w:r>
      <w:proofErr w:type="spellStart"/>
      <w:r w:rsidRPr="00325361">
        <w:rPr>
          <w:rFonts w:asciiTheme="minorBidi" w:hAnsiTheme="minorBidi" w:cstheme="minorBidi"/>
          <w:rtl/>
        </w:rPr>
        <w:t>דבית</w:t>
      </w:r>
      <w:proofErr w:type="spellEnd"/>
      <w:r w:rsidRPr="00325361">
        <w:rPr>
          <w:rFonts w:asciiTheme="minorBidi" w:hAnsiTheme="minorBidi" w:cstheme="minorBidi"/>
          <w:rtl/>
        </w:rPr>
        <w:t xml:space="preserve"> שמאי, "המאמר" יוצר קשר אישות מובהק מדין תורה ממש. לענייננו, גם לשיטת "אין זיקה", המאמר של האח המייבם יוצר קדושת אישות ואיסורי עריות כיון שהוא מגלם במעשה אנושי את שנעשה כבר בשמים. לעומת זאת, בית הלל סובר שהאמירה של חתן לכלתו במעשה הקידושין הרגיל יוצר קדושת אישות מתוך ביטוי הרצונות החופשיים של השניים לחיות חיי אישות בלעדיים זה עם זו. על כן, במציאת שעיקרה "קניין מהשמים", כמו בזיקת ייבום, המאמר מתפקד רק כ"סימן בעלמא" ואין בכוחו לכונן קדושת אישות.</w:t>
      </w:r>
    </w:p>
    <w:p w:rsidR="00325361" w:rsidRPr="00325361" w:rsidRDefault="00325361" w:rsidP="00325361">
      <w:pPr>
        <w:spacing w:after="240" w:line="276" w:lineRule="auto"/>
        <w:ind w:left="644"/>
        <w:jc w:val="both"/>
        <w:rPr>
          <w:rFonts w:asciiTheme="minorBidi" w:hAnsiTheme="minorBidi" w:cstheme="minorBidi"/>
          <w:rtl/>
        </w:rPr>
      </w:pPr>
      <w:r w:rsidRPr="00325361">
        <w:rPr>
          <w:rFonts w:asciiTheme="minorBidi" w:hAnsiTheme="minorBidi" w:cstheme="minorBidi"/>
          <w:rtl/>
        </w:rPr>
        <w:t>הגמרא טורחת להוכיח שגם הסובר "יש זיקה" חולק על דעתו של בית שמאי לגבי תוקפו של "המאמר" לכונן קדושת אישות ואיסורי עריות. זאת, היות שבמָקום שקיים קניין אישות מן השמים אין מקום לקניין אישות ארצי שבהבעת רצונות איש ואשה. בכך מבקשת הגמרא לשמור על התוקף העצמי של רצונות בני אדם כתשתית קדושת אישות, באופן מקביל – ונפרד – מהאישות שמהותה מושתתת במעשה א-</w:t>
      </w:r>
      <w:proofErr w:type="spellStart"/>
      <w:r w:rsidRPr="00325361">
        <w:rPr>
          <w:rFonts w:asciiTheme="minorBidi" w:hAnsiTheme="minorBidi" w:cstheme="minorBidi"/>
          <w:rtl/>
        </w:rPr>
        <w:t>לוהי</w:t>
      </w:r>
      <w:proofErr w:type="spellEnd"/>
      <w:r w:rsidRPr="00325361">
        <w:rPr>
          <w:rFonts w:asciiTheme="minorBidi" w:hAnsiTheme="minorBidi" w:cstheme="minorBidi"/>
          <w:rtl/>
        </w:rPr>
        <w:t>.</w:t>
      </w:r>
    </w:p>
    <w:p w:rsidR="00325361" w:rsidRPr="00325361" w:rsidRDefault="00325361" w:rsidP="00325361">
      <w:pPr>
        <w:spacing w:after="240" w:line="276" w:lineRule="auto"/>
        <w:jc w:val="both"/>
        <w:rPr>
          <w:rFonts w:asciiTheme="minorBidi" w:hAnsiTheme="minorBidi" w:cstheme="minorBidi"/>
          <w:rtl/>
        </w:rPr>
      </w:pPr>
    </w:p>
    <w:p w:rsidR="00325361" w:rsidRPr="00325361" w:rsidRDefault="00325361" w:rsidP="00325361">
      <w:pPr>
        <w:spacing w:after="240" w:line="276" w:lineRule="auto"/>
        <w:jc w:val="both"/>
        <w:rPr>
          <w:rFonts w:asciiTheme="minorBidi" w:hAnsiTheme="minorBidi" w:cstheme="minorBidi"/>
          <w:b/>
          <w:bCs/>
          <w:u w:val="single"/>
          <w:rtl/>
        </w:rPr>
      </w:pPr>
      <w:bookmarkStart w:id="0" w:name="_GoBack"/>
      <w:bookmarkEnd w:id="0"/>
    </w:p>
    <w:sectPr w:rsidR="00325361" w:rsidRPr="00325361" w:rsidSect="00173D2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4EE" w:rsidRDefault="007D24EE" w:rsidP="00325361">
      <w:r>
        <w:separator/>
      </w:r>
    </w:p>
  </w:endnote>
  <w:endnote w:type="continuationSeparator" w:id="0">
    <w:p w:rsidR="007D24EE" w:rsidRDefault="007D24EE" w:rsidP="00325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4EE" w:rsidRDefault="007D24EE" w:rsidP="00325361">
      <w:r>
        <w:separator/>
      </w:r>
    </w:p>
  </w:footnote>
  <w:footnote w:type="continuationSeparator" w:id="0">
    <w:p w:rsidR="007D24EE" w:rsidRDefault="007D24EE" w:rsidP="00325361">
      <w:r>
        <w:continuationSeparator/>
      </w:r>
    </w:p>
  </w:footnote>
  <w:footnote w:id="1">
    <w:p w:rsidR="00325361" w:rsidRPr="00C550B5" w:rsidRDefault="00325361" w:rsidP="00EB2CF3">
      <w:pPr>
        <w:pStyle w:val="a7"/>
        <w:rPr>
          <w:i/>
          <w:iCs/>
          <w:szCs w:val="24"/>
          <w:rtl/>
        </w:rPr>
      </w:pPr>
      <w:r w:rsidRPr="00C550B5">
        <w:rPr>
          <w:rStyle w:val="a9"/>
        </w:rPr>
        <w:footnoteRef/>
      </w:r>
      <w:r w:rsidRPr="00C550B5">
        <w:rPr>
          <w:rtl/>
        </w:rPr>
        <w:t xml:space="preserve"> משנה יבמות, ב, א (</w:t>
      </w:r>
      <w:proofErr w:type="spellStart"/>
      <w:r w:rsidRPr="00C550B5">
        <w:rPr>
          <w:rtl/>
        </w:rPr>
        <w:t>יז</w:t>
      </w:r>
      <w:proofErr w:type="spellEnd"/>
      <w:r w:rsidRPr="00C550B5">
        <w:rPr>
          <w:rtl/>
        </w:rPr>
        <w:t xml:space="preserve"> ע"ב). ביטוי זה מופיע גם במשנה ב בפרק ב (</w:t>
      </w:r>
      <w:proofErr w:type="spellStart"/>
      <w:r w:rsidRPr="00C550B5">
        <w:rPr>
          <w:rtl/>
        </w:rPr>
        <w:t>יח</w:t>
      </w:r>
      <w:proofErr w:type="spellEnd"/>
      <w:r w:rsidRPr="00C550B5">
        <w:rPr>
          <w:rtl/>
        </w:rPr>
        <w:t xml:space="preserve"> ע"ב), וגם בפרק א, משנה א (ב ע"א), שמשנתנו מהווה פירוט והסבר לנאמר שם.</w:t>
      </w:r>
    </w:p>
  </w:footnote>
  <w:footnote w:id="2">
    <w:p w:rsidR="00325361" w:rsidRPr="00C550B5" w:rsidRDefault="00325361" w:rsidP="00EB2CF3">
      <w:pPr>
        <w:pStyle w:val="a7"/>
        <w:rPr>
          <w:rtl/>
        </w:rPr>
      </w:pPr>
      <w:r w:rsidRPr="00C550B5">
        <w:rPr>
          <w:rStyle w:val="a9"/>
        </w:rPr>
        <w:footnoteRef/>
      </w:r>
      <w:r w:rsidRPr="00C550B5">
        <w:rPr>
          <w:rtl/>
        </w:rPr>
        <w:t xml:space="preserve"> משנה יבמות, א, א (ב ע"א).</w:t>
      </w:r>
    </w:p>
  </w:footnote>
  <w:footnote w:id="3">
    <w:p w:rsidR="00325361" w:rsidRPr="00C550B5" w:rsidRDefault="00325361" w:rsidP="00EB2CF3">
      <w:pPr>
        <w:pStyle w:val="a7"/>
      </w:pPr>
      <w:r w:rsidRPr="00C550B5">
        <w:rPr>
          <w:rStyle w:val="a9"/>
        </w:rPr>
        <w:footnoteRef/>
      </w:r>
      <w:r w:rsidRPr="00C550B5">
        <w:rPr>
          <w:rtl/>
        </w:rPr>
        <w:t xml:space="preserve"> כך מנוקד </w:t>
      </w:r>
      <w:proofErr w:type="spellStart"/>
      <w:r w:rsidRPr="00C550B5">
        <w:rPr>
          <w:rtl/>
        </w:rPr>
        <w:t>בכת"י</w:t>
      </w:r>
      <w:proofErr w:type="spellEnd"/>
      <w:r w:rsidRPr="00C550B5">
        <w:rPr>
          <w:rtl/>
        </w:rPr>
        <w:t xml:space="preserve"> קאופמן.</w:t>
      </w:r>
    </w:p>
  </w:footnote>
  <w:footnote w:id="4">
    <w:p w:rsidR="00325361" w:rsidRPr="00C550B5" w:rsidRDefault="00325361" w:rsidP="00EB2CF3">
      <w:pPr>
        <w:pStyle w:val="a7"/>
        <w:rPr>
          <w:rtl/>
        </w:rPr>
      </w:pPr>
      <w:r w:rsidRPr="00C550B5">
        <w:rPr>
          <w:rStyle w:val="a9"/>
        </w:rPr>
        <w:footnoteRef/>
      </w:r>
      <w:r w:rsidRPr="00C550B5">
        <w:rPr>
          <w:rtl/>
        </w:rPr>
        <w:t xml:space="preserve"> משנה סנהדרין, ד, ה. </w:t>
      </w:r>
      <w:proofErr w:type="spellStart"/>
      <w:r w:rsidRPr="00C550B5">
        <w:rPr>
          <w:rtl/>
        </w:rPr>
        <w:t>בכת"י</w:t>
      </w:r>
      <w:proofErr w:type="spellEnd"/>
      <w:r w:rsidRPr="00C550B5">
        <w:rPr>
          <w:rtl/>
        </w:rPr>
        <w:t xml:space="preserve"> קאופמן מופיע: "עד סוף כל העולם".</w:t>
      </w:r>
    </w:p>
  </w:footnote>
  <w:footnote w:id="5">
    <w:p w:rsidR="00325361" w:rsidRPr="00C550B5" w:rsidRDefault="00325361" w:rsidP="00EB2CF3">
      <w:pPr>
        <w:pStyle w:val="a7"/>
        <w:rPr>
          <w:rtl/>
        </w:rPr>
      </w:pPr>
      <w:r w:rsidRPr="00C550B5">
        <w:rPr>
          <w:rStyle w:val="a9"/>
        </w:rPr>
        <w:footnoteRef/>
      </w:r>
      <w:r w:rsidRPr="00C550B5">
        <w:rPr>
          <w:rtl/>
        </w:rPr>
        <w:t xml:space="preserve"> בכתבי היד של המשנה לא מופיעה המילה "מישראל", וכך גם בנוסח המשנה של הרמב"ם (ראו מהדורת הרב קאפח, </w:t>
      </w:r>
      <w:r w:rsidRPr="00C550B5">
        <w:rPr>
          <w:b/>
          <w:bCs/>
          <w:rtl/>
        </w:rPr>
        <w:t>משנה עם פירוש הרמב"ם</w:t>
      </w:r>
      <w:r w:rsidRPr="00C550B5">
        <w:rPr>
          <w:rtl/>
        </w:rPr>
        <w:t>, נשים-נזיקין, הוצאת מוסד הרב קוק, ירושלים תשכ"ה, עמ' קיד) וב</w:t>
      </w:r>
      <w:r>
        <w:rPr>
          <w:rFonts w:hint="cs"/>
          <w:rtl/>
        </w:rPr>
        <w:t xml:space="preserve">מהדורות המדויקות של </w:t>
      </w:r>
      <w:r w:rsidRPr="00C550B5">
        <w:rPr>
          <w:b/>
          <w:bCs/>
          <w:rtl/>
        </w:rPr>
        <w:t>משנה תורה</w:t>
      </w:r>
      <w:r w:rsidRPr="00C550B5">
        <w:rPr>
          <w:rtl/>
        </w:rPr>
        <w:t>,</w:t>
      </w:r>
      <w:r w:rsidRPr="00C550B5">
        <w:rPr>
          <w:b/>
          <w:bCs/>
          <w:rtl/>
        </w:rPr>
        <w:t xml:space="preserve"> </w:t>
      </w:r>
      <w:r w:rsidRPr="00C550B5">
        <w:rPr>
          <w:rtl/>
        </w:rPr>
        <w:t xml:space="preserve">הלכות סנהדרין </w:t>
      </w:r>
      <w:proofErr w:type="spellStart"/>
      <w:r w:rsidRPr="00C550B5">
        <w:rPr>
          <w:rtl/>
        </w:rPr>
        <w:t>והענשין</w:t>
      </w:r>
      <w:proofErr w:type="spellEnd"/>
      <w:r w:rsidRPr="00C550B5">
        <w:rPr>
          <w:rtl/>
        </w:rPr>
        <w:t xml:space="preserve"> </w:t>
      </w:r>
      <w:proofErr w:type="spellStart"/>
      <w:r w:rsidRPr="00C550B5">
        <w:rPr>
          <w:rtl/>
        </w:rPr>
        <w:t>המסורין</w:t>
      </w:r>
      <w:proofErr w:type="spellEnd"/>
      <w:r w:rsidRPr="00C550B5">
        <w:rPr>
          <w:rtl/>
        </w:rPr>
        <w:t xml:space="preserve"> להן, </w:t>
      </w:r>
      <w:proofErr w:type="spellStart"/>
      <w:r w:rsidRPr="00C550B5">
        <w:rPr>
          <w:rtl/>
        </w:rPr>
        <w:t>יב</w:t>
      </w:r>
      <w:proofErr w:type="spellEnd"/>
      <w:r w:rsidRPr="00C550B5">
        <w:rPr>
          <w:rtl/>
        </w:rPr>
        <w:t xml:space="preserve">, </w:t>
      </w:r>
      <w:proofErr w:type="spellStart"/>
      <w:r w:rsidRPr="00C550B5">
        <w:rPr>
          <w:rtl/>
        </w:rPr>
        <w:t>יג</w:t>
      </w:r>
      <w:proofErr w:type="spellEnd"/>
      <w:r w:rsidRPr="00C550B5">
        <w:rPr>
          <w:rtl/>
        </w:rPr>
        <w:t xml:space="preserve"> (ראו למשל במהדורת </w:t>
      </w:r>
      <w:r w:rsidRPr="00C550B5">
        <w:rPr>
          <w:b/>
          <w:bCs/>
          <w:rtl/>
        </w:rPr>
        <w:t xml:space="preserve">משנה תורה </w:t>
      </w:r>
      <w:proofErr w:type="spellStart"/>
      <w:r w:rsidRPr="00C550B5">
        <w:rPr>
          <w:b/>
          <w:bCs/>
          <w:rtl/>
        </w:rPr>
        <w:t>להרמב"ם</w:t>
      </w:r>
      <w:proofErr w:type="spellEnd"/>
      <w:r w:rsidRPr="00C550B5">
        <w:rPr>
          <w:rtl/>
        </w:rPr>
        <w:t>, מפעל משנה תורה, הוצאת ישיבת "אור וישועה", חיפה תשס"ט, עמ' 1184).</w:t>
      </w:r>
    </w:p>
  </w:footnote>
  <w:footnote w:id="6">
    <w:p w:rsidR="00325361" w:rsidRPr="00325361" w:rsidRDefault="00325361" w:rsidP="00EB2CF3">
      <w:pPr>
        <w:pStyle w:val="a7"/>
        <w:rPr>
          <w:rtl/>
        </w:rPr>
      </w:pPr>
      <w:r w:rsidRPr="00325361">
        <w:rPr>
          <w:rStyle w:val="a9"/>
        </w:rPr>
        <w:footnoteRef/>
      </w:r>
      <w:r w:rsidRPr="00325361">
        <w:rPr>
          <w:rtl/>
        </w:rPr>
        <w:t xml:space="preserve"> משנה תמורה, ג, א. הביטוי "עד סוף העולם" נזכר חמש פעמים בפרק ג במסכת תמורה. ראו גם משנה נזיר א, ג – "הריני נזיר...עד סוף העולם", אך נראה שאין לייחס למשנה שם את אותה משמעות של המשכיות הדורות.</w:t>
      </w:r>
    </w:p>
  </w:footnote>
  <w:footnote w:id="7">
    <w:p w:rsidR="00325361" w:rsidRPr="00325361" w:rsidRDefault="00325361" w:rsidP="00EB2CF3">
      <w:pPr>
        <w:pStyle w:val="a7"/>
        <w:rPr>
          <w:rtl/>
        </w:rPr>
      </w:pPr>
      <w:r w:rsidRPr="00325361">
        <w:rPr>
          <w:rStyle w:val="a9"/>
        </w:rPr>
        <w:footnoteRef/>
      </w:r>
      <w:r w:rsidRPr="00325361">
        <w:rPr>
          <w:rtl/>
        </w:rPr>
        <w:t xml:space="preserve"> הביטוי "עולם" במשמעות של השתלשלות הדורות כתוב בתורה, שנוי בנביאים ומשולש בכתובים. ראו למשל: "זֶה שְּׁמִי לְעֹלָם וְזֶה זִכְרִי לְדֹר דֹּר" (שמות ג, טו);  "וִיהוּדָה לְעוֹלָם תֵּשֵׁב וִירוּשָׁלִַם לְדוֹר וָדוֹר" (יואל ד, כ); "</w:t>
      </w:r>
      <w:proofErr w:type="spellStart"/>
      <w:r w:rsidRPr="00325361">
        <w:rPr>
          <w:rtl/>
        </w:rPr>
        <w:t>יִמְלֹך</w:t>
      </w:r>
      <w:proofErr w:type="spellEnd"/>
      <w:r w:rsidRPr="00325361">
        <w:rPr>
          <w:rtl/>
        </w:rPr>
        <w:t xml:space="preserve">ְ ה' לְעוֹלָם </w:t>
      </w:r>
      <w:proofErr w:type="spellStart"/>
      <w:r w:rsidRPr="00325361">
        <w:rPr>
          <w:rtl/>
        </w:rPr>
        <w:t>אֱ-לֹהַיִך</w:t>
      </w:r>
      <w:proofErr w:type="spellEnd"/>
      <w:r w:rsidRPr="00325361">
        <w:rPr>
          <w:rtl/>
        </w:rPr>
        <w:t>ְ צִיּוֹן לְדֹר וָדֹר הַלְלוּ יָ-הּ" (תהילים קמו, י).</w:t>
      </w:r>
    </w:p>
  </w:footnote>
  <w:footnote w:id="8">
    <w:p w:rsidR="00325361" w:rsidRPr="00325361" w:rsidRDefault="00325361" w:rsidP="00325361">
      <w:pPr>
        <w:spacing w:line="276" w:lineRule="auto"/>
        <w:jc w:val="both"/>
        <w:rPr>
          <w:rFonts w:asciiTheme="minorBidi" w:hAnsiTheme="minorBidi" w:cstheme="minorBidi"/>
          <w:sz w:val="20"/>
          <w:szCs w:val="20"/>
          <w:rtl/>
        </w:rPr>
      </w:pPr>
      <w:r w:rsidRPr="00325361">
        <w:rPr>
          <w:rStyle w:val="a9"/>
          <w:rFonts w:asciiTheme="minorBidi" w:hAnsiTheme="minorBidi" w:cstheme="minorBidi"/>
          <w:sz w:val="20"/>
          <w:szCs w:val="20"/>
        </w:rPr>
        <w:footnoteRef/>
      </w:r>
      <w:r w:rsidRPr="00325361">
        <w:rPr>
          <w:rFonts w:asciiTheme="minorBidi" w:hAnsiTheme="minorBidi" w:cstheme="minorBidi"/>
          <w:sz w:val="20"/>
          <w:szCs w:val="20"/>
          <w:rtl/>
        </w:rPr>
        <w:t xml:space="preserve"> בסוף חייו דוד המלך בירך את עם ישראל בברכה המנוסחת במושגים אלו: "בָּרוּךְ אַתָּה ה' אֱ-לֹהֵי יִשְׂרָאֵל אָבִינוּ [במקום "א-להינו מלך..." בברכות שאנו מברכים] מֵעוֹלָם וְעַד עוֹלָם [במקום "מלך העולם" במובן של מרחב פיזי, שלנו]" (דברי הימים א' </w:t>
      </w:r>
      <w:proofErr w:type="spellStart"/>
      <w:r w:rsidRPr="00325361">
        <w:rPr>
          <w:rFonts w:asciiTheme="minorBidi" w:hAnsiTheme="minorBidi" w:cstheme="minorBidi"/>
          <w:sz w:val="20"/>
          <w:szCs w:val="20"/>
          <w:rtl/>
        </w:rPr>
        <w:t>כט</w:t>
      </w:r>
      <w:proofErr w:type="spellEnd"/>
      <w:r w:rsidRPr="00325361">
        <w:rPr>
          <w:rFonts w:asciiTheme="minorBidi" w:hAnsiTheme="minorBidi" w:cstheme="minorBidi"/>
          <w:sz w:val="20"/>
          <w:szCs w:val="20"/>
          <w:rtl/>
        </w:rPr>
        <w:t>, י). ביטוי מיוחד זה מופיע גם בברכת הלווים לעם בכריתת הברית המחודשת בתקופת שיבת ציון (נחמיה ט, ה), ומשמעותו, בדומה לביטוי "עד סוף העולם", היא שא-לוהים מבורך מתחילת הדורות ועד לסופם. במשנה ברכות, ט, ז, הביטוי "מן העולם ועד העולם" עבר תמורה ומשמעותו היא – גם בעולם הזה וגם בעולם הבא.</w:t>
      </w:r>
      <w:r w:rsidRPr="00325361">
        <w:rPr>
          <w:rFonts w:asciiTheme="minorBidi" w:hAnsiTheme="minorBidi" w:cstheme="minorBidi"/>
          <w:color w:val="FF0000"/>
          <w:sz w:val="20"/>
          <w:szCs w:val="20"/>
          <w:rtl/>
        </w:rPr>
        <w:t xml:space="preserve"> </w:t>
      </w:r>
    </w:p>
  </w:footnote>
  <w:footnote w:id="9">
    <w:p w:rsidR="00325361" w:rsidRPr="00325361" w:rsidRDefault="00325361" w:rsidP="00EB2CF3">
      <w:pPr>
        <w:pStyle w:val="a7"/>
        <w:rPr>
          <w:rtl/>
        </w:rPr>
      </w:pPr>
      <w:r w:rsidRPr="00325361">
        <w:rPr>
          <w:rStyle w:val="a9"/>
        </w:rPr>
        <w:footnoteRef/>
      </w:r>
      <w:r w:rsidRPr="00325361">
        <w:rPr>
          <w:rtl/>
        </w:rPr>
        <w:t xml:space="preserve"> יבמות </w:t>
      </w:r>
      <w:proofErr w:type="spellStart"/>
      <w:r w:rsidRPr="00325361">
        <w:rPr>
          <w:rtl/>
        </w:rPr>
        <w:t>יז</w:t>
      </w:r>
      <w:proofErr w:type="spellEnd"/>
      <w:r w:rsidRPr="00325361">
        <w:rPr>
          <w:rtl/>
        </w:rPr>
        <w:t xml:space="preserve"> ע"ב.</w:t>
      </w:r>
    </w:p>
  </w:footnote>
  <w:footnote w:id="10">
    <w:p w:rsidR="00325361" w:rsidRPr="00325361" w:rsidRDefault="00325361" w:rsidP="00EB2CF3">
      <w:pPr>
        <w:pStyle w:val="a7"/>
      </w:pPr>
      <w:r w:rsidRPr="00325361">
        <w:rPr>
          <w:rStyle w:val="a9"/>
        </w:rPr>
        <w:footnoteRef/>
      </w:r>
      <w:r w:rsidRPr="00325361">
        <w:rPr>
          <w:rtl/>
        </w:rPr>
        <w:t xml:space="preserve"> שם.</w:t>
      </w:r>
    </w:p>
  </w:footnote>
  <w:footnote w:id="11">
    <w:p w:rsidR="00325361" w:rsidRPr="00325361" w:rsidRDefault="00325361" w:rsidP="00EB2CF3">
      <w:pPr>
        <w:pStyle w:val="a7"/>
      </w:pPr>
      <w:r w:rsidRPr="00325361">
        <w:rPr>
          <w:rStyle w:val="a9"/>
        </w:rPr>
        <w:footnoteRef/>
      </w:r>
      <w:r w:rsidRPr="00325361">
        <w:rPr>
          <w:rtl/>
        </w:rPr>
        <w:t xml:space="preserve"> דברים כה, ה.</w:t>
      </w:r>
    </w:p>
  </w:footnote>
  <w:footnote w:id="12">
    <w:p w:rsidR="00325361" w:rsidRPr="00325361" w:rsidRDefault="00325361" w:rsidP="00EB2CF3">
      <w:pPr>
        <w:pStyle w:val="a7"/>
        <w:rPr>
          <w:rtl/>
        </w:rPr>
      </w:pPr>
      <w:r w:rsidRPr="00325361">
        <w:rPr>
          <w:rStyle w:val="a9"/>
        </w:rPr>
        <w:footnoteRef/>
      </w:r>
      <w:r w:rsidRPr="00325361">
        <w:rPr>
          <w:rtl/>
        </w:rPr>
        <w:t xml:space="preserve"> בראשית </w:t>
      </w:r>
      <w:proofErr w:type="spellStart"/>
      <w:r w:rsidRPr="00325361">
        <w:rPr>
          <w:rtl/>
        </w:rPr>
        <w:t>מב</w:t>
      </w:r>
      <w:proofErr w:type="spellEnd"/>
      <w:r w:rsidRPr="00325361">
        <w:rPr>
          <w:rtl/>
        </w:rPr>
        <w:t xml:space="preserve">, </w:t>
      </w:r>
      <w:proofErr w:type="spellStart"/>
      <w:r w:rsidRPr="00325361">
        <w:rPr>
          <w:rtl/>
        </w:rPr>
        <w:t>יג</w:t>
      </w:r>
      <w:proofErr w:type="spellEnd"/>
      <w:r w:rsidRPr="00325361">
        <w:rPr>
          <w:rtl/>
        </w:rPr>
        <w:t>.</w:t>
      </w:r>
    </w:p>
  </w:footnote>
  <w:footnote w:id="13">
    <w:p w:rsidR="00325361" w:rsidRPr="00C550B5" w:rsidRDefault="00325361" w:rsidP="00EB2CF3">
      <w:pPr>
        <w:pStyle w:val="a7"/>
      </w:pPr>
      <w:r w:rsidRPr="00325361">
        <w:rPr>
          <w:rStyle w:val="a9"/>
        </w:rPr>
        <w:footnoteRef/>
      </w:r>
      <w:r w:rsidRPr="00325361">
        <w:rPr>
          <w:rtl/>
        </w:rPr>
        <w:t xml:space="preserve"> דברים יא, </w:t>
      </w:r>
      <w:proofErr w:type="spellStart"/>
      <w:r w:rsidRPr="00325361">
        <w:rPr>
          <w:rtl/>
        </w:rPr>
        <w:t>כא</w:t>
      </w:r>
      <w:proofErr w:type="spellEnd"/>
      <w:r w:rsidRPr="00325361">
        <w:rPr>
          <w:rtl/>
        </w:rPr>
        <w:t>.</w:t>
      </w:r>
      <w:r w:rsidRPr="00C550B5">
        <w:rPr>
          <w:rtl/>
        </w:rPr>
        <w:t xml:space="preserve"> </w:t>
      </w:r>
    </w:p>
  </w:footnote>
  <w:footnote w:id="14">
    <w:p w:rsidR="00325361" w:rsidRPr="00BE020D" w:rsidRDefault="00325361" w:rsidP="00EB2CF3">
      <w:pPr>
        <w:pStyle w:val="a7"/>
        <w:rPr>
          <w:rtl/>
        </w:rPr>
      </w:pPr>
      <w:r w:rsidRPr="00BE020D">
        <w:rPr>
          <w:rStyle w:val="a9"/>
        </w:rPr>
        <w:footnoteRef/>
      </w:r>
      <w:r w:rsidRPr="00BE020D">
        <w:rPr>
          <w:rtl/>
        </w:rPr>
        <w:t xml:space="preserve"> ברכת אורך ימים על האדמה חוזרת כמה פעמים בתורה, ובעיקר בספר דברים, לקראת הכניסה לארץ ישראל – כך למשל בדיבר של כיבוד הורים בעשרת הדיברות (שמות כ, יא; דברים ה, טו) ובכמה הקשרים נוספים במהלך ספר דברים (ד, מ; יא, ט; כה, טו; ל, כ; לב, </w:t>
      </w:r>
      <w:proofErr w:type="spellStart"/>
      <w:r w:rsidRPr="00BE020D">
        <w:rPr>
          <w:rtl/>
        </w:rPr>
        <w:t>מז</w:t>
      </w:r>
      <w:proofErr w:type="spellEnd"/>
      <w:r w:rsidRPr="00BE020D">
        <w:rPr>
          <w:rtl/>
        </w:rPr>
        <w:t xml:space="preserve">). ומן הצד השני של המטבע מופיעה האזהרה: "הִגַּדְתִּי לָכֶם הַיּוֹם כִּי אָבֹד תֹּאבֵדוּן לֹא תַאֲרִיכֻן יָמִים עַל הָאֲדָמָה" (דברים ל, </w:t>
      </w:r>
      <w:proofErr w:type="spellStart"/>
      <w:r w:rsidRPr="00BE020D">
        <w:rPr>
          <w:rtl/>
        </w:rPr>
        <w:t>יח</w:t>
      </w:r>
      <w:proofErr w:type="spellEnd"/>
      <w:r w:rsidRPr="00BE020D">
        <w:rPr>
          <w:rtl/>
        </w:rPr>
        <w:t xml:space="preserve">), וכן בפרשת הקללות בדברים פרק </w:t>
      </w:r>
      <w:proofErr w:type="spellStart"/>
      <w:r w:rsidRPr="00BE020D">
        <w:rPr>
          <w:rtl/>
        </w:rPr>
        <w:t>כח</w:t>
      </w:r>
      <w:proofErr w:type="spellEnd"/>
      <w:r w:rsidRPr="00BE020D">
        <w:rPr>
          <w:rtl/>
        </w:rPr>
        <w:t xml:space="preserve"> מופיעה פעמיים הקללה שלא נישאר "על האדמה". ראו גם משנה קידושין, א, י: "כל העושה מצוה אחת – </w:t>
      </w:r>
      <w:proofErr w:type="spellStart"/>
      <w:r w:rsidRPr="00BE020D">
        <w:rPr>
          <w:rtl/>
        </w:rPr>
        <w:t>מטיבין</w:t>
      </w:r>
      <w:proofErr w:type="spellEnd"/>
      <w:r w:rsidRPr="00BE020D">
        <w:rPr>
          <w:rtl/>
        </w:rPr>
        <w:t xml:space="preserve"> לו, </w:t>
      </w:r>
      <w:proofErr w:type="spellStart"/>
      <w:r w:rsidRPr="00BE020D">
        <w:rPr>
          <w:rtl/>
        </w:rPr>
        <w:t>ומאריכין</w:t>
      </w:r>
      <w:proofErr w:type="spellEnd"/>
      <w:r w:rsidRPr="00BE020D">
        <w:rPr>
          <w:rtl/>
        </w:rPr>
        <w:t xml:space="preserve"> לו את ימיו, ונוחל את הארץ...".</w:t>
      </w:r>
    </w:p>
  </w:footnote>
  <w:footnote w:id="15">
    <w:p w:rsidR="00325361" w:rsidRPr="00BE020D" w:rsidRDefault="00325361" w:rsidP="00EB2CF3">
      <w:pPr>
        <w:pStyle w:val="a7"/>
      </w:pPr>
      <w:r w:rsidRPr="00BE020D">
        <w:rPr>
          <w:rStyle w:val="a9"/>
        </w:rPr>
        <w:footnoteRef/>
      </w:r>
      <w:r w:rsidRPr="00BE020D">
        <w:rPr>
          <w:rtl/>
        </w:rPr>
        <w:t xml:space="preserve"> דברים כה, ו.</w:t>
      </w:r>
    </w:p>
  </w:footnote>
  <w:footnote w:id="16">
    <w:p w:rsidR="00325361" w:rsidRPr="00BE020D" w:rsidRDefault="00325361" w:rsidP="00EB2CF3">
      <w:pPr>
        <w:pStyle w:val="a7"/>
        <w:rPr>
          <w:rtl/>
        </w:rPr>
      </w:pPr>
      <w:r w:rsidRPr="00BE020D">
        <w:rPr>
          <w:rStyle w:val="a9"/>
        </w:rPr>
        <w:footnoteRef/>
      </w:r>
      <w:r w:rsidRPr="00BE020D">
        <w:rPr>
          <w:rtl/>
        </w:rPr>
        <w:t xml:space="preserve"> פירוש רמב"ן לבראשית לח, ח.</w:t>
      </w:r>
    </w:p>
  </w:footnote>
  <w:footnote w:id="17">
    <w:p w:rsidR="00325361" w:rsidRPr="00BE020D" w:rsidRDefault="00325361" w:rsidP="00EB2CF3">
      <w:pPr>
        <w:pStyle w:val="a7"/>
      </w:pPr>
      <w:r w:rsidRPr="00BE020D">
        <w:rPr>
          <w:rStyle w:val="a9"/>
        </w:rPr>
        <w:footnoteRef/>
      </w:r>
      <w:r w:rsidRPr="00BE020D">
        <w:rPr>
          <w:rtl/>
        </w:rPr>
        <w:t xml:space="preserve"> שם.</w:t>
      </w:r>
    </w:p>
  </w:footnote>
  <w:footnote w:id="18">
    <w:p w:rsidR="00325361" w:rsidRPr="00BE020D" w:rsidRDefault="00325361" w:rsidP="00EB2CF3">
      <w:pPr>
        <w:pStyle w:val="a7"/>
        <w:rPr>
          <w:rtl/>
        </w:rPr>
      </w:pPr>
      <w:r w:rsidRPr="00BE020D">
        <w:rPr>
          <w:rStyle w:val="a9"/>
        </w:rPr>
        <w:footnoteRef/>
      </w:r>
      <w:r w:rsidRPr="00BE020D">
        <w:rPr>
          <w:rtl/>
        </w:rPr>
        <w:t xml:space="preserve"> משנה קידושין, א, א.</w:t>
      </w:r>
    </w:p>
  </w:footnote>
  <w:footnote w:id="19">
    <w:p w:rsidR="00325361" w:rsidRPr="00C550B5" w:rsidRDefault="00325361" w:rsidP="00EB2CF3">
      <w:pPr>
        <w:pStyle w:val="a7"/>
        <w:rPr>
          <w:rtl/>
        </w:rPr>
      </w:pPr>
      <w:r w:rsidRPr="00C550B5">
        <w:rPr>
          <w:rStyle w:val="a9"/>
        </w:rPr>
        <w:footnoteRef/>
      </w:r>
      <w:r w:rsidRPr="00C550B5">
        <w:rPr>
          <w:rtl/>
        </w:rPr>
        <w:t xml:space="preserve"> כאמור במשנה שם, </w:t>
      </w:r>
      <w:proofErr w:type="spellStart"/>
      <w:r w:rsidRPr="00C550B5">
        <w:rPr>
          <w:rtl/>
        </w:rPr>
        <w:t>שהאשה</w:t>
      </w:r>
      <w:proofErr w:type="spellEnd"/>
      <w:r w:rsidRPr="00C550B5">
        <w:rPr>
          <w:rtl/>
        </w:rPr>
        <w:t xml:space="preserve"> "קונה את עצמה בגט ובמיתת הבעל".</w:t>
      </w:r>
    </w:p>
  </w:footnote>
  <w:footnote w:id="20">
    <w:p w:rsidR="00325361" w:rsidRPr="00BE020D" w:rsidRDefault="00325361" w:rsidP="00EB2CF3">
      <w:pPr>
        <w:pStyle w:val="a7"/>
        <w:rPr>
          <w:rtl/>
        </w:rPr>
      </w:pPr>
      <w:r w:rsidRPr="00BE020D">
        <w:rPr>
          <w:rStyle w:val="a9"/>
        </w:rPr>
        <w:footnoteRef/>
      </w:r>
      <w:r w:rsidRPr="00BE020D">
        <w:rPr>
          <w:rtl/>
        </w:rPr>
        <w:t xml:space="preserve"> משנה נדרים, י, ו.</w:t>
      </w:r>
    </w:p>
  </w:footnote>
  <w:footnote w:id="21">
    <w:p w:rsidR="00325361" w:rsidRPr="00BE020D" w:rsidRDefault="00325361" w:rsidP="00EB2CF3">
      <w:pPr>
        <w:pStyle w:val="a7"/>
        <w:rPr>
          <w:rtl/>
        </w:rPr>
      </w:pPr>
      <w:r w:rsidRPr="00EB2CF3">
        <w:rPr>
          <w:rStyle w:val="a9"/>
        </w:rPr>
        <w:footnoteRef/>
      </w:r>
      <w:r w:rsidRPr="00EB2CF3">
        <w:rPr>
          <w:rtl/>
        </w:rPr>
        <w:t xml:space="preserve"> ראו קידושין ד ע"ב.</w:t>
      </w:r>
    </w:p>
  </w:footnote>
  <w:footnote w:id="22">
    <w:p w:rsidR="00325361" w:rsidRPr="00BE020D" w:rsidRDefault="00325361" w:rsidP="00EB2CF3">
      <w:pPr>
        <w:pStyle w:val="a7"/>
        <w:rPr>
          <w:rtl/>
        </w:rPr>
      </w:pPr>
      <w:r w:rsidRPr="00BE020D">
        <w:rPr>
          <w:rStyle w:val="a9"/>
        </w:rPr>
        <w:footnoteRef/>
      </w:r>
      <w:r w:rsidRPr="00BE020D">
        <w:rPr>
          <w:rtl/>
        </w:rPr>
        <w:t xml:space="preserve"> בבלי יבמות, דפים </w:t>
      </w:r>
      <w:proofErr w:type="spellStart"/>
      <w:r w:rsidRPr="00BE020D">
        <w:rPr>
          <w:rtl/>
        </w:rPr>
        <w:t>יז-יח</w:t>
      </w:r>
      <w:proofErr w:type="spellEnd"/>
      <w:r w:rsidRPr="00BE020D">
        <w:rPr>
          <w:rtl/>
        </w:rPr>
        <w:t>; ירושלמי יבמות, פ"ב ה"א.</w:t>
      </w:r>
    </w:p>
  </w:footnote>
  <w:footnote w:id="23">
    <w:p w:rsidR="00325361" w:rsidRPr="00C550B5" w:rsidRDefault="00325361" w:rsidP="00EB2CF3">
      <w:pPr>
        <w:pStyle w:val="a7"/>
        <w:rPr>
          <w:rtl/>
        </w:rPr>
      </w:pPr>
      <w:r w:rsidRPr="00BE020D">
        <w:rPr>
          <w:rStyle w:val="a9"/>
        </w:rPr>
        <w:footnoteRef/>
      </w:r>
      <w:r w:rsidRPr="00BE020D">
        <w:rPr>
          <w:rtl/>
        </w:rPr>
        <w:t xml:space="preserve"> החל מדורו של רבי יהודה בן בתירה (השני), בן דור יבנה, הדור השלישי לתנאים, עד לדורו של </w:t>
      </w:r>
      <w:proofErr w:type="spellStart"/>
      <w:r w:rsidRPr="00BE020D">
        <w:rPr>
          <w:rtl/>
        </w:rPr>
        <w:t>אביי</w:t>
      </w:r>
      <w:proofErr w:type="spellEnd"/>
      <w:r w:rsidRPr="00BE020D">
        <w:rPr>
          <w:rtl/>
        </w:rPr>
        <w:t>, בן הדור הרביעי לאמוראי בבל.</w:t>
      </w:r>
    </w:p>
  </w:footnote>
  <w:footnote w:id="24">
    <w:p w:rsidR="00325361" w:rsidRPr="00BE020D" w:rsidRDefault="00325361" w:rsidP="00BE020D">
      <w:pPr>
        <w:spacing w:line="276" w:lineRule="auto"/>
        <w:jc w:val="both"/>
        <w:rPr>
          <w:rFonts w:asciiTheme="minorBidi" w:hAnsiTheme="minorBidi" w:cstheme="minorBidi"/>
          <w:sz w:val="20"/>
          <w:szCs w:val="20"/>
        </w:rPr>
      </w:pPr>
      <w:r w:rsidRPr="00BE020D">
        <w:rPr>
          <w:rStyle w:val="a9"/>
          <w:rFonts w:asciiTheme="minorBidi" w:hAnsiTheme="minorBidi" w:cstheme="minorBidi"/>
        </w:rPr>
        <w:footnoteRef/>
      </w:r>
      <w:r w:rsidRPr="00BE020D">
        <w:rPr>
          <w:rFonts w:asciiTheme="minorBidi" w:hAnsiTheme="minorBidi" w:cstheme="minorBidi"/>
          <w:rtl/>
        </w:rPr>
        <w:t xml:space="preserve"> </w:t>
      </w:r>
      <w:r w:rsidRPr="00BE020D">
        <w:rPr>
          <w:rFonts w:asciiTheme="minorBidi" w:hAnsiTheme="minorBidi" w:cstheme="minorBidi"/>
          <w:sz w:val="20"/>
          <w:szCs w:val="20"/>
          <w:rtl/>
        </w:rPr>
        <w:t xml:space="preserve">במחלוקת שהתעוררה אפשר לזהות ניואנסים הלכתיים ורעיוניים מסוגים שונים, ועוד ניפגש בהם לאורך המסכת. בין הסוברים "אין זיקה" קיימת מחלוקת נוספת, אם בכל זאת ייתכן שתקף איסור הדומה לאיסור עריות בין אשת האח הנפטר לבין המועמד לייבם אותה. למשל, הגמרא מציעה שרב </w:t>
      </w:r>
      <w:proofErr w:type="spellStart"/>
      <w:r w:rsidRPr="00BE020D">
        <w:rPr>
          <w:rFonts w:asciiTheme="minorBidi" w:hAnsiTheme="minorBidi" w:cstheme="minorBidi"/>
          <w:sz w:val="20"/>
          <w:szCs w:val="20"/>
          <w:rtl/>
        </w:rPr>
        <w:t>הונא</w:t>
      </w:r>
      <w:proofErr w:type="spellEnd"/>
      <w:r w:rsidRPr="00BE020D">
        <w:rPr>
          <w:rFonts w:asciiTheme="minorBidi" w:hAnsiTheme="minorBidi" w:cstheme="minorBidi"/>
          <w:sz w:val="20"/>
          <w:szCs w:val="20"/>
          <w:rtl/>
        </w:rPr>
        <w:t xml:space="preserve"> סובר שאסור למייבם לקדש את אִמה של אשת האח הנפטר. זאת לא מפני שקיים איסור עריות ממשי, אלא משום שאם הוא יקדש אותה הוא לא יוכל לייבם את אשת האח הנפטר היות שאסור לקדש אמה ובתה – ואסור לכתחילה לגרום לכך שתתבטל  מצוות ייבום. הדעה הממצה את שיטת "אין זיקה", על פי הגמרא, היא זו של רבן גמליאל, הסובר שגם במקרה שתתבטל מצות ייבום, אין לחשוש לכך. זאת כדי לשמור על עיקרון היסוד המכונן את עצם קדושת האישות – הסכם חופשי בין שני בני אדם – על ידי ביטול כל בחינה של איסור העלול להיראות כאיסור עריות בין האח המייבם לבין אשת האח הנפטר.</w:t>
      </w:r>
      <w:r w:rsidRPr="00BE020D">
        <w:rPr>
          <w:rFonts w:asciiTheme="minorBidi" w:hAnsiTheme="minorBidi" w:cstheme="minorBidi"/>
          <w:rtl/>
        </w:rPr>
        <w:t xml:space="preserve"> </w:t>
      </w:r>
    </w:p>
  </w:footnote>
  <w:footnote w:id="25">
    <w:p w:rsidR="00325361" w:rsidRPr="00BD2344" w:rsidRDefault="00325361" w:rsidP="00EB2CF3">
      <w:pPr>
        <w:pStyle w:val="a7"/>
        <w:rPr>
          <w:rtl/>
        </w:rPr>
      </w:pPr>
      <w:r w:rsidRPr="00BE020D">
        <w:rPr>
          <w:rStyle w:val="a9"/>
        </w:rPr>
        <w:footnoteRef/>
      </w:r>
      <w:r w:rsidRPr="00BE020D">
        <w:rPr>
          <w:rtl/>
        </w:rPr>
        <w:t xml:space="preserve"> מדין תורה היבמה נקנית ליבם רק על ידי ביאה, כאמור במשנה קידושין, א, א, אך חכמים תיקנו שייעשה גם בה הליך של קידושין בכסף או בשטר, הקרוי "מאמר". אמנם, לקידושין אלו אין תוקף מדאורייתא, ולכן במקרה המתואר במשנתנו (יבמות, ב, א) של אח (שמעון) שרק "עשה מאמר" ביבמתו מהאח (ראובן) שלא היה בעולמו של האח הצעיר (לוי), ולא הספיק לייבם אותה בביאה – הדין הוא שהאח לוי אינו פטור מדאורייתא מייבום וחליצה כלפי אשת האח שמעון מדין צרה של ערווה (אשת אחיו שלא היה בעולמו), זאת מפני ששמעון לא היה עם היבמה (אשת ראובן) בקשר אישות של ממש, אלא רק בקשר מדרבנן. לפיכך, ההלכה במקרה זה היא, שאשת שמעון – צרתה של אשת האח ראובן – טעונה חליצה אך אינה </w:t>
      </w:r>
      <w:proofErr w:type="spellStart"/>
      <w:r w:rsidRPr="00BE020D">
        <w:rPr>
          <w:rtl/>
        </w:rPr>
        <w:t>מתייבמת</w:t>
      </w:r>
      <w:proofErr w:type="spellEnd"/>
      <w:r w:rsidRPr="00BE020D">
        <w:rPr>
          <w:rtl/>
        </w:rPr>
        <w:t xml:space="preserve"> על ידי האח לוי.</w:t>
      </w:r>
    </w:p>
  </w:footnote>
  <w:footnote w:id="26">
    <w:p w:rsidR="00325361" w:rsidRPr="00BE020D" w:rsidRDefault="00325361" w:rsidP="00EB2CF3">
      <w:pPr>
        <w:pStyle w:val="a7"/>
        <w:rPr>
          <w:rtl/>
        </w:rPr>
      </w:pPr>
      <w:r w:rsidRPr="00BE020D">
        <w:rPr>
          <w:rStyle w:val="a9"/>
        </w:rPr>
        <w:footnoteRef/>
      </w:r>
      <w:r w:rsidRPr="00BE020D">
        <w:rPr>
          <w:rtl/>
        </w:rPr>
        <w:t xml:space="preserve"> ראו בכרך א של סדרת </w:t>
      </w:r>
      <w:r w:rsidRPr="00BE020D">
        <w:rPr>
          <w:b/>
          <w:bCs/>
          <w:rtl/>
        </w:rPr>
        <w:t>הדף הקיומי</w:t>
      </w:r>
      <w:r w:rsidRPr="00BE020D">
        <w:rPr>
          <w:rtl/>
        </w:rPr>
        <w:t xml:space="preserve">, פרק </w:t>
      </w:r>
      <w:proofErr w:type="spellStart"/>
      <w:r w:rsidRPr="00BE020D">
        <w:rPr>
          <w:rtl/>
        </w:rPr>
        <w:t>יח</w:t>
      </w:r>
      <w:proofErr w:type="spellEnd"/>
      <w:r w:rsidRPr="00BE020D">
        <w:rPr>
          <w:rtl/>
        </w:rPr>
        <w:t>, "מחלוקות בית שמאי ובית הלל", על ביצה פרק א, בחלק השלישי.</w:t>
      </w:r>
    </w:p>
  </w:footnote>
  <w:footnote w:id="27">
    <w:p w:rsidR="00325361" w:rsidRDefault="00325361" w:rsidP="00EB2CF3">
      <w:pPr>
        <w:pStyle w:val="a7"/>
        <w:rPr>
          <w:rtl/>
        </w:rPr>
      </w:pPr>
      <w:r w:rsidRPr="00BE020D">
        <w:rPr>
          <w:rStyle w:val="a9"/>
        </w:rPr>
        <w:footnoteRef/>
      </w:r>
      <w:r w:rsidRPr="00BE020D">
        <w:rPr>
          <w:rtl/>
        </w:rPr>
        <w:t xml:space="preserve"> ראו משנה קידושין, א, א. בית שמאי סובר שכסף הקידושין חייב להיות לפחות "דינר ו[=או] </w:t>
      </w:r>
      <w:proofErr w:type="spellStart"/>
      <w:r w:rsidRPr="00BE020D">
        <w:rPr>
          <w:rtl/>
        </w:rPr>
        <w:t>בשוה</w:t>
      </w:r>
      <w:proofErr w:type="spellEnd"/>
      <w:r w:rsidRPr="00BE020D">
        <w:rPr>
          <w:rtl/>
        </w:rPr>
        <w:t xml:space="preserve"> דינר [מטבע חשוב]". זאת משום שלשיטתו, מעשה הקידושין הרגיל ועיצוב קדושת אישות שבגינו, משתלבים עם כינון הקשר בין איש לאשה על ידי א-</w:t>
      </w:r>
      <w:proofErr w:type="spellStart"/>
      <w:r w:rsidRPr="00BE020D">
        <w:rPr>
          <w:rtl/>
        </w:rPr>
        <w:t>לוהים</w:t>
      </w:r>
      <w:proofErr w:type="spellEnd"/>
      <w:r w:rsidRPr="00BE020D">
        <w:rPr>
          <w:rtl/>
        </w:rPr>
        <w:t xml:space="preserve">. לעומת זאת, לפי בית הלל, על מנת לכונן קשר אישות די ב"פרוטה ו[=או] </w:t>
      </w:r>
      <w:proofErr w:type="spellStart"/>
      <w:r w:rsidRPr="00BE020D">
        <w:rPr>
          <w:rtl/>
        </w:rPr>
        <w:t>בשוה</w:t>
      </w:r>
      <w:proofErr w:type="spellEnd"/>
      <w:r w:rsidRPr="00BE020D">
        <w:rPr>
          <w:rtl/>
        </w:rPr>
        <w:t xml:space="preserve"> פרוטה", המטבע המינימאלי המקיים קשרי מסחר חופשיים בשוק בין שני בני אדם, ראו משנה בבא מציעא, ד, 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53206"/>
    <w:multiLevelType w:val="hybridMultilevel"/>
    <w:tmpl w:val="7A1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316A8"/>
    <w:multiLevelType w:val="hybridMultilevel"/>
    <w:tmpl w:val="BA8ACBC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25361"/>
    <w:rsid w:val="00126D9D"/>
    <w:rsid w:val="00173D2A"/>
    <w:rsid w:val="00325361"/>
    <w:rsid w:val="004C6273"/>
    <w:rsid w:val="007D24EE"/>
    <w:rsid w:val="00A72078"/>
    <w:rsid w:val="00BE020D"/>
    <w:rsid w:val="00D20534"/>
    <w:rsid w:val="00E17BB1"/>
    <w:rsid w:val="00EB2C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295F42-BB00-4EB5-A11B-C92B1B26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36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טקסט"/>
    <w:basedOn w:val="a"/>
    <w:rsid w:val="00325361"/>
    <w:pPr>
      <w:overflowPunct w:val="0"/>
      <w:autoSpaceDE w:val="0"/>
      <w:autoSpaceDN w:val="0"/>
      <w:adjustRightInd w:val="0"/>
      <w:spacing w:after="120"/>
      <w:textAlignment w:val="baseline"/>
    </w:pPr>
    <w:rPr>
      <w:rFonts w:cs="Arial"/>
      <w:sz w:val="22"/>
    </w:rPr>
  </w:style>
  <w:style w:type="paragraph" w:customStyle="1" w:styleId="a4">
    <w:name w:val="כותרת"/>
    <w:basedOn w:val="a3"/>
    <w:next w:val="a5"/>
    <w:rsid w:val="00325361"/>
    <w:pPr>
      <w:spacing w:before="120"/>
      <w:jc w:val="center"/>
    </w:pPr>
    <w:rPr>
      <w:color w:val="333300"/>
      <w:sz w:val="20"/>
      <w:szCs w:val="40"/>
    </w:rPr>
  </w:style>
  <w:style w:type="paragraph" w:customStyle="1" w:styleId="a5">
    <w:name w:val="משנה"/>
    <w:basedOn w:val="a3"/>
    <w:next w:val="a"/>
    <w:rsid w:val="00325361"/>
    <w:pPr>
      <w:spacing w:after="240"/>
      <w:jc w:val="both"/>
    </w:pPr>
    <w:rPr>
      <w:color w:val="FF00FF"/>
      <w:sz w:val="20"/>
      <w:szCs w:val="32"/>
    </w:rPr>
  </w:style>
  <w:style w:type="paragraph" w:customStyle="1" w:styleId="a6">
    <w:name w:val="בין"/>
    <w:basedOn w:val="a"/>
    <w:rsid w:val="00325361"/>
    <w:pPr>
      <w:overflowPunct w:val="0"/>
      <w:autoSpaceDE w:val="0"/>
      <w:autoSpaceDN w:val="0"/>
      <w:adjustRightInd w:val="0"/>
      <w:spacing w:after="120"/>
      <w:textAlignment w:val="baseline"/>
    </w:pPr>
    <w:rPr>
      <w:rFonts w:cs="Arial"/>
      <w:noProof/>
      <w:color w:val="3366FF"/>
      <w:sz w:val="20"/>
      <w:szCs w:val="30"/>
      <w:lang w:eastAsia="he-IL"/>
    </w:rPr>
  </w:style>
  <w:style w:type="paragraph" w:styleId="a7">
    <w:name w:val="footnote text"/>
    <w:basedOn w:val="a"/>
    <w:link w:val="a8"/>
    <w:autoRedefine/>
    <w:qFormat/>
    <w:rsid w:val="00EB2CF3"/>
    <w:pPr>
      <w:spacing w:line="276" w:lineRule="auto"/>
      <w:jc w:val="both"/>
    </w:pPr>
    <w:rPr>
      <w:rFonts w:asciiTheme="minorBidi" w:hAnsiTheme="minorBidi" w:cstheme="minorBidi"/>
      <w:sz w:val="20"/>
      <w:szCs w:val="20"/>
    </w:rPr>
  </w:style>
  <w:style w:type="character" w:customStyle="1" w:styleId="a8">
    <w:name w:val="טקסט הערת שוליים תו"/>
    <w:basedOn w:val="a0"/>
    <w:link w:val="a7"/>
    <w:rsid w:val="00EB2CF3"/>
    <w:rPr>
      <w:rFonts w:asciiTheme="minorBidi" w:eastAsia="Times New Roman" w:hAnsiTheme="minorBidi"/>
      <w:sz w:val="20"/>
      <w:szCs w:val="20"/>
    </w:rPr>
  </w:style>
  <w:style w:type="character" w:styleId="a9">
    <w:name w:val="footnote reference"/>
    <w:uiPriority w:val="99"/>
    <w:rsid w:val="003253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2138</Words>
  <Characters>10695</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הראל</cp:lastModifiedBy>
  <cp:revision>3</cp:revision>
  <dcterms:created xsi:type="dcterms:W3CDTF">2014-10-02T10:11:00Z</dcterms:created>
  <dcterms:modified xsi:type="dcterms:W3CDTF">2014-10-02T10:12:00Z</dcterms:modified>
</cp:coreProperties>
</file>