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8CF" w:rsidRPr="00227862" w:rsidRDefault="00AC08CF" w:rsidP="00AC08CF">
      <w:pPr>
        <w:jc w:val="both"/>
        <w:rPr>
          <w:b/>
          <w:bCs/>
          <w:sz w:val="36"/>
          <w:szCs w:val="36"/>
          <w:u w:val="single"/>
          <w:rtl/>
        </w:rPr>
      </w:pPr>
      <w:bookmarkStart w:id="0" w:name="_GoBack"/>
      <w:bookmarkEnd w:id="0"/>
      <w:r w:rsidRPr="00227862">
        <w:rPr>
          <w:b/>
          <w:bCs/>
          <w:sz w:val="36"/>
          <w:szCs w:val="36"/>
          <w:u w:val="single"/>
          <w:rtl/>
        </w:rPr>
        <w:t xml:space="preserve">אין </w:t>
      </w:r>
      <w:proofErr w:type="spellStart"/>
      <w:r w:rsidRPr="00227862">
        <w:rPr>
          <w:b/>
          <w:bCs/>
          <w:sz w:val="36"/>
          <w:szCs w:val="36"/>
          <w:u w:val="single"/>
          <w:rtl/>
        </w:rPr>
        <w:t>מערבין</w:t>
      </w:r>
      <w:proofErr w:type="spellEnd"/>
      <w:r w:rsidRPr="00227862">
        <w:rPr>
          <w:b/>
          <w:bCs/>
          <w:sz w:val="36"/>
          <w:szCs w:val="36"/>
          <w:u w:val="single"/>
          <w:rtl/>
        </w:rPr>
        <w:t xml:space="preserve"> שמחה בשמחה</w:t>
      </w:r>
      <w:r w:rsidRPr="00227862">
        <w:rPr>
          <w:rFonts w:hint="cs"/>
          <w:b/>
          <w:bCs/>
          <w:sz w:val="36"/>
          <w:szCs w:val="36"/>
          <w:u w:val="single"/>
          <w:rtl/>
        </w:rPr>
        <w:t xml:space="preserve"> (</w:t>
      </w:r>
      <w:r w:rsidRPr="00227862">
        <w:rPr>
          <w:b/>
          <w:bCs/>
          <w:sz w:val="36"/>
          <w:szCs w:val="36"/>
          <w:u w:val="single"/>
          <w:rtl/>
        </w:rPr>
        <w:t>מועד קטן</w:t>
      </w:r>
      <w:r w:rsidRPr="00227862">
        <w:rPr>
          <w:rFonts w:hint="cs"/>
          <w:b/>
          <w:bCs/>
          <w:sz w:val="36"/>
          <w:szCs w:val="36"/>
          <w:u w:val="single"/>
          <w:rtl/>
        </w:rPr>
        <w:t xml:space="preserve"> פרק א, דפים ח-ט)</w:t>
      </w:r>
    </w:p>
    <w:p w:rsidR="00AC08CF" w:rsidRPr="00227862" w:rsidRDefault="00AC08CF" w:rsidP="00AC08CF">
      <w:pPr>
        <w:jc w:val="both"/>
        <w:rPr>
          <w:b/>
          <w:bCs/>
          <w:sz w:val="28"/>
          <w:szCs w:val="28"/>
          <w:rtl/>
        </w:rPr>
      </w:pPr>
      <w:r w:rsidRPr="00227862">
        <w:rPr>
          <w:rFonts w:hint="cs"/>
          <w:b/>
          <w:bCs/>
          <w:sz w:val="28"/>
          <w:szCs w:val="28"/>
          <w:rtl/>
        </w:rPr>
        <w:t>מה בין שמחת חג לבין שמחת ההתקשרות בין איש לאשה? כדי לענות על שאלה זו</w:t>
      </w:r>
      <w:r>
        <w:rPr>
          <w:rFonts w:hint="cs"/>
          <w:b/>
          <w:bCs/>
          <w:sz w:val="28"/>
          <w:szCs w:val="28"/>
          <w:rtl/>
        </w:rPr>
        <w:t>,</w:t>
      </w:r>
      <w:r w:rsidRPr="00227862">
        <w:rPr>
          <w:rFonts w:hint="cs"/>
          <w:b/>
          <w:bCs/>
          <w:sz w:val="28"/>
          <w:szCs w:val="28"/>
          <w:rtl/>
        </w:rPr>
        <w:t xml:space="preserve"> הגמרא מתארת את חנוכת בית המקדש על ידי המלך שלמה. ההיטהרות מביאה את השכינה.</w:t>
      </w:r>
    </w:p>
    <w:p w:rsidR="00AC08CF" w:rsidRPr="00CD389B" w:rsidRDefault="00AC08CF" w:rsidP="00AC08CF">
      <w:pPr>
        <w:jc w:val="both"/>
        <w:rPr>
          <w:rtl/>
        </w:rPr>
      </w:pPr>
    </w:p>
    <w:p w:rsidR="00AC08CF" w:rsidRPr="00CD389B" w:rsidRDefault="00AC08CF" w:rsidP="00AC08CF">
      <w:pPr>
        <w:jc w:val="both"/>
        <w:rPr>
          <w:rtl/>
        </w:rPr>
      </w:pPr>
      <w:r w:rsidRPr="00CD389B">
        <w:rPr>
          <w:rFonts w:hint="cs"/>
          <w:b/>
          <w:bCs/>
          <w:u w:val="single"/>
          <w:rtl/>
        </w:rPr>
        <w:t xml:space="preserve">א. </w:t>
      </w:r>
      <w:r w:rsidRPr="00CD389B">
        <w:rPr>
          <w:b/>
          <w:bCs/>
          <w:u w:val="single"/>
          <w:rtl/>
        </w:rPr>
        <w:t>שמחה מתוך התכוונות</w:t>
      </w:r>
    </w:p>
    <w:p w:rsidR="00AC08CF" w:rsidRPr="00CD389B" w:rsidRDefault="00AC08CF" w:rsidP="00AC08CF">
      <w:pPr>
        <w:jc w:val="both"/>
        <w:rPr>
          <w:rtl/>
        </w:rPr>
      </w:pPr>
      <w:r w:rsidRPr="00CD389B">
        <w:rPr>
          <w:rFonts w:hint="cs"/>
          <w:rtl/>
        </w:rPr>
        <w:t>המשנה בפרק א פוסקת:</w:t>
      </w:r>
    </w:p>
    <w:p w:rsidR="00AC08CF" w:rsidRPr="00CD389B" w:rsidRDefault="00AC08CF" w:rsidP="00AC08CF">
      <w:pPr>
        <w:jc w:val="both"/>
        <w:rPr>
          <w:i/>
          <w:iCs/>
          <w:rtl/>
        </w:rPr>
      </w:pPr>
      <w:r w:rsidRPr="00CD389B">
        <w:rPr>
          <w:i/>
          <w:iCs/>
          <w:rtl/>
        </w:rPr>
        <w:t xml:space="preserve">אין </w:t>
      </w:r>
      <w:proofErr w:type="spellStart"/>
      <w:r w:rsidRPr="00CD389B">
        <w:rPr>
          <w:i/>
          <w:iCs/>
          <w:rtl/>
        </w:rPr>
        <w:t>נושאין</w:t>
      </w:r>
      <w:proofErr w:type="spellEnd"/>
      <w:r w:rsidRPr="00CD389B">
        <w:rPr>
          <w:i/>
          <w:iCs/>
          <w:rtl/>
        </w:rPr>
        <w:t xml:space="preserve"> נשים ב(חול ה) מועד, לא בתולות, ולא אלמנות, ולא </w:t>
      </w:r>
      <w:proofErr w:type="spellStart"/>
      <w:r w:rsidRPr="00CD389B">
        <w:rPr>
          <w:i/>
          <w:iCs/>
          <w:rtl/>
        </w:rPr>
        <w:t>מייבמין</w:t>
      </w:r>
      <w:proofErr w:type="spellEnd"/>
      <w:r w:rsidRPr="00CD389B">
        <w:rPr>
          <w:i/>
          <w:iCs/>
          <w:rtl/>
        </w:rPr>
        <w:t>, מפני ששמחה היא לו</w:t>
      </w:r>
      <w:r w:rsidRPr="00CD389B">
        <w:rPr>
          <w:rFonts w:hint="cs"/>
          <w:i/>
          <w:iCs/>
          <w:rtl/>
        </w:rPr>
        <w:t>...</w:t>
      </w:r>
      <w:r w:rsidRPr="00CD389B">
        <w:rPr>
          <w:i/>
          <w:iCs/>
          <w:vertAlign w:val="superscript"/>
          <w:rtl/>
        </w:rPr>
        <w:footnoteReference w:id="1"/>
      </w:r>
      <w:r w:rsidRPr="00CD389B">
        <w:rPr>
          <w:i/>
          <w:iCs/>
          <w:rtl/>
        </w:rPr>
        <w:t xml:space="preserve"> </w:t>
      </w:r>
    </w:p>
    <w:p w:rsidR="00AC08CF" w:rsidRPr="00CD389B" w:rsidRDefault="00AC08CF" w:rsidP="00AC08CF">
      <w:pPr>
        <w:jc w:val="both"/>
        <w:rPr>
          <w:rtl/>
        </w:rPr>
      </w:pPr>
      <w:r w:rsidRPr="00CD389B">
        <w:rPr>
          <w:rtl/>
        </w:rPr>
        <w:t xml:space="preserve">אחד ההסברים </w:t>
      </w:r>
      <w:r w:rsidRPr="00CD389B">
        <w:rPr>
          <w:rFonts w:hint="cs"/>
          <w:rtl/>
        </w:rPr>
        <w:t>ל</w:t>
      </w:r>
      <w:r w:rsidRPr="00CD389B">
        <w:rPr>
          <w:rtl/>
        </w:rPr>
        <w:t xml:space="preserve">פסיקת </w:t>
      </w:r>
      <w:r w:rsidRPr="00CD389B">
        <w:rPr>
          <w:rFonts w:hint="cs"/>
          <w:rtl/>
        </w:rPr>
        <w:t>זו</w:t>
      </w:r>
      <w:r w:rsidRPr="00CD389B">
        <w:rPr>
          <w:rtl/>
        </w:rPr>
        <w:t xml:space="preserve"> הוא של האמורא שמואל</w:t>
      </w:r>
      <w:r w:rsidRPr="00CD389B">
        <w:rPr>
          <w:rFonts w:hint="cs"/>
          <w:rtl/>
        </w:rPr>
        <w:t xml:space="preserve"> (וכן הסבירו רבי </w:t>
      </w:r>
      <w:proofErr w:type="spellStart"/>
      <w:r w:rsidRPr="00CD389B">
        <w:rPr>
          <w:rFonts w:hint="cs"/>
          <w:rtl/>
        </w:rPr>
        <w:t>אושעיא</w:t>
      </w:r>
      <w:proofErr w:type="spellEnd"/>
      <w:r w:rsidRPr="00CD389B">
        <w:rPr>
          <w:rFonts w:hint="cs"/>
          <w:rtl/>
        </w:rPr>
        <w:t xml:space="preserve"> או רבי </w:t>
      </w:r>
      <w:proofErr w:type="spellStart"/>
      <w:r w:rsidRPr="00CD389B">
        <w:rPr>
          <w:rFonts w:hint="cs"/>
          <w:rtl/>
        </w:rPr>
        <w:t>חנינא</w:t>
      </w:r>
      <w:proofErr w:type="spellEnd"/>
      <w:r w:rsidRPr="00CD389B">
        <w:rPr>
          <w:rFonts w:hint="cs"/>
          <w:rtl/>
        </w:rPr>
        <w:t>):</w:t>
      </w:r>
      <w:r w:rsidRPr="00CD389B">
        <w:rPr>
          <w:rtl/>
        </w:rPr>
        <w:t xml:space="preserve"> "</w:t>
      </w:r>
      <w:r w:rsidRPr="00CD389B">
        <w:rPr>
          <w:rFonts w:hint="cs"/>
          <w:rtl/>
        </w:rPr>
        <w:t>לפי ש</w:t>
      </w:r>
      <w:r w:rsidRPr="00CD389B">
        <w:rPr>
          <w:rtl/>
        </w:rPr>
        <w:t xml:space="preserve">אין </w:t>
      </w:r>
      <w:proofErr w:type="spellStart"/>
      <w:r w:rsidRPr="00CD389B">
        <w:rPr>
          <w:rtl/>
        </w:rPr>
        <w:t>מערבין</w:t>
      </w:r>
      <w:proofErr w:type="spellEnd"/>
      <w:r w:rsidRPr="00CD389B">
        <w:rPr>
          <w:rtl/>
        </w:rPr>
        <w:t xml:space="preserve"> שמחה בשמחה".</w:t>
      </w:r>
      <w:r w:rsidRPr="00CD389B">
        <w:rPr>
          <w:vertAlign w:val="superscript"/>
          <w:rtl/>
        </w:rPr>
        <w:footnoteReference w:id="2"/>
      </w:r>
      <w:r w:rsidRPr="00CD389B">
        <w:rPr>
          <w:rtl/>
        </w:rPr>
        <w:t xml:space="preserve"> דברי בעלי התוספות </w:t>
      </w:r>
      <w:r w:rsidRPr="00CD389B">
        <w:rPr>
          <w:rFonts w:hint="cs"/>
          <w:rtl/>
        </w:rPr>
        <w:t>על</w:t>
      </w:r>
      <w:r w:rsidRPr="00CD389B">
        <w:rPr>
          <w:rtl/>
        </w:rPr>
        <w:t xml:space="preserve"> הכלל הידוע מעוררים עניין. לדבריהם</w:t>
      </w:r>
      <w:r w:rsidRPr="00CD389B">
        <w:rPr>
          <w:rFonts w:hint="cs"/>
          <w:rtl/>
        </w:rPr>
        <w:t>,</w:t>
      </w:r>
      <w:r w:rsidRPr="00CD389B">
        <w:rPr>
          <w:rtl/>
        </w:rPr>
        <w:t xml:space="preserve"> ההיגיון הפנימי של הכלל טמון בחובת ההתכוונות</w:t>
      </w:r>
      <w:r w:rsidRPr="00CD389B">
        <w:rPr>
          <w:rFonts w:hint="cs"/>
          <w:rtl/>
        </w:rPr>
        <w:t>:</w:t>
      </w:r>
    </w:p>
    <w:p w:rsidR="00AC08CF" w:rsidRPr="00CD389B" w:rsidRDefault="00AC08CF" w:rsidP="00AC08CF">
      <w:pPr>
        <w:jc w:val="both"/>
        <w:rPr>
          <w:i/>
          <w:iCs/>
          <w:rtl/>
        </w:rPr>
      </w:pPr>
      <w:r w:rsidRPr="00CD389B">
        <w:rPr>
          <w:i/>
          <w:iCs/>
          <w:rtl/>
        </w:rPr>
        <w:t>וטעם</w:t>
      </w:r>
      <w:r w:rsidRPr="00CD389B">
        <w:rPr>
          <w:rFonts w:hint="cs"/>
          <w:i/>
          <w:iCs/>
          <w:rtl/>
        </w:rPr>
        <w:t xml:space="preserve"> </w:t>
      </w:r>
      <w:r w:rsidRPr="00CD389B">
        <w:rPr>
          <w:i/>
          <w:iCs/>
          <w:rtl/>
        </w:rPr>
        <w:t>– נראה קצת</w:t>
      </w:r>
      <w:r w:rsidRPr="00CD389B">
        <w:rPr>
          <w:rFonts w:hint="cs"/>
          <w:i/>
          <w:iCs/>
          <w:rtl/>
        </w:rPr>
        <w:t>,</w:t>
      </w:r>
      <w:r w:rsidRPr="00CD389B">
        <w:rPr>
          <w:i/>
          <w:iCs/>
          <w:rtl/>
        </w:rPr>
        <w:t xml:space="preserve"> </w:t>
      </w:r>
      <w:proofErr w:type="spellStart"/>
      <w:r w:rsidRPr="00CD389B">
        <w:rPr>
          <w:i/>
          <w:iCs/>
          <w:rtl/>
        </w:rPr>
        <w:t>דכמו</w:t>
      </w:r>
      <w:proofErr w:type="spellEnd"/>
      <w:r w:rsidRPr="00CD389B">
        <w:rPr>
          <w:i/>
          <w:iCs/>
          <w:rtl/>
        </w:rPr>
        <w:t xml:space="preserve"> שאין </w:t>
      </w:r>
      <w:proofErr w:type="spellStart"/>
      <w:r w:rsidRPr="00CD389B">
        <w:rPr>
          <w:i/>
          <w:iCs/>
          <w:rtl/>
        </w:rPr>
        <w:t>עושין</w:t>
      </w:r>
      <w:proofErr w:type="spellEnd"/>
      <w:r w:rsidRPr="00CD389B">
        <w:rPr>
          <w:i/>
          <w:iCs/>
          <w:rtl/>
        </w:rPr>
        <w:t xml:space="preserve"> מצוות חבילות </w:t>
      </w:r>
      <w:proofErr w:type="spellStart"/>
      <w:r w:rsidRPr="00CD389B">
        <w:rPr>
          <w:i/>
          <w:iCs/>
          <w:rtl/>
        </w:rPr>
        <w:t>חבילות</w:t>
      </w:r>
      <w:proofErr w:type="spellEnd"/>
      <w:r w:rsidRPr="00CD389B">
        <w:rPr>
          <w:rFonts w:hint="cs"/>
          <w:i/>
          <w:iCs/>
          <w:rtl/>
        </w:rPr>
        <w:t xml:space="preserve"> (ברכות מט ע"א ועוד)</w:t>
      </w:r>
      <w:r w:rsidRPr="00CD389B">
        <w:rPr>
          <w:i/>
          <w:iCs/>
          <w:rtl/>
        </w:rPr>
        <w:t xml:space="preserve">, </w:t>
      </w:r>
      <w:proofErr w:type="spellStart"/>
      <w:r w:rsidRPr="00CD389B">
        <w:rPr>
          <w:i/>
          <w:iCs/>
          <w:rtl/>
        </w:rPr>
        <w:t>דבעינן</w:t>
      </w:r>
      <w:proofErr w:type="spellEnd"/>
      <w:r w:rsidRPr="00CD389B">
        <w:rPr>
          <w:i/>
          <w:iCs/>
          <w:rtl/>
        </w:rPr>
        <w:t xml:space="preserve"> (שצריך) שיהא לבו פנוי </w:t>
      </w:r>
      <w:proofErr w:type="spellStart"/>
      <w:r w:rsidRPr="00CD389B">
        <w:rPr>
          <w:i/>
          <w:iCs/>
          <w:rtl/>
        </w:rPr>
        <w:t>למצוה</w:t>
      </w:r>
      <w:proofErr w:type="spellEnd"/>
      <w:r w:rsidRPr="00CD389B">
        <w:rPr>
          <w:i/>
          <w:iCs/>
          <w:rtl/>
        </w:rPr>
        <w:t xml:space="preserve"> אחת ולא יפנה עצמו הימנה (ממנה); וכן שמחה בשמחה – יהיה לבו פנוי בשמחה.</w:t>
      </w:r>
      <w:r w:rsidRPr="00CD389B">
        <w:rPr>
          <w:i/>
          <w:iCs/>
          <w:vertAlign w:val="superscript"/>
          <w:rtl/>
        </w:rPr>
        <w:footnoteReference w:id="3"/>
      </w:r>
    </w:p>
    <w:p w:rsidR="00AC08CF" w:rsidRPr="00CD389B" w:rsidRDefault="00AC08CF" w:rsidP="00AC08CF">
      <w:pPr>
        <w:jc w:val="both"/>
        <w:rPr>
          <w:rtl/>
        </w:rPr>
      </w:pPr>
      <w:r w:rsidRPr="00CD389B">
        <w:rPr>
          <w:rtl/>
        </w:rPr>
        <w:t xml:space="preserve">בחול המועד אדם אמור להיות מרוכז בשמחת החג מבלי להיסחף בעוצמות השמחה של התקשרות איש ואשה. </w:t>
      </w:r>
    </w:p>
    <w:p w:rsidR="00AC08CF" w:rsidRPr="00CD389B" w:rsidRDefault="00AC08CF" w:rsidP="00AC08CF">
      <w:pPr>
        <w:jc w:val="both"/>
        <w:rPr>
          <w:rtl/>
        </w:rPr>
      </w:pPr>
      <w:r w:rsidRPr="00CD389B">
        <w:rPr>
          <w:rtl/>
        </w:rPr>
        <w:t>הניסוח של בעלי התוספות מזכיר הנחיה מרכזית של הרמב"ם בתפילה</w:t>
      </w:r>
      <w:r w:rsidRPr="00CD389B">
        <w:rPr>
          <w:rFonts w:hint="cs"/>
          <w:rtl/>
        </w:rPr>
        <w:t>:</w:t>
      </w:r>
      <w:r w:rsidRPr="00CD389B">
        <w:rPr>
          <w:rtl/>
        </w:rPr>
        <w:t xml:space="preserve"> </w:t>
      </w:r>
    </w:p>
    <w:p w:rsidR="00AC08CF" w:rsidRPr="00CD389B" w:rsidRDefault="00AC08CF" w:rsidP="00AC08CF">
      <w:pPr>
        <w:jc w:val="both"/>
        <w:rPr>
          <w:i/>
          <w:iCs/>
          <w:rtl/>
        </w:rPr>
      </w:pPr>
      <w:r w:rsidRPr="00CD389B">
        <w:rPr>
          <w:i/>
          <w:iCs/>
          <w:rtl/>
        </w:rPr>
        <w:t>כו</w:t>
      </w:r>
      <w:r>
        <w:rPr>
          <w:rFonts w:hint="cs"/>
          <w:i/>
          <w:iCs/>
          <w:rtl/>
        </w:rPr>
        <w:t>ו</w:t>
      </w:r>
      <w:r w:rsidRPr="00CD389B">
        <w:rPr>
          <w:i/>
          <w:iCs/>
          <w:rtl/>
        </w:rPr>
        <w:t>נת הלב כיצד? כל תפלה שאינה בכו</w:t>
      </w:r>
      <w:r>
        <w:rPr>
          <w:rFonts w:hint="cs"/>
          <w:i/>
          <w:iCs/>
          <w:rtl/>
        </w:rPr>
        <w:t>ו</w:t>
      </w:r>
      <w:r w:rsidRPr="00CD389B">
        <w:rPr>
          <w:i/>
          <w:iCs/>
          <w:rtl/>
        </w:rPr>
        <w:t>נה אינה תפלה. ואם התפלל שלא בכו</w:t>
      </w:r>
      <w:r>
        <w:rPr>
          <w:rFonts w:hint="cs"/>
          <w:i/>
          <w:iCs/>
          <w:rtl/>
        </w:rPr>
        <w:t>ו</w:t>
      </w:r>
      <w:r w:rsidRPr="00CD389B">
        <w:rPr>
          <w:i/>
          <w:iCs/>
          <w:rtl/>
        </w:rPr>
        <w:t xml:space="preserve">נה חוזר ומתפלל </w:t>
      </w:r>
      <w:proofErr w:type="spellStart"/>
      <w:r w:rsidRPr="00CD389B">
        <w:rPr>
          <w:i/>
          <w:iCs/>
          <w:rtl/>
        </w:rPr>
        <w:t>בכו</w:t>
      </w:r>
      <w:r w:rsidRPr="00CD389B">
        <w:rPr>
          <w:rFonts w:hint="cs"/>
          <w:i/>
          <w:iCs/>
          <w:rtl/>
        </w:rPr>
        <w:t>נ</w:t>
      </w:r>
      <w:r w:rsidRPr="00CD389B">
        <w:rPr>
          <w:i/>
          <w:iCs/>
          <w:rtl/>
        </w:rPr>
        <w:t>ה</w:t>
      </w:r>
      <w:proofErr w:type="spellEnd"/>
      <w:r w:rsidRPr="00CD389B">
        <w:rPr>
          <w:i/>
          <w:iCs/>
          <w:rtl/>
        </w:rPr>
        <w:t>. מצא דעתו משובשת ולבו טרוד</w:t>
      </w:r>
      <w:r w:rsidRPr="00CD389B">
        <w:rPr>
          <w:rFonts w:hint="cs"/>
          <w:i/>
          <w:iCs/>
          <w:rtl/>
        </w:rPr>
        <w:t xml:space="preserve"> </w:t>
      </w:r>
      <w:r w:rsidRPr="00CD389B">
        <w:rPr>
          <w:i/>
          <w:iCs/>
          <w:rtl/>
        </w:rPr>
        <w:t xml:space="preserve">– אסור לו להתפלל עד </w:t>
      </w:r>
      <w:proofErr w:type="spellStart"/>
      <w:r w:rsidRPr="00CD389B">
        <w:rPr>
          <w:i/>
          <w:iCs/>
          <w:rtl/>
        </w:rPr>
        <w:t>שתתישב</w:t>
      </w:r>
      <w:proofErr w:type="spellEnd"/>
      <w:r w:rsidRPr="00CD389B">
        <w:rPr>
          <w:i/>
          <w:iCs/>
          <w:rtl/>
        </w:rPr>
        <w:t xml:space="preserve"> דעתו... כיצד היא הכ</w:t>
      </w:r>
      <w:r>
        <w:rPr>
          <w:rFonts w:hint="cs"/>
          <w:i/>
          <w:iCs/>
          <w:rtl/>
        </w:rPr>
        <w:t>ו</w:t>
      </w:r>
      <w:r w:rsidRPr="00CD389B">
        <w:rPr>
          <w:i/>
          <w:iCs/>
          <w:rtl/>
        </w:rPr>
        <w:t>ונה? שיפַנה את לבו מכל המחשבות ויראה את עצמו כאִלו הוא עומד לפני השכינה.</w:t>
      </w:r>
      <w:r w:rsidRPr="00CD389B">
        <w:rPr>
          <w:i/>
          <w:iCs/>
          <w:vertAlign w:val="superscript"/>
          <w:rtl/>
        </w:rPr>
        <w:footnoteReference w:id="4"/>
      </w:r>
    </w:p>
    <w:p w:rsidR="00AC08CF" w:rsidRPr="00CD389B" w:rsidRDefault="00AC08CF" w:rsidP="00AC08CF">
      <w:pPr>
        <w:jc w:val="both"/>
        <w:rPr>
          <w:rtl/>
        </w:rPr>
      </w:pPr>
      <w:r w:rsidRPr="00CD389B">
        <w:rPr>
          <w:rtl/>
        </w:rPr>
        <w:t xml:space="preserve">כמו תפילה, גם שמחה חייבת התמקדות, "פינוי הלב" לשם התכוונות, במובן של התמלאות הנפש בנקודת השמחה המיוחדת הפועלת בה. </w:t>
      </w:r>
    </w:p>
    <w:p w:rsidR="00AC08CF" w:rsidRPr="00CD389B" w:rsidRDefault="00AC08CF" w:rsidP="00AC08CF">
      <w:pPr>
        <w:jc w:val="both"/>
        <w:rPr>
          <w:rtl/>
        </w:rPr>
      </w:pPr>
      <w:r w:rsidRPr="00CD389B">
        <w:rPr>
          <w:rtl/>
        </w:rPr>
        <w:t>בתלמוד הירושלמי מופיע הסבר לכלל של שמואל המבסס את עיקרון ההתכוונות.</w:t>
      </w:r>
      <w:r w:rsidRPr="00CD389B">
        <w:rPr>
          <w:vertAlign w:val="superscript"/>
          <w:rtl/>
        </w:rPr>
        <w:footnoteReference w:id="5"/>
      </w:r>
      <w:r w:rsidRPr="00CD389B">
        <w:rPr>
          <w:rtl/>
        </w:rPr>
        <w:t xml:space="preserve"> רבי </w:t>
      </w:r>
      <w:r w:rsidRPr="00CD389B">
        <w:rPr>
          <w:rFonts w:hint="cs"/>
          <w:rtl/>
        </w:rPr>
        <w:t>יעקב</w:t>
      </w:r>
      <w:r w:rsidRPr="00CD389B">
        <w:rPr>
          <w:rtl/>
        </w:rPr>
        <w:t xml:space="preserve"> בר א</w:t>
      </w:r>
      <w:r w:rsidRPr="00CD389B">
        <w:rPr>
          <w:rFonts w:hint="cs"/>
          <w:rtl/>
        </w:rPr>
        <w:t>ח</w:t>
      </w:r>
      <w:r w:rsidRPr="00CD389B">
        <w:rPr>
          <w:rtl/>
        </w:rPr>
        <w:t xml:space="preserve">א רואה בסיפור חתונת יעקב עם שתי האחיות לאה ורחל את הבסיס ל"אין </w:t>
      </w:r>
      <w:proofErr w:type="spellStart"/>
      <w:r w:rsidRPr="00CD389B">
        <w:rPr>
          <w:rtl/>
        </w:rPr>
        <w:t>מערבין</w:t>
      </w:r>
      <w:proofErr w:type="spellEnd"/>
      <w:r w:rsidRPr="00CD389B">
        <w:rPr>
          <w:rtl/>
        </w:rPr>
        <w:t xml:space="preserve"> שמחה בשמחה". לאחר נישואיו עם לאה</w:t>
      </w:r>
      <w:r w:rsidRPr="00CD389B">
        <w:rPr>
          <w:rFonts w:hint="cs"/>
          <w:rtl/>
        </w:rPr>
        <w:t>,</w:t>
      </w:r>
      <w:r w:rsidRPr="00CD389B">
        <w:rPr>
          <w:rtl/>
        </w:rPr>
        <w:t xml:space="preserve"> מבקש לבן מיעקב</w:t>
      </w:r>
      <w:r w:rsidRPr="00CD389B">
        <w:rPr>
          <w:rFonts w:hint="cs"/>
          <w:rtl/>
        </w:rPr>
        <w:t>:</w:t>
      </w:r>
      <w:r w:rsidRPr="00CD389B">
        <w:rPr>
          <w:rtl/>
        </w:rPr>
        <w:t xml:space="preserve"> "</w:t>
      </w:r>
      <w:r w:rsidRPr="00CD389B">
        <w:rPr>
          <w:rFonts w:hint="eastAsia"/>
          <w:rtl/>
        </w:rPr>
        <w:t>מַלֵּא</w:t>
      </w:r>
      <w:r w:rsidRPr="00CD389B">
        <w:rPr>
          <w:rtl/>
        </w:rPr>
        <w:t xml:space="preserve"> </w:t>
      </w:r>
      <w:r w:rsidRPr="00CD389B">
        <w:rPr>
          <w:rFonts w:hint="eastAsia"/>
          <w:rtl/>
        </w:rPr>
        <w:t>שְׁבֻעַ</w:t>
      </w:r>
      <w:r w:rsidRPr="00CD389B">
        <w:rPr>
          <w:rtl/>
        </w:rPr>
        <w:t xml:space="preserve"> </w:t>
      </w:r>
      <w:r w:rsidRPr="00CD389B">
        <w:rPr>
          <w:rFonts w:hint="eastAsia"/>
          <w:rtl/>
        </w:rPr>
        <w:t>זֹאת</w:t>
      </w:r>
      <w:r w:rsidRPr="00CD389B">
        <w:rPr>
          <w:rtl/>
        </w:rPr>
        <w:t>"</w:t>
      </w:r>
      <w:r w:rsidRPr="00CD389B">
        <w:rPr>
          <w:rFonts w:hint="cs"/>
          <w:rtl/>
        </w:rPr>
        <w:t>,</w:t>
      </w:r>
      <w:r w:rsidRPr="00CD389B">
        <w:rPr>
          <w:vertAlign w:val="superscript"/>
          <w:rtl/>
        </w:rPr>
        <w:footnoteReference w:id="6"/>
      </w:r>
      <w:r w:rsidRPr="00CD389B">
        <w:rPr>
          <w:rtl/>
        </w:rPr>
        <w:t xml:space="preserve"> לפני מימוש הנישואין עם רחל. נדרשת התמסרות מלאה במחשבה, ברגש ובגוף מבלי לערב בהתכוונות זו את ההתקרבות לאחות. שתי השמחות יעצבו יחד את חיי יעקב, את אישיותו </w:t>
      </w:r>
      <w:r w:rsidRPr="00CD389B">
        <w:rPr>
          <w:rtl/>
        </w:rPr>
        <w:lastRenderedPageBreak/>
        <w:t>ואת ביתו</w:t>
      </w:r>
      <w:r w:rsidRPr="00CD389B">
        <w:rPr>
          <w:rFonts w:hint="cs"/>
          <w:rtl/>
        </w:rPr>
        <w:t xml:space="preserve"> </w:t>
      </w:r>
      <w:r w:rsidRPr="00CD389B">
        <w:rPr>
          <w:rtl/>
        </w:rPr>
        <w:t>–</w:t>
      </w:r>
      <w:r w:rsidRPr="00CD389B">
        <w:rPr>
          <w:rFonts w:hint="cs"/>
          <w:rtl/>
        </w:rPr>
        <w:t xml:space="preserve"> </w:t>
      </w:r>
      <w:r w:rsidRPr="00CD389B">
        <w:rPr>
          <w:rtl/>
        </w:rPr>
        <w:t>אבל בשעת שמחת ההתקשרות חובה עליו להתמלא בלי גבול בשמחה המיוחדת של כל אחת.</w:t>
      </w:r>
    </w:p>
    <w:p w:rsidR="00AC08CF" w:rsidRPr="00CD389B" w:rsidRDefault="00AC08CF" w:rsidP="00AC08CF">
      <w:pPr>
        <w:jc w:val="both"/>
        <w:rPr>
          <w:rtl/>
        </w:rPr>
      </w:pPr>
      <w:r w:rsidRPr="00CD389B">
        <w:rPr>
          <w:rtl/>
        </w:rPr>
        <w:t xml:space="preserve">אלא שבבירור הלכתי של בעלי התוספות מסתמן בסיס שונה לכלל "אין </w:t>
      </w:r>
      <w:proofErr w:type="spellStart"/>
      <w:r w:rsidRPr="00CD389B">
        <w:rPr>
          <w:rtl/>
        </w:rPr>
        <w:t>מערבין</w:t>
      </w:r>
      <w:proofErr w:type="spellEnd"/>
      <w:r w:rsidRPr="00CD389B">
        <w:rPr>
          <w:rtl/>
        </w:rPr>
        <w:t xml:space="preserve"> שמחה בשמחה"</w:t>
      </w:r>
      <w:r w:rsidRPr="00CD389B">
        <w:rPr>
          <w:rFonts w:hint="cs"/>
          <w:rtl/>
        </w:rPr>
        <w:t>,</w:t>
      </w:r>
      <w:r w:rsidRPr="00CD389B">
        <w:rPr>
          <w:rtl/>
        </w:rPr>
        <w:t xml:space="preserve"> המעמיד את פסיקת המשנה ואת הכלל באור חדש. יש לשאול – האם המקרים המוזכרים במשנה</w:t>
      </w:r>
      <w:r w:rsidRPr="00CD389B">
        <w:rPr>
          <w:rFonts w:hint="cs"/>
          <w:rtl/>
        </w:rPr>
        <w:t xml:space="preserve">, העוסקים כולם ביחסים בין איש לאשה, </w:t>
      </w:r>
      <w:r w:rsidRPr="00CD389B">
        <w:rPr>
          <w:rtl/>
        </w:rPr>
        <w:t>הם מודלים למקרים נוספים או שמא הן דוגמאות הממצות לחלוטין את "הכלל"?</w:t>
      </w:r>
    </w:p>
    <w:p w:rsidR="00AC08CF" w:rsidRPr="00CD389B" w:rsidRDefault="00AC08CF" w:rsidP="00AC08CF">
      <w:pPr>
        <w:jc w:val="both"/>
        <w:rPr>
          <w:rtl/>
        </w:rPr>
      </w:pPr>
      <w:r w:rsidRPr="00CD389B">
        <w:rPr>
          <w:rtl/>
        </w:rPr>
        <w:t>באופן מפתיע</w:t>
      </w:r>
      <w:r w:rsidRPr="00CD389B">
        <w:rPr>
          <w:rFonts w:hint="cs"/>
          <w:rtl/>
        </w:rPr>
        <w:t>,</w:t>
      </w:r>
      <w:r w:rsidRPr="00CD389B">
        <w:rPr>
          <w:rtl/>
        </w:rPr>
        <w:t xml:space="preserve"> מסקנת בעלי התוספות היא "דלא </w:t>
      </w:r>
      <w:proofErr w:type="spellStart"/>
      <w:r w:rsidRPr="00CD389B">
        <w:rPr>
          <w:rtl/>
        </w:rPr>
        <w:t>חשיבי</w:t>
      </w:r>
      <w:proofErr w:type="spellEnd"/>
      <w:r w:rsidRPr="00CD389B">
        <w:rPr>
          <w:rtl/>
        </w:rPr>
        <w:t xml:space="preserve"> (אין אנו מחשיבים את האיסור של ההתנגשות) שמחה בשמחה כי אם סעודת נישואין לבד",</w:t>
      </w:r>
      <w:r w:rsidRPr="00CD389B">
        <w:rPr>
          <w:vertAlign w:val="superscript"/>
          <w:rtl/>
        </w:rPr>
        <w:footnoteReference w:id="7"/>
      </w:r>
      <w:r w:rsidRPr="00CD389B">
        <w:rPr>
          <w:rtl/>
        </w:rPr>
        <w:t xml:space="preserve"> ואכן, עם סייגים מסוימים</w:t>
      </w:r>
      <w:r w:rsidRPr="00CD389B">
        <w:rPr>
          <w:rFonts w:hint="cs"/>
          <w:rtl/>
        </w:rPr>
        <w:t>,</w:t>
      </w:r>
      <w:r w:rsidRPr="00CD389B">
        <w:rPr>
          <w:rtl/>
        </w:rPr>
        <w:t xml:space="preserve"> כך התקבל להלכה.</w:t>
      </w:r>
      <w:r w:rsidRPr="00CD389B">
        <w:rPr>
          <w:vertAlign w:val="superscript"/>
          <w:rtl/>
        </w:rPr>
        <w:footnoteReference w:id="8"/>
      </w:r>
      <w:r w:rsidRPr="00CD389B">
        <w:rPr>
          <w:rtl/>
        </w:rPr>
        <w:t xml:space="preserve"> העמדה זו של המשנה מודגשת במיוחד לפי דרשה אחרת ב</w:t>
      </w:r>
      <w:r w:rsidRPr="00CD389B">
        <w:rPr>
          <w:rFonts w:hint="cs"/>
          <w:rtl/>
        </w:rPr>
        <w:t>גמרא, הדרשה של רב</w:t>
      </w:r>
      <w:r w:rsidRPr="00CD389B">
        <w:rPr>
          <w:rtl/>
        </w:rPr>
        <w:t xml:space="preserve"> – "'ושמחת בחגך' (דברים </w:t>
      </w:r>
      <w:proofErr w:type="spellStart"/>
      <w:r w:rsidRPr="00CD389B">
        <w:rPr>
          <w:rtl/>
        </w:rPr>
        <w:t>טז</w:t>
      </w:r>
      <w:proofErr w:type="spellEnd"/>
      <w:r w:rsidRPr="00CD389B">
        <w:rPr>
          <w:rtl/>
        </w:rPr>
        <w:t>, יד), בחגך – ולא באשתך".</w:t>
      </w:r>
      <w:r w:rsidRPr="00CD389B">
        <w:rPr>
          <w:vertAlign w:val="superscript"/>
          <w:rtl/>
        </w:rPr>
        <w:footnoteReference w:id="9"/>
      </w:r>
      <w:r w:rsidRPr="00CD389B">
        <w:rPr>
          <w:rtl/>
        </w:rPr>
        <w:t xml:space="preserve"> לפי דרשה זו</w:t>
      </w:r>
      <w:r w:rsidRPr="00CD389B">
        <w:rPr>
          <w:rFonts w:hint="cs"/>
          <w:rtl/>
        </w:rPr>
        <w:t>,</w:t>
      </w:r>
      <w:r w:rsidRPr="00CD389B">
        <w:rPr>
          <w:rtl/>
        </w:rPr>
        <w:t xml:space="preserve"> </w:t>
      </w:r>
      <w:r w:rsidRPr="00CD389B">
        <w:rPr>
          <w:rFonts w:hint="cs"/>
          <w:rtl/>
        </w:rPr>
        <w:t xml:space="preserve">דווקא </w:t>
      </w:r>
      <w:r w:rsidRPr="00CD389B">
        <w:rPr>
          <w:rtl/>
        </w:rPr>
        <w:t xml:space="preserve">שמחת ההתקשרות של איש ואשה </w:t>
      </w:r>
      <w:r w:rsidRPr="00CD389B">
        <w:rPr>
          <w:rFonts w:hint="cs"/>
          <w:rtl/>
        </w:rPr>
        <w:t>נ</w:t>
      </w:r>
      <w:r w:rsidRPr="00CD389B">
        <w:rPr>
          <w:rtl/>
        </w:rPr>
        <w:t xml:space="preserve">זכרה בפסיקת המשנה </w:t>
      </w:r>
      <w:r w:rsidRPr="00CD389B">
        <w:rPr>
          <w:rFonts w:hint="cs"/>
          <w:rtl/>
        </w:rPr>
        <w:t>בשל</w:t>
      </w:r>
      <w:r w:rsidRPr="00CD389B">
        <w:rPr>
          <w:rtl/>
        </w:rPr>
        <w:t xml:space="preserve"> הייחוד שבמפגש ביניה</w:t>
      </w:r>
      <w:r w:rsidRPr="00CD389B">
        <w:rPr>
          <w:rFonts w:hint="cs"/>
          <w:rtl/>
        </w:rPr>
        <w:t>ם</w:t>
      </w:r>
      <w:r w:rsidRPr="00CD389B">
        <w:rPr>
          <w:rtl/>
        </w:rPr>
        <w:t>, ו</w:t>
      </w:r>
      <w:r w:rsidRPr="00CD389B">
        <w:rPr>
          <w:rFonts w:hint="cs"/>
          <w:rtl/>
        </w:rPr>
        <w:t xml:space="preserve">לכן </w:t>
      </w:r>
      <w:r w:rsidRPr="00CD389B">
        <w:rPr>
          <w:rtl/>
        </w:rPr>
        <w:t>אין ליישם את הכלל</w:t>
      </w:r>
      <w:r w:rsidRPr="00CD389B">
        <w:rPr>
          <w:rFonts w:hint="cs"/>
          <w:rtl/>
        </w:rPr>
        <w:t xml:space="preserve"> </w:t>
      </w:r>
      <w:r w:rsidRPr="00CD389B">
        <w:rPr>
          <w:rtl/>
        </w:rPr>
        <w:t xml:space="preserve">"אין </w:t>
      </w:r>
      <w:proofErr w:type="spellStart"/>
      <w:r w:rsidRPr="00CD389B">
        <w:rPr>
          <w:rtl/>
        </w:rPr>
        <w:t>מערבין</w:t>
      </w:r>
      <w:proofErr w:type="spellEnd"/>
      <w:r w:rsidRPr="00CD389B">
        <w:rPr>
          <w:rtl/>
        </w:rPr>
        <w:t xml:space="preserve"> שמחה בשמחה" בשמחות אחרות.</w:t>
      </w:r>
    </w:p>
    <w:p w:rsidR="00AC08CF" w:rsidRPr="00CD389B" w:rsidRDefault="00AC08CF" w:rsidP="00AC08CF">
      <w:pPr>
        <w:jc w:val="both"/>
        <w:rPr>
          <w:rtl/>
        </w:rPr>
      </w:pPr>
    </w:p>
    <w:p w:rsidR="00AC08CF" w:rsidRPr="00CD389B" w:rsidRDefault="00AC08CF" w:rsidP="00AC08CF">
      <w:pPr>
        <w:jc w:val="both"/>
        <w:rPr>
          <w:b/>
          <w:bCs/>
          <w:u w:val="single"/>
          <w:rtl/>
        </w:rPr>
      </w:pPr>
      <w:r w:rsidRPr="00CD389B">
        <w:rPr>
          <w:rFonts w:hint="cs"/>
          <w:b/>
          <w:bCs/>
          <w:u w:val="single"/>
          <w:rtl/>
        </w:rPr>
        <w:t xml:space="preserve">ב. </w:t>
      </w:r>
      <w:r w:rsidRPr="00CD389B">
        <w:rPr>
          <w:b/>
          <w:bCs/>
          <w:u w:val="single"/>
          <w:rtl/>
        </w:rPr>
        <w:t xml:space="preserve">שמחת </w:t>
      </w:r>
      <w:r w:rsidRPr="00CD389B">
        <w:rPr>
          <w:rFonts w:hint="cs"/>
          <w:b/>
          <w:bCs/>
          <w:u w:val="single"/>
          <w:rtl/>
        </w:rPr>
        <w:t xml:space="preserve">המלך </w:t>
      </w:r>
      <w:r w:rsidRPr="00CD389B">
        <w:rPr>
          <w:b/>
          <w:bCs/>
          <w:u w:val="single"/>
          <w:rtl/>
        </w:rPr>
        <w:t>שלמה</w:t>
      </w:r>
    </w:p>
    <w:p w:rsidR="00AC08CF" w:rsidRPr="00CD389B" w:rsidRDefault="00AC08CF" w:rsidP="00AC08CF">
      <w:pPr>
        <w:jc w:val="both"/>
        <w:rPr>
          <w:rtl/>
        </w:rPr>
      </w:pPr>
      <w:r w:rsidRPr="00CD389B">
        <w:rPr>
          <w:rtl/>
        </w:rPr>
        <w:t>עיון בסדר המשניות ובסוגית הגמרא מחזק את המסקנה ההלכתית של בעלי התוספות וחושף את משמעות</w:t>
      </w:r>
      <w:r w:rsidRPr="00CD389B">
        <w:rPr>
          <w:rFonts w:hint="cs"/>
          <w:rtl/>
        </w:rPr>
        <w:t>ה</w:t>
      </w:r>
      <w:r w:rsidRPr="00CD389B">
        <w:rPr>
          <w:rtl/>
        </w:rPr>
        <w:t xml:space="preserve"> הפנימית. במשניות בפרק א ובסוגיה על משנת "אין </w:t>
      </w:r>
      <w:proofErr w:type="spellStart"/>
      <w:r w:rsidRPr="00CD389B">
        <w:rPr>
          <w:rtl/>
        </w:rPr>
        <w:t>נושאין</w:t>
      </w:r>
      <w:proofErr w:type="spellEnd"/>
      <w:r w:rsidRPr="00CD389B">
        <w:rPr>
          <w:rtl/>
        </w:rPr>
        <w:t xml:space="preserve"> נשים במועד" מוזכרות "שמחות"</w:t>
      </w:r>
      <w:r w:rsidRPr="00CD389B">
        <w:rPr>
          <w:rFonts w:hint="cs"/>
          <w:rtl/>
        </w:rPr>
        <w:t xml:space="preserve"> </w:t>
      </w:r>
      <w:r w:rsidRPr="00CD389B">
        <w:rPr>
          <w:rtl/>
        </w:rPr>
        <w:t xml:space="preserve">נוספות שאינן פוגעות בשמחת </w:t>
      </w:r>
      <w:r w:rsidRPr="00CD389B">
        <w:rPr>
          <w:rFonts w:hint="cs"/>
          <w:rtl/>
        </w:rPr>
        <w:t>ה</w:t>
      </w:r>
      <w:r w:rsidRPr="00CD389B">
        <w:rPr>
          <w:rtl/>
        </w:rPr>
        <w:t>מועד ואף מעצימות אותה.</w:t>
      </w:r>
    </w:p>
    <w:p w:rsidR="00AC08CF" w:rsidRPr="00CD389B" w:rsidRDefault="00AC08CF" w:rsidP="00AC08CF">
      <w:pPr>
        <w:jc w:val="both"/>
        <w:rPr>
          <w:rtl/>
        </w:rPr>
      </w:pPr>
      <w:r w:rsidRPr="00CD389B">
        <w:rPr>
          <w:rtl/>
        </w:rPr>
        <w:t>למשל, לפי רבי מאי</w:t>
      </w:r>
      <w:r w:rsidRPr="00CD389B">
        <w:rPr>
          <w:rFonts w:hint="cs"/>
          <w:rtl/>
        </w:rPr>
        <w:t>ר:</w:t>
      </w:r>
      <w:r w:rsidRPr="00CD389B">
        <w:rPr>
          <w:rtl/>
        </w:rPr>
        <w:t xml:space="preserve"> "מלקט אדם עצמות אביו ואמו (בחול המועד), מפני ששמחה היא לו".</w:t>
      </w:r>
      <w:r w:rsidRPr="00CD389B">
        <w:rPr>
          <w:vertAlign w:val="superscript"/>
          <w:rtl/>
        </w:rPr>
        <w:footnoteReference w:id="10"/>
      </w:r>
      <w:r w:rsidRPr="00CD389B">
        <w:rPr>
          <w:rtl/>
        </w:rPr>
        <w:t xml:space="preserve"> מנהג הקבורה הקדום של אבותינו התבצע בשני שלבים. בשלב הראשון נקבר אדם בקבר פרטי, זאת עד שהתכלה הבשר מהשלד. בשלב השני "נאסף האיש אל עמיו", כפי שמוזכר במקרים רבים במקרא,</w:t>
      </w:r>
      <w:r w:rsidRPr="00CD389B">
        <w:rPr>
          <w:vertAlign w:val="superscript"/>
          <w:rtl/>
        </w:rPr>
        <w:footnoteReference w:id="11"/>
      </w:r>
      <w:r w:rsidRPr="00CD389B">
        <w:rPr>
          <w:rtl/>
        </w:rPr>
        <w:t xml:space="preserve"> כאשר בקבורה המחודשת של העצמות בקבר משפחתי התאחדו דורות רבים של אותה משפחה.</w:t>
      </w:r>
      <w:r w:rsidRPr="00CD389B">
        <w:rPr>
          <w:vertAlign w:val="superscript"/>
          <w:rtl/>
        </w:rPr>
        <w:footnoteReference w:id="12"/>
      </w:r>
      <w:r w:rsidRPr="00CD389B">
        <w:rPr>
          <w:rtl/>
        </w:rPr>
        <w:t xml:space="preserve"> למרות העצב וחידוש האבל ב"יום ליקוט העצמות" – מה שהודגש בשיטת רבי יוסי במשנה</w:t>
      </w:r>
      <w:r w:rsidRPr="00CD389B">
        <w:rPr>
          <w:rFonts w:hint="cs"/>
          <w:rtl/>
        </w:rPr>
        <w:t>, האוסר "ליקוט עצמות" משום היותו א</w:t>
      </w:r>
      <w:r w:rsidRPr="00CD389B">
        <w:rPr>
          <w:rFonts w:hint="eastAsia"/>
          <w:rtl/>
        </w:rPr>
        <w:t>ֵ</w:t>
      </w:r>
      <w:r w:rsidRPr="00CD389B">
        <w:rPr>
          <w:rFonts w:hint="cs"/>
          <w:rtl/>
        </w:rPr>
        <w:t>בל</w:t>
      </w:r>
      <w:r w:rsidRPr="00CD389B">
        <w:rPr>
          <w:rtl/>
        </w:rPr>
        <w:t xml:space="preserve"> – ל"מלקט" </w:t>
      </w:r>
      <w:proofErr w:type="spellStart"/>
      <w:r w:rsidRPr="00CD389B">
        <w:rPr>
          <w:rtl/>
        </w:rPr>
        <w:t>היתה</w:t>
      </w:r>
      <w:proofErr w:type="spellEnd"/>
      <w:r w:rsidRPr="00CD389B">
        <w:rPr>
          <w:rtl/>
        </w:rPr>
        <w:t xml:space="preserve"> גם תחושה של מלאות רוחנית שהצמיחה שמחה אמתית בהתקשרות הנקבר לאבותיו וא</w:t>
      </w:r>
      <w:r w:rsidRPr="00CD389B">
        <w:rPr>
          <w:rFonts w:hint="cs"/>
          <w:rtl/>
        </w:rPr>
        <w:t>י</w:t>
      </w:r>
      <w:r w:rsidRPr="00CD389B">
        <w:rPr>
          <w:rtl/>
        </w:rPr>
        <w:t>מהותיו</w:t>
      </w:r>
      <w:r w:rsidRPr="00CD389B">
        <w:rPr>
          <w:rFonts w:hint="cs"/>
          <w:rtl/>
        </w:rPr>
        <w:t>, התקשרות</w:t>
      </w:r>
      <w:r w:rsidRPr="00CD389B">
        <w:rPr>
          <w:rtl/>
        </w:rPr>
        <w:t xml:space="preserve"> </w:t>
      </w:r>
      <w:r w:rsidRPr="00CD389B">
        <w:rPr>
          <w:rFonts w:hint="cs"/>
          <w:rtl/>
        </w:rPr>
        <w:t>שביטאה</w:t>
      </w:r>
      <w:r w:rsidRPr="00CD389B">
        <w:rPr>
          <w:rtl/>
        </w:rPr>
        <w:t xml:space="preserve"> את שלמות הדורות והיווה מעין "נצחיות" משפחתית. "שמחה" זו, כמו הנישואין עצמם, עוסק</w:t>
      </w:r>
      <w:r w:rsidRPr="00CD389B">
        <w:rPr>
          <w:rFonts w:hint="cs"/>
          <w:rtl/>
        </w:rPr>
        <w:t>ת</w:t>
      </w:r>
      <w:r w:rsidRPr="00CD389B">
        <w:rPr>
          <w:rtl/>
        </w:rPr>
        <w:t xml:space="preserve"> בעיצוב שלשלת הדורות, ולמרות זאת, </w:t>
      </w:r>
      <w:r w:rsidRPr="00CD389B">
        <w:rPr>
          <w:rtl/>
        </w:rPr>
        <w:lastRenderedPageBreak/>
        <w:t>היא משלימה את שמחת המועד</w:t>
      </w:r>
      <w:r w:rsidRPr="00CD389B">
        <w:rPr>
          <w:rFonts w:hint="cs"/>
          <w:rtl/>
        </w:rPr>
        <w:t xml:space="preserve"> ולכן מותרת בו,</w:t>
      </w:r>
      <w:r w:rsidRPr="00CD389B">
        <w:rPr>
          <w:rtl/>
        </w:rPr>
        <w:t xml:space="preserve"> </w:t>
      </w:r>
      <w:r w:rsidRPr="00CD389B">
        <w:rPr>
          <w:rFonts w:hint="cs"/>
          <w:rtl/>
        </w:rPr>
        <w:t>בעוד</w:t>
      </w:r>
      <w:r w:rsidRPr="00CD389B">
        <w:rPr>
          <w:rtl/>
        </w:rPr>
        <w:t xml:space="preserve"> הנישואין</w:t>
      </w:r>
      <w:r w:rsidRPr="00CD389B">
        <w:rPr>
          <w:rFonts w:hint="cs"/>
          <w:rtl/>
        </w:rPr>
        <w:t xml:space="preserve"> </w:t>
      </w:r>
      <w:r w:rsidRPr="00CD389B">
        <w:rPr>
          <w:rtl/>
        </w:rPr>
        <w:t xml:space="preserve">"פוגעים" בה </w:t>
      </w:r>
      <w:r w:rsidRPr="00CD389B">
        <w:rPr>
          <w:rFonts w:hint="cs"/>
          <w:rtl/>
        </w:rPr>
        <w:t>ולכן אסורים במועד</w:t>
      </w:r>
      <w:r w:rsidRPr="00CD389B">
        <w:rPr>
          <w:rtl/>
        </w:rPr>
        <w:t>.</w:t>
      </w:r>
    </w:p>
    <w:p w:rsidR="00AC08CF" w:rsidRPr="00CD389B" w:rsidRDefault="00AC08CF" w:rsidP="00AC08CF">
      <w:pPr>
        <w:jc w:val="both"/>
        <w:rPr>
          <w:rtl/>
        </w:rPr>
      </w:pPr>
      <w:r w:rsidRPr="00CD389B">
        <w:rPr>
          <w:rFonts w:hint="cs"/>
          <w:rtl/>
        </w:rPr>
        <w:t xml:space="preserve">אם כן, למה מיושם הכלל "אין </w:t>
      </w:r>
      <w:proofErr w:type="spellStart"/>
      <w:r w:rsidRPr="00CD389B">
        <w:rPr>
          <w:rFonts w:hint="cs"/>
          <w:rtl/>
        </w:rPr>
        <w:t>מערבין</w:t>
      </w:r>
      <w:proofErr w:type="spellEnd"/>
      <w:r w:rsidRPr="00CD389B">
        <w:rPr>
          <w:rFonts w:hint="cs"/>
          <w:rtl/>
        </w:rPr>
        <w:t xml:space="preserve"> שמחה בשמחה" דווקא בשמחת ההתאחדות בין איש לאשה ולא באירועים אחרים המביאים את המשתתפים בהם לרגשי שמחה חזקים? </w:t>
      </w:r>
      <w:r w:rsidRPr="00CD389B">
        <w:rPr>
          <w:rtl/>
        </w:rPr>
        <w:t xml:space="preserve">על רקע </w:t>
      </w:r>
      <w:r w:rsidRPr="00CD389B">
        <w:rPr>
          <w:rFonts w:hint="cs"/>
          <w:rtl/>
        </w:rPr>
        <w:t>שאלה זו,</w:t>
      </w:r>
      <w:r w:rsidRPr="00CD389B">
        <w:rPr>
          <w:rtl/>
        </w:rPr>
        <w:t xml:space="preserve"> נית</w:t>
      </w:r>
      <w:r w:rsidRPr="00CD389B">
        <w:rPr>
          <w:rFonts w:hint="cs"/>
          <w:rtl/>
        </w:rPr>
        <w:t>נה</w:t>
      </w:r>
      <w:r w:rsidRPr="00CD389B">
        <w:rPr>
          <w:rtl/>
        </w:rPr>
        <w:t xml:space="preserve"> בסוגי</w:t>
      </w:r>
      <w:r w:rsidRPr="00CD389B">
        <w:rPr>
          <w:rFonts w:hint="cs"/>
          <w:rtl/>
        </w:rPr>
        <w:t>י</w:t>
      </w:r>
      <w:r w:rsidRPr="00CD389B">
        <w:rPr>
          <w:rtl/>
        </w:rPr>
        <w:t xml:space="preserve">תנו הנמקה מחודשת לכלל "אין </w:t>
      </w:r>
      <w:proofErr w:type="spellStart"/>
      <w:r w:rsidRPr="00CD389B">
        <w:rPr>
          <w:rtl/>
        </w:rPr>
        <w:t>מערבין</w:t>
      </w:r>
      <w:proofErr w:type="spellEnd"/>
      <w:r w:rsidRPr="00CD389B">
        <w:rPr>
          <w:rtl/>
        </w:rPr>
        <w:t xml:space="preserve"> שמחה בשמחה". כבסיס לַכלל</w:t>
      </w:r>
      <w:r w:rsidRPr="00CD389B">
        <w:rPr>
          <w:rFonts w:hint="cs"/>
          <w:rtl/>
        </w:rPr>
        <w:t>,</w:t>
      </w:r>
      <w:r w:rsidRPr="00CD389B">
        <w:rPr>
          <w:rtl/>
        </w:rPr>
        <w:t xml:space="preserve"> הגמרא מציעה את חגיגת חנוכת בית המקדש הראשון בימי שלמה המלך.</w:t>
      </w:r>
      <w:r w:rsidRPr="00CD389B">
        <w:rPr>
          <w:vertAlign w:val="superscript"/>
          <w:rtl/>
        </w:rPr>
        <w:footnoteReference w:id="13"/>
      </w:r>
      <w:r w:rsidRPr="00CD389B">
        <w:rPr>
          <w:rtl/>
        </w:rPr>
        <w:t xml:space="preserve"> הגמרא מדגישה</w:t>
      </w:r>
      <w:r w:rsidRPr="00CD389B">
        <w:rPr>
          <w:rFonts w:hint="cs"/>
          <w:rtl/>
        </w:rPr>
        <w:t>,</w:t>
      </w:r>
      <w:r w:rsidRPr="00CD389B">
        <w:rPr>
          <w:rtl/>
        </w:rPr>
        <w:t xml:space="preserve"> שלפי התיאור בספר מלכים </w:t>
      </w:r>
      <w:r w:rsidRPr="00CD389B">
        <w:rPr>
          <w:rFonts w:hint="cs"/>
          <w:rtl/>
        </w:rPr>
        <w:t xml:space="preserve">א' </w:t>
      </w:r>
      <w:r w:rsidRPr="00CD389B">
        <w:rPr>
          <w:rtl/>
        </w:rPr>
        <w:t xml:space="preserve">פרק ח שלמה הקפיד להפריד בין השמחה שבהשלמת בניין המקדש </w:t>
      </w:r>
      <w:r w:rsidRPr="00CD389B">
        <w:rPr>
          <w:rFonts w:hint="cs"/>
          <w:rtl/>
        </w:rPr>
        <w:t xml:space="preserve">וחנוכתו </w:t>
      </w:r>
      <w:r w:rsidRPr="00CD389B">
        <w:rPr>
          <w:rtl/>
        </w:rPr>
        <w:t>לבין שמחת חג הסוכות שחלה בסמוך לה</w:t>
      </w:r>
      <w:r w:rsidRPr="00CD389B">
        <w:rPr>
          <w:rFonts w:hint="cs"/>
          <w:rtl/>
        </w:rPr>
        <w:t>:</w:t>
      </w:r>
      <w:r w:rsidRPr="00CD389B">
        <w:rPr>
          <w:rtl/>
        </w:rPr>
        <w:t xml:space="preserve"> </w:t>
      </w:r>
    </w:p>
    <w:p w:rsidR="00AC08CF" w:rsidRPr="00CD389B" w:rsidRDefault="00AC08CF" w:rsidP="00AC08CF">
      <w:pPr>
        <w:jc w:val="both"/>
        <w:rPr>
          <w:i/>
          <w:iCs/>
          <w:rtl/>
        </w:rPr>
      </w:pPr>
      <w:r w:rsidRPr="00CD389B">
        <w:rPr>
          <w:i/>
          <w:iCs/>
          <w:rtl/>
        </w:rPr>
        <w:t xml:space="preserve">וַיַּעַשׂ שְׁלֹמֹה בָעֵת הַהִיא אֶת הֶחָג וְכָל יִשְׂרָאֵל עִמּוֹ קָהָל גָּדוֹל מִלְּבוֹא חֲמָת עַד נַחַל מִצְרַיִם לִפְנֵי </w:t>
      </w:r>
      <w:r w:rsidRPr="00CD389B">
        <w:rPr>
          <w:rFonts w:hint="cs"/>
          <w:i/>
          <w:iCs/>
          <w:rtl/>
        </w:rPr>
        <w:t>ה'</w:t>
      </w:r>
      <w:r w:rsidRPr="00CD389B">
        <w:rPr>
          <w:i/>
          <w:iCs/>
          <w:rtl/>
        </w:rPr>
        <w:t xml:space="preserve"> אֱ</w:t>
      </w:r>
      <w:r w:rsidRPr="00CD389B">
        <w:rPr>
          <w:rFonts w:hint="cs"/>
          <w:i/>
          <w:iCs/>
          <w:rtl/>
        </w:rPr>
        <w:t>-</w:t>
      </w:r>
      <w:r w:rsidRPr="00CD389B">
        <w:rPr>
          <w:i/>
          <w:iCs/>
          <w:rtl/>
        </w:rPr>
        <w:t>לֹהֵינוּ שִׁבְעַת יָמִים וְשִׁבְעַת יָמִים אַרְבָּעָה עָשָׂר יוֹם</w:t>
      </w:r>
      <w:r w:rsidRPr="00CD389B">
        <w:rPr>
          <w:rFonts w:hint="cs"/>
          <w:i/>
          <w:iCs/>
          <w:rtl/>
        </w:rPr>
        <w:t>.</w:t>
      </w:r>
      <w:r w:rsidRPr="00CD389B">
        <w:rPr>
          <w:i/>
          <w:iCs/>
          <w:vertAlign w:val="superscript"/>
          <w:rtl/>
        </w:rPr>
        <w:footnoteReference w:id="14"/>
      </w:r>
      <w:r w:rsidRPr="00CD389B">
        <w:rPr>
          <w:i/>
          <w:iCs/>
          <w:rtl/>
        </w:rPr>
        <w:t xml:space="preserve"> </w:t>
      </w:r>
    </w:p>
    <w:p w:rsidR="00AC08CF" w:rsidRPr="00CD389B" w:rsidRDefault="00AC08CF" w:rsidP="00AC08CF">
      <w:pPr>
        <w:jc w:val="both"/>
      </w:pPr>
      <w:r w:rsidRPr="00CD389B">
        <w:rPr>
          <w:rFonts w:hint="cs"/>
          <w:rtl/>
        </w:rPr>
        <w:t xml:space="preserve">במוקד חנוכת הבית והחגיגה הגדולה סביבה, </w:t>
      </w:r>
      <w:proofErr w:type="spellStart"/>
      <w:r w:rsidRPr="00CD389B">
        <w:rPr>
          <w:rFonts w:hint="cs"/>
          <w:rtl/>
        </w:rPr>
        <w:t>היתה</w:t>
      </w:r>
      <w:proofErr w:type="spellEnd"/>
      <w:r w:rsidRPr="00CD389B">
        <w:rPr>
          <w:rFonts w:hint="cs"/>
          <w:rtl/>
        </w:rPr>
        <w:t xml:space="preserve"> השראת השכינה במקדש כפי שאירעה בהר סיני וכפי שאירעה במשכן במדבר. בבית המקדש של שלמה נאמר: "</w:t>
      </w:r>
      <w:r w:rsidRPr="00CD389B">
        <w:rPr>
          <w:rtl/>
        </w:rPr>
        <w:t xml:space="preserve">וַיְהִי בְּצֵאת </w:t>
      </w:r>
      <w:proofErr w:type="spellStart"/>
      <w:r w:rsidRPr="00CD389B">
        <w:rPr>
          <w:rtl/>
        </w:rPr>
        <w:t>הַכֹּהֲנִים</w:t>
      </w:r>
      <w:proofErr w:type="spellEnd"/>
      <w:r w:rsidRPr="00CD389B">
        <w:rPr>
          <w:rtl/>
        </w:rPr>
        <w:t xml:space="preserve"> מִן הַקֹּדֶשׁ וְהֶעָנָן מָלֵא אֶת בֵּית </w:t>
      </w:r>
      <w:r w:rsidRPr="00CD389B">
        <w:rPr>
          <w:rFonts w:hint="cs"/>
          <w:rtl/>
        </w:rPr>
        <w:t>ה'.</w:t>
      </w:r>
      <w:r w:rsidRPr="00CD389B">
        <w:rPr>
          <w:rtl/>
        </w:rPr>
        <w:t xml:space="preserve"> וְלֹא יָכְלוּ </w:t>
      </w:r>
      <w:proofErr w:type="spellStart"/>
      <w:r w:rsidRPr="00CD389B">
        <w:rPr>
          <w:rtl/>
        </w:rPr>
        <w:t>הַכֹּהֲנִים</w:t>
      </w:r>
      <w:proofErr w:type="spellEnd"/>
      <w:r w:rsidRPr="00CD389B">
        <w:rPr>
          <w:rtl/>
        </w:rPr>
        <w:t xml:space="preserve"> לַעֲמֹד לְשָׁרֵת מִפְּנֵי הֶעָנָן כִּי מָלֵא כְבוֹד </w:t>
      </w:r>
      <w:r w:rsidRPr="00CD389B">
        <w:rPr>
          <w:rFonts w:hint="cs"/>
          <w:rtl/>
        </w:rPr>
        <w:t>ה'</w:t>
      </w:r>
      <w:r w:rsidRPr="00CD389B">
        <w:rPr>
          <w:rtl/>
        </w:rPr>
        <w:t xml:space="preserve"> אֶת בֵּית </w:t>
      </w:r>
      <w:r w:rsidRPr="00CD389B">
        <w:rPr>
          <w:rFonts w:hint="cs"/>
          <w:rtl/>
        </w:rPr>
        <w:t>ה'";</w:t>
      </w:r>
      <w:r w:rsidRPr="00CD389B">
        <w:rPr>
          <w:vertAlign w:val="superscript"/>
          <w:rtl/>
        </w:rPr>
        <w:footnoteReference w:id="15"/>
      </w:r>
      <w:r w:rsidRPr="00CD389B">
        <w:rPr>
          <w:rFonts w:hint="cs"/>
          <w:rtl/>
        </w:rPr>
        <w:t xml:space="preserve"> בהר סיני נאמר:</w:t>
      </w:r>
      <w:r w:rsidRPr="00CD389B">
        <w:rPr>
          <w:rtl/>
        </w:rPr>
        <w:t xml:space="preserve"> </w:t>
      </w:r>
      <w:r w:rsidRPr="00CD389B">
        <w:rPr>
          <w:rFonts w:hint="cs"/>
          <w:rtl/>
        </w:rPr>
        <w:t>"</w:t>
      </w:r>
      <w:r w:rsidRPr="00CD389B">
        <w:rPr>
          <w:rtl/>
        </w:rPr>
        <w:t xml:space="preserve">וַיַּעַל משֶׁה אֶל הָהָר </w:t>
      </w:r>
      <w:proofErr w:type="spellStart"/>
      <w:r w:rsidRPr="00CD389B">
        <w:rPr>
          <w:rtl/>
        </w:rPr>
        <w:t>וַיְכַס</w:t>
      </w:r>
      <w:proofErr w:type="spellEnd"/>
      <w:r w:rsidRPr="00CD389B">
        <w:rPr>
          <w:rtl/>
        </w:rPr>
        <w:t xml:space="preserve"> הֶעָנָן אֶת הָהָר</w:t>
      </w:r>
      <w:r w:rsidRPr="00CD389B">
        <w:rPr>
          <w:rFonts w:hint="cs"/>
          <w:rtl/>
        </w:rPr>
        <w:t>.</w:t>
      </w:r>
      <w:r w:rsidRPr="00CD389B">
        <w:rPr>
          <w:rtl/>
        </w:rPr>
        <w:t xml:space="preserve"> וַיִּשְׁכֹּן כְּבוֹד </w:t>
      </w:r>
      <w:r w:rsidRPr="00CD389B">
        <w:rPr>
          <w:rFonts w:hint="cs"/>
          <w:rtl/>
        </w:rPr>
        <w:t>ה'</w:t>
      </w:r>
      <w:r w:rsidRPr="00CD389B">
        <w:rPr>
          <w:rtl/>
        </w:rPr>
        <w:t xml:space="preserve"> עַל הַר סִינַי וַיְכַסֵּהוּ הֶעָנָן שֵׁשֶׁת יָמִים וַיִּקְרָא אֶל משֶׁה בַּיּוֹם הַשְּׁבִיעִי מִתּוֹךְ הֶעָנָן</w:t>
      </w:r>
      <w:r w:rsidRPr="00CD389B">
        <w:rPr>
          <w:rFonts w:hint="cs"/>
          <w:rtl/>
        </w:rPr>
        <w:t>";</w:t>
      </w:r>
      <w:r w:rsidRPr="00CD389B">
        <w:rPr>
          <w:vertAlign w:val="superscript"/>
          <w:rtl/>
        </w:rPr>
        <w:footnoteReference w:id="16"/>
      </w:r>
      <w:r w:rsidRPr="00CD389B">
        <w:rPr>
          <w:rFonts w:hint="cs"/>
          <w:rtl/>
        </w:rPr>
        <w:t xml:space="preserve"> במשכן נאמר: "</w:t>
      </w:r>
      <w:proofErr w:type="spellStart"/>
      <w:r w:rsidRPr="00CD389B">
        <w:rPr>
          <w:rtl/>
        </w:rPr>
        <w:t>וַיְכַס</w:t>
      </w:r>
      <w:proofErr w:type="spellEnd"/>
      <w:r w:rsidRPr="00CD389B">
        <w:rPr>
          <w:rtl/>
        </w:rPr>
        <w:t xml:space="preserve"> הֶעָנָן אֶת אֹהֶל מוֹעֵד וּכְבוֹד </w:t>
      </w:r>
      <w:r w:rsidRPr="00CD389B">
        <w:rPr>
          <w:rFonts w:hint="cs"/>
          <w:rtl/>
        </w:rPr>
        <w:t xml:space="preserve">ה' </w:t>
      </w:r>
      <w:r w:rsidRPr="00CD389B">
        <w:rPr>
          <w:rtl/>
        </w:rPr>
        <w:t>מָלֵא אֶת הַמִּשְׁכָּן</w:t>
      </w:r>
      <w:r w:rsidRPr="00CD389B">
        <w:rPr>
          <w:rFonts w:hint="cs"/>
          <w:rtl/>
        </w:rPr>
        <w:t xml:space="preserve">. </w:t>
      </w:r>
      <w:r w:rsidRPr="00CD389B">
        <w:rPr>
          <w:rtl/>
        </w:rPr>
        <w:t xml:space="preserve">וְלֹא </w:t>
      </w:r>
      <w:proofErr w:type="spellStart"/>
      <w:r w:rsidRPr="00CD389B">
        <w:rPr>
          <w:rtl/>
        </w:rPr>
        <w:t>יָכֹל</w:t>
      </w:r>
      <w:proofErr w:type="spellEnd"/>
      <w:r w:rsidRPr="00CD389B">
        <w:rPr>
          <w:rtl/>
        </w:rPr>
        <w:t xml:space="preserve"> משֶׁה לָבוֹא אֶל אֹהֶל מוֹעֵד כִּי שָׁכַן עָלָיו הֶעָנָן וּכְבוֹד </w:t>
      </w:r>
      <w:r w:rsidRPr="00CD389B">
        <w:rPr>
          <w:rFonts w:hint="cs"/>
          <w:rtl/>
        </w:rPr>
        <w:t>ה'</w:t>
      </w:r>
      <w:r w:rsidRPr="00CD389B">
        <w:rPr>
          <w:rtl/>
        </w:rPr>
        <w:t xml:space="preserve"> מָלֵא אֶת הַמִּשְׁכָּן</w:t>
      </w:r>
      <w:r w:rsidRPr="00CD389B">
        <w:rPr>
          <w:rFonts w:hint="cs"/>
          <w:rtl/>
        </w:rPr>
        <w:t>".</w:t>
      </w:r>
      <w:r w:rsidRPr="00CD389B">
        <w:rPr>
          <w:vertAlign w:val="superscript"/>
          <w:rtl/>
        </w:rPr>
        <w:footnoteReference w:id="17"/>
      </w:r>
    </w:p>
    <w:p w:rsidR="00AC08CF" w:rsidRPr="00CD389B" w:rsidRDefault="00AC08CF" w:rsidP="00AC08CF">
      <w:pPr>
        <w:jc w:val="both"/>
        <w:rPr>
          <w:rtl/>
        </w:rPr>
      </w:pPr>
      <w:r w:rsidRPr="00CD389B">
        <w:rPr>
          <w:rFonts w:hint="cs"/>
          <w:rtl/>
        </w:rPr>
        <w:t xml:space="preserve">בשימוש בתיאור מספר הימים שבהם חגגו המלך שלמה והעם את חנוכת בית המקדש </w:t>
      </w:r>
      <w:r w:rsidRPr="00CD389B">
        <w:rPr>
          <w:rtl/>
        </w:rPr>
        <w:t xml:space="preserve">נפתח צוהר חדש לכלל "אין </w:t>
      </w:r>
      <w:proofErr w:type="spellStart"/>
      <w:r w:rsidRPr="00CD389B">
        <w:rPr>
          <w:rtl/>
        </w:rPr>
        <w:t>מערבין</w:t>
      </w:r>
      <w:proofErr w:type="spellEnd"/>
      <w:r w:rsidRPr="00CD389B">
        <w:rPr>
          <w:rtl/>
        </w:rPr>
        <w:t xml:space="preserve"> שמחה בשמחה" ולפסיקה האוסרת נישואין בחול המועד</w:t>
      </w:r>
      <w:r w:rsidRPr="00CD389B">
        <w:rPr>
          <w:rFonts w:hint="cs"/>
          <w:rtl/>
        </w:rPr>
        <w:t xml:space="preserve">. הזיקה שבין חנוכת המקדש לבין שמחת חג הסוכות דומה לזיקה שבין שמחת הנישואין לשמחת החג </w:t>
      </w:r>
      <w:r w:rsidRPr="00CD389B">
        <w:rPr>
          <w:rtl/>
        </w:rPr>
        <w:t>–</w:t>
      </w:r>
      <w:r w:rsidRPr="00CD389B">
        <w:rPr>
          <w:rFonts w:hint="cs"/>
          <w:rtl/>
        </w:rPr>
        <w:t xml:space="preserve"> מדובר ב</w:t>
      </w:r>
      <w:r w:rsidRPr="00CD389B">
        <w:rPr>
          <w:rtl/>
        </w:rPr>
        <w:t xml:space="preserve">התנגשות בין שני אירועים </w:t>
      </w:r>
      <w:r w:rsidRPr="00CD389B">
        <w:rPr>
          <w:rFonts w:hint="cs"/>
          <w:rtl/>
        </w:rPr>
        <w:t>ש</w:t>
      </w:r>
      <w:r w:rsidRPr="00CD389B">
        <w:rPr>
          <w:rtl/>
        </w:rPr>
        <w:t>בהם מתרחשת השראת השכינה.</w:t>
      </w:r>
    </w:p>
    <w:p w:rsidR="00AC08CF" w:rsidRPr="00CD389B" w:rsidRDefault="00AC08CF" w:rsidP="00AC08CF">
      <w:pPr>
        <w:jc w:val="both"/>
        <w:rPr>
          <w:rtl/>
        </w:rPr>
      </w:pPr>
      <w:r w:rsidRPr="00CD389B">
        <w:rPr>
          <w:rtl/>
        </w:rPr>
        <w:t>שמא לא נבחין בכוונת הגמרא, מיד באה ההבהרה</w:t>
      </w:r>
      <w:r w:rsidRPr="00CD389B">
        <w:rPr>
          <w:rFonts w:hint="cs"/>
          <w:rtl/>
        </w:rPr>
        <w:t>:</w:t>
      </w:r>
      <w:r w:rsidRPr="00CD389B">
        <w:rPr>
          <w:rtl/>
        </w:rPr>
        <w:t xml:space="preserve"> "אותה שנה (של חנוכת המקדש) לא עשו ישראל את יום הכיפורים" – שהרי חגגו את חנוכת הבית בשבעת הימים שמיד לפני חג הסוכות.</w:t>
      </w:r>
      <w:r w:rsidRPr="00CD389B">
        <w:rPr>
          <w:vertAlign w:val="superscript"/>
          <w:rtl/>
        </w:rPr>
        <w:footnoteReference w:id="18"/>
      </w:r>
      <w:r w:rsidRPr="00CD389B">
        <w:rPr>
          <w:rtl/>
        </w:rPr>
        <w:t xml:space="preserve"> אירוע השראת השכינה בקרב העם כבימי המשכן במדבר ובשילה דחה את </w:t>
      </w:r>
      <w:r w:rsidRPr="00CD389B">
        <w:rPr>
          <w:rFonts w:hint="cs"/>
          <w:rtl/>
        </w:rPr>
        <w:t xml:space="preserve">הקדושה המיוחדת של </w:t>
      </w:r>
      <w:r w:rsidRPr="00CD389B">
        <w:rPr>
          <w:rtl/>
        </w:rPr>
        <w:t xml:space="preserve">יום הכיפורים באותה שנה. מחילת עוונות ביום הכיפורים קשורה </w:t>
      </w:r>
      <w:r w:rsidRPr="00CD389B">
        <w:rPr>
          <w:rtl/>
        </w:rPr>
        <w:lastRenderedPageBreak/>
        <w:t>לחידוש ההתקשרות של העם עם מקור החיים שבקודש הק</w:t>
      </w:r>
      <w:r w:rsidRPr="00CD389B">
        <w:rPr>
          <w:rFonts w:hint="cs"/>
          <w:rtl/>
        </w:rPr>
        <w:t>ו</w:t>
      </w:r>
      <w:r w:rsidRPr="00CD389B">
        <w:rPr>
          <w:rtl/>
        </w:rPr>
        <w:t xml:space="preserve">דשים, התקשרות שעוצבה מחדש </w:t>
      </w:r>
      <w:r w:rsidRPr="00CD389B">
        <w:rPr>
          <w:rFonts w:hint="cs"/>
          <w:rtl/>
        </w:rPr>
        <w:t>מ</w:t>
      </w:r>
      <w:r w:rsidRPr="00CD389B">
        <w:rPr>
          <w:rtl/>
        </w:rPr>
        <w:t>די שנה בעבודת כהן הגדול ביום הכיפורים ובמיוחד בכניסתו לקודש הק</w:t>
      </w:r>
      <w:r w:rsidRPr="00CD389B">
        <w:rPr>
          <w:rFonts w:hint="cs"/>
          <w:rtl/>
        </w:rPr>
        <w:t>ו</w:t>
      </w:r>
      <w:r w:rsidRPr="00CD389B">
        <w:rPr>
          <w:rtl/>
        </w:rPr>
        <w:t>דשים.</w:t>
      </w:r>
      <w:r w:rsidRPr="00CD389B">
        <w:rPr>
          <w:vertAlign w:val="superscript"/>
          <w:rtl/>
        </w:rPr>
        <w:footnoteReference w:id="19"/>
      </w:r>
      <w:r w:rsidRPr="00CD389B">
        <w:rPr>
          <w:rtl/>
        </w:rPr>
        <w:t xml:space="preserve">  אם כן</w:t>
      </w:r>
      <w:r w:rsidRPr="00CD389B">
        <w:rPr>
          <w:rFonts w:hint="cs"/>
          <w:rtl/>
        </w:rPr>
        <w:t>,</w:t>
      </w:r>
      <w:r w:rsidRPr="00CD389B">
        <w:rPr>
          <w:rtl/>
        </w:rPr>
        <w:t xml:space="preserve"> עצם חנוכת הבית שעה </w:t>
      </w:r>
      <w:proofErr w:type="spellStart"/>
      <w:r w:rsidRPr="00CD389B">
        <w:rPr>
          <w:rtl/>
        </w:rPr>
        <w:t>ש"הֶעָנָן</w:t>
      </w:r>
      <w:proofErr w:type="spellEnd"/>
      <w:r w:rsidRPr="00CD389B">
        <w:rPr>
          <w:rtl/>
        </w:rPr>
        <w:t xml:space="preserve"> מָלֵא אֶת בֵּית ה'"</w:t>
      </w:r>
      <w:r w:rsidRPr="00CD389B">
        <w:rPr>
          <w:rFonts w:hint="cs"/>
          <w:rtl/>
        </w:rPr>
        <w:t>,</w:t>
      </w:r>
      <w:r w:rsidRPr="00CD389B">
        <w:rPr>
          <w:vertAlign w:val="superscript"/>
          <w:rtl/>
        </w:rPr>
        <w:footnoteReference w:id="20"/>
      </w:r>
      <w:r w:rsidRPr="00CD389B">
        <w:rPr>
          <w:rtl/>
        </w:rPr>
        <w:t xml:space="preserve"> בו</w:t>
      </w:r>
      <w:r w:rsidRPr="00CD389B">
        <w:rPr>
          <w:rFonts w:hint="cs"/>
          <w:rtl/>
        </w:rPr>
        <w:t>ו</w:t>
      </w:r>
      <w:r w:rsidRPr="00CD389B">
        <w:rPr>
          <w:rtl/>
        </w:rPr>
        <w:t>דאי פעלה למחילת עוונות העם</w:t>
      </w:r>
      <w:r w:rsidRPr="00CD389B">
        <w:rPr>
          <w:rFonts w:hint="cs"/>
          <w:rtl/>
        </w:rPr>
        <w:t>,</w:t>
      </w:r>
      <w:r w:rsidRPr="00CD389B">
        <w:rPr>
          <w:rtl/>
        </w:rPr>
        <w:t xml:space="preserve"> לפחות כמו ביום הכיפורים.</w:t>
      </w:r>
    </w:p>
    <w:p w:rsidR="00AC08CF" w:rsidRPr="00CD389B" w:rsidRDefault="00AC08CF" w:rsidP="00AC08CF">
      <w:pPr>
        <w:jc w:val="both"/>
        <w:rPr>
          <w:rtl/>
        </w:rPr>
      </w:pPr>
      <w:r w:rsidRPr="00CD389B">
        <w:rPr>
          <w:rtl/>
        </w:rPr>
        <w:t>השמחה של חג הסוכות מדי שנה</w:t>
      </w:r>
      <w:r w:rsidRPr="00CD389B">
        <w:rPr>
          <w:rFonts w:hint="cs"/>
          <w:rtl/>
        </w:rPr>
        <w:t xml:space="preserve"> </w:t>
      </w:r>
      <w:r w:rsidRPr="00CD389B">
        <w:rPr>
          <w:rtl/>
        </w:rPr>
        <w:t>– שמחה מועצמת גם בהשוואה למועדים האחרים</w:t>
      </w:r>
      <w:r w:rsidRPr="00CD389B">
        <w:rPr>
          <w:rFonts w:hint="cs"/>
          <w:rtl/>
        </w:rPr>
        <w:t xml:space="preserve"> </w:t>
      </w:r>
      <w:r w:rsidRPr="00CD389B">
        <w:rPr>
          <w:rtl/>
        </w:rPr>
        <w:t xml:space="preserve">– נובעת </w:t>
      </w:r>
      <w:r w:rsidRPr="00CD389B">
        <w:rPr>
          <w:rFonts w:hint="cs"/>
          <w:rtl/>
        </w:rPr>
        <w:t xml:space="preserve">בין היתר </w:t>
      </w:r>
      <w:r w:rsidRPr="00CD389B">
        <w:rPr>
          <w:rtl/>
        </w:rPr>
        <w:t>מהתחדשות השראת השכינה במקדש ביום כ</w:t>
      </w:r>
      <w:r w:rsidRPr="00CD389B">
        <w:rPr>
          <w:rFonts w:hint="cs"/>
          <w:rtl/>
        </w:rPr>
        <w:t>י</w:t>
      </w:r>
      <w:r w:rsidRPr="00CD389B">
        <w:rPr>
          <w:rtl/>
        </w:rPr>
        <w:t>פור שחל חמישה ימים לפניו ותחושת הקִרבה המחודשת עם השכינה בסוכה</w:t>
      </w:r>
      <w:r w:rsidRPr="00CD389B">
        <w:rPr>
          <w:rFonts w:hint="cs"/>
          <w:rtl/>
        </w:rPr>
        <w:t xml:space="preserve"> ובניסוך המים ושמחת בית השואבה שנהגו במקדש</w:t>
      </w:r>
      <w:r w:rsidRPr="00CD389B">
        <w:rPr>
          <w:rtl/>
        </w:rPr>
        <w:t>. בשנת חנוכת בניין מקדש שלמה והשראת השכינה בו</w:t>
      </w:r>
      <w:r w:rsidRPr="00CD389B">
        <w:rPr>
          <w:rFonts w:hint="cs"/>
          <w:rtl/>
        </w:rPr>
        <w:t>,</w:t>
      </w:r>
      <w:r w:rsidRPr="00CD389B">
        <w:rPr>
          <w:rtl/>
        </w:rPr>
        <w:t xml:space="preserve"> שמחת החג </w:t>
      </w:r>
      <w:proofErr w:type="spellStart"/>
      <w:r w:rsidRPr="00CD389B">
        <w:rPr>
          <w:rtl/>
        </w:rPr>
        <w:t>היתה</w:t>
      </w:r>
      <w:proofErr w:type="spellEnd"/>
      <w:r w:rsidRPr="00CD389B">
        <w:rPr>
          <w:rtl/>
        </w:rPr>
        <w:t xml:space="preserve"> בו</w:t>
      </w:r>
      <w:r w:rsidRPr="00CD389B">
        <w:rPr>
          <w:rFonts w:hint="cs"/>
          <w:rtl/>
        </w:rPr>
        <w:t>ו</w:t>
      </w:r>
      <w:r w:rsidRPr="00CD389B">
        <w:rPr>
          <w:rtl/>
        </w:rPr>
        <w:t xml:space="preserve">דאי בשיאה בשל השראת השכינה במקדש שאירעה בסמוך לסוכות. לענייננו, הגמרא מדגישה שהנהגת שלמה </w:t>
      </w:r>
      <w:proofErr w:type="spellStart"/>
      <w:r w:rsidRPr="00CD389B">
        <w:rPr>
          <w:rtl/>
        </w:rPr>
        <w:t>היתה</w:t>
      </w:r>
      <w:proofErr w:type="spellEnd"/>
      <w:r w:rsidRPr="00CD389B">
        <w:rPr>
          <w:rtl/>
        </w:rPr>
        <w:t xml:space="preserve"> לשמור על ההתקשרות המיוחדת לשכינה במקדש ובחג מבלי שיפגעו ז</w:t>
      </w:r>
      <w:r w:rsidRPr="00CD389B">
        <w:rPr>
          <w:rFonts w:hint="cs"/>
          <w:rtl/>
        </w:rPr>
        <w:t>ו</w:t>
      </w:r>
      <w:r w:rsidRPr="00CD389B">
        <w:rPr>
          <w:rtl/>
        </w:rPr>
        <w:t xml:space="preserve"> בז</w:t>
      </w:r>
      <w:r w:rsidRPr="00CD389B">
        <w:rPr>
          <w:rFonts w:hint="cs"/>
          <w:rtl/>
        </w:rPr>
        <w:t>ו</w:t>
      </w:r>
      <w:r w:rsidRPr="00CD389B">
        <w:rPr>
          <w:rtl/>
        </w:rPr>
        <w:t>.</w:t>
      </w:r>
      <w:r w:rsidRPr="00CD389B">
        <w:rPr>
          <w:rFonts w:hint="cs"/>
          <w:rtl/>
        </w:rPr>
        <w:t xml:space="preserve"> במקביל, יש להקפיד לקיים שמחת נישואין ושמחת החג באופן שלא יפגעו זו בזו.</w:t>
      </w:r>
    </w:p>
    <w:p w:rsidR="00AC08CF" w:rsidRPr="00CD389B" w:rsidRDefault="00AC08CF" w:rsidP="00AC08CF">
      <w:pPr>
        <w:jc w:val="both"/>
        <w:rPr>
          <w:rtl/>
        </w:rPr>
      </w:pPr>
    </w:p>
    <w:p w:rsidR="00AC08CF" w:rsidRPr="00CD389B" w:rsidRDefault="00AC08CF" w:rsidP="00AC08CF">
      <w:pPr>
        <w:jc w:val="both"/>
        <w:rPr>
          <w:b/>
          <w:bCs/>
          <w:u w:val="single"/>
          <w:rtl/>
        </w:rPr>
      </w:pPr>
      <w:r w:rsidRPr="00CD389B">
        <w:rPr>
          <w:rFonts w:hint="cs"/>
          <w:b/>
          <w:bCs/>
          <w:u w:val="single"/>
          <w:rtl/>
        </w:rPr>
        <w:t>ג. פשט ורז</w:t>
      </w:r>
    </w:p>
    <w:p w:rsidR="00AC08CF" w:rsidRPr="00CD389B" w:rsidRDefault="00AC08CF" w:rsidP="00AC08CF">
      <w:pPr>
        <w:jc w:val="both"/>
        <w:rPr>
          <w:rtl/>
        </w:rPr>
      </w:pPr>
      <w:r w:rsidRPr="00CD389B">
        <w:rPr>
          <w:rtl/>
        </w:rPr>
        <w:t>בדרשה על הפסוק הבא בספר מלכים שבהמשך הגמרא</w:t>
      </w:r>
      <w:r w:rsidRPr="00CD389B">
        <w:rPr>
          <w:rFonts w:hint="cs"/>
          <w:rtl/>
        </w:rPr>
        <w:t>,</w:t>
      </w:r>
      <w:r w:rsidRPr="00CD389B">
        <w:rPr>
          <w:rtl/>
        </w:rPr>
        <w:t xml:space="preserve"> נחשפת באופן מלא מגמת הסוגיה כולה</w:t>
      </w:r>
      <w:r w:rsidRPr="00CD389B">
        <w:rPr>
          <w:rFonts w:hint="cs"/>
          <w:rtl/>
        </w:rPr>
        <w:t>, המחברת בין אירוע השראת השכינה במקדש לבין שמחת ההתקשרות בין איש לאשה</w:t>
      </w:r>
      <w:r w:rsidRPr="00CD389B">
        <w:rPr>
          <w:rtl/>
        </w:rPr>
        <w:t>. לאחר ארבעה עשר ימי שמחה, שבעת ימי חנוכת המקדש ושבעת ימי חג הסוכות, נאמר</w:t>
      </w:r>
      <w:r w:rsidRPr="00CD389B">
        <w:rPr>
          <w:rFonts w:hint="cs"/>
          <w:rtl/>
        </w:rPr>
        <w:t>:</w:t>
      </w:r>
      <w:r w:rsidRPr="00CD389B">
        <w:rPr>
          <w:rtl/>
        </w:rPr>
        <w:t xml:space="preserve"> </w:t>
      </w:r>
    </w:p>
    <w:p w:rsidR="00AC08CF" w:rsidRPr="00CD389B" w:rsidRDefault="00AC08CF" w:rsidP="00AC08CF">
      <w:pPr>
        <w:jc w:val="both"/>
        <w:rPr>
          <w:i/>
          <w:iCs/>
          <w:rtl/>
        </w:rPr>
      </w:pPr>
      <w:r w:rsidRPr="00CD389B">
        <w:rPr>
          <w:i/>
          <w:iCs/>
          <w:rtl/>
        </w:rPr>
        <w:t>בַּיּוֹם הַשְּׁמִינִי</w:t>
      </w:r>
      <w:r w:rsidRPr="00CD389B">
        <w:rPr>
          <w:rFonts w:hint="cs"/>
          <w:rtl/>
        </w:rPr>
        <w:t xml:space="preserve"> </w:t>
      </w:r>
      <w:r w:rsidRPr="00CD389B">
        <w:rPr>
          <w:rtl/>
        </w:rPr>
        <w:t xml:space="preserve">(לימי החג) </w:t>
      </w:r>
      <w:r w:rsidRPr="00CD389B">
        <w:rPr>
          <w:i/>
          <w:iCs/>
          <w:rtl/>
        </w:rPr>
        <w:t xml:space="preserve">שִׁלַּח אֶת הָעָם וַיְבָרֲכוּ אֶת הַמֶּלֶךְ וַיֵּלְכוּ </w:t>
      </w:r>
      <w:proofErr w:type="spellStart"/>
      <w:r w:rsidRPr="00CD389B">
        <w:rPr>
          <w:i/>
          <w:iCs/>
          <w:rtl/>
        </w:rPr>
        <w:t>לְאָהֳלֵיהֶם</w:t>
      </w:r>
      <w:proofErr w:type="spellEnd"/>
      <w:r w:rsidRPr="00CD389B">
        <w:rPr>
          <w:i/>
          <w:iCs/>
          <w:rtl/>
        </w:rPr>
        <w:t xml:space="preserve"> שְׂמֵחִים וְטוֹבֵי לֵב עַל כָּל הַטּוֹבָה אֲשֶׁר עָשָׂה </w:t>
      </w:r>
      <w:r w:rsidRPr="00CD389B">
        <w:rPr>
          <w:rFonts w:hint="cs"/>
          <w:i/>
          <w:iCs/>
          <w:rtl/>
        </w:rPr>
        <w:t>ה'</w:t>
      </w:r>
      <w:r w:rsidRPr="00CD389B">
        <w:rPr>
          <w:i/>
          <w:iCs/>
          <w:rtl/>
        </w:rPr>
        <w:t xml:space="preserve"> לְדָוִד עַבְדּוֹ וּלְיִשְׂרָאֵל עַמּוֹ</w:t>
      </w:r>
      <w:r w:rsidRPr="00CD389B">
        <w:rPr>
          <w:rFonts w:hint="cs"/>
          <w:i/>
          <w:iCs/>
          <w:rtl/>
        </w:rPr>
        <w:t>.</w:t>
      </w:r>
      <w:r w:rsidRPr="00CD389B">
        <w:rPr>
          <w:i/>
          <w:iCs/>
          <w:vertAlign w:val="superscript"/>
          <w:rtl/>
        </w:rPr>
        <w:footnoteReference w:id="21"/>
      </w:r>
    </w:p>
    <w:p w:rsidR="00AC08CF" w:rsidRPr="00CD389B" w:rsidRDefault="00AC08CF" w:rsidP="00AC08CF">
      <w:pPr>
        <w:jc w:val="both"/>
        <w:rPr>
          <w:rtl/>
        </w:rPr>
      </w:pPr>
      <w:r w:rsidRPr="00CD389B">
        <w:rPr>
          <w:rtl/>
        </w:rPr>
        <w:t xml:space="preserve">הדרשה על הפסוק בנויה במבנה </w:t>
      </w:r>
      <w:r w:rsidRPr="00CD389B">
        <w:rPr>
          <w:rFonts w:hint="cs"/>
          <w:rtl/>
        </w:rPr>
        <w:t>של תקבולת</w:t>
      </w:r>
      <w:r w:rsidRPr="00CD389B">
        <w:rPr>
          <w:rtl/>
        </w:rPr>
        <w:t>– בצורת א, ב, א, ב – כאשר בחציה</w:t>
      </w:r>
      <w:r w:rsidRPr="00CD389B">
        <w:rPr>
          <w:rFonts w:hint="cs"/>
          <w:rtl/>
        </w:rPr>
        <w:t xml:space="preserve"> השני</w:t>
      </w:r>
      <w:r w:rsidRPr="00CD389B">
        <w:rPr>
          <w:rtl/>
        </w:rPr>
        <w:t xml:space="preserve"> היא מבליטה את שמחת השראת השכינה במקדש ובחציה </w:t>
      </w:r>
      <w:r w:rsidRPr="00CD389B">
        <w:rPr>
          <w:rFonts w:hint="cs"/>
          <w:rtl/>
        </w:rPr>
        <w:t xml:space="preserve">הראשון </w:t>
      </w:r>
      <w:r w:rsidRPr="00CD389B">
        <w:rPr>
          <w:rtl/>
        </w:rPr>
        <w:t>את ברכת ההתקשרות של איש ואשה</w:t>
      </w:r>
      <w:r w:rsidRPr="00CD389B">
        <w:rPr>
          <w:rFonts w:hint="cs"/>
          <w:rtl/>
        </w:rPr>
        <w:t>:</w:t>
      </w:r>
    </w:p>
    <w:p w:rsidR="00AC08CF" w:rsidRPr="00CD389B" w:rsidRDefault="00AC08CF" w:rsidP="00AC08CF">
      <w:pPr>
        <w:jc w:val="both"/>
        <w:rPr>
          <w:rtl/>
        </w:rPr>
      </w:pPr>
      <w:r w:rsidRPr="00CD389B">
        <w:rPr>
          <w:rFonts w:hint="cs"/>
          <w:i/>
          <w:iCs/>
          <w:rtl/>
        </w:rPr>
        <w:t>"</w:t>
      </w:r>
      <w:r w:rsidRPr="00CD389B">
        <w:rPr>
          <w:i/>
          <w:iCs/>
          <w:rtl/>
        </w:rPr>
        <w:t>'</w:t>
      </w:r>
      <w:proofErr w:type="spellStart"/>
      <w:r w:rsidRPr="00CD389B">
        <w:rPr>
          <w:i/>
          <w:iCs/>
          <w:rtl/>
        </w:rPr>
        <w:t>לאהליהם</w:t>
      </w:r>
      <w:proofErr w:type="spellEnd"/>
      <w:r w:rsidRPr="00CD389B">
        <w:rPr>
          <w:i/>
          <w:iCs/>
          <w:rtl/>
        </w:rPr>
        <w:t>' – שהלכו ומצאו את נשותיהם בטהרה</w:t>
      </w:r>
      <w:r w:rsidRPr="00CD389B">
        <w:rPr>
          <w:rFonts w:hint="cs"/>
          <w:i/>
          <w:iCs/>
          <w:rtl/>
        </w:rPr>
        <w:t xml:space="preserve">. </w:t>
      </w:r>
      <w:r w:rsidRPr="00CD389B">
        <w:rPr>
          <w:i/>
          <w:iCs/>
          <w:rtl/>
        </w:rPr>
        <w:t>'שמחים' – שנהנו מזיו השכינה</w:t>
      </w:r>
      <w:r w:rsidRPr="00CD389B">
        <w:rPr>
          <w:rFonts w:hint="cs"/>
          <w:i/>
          <w:iCs/>
          <w:rtl/>
        </w:rPr>
        <w:t>.</w:t>
      </w:r>
      <w:r w:rsidRPr="00CD389B">
        <w:rPr>
          <w:i/>
          <w:iCs/>
          <w:rtl/>
        </w:rPr>
        <w:t xml:space="preserve"> 'וטובי לב' – שכל אחד ואחד </w:t>
      </w:r>
      <w:proofErr w:type="spellStart"/>
      <w:r w:rsidRPr="00CD389B">
        <w:rPr>
          <w:i/>
          <w:iCs/>
          <w:rtl/>
        </w:rPr>
        <w:t>נתעברה</w:t>
      </w:r>
      <w:proofErr w:type="spellEnd"/>
      <w:r w:rsidRPr="00CD389B">
        <w:rPr>
          <w:i/>
          <w:iCs/>
          <w:rtl/>
        </w:rPr>
        <w:t xml:space="preserve"> אשתו בבן זכר</w:t>
      </w:r>
      <w:r w:rsidRPr="00CD389B">
        <w:rPr>
          <w:rFonts w:hint="cs"/>
          <w:i/>
          <w:iCs/>
          <w:rtl/>
        </w:rPr>
        <w:t xml:space="preserve">. </w:t>
      </w:r>
      <w:r w:rsidRPr="00CD389B">
        <w:rPr>
          <w:i/>
          <w:iCs/>
          <w:rtl/>
        </w:rPr>
        <w:t xml:space="preserve">'על כל הטובה' – </w:t>
      </w:r>
      <w:proofErr w:type="spellStart"/>
      <w:r w:rsidRPr="00CD389B">
        <w:rPr>
          <w:i/>
          <w:iCs/>
          <w:rtl/>
        </w:rPr>
        <w:t>שיצתה</w:t>
      </w:r>
      <w:proofErr w:type="spellEnd"/>
      <w:r w:rsidRPr="00CD389B">
        <w:rPr>
          <w:i/>
          <w:iCs/>
          <w:rtl/>
        </w:rPr>
        <w:t xml:space="preserve"> בת קול ואמרה להם: כולכם מוזמנים לחיי העולם הבא"</w:t>
      </w:r>
      <w:r w:rsidRPr="00CD389B">
        <w:rPr>
          <w:rFonts w:hint="cs"/>
          <w:i/>
          <w:iCs/>
          <w:rtl/>
        </w:rPr>
        <w:t>.</w:t>
      </w:r>
      <w:r w:rsidRPr="00CD389B">
        <w:rPr>
          <w:vertAlign w:val="superscript"/>
          <w:rtl/>
        </w:rPr>
        <w:footnoteReference w:id="22"/>
      </w:r>
      <w:r w:rsidRPr="00CD389B">
        <w:rPr>
          <w:rFonts w:hint="cs"/>
          <w:i/>
          <w:iCs/>
          <w:rtl/>
        </w:rPr>
        <w:t xml:space="preserve"> </w:t>
      </w:r>
    </w:p>
    <w:p w:rsidR="00AC08CF" w:rsidRPr="00CD389B" w:rsidRDefault="00AC08CF" w:rsidP="00AC08CF">
      <w:pPr>
        <w:jc w:val="both"/>
        <w:rPr>
          <w:rtl/>
        </w:rPr>
      </w:pPr>
      <w:r w:rsidRPr="00CD389B">
        <w:rPr>
          <w:rFonts w:hint="cs"/>
          <w:rtl/>
        </w:rPr>
        <w:t>ברובד הפשט הדרשה מובאת כדי לבסס את הטענה ש</w:t>
      </w:r>
      <w:r w:rsidRPr="00CD389B">
        <w:rPr>
          <w:rtl/>
        </w:rPr>
        <w:t>נמחלו כל עוונות העם על אף שלא קיימו את יום הכיפורים באותה השנה.</w:t>
      </w:r>
      <w:r w:rsidRPr="00CD389B">
        <w:rPr>
          <w:rFonts w:hint="cs"/>
          <w:rtl/>
        </w:rPr>
        <w:t xml:space="preserve"> יחד עם זאת </w:t>
      </w:r>
      <w:r w:rsidRPr="00CD389B">
        <w:rPr>
          <w:rtl/>
        </w:rPr>
        <w:t>הדרשה מבססת את מהלך הסוגיה</w:t>
      </w:r>
      <w:r w:rsidRPr="00CD389B">
        <w:rPr>
          <w:rFonts w:hint="cs"/>
          <w:rtl/>
        </w:rPr>
        <w:t xml:space="preserve"> כולו</w:t>
      </w:r>
      <w:r w:rsidRPr="00CD389B">
        <w:rPr>
          <w:rtl/>
        </w:rPr>
        <w:t>. ראשית, נאמר במפורש ששורש השמחה הנו "ההנאה מזיו השכינה", ומתוך כך</w:t>
      </w:r>
      <w:r w:rsidRPr="00CD389B">
        <w:rPr>
          <w:rFonts w:hint="cs"/>
          <w:rtl/>
        </w:rPr>
        <w:t xml:space="preserve"> יש להסיק</w:t>
      </w:r>
      <w:r w:rsidRPr="00CD389B">
        <w:rPr>
          <w:rtl/>
        </w:rPr>
        <w:t xml:space="preserve"> </w:t>
      </w:r>
      <w:r w:rsidRPr="00CD389B">
        <w:rPr>
          <w:rFonts w:hint="cs"/>
          <w:rtl/>
        </w:rPr>
        <w:t>ש</w:t>
      </w:r>
      <w:r w:rsidRPr="00CD389B">
        <w:rPr>
          <w:rtl/>
        </w:rPr>
        <w:t xml:space="preserve">האיסור של "אין </w:t>
      </w:r>
      <w:proofErr w:type="spellStart"/>
      <w:r w:rsidRPr="00CD389B">
        <w:rPr>
          <w:rtl/>
        </w:rPr>
        <w:t>מערבין</w:t>
      </w:r>
      <w:proofErr w:type="spellEnd"/>
      <w:r w:rsidRPr="00CD389B">
        <w:rPr>
          <w:rtl/>
        </w:rPr>
        <w:t xml:space="preserve"> שמחה בשמחה" חל רק בהתנגשות בין אירועים של שמחה שכזו. </w:t>
      </w:r>
      <w:r w:rsidRPr="00CD389B">
        <w:rPr>
          <w:rFonts w:hint="cs"/>
          <w:rtl/>
        </w:rPr>
        <w:t>זאת ועוד. הדרשה מחזקת את מה שכבר הסיקה הגמרא מהשימוש ב</w:t>
      </w:r>
      <w:r w:rsidRPr="00CD389B">
        <w:rPr>
          <w:rtl/>
        </w:rPr>
        <w:t xml:space="preserve">חנוכת הבית בימי שלמה </w:t>
      </w:r>
      <w:r w:rsidRPr="00CD389B">
        <w:rPr>
          <w:rFonts w:hint="cs"/>
          <w:rtl/>
        </w:rPr>
        <w:t xml:space="preserve">כבסיס לכלל "אין </w:t>
      </w:r>
      <w:proofErr w:type="spellStart"/>
      <w:r w:rsidRPr="00CD389B">
        <w:rPr>
          <w:rFonts w:hint="cs"/>
          <w:rtl/>
        </w:rPr>
        <w:t>מערבין</w:t>
      </w:r>
      <w:proofErr w:type="spellEnd"/>
      <w:r w:rsidRPr="00CD389B">
        <w:rPr>
          <w:rFonts w:hint="cs"/>
          <w:rtl/>
        </w:rPr>
        <w:t xml:space="preserve"> שמחה בשמחה": הפסיקה במשנה</w:t>
      </w:r>
      <w:r w:rsidRPr="00CD389B">
        <w:rPr>
          <w:rtl/>
        </w:rPr>
        <w:t xml:space="preserve"> </w:t>
      </w:r>
      <w:r w:rsidRPr="00CD389B">
        <w:rPr>
          <w:rFonts w:hint="cs"/>
          <w:rtl/>
        </w:rPr>
        <w:t>ש</w:t>
      </w:r>
      <w:r w:rsidRPr="00CD389B">
        <w:rPr>
          <w:rtl/>
        </w:rPr>
        <w:t xml:space="preserve">"אין </w:t>
      </w:r>
      <w:proofErr w:type="spellStart"/>
      <w:r w:rsidRPr="00CD389B">
        <w:rPr>
          <w:rtl/>
        </w:rPr>
        <w:t>נושאין</w:t>
      </w:r>
      <w:proofErr w:type="spellEnd"/>
      <w:r w:rsidRPr="00CD389B">
        <w:rPr>
          <w:rtl/>
        </w:rPr>
        <w:t xml:space="preserve"> נשים במועד" </w:t>
      </w:r>
      <w:r w:rsidRPr="00CD389B">
        <w:rPr>
          <w:rFonts w:hint="cs"/>
          <w:rtl/>
        </w:rPr>
        <w:t xml:space="preserve">מעוגנת דווקא במעשה של </w:t>
      </w:r>
      <w:r w:rsidRPr="00CD389B">
        <w:rPr>
          <w:rtl/>
        </w:rPr>
        <w:t xml:space="preserve">שלמה </w:t>
      </w:r>
      <w:r w:rsidRPr="00CD389B">
        <w:rPr>
          <w:rFonts w:hint="cs"/>
          <w:rtl/>
        </w:rPr>
        <w:t>ש</w:t>
      </w:r>
      <w:r w:rsidRPr="00CD389B">
        <w:rPr>
          <w:rtl/>
        </w:rPr>
        <w:t xml:space="preserve">הפריד בין שמחת בניין בית המקדש לשמחת </w:t>
      </w:r>
      <w:r w:rsidRPr="00CD389B">
        <w:rPr>
          <w:rFonts w:hint="cs"/>
          <w:rtl/>
        </w:rPr>
        <w:t>ה</w:t>
      </w:r>
      <w:r w:rsidRPr="00CD389B">
        <w:rPr>
          <w:rtl/>
        </w:rPr>
        <w:t xml:space="preserve">מועד. </w:t>
      </w:r>
      <w:r w:rsidRPr="00CD389B">
        <w:rPr>
          <w:rFonts w:hint="cs"/>
          <w:rtl/>
        </w:rPr>
        <w:t xml:space="preserve">הדרשה מעמיקה תובנה זו. התקבולת הברורה בדרשה משקפת את היות ההתקשרות בין איש לאשה ושמחת חנוכת המקדש </w:t>
      </w:r>
      <w:r w:rsidRPr="00CD389B">
        <w:rPr>
          <w:rtl/>
        </w:rPr>
        <w:t>שני מוקדים של הופעת המציאות הא-</w:t>
      </w:r>
      <w:proofErr w:type="spellStart"/>
      <w:r w:rsidRPr="00CD389B">
        <w:rPr>
          <w:rtl/>
        </w:rPr>
        <w:lastRenderedPageBreak/>
        <w:t>לוהית</w:t>
      </w:r>
      <w:proofErr w:type="spellEnd"/>
      <w:r w:rsidRPr="00CD389B">
        <w:rPr>
          <w:rtl/>
        </w:rPr>
        <w:t xml:space="preserve"> – בהיטהרות המגלה שכינה במועד ובהיטהרות המביאה ברכ</w:t>
      </w:r>
      <w:r w:rsidRPr="00CD389B">
        <w:rPr>
          <w:rFonts w:hint="cs"/>
          <w:rtl/>
        </w:rPr>
        <w:t>ה</w:t>
      </w:r>
      <w:r w:rsidRPr="00CD389B">
        <w:rPr>
          <w:rtl/>
        </w:rPr>
        <w:t xml:space="preserve"> לעולם. </w:t>
      </w:r>
      <w:r w:rsidRPr="00CD389B">
        <w:rPr>
          <w:rFonts w:hint="cs"/>
          <w:rtl/>
        </w:rPr>
        <w:t xml:space="preserve">זוהי עומק כוונת הקביעה: </w:t>
      </w:r>
      <w:r w:rsidRPr="00CD389B">
        <w:rPr>
          <w:rtl/>
        </w:rPr>
        <w:t>"ושמחת בחגך – ולא באשתך"</w:t>
      </w:r>
      <w:r w:rsidRPr="00CD389B">
        <w:rPr>
          <w:rFonts w:hint="cs"/>
          <w:rtl/>
        </w:rPr>
        <w:t>, היות שמדובר בשתי הופעות של אותה מציאות פלאית, ויש לתת לכל אחת את מקומה ואת זמנה.</w:t>
      </w:r>
    </w:p>
    <w:p w:rsidR="00AC08CF" w:rsidRPr="00CD389B" w:rsidRDefault="00AC08CF" w:rsidP="00AC08CF">
      <w:pPr>
        <w:jc w:val="both"/>
        <w:rPr>
          <w:rtl/>
        </w:rPr>
      </w:pPr>
      <w:r w:rsidRPr="00CD389B">
        <w:rPr>
          <w:rtl/>
        </w:rPr>
        <w:t>יתר על כן</w:t>
      </w:r>
      <w:r w:rsidRPr="00CD389B">
        <w:rPr>
          <w:rFonts w:hint="cs"/>
          <w:rtl/>
        </w:rPr>
        <w:t>,</w:t>
      </w:r>
      <w:r w:rsidRPr="00CD389B">
        <w:rPr>
          <w:rtl/>
        </w:rPr>
        <w:t xml:space="preserve"> בדרשת הגמרא נרמז גם היחס שבין שמחת המועד לברכת האוהל. שהרי הפרֵדה ממקום השכינה </w:t>
      </w:r>
      <w:r w:rsidRPr="00CD389B">
        <w:rPr>
          <w:rFonts w:hint="cs"/>
          <w:rtl/>
        </w:rPr>
        <w:t xml:space="preserve">במקדש </w:t>
      </w:r>
      <w:proofErr w:type="spellStart"/>
      <w:r w:rsidRPr="00CD389B">
        <w:rPr>
          <w:rtl/>
        </w:rPr>
        <w:t>היתה</w:t>
      </w:r>
      <w:proofErr w:type="spellEnd"/>
      <w:r w:rsidRPr="00CD389B">
        <w:rPr>
          <w:rtl/>
        </w:rPr>
        <w:t xml:space="preserve"> בתנועה לקראת </w:t>
      </w:r>
      <w:r w:rsidRPr="00CD389B">
        <w:rPr>
          <w:rFonts w:hint="cs"/>
          <w:rtl/>
        </w:rPr>
        <w:t xml:space="preserve">התקשרות עם </w:t>
      </w:r>
      <w:r w:rsidRPr="00CD389B">
        <w:rPr>
          <w:rtl/>
        </w:rPr>
        <w:t xml:space="preserve">השראת שכינה </w:t>
      </w:r>
      <w:r w:rsidRPr="00CD389B">
        <w:rPr>
          <w:rFonts w:hint="cs"/>
          <w:rtl/>
        </w:rPr>
        <w:t>אחרת</w:t>
      </w:r>
      <w:r w:rsidRPr="00CD389B">
        <w:rPr>
          <w:rtl/>
        </w:rPr>
        <w:t xml:space="preserve">, </w:t>
      </w:r>
      <w:r w:rsidRPr="00CD389B">
        <w:rPr>
          <w:rFonts w:hint="cs"/>
          <w:rtl/>
        </w:rPr>
        <w:t>עם ה</w:t>
      </w:r>
      <w:r w:rsidRPr="00CD389B">
        <w:rPr>
          <w:rtl/>
        </w:rPr>
        <w:t>ברכה המתממשת באוהל עם "נשותיהן שמצאו בטהרה".</w:t>
      </w:r>
      <w:r w:rsidRPr="00CD389B">
        <w:rPr>
          <w:vertAlign w:val="superscript"/>
          <w:rtl/>
        </w:rPr>
        <w:footnoteReference w:id="23"/>
      </w:r>
      <w:r w:rsidRPr="00CD389B">
        <w:rPr>
          <w:rtl/>
        </w:rPr>
        <w:t xml:space="preserve"> </w:t>
      </w:r>
    </w:p>
    <w:p w:rsidR="00AC08CF" w:rsidRPr="00CD389B" w:rsidRDefault="00AC08CF" w:rsidP="00AC08CF">
      <w:pPr>
        <w:jc w:val="both"/>
        <w:rPr>
          <w:rtl/>
        </w:rPr>
      </w:pPr>
      <w:r w:rsidRPr="00CD389B">
        <w:rPr>
          <w:rtl/>
        </w:rPr>
        <w:t xml:space="preserve">בכך מתבטאת הזיקה בין פנימיות התורה </w:t>
      </w:r>
      <w:r w:rsidRPr="00CD389B">
        <w:rPr>
          <w:rFonts w:hint="cs"/>
          <w:rtl/>
        </w:rPr>
        <w:t xml:space="preserve">הנחשפת קמעא במהלך של הגמרא </w:t>
      </w:r>
      <w:r w:rsidRPr="00CD389B">
        <w:rPr>
          <w:rtl/>
        </w:rPr>
        <w:t>ל</w:t>
      </w:r>
      <w:r w:rsidRPr="00CD389B">
        <w:rPr>
          <w:rFonts w:hint="cs"/>
          <w:rtl/>
        </w:rPr>
        <w:t xml:space="preserve">בין </w:t>
      </w:r>
      <w:r w:rsidRPr="00CD389B">
        <w:rPr>
          <w:rtl/>
        </w:rPr>
        <w:t xml:space="preserve">יסודות המתבררים בחידוד ההלכתי. בעלי התוספות </w:t>
      </w:r>
      <w:r w:rsidRPr="00CD389B">
        <w:rPr>
          <w:rFonts w:hint="cs"/>
          <w:rtl/>
        </w:rPr>
        <w:t xml:space="preserve">פסקו </w:t>
      </w:r>
      <w:r w:rsidRPr="00CD389B">
        <w:rPr>
          <w:rtl/>
        </w:rPr>
        <w:t>ש</w:t>
      </w:r>
      <w:r w:rsidRPr="00CD389B">
        <w:rPr>
          <w:rFonts w:hint="cs"/>
          <w:rtl/>
        </w:rPr>
        <w:t xml:space="preserve">הכלל </w:t>
      </w:r>
      <w:r w:rsidRPr="00CD389B">
        <w:rPr>
          <w:rtl/>
        </w:rPr>
        <w:t xml:space="preserve">"אין </w:t>
      </w:r>
      <w:proofErr w:type="spellStart"/>
      <w:r w:rsidRPr="00CD389B">
        <w:rPr>
          <w:rtl/>
        </w:rPr>
        <w:t>מערבין</w:t>
      </w:r>
      <w:proofErr w:type="spellEnd"/>
      <w:r w:rsidRPr="00CD389B">
        <w:rPr>
          <w:rtl/>
        </w:rPr>
        <w:t xml:space="preserve"> שמחה בשמחה" מתייחס בע</w:t>
      </w:r>
      <w:r w:rsidRPr="00CD389B">
        <w:rPr>
          <w:rFonts w:hint="cs"/>
          <w:rtl/>
        </w:rPr>
        <w:t>יקר</w:t>
      </w:r>
      <w:r w:rsidRPr="00CD389B">
        <w:rPr>
          <w:rtl/>
        </w:rPr>
        <w:t xml:space="preserve"> לסעודת הנישואין, ולא לביטויי שמחה אחרים. </w:t>
      </w:r>
      <w:r w:rsidRPr="00CD389B">
        <w:rPr>
          <w:rFonts w:hint="cs"/>
          <w:rtl/>
        </w:rPr>
        <w:t xml:space="preserve">פסיקה זו נקבעה על בסיס עיון מדוקדק בלשון המשנה והגמרא ברמת הפשט. והנה, פסיקה זו משקפת באופן מובהק את הפן הרזי שבמהלך הסוגיה המתבססת על עניין הופעת השכינה במקדש, במועד ובהתקשרות בין איש לאשה.  </w:t>
      </w:r>
    </w:p>
    <w:p w:rsidR="00AC08CF" w:rsidRPr="00CD389B" w:rsidRDefault="00AC08CF" w:rsidP="00AC08CF">
      <w:pPr>
        <w:jc w:val="both"/>
        <w:rPr>
          <w:rtl/>
        </w:rPr>
      </w:pPr>
      <w:r w:rsidRPr="00CD389B">
        <w:rPr>
          <w:rFonts w:hint="cs"/>
          <w:rtl/>
        </w:rPr>
        <w:t>בהמשך הגמרא, בדף ט ע"א-ע"ב,</w:t>
      </w:r>
      <w:r w:rsidRPr="00CD389B">
        <w:rPr>
          <w:rtl/>
        </w:rPr>
        <w:t xml:space="preserve"> הולכת ומתרחבת פרשנות זו למשנה</w:t>
      </w:r>
      <w:r w:rsidRPr="00CD389B">
        <w:rPr>
          <w:rFonts w:hint="cs"/>
          <w:rtl/>
        </w:rPr>
        <w:t>:</w:t>
      </w:r>
      <w:r w:rsidRPr="00CD389B">
        <w:rPr>
          <w:rtl/>
        </w:rPr>
        <w:t xml:space="preserve"> זיהוי מקום השכינה עם בית </w:t>
      </w:r>
      <w:r w:rsidRPr="00CD389B">
        <w:rPr>
          <w:rFonts w:hint="cs"/>
          <w:rtl/>
        </w:rPr>
        <w:t>ה</w:t>
      </w:r>
      <w:r w:rsidRPr="00CD389B">
        <w:rPr>
          <w:rtl/>
        </w:rPr>
        <w:t>מדרש של "רבך" – דוגמת רבי שמעון בר יוחאי</w:t>
      </w:r>
      <w:r w:rsidRPr="00CD389B">
        <w:rPr>
          <w:rFonts w:hint="cs"/>
          <w:rtl/>
        </w:rPr>
        <w:t>, שמכך נגזרת</w:t>
      </w:r>
      <w:r w:rsidRPr="00CD389B">
        <w:rPr>
          <w:rtl/>
        </w:rPr>
        <w:t xml:space="preserve"> החובה להיפרד מרבך כמו שהעם נפרד מהמקדש לאחר חנוכת מקום השכינה בימי שלמה</w:t>
      </w:r>
      <w:r w:rsidRPr="00CD389B">
        <w:rPr>
          <w:rFonts w:hint="cs"/>
          <w:rtl/>
        </w:rPr>
        <w:t>;</w:t>
      </w:r>
      <w:r w:rsidRPr="00CD389B">
        <w:rPr>
          <w:rtl/>
        </w:rPr>
        <w:t xml:space="preserve"> והופעת כוח הברכה לאח</w:t>
      </w:r>
      <w:r w:rsidRPr="00CD389B">
        <w:rPr>
          <w:rFonts w:hint="cs"/>
          <w:rtl/>
        </w:rPr>
        <w:t>ר</w:t>
      </w:r>
      <w:r w:rsidRPr="00CD389B">
        <w:rPr>
          <w:rtl/>
        </w:rPr>
        <w:t xml:space="preserve"> שהות בצלו של הרב, כבמקדש, המתממשת במיוחד בתחום איש ואשה</w:t>
      </w:r>
      <w:r w:rsidRPr="00CD389B">
        <w:rPr>
          <w:rFonts w:hint="cs"/>
          <w:rtl/>
        </w:rPr>
        <w:t xml:space="preserve">, כמו בברכתם של </w:t>
      </w:r>
      <w:r w:rsidRPr="00CD389B">
        <w:rPr>
          <w:rtl/>
        </w:rPr>
        <w:t xml:space="preserve">רבי יונתן בן </w:t>
      </w:r>
      <w:proofErr w:type="spellStart"/>
      <w:r w:rsidRPr="00CD389B">
        <w:rPr>
          <w:rtl/>
        </w:rPr>
        <w:t>עסמיי</w:t>
      </w:r>
      <w:proofErr w:type="spellEnd"/>
      <w:r w:rsidRPr="00CD389B">
        <w:rPr>
          <w:rtl/>
        </w:rPr>
        <w:t xml:space="preserve"> ורבי יהודה בן גרים </w:t>
      </w:r>
      <w:r w:rsidRPr="00CD389B">
        <w:rPr>
          <w:rFonts w:hint="cs"/>
          <w:rtl/>
        </w:rPr>
        <w:t xml:space="preserve">לרבי אלעזר בנו של </w:t>
      </w:r>
      <w:proofErr w:type="spellStart"/>
      <w:r w:rsidRPr="00CD389B">
        <w:rPr>
          <w:rFonts w:hint="cs"/>
          <w:rtl/>
        </w:rPr>
        <w:t>רשב"י</w:t>
      </w:r>
      <w:proofErr w:type="spellEnd"/>
      <w:r w:rsidRPr="00CD389B">
        <w:rPr>
          <w:rtl/>
        </w:rPr>
        <w:t>.</w:t>
      </w:r>
      <w:r w:rsidRPr="00CD389B">
        <w:rPr>
          <w:vertAlign w:val="superscript"/>
          <w:rtl/>
        </w:rPr>
        <w:footnoteReference w:id="24"/>
      </w:r>
      <w:r w:rsidRPr="00CD389B">
        <w:rPr>
          <w:rtl/>
        </w:rPr>
        <w:t xml:space="preserve"> </w:t>
      </w:r>
    </w:p>
    <w:p w:rsidR="00AC08CF" w:rsidRPr="00CD389B" w:rsidRDefault="00AC08CF" w:rsidP="00AC08CF">
      <w:pPr>
        <w:jc w:val="both"/>
        <w:rPr>
          <w:rtl/>
        </w:rPr>
      </w:pPr>
    </w:p>
    <w:p w:rsidR="00AC08CF" w:rsidRPr="00CD389B" w:rsidRDefault="00AC08CF" w:rsidP="00AC08CF">
      <w:pPr>
        <w:jc w:val="both"/>
        <w:rPr>
          <w:b/>
          <w:bCs/>
          <w:u w:val="single"/>
          <w:rtl/>
        </w:rPr>
      </w:pPr>
      <w:r w:rsidRPr="00CD389B">
        <w:rPr>
          <w:rFonts w:hint="cs"/>
          <w:b/>
          <w:bCs/>
          <w:u w:val="single"/>
          <w:rtl/>
        </w:rPr>
        <w:t xml:space="preserve">ד. התקשטות והתעדנות </w:t>
      </w:r>
      <w:r w:rsidRPr="00CD389B">
        <w:rPr>
          <w:b/>
          <w:bCs/>
          <w:u w:val="single"/>
          <w:rtl/>
        </w:rPr>
        <w:t>–</w:t>
      </w:r>
      <w:r w:rsidRPr="00CD389B">
        <w:rPr>
          <w:rFonts w:hint="cs"/>
          <w:b/>
          <w:bCs/>
          <w:u w:val="single"/>
          <w:rtl/>
        </w:rPr>
        <w:t xml:space="preserve"> שמחת החג</w:t>
      </w:r>
    </w:p>
    <w:p w:rsidR="00AC08CF" w:rsidRPr="00CD389B" w:rsidRDefault="00AC08CF" w:rsidP="00AC08CF">
      <w:pPr>
        <w:jc w:val="both"/>
        <w:rPr>
          <w:b/>
          <w:bCs/>
          <w:rtl/>
        </w:rPr>
      </w:pPr>
      <w:r w:rsidRPr="00CD389B">
        <w:rPr>
          <w:rtl/>
        </w:rPr>
        <w:t xml:space="preserve">חידוד </w:t>
      </w:r>
      <w:r w:rsidRPr="00CD389B">
        <w:rPr>
          <w:rFonts w:hint="cs"/>
          <w:rtl/>
        </w:rPr>
        <w:t xml:space="preserve">נוסף של </w:t>
      </w:r>
      <w:r w:rsidRPr="00CD389B">
        <w:rPr>
          <w:rtl/>
        </w:rPr>
        <w:t>המהלך נ</w:t>
      </w:r>
      <w:r w:rsidRPr="00CD389B">
        <w:rPr>
          <w:rFonts w:hint="cs"/>
          <w:rtl/>
        </w:rPr>
        <w:t>מצ</w:t>
      </w:r>
      <w:r w:rsidRPr="00CD389B">
        <w:rPr>
          <w:rtl/>
        </w:rPr>
        <w:t>א בקטע "מלבב" המסיים את הסוגיה. נקבע במשנה שאשה יכולה "לעשות את תכשיטיה ב(חול ה)מועד".</w:t>
      </w:r>
      <w:r w:rsidRPr="00CD389B">
        <w:rPr>
          <w:vertAlign w:val="superscript"/>
          <w:rtl/>
        </w:rPr>
        <w:footnoteReference w:id="25"/>
      </w:r>
      <w:r w:rsidRPr="00CD389B">
        <w:rPr>
          <w:rtl/>
        </w:rPr>
        <w:t xml:space="preserve"> לפי </w:t>
      </w:r>
      <w:r w:rsidRPr="00CD389B">
        <w:rPr>
          <w:rFonts w:hint="cs"/>
          <w:rtl/>
        </w:rPr>
        <w:t>ה</w:t>
      </w:r>
      <w:r w:rsidRPr="00CD389B">
        <w:rPr>
          <w:rtl/>
        </w:rPr>
        <w:t xml:space="preserve">ברייתא המובאת בדף </w:t>
      </w:r>
      <w:r w:rsidRPr="00CD389B">
        <w:rPr>
          <w:rFonts w:hint="cs"/>
          <w:rtl/>
        </w:rPr>
        <w:t>ט ע"ב,</w:t>
      </w:r>
      <w:r w:rsidRPr="00CD389B">
        <w:rPr>
          <w:rtl/>
        </w:rPr>
        <w:t xml:space="preserve"> הכוונה היא להכנת איפור ולהתאפרות עצמה</w:t>
      </w:r>
      <w:r w:rsidRPr="00CD389B">
        <w:rPr>
          <w:rFonts w:hint="cs"/>
          <w:rtl/>
        </w:rPr>
        <w:t xml:space="preserve"> </w:t>
      </w:r>
      <w:r w:rsidRPr="00CD389B">
        <w:rPr>
          <w:rtl/>
        </w:rPr>
        <w:t xml:space="preserve">– פעולות </w:t>
      </w:r>
      <w:r w:rsidRPr="00CD389B">
        <w:rPr>
          <w:rFonts w:hint="cs"/>
          <w:rtl/>
        </w:rPr>
        <w:t>ה</w:t>
      </w:r>
      <w:r w:rsidRPr="00CD389B">
        <w:rPr>
          <w:rtl/>
        </w:rPr>
        <w:t>מותרות בחול המועד למרות הטרחה, ואף מלאכת המרקחת, הנחוצ</w:t>
      </w:r>
      <w:r w:rsidRPr="00CD389B">
        <w:rPr>
          <w:rFonts w:hint="cs"/>
          <w:rtl/>
        </w:rPr>
        <w:t>ה</w:t>
      </w:r>
      <w:r w:rsidRPr="00CD389B">
        <w:rPr>
          <w:rtl/>
        </w:rPr>
        <w:t xml:space="preserve"> </w:t>
      </w:r>
      <w:r w:rsidRPr="00CD389B">
        <w:rPr>
          <w:rFonts w:hint="cs"/>
          <w:rtl/>
        </w:rPr>
        <w:t>ל</w:t>
      </w:r>
      <w:r w:rsidRPr="00CD389B">
        <w:rPr>
          <w:rtl/>
        </w:rPr>
        <w:t xml:space="preserve">הכנת האיפור. על פי שיטת </w:t>
      </w:r>
      <w:r w:rsidRPr="00CD389B">
        <w:rPr>
          <w:rFonts w:hint="cs"/>
          <w:rtl/>
        </w:rPr>
        <w:t xml:space="preserve">רבי יהודה, אסור לאשה לסוך את עצמה בסיד במועד כדי שתשיר שערה ועורה יתלבן ויתעדן היות "שניוול הוא לה", ואין </w:t>
      </w:r>
      <w:proofErr w:type="spellStart"/>
      <w:r w:rsidRPr="00CD389B">
        <w:rPr>
          <w:rFonts w:hint="cs"/>
          <w:rtl/>
        </w:rPr>
        <w:t>להתנוול</w:t>
      </w:r>
      <w:proofErr w:type="spellEnd"/>
      <w:r w:rsidRPr="00CD389B">
        <w:rPr>
          <w:rFonts w:hint="cs"/>
          <w:rtl/>
        </w:rPr>
        <w:t xml:space="preserve"> במועד. למרות זאת, רבי יהודה מודה שאם </w:t>
      </w:r>
      <w:proofErr w:type="spellStart"/>
      <w:r w:rsidRPr="00CD389B">
        <w:rPr>
          <w:rFonts w:hint="cs"/>
          <w:rtl/>
        </w:rPr>
        <w:t>אשה</w:t>
      </w:r>
      <w:proofErr w:type="spellEnd"/>
      <w:r w:rsidRPr="00CD389B">
        <w:rPr>
          <w:rFonts w:hint="cs"/>
          <w:rtl/>
        </w:rPr>
        <w:t xml:space="preserve"> אכן סכה את עצמה בסיד שמותר לה להוריד אותו, "שאף על פי שמצ</w:t>
      </w:r>
      <w:r w:rsidRPr="00CD389B">
        <w:rPr>
          <w:rFonts w:hint="eastAsia"/>
          <w:rtl/>
        </w:rPr>
        <w:t>ֵ</w:t>
      </w:r>
      <w:r w:rsidRPr="00CD389B">
        <w:rPr>
          <w:rFonts w:hint="cs"/>
          <w:rtl/>
        </w:rPr>
        <w:t>ירה היא עכשיו, שמ</w:t>
      </w:r>
      <w:r w:rsidRPr="00CD389B">
        <w:rPr>
          <w:rFonts w:hint="eastAsia"/>
          <w:rtl/>
        </w:rPr>
        <w:t>ֵ</w:t>
      </w:r>
      <w:r w:rsidRPr="00CD389B">
        <w:rPr>
          <w:rFonts w:hint="cs"/>
          <w:rtl/>
        </w:rPr>
        <w:t>חה היא לאחר זמן".</w:t>
      </w:r>
      <w:r w:rsidRPr="00CD389B">
        <w:rPr>
          <w:vertAlign w:val="superscript"/>
          <w:rtl/>
        </w:rPr>
        <w:footnoteReference w:id="26"/>
      </w:r>
      <w:r w:rsidRPr="00CD389B">
        <w:rPr>
          <w:rFonts w:hint="cs"/>
          <w:rtl/>
        </w:rPr>
        <w:t xml:space="preserve"> שוב אנו עוסקים ביסודות ההתקשרות של נשים, הפעם בזכות העצמת יופיי</w:t>
      </w:r>
      <w:r w:rsidRPr="00CD389B">
        <w:rPr>
          <w:rFonts w:hint="eastAsia"/>
          <w:rtl/>
        </w:rPr>
        <w:t>ן</w:t>
      </w:r>
      <w:r w:rsidRPr="00CD389B">
        <w:rPr>
          <w:rFonts w:hint="cs"/>
          <w:rtl/>
        </w:rPr>
        <w:t xml:space="preserve">. כעת </w:t>
      </w:r>
      <w:r w:rsidRPr="00CD389B">
        <w:rPr>
          <w:rtl/>
        </w:rPr>
        <w:t xml:space="preserve">ההיתר </w:t>
      </w:r>
      <w:r w:rsidRPr="00CD389B">
        <w:rPr>
          <w:rFonts w:hint="cs"/>
          <w:rtl/>
        </w:rPr>
        <w:t xml:space="preserve">יינתן בתנאי של שילוב בין שמחתה לרוח המועד </w:t>
      </w:r>
      <w:r w:rsidRPr="00CD389B">
        <w:rPr>
          <w:rtl/>
        </w:rPr>
        <w:t>–</w:t>
      </w:r>
      <w:r w:rsidRPr="00CD389B">
        <w:rPr>
          <w:rFonts w:hint="cs"/>
          <w:rtl/>
        </w:rPr>
        <w:t xml:space="preserve"> אסור להצטער אך מותר אם</w:t>
      </w:r>
      <w:r w:rsidRPr="00CD389B">
        <w:rPr>
          <w:rtl/>
        </w:rPr>
        <w:t xml:space="preserve"> "שמחה היא לה",</w:t>
      </w:r>
      <w:r w:rsidRPr="00CD389B">
        <w:rPr>
          <w:rFonts w:hint="cs"/>
          <w:rtl/>
        </w:rPr>
        <w:t xml:space="preserve"> </w:t>
      </w:r>
      <w:r w:rsidRPr="00CD389B">
        <w:rPr>
          <w:rtl/>
        </w:rPr>
        <w:t>גם א</w:t>
      </w:r>
      <w:r w:rsidRPr="00CD389B">
        <w:rPr>
          <w:rFonts w:hint="cs"/>
          <w:rtl/>
        </w:rPr>
        <w:t xml:space="preserve">ם </w:t>
      </w:r>
      <w:r w:rsidRPr="00CD389B">
        <w:rPr>
          <w:rtl/>
        </w:rPr>
        <w:t>השמחה הנה רק מיוחלת ועתידית.</w:t>
      </w:r>
    </w:p>
    <w:p w:rsidR="00AC08CF" w:rsidRPr="00CD389B" w:rsidRDefault="00AC08CF" w:rsidP="00AC08CF">
      <w:pPr>
        <w:jc w:val="both"/>
        <w:rPr>
          <w:rtl/>
        </w:rPr>
      </w:pPr>
      <w:r w:rsidRPr="00CD389B">
        <w:rPr>
          <w:rtl/>
        </w:rPr>
        <w:t>בהקשר לשמחת נשים המתקשטות במועד</w:t>
      </w:r>
      <w:r w:rsidRPr="00CD389B">
        <w:rPr>
          <w:rFonts w:hint="cs"/>
          <w:rtl/>
        </w:rPr>
        <w:t>,</w:t>
      </w:r>
      <w:r w:rsidRPr="00CD389B">
        <w:rPr>
          <w:rtl/>
        </w:rPr>
        <w:t xml:space="preserve"> טען תלמיד לפני רב </w:t>
      </w:r>
      <w:proofErr w:type="spellStart"/>
      <w:r w:rsidRPr="00CD389B">
        <w:rPr>
          <w:rtl/>
        </w:rPr>
        <w:t>חסדא</w:t>
      </w:r>
      <w:proofErr w:type="spellEnd"/>
      <w:r w:rsidRPr="00CD389B">
        <w:rPr>
          <w:rtl/>
        </w:rPr>
        <w:t xml:space="preserve"> שיש להתיר זאת רק לנשים צעירות שעבורן ההתקשטות והאיפור אכן משמחות. תגובת רב </w:t>
      </w:r>
      <w:proofErr w:type="spellStart"/>
      <w:r w:rsidRPr="00CD389B">
        <w:rPr>
          <w:rtl/>
        </w:rPr>
        <w:t>חסדא</w:t>
      </w:r>
      <w:proofErr w:type="spellEnd"/>
      <w:r w:rsidRPr="00CD389B">
        <w:rPr>
          <w:rtl/>
        </w:rPr>
        <w:t xml:space="preserve"> מהווה </w:t>
      </w:r>
      <w:r w:rsidRPr="00CD389B">
        <w:rPr>
          <w:rFonts w:hint="cs"/>
          <w:rtl/>
        </w:rPr>
        <w:t xml:space="preserve">את </w:t>
      </w:r>
      <w:r w:rsidRPr="00CD389B">
        <w:rPr>
          <w:rtl/>
        </w:rPr>
        <w:t>אחת האמירות היותר מלבבות במסכת</w:t>
      </w:r>
      <w:r w:rsidRPr="00CD389B">
        <w:rPr>
          <w:rFonts w:hint="cs"/>
          <w:rtl/>
        </w:rPr>
        <w:t>,</w:t>
      </w:r>
      <w:r w:rsidRPr="00CD389B">
        <w:rPr>
          <w:rtl/>
        </w:rPr>
        <w:t xml:space="preserve"> שסוגיות רבות בה עוסקות בצער, עצב ואבל</w:t>
      </w:r>
      <w:r w:rsidRPr="00CD389B">
        <w:rPr>
          <w:rFonts w:hint="cs"/>
          <w:rtl/>
        </w:rPr>
        <w:t>:</w:t>
      </w:r>
    </w:p>
    <w:p w:rsidR="00AC08CF" w:rsidRPr="00CD389B" w:rsidRDefault="00AC08CF" w:rsidP="00AC08CF">
      <w:pPr>
        <w:jc w:val="both"/>
        <w:rPr>
          <w:i/>
          <w:iCs/>
          <w:rtl/>
        </w:rPr>
      </w:pPr>
      <w:r w:rsidRPr="00CD389B">
        <w:rPr>
          <w:i/>
          <w:iCs/>
          <w:rtl/>
        </w:rPr>
        <w:lastRenderedPageBreak/>
        <w:t xml:space="preserve">הא-להים! אפילו אמך, ואפילו אימא </w:t>
      </w:r>
      <w:proofErr w:type="spellStart"/>
      <w:r w:rsidRPr="00CD389B">
        <w:rPr>
          <w:i/>
          <w:iCs/>
          <w:rtl/>
        </w:rPr>
        <w:t>דאמך</w:t>
      </w:r>
      <w:proofErr w:type="spellEnd"/>
      <w:r w:rsidRPr="00CD389B">
        <w:rPr>
          <w:i/>
          <w:iCs/>
          <w:rtl/>
        </w:rPr>
        <w:t xml:space="preserve">, ואפילו עומדת על קברה; </w:t>
      </w:r>
      <w:proofErr w:type="spellStart"/>
      <w:r w:rsidRPr="00CD389B">
        <w:rPr>
          <w:i/>
          <w:iCs/>
          <w:rtl/>
        </w:rPr>
        <w:t>דאמרי</w:t>
      </w:r>
      <w:proofErr w:type="spellEnd"/>
      <w:r w:rsidRPr="00CD389B">
        <w:rPr>
          <w:i/>
          <w:iCs/>
          <w:rtl/>
        </w:rPr>
        <w:t xml:space="preserve"> </w:t>
      </w:r>
      <w:proofErr w:type="spellStart"/>
      <w:r w:rsidRPr="00CD389B">
        <w:rPr>
          <w:i/>
          <w:iCs/>
          <w:rtl/>
        </w:rPr>
        <w:t>אינשי</w:t>
      </w:r>
      <w:proofErr w:type="spellEnd"/>
      <w:r w:rsidRPr="00CD389B">
        <w:rPr>
          <w:i/>
          <w:iCs/>
          <w:rtl/>
        </w:rPr>
        <w:t xml:space="preserve"> (שרגילים בני אדם לומר פתגם זה): בת שיתין (בת ששים) כבת שית (כבת שש)</w:t>
      </w:r>
      <w:r w:rsidRPr="00CD389B">
        <w:rPr>
          <w:rFonts w:hint="cs"/>
          <w:i/>
          <w:iCs/>
          <w:rtl/>
        </w:rPr>
        <w:t xml:space="preserve"> </w:t>
      </w:r>
      <w:r w:rsidRPr="00CD389B">
        <w:rPr>
          <w:i/>
          <w:iCs/>
          <w:rtl/>
        </w:rPr>
        <w:t xml:space="preserve">– לקל </w:t>
      </w:r>
      <w:proofErr w:type="spellStart"/>
      <w:r w:rsidRPr="00CD389B">
        <w:rPr>
          <w:i/>
          <w:iCs/>
          <w:rtl/>
        </w:rPr>
        <w:t>טבלא</w:t>
      </w:r>
      <w:proofErr w:type="spellEnd"/>
      <w:r w:rsidRPr="00CD389B">
        <w:rPr>
          <w:i/>
          <w:iCs/>
          <w:rtl/>
        </w:rPr>
        <w:t xml:space="preserve"> </w:t>
      </w:r>
      <w:proofErr w:type="spellStart"/>
      <w:r w:rsidRPr="00CD389B">
        <w:rPr>
          <w:i/>
          <w:iCs/>
          <w:rtl/>
        </w:rPr>
        <w:t>רהטא</w:t>
      </w:r>
      <w:proofErr w:type="spellEnd"/>
      <w:r w:rsidRPr="00CD389B">
        <w:rPr>
          <w:i/>
          <w:iCs/>
          <w:rtl/>
        </w:rPr>
        <w:t xml:space="preserve"> (</w:t>
      </w:r>
      <w:r w:rsidRPr="00CD389B">
        <w:rPr>
          <w:rFonts w:hint="cs"/>
          <w:i/>
          <w:iCs/>
          <w:rtl/>
        </w:rPr>
        <w:t>רצה</w:t>
      </w:r>
      <w:r w:rsidRPr="00CD389B">
        <w:rPr>
          <w:i/>
          <w:iCs/>
          <w:rtl/>
        </w:rPr>
        <w:t xml:space="preserve"> לשֵמע קול התוף – כלומר, נשים נשארות צעירות ברוחן בכל גיל).</w:t>
      </w:r>
      <w:r w:rsidRPr="00CD389B">
        <w:rPr>
          <w:i/>
          <w:iCs/>
          <w:vertAlign w:val="superscript"/>
          <w:rtl/>
        </w:rPr>
        <w:footnoteReference w:id="27"/>
      </w:r>
    </w:p>
    <w:p w:rsidR="00BA060A" w:rsidRDefault="00AC08CF" w:rsidP="00AC08CF">
      <w:pPr>
        <w:jc w:val="both"/>
      </w:pPr>
      <w:r w:rsidRPr="00CD389B">
        <w:rPr>
          <w:rtl/>
        </w:rPr>
        <w:t xml:space="preserve">באמירה מלבבת זו, ובתמונת </w:t>
      </w:r>
      <w:r w:rsidRPr="00CD389B">
        <w:rPr>
          <w:rFonts w:hint="cs"/>
          <w:rtl/>
        </w:rPr>
        <w:t>בנות</w:t>
      </w:r>
      <w:r w:rsidRPr="00CD389B">
        <w:rPr>
          <w:rtl/>
        </w:rPr>
        <w:t xml:space="preserve"> </w:t>
      </w:r>
      <w:r w:rsidRPr="00CD389B">
        <w:rPr>
          <w:rFonts w:hint="cs"/>
          <w:rtl/>
        </w:rPr>
        <w:t>המייפות את עצמן בסיכת</w:t>
      </w:r>
      <w:r w:rsidRPr="00CD389B">
        <w:rPr>
          <w:rtl/>
        </w:rPr>
        <w:t xml:space="preserve"> </w:t>
      </w:r>
      <w:r w:rsidRPr="00CD389B">
        <w:rPr>
          <w:rFonts w:hint="cs"/>
          <w:rtl/>
        </w:rPr>
        <w:t xml:space="preserve">סיד או </w:t>
      </w:r>
      <w:r w:rsidRPr="00CD389B">
        <w:rPr>
          <w:rtl/>
        </w:rPr>
        <w:t>"</w:t>
      </w:r>
      <w:r w:rsidRPr="00CD389B">
        <w:rPr>
          <w:rFonts w:hint="cs"/>
          <w:rtl/>
        </w:rPr>
        <w:t>שמן המור</w:t>
      </w:r>
      <w:r w:rsidRPr="00CD389B">
        <w:rPr>
          <w:rtl/>
        </w:rPr>
        <w:t>"</w:t>
      </w:r>
      <w:r w:rsidRPr="00CD389B">
        <w:rPr>
          <w:rFonts w:hint="cs"/>
          <w:rtl/>
        </w:rPr>
        <w:t>, שהוא</w:t>
      </w:r>
      <w:r w:rsidRPr="00CD389B">
        <w:rPr>
          <w:rtl/>
        </w:rPr>
        <w:t xml:space="preserve"> "שמן זית שלא הביא שליש... שמשיר את השֵׂער ומעדן את הבשר"</w:t>
      </w:r>
      <w:r w:rsidRPr="00CD389B">
        <w:rPr>
          <w:vertAlign w:val="superscript"/>
          <w:rtl/>
        </w:rPr>
        <w:footnoteReference w:id="28"/>
      </w:r>
      <w:r w:rsidRPr="00CD389B">
        <w:rPr>
          <w:rtl/>
        </w:rPr>
        <w:t xml:space="preserve"> –</w:t>
      </w:r>
      <w:r w:rsidRPr="00CD389B">
        <w:rPr>
          <w:rFonts w:hint="cs"/>
          <w:rtl/>
        </w:rPr>
        <w:t xml:space="preserve"> </w:t>
      </w:r>
      <w:r w:rsidRPr="00CD389B">
        <w:rPr>
          <w:rtl/>
        </w:rPr>
        <w:t xml:space="preserve">נסגר הבירור </w:t>
      </w:r>
      <w:r w:rsidRPr="00CD389B">
        <w:rPr>
          <w:rFonts w:hint="cs"/>
          <w:rtl/>
        </w:rPr>
        <w:t xml:space="preserve">על </w:t>
      </w:r>
      <w:r w:rsidRPr="00CD389B">
        <w:rPr>
          <w:rtl/>
        </w:rPr>
        <w:t xml:space="preserve">אודות הזיקה שבין </w:t>
      </w:r>
      <w:r w:rsidRPr="00CD389B">
        <w:rPr>
          <w:rFonts w:hint="cs"/>
          <w:rtl/>
        </w:rPr>
        <w:t>ה</w:t>
      </w:r>
      <w:r w:rsidRPr="00CD389B">
        <w:rPr>
          <w:rtl/>
        </w:rPr>
        <w:t>"שמחות"</w:t>
      </w:r>
      <w:r w:rsidRPr="00CD389B">
        <w:rPr>
          <w:rFonts w:hint="cs"/>
          <w:rtl/>
        </w:rPr>
        <w:t xml:space="preserve"> השונות</w:t>
      </w:r>
      <w:r w:rsidRPr="00CD389B">
        <w:rPr>
          <w:rtl/>
        </w:rPr>
        <w:t xml:space="preserve"> שבהנאה מזיו השכינה</w:t>
      </w:r>
      <w:r w:rsidRPr="00CD389B">
        <w:rPr>
          <w:rFonts w:hint="cs"/>
          <w:rtl/>
        </w:rPr>
        <w:t xml:space="preserve"> שדווקא מתערבות זו בזו</w:t>
      </w:r>
      <w:r w:rsidRPr="00CD389B">
        <w:rPr>
          <w:rtl/>
        </w:rPr>
        <w:t xml:space="preserve">. שמחת חול המועד מתעצמת בהתמלאות נפש </w:t>
      </w:r>
      <w:proofErr w:type="spellStart"/>
      <w:r w:rsidRPr="00CD389B">
        <w:rPr>
          <w:rtl/>
        </w:rPr>
        <w:t>אשה</w:t>
      </w:r>
      <w:proofErr w:type="spellEnd"/>
      <w:r w:rsidRPr="00CD389B">
        <w:rPr>
          <w:rFonts w:hint="cs"/>
          <w:rtl/>
        </w:rPr>
        <w:t>,</w:t>
      </w:r>
      <w:r w:rsidRPr="00CD389B">
        <w:rPr>
          <w:rtl/>
        </w:rPr>
        <w:t xml:space="preserve"> החשה ב</w:t>
      </w:r>
      <w:r>
        <w:rPr>
          <w:rtl/>
        </w:rPr>
        <w:t>יופייה ובברכת האוהל שתבוא ממנה.</w:t>
      </w:r>
    </w:p>
    <w:sectPr w:rsidR="00BA060A" w:rsidSect="008A469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3B3" w:rsidRDefault="00D323B3" w:rsidP="00AC08CF">
      <w:pPr>
        <w:spacing w:after="0" w:line="240" w:lineRule="auto"/>
      </w:pPr>
      <w:r>
        <w:separator/>
      </w:r>
    </w:p>
  </w:endnote>
  <w:endnote w:type="continuationSeparator" w:id="0">
    <w:p w:rsidR="00D323B3" w:rsidRDefault="00D323B3" w:rsidP="00AC0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3B3" w:rsidRDefault="00D323B3" w:rsidP="00AC08CF">
      <w:pPr>
        <w:spacing w:after="0" w:line="240" w:lineRule="auto"/>
      </w:pPr>
      <w:r>
        <w:separator/>
      </w:r>
    </w:p>
  </w:footnote>
  <w:footnote w:type="continuationSeparator" w:id="0">
    <w:p w:rsidR="00D323B3" w:rsidRDefault="00D323B3" w:rsidP="00AC08CF">
      <w:pPr>
        <w:spacing w:after="0" w:line="240" w:lineRule="auto"/>
      </w:pPr>
      <w:r>
        <w:continuationSeparator/>
      </w:r>
    </w:p>
  </w:footnote>
  <w:footnote w:id="1">
    <w:p w:rsidR="00AC08CF" w:rsidRPr="00280450" w:rsidRDefault="00AC08CF" w:rsidP="00AC08CF">
      <w:pPr>
        <w:pStyle w:val="a3"/>
        <w:spacing w:after="0"/>
        <w:jc w:val="both"/>
        <w:rPr>
          <w:rtl/>
        </w:rPr>
      </w:pPr>
      <w:r w:rsidRPr="00280450">
        <w:rPr>
          <w:rStyle w:val="a5"/>
        </w:rPr>
        <w:footnoteRef/>
      </w:r>
      <w:r w:rsidRPr="00280450">
        <w:rPr>
          <w:rtl/>
        </w:rPr>
        <w:t xml:space="preserve"> משנה מועד קטן, א, ז (ח ע"ב).</w:t>
      </w:r>
    </w:p>
  </w:footnote>
  <w:footnote w:id="2">
    <w:p w:rsidR="00AC08CF" w:rsidRPr="00280450" w:rsidRDefault="00AC08CF" w:rsidP="00AC08CF">
      <w:pPr>
        <w:pStyle w:val="a3"/>
        <w:spacing w:after="0"/>
        <w:jc w:val="both"/>
      </w:pPr>
      <w:r w:rsidRPr="00280450">
        <w:rPr>
          <w:rStyle w:val="a5"/>
        </w:rPr>
        <w:footnoteRef/>
      </w:r>
      <w:r w:rsidRPr="00280450">
        <w:rPr>
          <w:rtl/>
        </w:rPr>
        <w:t xml:space="preserve"> </w:t>
      </w:r>
      <w:r w:rsidRPr="00280450">
        <w:rPr>
          <w:rtl/>
        </w:rPr>
        <w:t>מועד קטן ח ע"ב.</w:t>
      </w:r>
    </w:p>
  </w:footnote>
  <w:footnote w:id="3">
    <w:p w:rsidR="00AC08CF" w:rsidRPr="00280450" w:rsidRDefault="00AC08CF" w:rsidP="00AC08CF">
      <w:pPr>
        <w:pStyle w:val="a3"/>
        <w:spacing w:after="0"/>
        <w:jc w:val="both"/>
        <w:rPr>
          <w:rtl/>
        </w:rPr>
      </w:pPr>
      <w:r w:rsidRPr="00280450">
        <w:rPr>
          <w:rStyle w:val="a5"/>
        </w:rPr>
        <w:footnoteRef/>
      </w:r>
      <w:r w:rsidRPr="00280450">
        <w:rPr>
          <w:rtl/>
        </w:rPr>
        <w:t xml:space="preserve"> </w:t>
      </w:r>
      <w:r w:rsidRPr="00280450">
        <w:rPr>
          <w:rtl/>
        </w:rPr>
        <w:t xml:space="preserve">תוספות, שם, ד"ה לפי שאין </w:t>
      </w:r>
      <w:proofErr w:type="spellStart"/>
      <w:r w:rsidRPr="00280450">
        <w:rPr>
          <w:rtl/>
        </w:rPr>
        <w:t>מערבין</w:t>
      </w:r>
      <w:proofErr w:type="spellEnd"/>
      <w:r w:rsidRPr="00280450">
        <w:rPr>
          <w:rtl/>
        </w:rPr>
        <w:t xml:space="preserve"> שמחה בשמחה.</w:t>
      </w:r>
    </w:p>
  </w:footnote>
  <w:footnote w:id="4">
    <w:p w:rsidR="00AC08CF" w:rsidRPr="00280450" w:rsidRDefault="00AC08CF" w:rsidP="00AC08CF">
      <w:pPr>
        <w:pStyle w:val="a3"/>
        <w:spacing w:after="0"/>
        <w:jc w:val="both"/>
      </w:pPr>
      <w:r w:rsidRPr="00280450">
        <w:rPr>
          <w:rStyle w:val="a5"/>
        </w:rPr>
        <w:footnoteRef/>
      </w:r>
      <w:r w:rsidRPr="00280450">
        <w:rPr>
          <w:rtl/>
        </w:rPr>
        <w:t xml:space="preserve"> </w:t>
      </w:r>
      <w:r w:rsidRPr="00280450">
        <w:rPr>
          <w:b/>
          <w:bCs/>
          <w:rtl/>
        </w:rPr>
        <w:t>משנה תורה</w:t>
      </w:r>
      <w:r w:rsidRPr="00280450">
        <w:rPr>
          <w:rtl/>
        </w:rPr>
        <w:t>, הלכות תפילה, ד, טו-</w:t>
      </w:r>
      <w:proofErr w:type="spellStart"/>
      <w:r w:rsidRPr="00280450">
        <w:rPr>
          <w:rtl/>
        </w:rPr>
        <w:t>טז</w:t>
      </w:r>
      <w:proofErr w:type="spellEnd"/>
      <w:r w:rsidRPr="00280450">
        <w:rPr>
          <w:rtl/>
        </w:rPr>
        <w:t>.</w:t>
      </w:r>
    </w:p>
  </w:footnote>
  <w:footnote w:id="5">
    <w:p w:rsidR="00AC08CF" w:rsidRPr="00280450" w:rsidRDefault="00AC08CF" w:rsidP="00AC08CF">
      <w:pPr>
        <w:pStyle w:val="a3"/>
        <w:spacing w:after="0"/>
        <w:jc w:val="both"/>
      </w:pPr>
      <w:r w:rsidRPr="00280450">
        <w:rPr>
          <w:rStyle w:val="a5"/>
        </w:rPr>
        <w:footnoteRef/>
      </w:r>
      <w:r w:rsidRPr="00280450">
        <w:rPr>
          <w:rtl/>
        </w:rPr>
        <w:t xml:space="preserve"> </w:t>
      </w:r>
      <w:r w:rsidRPr="00280450">
        <w:rPr>
          <w:rtl/>
        </w:rPr>
        <w:t xml:space="preserve">ירושלמי מועד קטן, פ"א </w:t>
      </w:r>
      <w:proofErr w:type="spellStart"/>
      <w:r w:rsidRPr="00280450">
        <w:rPr>
          <w:rtl/>
        </w:rPr>
        <w:t>ה"ז</w:t>
      </w:r>
      <w:proofErr w:type="spellEnd"/>
      <w:r w:rsidRPr="00280450">
        <w:rPr>
          <w:rtl/>
        </w:rPr>
        <w:t>.</w:t>
      </w:r>
    </w:p>
  </w:footnote>
  <w:footnote w:id="6">
    <w:p w:rsidR="00AC08CF" w:rsidRPr="00280450" w:rsidRDefault="00AC08CF" w:rsidP="00AC08CF">
      <w:pPr>
        <w:pStyle w:val="a3"/>
        <w:spacing w:after="0"/>
        <w:jc w:val="both"/>
      </w:pPr>
      <w:r w:rsidRPr="00280450">
        <w:rPr>
          <w:rStyle w:val="a5"/>
        </w:rPr>
        <w:footnoteRef/>
      </w:r>
      <w:r w:rsidRPr="00280450">
        <w:rPr>
          <w:rtl/>
        </w:rPr>
        <w:t xml:space="preserve"> </w:t>
      </w:r>
      <w:r w:rsidRPr="00280450">
        <w:rPr>
          <w:rtl/>
        </w:rPr>
        <w:t xml:space="preserve">בראשית </w:t>
      </w:r>
      <w:proofErr w:type="spellStart"/>
      <w:r w:rsidRPr="00280450">
        <w:rPr>
          <w:rtl/>
        </w:rPr>
        <w:t>כט</w:t>
      </w:r>
      <w:proofErr w:type="spellEnd"/>
      <w:r w:rsidRPr="00280450">
        <w:rPr>
          <w:rtl/>
        </w:rPr>
        <w:t xml:space="preserve">, </w:t>
      </w:r>
      <w:proofErr w:type="spellStart"/>
      <w:r w:rsidRPr="00280450">
        <w:rPr>
          <w:rtl/>
        </w:rPr>
        <w:t>כז</w:t>
      </w:r>
      <w:proofErr w:type="spellEnd"/>
      <w:r w:rsidRPr="00280450">
        <w:rPr>
          <w:rtl/>
        </w:rPr>
        <w:t>.</w:t>
      </w:r>
    </w:p>
  </w:footnote>
  <w:footnote w:id="7">
    <w:p w:rsidR="00AC08CF" w:rsidRPr="00280450" w:rsidRDefault="00AC08CF" w:rsidP="00AC08CF">
      <w:pPr>
        <w:pStyle w:val="a3"/>
        <w:spacing w:after="0"/>
        <w:jc w:val="both"/>
      </w:pPr>
      <w:r w:rsidRPr="00280450">
        <w:rPr>
          <w:rStyle w:val="a5"/>
        </w:rPr>
        <w:footnoteRef/>
      </w:r>
      <w:r w:rsidRPr="00280450">
        <w:rPr>
          <w:rtl/>
        </w:rPr>
        <w:t xml:space="preserve"> </w:t>
      </w:r>
      <w:r w:rsidRPr="00280450">
        <w:rPr>
          <w:rtl/>
        </w:rPr>
        <w:t>תוספות, שם, ד"ה מפני ביטול פריה ורביה.</w:t>
      </w:r>
    </w:p>
  </w:footnote>
  <w:footnote w:id="8">
    <w:p w:rsidR="00AC08CF" w:rsidRPr="00280450" w:rsidRDefault="00AC08CF" w:rsidP="00AC08CF">
      <w:pPr>
        <w:pStyle w:val="a3"/>
        <w:spacing w:after="0"/>
        <w:jc w:val="both"/>
        <w:rPr>
          <w:rtl/>
        </w:rPr>
      </w:pPr>
      <w:r w:rsidRPr="00280450">
        <w:rPr>
          <w:rStyle w:val="a5"/>
        </w:rPr>
        <w:footnoteRef/>
      </w:r>
      <w:r w:rsidRPr="00280450">
        <w:rPr>
          <w:rtl/>
        </w:rPr>
        <w:t xml:space="preserve"> </w:t>
      </w:r>
      <w:r w:rsidRPr="00280450">
        <w:rPr>
          <w:rtl/>
        </w:rPr>
        <w:t xml:space="preserve">בדף </w:t>
      </w:r>
      <w:proofErr w:type="spellStart"/>
      <w:r w:rsidRPr="00280450">
        <w:rPr>
          <w:rtl/>
        </w:rPr>
        <w:t>יח</w:t>
      </w:r>
      <w:proofErr w:type="spellEnd"/>
      <w:r w:rsidRPr="00280450">
        <w:rPr>
          <w:rtl/>
        </w:rPr>
        <w:t xml:space="preserve"> ע"ב שמואל קובע ש"מותר לארס </w:t>
      </w:r>
      <w:proofErr w:type="spellStart"/>
      <w:r w:rsidRPr="00280450">
        <w:rPr>
          <w:rtl/>
        </w:rPr>
        <w:t>אשה</w:t>
      </w:r>
      <w:proofErr w:type="spellEnd"/>
      <w:r w:rsidRPr="00280450">
        <w:rPr>
          <w:rtl/>
        </w:rPr>
        <w:t xml:space="preserve"> בחולו של מועד, שמא יקדמנו אחר", ועולה מדבריו ששיקול זה גובר על הטעם שהוא עצמו הביא בדף ח ע"ב ש"אין </w:t>
      </w:r>
      <w:proofErr w:type="spellStart"/>
      <w:r w:rsidRPr="00280450">
        <w:rPr>
          <w:rtl/>
        </w:rPr>
        <w:t>מערבין</w:t>
      </w:r>
      <w:proofErr w:type="spellEnd"/>
      <w:r w:rsidRPr="00280450">
        <w:rPr>
          <w:rtl/>
        </w:rPr>
        <w:t xml:space="preserve"> שמחה בשמחה". ואכן כך נפסק להלכה ב</w:t>
      </w:r>
      <w:r w:rsidRPr="00280450">
        <w:rPr>
          <w:b/>
          <w:bCs/>
          <w:rtl/>
        </w:rPr>
        <w:t>משנה תורה</w:t>
      </w:r>
      <w:r w:rsidRPr="00280450">
        <w:rPr>
          <w:rtl/>
        </w:rPr>
        <w:t>, ועל כך מוסיף הרמב"ם: "ובלבד שלא יעשה סעודת אירוסין ולא סעודת נישואין כדי שלא יערב שמחה אחרת בשמחת החג" (</w:t>
      </w:r>
      <w:r w:rsidRPr="00280450">
        <w:rPr>
          <w:b/>
          <w:bCs/>
          <w:rtl/>
        </w:rPr>
        <w:t>משנה תורה</w:t>
      </w:r>
      <w:r w:rsidRPr="00280450">
        <w:rPr>
          <w:rtl/>
        </w:rPr>
        <w:t xml:space="preserve">, הלכות יום טוב, ז, </w:t>
      </w:r>
      <w:proofErr w:type="spellStart"/>
      <w:r w:rsidRPr="00280450">
        <w:rPr>
          <w:rtl/>
        </w:rPr>
        <w:t>טז</w:t>
      </w:r>
      <w:proofErr w:type="spellEnd"/>
      <w:r w:rsidRPr="00280450">
        <w:rPr>
          <w:rtl/>
        </w:rPr>
        <w:t>). וב</w:t>
      </w:r>
      <w:r w:rsidRPr="00280450">
        <w:rPr>
          <w:b/>
          <w:bCs/>
          <w:rtl/>
        </w:rPr>
        <w:t>שולחן ערוך</w:t>
      </w:r>
      <w:r w:rsidRPr="00280450">
        <w:rPr>
          <w:rtl/>
        </w:rPr>
        <w:t xml:space="preserve"> הוסיף: "ומותר לעשות </w:t>
      </w:r>
      <w:proofErr w:type="spellStart"/>
      <w:r w:rsidRPr="00280450">
        <w:rPr>
          <w:rtl/>
        </w:rPr>
        <w:t>ריקודין</w:t>
      </w:r>
      <w:proofErr w:type="spellEnd"/>
      <w:r w:rsidRPr="00280450">
        <w:rPr>
          <w:rtl/>
        </w:rPr>
        <w:t xml:space="preserve"> ומחולות ולעשות סעודת הארוס עם </w:t>
      </w:r>
      <w:proofErr w:type="spellStart"/>
      <w:r w:rsidRPr="00280450">
        <w:rPr>
          <w:rtl/>
        </w:rPr>
        <w:t>מריעיו</w:t>
      </w:r>
      <w:proofErr w:type="spellEnd"/>
      <w:r w:rsidRPr="00280450">
        <w:rPr>
          <w:rtl/>
        </w:rPr>
        <w:t xml:space="preserve"> שלא בבית ארוסתו, וכן לסעוד הארוס בבית ארוסתו שלא בשעת אירוסין, מותר" (</w:t>
      </w:r>
      <w:r w:rsidRPr="00280450">
        <w:rPr>
          <w:b/>
          <w:bCs/>
          <w:rtl/>
        </w:rPr>
        <w:t>שולחן ערוך,</w:t>
      </w:r>
      <w:r w:rsidRPr="00280450">
        <w:rPr>
          <w:rtl/>
        </w:rPr>
        <w:t xml:space="preserve"> אורח חיים, </w:t>
      </w:r>
      <w:proofErr w:type="spellStart"/>
      <w:r w:rsidRPr="00280450">
        <w:rPr>
          <w:rtl/>
        </w:rPr>
        <w:t>תקמו</w:t>
      </w:r>
      <w:proofErr w:type="spellEnd"/>
      <w:r w:rsidRPr="00280450">
        <w:rPr>
          <w:rtl/>
        </w:rPr>
        <w:t xml:space="preserve">, א). כלומר, מה שנאסר הוא רק שמחה משותפת של הארוס והארוסה, בדומה לשמחת חתן וכלה. האחרונים נחלקו לגבי סעודת אירוסין הנהוגה בימינו, כלומר אירוסין ללא קידושין – מה שמכונה "כתיבת התנאים" או שידוכין. </w:t>
      </w:r>
      <w:proofErr w:type="spellStart"/>
      <w:r w:rsidRPr="00280450">
        <w:rPr>
          <w:rtl/>
        </w:rPr>
        <w:t>ה</w:t>
      </w:r>
      <w:r w:rsidRPr="00280450">
        <w:rPr>
          <w:b/>
          <w:bCs/>
          <w:rtl/>
        </w:rPr>
        <w:t>ט"ז</w:t>
      </w:r>
      <w:proofErr w:type="spellEnd"/>
      <w:r w:rsidRPr="00280450">
        <w:rPr>
          <w:rtl/>
        </w:rPr>
        <w:t xml:space="preserve">, שם, </w:t>
      </w:r>
      <w:proofErr w:type="spellStart"/>
      <w:r w:rsidRPr="00280450">
        <w:rPr>
          <w:rtl/>
        </w:rPr>
        <w:t>ס"ק</w:t>
      </w:r>
      <w:proofErr w:type="spellEnd"/>
      <w:r w:rsidRPr="00280450">
        <w:rPr>
          <w:rtl/>
        </w:rPr>
        <w:t xml:space="preserve"> ב, סובר שאין לקיים סעודה זו, שהרי גם סעודת ברית מילה ופדיון הבן לא הותרו אלא משום שלא ניתן לדחות את </w:t>
      </w:r>
      <w:proofErr w:type="spellStart"/>
      <w:r w:rsidRPr="00280450">
        <w:rPr>
          <w:rtl/>
        </w:rPr>
        <w:t>המצוה</w:t>
      </w:r>
      <w:proofErr w:type="spellEnd"/>
      <w:r w:rsidRPr="00280450">
        <w:rPr>
          <w:rtl/>
        </w:rPr>
        <w:t xml:space="preserve">, וממילא מותר גם לקיים סעודת מצוה, </w:t>
      </w:r>
      <w:proofErr w:type="spellStart"/>
      <w:r w:rsidRPr="00280450">
        <w:rPr>
          <w:rtl/>
        </w:rPr>
        <w:t>משא"כ</w:t>
      </w:r>
      <w:proofErr w:type="spellEnd"/>
      <w:r w:rsidRPr="00280450">
        <w:rPr>
          <w:rtl/>
        </w:rPr>
        <w:t xml:space="preserve"> בנידון זה. אך ה</w:t>
      </w:r>
      <w:r w:rsidRPr="00280450">
        <w:rPr>
          <w:b/>
          <w:bCs/>
          <w:rtl/>
        </w:rPr>
        <w:t>משנה ברורה</w:t>
      </w:r>
      <w:r w:rsidRPr="00280450">
        <w:rPr>
          <w:rtl/>
        </w:rPr>
        <w:t xml:space="preserve">, שם, </w:t>
      </w:r>
      <w:proofErr w:type="spellStart"/>
      <w:r w:rsidRPr="00280450">
        <w:rPr>
          <w:rtl/>
        </w:rPr>
        <w:t>ס"ק</w:t>
      </w:r>
      <w:proofErr w:type="spellEnd"/>
      <w:r w:rsidRPr="00280450">
        <w:rPr>
          <w:rtl/>
        </w:rPr>
        <w:t xml:space="preserve"> ב, מביא ששאר האחרונים מקלים בזה.</w:t>
      </w:r>
    </w:p>
  </w:footnote>
  <w:footnote w:id="9">
    <w:p w:rsidR="00AC08CF" w:rsidRPr="00280450" w:rsidRDefault="00AC08CF" w:rsidP="00AC08CF">
      <w:pPr>
        <w:pStyle w:val="a3"/>
        <w:spacing w:after="0"/>
        <w:jc w:val="both"/>
        <w:rPr>
          <w:rtl/>
        </w:rPr>
      </w:pPr>
      <w:r w:rsidRPr="00280450">
        <w:rPr>
          <w:rStyle w:val="a5"/>
        </w:rPr>
        <w:footnoteRef/>
      </w:r>
      <w:r w:rsidRPr="00280450">
        <w:rPr>
          <w:rtl/>
        </w:rPr>
        <w:t xml:space="preserve"> </w:t>
      </w:r>
      <w:r w:rsidRPr="00280450">
        <w:rPr>
          <w:rtl/>
        </w:rPr>
        <w:t>תענית שם.</w:t>
      </w:r>
    </w:p>
  </w:footnote>
  <w:footnote w:id="10">
    <w:p w:rsidR="00AC08CF" w:rsidRPr="00280450" w:rsidRDefault="00AC08CF" w:rsidP="00AC08CF">
      <w:pPr>
        <w:pStyle w:val="a3"/>
        <w:spacing w:after="0"/>
        <w:jc w:val="both"/>
        <w:rPr>
          <w:rtl/>
        </w:rPr>
      </w:pPr>
      <w:r w:rsidRPr="00280450">
        <w:rPr>
          <w:rStyle w:val="a5"/>
        </w:rPr>
        <w:footnoteRef/>
      </w:r>
      <w:r w:rsidRPr="00280450">
        <w:rPr>
          <w:rtl/>
        </w:rPr>
        <w:t xml:space="preserve"> </w:t>
      </w:r>
      <w:r w:rsidRPr="00280450">
        <w:rPr>
          <w:rtl/>
        </w:rPr>
        <w:t>משנה שם, א, ה (ח ע"א).</w:t>
      </w:r>
    </w:p>
  </w:footnote>
  <w:footnote w:id="11">
    <w:p w:rsidR="00AC08CF" w:rsidRPr="00280450" w:rsidRDefault="00AC08CF" w:rsidP="00AC08CF">
      <w:pPr>
        <w:pStyle w:val="a3"/>
        <w:spacing w:after="0"/>
        <w:jc w:val="both"/>
      </w:pPr>
      <w:r w:rsidRPr="00280450">
        <w:rPr>
          <w:rStyle w:val="a5"/>
        </w:rPr>
        <w:footnoteRef/>
      </w:r>
      <w:r w:rsidRPr="00280450">
        <w:rPr>
          <w:rtl/>
        </w:rPr>
        <w:t xml:space="preserve"> </w:t>
      </w:r>
      <w:r w:rsidRPr="00280450">
        <w:rPr>
          <w:rtl/>
        </w:rPr>
        <w:t>ביטוי זה נאמר על שלושת האבות ועל אהרן ומשה, וכן על ישמעאל. במקומות אחרים מופיע הביטוי "לשכב עם אבותיו", שמופיע עשרות פעמים בספרי מלכים ודברי הימים.</w:t>
      </w:r>
    </w:p>
  </w:footnote>
  <w:footnote w:id="12">
    <w:p w:rsidR="00AC08CF" w:rsidRPr="00280450" w:rsidRDefault="00AC08CF" w:rsidP="00AC08CF">
      <w:pPr>
        <w:pStyle w:val="a3"/>
        <w:spacing w:after="0"/>
        <w:jc w:val="both"/>
        <w:rPr>
          <w:rtl/>
        </w:rPr>
      </w:pPr>
      <w:r w:rsidRPr="00280450">
        <w:rPr>
          <w:rStyle w:val="a5"/>
        </w:rPr>
        <w:footnoteRef/>
      </w:r>
      <w:r w:rsidRPr="00280450">
        <w:rPr>
          <w:rtl/>
        </w:rPr>
        <w:t xml:space="preserve"> </w:t>
      </w:r>
      <w:r w:rsidRPr="00280450">
        <w:rPr>
          <w:rtl/>
        </w:rPr>
        <w:t>למשל, כך ניתן לראות בקברי המלכים שלמרגלות עיר דוד.</w:t>
      </w:r>
    </w:p>
  </w:footnote>
  <w:footnote w:id="13">
    <w:p w:rsidR="00AC08CF" w:rsidRPr="00280450" w:rsidRDefault="00AC08CF" w:rsidP="00AC08CF">
      <w:pPr>
        <w:pStyle w:val="a3"/>
        <w:spacing w:after="0"/>
        <w:jc w:val="both"/>
        <w:rPr>
          <w:rtl/>
        </w:rPr>
      </w:pPr>
      <w:r w:rsidRPr="00280450">
        <w:rPr>
          <w:rStyle w:val="a5"/>
        </w:rPr>
        <w:footnoteRef/>
      </w:r>
      <w:r w:rsidRPr="00280450">
        <w:rPr>
          <w:rtl/>
        </w:rPr>
        <w:t xml:space="preserve"> </w:t>
      </w:r>
      <w:r w:rsidRPr="00280450">
        <w:rPr>
          <w:rtl/>
        </w:rPr>
        <w:t>תענית ט ע"א. טעם זה מופיע גם בירושלמי, שם.</w:t>
      </w:r>
    </w:p>
  </w:footnote>
  <w:footnote w:id="14">
    <w:p w:rsidR="00AC08CF" w:rsidRPr="00280450" w:rsidRDefault="00AC08CF" w:rsidP="00AC08CF">
      <w:pPr>
        <w:pStyle w:val="a3"/>
        <w:spacing w:after="0"/>
        <w:jc w:val="both"/>
        <w:rPr>
          <w:rtl/>
        </w:rPr>
      </w:pPr>
      <w:r w:rsidRPr="00280450">
        <w:rPr>
          <w:rStyle w:val="a5"/>
        </w:rPr>
        <w:footnoteRef/>
      </w:r>
      <w:r w:rsidRPr="00280450">
        <w:rPr>
          <w:rtl/>
        </w:rPr>
        <w:t xml:space="preserve"> </w:t>
      </w:r>
      <w:r w:rsidRPr="00280450">
        <w:rPr>
          <w:rtl/>
        </w:rPr>
        <w:t xml:space="preserve">מלכים א' ח, סה. </w:t>
      </w:r>
    </w:p>
  </w:footnote>
  <w:footnote w:id="15">
    <w:p w:rsidR="00AC08CF" w:rsidRPr="00280450" w:rsidRDefault="00AC08CF" w:rsidP="00AC08CF">
      <w:pPr>
        <w:pStyle w:val="a3"/>
        <w:spacing w:after="0"/>
        <w:jc w:val="both"/>
      </w:pPr>
      <w:r w:rsidRPr="00280450">
        <w:rPr>
          <w:rStyle w:val="a5"/>
        </w:rPr>
        <w:footnoteRef/>
      </w:r>
      <w:r w:rsidRPr="00280450">
        <w:rPr>
          <w:rtl/>
        </w:rPr>
        <w:t xml:space="preserve"> </w:t>
      </w:r>
      <w:r w:rsidRPr="00280450">
        <w:rPr>
          <w:rtl/>
        </w:rPr>
        <w:t>שם, י-יא.</w:t>
      </w:r>
    </w:p>
  </w:footnote>
  <w:footnote w:id="16">
    <w:p w:rsidR="00AC08CF" w:rsidRPr="00280450" w:rsidRDefault="00AC08CF" w:rsidP="00AC08CF">
      <w:pPr>
        <w:pStyle w:val="a3"/>
        <w:spacing w:after="0"/>
        <w:jc w:val="both"/>
        <w:rPr>
          <w:rtl/>
        </w:rPr>
      </w:pPr>
      <w:r w:rsidRPr="00280450">
        <w:rPr>
          <w:rStyle w:val="a5"/>
        </w:rPr>
        <w:footnoteRef/>
      </w:r>
      <w:r w:rsidRPr="00280450">
        <w:rPr>
          <w:rtl/>
        </w:rPr>
        <w:t xml:space="preserve"> </w:t>
      </w:r>
      <w:r w:rsidRPr="00280450">
        <w:rPr>
          <w:rtl/>
        </w:rPr>
        <w:t>שמות כד, טו-</w:t>
      </w:r>
      <w:proofErr w:type="spellStart"/>
      <w:r w:rsidRPr="00280450">
        <w:rPr>
          <w:rtl/>
        </w:rPr>
        <w:t>טז</w:t>
      </w:r>
      <w:proofErr w:type="spellEnd"/>
      <w:r w:rsidRPr="00280450">
        <w:rPr>
          <w:rtl/>
        </w:rPr>
        <w:t>.</w:t>
      </w:r>
    </w:p>
  </w:footnote>
  <w:footnote w:id="17">
    <w:p w:rsidR="00AC08CF" w:rsidRPr="00280450" w:rsidRDefault="00AC08CF" w:rsidP="00AC08CF">
      <w:pPr>
        <w:pStyle w:val="a3"/>
        <w:spacing w:after="0"/>
        <w:jc w:val="both"/>
      </w:pPr>
      <w:r w:rsidRPr="00280450">
        <w:rPr>
          <w:rStyle w:val="a5"/>
        </w:rPr>
        <w:footnoteRef/>
      </w:r>
      <w:r w:rsidRPr="00280450">
        <w:rPr>
          <w:rtl/>
        </w:rPr>
        <w:t xml:space="preserve"> </w:t>
      </w:r>
      <w:r w:rsidRPr="00280450">
        <w:rPr>
          <w:rtl/>
        </w:rPr>
        <w:t>שם מ, לד-לה.</w:t>
      </w:r>
    </w:p>
  </w:footnote>
  <w:footnote w:id="18">
    <w:p w:rsidR="00AC08CF" w:rsidRPr="00280450" w:rsidRDefault="00AC08CF" w:rsidP="00AC08CF">
      <w:pPr>
        <w:pStyle w:val="a3"/>
        <w:spacing w:after="0"/>
        <w:jc w:val="both"/>
        <w:rPr>
          <w:rtl/>
        </w:rPr>
      </w:pPr>
      <w:r w:rsidRPr="00280450">
        <w:rPr>
          <w:rStyle w:val="a5"/>
        </w:rPr>
        <w:footnoteRef/>
      </w:r>
      <w:r w:rsidRPr="00280450">
        <w:rPr>
          <w:rtl/>
        </w:rPr>
        <w:t xml:space="preserve"> </w:t>
      </w:r>
      <w:r w:rsidRPr="00280450">
        <w:rPr>
          <w:rtl/>
        </w:rPr>
        <w:t xml:space="preserve">הגמרא מבינה שהחגיגה </w:t>
      </w:r>
      <w:proofErr w:type="spellStart"/>
      <w:r w:rsidRPr="00280450">
        <w:rPr>
          <w:rtl/>
        </w:rPr>
        <w:t>היתה</w:t>
      </w:r>
      <w:proofErr w:type="spellEnd"/>
      <w:r w:rsidRPr="00280450">
        <w:rPr>
          <w:rtl/>
        </w:rPr>
        <w:t xml:space="preserve"> לפני חג הסוכות, וזו ההדגשה כאן, ששמחת המקדש לא פגעה בשמחת החג, אלא היו ארבעה עשר ימים רצופים של שמחה – שבעה למקדש ושבעה לחג סוכות. הבנה זו נלמדת, ככל הנראה, מניסוח הדברים בספר דברי הימים: "וַיַּעַשׂ שְׁלֹמֹה אֶת הֶחָג בָּעֵת הַהִיא שִׁבְעַת יָמִים וְכָל יִשְׂרָאֵל עִמּוֹ קָהָל גָּדוֹל מְאֹד מִלְּבוֹא חֲמָת עַד נַחַל מִצְרָיִם. וַיַּעֲשׂוּ בַּיּוֹם הַשְּׁמִינִי עֲצָרֶת כִּי חֲנֻכַּת הַמִּזְבֵּחַ עָשׂוּ שִׁבְעַת יָמִים וְהֶחָג שִׁבְעַת יָמִים" (דברי הימים ב' ז, ח-ט). ביחס לחילול יום הכיפורים שהתרחש כתוצאה משמחה זו, בשל הקרבנות הרבים שהוקרבו בה (שם, פסוק ו; מלכים א' שם, </w:t>
      </w:r>
      <w:proofErr w:type="spellStart"/>
      <w:r w:rsidRPr="00280450">
        <w:rPr>
          <w:rtl/>
        </w:rPr>
        <w:t>סג</w:t>
      </w:r>
      <w:proofErr w:type="spellEnd"/>
      <w:r w:rsidRPr="00280450">
        <w:rPr>
          <w:rtl/>
        </w:rPr>
        <w:t>-סד) – הגמרא מביאה את דרשתו של רבי יוחנן, שהם דרשו מקל וחומר שמותר להם לחלל את יום הכיפורים עבור חנוכת המקדש, ונמחל להם משמים על חילול היום הקודש (שהרי היה ניתן לשמוח, אף בהקרבת קרבנות, אך ללא אכילה ושתייה).</w:t>
      </w:r>
    </w:p>
  </w:footnote>
  <w:footnote w:id="19">
    <w:p w:rsidR="00AC08CF" w:rsidRPr="00280450" w:rsidRDefault="00AC08CF" w:rsidP="00AC08CF">
      <w:pPr>
        <w:pStyle w:val="a3"/>
        <w:spacing w:after="0"/>
        <w:jc w:val="both"/>
        <w:rPr>
          <w:rtl/>
        </w:rPr>
      </w:pPr>
      <w:r w:rsidRPr="00280450">
        <w:rPr>
          <w:rStyle w:val="a5"/>
        </w:rPr>
        <w:footnoteRef/>
      </w:r>
      <w:r w:rsidRPr="00280450">
        <w:rPr>
          <w:rtl/>
        </w:rPr>
        <w:t xml:space="preserve"> </w:t>
      </w:r>
      <w:r w:rsidRPr="00280450">
        <w:rPr>
          <w:rtl/>
        </w:rPr>
        <w:t>על השראת השכינה בשעת עבודת הכוהן הגדול בבית המקדש ביום כיפור, ראו בשני מאמרים במסכת יומא: המאמר על פרק ד, "אמירת שם המפורש", חלק ד, והמאמר על פרק ה, "כי בענן אראה", חלק ג.</w:t>
      </w:r>
    </w:p>
  </w:footnote>
  <w:footnote w:id="20">
    <w:p w:rsidR="00AC08CF" w:rsidRPr="00280450" w:rsidRDefault="00AC08CF" w:rsidP="00AC08CF">
      <w:pPr>
        <w:pStyle w:val="a3"/>
        <w:spacing w:after="0"/>
        <w:jc w:val="both"/>
      </w:pPr>
      <w:r w:rsidRPr="00280450">
        <w:rPr>
          <w:rStyle w:val="a5"/>
        </w:rPr>
        <w:footnoteRef/>
      </w:r>
      <w:r w:rsidRPr="00280450">
        <w:rPr>
          <w:rtl/>
        </w:rPr>
        <w:t xml:space="preserve"> </w:t>
      </w:r>
      <w:r w:rsidRPr="00280450">
        <w:rPr>
          <w:rtl/>
        </w:rPr>
        <w:t>מלכים א' ח, י.</w:t>
      </w:r>
    </w:p>
  </w:footnote>
  <w:footnote w:id="21">
    <w:p w:rsidR="00AC08CF" w:rsidRPr="00280450" w:rsidRDefault="00AC08CF" w:rsidP="00AC08CF">
      <w:pPr>
        <w:pStyle w:val="a3"/>
        <w:spacing w:after="0"/>
        <w:jc w:val="both"/>
      </w:pPr>
      <w:r w:rsidRPr="00280450">
        <w:rPr>
          <w:rStyle w:val="a5"/>
        </w:rPr>
        <w:footnoteRef/>
      </w:r>
      <w:r w:rsidRPr="00280450">
        <w:rPr>
          <w:rtl/>
        </w:rPr>
        <w:t xml:space="preserve"> </w:t>
      </w:r>
      <w:r w:rsidRPr="00280450">
        <w:rPr>
          <w:rtl/>
        </w:rPr>
        <w:t xml:space="preserve">מלכים א' ח, </w:t>
      </w:r>
      <w:proofErr w:type="spellStart"/>
      <w:r w:rsidRPr="00280450">
        <w:rPr>
          <w:rtl/>
        </w:rPr>
        <w:t>סו</w:t>
      </w:r>
      <w:proofErr w:type="spellEnd"/>
      <w:r w:rsidRPr="00280450">
        <w:rPr>
          <w:rtl/>
        </w:rPr>
        <w:t>.</w:t>
      </w:r>
    </w:p>
  </w:footnote>
  <w:footnote w:id="22">
    <w:p w:rsidR="00AC08CF" w:rsidRPr="00280450" w:rsidRDefault="00AC08CF" w:rsidP="00AC08CF">
      <w:pPr>
        <w:pStyle w:val="a3"/>
        <w:spacing w:after="0"/>
        <w:jc w:val="both"/>
        <w:rPr>
          <w:rtl/>
        </w:rPr>
      </w:pPr>
      <w:r w:rsidRPr="00280450">
        <w:rPr>
          <w:rStyle w:val="a5"/>
        </w:rPr>
        <w:footnoteRef/>
      </w:r>
      <w:r w:rsidRPr="00280450">
        <w:rPr>
          <w:rtl/>
        </w:rPr>
        <w:t xml:space="preserve"> </w:t>
      </w:r>
      <w:r w:rsidRPr="00280450">
        <w:rPr>
          <w:rtl/>
        </w:rPr>
        <w:t>מועד קטן ט ע"א.</w:t>
      </w:r>
    </w:p>
  </w:footnote>
  <w:footnote w:id="23">
    <w:p w:rsidR="00AC08CF" w:rsidRPr="00280450" w:rsidRDefault="00AC08CF" w:rsidP="00AC08CF">
      <w:pPr>
        <w:pStyle w:val="a3"/>
        <w:spacing w:after="0"/>
        <w:jc w:val="both"/>
        <w:rPr>
          <w:rtl/>
        </w:rPr>
      </w:pPr>
      <w:r w:rsidRPr="00280450">
        <w:rPr>
          <w:rStyle w:val="a5"/>
        </w:rPr>
        <w:footnoteRef/>
      </w:r>
      <w:r w:rsidRPr="00280450">
        <w:rPr>
          <w:rtl/>
        </w:rPr>
        <w:t xml:space="preserve"> </w:t>
      </w:r>
      <w:r w:rsidRPr="00280450">
        <w:rPr>
          <w:rtl/>
        </w:rPr>
        <w:t>הזיקה בין השראת השכינה בבית המקדש, ההתקשרות בין הרעיה והדוד כבשיר השירים, לבין ההתקשרות בין איש לאשה בשר ודם הנו מוטיב החוזר על עצמו פעמים לא מעטות במשנה ובסוגיות הגמרא. ראו למשל את המאמרים על מסכת תענית פרק ד, "מהותו של ט"ו באב", ועל מסכת יומא פרק ח, "פנטסיה על המלך והכלה".</w:t>
      </w:r>
    </w:p>
  </w:footnote>
  <w:footnote w:id="24">
    <w:p w:rsidR="00AC08CF" w:rsidRPr="00280450" w:rsidRDefault="00AC08CF" w:rsidP="00AC08CF">
      <w:pPr>
        <w:pStyle w:val="a3"/>
        <w:spacing w:after="0"/>
        <w:jc w:val="both"/>
      </w:pPr>
      <w:r w:rsidRPr="00280450">
        <w:rPr>
          <w:rStyle w:val="a5"/>
        </w:rPr>
        <w:footnoteRef/>
      </w:r>
      <w:r w:rsidRPr="00280450">
        <w:rPr>
          <w:rtl/>
        </w:rPr>
        <w:t xml:space="preserve"> </w:t>
      </w:r>
      <w:r w:rsidRPr="00280450">
        <w:rPr>
          <w:rtl/>
        </w:rPr>
        <w:t>מועד קטן ט ע"א-ע"ב.</w:t>
      </w:r>
    </w:p>
  </w:footnote>
  <w:footnote w:id="25">
    <w:p w:rsidR="00AC08CF" w:rsidRPr="00280450" w:rsidRDefault="00AC08CF" w:rsidP="00AC08CF">
      <w:pPr>
        <w:pStyle w:val="a3"/>
        <w:spacing w:after="0"/>
        <w:jc w:val="both"/>
        <w:rPr>
          <w:rtl/>
        </w:rPr>
      </w:pPr>
      <w:r w:rsidRPr="00280450">
        <w:rPr>
          <w:rStyle w:val="a5"/>
        </w:rPr>
        <w:footnoteRef/>
      </w:r>
      <w:r w:rsidRPr="00280450">
        <w:rPr>
          <w:rtl/>
        </w:rPr>
        <w:t xml:space="preserve"> </w:t>
      </w:r>
      <w:r w:rsidRPr="00280450">
        <w:rPr>
          <w:rtl/>
        </w:rPr>
        <w:t>משנה שם, א, ז (ח ע"ב).</w:t>
      </w:r>
    </w:p>
  </w:footnote>
  <w:footnote w:id="26">
    <w:p w:rsidR="00AC08CF" w:rsidRPr="00280450" w:rsidRDefault="00AC08CF" w:rsidP="00AC08CF">
      <w:pPr>
        <w:pStyle w:val="a3"/>
        <w:spacing w:after="0"/>
        <w:jc w:val="both"/>
      </w:pPr>
      <w:r w:rsidRPr="00280450">
        <w:rPr>
          <w:rStyle w:val="a5"/>
        </w:rPr>
        <w:footnoteRef/>
      </w:r>
      <w:r w:rsidRPr="00280450">
        <w:rPr>
          <w:rtl/>
        </w:rPr>
        <w:t xml:space="preserve"> </w:t>
      </w:r>
      <w:r w:rsidRPr="00280450">
        <w:rPr>
          <w:rtl/>
        </w:rPr>
        <w:t>מועד קטן ט ע"ב.</w:t>
      </w:r>
    </w:p>
  </w:footnote>
  <w:footnote w:id="27">
    <w:p w:rsidR="00AC08CF" w:rsidRPr="00280450" w:rsidRDefault="00AC08CF" w:rsidP="00AC08CF">
      <w:pPr>
        <w:pStyle w:val="a3"/>
        <w:spacing w:after="0"/>
        <w:jc w:val="both"/>
        <w:rPr>
          <w:rtl/>
        </w:rPr>
      </w:pPr>
      <w:r w:rsidRPr="00280450">
        <w:rPr>
          <w:rStyle w:val="a5"/>
        </w:rPr>
        <w:footnoteRef/>
      </w:r>
      <w:r w:rsidRPr="00280450">
        <w:rPr>
          <w:rtl/>
        </w:rPr>
        <w:t xml:space="preserve"> </w:t>
      </w:r>
      <w:r w:rsidRPr="00280450">
        <w:rPr>
          <w:rtl/>
        </w:rPr>
        <w:t>שם.</w:t>
      </w:r>
    </w:p>
  </w:footnote>
  <w:footnote w:id="28">
    <w:p w:rsidR="00AC08CF" w:rsidRPr="00280450" w:rsidRDefault="00AC08CF" w:rsidP="00AC08CF">
      <w:pPr>
        <w:pStyle w:val="a3"/>
        <w:spacing w:after="0"/>
        <w:jc w:val="both"/>
      </w:pPr>
      <w:r w:rsidRPr="00280450">
        <w:rPr>
          <w:rStyle w:val="a5"/>
        </w:rPr>
        <w:footnoteRef/>
      </w:r>
      <w:r w:rsidRPr="00280450">
        <w:rPr>
          <w:rtl/>
        </w:rPr>
        <w:t xml:space="preserve"> </w:t>
      </w:r>
      <w:r w:rsidRPr="00280450">
        <w:rPr>
          <w:rtl/>
        </w:rPr>
        <w:t>שם.</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8CF"/>
    <w:rsid w:val="008A4698"/>
    <w:rsid w:val="00AC08CF"/>
    <w:rsid w:val="00BA060A"/>
    <w:rsid w:val="00D323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8E6C00-9876-4BE4-BBC8-1A9926E79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08CF"/>
    <w:pPr>
      <w:bidi/>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AC08CF"/>
    <w:rPr>
      <w:sz w:val="20"/>
      <w:szCs w:val="20"/>
    </w:rPr>
  </w:style>
  <w:style w:type="character" w:customStyle="1" w:styleId="a4">
    <w:name w:val="טקסט הערת שוליים תו"/>
    <w:basedOn w:val="a0"/>
    <w:link w:val="a3"/>
    <w:semiHidden/>
    <w:rsid w:val="00AC08CF"/>
    <w:rPr>
      <w:rFonts w:ascii="Arial" w:eastAsia="Times New Roman" w:hAnsi="Arial" w:cs="Arial"/>
      <w:sz w:val="20"/>
      <w:szCs w:val="20"/>
    </w:rPr>
  </w:style>
  <w:style w:type="character" w:styleId="a5">
    <w:name w:val="footnote reference"/>
    <w:semiHidden/>
    <w:unhideWhenUsed/>
    <w:rsid w:val="00AC08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1685</Words>
  <Characters>8430</Characters>
  <Application>Microsoft Office Word</Application>
  <DocSecurity>0</DocSecurity>
  <Lines>70</Lines>
  <Paragraphs>20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הראל</dc:creator>
  <cp:keywords/>
  <dc:description/>
  <cp:lastModifiedBy>הראל</cp:lastModifiedBy>
  <cp:revision>1</cp:revision>
  <dcterms:created xsi:type="dcterms:W3CDTF">2014-10-06T17:07:00Z</dcterms:created>
  <dcterms:modified xsi:type="dcterms:W3CDTF">2014-10-06T17:07:00Z</dcterms:modified>
</cp:coreProperties>
</file>