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97" w:rsidRPr="00DB7DF7" w:rsidRDefault="000E0E97" w:rsidP="000E0E97">
      <w:pPr>
        <w:tabs>
          <w:tab w:val="left" w:pos="1262"/>
        </w:tabs>
        <w:jc w:val="both"/>
        <w:rPr>
          <w:b/>
          <w:bCs/>
          <w:sz w:val="28"/>
          <w:szCs w:val="28"/>
          <w:rtl/>
        </w:rPr>
      </w:pPr>
      <w:bookmarkStart w:id="0" w:name="_GoBack"/>
      <w:bookmarkEnd w:id="0"/>
      <w:r w:rsidRPr="00DB7DF7">
        <w:rPr>
          <w:rFonts w:hint="cs"/>
          <w:b/>
          <w:bCs/>
          <w:sz w:val="36"/>
          <w:szCs w:val="36"/>
          <w:u w:val="single"/>
          <w:rtl/>
        </w:rPr>
        <w:t>מצות ראייה (חגיגה פרק א, דפים ב-ה)</w:t>
      </w:r>
    </w:p>
    <w:p w:rsidR="000E0E97" w:rsidRPr="00DB7DF7" w:rsidRDefault="000E0E97" w:rsidP="000E0E97">
      <w:pPr>
        <w:tabs>
          <w:tab w:val="left" w:pos="1262"/>
        </w:tabs>
        <w:jc w:val="both"/>
        <w:rPr>
          <w:b/>
          <w:bCs/>
          <w:sz w:val="28"/>
          <w:szCs w:val="28"/>
          <w:rtl/>
        </w:rPr>
      </w:pPr>
      <w:r w:rsidRPr="00DB7DF7">
        <w:rPr>
          <w:rFonts w:hint="cs"/>
          <w:b/>
          <w:bCs/>
          <w:sz w:val="28"/>
          <w:szCs w:val="28"/>
          <w:rtl/>
        </w:rPr>
        <w:t xml:space="preserve">המפגש הפלאי של עם ישראל עם השכינה בבית המקדש מתואר באופנים שונים </w:t>
      </w:r>
      <w:r w:rsidRPr="00DB7DF7">
        <w:rPr>
          <w:b/>
          <w:bCs/>
          <w:sz w:val="28"/>
          <w:szCs w:val="28"/>
          <w:rtl/>
        </w:rPr>
        <w:t>–</w:t>
      </w:r>
      <w:r w:rsidRPr="00DB7DF7">
        <w:rPr>
          <w:rFonts w:hint="cs"/>
          <w:b/>
          <w:bCs/>
          <w:sz w:val="28"/>
          <w:szCs w:val="28"/>
          <w:rtl/>
        </w:rPr>
        <w:t xml:space="preserve"> כעליה לרגל וכמצות "ראי</w:t>
      </w:r>
      <w:r>
        <w:rPr>
          <w:rFonts w:hint="cs"/>
          <w:b/>
          <w:bCs/>
          <w:sz w:val="28"/>
          <w:szCs w:val="28"/>
          <w:rtl/>
        </w:rPr>
        <w:t>י</w:t>
      </w:r>
      <w:r w:rsidRPr="00DB7DF7">
        <w:rPr>
          <w:rFonts w:hint="cs"/>
          <w:b/>
          <w:bCs/>
          <w:sz w:val="28"/>
          <w:szCs w:val="28"/>
          <w:rtl/>
        </w:rPr>
        <w:t>ה". אלא שגם ה"ראי</w:t>
      </w:r>
      <w:r>
        <w:rPr>
          <w:rFonts w:hint="cs"/>
          <w:b/>
          <w:bCs/>
          <w:sz w:val="28"/>
          <w:szCs w:val="28"/>
          <w:rtl/>
        </w:rPr>
        <w:t>י</w:t>
      </w:r>
      <w:r w:rsidRPr="00DB7DF7">
        <w:rPr>
          <w:rFonts w:hint="cs"/>
          <w:b/>
          <w:bCs/>
          <w:sz w:val="28"/>
          <w:szCs w:val="28"/>
          <w:rtl/>
        </w:rPr>
        <w:t>ה" מתוארת באופנים שונים. כך הולכות ומתרבות אפשרויות ההסבר של צורת ההתקשרות, מה שרק מעמיק את הבנת "אחדות" הבורא.</w:t>
      </w:r>
    </w:p>
    <w:p w:rsidR="000E0E97" w:rsidRPr="00DB7DF7" w:rsidRDefault="000E0E97" w:rsidP="000E0E97">
      <w:pPr>
        <w:tabs>
          <w:tab w:val="left" w:pos="1262"/>
        </w:tabs>
        <w:jc w:val="both"/>
        <w:rPr>
          <w:rtl/>
        </w:rPr>
      </w:pPr>
    </w:p>
    <w:p w:rsidR="000E0E97" w:rsidRPr="00DB7DF7" w:rsidRDefault="000E0E97" w:rsidP="000E0E97">
      <w:pPr>
        <w:tabs>
          <w:tab w:val="left" w:pos="1262"/>
        </w:tabs>
        <w:jc w:val="both"/>
        <w:rPr>
          <w:b/>
          <w:bCs/>
          <w:u w:val="single"/>
          <w:rtl/>
        </w:rPr>
      </w:pPr>
      <w:proofErr w:type="spellStart"/>
      <w:r w:rsidRPr="00DB7DF7">
        <w:rPr>
          <w:rFonts w:hint="cs"/>
          <w:b/>
          <w:bCs/>
          <w:u w:val="single"/>
          <w:rtl/>
        </w:rPr>
        <w:t>א.מי</w:t>
      </w:r>
      <w:proofErr w:type="spellEnd"/>
      <w:r w:rsidRPr="00DB7DF7">
        <w:rPr>
          <w:rFonts w:hint="cs"/>
          <w:b/>
          <w:bCs/>
          <w:u w:val="single"/>
          <w:rtl/>
        </w:rPr>
        <w:t xml:space="preserve"> רואה את מה?</w:t>
      </w:r>
    </w:p>
    <w:p w:rsidR="000E0E97" w:rsidRPr="00DB7DF7" w:rsidRDefault="000E0E97" w:rsidP="000E0E97">
      <w:pPr>
        <w:tabs>
          <w:tab w:val="left" w:pos="1262"/>
        </w:tabs>
        <w:jc w:val="both"/>
        <w:rPr>
          <w:rtl/>
        </w:rPr>
      </w:pPr>
      <w:r w:rsidRPr="00DB7DF7">
        <w:rPr>
          <w:rFonts w:hint="cs"/>
          <w:rtl/>
        </w:rPr>
        <w:t>תורת הסוד של חכמי המשנה והגמרא לא נשארה ספונה במקורות חוץ-תלמודיים כמו ספרות "ההיכלות". בבחינת "</w:t>
      </w:r>
      <w:r w:rsidRPr="00DB7DF7">
        <w:rPr>
          <w:rtl/>
        </w:rPr>
        <w:t>מֵצִיץ מִן הַחֲרַכִּים</w:t>
      </w:r>
      <w:r w:rsidRPr="00DB7DF7">
        <w:rPr>
          <w:rFonts w:hint="cs"/>
          <w:rtl/>
        </w:rPr>
        <w:t>"</w:t>
      </w:r>
      <w:r w:rsidRPr="00DB7DF7">
        <w:rPr>
          <w:vertAlign w:val="superscript"/>
          <w:rtl/>
        </w:rPr>
        <w:footnoteReference w:id="1"/>
      </w:r>
      <w:r w:rsidRPr="00DB7DF7">
        <w:rPr>
          <w:rFonts w:hint="cs"/>
          <w:rtl/>
        </w:rPr>
        <w:t xml:space="preserve"> היא מבצבצת בפרקים רבים בתלמוד, ומסכת חגיגה הנה דוגמה מובהקת לכך. מתיקות הסוד, "מגלה טפח ומכסה טפחים", נסוכה על פני כולה.</w:t>
      </w:r>
    </w:p>
    <w:p w:rsidR="000E0E97" w:rsidRPr="00DB7DF7" w:rsidRDefault="000E0E97" w:rsidP="000E0E97">
      <w:pPr>
        <w:tabs>
          <w:tab w:val="left" w:pos="1262"/>
        </w:tabs>
        <w:jc w:val="both"/>
        <w:rPr>
          <w:rtl/>
        </w:rPr>
      </w:pPr>
      <w:r w:rsidRPr="00DB7DF7">
        <w:rPr>
          <w:rFonts w:hint="cs"/>
          <w:rtl/>
        </w:rPr>
        <w:t>מילות הפתיחה של המסכת, "הכול חייבין בראייה",</w:t>
      </w:r>
      <w:r w:rsidRPr="00DB7DF7">
        <w:rPr>
          <w:vertAlign w:val="superscript"/>
          <w:rtl/>
        </w:rPr>
        <w:footnoteReference w:id="2"/>
      </w:r>
      <w:r w:rsidRPr="00DB7DF7">
        <w:rPr>
          <w:rFonts w:hint="cs"/>
          <w:rtl/>
        </w:rPr>
        <w:t xml:space="preserve"> מעוררות תמיהה: ראיית מי, ראיית מה? מי הרואה, ומי הנראה? מהו ההקשר של ראייה זו ומהי מהותה?</w:t>
      </w:r>
    </w:p>
    <w:p w:rsidR="000E0E97" w:rsidRPr="00DB7DF7" w:rsidRDefault="000E0E97" w:rsidP="000E0E97">
      <w:pPr>
        <w:tabs>
          <w:tab w:val="left" w:pos="1262"/>
        </w:tabs>
        <w:jc w:val="both"/>
        <w:rPr>
          <w:rtl/>
        </w:rPr>
      </w:pPr>
      <w:r w:rsidRPr="00DB7DF7">
        <w:rPr>
          <w:rFonts w:hint="cs"/>
          <w:rtl/>
        </w:rPr>
        <w:t>ברובד הפשט, "חובת ראייה" הנה כינוי למצות העלייה לרגל. מסכת חגיגה מסיימת את סדר מועד, סדר משנה הרווי בהווי המקדש. כמעט בכל מסכת ישנה התייחסות ישירה ליסודות המועדים כפי שצוינו במקדש ובסביבה היונקת ממנו, ולעתים זהו העיסוק הכמעט בלעדי של המסכת.</w:t>
      </w:r>
      <w:r w:rsidRPr="00DB7DF7">
        <w:rPr>
          <w:vertAlign w:val="superscript"/>
          <w:rtl/>
        </w:rPr>
        <w:footnoteReference w:id="3"/>
      </w:r>
      <w:r w:rsidRPr="00DB7DF7">
        <w:rPr>
          <w:rFonts w:hint="cs"/>
          <w:rtl/>
        </w:rPr>
        <w:t xml:space="preserve"> מסכת חגיגה חושפת את הנאמר שלא בגלוי לאורך הסדר כולו </w:t>
      </w:r>
      <w:r w:rsidRPr="00DB7DF7">
        <w:rPr>
          <w:rtl/>
        </w:rPr>
        <w:t>–</w:t>
      </w:r>
      <w:r w:rsidRPr="00DB7DF7">
        <w:rPr>
          <w:rFonts w:hint="cs"/>
          <w:rtl/>
        </w:rPr>
        <w:t xml:space="preserve"> שורש הווי המועד הנו המפגש הבלתי אמצעי בין ישראל לשכינה, ובעיקר במקדש. </w:t>
      </w:r>
    </w:p>
    <w:p w:rsidR="000E0E97" w:rsidRPr="00DB7DF7" w:rsidRDefault="000E0E97" w:rsidP="000E0E97">
      <w:pPr>
        <w:tabs>
          <w:tab w:val="left" w:pos="1262"/>
        </w:tabs>
        <w:jc w:val="both"/>
        <w:rPr>
          <w:rtl/>
        </w:rPr>
      </w:pPr>
      <w:r w:rsidRPr="00DB7DF7">
        <w:rPr>
          <w:rFonts w:hint="cs"/>
          <w:rtl/>
        </w:rPr>
        <w:t>המילה "ראייה" או "ר</w:t>
      </w:r>
      <w:r w:rsidRPr="00DB7DF7">
        <w:rPr>
          <w:rFonts w:hint="eastAsia"/>
          <w:rtl/>
        </w:rPr>
        <w:t>ֵ</w:t>
      </w:r>
      <w:r w:rsidRPr="00DB7DF7">
        <w:rPr>
          <w:rFonts w:hint="cs"/>
          <w:rtl/>
        </w:rPr>
        <w:t>איון", כמו במשנה הפותחת את מסכת פאה,</w:t>
      </w:r>
      <w:r w:rsidRPr="00DB7DF7">
        <w:rPr>
          <w:vertAlign w:val="superscript"/>
          <w:rtl/>
        </w:rPr>
        <w:footnoteReference w:id="4"/>
      </w:r>
      <w:r w:rsidRPr="00DB7DF7">
        <w:rPr>
          <w:rFonts w:hint="cs"/>
          <w:rtl/>
        </w:rPr>
        <w:t xml:space="preserve"> נגזרת מהמקרא. למשל: "</w:t>
      </w:r>
      <w:r w:rsidRPr="00DB7DF7">
        <w:rPr>
          <w:rtl/>
        </w:rPr>
        <w:t xml:space="preserve">שָׁלוֹשׁ פְּעָמִים בַּשָּׁנָה יֵרָאֶה כָל </w:t>
      </w:r>
      <w:proofErr w:type="spellStart"/>
      <w:r w:rsidRPr="00DB7DF7">
        <w:rPr>
          <w:rtl/>
        </w:rPr>
        <w:t>זְכוּרְך</w:t>
      </w:r>
      <w:proofErr w:type="spellEnd"/>
      <w:r w:rsidRPr="00DB7DF7">
        <w:rPr>
          <w:rtl/>
        </w:rPr>
        <w:t xml:space="preserve">ָ אֶת פְּנֵי ה' </w:t>
      </w:r>
      <w:proofErr w:type="spellStart"/>
      <w:r w:rsidRPr="00DB7DF7">
        <w:rPr>
          <w:rtl/>
        </w:rPr>
        <w:t>אֱ</w:t>
      </w:r>
      <w:r w:rsidRPr="00DB7DF7">
        <w:rPr>
          <w:rFonts w:hint="cs"/>
          <w:rtl/>
        </w:rPr>
        <w:t>-</w:t>
      </w:r>
      <w:r w:rsidRPr="00DB7DF7">
        <w:rPr>
          <w:rtl/>
        </w:rPr>
        <w:t>לֹהֶיך</w:t>
      </w:r>
      <w:proofErr w:type="spellEnd"/>
      <w:r w:rsidRPr="00DB7DF7">
        <w:rPr>
          <w:rtl/>
        </w:rPr>
        <w:t>ָ בַּמָּקוֹם אֲשֶׁר יִבְחָר בְּחַג הַמַּצּוֹת וּבְחַג הַשָּׁבֻעוֹת וּבְחַג הַסֻּכּוֹת וְלֹא יֵרָאֶה אֶת פְּנֵי ה' רֵיקָם</w:t>
      </w:r>
      <w:r w:rsidRPr="00DB7DF7">
        <w:rPr>
          <w:rFonts w:hint="cs"/>
          <w:rtl/>
        </w:rPr>
        <w:t>".</w:t>
      </w:r>
      <w:r w:rsidRPr="00DB7DF7">
        <w:rPr>
          <w:vertAlign w:val="superscript"/>
          <w:rtl/>
        </w:rPr>
        <w:footnoteReference w:id="5"/>
      </w:r>
      <w:r w:rsidRPr="00DB7DF7">
        <w:rPr>
          <w:rFonts w:hint="cs"/>
          <w:rtl/>
        </w:rPr>
        <w:t xml:space="preserve"> נחלקו רבי יוחנן וריש לקיש בפירוש ההלכתי-מעשי של "</w:t>
      </w:r>
      <w:proofErr w:type="spellStart"/>
      <w:r w:rsidRPr="00DB7DF7">
        <w:rPr>
          <w:rFonts w:hint="cs"/>
          <w:rtl/>
        </w:rPr>
        <w:t>הראיון</w:t>
      </w:r>
      <w:proofErr w:type="spellEnd"/>
      <w:r w:rsidRPr="00DB7DF7">
        <w:rPr>
          <w:rFonts w:hint="cs"/>
          <w:rtl/>
        </w:rPr>
        <w:t>".</w:t>
      </w:r>
      <w:r w:rsidRPr="00DB7DF7">
        <w:rPr>
          <w:vertAlign w:val="superscript"/>
          <w:rtl/>
        </w:rPr>
        <w:footnoteReference w:id="6"/>
      </w:r>
      <w:r w:rsidRPr="00DB7DF7">
        <w:rPr>
          <w:rFonts w:hint="cs"/>
          <w:rtl/>
        </w:rPr>
        <w:t xml:space="preserve"> לפי רבי יוחנן, מדובר על "ראיית פנים בעזרה" </w:t>
      </w:r>
      <w:r w:rsidRPr="00DB7DF7">
        <w:rPr>
          <w:rtl/>
        </w:rPr>
        <w:t>–</w:t>
      </w:r>
      <w:r w:rsidRPr="00DB7DF7">
        <w:rPr>
          <w:rFonts w:hint="cs"/>
          <w:rtl/>
        </w:rPr>
        <w:t xml:space="preserve"> מה שמדגיש את המפגש הבלתי אמצעי בין אדם לשכינה בעצם נוכחות עולה הרגל במקדש; ואילו לפי ריש לקיש, </w:t>
      </w:r>
      <w:r w:rsidRPr="00DB7DF7">
        <w:rPr>
          <w:rFonts w:hint="cs"/>
          <w:rtl/>
        </w:rPr>
        <w:lastRenderedPageBreak/>
        <w:t xml:space="preserve">מדובר על "ראיית הפנים בקרבן" </w:t>
      </w:r>
      <w:r w:rsidRPr="00DB7DF7">
        <w:rPr>
          <w:rtl/>
        </w:rPr>
        <w:t>–</w:t>
      </w:r>
      <w:r w:rsidRPr="00DB7DF7">
        <w:rPr>
          <w:rFonts w:hint="cs"/>
          <w:rtl/>
        </w:rPr>
        <w:t xml:space="preserve"> מה שמדגיש את חובת ההכנעה בבוא העולה לרגל למקדש</w:t>
      </w:r>
      <w:r w:rsidRPr="00DB7DF7">
        <w:rPr>
          <w:rFonts w:hint="cs"/>
          <w:b/>
          <w:bCs/>
          <w:rtl/>
        </w:rPr>
        <w:t xml:space="preserve"> </w:t>
      </w:r>
      <w:r w:rsidRPr="00DB7DF7">
        <w:rPr>
          <w:rFonts w:hint="cs"/>
          <w:rtl/>
        </w:rPr>
        <w:t>וברכת הגשם והיבול שתבוא בתמורה לקרבנות החובה והנדבה של היחיד והציבור.</w:t>
      </w:r>
      <w:r w:rsidRPr="00DB7DF7">
        <w:rPr>
          <w:vertAlign w:val="superscript"/>
          <w:rtl/>
        </w:rPr>
        <w:footnoteReference w:id="7"/>
      </w:r>
      <w:r w:rsidRPr="00DB7DF7">
        <w:rPr>
          <w:rFonts w:hint="cs"/>
          <w:rtl/>
        </w:rPr>
        <w:t xml:space="preserve"> </w:t>
      </w:r>
    </w:p>
    <w:p w:rsidR="000E0E97" w:rsidRPr="00DB7DF7" w:rsidRDefault="000E0E97" w:rsidP="000E0E97">
      <w:pPr>
        <w:tabs>
          <w:tab w:val="left" w:pos="1262"/>
        </w:tabs>
        <w:jc w:val="both"/>
        <w:rPr>
          <w:rtl/>
        </w:rPr>
      </w:pPr>
      <w:r w:rsidRPr="00DB7DF7">
        <w:rPr>
          <w:rFonts w:hint="cs"/>
          <w:rtl/>
        </w:rPr>
        <w:t xml:space="preserve">בשתי השיטות מופיע הביטוי הטעון "ראיית פנים" </w:t>
      </w:r>
      <w:r w:rsidRPr="00DB7DF7">
        <w:rPr>
          <w:rtl/>
        </w:rPr>
        <w:t>–</w:t>
      </w:r>
      <w:r w:rsidRPr="00DB7DF7">
        <w:rPr>
          <w:rFonts w:hint="cs"/>
          <w:rtl/>
        </w:rPr>
        <w:t xml:space="preserve"> בפסוק "הפנים" הם "פני ה' א-</w:t>
      </w:r>
      <w:proofErr w:type="spellStart"/>
      <w:r w:rsidRPr="00DB7DF7">
        <w:rPr>
          <w:rFonts w:hint="cs"/>
          <w:rtl/>
        </w:rPr>
        <w:t>לוהיך</w:t>
      </w:r>
      <w:proofErr w:type="spellEnd"/>
      <w:r w:rsidRPr="00DB7DF7">
        <w:rPr>
          <w:rFonts w:hint="cs"/>
          <w:rtl/>
        </w:rPr>
        <w:t xml:space="preserve">". אנו קוראים את המילה "יראה" בפסוק ככתובה בצירה מתחת לאות יוד, כפעולה סבילה; האדם במקדש "נראה" על ידי השכינה, מה שמחייב שמובן הביטוי "את פני" בפסוק יהיה "עם פני", כלומר בפניו של ה'. אך לפי שמועת יוחנן בן </w:t>
      </w:r>
      <w:proofErr w:type="spellStart"/>
      <w:r w:rsidRPr="00DB7DF7">
        <w:rPr>
          <w:rFonts w:hint="cs"/>
          <w:rtl/>
        </w:rPr>
        <w:t>דהבאי</w:t>
      </w:r>
      <w:proofErr w:type="spellEnd"/>
      <w:r w:rsidRPr="00DB7DF7">
        <w:rPr>
          <w:rFonts w:hint="cs"/>
          <w:rtl/>
        </w:rPr>
        <w:t xml:space="preserve"> בשם רבי יהודה קיימת משמעות שונה: </w:t>
      </w:r>
    </w:p>
    <w:p w:rsidR="000E0E97" w:rsidRPr="00DB7DF7" w:rsidRDefault="000E0E97" w:rsidP="000E0E97">
      <w:pPr>
        <w:tabs>
          <w:tab w:val="left" w:pos="1262"/>
        </w:tabs>
        <w:jc w:val="both"/>
        <w:rPr>
          <w:i/>
          <w:iCs/>
          <w:rtl/>
        </w:rPr>
      </w:pPr>
      <w:r w:rsidRPr="00DB7DF7">
        <w:rPr>
          <w:rFonts w:hint="cs"/>
          <w:i/>
          <w:iCs/>
          <w:rtl/>
        </w:rPr>
        <w:t>סומא באחת מעיניו פטור מן הראייה, שנאמר: 'י</w:t>
      </w:r>
      <w:r w:rsidRPr="00DB7DF7">
        <w:rPr>
          <w:rFonts w:hint="eastAsia"/>
          <w:i/>
          <w:iCs/>
          <w:rtl/>
        </w:rPr>
        <w:t>ִ</w:t>
      </w:r>
      <w:r w:rsidRPr="00DB7DF7">
        <w:rPr>
          <w:rFonts w:hint="cs"/>
          <w:i/>
          <w:iCs/>
          <w:rtl/>
        </w:rPr>
        <w:t xml:space="preserve">ראה' (היוד בחיריק </w:t>
      </w:r>
      <w:r w:rsidRPr="00DB7DF7">
        <w:rPr>
          <w:i/>
          <w:iCs/>
          <w:rtl/>
        </w:rPr>
        <w:t>–</w:t>
      </w:r>
      <w:r w:rsidRPr="00DB7DF7">
        <w:rPr>
          <w:rFonts w:hint="cs"/>
          <w:i/>
          <w:iCs/>
          <w:rtl/>
        </w:rPr>
        <w:t xml:space="preserve"> פעיל) 'י</w:t>
      </w:r>
      <w:r w:rsidRPr="00DB7DF7">
        <w:rPr>
          <w:rFonts w:hint="eastAsia"/>
          <w:i/>
          <w:iCs/>
          <w:rtl/>
        </w:rPr>
        <w:t>ֵ</w:t>
      </w:r>
      <w:r w:rsidRPr="00DB7DF7">
        <w:rPr>
          <w:rFonts w:hint="cs"/>
          <w:i/>
          <w:iCs/>
          <w:rtl/>
        </w:rPr>
        <w:t xml:space="preserve">ראה' (היוד בצירה </w:t>
      </w:r>
      <w:r w:rsidRPr="00DB7DF7">
        <w:rPr>
          <w:i/>
          <w:iCs/>
          <w:rtl/>
        </w:rPr>
        <w:t>–</w:t>
      </w:r>
      <w:r w:rsidRPr="00DB7DF7">
        <w:rPr>
          <w:rFonts w:hint="cs"/>
          <w:i/>
          <w:iCs/>
          <w:rtl/>
        </w:rPr>
        <w:t xml:space="preserve"> סביל) </w:t>
      </w:r>
      <w:r w:rsidRPr="00DB7DF7">
        <w:rPr>
          <w:i/>
          <w:iCs/>
          <w:rtl/>
        </w:rPr>
        <w:t>–</w:t>
      </w:r>
      <w:r w:rsidRPr="00DB7DF7">
        <w:rPr>
          <w:rFonts w:hint="cs"/>
          <w:i/>
          <w:iCs/>
          <w:rtl/>
        </w:rPr>
        <w:t xml:space="preserve"> כדרך שבא ל</w:t>
      </w:r>
      <w:r w:rsidRPr="00DB7DF7">
        <w:rPr>
          <w:rFonts w:hint="eastAsia"/>
          <w:i/>
          <w:iCs/>
          <w:rtl/>
        </w:rPr>
        <w:t>ִ</w:t>
      </w:r>
      <w:r w:rsidRPr="00DB7DF7">
        <w:rPr>
          <w:rFonts w:hint="cs"/>
          <w:i/>
          <w:iCs/>
          <w:rtl/>
        </w:rPr>
        <w:t>ראות כך בא ל</w:t>
      </w:r>
      <w:r w:rsidRPr="00DB7DF7">
        <w:rPr>
          <w:rFonts w:hint="eastAsia"/>
          <w:i/>
          <w:iCs/>
          <w:rtl/>
        </w:rPr>
        <w:t>ֵ</w:t>
      </w:r>
      <w:r w:rsidRPr="00DB7DF7">
        <w:rPr>
          <w:rFonts w:hint="cs"/>
          <w:i/>
          <w:iCs/>
          <w:rtl/>
        </w:rPr>
        <w:t xml:space="preserve">יראות. מה לראות בשתי עיניו </w:t>
      </w:r>
      <w:r w:rsidRPr="00DB7DF7">
        <w:rPr>
          <w:i/>
          <w:iCs/>
          <w:rtl/>
        </w:rPr>
        <w:t>–</w:t>
      </w:r>
      <w:r w:rsidRPr="00DB7DF7">
        <w:rPr>
          <w:rFonts w:hint="cs"/>
          <w:i/>
          <w:iCs/>
          <w:rtl/>
        </w:rPr>
        <w:t xml:space="preserve"> אף ליראות בשתי עיניו.</w:t>
      </w:r>
      <w:r w:rsidRPr="00DB7DF7">
        <w:rPr>
          <w:i/>
          <w:iCs/>
          <w:vertAlign w:val="superscript"/>
          <w:rtl/>
        </w:rPr>
        <w:footnoteReference w:id="8"/>
      </w:r>
      <w:r w:rsidRPr="00DB7DF7">
        <w:rPr>
          <w:rFonts w:hint="cs"/>
          <w:i/>
          <w:iCs/>
          <w:rtl/>
        </w:rPr>
        <w:t xml:space="preserve"> </w:t>
      </w:r>
    </w:p>
    <w:p w:rsidR="000E0E97" w:rsidRPr="00DB7DF7" w:rsidRDefault="000E0E97" w:rsidP="000E0E97">
      <w:pPr>
        <w:tabs>
          <w:tab w:val="left" w:pos="1262"/>
        </w:tabs>
        <w:jc w:val="both"/>
        <w:rPr>
          <w:rtl/>
        </w:rPr>
      </w:pPr>
      <w:r w:rsidRPr="00DB7DF7">
        <w:rPr>
          <w:rFonts w:hint="cs"/>
          <w:rtl/>
        </w:rPr>
        <w:t>שיטה זו מבינה את "הראייה" כפעולה במרחב הוויזואל</w:t>
      </w:r>
      <w:r w:rsidRPr="00DB7DF7">
        <w:rPr>
          <w:rFonts w:hint="eastAsia"/>
          <w:rtl/>
        </w:rPr>
        <w:t>י</w:t>
      </w:r>
      <w:r w:rsidRPr="00DB7DF7">
        <w:rPr>
          <w:rFonts w:hint="cs"/>
          <w:rtl/>
        </w:rPr>
        <w:t xml:space="preserve"> ובשני כיוונים בבת אחת, האדם את השכינה והשכינה את האדם. </w:t>
      </w:r>
    </w:p>
    <w:p w:rsidR="000E0E97" w:rsidRPr="00DB7DF7" w:rsidRDefault="000E0E97" w:rsidP="000E0E97">
      <w:pPr>
        <w:tabs>
          <w:tab w:val="left" w:pos="1262"/>
        </w:tabs>
        <w:jc w:val="both"/>
        <w:rPr>
          <w:rtl/>
        </w:rPr>
      </w:pPr>
      <w:r w:rsidRPr="00DB7DF7">
        <w:rPr>
          <w:rFonts w:hint="cs"/>
          <w:rtl/>
        </w:rPr>
        <w:t>נדמה שעל פי שיטה זו יש לקרוא את הפסוק המצוטט למעלה, והדומים לו, באופן שעולה הרגל גם "י</w:t>
      </w:r>
      <w:r w:rsidRPr="00DB7DF7">
        <w:rPr>
          <w:rFonts w:hint="eastAsia"/>
          <w:rtl/>
        </w:rPr>
        <w:t>ִ</w:t>
      </w:r>
      <w:r w:rsidRPr="00DB7DF7">
        <w:rPr>
          <w:rFonts w:hint="cs"/>
          <w:rtl/>
        </w:rPr>
        <w:t xml:space="preserve">ראה (פעיל </w:t>
      </w:r>
      <w:r w:rsidRPr="00DB7DF7">
        <w:rPr>
          <w:rtl/>
        </w:rPr>
        <w:t>–</w:t>
      </w:r>
      <w:r w:rsidRPr="00DB7DF7">
        <w:rPr>
          <w:rFonts w:hint="cs"/>
          <w:rtl/>
        </w:rPr>
        <w:t xml:space="preserve"> יוד בחיריק) את פני ה' א-</w:t>
      </w:r>
      <w:proofErr w:type="spellStart"/>
      <w:r w:rsidRPr="00DB7DF7">
        <w:rPr>
          <w:rFonts w:hint="cs"/>
          <w:rtl/>
        </w:rPr>
        <w:t>להיך</w:t>
      </w:r>
      <w:proofErr w:type="spellEnd"/>
      <w:r w:rsidRPr="00DB7DF7">
        <w:rPr>
          <w:rFonts w:hint="cs"/>
          <w:rtl/>
        </w:rPr>
        <w:t xml:space="preserve"> (כמושא המשפט)". קריאה זו מעמידה בפנינו תהייה עמוקה. איך ייתכן שלאחר שכתוב "</w:t>
      </w:r>
      <w:r w:rsidRPr="00DB7DF7">
        <w:rPr>
          <w:rtl/>
        </w:rPr>
        <w:t xml:space="preserve">לֹא תוּכַל </w:t>
      </w:r>
      <w:proofErr w:type="spellStart"/>
      <w:r w:rsidRPr="00DB7DF7">
        <w:rPr>
          <w:rtl/>
        </w:rPr>
        <w:t>לִרְאֹת</w:t>
      </w:r>
      <w:proofErr w:type="spellEnd"/>
      <w:r w:rsidRPr="00DB7DF7">
        <w:rPr>
          <w:rtl/>
        </w:rPr>
        <w:t xml:space="preserve"> אֶת פָּנָי כִּי לֹא יִרְאַנִי הָאָדָם וָחָי</w:t>
      </w:r>
      <w:r w:rsidRPr="00DB7DF7">
        <w:rPr>
          <w:rFonts w:hint="cs"/>
          <w:rtl/>
        </w:rPr>
        <w:t>",</w:t>
      </w:r>
      <w:r w:rsidRPr="00DB7DF7">
        <w:rPr>
          <w:vertAlign w:val="superscript"/>
          <w:rtl/>
        </w:rPr>
        <w:footnoteReference w:id="9"/>
      </w:r>
      <w:r w:rsidRPr="00DB7DF7">
        <w:rPr>
          <w:rFonts w:hint="cs"/>
          <w:rtl/>
        </w:rPr>
        <w:t xml:space="preserve"> </w:t>
      </w:r>
      <w:proofErr w:type="spellStart"/>
      <w:r w:rsidRPr="00DB7DF7">
        <w:rPr>
          <w:rFonts w:hint="cs"/>
          <w:rtl/>
        </w:rPr>
        <w:t>ו"</w:t>
      </w:r>
      <w:r w:rsidRPr="00DB7DF7">
        <w:rPr>
          <w:rtl/>
        </w:rPr>
        <w:t>וַהֲסִרֹתִי</w:t>
      </w:r>
      <w:proofErr w:type="spellEnd"/>
      <w:r w:rsidRPr="00DB7DF7">
        <w:rPr>
          <w:rtl/>
        </w:rPr>
        <w:t xml:space="preserve"> אֶת כַּפִּי וְרָאִיתָ אֶת אֲחֹרָי וּפָנַי לֹא יֵרָאוּ</w:t>
      </w:r>
      <w:r w:rsidRPr="00DB7DF7">
        <w:rPr>
          <w:rFonts w:hint="cs"/>
          <w:rtl/>
        </w:rPr>
        <w:t>"</w:t>
      </w:r>
      <w:r w:rsidRPr="00DB7DF7">
        <w:rPr>
          <w:vertAlign w:val="superscript"/>
          <w:rtl/>
        </w:rPr>
        <w:footnoteReference w:id="10"/>
      </w:r>
      <w:r w:rsidRPr="00DB7DF7">
        <w:rPr>
          <w:rFonts w:hint="cs"/>
          <w:rtl/>
        </w:rPr>
        <w:t xml:space="preserve"> (בצירה </w:t>
      </w:r>
      <w:r w:rsidRPr="00DB7DF7">
        <w:rPr>
          <w:rtl/>
        </w:rPr>
        <w:t>–</w:t>
      </w:r>
      <w:r w:rsidRPr="00DB7DF7">
        <w:rPr>
          <w:rFonts w:hint="cs"/>
          <w:rtl/>
        </w:rPr>
        <w:t xml:space="preserve"> סביל) </w:t>
      </w:r>
      <w:r w:rsidRPr="00DB7DF7">
        <w:rPr>
          <w:rtl/>
        </w:rPr>
        <w:t>–</w:t>
      </w:r>
      <w:r w:rsidRPr="00DB7DF7">
        <w:rPr>
          <w:rFonts w:hint="cs"/>
          <w:rtl/>
        </w:rPr>
        <w:t xml:space="preserve"> ומיד בפרק הבא נאמר: "</w:t>
      </w:r>
      <w:r w:rsidRPr="00DB7DF7">
        <w:rPr>
          <w:rtl/>
        </w:rPr>
        <w:t>שָׁלֹשׁ פְּעָמִים בַּשָּׁנָה יֵרָאֶה</w:t>
      </w:r>
      <w:r w:rsidRPr="00DB7DF7">
        <w:rPr>
          <w:rFonts w:hint="cs"/>
          <w:rtl/>
        </w:rPr>
        <w:t xml:space="preserve"> (אך לפי קריאתו של רבי יהודה </w:t>
      </w:r>
      <w:r w:rsidRPr="00DB7DF7">
        <w:rPr>
          <w:rtl/>
        </w:rPr>
        <w:t>–</w:t>
      </w:r>
      <w:r w:rsidRPr="00DB7DF7">
        <w:rPr>
          <w:rFonts w:hint="cs"/>
          <w:rtl/>
        </w:rPr>
        <w:t xml:space="preserve"> בחיריק) </w:t>
      </w:r>
      <w:r w:rsidRPr="00DB7DF7">
        <w:rPr>
          <w:rtl/>
        </w:rPr>
        <w:t xml:space="preserve">כָּל </w:t>
      </w:r>
      <w:proofErr w:type="spellStart"/>
      <w:r w:rsidRPr="00DB7DF7">
        <w:rPr>
          <w:rtl/>
        </w:rPr>
        <w:t>זְכוּרְך</w:t>
      </w:r>
      <w:proofErr w:type="spellEnd"/>
      <w:r w:rsidRPr="00DB7DF7">
        <w:rPr>
          <w:rtl/>
        </w:rPr>
        <w:t xml:space="preserve">ָ אֶת פְּנֵי הָאָדֹן </w:t>
      </w:r>
      <w:r w:rsidRPr="00DB7DF7">
        <w:rPr>
          <w:rFonts w:hint="cs"/>
          <w:rtl/>
        </w:rPr>
        <w:t>ה'</w:t>
      </w:r>
      <w:r w:rsidRPr="00DB7DF7">
        <w:rPr>
          <w:rtl/>
        </w:rPr>
        <w:t xml:space="preserve"> אֱ</w:t>
      </w:r>
      <w:r w:rsidRPr="00DB7DF7">
        <w:rPr>
          <w:rFonts w:hint="cs"/>
          <w:rtl/>
        </w:rPr>
        <w:t>-</w:t>
      </w:r>
      <w:r w:rsidRPr="00DB7DF7">
        <w:rPr>
          <w:rtl/>
        </w:rPr>
        <w:t>לֹהֵי יִשְׂרָאֵל</w:t>
      </w:r>
      <w:r w:rsidRPr="00DB7DF7">
        <w:rPr>
          <w:rFonts w:hint="cs"/>
          <w:rtl/>
        </w:rPr>
        <w:t>"?!</w:t>
      </w:r>
      <w:r w:rsidRPr="00DB7DF7">
        <w:rPr>
          <w:vertAlign w:val="superscript"/>
          <w:rtl/>
        </w:rPr>
        <w:footnoteReference w:id="11"/>
      </w:r>
      <w:r w:rsidRPr="00DB7DF7">
        <w:rPr>
          <w:rtl/>
        </w:rPr>
        <w:t xml:space="preserve"> </w:t>
      </w:r>
    </w:p>
    <w:p w:rsidR="000E0E97" w:rsidRPr="00DB7DF7" w:rsidRDefault="000E0E97" w:rsidP="000E0E97">
      <w:pPr>
        <w:tabs>
          <w:tab w:val="left" w:pos="1262"/>
        </w:tabs>
        <w:jc w:val="both"/>
        <w:rPr>
          <w:rtl/>
        </w:rPr>
      </w:pPr>
      <w:r w:rsidRPr="00DB7DF7">
        <w:rPr>
          <w:rFonts w:hint="cs"/>
          <w:rtl/>
        </w:rPr>
        <w:t xml:space="preserve">ובכן </w:t>
      </w:r>
      <w:r w:rsidRPr="00DB7DF7">
        <w:rPr>
          <w:rtl/>
        </w:rPr>
        <w:t>–</w:t>
      </w:r>
      <w:r w:rsidRPr="00DB7DF7">
        <w:rPr>
          <w:rFonts w:hint="cs"/>
          <w:rtl/>
        </w:rPr>
        <w:t xml:space="preserve"> מהי "ראיית פנים", ומי רואה את פניו של מי?</w:t>
      </w:r>
    </w:p>
    <w:p w:rsidR="000E0E97" w:rsidRPr="00DB7DF7" w:rsidRDefault="000E0E97" w:rsidP="000E0E97">
      <w:pPr>
        <w:tabs>
          <w:tab w:val="left" w:pos="1262"/>
        </w:tabs>
        <w:jc w:val="both"/>
        <w:rPr>
          <w:rtl/>
        </w:rPr>
      </w:pPr>
    </w:p>
    <w:p w:rsidR="000E0E97" w:rsidRPr="00DB7DF7" w:rsidRDefault="000E0E97" w:rsidP="000E0E97">
      <w:pPr>
        <w:tabs>
          <w:tab w:val="left" w:pos="1262"/>
        </w:tabs>
        <w:jc w:val="both"/>
        <w:rPr>
          <w:b/>
          <w:bCs/>
          <w:u w:val="single"/>
          <w:rtl/>
        </w:rPr>
      </w:pPr>
      <w:r w:rsidRPr="00DB7DF7">
        <w:rPr>
          <w:rFonts w:hint="cs"/>
          <w:b/>
          <w:bCs/>
          <w:u w:val="single"/>
          <w:rtl/>
        </w:rPr>
        <w:t xml:space="preserve">ב. שני יסודות במפגש </w:t>
      </w:r>
      <w:r w:rsidRPr="00DB7DF7">
        <w:rPr>
          <w:b/>
          <w:bCs/>
          <w:u w:val="single"/>
          <w:rtl/>
        </w:rPr>
        <w:t>–</w:t>
      </w:r>
      <w:r w:rsidRPr="00DB7DF7">
        <w:rPr>
          <w:rFonts w:hint="cs"/>
          <w:b/>
          <w:bCs/>
          <w:u w:val="single"/>
          <w:rtl/>
        </w:rPr>
        <w:t xml:space="preserve"> יסוד הרגל ויסוד העין</w:t>
      </w:r>
    </w:p>
    <w:p w:rsidR="000E0E97" w:rsidRPr="00DB7DF7" w:rsidRDefault="000E0E97" w:rsidP="000E0E97">
      <w:pPr>
        <w:tabs>
          <w:tab w:val="left" w:pos="1262"/>
        </w:tabs>
        <w:jc w:val="both"/>
        <w:rPr>
          <w:rtl/>
        </w:rPr>
      </w:pPr>
      <w:r w:rsidRPr="00DB7DF7">
        <w:rPr>
          <w:rFonts w:hint="cs"/>
          <w:rtl/>
        </w:rPr>
        <w:t xml:space="preserve">מצות הנוכחות במקדש בחג מכונה בשני אופנים הקשורים לשני אברי גוף שונים </w:t>
      </w:r>
      <w:r w:rsidRPr="00DB7DF7">
        <w:rPr>
          <w:rtl/>
        </w:rPr>
        <w:t>–</w:t>
      </w:r>
      <w:r w:rsidRPr="00DB7DF7">
        <w:rPr>
          <w:rFonts w:hint="cs"/>
          <w:rtl/>
        </w:rPr>
        <w:t xml:space="preserve"> הראייה והעלייה לרגל. על כן, גם החיגר פטור </w:t>
      </w:r>
      <w:proofErr w:type="spellStart"/>
      <w:r w:rsidRPr="00DB7DF7">
        <w:rPr>
          <w:rFonts w:hint="cs"/>
          <w:rtl/>
        </w:rPr>
        <w:t>מהמצוה</w:t>
      </w:r>
      <w:proofErr w:type="spellEnd"/>
      <w:r w:rsidRPr="00DB7DF7">
        <w:rPr>
          <w:rFonts w:hint="cs"/>
          <w:rtl/>
        </w:rPr>
        <w:t xml:space="preserve"> וגם הסומא.</w:t>
      </w:r>
      <w:r w:rsidRPr="00DB7DF7">
        <w:rPr>
          <w:vertAlign w:val="superscript"/>
          <w:rtl/>
        </w:rPr>
        <w:footnoteReference w:id="12"/>
      </w:r>
      <w:r w:rsidRPr="00DB7DF7">
        <w:rPr>
          <w:rFonts w:hint="cs"/>
          <w:rtl/>
        </w:rPr>
        <w:t xml:space="preserve"> "הרגל" מדגישה את השאיפה והמאמץ, את הדרך העולה; "העין הרואה" מדגישה את המפגש הבלתי אמצעי, בבחינת "פנים אל פנים".</w:t>
      </w:r>
      <w:r w:rsidRPr="00DB7DF7">
        <w:rPr>
          <w:vertAlign w:val="superscript"/>
          <w:rtl/>
        </w:rPr>
        <w:footnoteReference w:id="13"/>
      </w:r>
      <w:r w:rsidRPr="00DB7DF7">
        <w:rPr>
          <w:rFonts w:hint="cs"/>
          <w:rtl/>
        </w:rPr>
        <w:t xml:space="preserve"> שני היסודות יחד מרכיבים את </w:t>
      </w:r>
      <w:proofErr w:type="spellStart"/>
      <w:r w:rsidRPr="00DB7DF7">
        <w:rPr>
          <w:rFonts w:hint="cs"/>
          <w:rtl/>
        </w:rPr>
        <w:t>המצוה</w:t>
      </w:r>
      <w:proofErr w:type="spellEnd"/>
      <w:r w:rsidRPr="00DB7DF7">
        <w:rPr>
          <w:rFonts w:hint="cs"/>
          <w:rtl/>
        </w:rPr>
        <w:t xml:space="preserve">. המשנה הראשונה במסכת פותחת במילים: "הכול חייבין בראייה", ומסיימת (בחובת הקטן </w:t>
      </w:r>
      <w:proofErr w:type="spellStart"/>
      <w:r w:rsidRPr="00DB7DF7">
        <w:rPr>
          <w:rFonts w:hint="cs"/>
          <w:rtl/>
        </w:rPr>
        <w:t>במצוה</w:t>
      </w:r>
      <w:proofErr w:type="spellEnd"/>
      <w:r w:rsidRPr="00DB7DF7">
        <w:rPr>
          <w:rFonts w:hint="cs"/>
          <w:rtl/>
        </w:rPr>
        <w:t xml:space="preserve">): "ובית הלל אומרים: כל </w:t>
      </w:r>
      <w:r w:rsidRPr="00DB7DF7">
        <w:rPr>
          <w:rFonts w:hint="cs"/>
          <w:rtl/>
        </w:rPr>
        <w:lastRenderedPageBreak/>
        <w:t xml:space="preserve">שאינו יכול לאחוז בידו של אביו ולעלות מירושלים להר הבית (פטור), שנאמר: 'שלש רגלים' (שמות </w:t>
      </w:r>
      <w:proofErr w:type="spellStart"/>
      <w:r w:rsidRPr="00DB7DF7">
        <w:rPr>
          <w:rFonts w:hint="cs"/>
          <w:rtl/>
        </w:rPr>
        <w:t>כג</w:t>
      </w:r>
      <w:proofErr w:type="spellEnd"/>
      <w:r w:rsidRPr="00DB7DF7">
        <w:rPr>
          <w:rFonts w:hint="cs"/>
          <w:rtl/>
        </w:rPr>
        <w:t>, יד)".</w:t>
      </w:r>
      <w:r w:rsidRPr="00DB7DF7">
        <w:rPr>
          <w:vertAlign w:val="superscript"/>
          <w:rtl/>
        </w:rPr>
        <w:footnoteReference w:id="14"/>
      </w:r>
    </w:p>
    <w:p w:rsidR="000E0E97" w:rsidRPr="00DB7DF7" w:rsidRDefault="000E0E97" w:rsidP="000E0E97">
      <w:pPr>
        <w:tabs>
          <w:tab w:val="left" w:pos="1262"/>
        </w:tabs>
        <w:jc w:val="both"/>
        <w:rPr>
          <w:rtl/>
        </w:rPr>
      </w:pPr>
      <w:r w:rsidRPr="00DB7DF7">
        <w:rPr>
          <w:rFonts w:hint="cs"/>
          <w:rtl/>
        </w:rPr>
        <w:t xml:space="preserve">המצווה הראשון ב"ראיית פנים" אכן קיים את שני שלבי </w:t>
      </w:r>
      <w:proofErr w:type="spellStart"/>
      <w:r w:rsidRPr="00DB7DF7">
        <w:rPr>
          <w:rFonts w:hint="cs"/>
          <w:rtl/>
        </w:rPr>
        <w:t>המצוה</w:t>
      </w:r>
      <w:proofErr w:type="spellEnd"/>
      <w:r w:rsidRPr="00DB7DF7">
        <w:rPr>
          <w:rFonts w:hint="cs"/>
          <w:rtl/>
        </w:rPr>
        <w:t xml:space="preserve"> </w:t>
      </w:r>
      <w:r w:rsidRPr="00DB7DF7">
        <w:rPr>
          <w:rtl/>
        </w:rPr>
        <w:t>–</w:t>
      </w:r>
      <w:r w:rsidRPr="00DB7DF7">
        <w:rPr>
          <w:rFonts w:hint="cs"/>
          <w:rtl/>
        </w:rPr>
        <w:t xml:space="preserve"> "</w:t>
      </w:r>
      <w:proofErr w:type="spellStart"/>
      <w:r w:rsidRPr="00DB7DF7">
        <w:rPr>
          <w:rtl/>
        </w:rPr>
        <w:t>וַיַּשְׁכֵּם</w:t>
      </w:r>
      <w:proofErr w:type="spellEnd"/>
      <w:r w:rsidRPr="00DB7DF7">
        <w:rPr>
          <w:rtl/>
        </w:rPr>
        <w:t xml:space="preserve"> אַבְרָהָם בַּבֹּקֶר</w:t>
      </w:r>
      <w:r w:rsidRPr="00DB7DF7">
        <w:rPr>
          <w:rFonts w:hint="cs"/>
          <w:rtl/>
        </w:rPr>
        <w:t xml:space="preserve">... </w:t>
      </w:r>
      <w:proofErr w:type="spellStart"/>
      <w:r w:rsidRPr="00DB7DF7">
        <w:rPr>
          <w:rtl/>
        </w:rPr>
        <w:t>וַיָּקָם</w:t>
      </w:r>
      <w:proofErr w:type="spellEnd"/>
      <w:r w:rsidRPr="00DB7DF7">
        <w:rPr>
          <w:rtl/>
        </w:rPr>
        <w:t xml:space="preserve"> וַיֵּלֶךְ אֶל הַמָּקוֹם אֲשֶׁר אָמַר לוֹ הָאֱ</w:t>
      </w:r>
      <w:r w:rsidRPr="00DB7DF7">
        <w:rPr>
          <w:rFonts w:hint="cs"/>
          <w:rtl/>
        </w:rPr>
        <w:t>-</w:t>
      </w:r>
      <w:r w:rsidRPr="00DB7DF7">
        <w:rPr>
          <w:rtl/>
        </w:rPr>
        <w:t>לֹהִים</w:t>
      </w:r>
      <w:r w:rsidRPr="00DB7DF7">
        <w:rPr>
          <w:rFonts w:hint="cs"/>
          <w:rtl/>
        </w:rPr>
        <w:t xml:space="preserve">. </w:t>
      </w:r>
      <w:r w:rsidRPr="00DB7DF7">
        <w:rPr>
          <w:rtl/>
        </w:rPr>
        <w:t xml:space="preserve">בַּיּוֹם הַשְּׁלִישִׁי </w:t>
      </w:r>
      <w:proofErr w:type="spellStart"/>
      <w:r w:rsidRPr="00DB7DF7">
        <w:rPr>
          <w:rtl/>
        </w:rPr>
        <w:t>וַיִּשָּׂא</w:t>
      </w:r>
      <w:proofErr w:type="spellEnd"/>
      <w:r w:rsidRPr="00DB7DF7">
        <w:rPr>
          <w:rtl/>
        </w:rPr>
        <w:t xml:space="preserve"> אַבְרָהָם אֶת עֵינָיו וַיַּרְא אֶת הַמָּקוֹם מֵרָחֹק</w:t>
      </w:r>
      <w:r w:rsidRPr="00DB7DF7">
        <w:rPr>
          <w:rFonts w:hint="cs"/>
          <w:rtl/>
        </w:rPr>
        <w:t>"</w:t>
      </w:r>
      <w:r w:rsidRPr="00DB7DF7">
        <w:rPr>
          <w:vertAlign w:val="superscript"/>
          <w:rtl/>
        </w:rPr>
        <w:footnoteReference w:id="15"/>
      </w:r>
      <w:r w:rsidRPr="00DB7DF7">
        <w:rPr>
          <w:rFonts w:hint="cs"/>
          <w:rtl/>
        </w:rPr>
        <w:t xml:space="preserve"> </w:t>
      </w:r>
      <w:r w:rsidRPr="00DB7DF7">
        <w:rPr>
          <w:rtl/>
        </w:rPr>
        <w:t>–</w:t>
      </w:r>
      <w:r w:rsidRPr="00DB7DF7">
        <w:rPr>
          <w:rFonts w:hint="cs"/>
          <w:rtl/>
        </w:rPr>
        <w:t xml:space="preserve"> גם רגל וגם עין. לשאלת הבן: "</w:t>
      </w:r>
      <w:r w:rsidRPr="00DB7DF7">
        <w:rPr>
          <w:rtl/>
        </w:rPr>
        <w:t>הִנֵּה הָאֵשׁ וְהָעֵצִים וְאַיֵּה הַשֶּׂה לְעֹלָה</w:t>
      </w:r>
      <w:r w:rsidRPr="00DB7DF7">
        <w:rPr>
          <w:rFonts w:hint="cs"/>
          <w:rtl/>
        </w:rPr>
        <w:t>?"</w:t>
      </w:r>
      <w:r w:rsidRPr="00DB7DF7">
        <w:rPr>
          <w:vertAlign w:val="superscript"/>
          <w:rtl/>
        </w:rPr>
        <w:footnoteReference w:id="16"/>
      </w:r>
      <w:r w:rsidRPr="00DB7DF7">
        <w:rPr>
          <w:rFonts w:hint="cs"/>
          <w:rtl/>
        </w:rPr>
        <w:t xml:space="preserve"> </w:t>
      </w:r>
      <w:r w:rsidRPr="00DB7DF7">
        <w:rPr>
          <w:rtl/>
        </w:rPr>
        <w:t>–</w:t>
      </w:r>
      <w:r w:rsidRPr="00DB7DF7">
        <w:rPr>
          <w:rFonts w:hint="cs"/>
          <w:rtl/>
        </w:rPr>
        <w:t xml:space="preserve"> עונה האב: "</w:t>
      </w:r>
      <w:r w:rsidRPr="00DB7DF7">
        <w:rPr>
          <w:rtl/>
        </w:rPr>
        <w:t>אֱ</w:t>
      </w:r>
      <w:r w:rsidRPr="00DB7DF7">
        <w:rPr>
          <w:rFonts w:hint="cs"/>
          <w:rtl/>
        </w:rPr>
        <w:t>-</w:t>
      </w:r>
      <w:r w:rsidRPr="00DB7DF7">
        <w:rPr>
          <w:rtl/>
        </w:rPr>
        <w:t xml:space="preserve">לֹהִים יִרְאֶה לּוֹ </w:t>
      </w:r>
      <w:r w:rsidRPr="00DB7DF7">
        <w:rPr>
          <w:rFonts w:hint="cs"/>
          <w:rtl/>
        </w:rPr>
        <w:t xml:space="preserve">(! </w:t>
      </w:r>
      <w:r w:rsidRPr="00DB7DF7">
        <w:rPr>
          <w:rtl/>
        </w:rPr>
        <w:t>–</w:t>
      </w:r>
      <w:r w:rsidRPr="00DB7DF7">
        <w:rPr>
          <w:rFonts w:hint="cs"/>
          <w:rtl/>
        </w:rPr>
        <w:t xml:space="preserve"> במובן של "יבחר לו")</w:t>
      </w:r>
      <w:r w:rsidRPr="00DB7DF7">
        <w:rPr>
          <w:rtl/>
        </w:rPr>
        <w:t xml:space="preserve"> הַשֶּׂה לְעֹלָה בְּנִי</w:t>
      </w:r>
      <w:r w:rsidRPr="00DB7DF7">
        <w:rPr>
          <w:rFonts w:hint="cs"/>
          <w:rtl/>
        </w:rPr>
        <w:t>".</w:t>
      </w:r>
      <w:r w:rsidRPr="00DB7DF7">
        <w:rPr>
          <w:vertAlign w:val="superscript"/>
          <w:rtl/>
        </w:rPr>
        <w:footnoteReference w:id="17"/>
      </w:r>
      <w:r w:rsidRPr="00DB7DF7">
        <w:rPr>
          <w:rFonts w:hint="cs"/>
          <w:rtl/>
        </w:rPr>
        <w:t xml:space="preserve"> על כן שם המקום נקבע לדורות: "</w:t>
      </w:r>
      <w:r w:rsidRPr="00DB7DF7">
        <w:rPr>
          <w:rtl/>
        </w:rPr>
        <w:t xml:space="preserve">וַיִּקְרָא אַבְרָהָם שֵׁם הַמָּקוֹם הַהוּא </w:t>
      </w:r>
      <w:r w:rsidRPr="00DB7DF7">
        <w:rPr>
          <w:rFonts w:hint="cs"/>
          <w:rtl/>
        </w:rPr>
        <w:t>ה'</w:t>
      </w:r>
      <w:r w:rsidRPr="00DB7DF7">
        <w:rPr>
          <w:rtl/>
        </w:rPr>
        <w:t xml:space="preserve"> יִרְאֶה</w:t>
      </w:r>
      <w:r w:rsidRPr="00DB7DF7">
        <w:rPr>
          <w:rFonts w:hint="cs"/>
          <w:rtl/>
        </w:rPr>
        <w:t xml:space="preserve"> (בחיריק),</w:t>
      </w:r>
      <w:r w:rsidRPr="00DB7DF7">
        <w:rPr>
          <w:rtl/>
        </w:rPr>
        <w:t xml:space="preserve"> אֲשֶׁר יֵאָמֵר הַיּוֹם בְּהַר </w:t>
      </w:r>
      <w:r w:rsidRPr="00DB7DF7">
        <w:rPr>
          <w:rFonts w:hint="cs"/>
          <w:rtl/>
        </w:rPr>
        <w:t>ה'</w:t>
      </w:r>
      <w:r w:rsidRPr="00DB7DF7">
        <w:rPr>
          <w:rtl/>
        </w:rPr>
        <w:t xml:space="preserve"> יֵרָאֶה </w:t>
      </w:r>
      <w:r w:rsidRPr="00DB7DF7">
        <w:rPr>
          <w:rFonts w:hint="cs"/>
          <w:rtl/>
        </w:rPr>
        <w:t>(בצירה)".</w:t>
      </w:r>
      <w:r w:rsidRPr="00DB7DF7">
        <w:rPr>
          <w:vertAlign w:val="superscript"/>
          <w:rtl/>
        </w:rPr>
        <w:footnoteReference w:id="18"/>
      </w:r>
    </w:p>
    <w:p w:rsidR="000E0E97" w:rsidRPr="00DB7DF7" w:rsidRDefault="000E0E97" w:rsidP="000E0E97">
      <w:pPr>
        <w:tabs>
          <w:tab w:val="left" w:pos="1262"/>
        </w:tabs>
        <w:jc w:val="both"/>
        <w:rPr>
          <w:rtl/>
        </w:rPr>
      </w:pPr>
      <w:r w:rsidRPr="00DB7DF7">
        <w:rPr>
          <w:rFonts w:hint="cs"/>
          <w:rtl/>
        </w:rPr>
        <w:t xml:space="preserve">למפגש בין אברהם לשכינה שני כיוונים </w:t>
      </w:r>
      <w:r w:rsidRPr="00DB7DF7">
        <w:rPr>
          <w:rtl/>
        </w:rPr>
        <w:t>–</w:t>
      </w:r>
      <w:r w:rsidRPr="00DB7DF7">
        <w:rPr>
          <w:rFonts w:hint="cs"/>
          <w:rtl/>
        </w:rPr>
        <w:t xml:space="preserve"> "ראייה" של אדם "את המקום", ופנייה של ה' אל האדם בקליטתו הסגולית במרחב "הראייה" הא-</w:t>
      </w:r>
      <w:proofErr w:type="spellStart"/>
      <w:r w:rsidRPr="00DB7DF7">
        <w:rPr>
          <w:rFonts w:hint="cs"/>
          <w:rtl/>
        </w:rPr>
        <w:t>לוהית</w:t>
      </w:r>
      <w:proofErr w:type="spellEnd"/>
      <w:r w:rsidRPr="00DB7DF7">
        <w:rPr>
          <w:rFonts w:hint="cs"/>
          <w:rtl/>
        </w:rPr>
        <w:t xml:space="preserve"> </w:t>
      </w:r>
      <w:r w:rsidRPr="00DB7DF7">
        <w:rPr>
          <w:rtl/>
        </w:rPr>
        <w:t>–</w:t>
      </w:r>
      <w:r w:rsidRPr="00DB7DF7">
        <w:rPr>
          <w:rFonts w:hint="cs"/>
          <w:rtl/>
        </w:rPr>
        <w:t xml:space="preserve"> "מעשה רב" לנעשה בהר לדורות. שאלת כיוון הראייה מתעמעמת עוד בדו-משמעות של שם המקום: "ב</w:t>
      </w:r>
      <w:r w:rsidRPr="00DB7DF7">
        <w:rPr>
          <w:rFonts w:hint="eastAsia"/>
          <w:rtl/>
        </w:rPr>
        <w:t>ְּ</w:t>
      </w:r>
      <w:r w:rsidRPr="00DB7DF7">
        <w:rPr>
          <w:rFonts w:hint="cs"/>
          <w:rtl/>
        </w:rPr>
        <w:t>ה</w:t>
      </w:r>
      <w:r w:rsidRPr="00DB7DF7">
        <w:rPr>
          <w:rFonts w:hint="eastAsia"/>
          <w:rtl/>
        </w:rPr>
        <w:t>ַ</w:t>
      </w:r>
      <w:r w:rsidRPr="00DB7DF7">
        <w:rPr>
          <w:rFonts w:hint="cs"/>
          <w:rtl/>
        </w:rPr>
        <w:t>ר ה' י</w:t>
      </w:r>
      <w:r w:rsidRPr="00DB7DF7">
        <w:rPr>
          <w:rFonts w:hint="eastAsia"/>
          <w:rtl/>
        </w:rPr>
        <w:t>ֵ</w:t>
      </w:r>
      <w:r w:rsidRPr="00DB7DF7">
        <w:rPr>
          <w:rFonts w:hint="cs"/>
          <w:rtl/>
        </w:rPr>
        <w:t>ר</w:t>
      </w:r>
      <w:r w:rsidRPr="00DB7DF7">
        <w:rPr>
          <w:rFonts w:hint="eastAsia"/>
          <w:rtl/>
        </w:rPr>
        <w:t>ָ</w:t>
      </w:r>
      <w:r w:rsidRPr="00DB7DF7">
        <w:rPr>
          <w:rFonts w:hint="cs"/>
          <w:rtl/>
        </w:rPr>
        <w:t>א</w:t>
      </w:r>
      <w:r w:rsidRPr="00DB7DF7">
        <w:rPr>
          <w:rFonts w:hint="eastAsia"/>
          <w:rtl/>
        </w:rPr>
        <w:t>ֵ</w:t>
      </w:r>
      <w:r w:rsidRPr="00DB7DF7">
        <w:rPr>
          <w:rFonts w:hint="cs"/>
          <w:rtl/>
        </w:rPr>
        <w:t xml:space="preserve">ה" (בצירה) </w:t>
      </w:r>
      <w:r w:rsidRPr="00DB7DF7">
        <w:rPr>
          <w:rtl/>
        </w:rPr>
        <w:t>–</w:t>
      </w:r>
      <w:r w:rsidRPr="00DB7DF7">
        <w:rPr>
          <w:rFonts w:hint="cs"/>
          <w:rtl/>
        </w:rPr>
        <w:t xml:space="preserve"> מי ייראה? "המקום", האדם או שניהם? </w:t>
      </w:r>
    </w:p>
    <w:p w:rsidR="000E0E97" w:rsidRPr="00DB7DF7" w:rsidRDefault="000E0E97" w:rsidP="000E0E97">
      <w:pPr>
        <w:tabs>
          <w:tab w:val="left" w:pos="1262"/>
        </w:tabs>
        <w:jc w:val="both"/>
        <w:rPr>
          <w:rtl/>
        </w:rPr>
      </w:pPr>
      <w:r w:rsidRPr="00DB7DF7">
        <w:rPr>
          <w:rFonts w:hint="cs"/>
          <w:rtl/>
        </w:rPr>
        <w:t xml:space="preserve">שני האברים הללו, הרגל והעין, המהווים נדבכים מרכזיים במפגש הפלאי בבית המקדש בין האדם לשכינה אינם ממצים את תיאור איברי הגוף בהקשר זה. אין משנה בששת סדרי המשנה כמו משנה זו הפותחת את המסכת, בכל הקשור לאזכור רובדי קיום האדם ואיברי גופו </w:t>
      </w:r>
      <w:r w:rsidRPr="00DB7DF7">
        <w:rPr>
          <w:rtl/>
        </w:rPr>
        <w:t>–</w:t>
      </w:r>
      <w:r w:rsidRPr="00DB7DF7">
        <w:rPr>
          <w:rFonts w:hint="cs"/>
          <w:rtl/>
        </w:rPr>
        <w:t xml:space="preserve"> הדעת, המגדר, העיניים, הכתפיים, הידיים והרגליים. הרגיש לרמזי סגנון במשנה אינו יכול אלא להתעורר למראה עריכה זו. גם במקומות נוספים בפרק מרומז מבנה הגוף ואיבריו.</w:t>
      </w:r>
      <w:r w:rsidRPr="00DB7DF7">
        <w:rPr>
          <w:vertAlign w:val="superscript"/>
          <w:rtl/>
        </w:rPr>
        <w:footnoteReference w:id="19"/>
      </w:r>
    </w:p>
    <w:p w:rsidR="000E0E97" w:rsidRPr="00DB7DF7" w:rsidRDefault="000E0E97" w:rsidP="000E0E97">
      <w:pPr>
        <w:tabs>
          <w:tab w:val="left" w:pos="1262"/>
        </w:tabs>
        <w:jc w:val="both"/>
        <w:rPr>
          <w:rtl/>
        </w:rPr>
      </w:pPr>
      <w:r w:rsidRPr="00DB7DF7">
        <w:rPr>
          <w:rFonts w:hint="cs"/>
          <w:rtl/>
        </w:rPr>
        <w:t>למשל, במשנה בסוף פרק א נאמר שהפסוק מקהלת, "</w:t>
      </w:r>
      <w:r w:rsidRPr="00DB7DF7">
        <w:rPr>
          <w:rtl/>
        </w:rPr>
        <w:t>מְעֻוָּת לֹא יוּכַל לִתְקֹן</w:t>
      </w:r>
      <w:r w:rsidRPr="00DB7DF7">
        <w:rPr>
          <w:rFonts w:hint="cs"/>
          <w:rtl/>
        </w:rPr>
        <w:t>"</w:t>
      </w:r>
      <w:r w:rsidRPr="00DB7DF7">
        <w:rPr>
          <w:vertAlign w:val="superscript"/>
          <w:rtl/>
        </w:rPr>
        <w:footnoteReference w:id="20"/>
      </w:r>
      <w:r w:rsidRPr="00DB7DF7">
        <w:rPr>
          <w:rFonts w:hint="cs"/>
          <w:rtl/>
        </w:rPr>
        <w:t xml:space="preserve"> מתייחס דווקא לעיוותים שברוח האדם </w:t>
      </w:r>
      <w:r w:rsidRPr="00DB7DF7">
        <w:rPr>
          <w:rtl/>
        </w:rPr>
        <w:t>–</w:t>
      </w:r>
      <w:r w:rsidRPr="00DB7DF7">
        <w:rPr>
          <w:rFonts w:hint="cs"/>
          <w:rtl/>
        </w:rPr>
        <w:t xml:space="preserve"> "הבא על הערווה והוליד ממנה ממזר", או "תלמיד חכם (שהיה בתחילתו "מתוקן") הפורש מן התורה ("ונתעוות")?</w:t>
      </w:r>
      <w:r w:rsidRPr="00DB7DF7">
        <w:rPr>
          <w:vertAlign w:val="superscript"/>
          <w:rtl/>
        </w:rPr>
        <w:footnoteReference w:id="21"/>
      </w:r>
      <w:r w:rsidRPr="00DB7DF7">
        <w:rPr>
          <w:rFonts w:hint="cs"/>
          <w:rtl/>
        </w:rPr>
        <w:t xml:space="preserve"> האם "לעיוותים" הגופניים שבמשנה הראשונה, כמו החיגר והסומא, </w:t>
      </w:r>
      <w:r w:rsidRPr="00DB7DF7">
        <w:rPr>
          <w:rFonts w:hint="cs"/>
          <w:b/>
          <w:bCs/>
          <w:rtl/>
        </w:rPr>
        <w:t>יש</w:t>
      </w:r>
      <w:r w:rsidRPr="00DB7DF7">
        <w:rPr>
          <w:rFonts w:hint="cs"/>
          <w:rtl/>
        </w:rPr>
        <w:t xml:space="preserve"> תיקון? אם כן, מהו?</w:t>
      </w:r>
    </w:p>
    <w:p w:rsidR="000E0E97" w:rsidRPr="00DB7DF7" w:rsidRDefault="000E0E97" w:rsidP="000E0E97">
      <w:pPr>
        <w:tabs>
          <w:tab w:val="left" w:pos="1262"/>
        </w:tabs>
        <w:jc w:val="both"/>
        <w:rPr>
          <w:rtl/>
        </w:rPr>
      </w:pPr>
      <w:r w:rsidRPr="00DB7DF7">
        <w:rPr>
          <w:rFonts w:hint="cs"/>
          <w:rtl/>
        </w:rPr>
        <w:t xml:space="preserve">הרמז הלשוני החשוב בהקשר של גוף האדם הנו בוודאי זה שמחבר בין המשנה הראשונה בפרק הראשון שבה נאמר: "איזהו קטן (הפטור מראייה)? כל שאינו יכול </w:t>
      </w:r>
      <w:r w:rsidRPr="00DB7DF7">
        <w:rPr>
          <w:rFonts w:hint="cs"/>
          <w:b/>
          <w:bCs/>
          <w:rtl/>
        </w:rPr>
        <w:t>לרכוב</w:t>
      </w:r>
      <w:r w:rsidRPr="00DB7DF7">
        <w:rPr>
          <w:rFonts w:hint="cs"/>
          <w:rtl/>
        </w:rPr>
        <w:t xml:space="preserve"> על כתפיו של אביו ולעלות מירושלים להר הבית, דברי בית שמאי"</w:t>
      </w:r>
      <w:r w:rsidRPr="00DB7DF7">
        <w:rPr>
          <w:vertAlign w:val="superscript"/>
          <w:rtl/>
        </w:rPr>
        <w:footnoteReference w:id="22"/>
      </w:r>
      <w:r w:rsidRPr="00DB7DF7">
        <w:rPr>
          <w:rFonts w:hint="cs"/>
          <w:rtl/>
        </w:rPr>
        <w:t xml:space="preserve"> </w:t>
      </w:r>
      <w:r w:rsidRPr="00DB7DF7">
        <w:rPr>
          <w:rtl/>
        </w:rPr>
        <w:t>–</w:t>
      </w:r>
      <w:r w:rsidRPr="00DB7DF7">
        <w:rPr>
          <w:rFonts w:hint="cs"/>
          <w:rtl/>
        </w:rPr>
        <w:t xml:space="preserve"> לבין הנאמר במשנה הראשונה של הפרק השני: "אין </w:t>
      </w:r>
      <w:proofErr w:type="spellStart"/>
      <w:r w:rsidRPr="00DB7DF7">
        <w:rPr>
          <w:rFonts w:hint="cs"/>
          <w:rtl/>
        </w:rPr>
        <w:t>דורשין</w:t>
      </w:r>
      <w:proofErr w:type="spellEnd"/>
      <w:r w:rsidRPr="00DB7DF7">
        <w:rPr>
          <w:rFonts w:hint="cs"/>
          <w:rtl/>
        </w:rPr>
        <w:t xml:space="preserve"> בעריות בשלושה... ולא </w:t>
      </w:r>
      <w:r w:rsidRPr="00DB7DF7">
        <w:rPr>
          <w:rFonts w:hint="cs"/>
          <w:b/>
          <w:bCs/>
          <w:rtl/>
        </w:rPr>
        <w:t>במרכבה</w:t>
      </w:r>
      <w:r w:rsidRPr="00DB7DF7">
        <w:rPr>
          <w:rFonts w:hint="cs"/>
          <w:rtl/>
        </w:rPr>
        <w:t xml:space="preserve"> ביחיד אלא אם כן היה חכם ומבין מדעתו".</w:t>
      </w:r>
      <w:r w:rsidRPr="00DB7DF7">
        <w:rPr>
          <w:vertAlign w:val="superscript"/>
          <w:rtl/>
        </w:rPr>
        <w:footnoteReference w:id="23"/>
      </w:r>
      <w:r w:rsidRPr="00DB7DF7">
        <w:rPr>
          <w:rFonts w:hint="cs"/>
          <w:rtl/>
        </w:rPr>
        <w:t xml:space="preserve"> מהו, אם כן, הקשר בין בן קטן "הרוכב" על אביו לבין פסוקי "מרכבה" שבספר יחזקאל?</w:t>
      </w:r>
    </w:p>
    <w:p w:rsidR="000E0E97" w:rsidRPr="00DB7DF7" w:rsidRDefault="000E0E97" w:rsidP="000E0E97">
      <w:pPr>
        <w:tabs>
          <w:tab w:val="left" w:pos="1262"/>
        </w:tabs>
        <w:jc w:val="both"/>
        <w:rPr>
          <w:rtl/>
        </w:rPr>
      </w:pPr>
      <w:r w:rsidRPr="00DB7DF7">
        <w:rPr>
          <w:rFonts w:hint="cs"/>
          <w:rtl/>
        </w:rPr>
        <w:t xml:space="preserve">ועוד, המשנה האחרונה של פרק א מתארת את כלל מצוות התורה בדימויים של גוף האדם. </w:t>
      </w:r>
    </w:p>
    <w:p w:rsidR="000E0E97" w:rsidRPr="00DB7DF7" w:rsidRDefault="000E0E97" w:rsidP="000E0E97">
      <w:pPr>
        <w:tabs>
          <w:tab w:val="left" w:pos="1262"/>
        </w:tabs>
        <w:jc w:val="both"/>
        <w:rPr>
          <w:i/>
          <w:iCs/>
          <w:rtl/>
        </w:rPr>
      </w:pPr>
      <w:r w:rsidRPr="00DB7DF7">
        <w:rPr>
          <w:i/>
          <w:iCs/>
          <w:rtl/>
        </w:rPr>
        <w:lastRenderedPageBreak/>
        <w:t>ה</w:t>
      </w:r>
      <w:r w:rsidRPr="00DB7DF7">
        <w:rPr>
          <w:rFonts w:hint="cs"/>
          <w:i/>
          <w:iCs/>
          <w:rtl/>
        </w:rPr>
        <w:t>י</w:t>
      </w:r>
      <w:r w:rsidRPr="00DB7DF7">
        <w:rPr>
          <w:i/>
          <w:iCs/>
          <w:rtl/>
        </w:rPr>
        <w:t xml:space="preserve">תר נדרים </w:t>
      </w:r>
      <w:proofErr w:type="spellStart"/>
      <w:r w:rsidRPr="00DB7DF7">
        <w:rPr>
          <w:i/>
          <w:iCs/>
          <w:rtl/>
        </w:rPr>
        <w:t>פורחין</w:t>
      </w:r>
      <w:proofErr w:type="spellEnd"/>
      <w:r w:rsidRPr="00DB7DF7">
        <w:rPr>
          <w:i/>
          <w:iCs/>
          <w:rtl/>
        </w:rPr>
        <w:t xml:space="preserve"> </w:t>
      </w:r>
      <w:proofErr w:type="spellStart"/>
      <w:r w:rsidRPr="00DB7DF7">
        <w:rPr>
          <w:i/>
          <w:iCs/>
          <w:rtl/>
        </w:rPr>
        <w:t>באויר</w:t>
      </w:r>
      <w:proofErr w:type="spellEnd"/>
      <w:r w:rsidRPr="00DB7DF7">
        <w:rPr>
          <w:i/>
          <w:iCs/>
          <w:rtl/>
        </w:rPr>
        <w:t xml:space="preserve">, ואין להם על מה שיסמכו. הלכות שבת חגיגות והמעילות, הרי הם כהררים </w:t>
      </w:r>
      <w:proofErr w:type="spellStart"/>
      <w:r w:rsidRPr="00DB7DF7">
        <w:rPr>
          <w:i/>
          <w:iCs/>
          <w:rtl/>
        </w:rPr>
        <w:t>התלויין</w:t>
      </w:r>
      <w:proofErr w:type="spellEnd"/>
      <w:r w:rsidRPr="00DB7DF7">
        <w:rPr>
          <w:i/>
          <w:iCs/>
          <w:rtl/>
        </w:rPr>
        <w:t xml:space="preserve"> ב</w:t>
      </w:r>
      <w:r w:rsidRPr="00DB7DF7">
        <w:rPr>
          <w:b/>
          <w:bCs/>
          <w:i/>
          <w:iCs/>
          <w:rtl/>
        </w:rPr>
        <w:t>שערה</w:t>
      </w:r>
      <w:r w:rsidRPr="00DB7DF7">
        <w:rPr>
          <w:i/>
          <w:iCs/>
          <w:rtl/>
        </w:rPr>
        <w:t>, שהן מקרא מעט והלכות מר</w:t>
      </w:r>
      <w:r w:rsidRPr="00DB7DF7">
        <w:rPr>
          <w:rFonts w:hint="cs"/>
          <w:i/>
          <w:iCs/>
          <w:rtl/>
        </w:rPr>
        <w:t>ו</w:t>
      </w:r>
      <w:r w:rsidRPr="00DB7DF7">
        <w:rPr>
          <w:i/>
          <w:iCs/>
          <w:rtl/>
        </w:rPr>
        <w:t>בות</w:t>
      </w:r>
      <w:r w:rsidRPr="00DB7DF7">
        <w:rPr>
          <w:rFonts w:hint="cs"/>
          <w:i/>
          <w:iCs/>
          <w:rtl/>
        </w:rPr>
        <w:t>.</w:t>
      </w:r>
      <w:r w:rsidRPr="00DB7DF7">
        <w:rPr>
          <w:i/>
          <w:iCs/>
          <w:rtl/>
        </w:rPr>
        <w:t xml:space="preserve"> </w:t>
      </w:r>
      <w:proofErr w:type="spellStart"/>
      <w:r w:rsidRPr="00DB7DF7">
        <w:rPr>
          <w:i/>
          <w:iCs/>
          <w:rtl/>
        </w:rPr>
        <w:t>הדינין</w:t>
      </w:r>
      <w:proofErr w:type="spellEnd"/>
      <w:r w:rsidRPr="00DB7DF7">
        <w:rPr>
          <w:i/>
          <w:iCs/>
          <w:rtl/>
        </w:rPr>
        <w:t xml:space="preserve"> והעבודות הטהרות והטמאות ועריות</w:t>
      </w:r>
      <w:r w:rsidRPr="00DB7DF7">
        <w:rPr>
          <w:rFonts w:hint="cs"/>
          <w:i/>
          <w:iCs/>
          <w:rtl/>
        </w:rPr>
        <w:t xml:space="preserve"> </w:t>
      </w:r>
      <w:r w:rsidRPr="00DB7DF7">
        <w:rPr>
          <w:i/>
          <w:iCs/>
          <w:rtl/>
        </w:rPr>
        <w:t>– יש להן על מה שיסמכו</w:t>
      </w:r>
      <w:r w:rsidRPr="00DB7DF7">
        <w:rPr>
          <w:rFonts w:hint="cs"/>
          <w:i/>
          <w:iCs/>
          <w:rtl/>
        </w:rPr>
        <w:t>;</w:t>
      </w:r>
      <w:r w:rsidRPr="00DB7DF7">
        <w:rPr>
          <w:i/>
          <w:iCs/>
          <w:rtl/>
        </w:rPr>
        <w:t xml:space="preserve"> הן </w:t>
      </w:r>
      <w:proofErr w:type="spellStart"/>
      <w:r w:rsidRPr="00DB7DF7">
        <w:rPr>
          <w:i/>
          <w:iCs/>
          <w:rtl/>
        </w:rPr>
        <w:t>הן</w:t>
      </w:r>
      <w:proofErr w:type="spellEnd"/>
      <w:r w:rsidRPr="00DB7DF7">
        <w:rPr>
          <w:i/>
          <w:iCs/>
          <w:rtl/>
        </w:rPr>
        <w:t xml:space="preserve"> </w:t>
      </w:r>
      <w:r w:rsidRPr="00DB7DF7">
        <w:rPr>
          <w:b/>
          <w:bCs/>
          <w:i/>
          <w:iCs/>
          <w:rtl/>
        </w:rPr>
        <w:t>גופי</w:t>
      </w:r>
      <w:r w:rsidRPr="00DB7DF7">
        <w:rPr>
          <w:i/>
          <w:iCs/>
          <w:rtl/>
        </w:rPr>
        <w:t xml:space="preserve"> תורה</w:t>
      </w:r>
      <w:r w:rsidRPr="00DB7DF7">
        <w:rPr>
          <w:rFonts w:hint="cs"/>
          <w:i/>
          <w:iCs/>
          <w:rtl/>
        </w:rPr>
        <w:t>.</w:t>
      </w:r>
      <w:r w:rsidRPr="00DB7DF7">
        <w:rPr>
          <w:i/>
          <w:iCs/>
          <w:vertAlign w:val="superscript"/>
          <w:rtl/>
        </w:rPr>
        <w:footnoteReference w:id="24"/>
      </w:r>
    </w:p>
    <w:p w:rsidR="000E0E97" w:rsidRPr="00DB7DF7" w:rsidRDefault="000E0E97" w:rsidP="000E0E97">
      <w:pPr>
        <w:tabs>
          <w:tab w:val="left" w:pos="1262"/>
        </w:tabs>
        <w:jc w:val="both"/>
        <w:rPr>
          <w:rtl/>
        </w:rPr>
      </w:pPr>
      <w:r w:rsidRPr="00DB7DF7">
        <w:rPr>
          <w:rFonts w:hint="cs"/>
          <w:rtl/>
        </w:rPr>
        <w:t xml:space="preserve">האם יש זיקה בין דימויי הגוף המחברים את פינות פרק א לבין המושגים של פנימיות התורה </w:t>
      </w:r>
      <w:r w:rsidRPr="00DB7DF7">
        <w:rPr>
          <w:rtl/>
        </w:rPr>
        <w:t>–</w:t>
      </w:r>
      <w:r w:rsidRPr="00DB7DF7">
        <w:rPr>
          <w:rFonts w:hint="cs"/>
          <w:rtl/>
        </w:rPr>
        <w:t xml:space="preserve"> "עריות", "מעשה בראשית", ו"מרכבה" במשנה הבאה מיד בהתחלת הפרק השני?</w:t>
      </w:r>
    </w:p>
    <w:p w:rsidR="000E0E97" w:rsidRPr="00DB7DF7" w:rsidRDefault="000E0E97" w:rsidP="000E0E97">
      <w:pPr>
        <w:tabs>
          <w:tab w:val="left" w:pos="1262"/>
        </w:tabs>
        <w:jc w:val="both"/>
        <w:rPr>
          <w:rtl/>
        </w:rPr>
      </w:pPr>
      <w:r w:rsidRPr="00DB7DF7">
        <w:rPr>
          <w:rFonts w:hint="cs"/>
          <w:rtl/>
        </w:rPr>
        <w:t>אנו לא מחויבים לתת תשובות לכל השאלות הללו. אינני חסיד של התפיסה המחייבת תשובות מידיות לשאלות טובות. אדם המעוניין לפתוח שערים למרחבים של דעת בתורה, מרחבים שיח</w:t>
      </w:r>
      <w:r w:rsidRPr="00DB7DF7">
        <w:rPr>
          <w:rFonts w:hint="eastAsia"/>
          <w:rtl/>
        </w:rPr>
        <w:t>ַ</w:t>
      </w:r>
      <w:r w:rsidRPr="00DB7DF7">
        <w:rPr>
          <w:rFonts w:hint="cs"/>
          <w:rtl/>
        </w:rPr>
        <w:t xml:space="preserve">יו נפש ויכוננו חיים, טוב לו ללמוד לחיות עם שאלות טובות </w:t>
      </w:r>
      <w:r w:rsidRPr="00DB7DF7">
        <w:rPr>
          <w:rtl/>
        </w:rPr>
        <w:t>–</w:t>
      </w:r>
      <w:r w:rsidRPr="00DB7DF7">
        <w:rPr>
          <w:rFonts w:hint="cs"/>
          <w:rtl/>
        </w:rPr>
        <w:t xml:space="preserve"> לא לשם תחושת חופש מדומה אלא לשם ניצול כוחה המפרה והמחדש של שאלה טובה. הדחף לתגובה מידית כמעט תמיד חוסם בפני התחדשות והתהוות. מאידך, הבירור וההעמקה הבאים בזכותן של שאלות טובות מקדמים לתשובות ביניים חלקיות, ומשם ליכולת לנסח שאלה מחודדת יותר, מפרה יותר, וכך הלאה.</w:t>
      </w:r>
    </w:p>
    <w:p w:rsidR="000E0E97" w:rsidRPr="00DB7DF7" w:rsidRDefault="000E0E97" w:rsidP="000E0E97">
      <w:pPr>
        <w:tabs>
          <w:tab w:val="left" w:pos="1262"/>
        </w:tabs>
        <w:jc w:val="both"/>
        <w:rPr>
          <w:rtl/>
        </w:rPr>
      </w:pPr>
    </w:p>
    <w:p w:rsidR="000E0E97" w:rsidRPr="00DB7DF7" w:rsidRDefault="000E0E97" w:rsidP="000E0E97">
      <w:pPr>
        <w:tabs>
          <w:tab w:val="left" w:pos="1262"/>
        </w:tabs>
        <w:jc w:val="both"/>
        <w:rPr>
          <w:b/>
          <w:bCs/>
          <w:u w:val="single"/>
          <w:rtl/>
        </w:rPr>
      </w:pPr>
      <w:r w:rsidRPr="00DB7DF7">
        <w:rPr>
          <w:rFonts w:hint="cs"/>
          <w:b/>
          <w:bCs/>
          <w:u w:val="single"/>
          <w:rtl/>
        </w:rPr>
        <w:t xml:space="preserve">ג. פירוש נוסף לראיית פני שכינה </w:t>
      </w:r>
    </w:p>
    <w:p w:rsidR="000E0E97" w:rsidRPr="00DB7DF7" w:rsidRDefault="000E0E97" w:rsidP="000E0E97">
      <w:pPr>
        <w:tabs>
          <w:tab w:val="left" w:pos="1262"/>
        </w:tabs>
        <w:jc w:val="both"/>
        <w:rPr>
          <w:rtl/>
        </w:rPr>
      </w:pPr>
      <w:r w:rsidRPr="00DB7DF7">
        <w:rPr>
          <w:rFonts w:hint="cs"/>
          <w:rtl/>
        </w:rPr>
        <w:t>התלמוד הבבלי, שלא כמו התלמוד הירושלמי,</w:t>
      </w:r>
      <w:r w:rsidRPr="00DB7DF7">
        <w:rPr>
          <w:vertAlign w:val="superscript"/>
          <w:rtl/>
        </w:rPr>
        <w:footnoteReference w:id="25"/>
      </w:r>
      <w:r w:rsidRPr="00DB7DF7">
        <w:rPr>
          <w:rFonts w:hint="cs"/>
          <w:rtl/>
        </w:rPr>
        <w:t xml:space="preserve"> צמצם את שיטת "ראיית פנים בעזרה" של רבי יוחנן. התלמוד טוען ששיטת "ראיית הפנים בעזרה" אינה מתייחסת כלל ועיקר לכניסה למקדש ביום ראשון של חג. לדברי הבבלי, לכל הדעות ביום ראשון של חג מצות הראייה הנה רק בהבאת קרבנות. המחלוקת בין רבי יוחנן לריש לקיש קיימת רק כאשר ירצה עולה הרגל להיכנס למקדש בחול המועד. ריש לקיש סובר שיש להביא קרבנות נוספים, ורבי יוחנן מתיר ביאת מקדש ללא קרבן.</w:t>
      </w:r>
      <w:r w:rsidRPr="00DB7DF7">
        <w:rPr>
          <w:vertAlign w:val="superscript"/>
          <w:rtl/>
        </w:rPr>
        <w:footnoteReference w:id="26"/>
      </w:r>
      <w:r w:rsidRPr="00DB7DF7">
        <w:rPr>
          <w:rFonts w:hint="cs"/>
          <w:rtl/>
        </w:rPr>
        <w:t xml:space="preserve"> ההגדרה השלילית של שיטת רבי יוחנן </w:t>
      </w:r>
      <w:r w:rsidRPr="00DB7DF7">
        <w:rPr>
          <w:rtl/>
        </w:rPr>
        <w:t>–</w:t>
      </w:r>
      <w:r w:rsidRPr="00DB7DF7">
        <w:rPr>
          <w:rFonts w:hint="cs"/>
          <w:rtl/>
        </w:rPr>
        <w:t xml:space="preserve"> מותר לבוא למקדש ללא קרבן </w:t>
      </w:r>
      <w:r w:rsidRPr="00DB7DF7">
        <w:rPr>
          <w:rtl/>
        </w:rPr>
        <w:t>–</w:t>
      </w:r>
      <w:r w:rsidRPr="00DB7DF7">
        <w:rPr>
          <w:rFonts w:hint="cs"/>
          <w:rtl/>
        </w:rPr>
        <w:t xml:space="preserve"> ורק בחול המועד, מרוקנת את שיטת רבי יוחנן מעוצמתה הרוחנית. צמצום שיטת רבי יוחנן מודגש גם בביטול של שמועת יוחנן בן </w:t>
      </w:r>
      <w:proofErr w:type="spellStart"/>
      <w:r w:rsidRPr="00DB7DF7">
        <w:rPr>
          <w:rFonts w:hint="cs"/>
          <w:rtl/>
        </w:rPr>
        <w:t>דהבאי</w:t>
      </w:r>
      <w:proofErr w:type="spellEnd"/>
      <w:r w:rsidRPr="00DB7DF7">
        <w:rPr>
          <w:rFonts w:hint="cs"/>
          <w:rtl/>
        </w:rPr>
        <w:t xml:space="preserve"> בשם רבי יהודה שביקשה להשוות בין "ליראות" על ידי השכינה לבין "לראותה" כשיטה הנתמכת על ידי המשנה או הנפסקת למעשה.</w:t>
      </w:r>
      <w:r w:rsidRPr="00DB7DF7">
        <w:rPr>
          <w:vertAlign w:val="superscript"/>
          <w:rtl/>
        </w:rPr>
        <w:footnoteReference w:id="27"/>
      </w:r>
    </w:p>
    <w:p w:rsidR="000E0E97" w:rsidRPr="00DB7DF7" w:rsidRDefault="000E0E97" w:rsidP="000E0E97">
      <w:pPr>
        <w:tabs>
          <w:tab w:val="left" w:pos="1262"/>
        </w:tabs>
        <w:jc w:val="both"/>
        <w:rPr>
          <w:rtl/>
        </w:rPr>
      </w:pPr>
      <w:r w:rsidRPr="00DB7DF7">
        <w:rPr>
          <w:rFonts w:hint="cs"/>
          <w:rtl/>
        </w:rPr>
        <w:t>לאמתו של דבר, שורש הסוגיה בבבלי אינו שלילת שיטת "ראיית הפנים בעזרה" אלא המרתה</w:t>
      </w:r>
      <w:r w:rsidRPr="00B028B8">
        <w:rPr>
          <w:rFonts w:hint="cs"/>
          <w:b/>
          <w:bCs/>
          <w:rtl/>
        </w:rPr>
        <w:t xml:space="preserve">. </w:t>
      </w:r>
      <w:r w:rsidRPr="00B028B8">
        <w:rPr>
          <w:rFonts w:hint="cs"/>
          <w:rtl/>
        </w:rPr>
        <w:t>המפגש הבלתי אמצעי והדו-כיווני בין אדם לשכינה הנלמד במשוואה "י</w:t>
      </w:r>
      <w:r w:rsidRPr="00B028B8">
        <w:rPr>
          <w:rFonts w:hint="eastAsia"/>
          <w:rtl/>
        </w:rPr>
        <w:t>ִ</w:t>
      </w:r>
      <w:r w:rsidRPr="00B028B8">
        <w:rPr>
          <w:rFonts w:hint="cs"/>
          <w:rtl/>
        </w:rPr>
        <w:t>ר</w:t>
      </w:r>
      <w:r w:rsidRPr="00B028B8">
        <w:rPr>
          <w:rFonts w:hint="eastAsia"/>
          <w:rtl/>
        </w:rPr>
        <w:t>ְ</w:t>
      </w:r>
      <w:r w:rsidRPr="00B028B8">
        <w:rPr>
          <w:rFonts w:hint="cs"/>
          <w:rtl/>
        </w:rPr>
        <w:t>אה"</w:t>
      </w:r>
      <w:r w:rsidRPr="00B028B8">
        <w:rPr>
          <w:rtl/>
        </w:rPr>
        <w:t>–</w:t>
      </w:r>
      <w:r w:rsidRPr="00B028B8">
        <w:rPr>
          <w:rFonts w:hint="cs"/>
          <w:rtl/>
        </w:rPr>
        <w:t>"י</w:t>
      </w:r>
      <w:r w:rsidRPr="00B028B8">
        <w:rPr>
          <w:rFonts w:hint="eastAsia"/>
          <w:rtl/>
        </w:rPr>
        <w:t>ֵ</w:t>
      </w:r>
      <w:r w:rsidRPr="00B028B8">
        <w:rPr>
          <w:rFonts w:hint="cs"/>
          <w:rtl/>
        </w:rPr>
        <w:t>ר</w:t>
      </w:r>
      <w:r w:rsidRPr="00B028B8">
        <w:rPr>
          <w:rFonts w:hint="eastAsia"/>
          <w:rtl/>
        </w:rPr>
        <w:t>ָ</w:t>
      </w:r>
      <w:r w:rsidRPr="00B028B8">
        <w:rPr>
          <w:rFonts w:hint="cs"/>
          <w:rtl/>
        </w:rPr>
        <w:t>אה", מתרחש בדרשה בפסוקי התורה</w:t>
      </w:r>
      <w:r w:rsidRPr="00B028B8">
        <w:rPr>
          <w:rFonts w:hint="cs"/>
          <w:b/>
          <w:bCs/>
          <w:rtl/>
        </w:rPr>
        <w:t>.</w:t>
      </w:r>
      <w:r w:rsidRPr="00DB7DF7">
        <w:rPr>
          <w:rFonts w:hint="cs"/>
          <w:rtl/>
        </w:rPr>
        <w:t xml:space="preserve"> תובנה זו נרמזה כבר במשנה. בנוסף לאותה הקבלה מפתיעה "רוכב"</w:t>
      </w:r>
      <w:r w:rsidRPr="00DB7DF7">
        <w:rPr>
          <w:rtl/>
        </w:rPr>
        <w:t>–</w:t>
      </w:r>
      <w:r w:rsidRPr="00DB7DF7">
        <w:rPr>
          <w:rFonts w:hint="cs"/>
          <w:rtl/>
        </w:rPr>
        <w:t>"מרכבה" בין המשניות הפותחות את שני הפרקים הראשונים במסכת יש הקבלה  בין "מצות הראייה" במקדש המוזכרת בפתיחת המסכת לבין "ראיית הסוד" שבדרשת פסוקי התורה המוזכרת בהתחלת הפרק השני:</w:t>
      </w:r>
    </w:p>
    <w:p w:rsidR="000E0E97" w:rsidRPr="00DB7DF7" w:rsidRDefault="000E0E97" w:rsidP="000E0E97">
      <w:pPr>
        <w:tabs>
          <w:tab w:val="left" w:pos="1262"/>
        </w:tabs>
        <w:jc w:val="both"/>
        <w:rPr>
          <w:b/>
          <w:bCs/>
          <w:i/>
          <w:iCs/>
          <w:rtl/>
        </w:rPr>
      </w:pPr>
      <w:r w:rsidRPr="00DB7DF7">
        <w:rPr>
          <w:rFonts w:hint="cs"/>
          <w:i/>
          <w:iCs/>
          <w:rtl/>
        </w:rPr>
        <w:t xml:space="preserve">אין </w:t>
      </w:r>
      <w:proofErr w:type="spellStart"/>
      <w:r w:rsidRPr="00DB7DF7">
        <w:rPr>
          <w:rFonts w:hint="cs"/>
          <w:i/>
          <w:iCs/>
          <w:rtl/>
        </w:rPr>
        <w:t>דורשין</w:t>
      </w:r>
      <w:proofErr w:type="spellEnd"/>
      <w:r w:rsidRPr="00DB7DF7">
        <w:rPr>
          <w:rFonts w:hint="cs"/>
          <w:i/>
          <w:iCs/>
          <w:rtl/>
        </w:rPr>
        <w:t xml:space="preserve"> ב(פרשיות) עריות בשלשה, ולא במעשה בראשית בשניים ולא במרכבה ביחיד, אלא אם כן היה חכם ומבין מדעתו. כל המסתכל(!) בארבעה דברים ראוי לו כאילו לא בא </w:t>
      </w:r>
      <w:r w:rsidRPr="00DB7DF7">
        <w:rPr>
          <w:rFonts w:hint="cs"/>
          <w:i/>
          <w:iCs/>
          <w:rtl/>
        </w:rPr>
        <w:lastRenderedPageBreak/>
        <w:t xml:space="preserve">לעולם (פוגע במצות ראיית פנים): </w:t>
      </w:r>
      <w:r w:rsidRPr="00DB7DF7">
        <w:rPr>
          <w:i/>
          <w:iCs/>
          <w:rtl/>
        </w:rPr>
        <w:t>מה למעלה מה למטה מה לפנים ומה לאחור</w:t>
      </w:r>
      <w:r w:rsidRPr="00DB7DF7">
        <w:rPr>
          <w:rFonts w:hint="cs"/>
          <w:i/>
          <w:iCs/>
          <w:rtl/>
        </w:rPr>
        <w:t>, וכל שלא חס על כבוד קונו ראוי לו שלא בא לעולם.</w:t>
      </w:r>
      <w:r w:rsidRPr="00DB7DF7">
        <w:rPr>
          <w:i/>
          <w:iCs/>
          <w:vertAlign w:val="superscript"/>
          <w:rtl/>
        </w:rPr>
        <w:footnoteReference w:id="28"/>
      </w:r>
    </w:p>
    <w:p w:rsidR="000E0E97" w:rsidRPr="00DB7DF7" w:rsidRDefault="000E0E97" w:rsidP="000E0E97">
      <w:pPr>
        <w:tabs>
          <w:tab w:val="left" w:pos="1262"/>
        </w:tabs>
        <w:jc w:val="both"/>
        <w:rPr>
          <w:rtl/>
        </w:rPr>
      </w:pPr>
      <w:r w:rsidRPr="00DB7DF7">
        <w:rPr>
          <w:rFonts w:hint="cs"/>
          <w:rtl/>
        </w:rPr>
        <w:t xml:space="preserve">המשתמע מהקבלה זו מהווה בסיס למהלך מרכזי בסוגיית הפתיחה בגמרא. לאורך כל הסוגיה אנו מתוודעים להשפעת פסוקי התורה, ודרשות חז"ל בהם, על "הראייה", על העיניים. למשל, רבי יוסי בן </w:t>
      </w:r>
      <w:proofErr w:type="spellStart"/>
      <w:r w:rsidRPr="00DB7DF7">
        <w:rPr>
          <w:rFonts w:hint="cs"/>
          <w:rtl/>
        </w:rPr>
        <w:t>דורמסקית</w:t>
      </w:r>
      <w:proofErr w:type="spellEnd"/>
      <w:r w:rsidRPr="00DB7DF7">
        <w:rPr>
          <w:rFonts w:hint="cs"/>
          <w:rtl/>
        </w:rPr>
        <w:t xml:space="preserve"> מתעוור ומתפקח (מתעוות ונתקן) מכוח דרשה,</w:t>
      </w:r>
      <w:r w:rsidRPr="00DB7DF7">
        <w:rPr>
          <w:vertAlign w:val="superscript"/>
          <w:rtl/>
        </w:rPr>
        <w:footnoteReference w:id="29"/>
      </w:r>
      <w:r w:rsidRPr="00DB7DF7">
        <w:rPr>
          <w:rFonts w:hint="cs"/>
          <w:rtl/>
        </w:rPr>
        <w:t xml:space="preserve"> בבחינת "סו</w:t>
      </w:r>
      <w:r w:rsidRPr="00DB7DF7">
        <w:rPr>
          <w:rFonts w:hint="eastAsia"/>
          <w:rtl/>
        </w:rPr>
        <w:t>ֹ</w:t>
      </w:r>
      <w:r w:rsidRPr="00DB7DF7">
        <w:rPr>
          <w:rFonts w:hint="cs"/>
          <w:rtl/>
        </w:rPr>
        <w:t xml:space="preserve">ד ה' </w:t>
      </w:r>
      <w:r w:rsidRPr="00DB7DF7">
        <w:rPr>
          <w:rtl/>
        </w:rPr>
        <w:t xml:space="preserve"> </w:t>
      </w:r>
      <w:proofErr w:type="spellStart"/>
      <w:r w:rsidRPr="00DB7DF7">
        <w:rPr>
          <w:rtl/>
        </w:rPr>
        <w:t>לִירֵאָיו</w:t>
      </w:r>
      <w:proofErr w:type="spellEnd"/>
      <w:r w:rsidRPr="00DB7DF7">
        <w:rPr>
          <w:rtl/>
        </w:rPr>
        <w:t xml:space="preserve"> וּבְרִיתוֹ לְהוֹדִיעָם</w:t>
      </w:r>
      <w:r w:rsidRPr="00DB7DF7">
        <w:rPr>
          <w:rFonts w:hint="cs"/>
          <w:rtl/>
        </w:rPr>
        <w:t>";</w:t>
      </w:r>
      <w:r w:rsidRPr="00DB7DF7">
        <w:rPr>
          <w:vertAlign w:val="superscript"/>
          <w:rtl/>
        </w:rPr>
        <w:footnoteReference w:id="30"/>
      </w:r>
      <w:r w:rsidRPr="00DB7DF7">
        <w:rPr>
          <w:rFonts w:hint="cs"/>
          <w:rtl/>
        </w:rPr>
        <w:t xml:space="preserve"> גדולי הדרשנים מורידים דמעות בגין פסוקים המתארים את הסתר הפנים בעולם של מי שהם באו להיפגש אתו בעצם פעולת הדרשה.</w:t>
      </w:r>
      <w:r w:rsidRPr="00DB7DF7">
        <w:rPr>
          <w:vertAlign w:val="superscript"/>
          <w:rtl/>
        </w:rPr>
        <w:footnoteReference w:id="31"/>
      </w:r>
    </w:p>
    <w:p w:rsidR="000E0E97" w:rsidRPr="00DB7DF7" w:rsidRDefault="000E0E97" w:rsidP="000E0E97">
      <w:pPr>
        <w:tabs>
          <w:tab w:val="left" w:pos="1262"/>
        </w:tabs>
        <w:jc w:val="both"/>
        <w:rPr>
          <w:rtl/>
        </w:rPr>
      </w:pPr>
    </w:p>
    <w:p w:rsidR="000E0E97" w:rsidRPr="00DB7DF7" w:rsidRDefault="000E0E97" w:rsidP="000E0E97">
      <w:pPr>
        <w:tabs>
          <w:tab w:val="left" w:pos="1262"/>
        </w:tabs>
        <w:jc w:val="both"/>
        <w:rPr>
          <w:b/>
          <w:bCs/>
          <w:rtl/>
        </w:rPr>
      </w:pPr>
      <w:r w:rsidRPr="00DB7DF7">
        <w:rPr>
          <w:rFonts w:hint="cs"/>
          <w:b/>
          <w:bCs/>
          <w:u w:val="single"/>
          <w:rtl/>
        </w:rPr>
        <w:t>ד. גילוי שורש ה"אחד" בעולם</w:t>
      </w:r>
    </w:p>
    <w:p w:rsidR="000E0E97" w:rsidRPr="00DB7DF7" w:rsidRDefault="000E0E97" w:rsidP="000E0E97">
      <w:pPr>
        <w:tabs>
          <w:tab w:val="left" w:pos="1262"/>
        </w:tabs>
        <w:jc w:val="both"/>
        <w:rPr>
          <w:rtl/>
        </w:rPr>
      </w:pPr>
      <w:r w:rsidRPr="00DB7DF7">
        <w:rPr>
          <w:rFonts w:hint="cs"/>
          <w:rtl/>
        </w:rPr>
        <w:t xml:space="preserve">אחת הדוגמאות המופלאות לשימוש בדרשת פסוקים כסוג של "ראייה" עומדת כמעין עוגן לסוגיה כולה. במרכז הסוגיה עומדות שלוש דרשות של רבי אלעזר בן עזריה, אחד מגדולי הדרשנים של תקופת המשנה </w:t>
      </w:r>
      <w:r w:rsidRPr="00DB7DF7">
        <w:rPr>
          <w:rtl/>
        </w:rPr>
        <w:t>–</w:t>
      </w:r>
      <w:r w:rsidRPr="00DB7DF7">
        <w:rPr>
          <w:rFonts w:hint="cs"/>
          <w:rtl/>
        </w:rPr>
        <w:t xml:space="preserve"> קרי, אחד מגדולי "רואי הפנים", פני האדם, פני התורה ופני השכינה. שלוש הדרשות נדרשו כחטיבה אחת ביום אחד, על אף שהן עוסקות בנושאים שונים: בחלוקת העם </w:t>
      </w:r>
      <w:r w:rsidRPr="00DB7DF7">
        <w:rPr>
          <w:rtl/>
        </w:rPr>
        <w:t>–</w:t>
      </w:r>
      <w:r w:rsidRPr="00DB7DF7">
        <w:rPr>
          <w:rFonts w:hint="cs"/>
          <w:rtl/>
        </w:rPr>
        <w:t xml:space="preserve"> גברים, נשים וטף </w:t>
      </w:r>
      <w:r w:rsidRPr="00DB7DF7">
        <w:rPr>
          <w:rtl/>
        </w:rPr>
        <w:t>–</w:t>
      </w:r>
      <w:r w:rsidRPr="00DB7DF7">
        <w:rPr>
          <w:rFonts w:hint="cs"/>
          <w:rtl/>
        </w:rPr>
        <w:t xml:space="preserve"> במצות "הקהל", בהקבלה שבין "גוי אחד בארץ" לבין "ה' א-</w:t>
      </w:r>
      <w:proofErr w:type="spellStart"/>
      <w:r w:rsidRPr="00DB7DF7">
        <w:rPr>
          <w:rFonts w:hint="cs"/>
          <w:rtl/>
        </w:rPr>
        <w:t>לוהינו</w:t>
      </w:r>
      <w:proofErr w:type="spellEnd"/>
      <w:r w:rsidRPr="00DB7DF7">
        <w:rPr>
          <w:rFonts w:hint="cs"/>
          <w:rtl/>
        </w:rPr>
        <w:t xml:space="preserve"> ה' אחד", ובתיאור של עומק הדרשה </w:t>
      </w:r>
      <w:proofErr w:type="spellStart"/>
      <w:r w:rsidRPr="00DB7DF7">
        <w:rPr>
          <w:rFonts w:hint="cs"/>
          <w:rtl/>
        </w:rPr>
        <w:t>החזל"ית</w:t>
      </w:r>
      <w:proofErr w:type="spellEnd"/>
      <w:r w:rsidRPr="00DB7DF7">
        <w:rPr>
          <w:rFonts w:hint="cs"/>
          <w:rtl/>
        </w:rPr>
        <w:t>.</w:t>
      </w:r>
      <w:r w:rsidRPr="00DB7DF7">
        <w:rPr>
          <w:vertAlign w:val="superscript"/>
          <w:rtl/>
        </w:rPr>
        <w:footnoteReference w:id="32"/>
      </w:r>
      <w:r w:rsidRPr="00DB7DF7">
        <w:rPr>
          <w:rFonts w:hint="cs"/>
          <w:rtl/>
        </w:rPr>
        <w:t xml:space="preserve"> </w:t>
      </w:r>
    </w:p>
    <w:p w:rsidR="000E0E97" w:rsidRPr="00DB7DF7" w:rsidRDefault="000E0E97" w:rsidP="000E0E97">
      <w:pPr>
        <w:tabs>
          <w:tab w:val="left" w:pos="1262"/>
        </w:tabs>
        <w:jc w:val="both"/>
        <w:rPr>
          <w:rtl/>
        </w:rPr>
      </w:pPr>
      <w:r w:rsidRPr="00DB7DF7">
        <w:rPr>
          <w:rFonts w:hint="cs"/>
          <w:rtl/>
        </w:rPr>
        <w:t xml:space="preserve">כל אחת מדרשות אלו </w:t>
      </w:r>
      <w:proofErr w:type="spellStart"/>
      <w:r w:rsidRPr="00DB7DF7">
        <w:rPr>
          <w:rFonts w:hint="cs"/>
          <w:rtl/>
        </w:rPr>
        <w:t>היתה</w:t>
      </w:r>
      <w:proofErr w:type="spellEnd"/>
      <w:r w:rsidRPr="00DB7DF7">
        <w:rPr>
          <w:rFonts w:hint="cs"/>
          <w:rtl/>
        </w:rPr>
        <w:t xml:space="preserve"> לשורש שהצמיח את דיבור הדורות וראויה היא להתייחסות מיוחדת. נסכם כאן את יסודות המשותפים לשלוש הדרשות, ונגלה דרכם התבוננות חודרת עד תהום במושג "האחדות" שביסוד האמונה היהודית. השילוב בין שלושת הדרשות יוצר תמונה מרהיבה של ההתקשרות בין </w:t>
      </w:r>
      <w:proofErr w:type="spellStart"/>
      <w:r w:rsidRPr="00DB7DF7">
        <w:rPr>
          <w:rFonts w:hint="cs"/>
          <w:rtl/>
        </w:rPr>
        <w:t>בורע</w:t>
      </w:r>
      <w:proofErr w:type="spellEnd"/>
      <w:r w:rsidRPr="00DB7DF7">
        <w:rPr>
          <w:rFonts w:hint="cs"/>
          <w:rtl/>
        </w:rPr>
        <w:t xml:space="preserve"> העולם לבין היש הנברא. האחדות של ה' והאחדות המתגלה בתוך היש הנברא משקפות זו את זו, על אף שזו שבשורש היש הנה נעלה, שונה לחלוטין מזו המתגלה מתוך הריבוי והפירוד שביש.</w:t>
      </w:r>
      <w:r w:rsidRPr="00DB7DF7">
        <w:rPr>
          <w:vertAlign w:val="superscript"/>
          <w:rtl/>
        </w:rPr>
        <w:footnoteReference w:id="33"/>
      </w:r>
    </w:p>
    <w:p w:rsidR="000E0E97" w:rsidRPr="00DB7DF7" w:rsidRDefault="000E0E97" w:rsidP="000E0E97">
      <w:pPr>
        <w:numPr>
          <w:ilvl w:val="0"/>
          <w:numId w:val="1"/>
        </w:numPr>
        <w:tabs>
          <w:tab w:val="left" w:pos="1262"/>
        </w:tabs>
        <w:jc w:val="both"/>
      </w:pPr>
      <w:r w:rsidRPr="00DB7DF7">
        <w:rPr>
          <w:rFonts w:hint="cs"/>
          <w:rtl/>
        </w:rPr>
        <w:t xml:space="preserve">הריבוי שביש קובע שכל גוף מורכב מאיברים שונים </w:t>
      </w:r>
      <w:r w:rsidRPr="00DB7DF7">
        <w:rPr>
          <w:rtl/>
        </w:rPr>
        <w:t>–</w:t>
      </w:r>
      <w:r w:rsidRPr="00DB7DF7">
        <w:rPr>
          <w:rFonts w:hint="cs"/>
          <w:rtl/>
        </w:rPr>
        <w:t xml:space="preserve"> המציאות כולה ועם שלם הם שיקוף של גוף האדם. זהו מה שמאפשר פריון ביש הנברא, התחדשות, צמיחה והתהוות. בדרשה הראשונה אנו רואים תמונה המשרטטת את העמידה של כלל העם </w:t>
      </w:r>
      <w:r w:rsidRPr="00DB7DF7">
        <w:rPr>
          <w:rFonts w:hint="cs"/>
          <w:rtl/>
        </w:rPr>
        <w:lastRenderedPageBreak/>
        <w:t xml:space="preserve">כגוף אחד לפני ה' במקדש (במצוות "הקהל), לכל קבוצה בעם יש תפקיד אחר </w:t>
      </w:r>
      <w:r w:rsidRPr="00DB7DF7">
        <w:rPr>
          <w:rtl/>
        </w:rPr>
        <w:t>–</w:t>
      </w:r>
      <w:r w:rsidRPr="00DB7DF7">
        <w:rPr>
          <w:rFonts w:hint="cs"/>
          <w:rtl/>
        </w:rPr>
        <w:t xml:space="preserve"> אנשים, נשים וטף. </w:t>
      </w:r>
    </w:p>
    <w:p w:rsidR="000E0E97" w:rsidRPr="00DB7DF7" w:rsidRDefault="000E0E97" w:rsidP="000E0E97">
      <w:pPr>
        <w:numPr>
          <w:ilvl w:val="0"/>
          <w:numId w:val="1"/>
        </w:numPr>
        <w:tabs>
          <w:tab w:val="left" w:pos="1262"/>
        </w:tabs>
        <w:jc w:val="both"/>
      </w:pPr>
      <w:r w:rsidRPr="00DB7DF7">
        <w:rPr>
          <w:rFonts w:hint="cs"/>
          <w:rtl/>
        </w:rPr>
        <w:t xml:space="preserve">בדרשה השנייה יוצר </w:t>
      </w:r>
      <w:proofErr w:type="spellStart"/>
      <w:r w:rsidRPr="00DB7DF7">
        <w:rPr>
          <w:rFonts w:hint="cs"/>
          <w:rtl/>
        </w:rPr>
        <w:t>ראב"ע</w:t>
      </w:r>
      <w:proofErr w:type="spellEnd"/>
      <w:r w:rsidRPr="00DB7DF7">
        <w:rPr>
          <w:rFonts w:hint="cs"/>
          <w:rtl/>
        </w:rPr>
        <w:t xml:space="preserve"> הקבלה מפתיעה בין אמירת "</w:t>
      </w:r>
      <w:r w:rsidRPr="00DB7DF7">
        <w:rPr>
          <w:rtl/>
        </w:rPr>
        <w:t xml:space="preserve">שמע ישראל ה' </w:t>
      </w:r>
      <w:proofErr w:type="spellStart"/>
      <w:r w:rsidRPr="00DB7DF7">
        <w:rPr>
          <w:rtl/>
        </w:rPr>
        <w:t>אלהינו</w:t>
      </w:r>
      <w:proofErr w:type="spellEnd"/>
      <w:r w:rsidRPr="00DB7DF7">
        <w:rPr>
          <w:rtl/>
        </w:rPr>
        <w:t xml:space="preserve"> ה' אחד</w:t>
      </w:r>
      <w:r w:rsidRPr="00DB7DF7">
        <w:rPr>
          <w:rFonts w:hint="cs"/>
          <w:rtl/>
        </w:rPr>
        <w:t>" על ידי עם ישראל לבין אמירה דומה של ה', "</w:t>
      </w:r>
      <w:r w:rsidRPr="00DB7DF7">
        <w:rPr>
          <w:rtl/>
        </w:rPr>
        <w:t>ומי כעמך ישראל גוי אחד בארץ</w:t>
      </w:r>
      <w:r w:rsidRPr="00DB7DF7">
        <w:rPr>
          <w:rFonts w:hint="cs"/>
          <w:rtl/>
        </w:rPr>
        <w:t>". בשני המקרים מדובר במציאות שלא תמיד גלויה, מציאות של אחדות שפירוד היש מסתיר. רק ההכרזה והעדות, של האדם מחד, ושל הבורא מאידך, כמו מכוננת מציאות זו, חושפת את רז המציאות.</w:t>
      </w:r>
    </w:p>
    <w:p w:rsidR="000E0E97" w:rsidRPr="00DB7DF7" w:rsidRDefault="000E0E97" w:rsidP="000E0E97">
      <w:pPr>
        <w:numPr>
          <w:ilvl w:val="0"/>
          <w:numId w:val="1"/>
        </w:numPr>
        <w:tabs>
          <w:tab w:val="left" w:pos="1262"/>
        </w:tabs>
        <w:jc w:val="both"/>
      </w:pPr>
      <w:r w:rsidRPr="00DB7DF7">
        <w:rPr>
          <w:rFonts w:hint="cs"/>
          <w:rtl/>
        </w:rPr>
        <w:t>בדרשה השלישית שתי התמונות הראשונות מתחברות לכדי תמונת יסוד של גילוי אחדות ה' דרך גילוי "ראיית הפנים" הרבות והמגוונות של התורה. אחדות הבורא שבשורש התורה מתגלה בה רק דרך ההסתעפות שלה לכדי דעות ושיטות. על אף שהתורה ניתנה "</w:t>
      </w:r>
      <w:proofErr w:type="spellStart"/>
      <w:r w:rsidRPr="00DB7DF7">
        <w:rPr>
          <w:rFonts w:hint="cs"/>
          <w:rtl/>
        </w:rPr>
        <w:t>מא</w:t>
      </w:r>
      <w:proofErr w:type="spellEnd"/>
      <w:r w:rsidRPr="00DB7DF7">
        <w:rPr>
          <w:rFonts w:hint="cs"/>
          <w:rtl/>
        </w:rPr>
        <w:t>-ל אחד" ודרך "פרנס אחד", משה רבנו, אחדות זו מתגלה בעיקר בשיטות הנוגדות זו את זו. רק דרך ההפרטה של חכמת התורה בפריזמות השונות של נפשות אדם ניתנת להשיג את האחדות שבתשתית התורה.</w:t>
      </w:r>
    </w:p>
    <w:p w:rsidR="000E0E97" w:rsidRPr="00DB7DF7" w:rsidRDefault="000E0E97" w:rsidP="000E0E97">
      <w:pPr>
        <w:numPr>
          <w:ilvl w:val="0"/>
          <w:numId w:val="1"/>
        </w:numPr>
        <w:tabs>
          <w:tab w:val="left" w:pos="1262"/>
        </w:tabs>
        <w:jc w:val="both"/>
      </w:pPr>
      <w:r w:rsidRPr="00DB7DF7">
        <w:rPr>
          <w:rFonts w:hint="cs"/>
          <w:rtl/>
        </w:rPr>
        <w:t xml:space="preserve">התורה, מיניה וביה, מורכבת מחלקים, מאברים, כגוף האדם, ממה שנראה כניגודים וכסתירות, ימין שמאל ומעלה מטה. אך קיים גם דיאלקטיקה נוספת המכוננת את הקשר בין התורה לחיים. מחד, דברי תורה הם כתלם בשדה </w:t>
      </w:r>
      <w:r w:rsidRPr="00DB7DF7">
        <w:rPr>
          <w:rtl/>
        </w:rPr>
        <w:t>–</w:t>
      </w:r>
      <w:r w:rsidRPr="00DB7DF7">
        <w:rPr>
          <w:rFonts w:hint="cs"/>
          <w:rtl/>
        </w:rPr>
        <w:t xml:space="preserve"> ישרים, ללא עקמומיות וגיוון, ובגין סמכותם ואחדותם הם מעגנים את חיי האדם ובכך מקנים קיום. מאידך, דברי תורה הם כדרבן המיטלטל מצד לצד </w:t>
      </w:r>
      <w:r w:rsidRPr="00DB7DF7">
        <w:rPr>
          <w:rtl/>
        </w:rPr>
        <w:t>–</w:t>
      </w:r>
      <w:r w:rsidRPr="00DB7DF7">
        <w:rPr>
          <w:rFonts w:hint="cs"/>
          <w:rtl/>
        </w:rPr>
        <w:t xml:space="preserve"> משתנים ומתרחבים. מחד הם כמסמרות, מקובעים, "ללא חסר וללא יתר"; מאידך, הם כ"נטיעה", תמיד צומחים, תמיד פרים ורבים.</w:t>
      </w:r>
    </w:p>
    <w:p w:rsidR="000E0E97" w:rsidRPr="00DB7DF7" w:rsidRDefault="000E0E97" w:rsidP="000E0E97">
      <w:pPr>
        <w:numPr>
          <w:ilvl w:val="0"/>
          <w:numId w:val="1"/>
        </w:numPr>
        <w:tabs>
          <w:tab w:val="left" w:pos="1262"/>
        </w:tabs>
        <w:jc w:val="both"/>
      </w:pPr>
      <w:r w:rsidRPr="00DB7DF7">
        <w:rPr>
          <w:rFonts w:hint="cs"/>
          <w:rtl/>
        </w:rPr>
        <w:t xml:space="preserve">לבסוף שואל </w:t>
      </w:r>
      <w:proofErr w:type="spellStart"/>
      <w:r w:rsidRPr="00DB7DF7">
        <w:rPr>
          <w:rFonts w:hint="cs"/>
          <w:rtl/>
        </w:rPr>
        <w:t>ראב"ע</w:t>
      </w:r>
      <w:proofErr w:type="spellEnd"/>
      <w:r w:rsidRPr="00DB7DF7">
        <w:rPr>
          <w:rFonts w:hint="cs"/>
          <w:rtl/>
        </w:rPr>
        <w:t xml:space="preserve">: כיצד תמונת שורש זו של ירידת "האחדות" לתוך עולם של ריבוי ופירוד מחייבת את האדם </w:t>
      </w:r>
      <w:proofErr w:type="spellStart"/>
      <w:r w:rsidRPr="00DB7DF7">
        <w:rPr>
          <w:rFonts w:hint="cs"/>
          <w:rtl/>
        </w:rPr>
        <w:t>הלומד?אחדות</w:t>
      </w:r>
      <w:proofErr w:type="spellEnd"/>
      <w:r w:rsidRPr="00DB7DF7">
        <w:rPr>
          <w:rFonts w:hint="cs"/>
          <w:rtl/>
        </w:rPr>
        <w:t xml:space="preserve"> התורה מתגלה רק למי שיש לו לב (אחד) המסוגל להבין, כלומר לקלוט את החכמה הא-</w:t>
      </w:r>
      <w:proofErr w:type="spellStart"/>
      <w:r w:rsidRPr="00DB7DF7">
        <w:rPr>
          <w:rFonts w:hint="cs"/>
          <w:rtl/>
        </w:rPr>
        <w:t>לוהית</w:t>
      </w:r>
      <w:proofErr w:type="spellEnd"/>
      <w:r w:rsidRPr="00DB7DF7">
        <w:rPr>
          <w:rFonts w:hint="cs"/>
          <w:rtl/>
        </w:rPr>
        <w:t xml:space="preserve"> האחדותית המתגלה בסברות סותרות של מטמאים ומטהרים, אוסרים ומתירים, פוסלים ומכשירים. פני התורה נחשפים בהקשבה לריבוי, כבאדם עצמו, ביכולת הקליטה שבלב לסוד ראיית פניו הרבים של האחד, בורא כול. למפגש זה גם החיגר מסוגל "לעלות"; גם הסומא מסוגל "לראות פנים" </w:t>
      </w:r>
      <w:r w:rsidRPr="00DB7DF7">
        <w:rPr>
          <w:rtl/>
        </w:rPr>
        <w:t>–</w:t>
      </w:r>
      <w:r w:rsidRPr="00DB7DF7">
        <w:rPr>
          <w:rFonts w:hint="cs"/>
          <w:rtl/>
        </w:rPr>
        <w:t xml:space="preserve"> בבחינת "מעוות יוכל לתקון".</w:t>
      </w:r>
    </w:p>
    <w:p w:rsidR="000E0E97" w:rsidRPr="00DB7DF7" w:rsidRDefault="000E0E97" w:rsidP="000E0E97">
      <w:pPr>
        <w:numPr>
          <w:ilvl w:val="0"/>
          <w:numId w:val="1"/>
        </w:numPr>
        <w:tabs>
          <w:tab w:val="left" w:pos="1262"/>
        </w:tabs>
        <w:jc w:val="both"/>
        <w:rPr>
          <w:rtl/>
        </w:rPr>
      </w:pPr>
      <w:r w:rsidRPr="00DB7DF7">
        <w:rPr>
          <w:rFonts w:hint="cs"/>
          <w:rtl/>
        </w:rPr>
        <w:t xml:space="preserve">לסיכום </w:t>
      </w:r>
      <w:r>
        <w:rPr>
          <w:rtl/>
        </w:rPr>
        <w:t>–</w:t>
      </w:r>
      <w:r w:rsidRPr="00DB7DF7">
        <w:rPr>
          <w:rFonts w:hint="cs"/>
          <w:rtl/>
        </w:rPr>
        <w:t xml:space="preserve"> הריבוי הנו ברכה א-</w:t>
      </w:r>
      <w:proofErr w:type="spellStart"/>
      <w:r w:rsidRPr="00DB7DF7">
        <w:rPr>
          <w:rFonts w:hint="cs"/>
          <w:rtl/>
        </w:rPr>
        <w:t>לוהית</w:t>
      </w:r>
      <w:proofErr w:type="spellEnd"/>
      <w:r w:rsidRPr="00DB7DF7">
        <w:rPr>
          <w:rFonts w:hint="cs"/>
          <w:rtl/>
        </w:rPr>
        <w:t xml:space="preserve"> בנברא הרוחני כמו בנברא הגשמי. הריבוי המביא לפריון, לצמיחה ולהתהוות הנו מרכיב בסיסי בגילוי פני א-</w:t>
      </w:r>
      <w:proofErr w:type="spellStart"/>
      <w:r w:rsidRPr="00DB7DF7">
        <w:rPr>
          <w:rFonts w:hint="cs"/>
          <w:rtl/>
        </w:rPr>
        <w:t>לוהים</w:t>
      </w:r>
      <w:proofErr w:type="spellEnd"/>
      <w:r w:rsidRPr="00DB7DF7">
        <w:rPr>
          <w:rFonts w:hint="cs"/>
          <w:rtl/>
        </w:rPr>
        <w:t xml:space="preserve"> </w:t>
      </w:r>
      <w:proofErr w:type="spellStart"/>
      <w:r w:rsidRPr="00DB7DF7">
        <w:rPr>
          <w:rFonts w:hint="cs"/>
          <w:rtl/>
        </w:rPr>
        <w:t>הנתגלים</w:t>
      </w:r>
      <w:proofErr w:type="spellEnd"/>
      <w:r w:rsidRPr="00DB7DF7">
        <w:rPr>
          <w:rFonts w:hint="cs"/>
          <w:rtl/>
        </w:rPr>
        <w:t xml:space="preserve"> תורה עצמה.</w:t>
      </w:r>
    </w:p>
    <w:p w:rsidR="00BA060A" w:rsidRDefault="000E0E97" w:rsidP="000E0E97">
      <w:pPr>
        <w:tabs>
          <w:tab w:val="left" w:pos="1262"/>
        </w:tabs>
        <w:jc w:val="both"/>
      </w:pPr>
      <w:r w:rsidRPr="00DB7DF7">
        <w:rPr>
          <w:rFonts w:hint="cs"/>
          <w:rtl/>
        </w:rPr>
        <w:t>"אין דור יתום שרבי אלעזר בן עזריה שרוי בתוכו"</w:t>
      </w:r>
      <w:r w:rsidRPr="00DB7DF7">
        <w:rPr>
          <w:vertAlign w:val="superscript"/>
          <w:rtl/>
        </w:rPr>
        <w:footnoteReference w:id="34"/>
      </w:r>
      <w:r w:rsidRPr="00DB7DF7">
        <w:rPr>
          <w:rFonts w:hint="cs"/>
          <w:rtl/>
        </w:rPr>
        <w:t xml:space="preserve"> </w:t>
      </w:r>
      <w:r w:rsidRPr="00DB7DF7">
        <w:rPr>
          <w:rtl/>
        </w:rPr>
        <w:t>–</w:t>
      </w:r>
      <w:r w:rsidRPr="00DB7DF7">
        <w:rPr>
          <w:rFonts w:hint="cs"/>
          <w:rtl/>
        </w:rPr>
        <w:t xml:space="preserve"> אמירתו זו של רבי יהושע בן חנניה נכונה גם לדורנו.</w:t>
      </w:r>
    </w:p>
    <w:sectPr w:rsidR="00BA060A"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A04" w:rsidRDefault="00770A04" w:rsidP="000E0E97">
      <w:pPr>
        <w:spacing w:after="0" w:line="240" w:lineRule="auto"/>
      </w:pPr>
      <w:r>
        <w:separator/>
      </w:r>
    </w:p>
  </w:endnote>
  <w:endnote w:type="continuationSeparator" w:id="0">
    <w:p w:rsidR="00770A04" w:rsidRDefault="00770A04" w:rsidP="000E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A04" w:rsidRDefault="00770A04" w:rsidP="000E0E97">
      <w:pPr>
        <w:spacing w:after="0" w:line="240" w:lineRule="auto"/>
      </w:pPr>
      <w:r>
        <w:separator/>
      </w:r>
    </w:p>
  </w:footnote>
  <w:footnote w:type="continuationSeparator" w:id="0">
    <w:p w:rsidR="00770A04" w:rsidRDefault="00770A04" w:rsidP="000E0E97">
      <w:pPr>
        <w:spacing w:after="0" w:line="240" w:lineRule="auto"/>
      </w:pPr>
      <w:r>
        <w:continuationSeparator/>
      </w:r>
    </w:p>
  </w:footnote>
  <w:footnote w:id="1">
    <w:p w:rsidR="000E0E97" w:rsidRDefault="000E0E97" w:rsidP="000E0E97">
      <w:pPr>
        <w:pStyle w:val="a3"/>
        <w:spacing w:after="0"/>
        <w:jc w:val="both"/>
      </w:pPr>
      <w:r>
        <w:rPr>
          <w:rStyle w:val="a5"/>
        </w:rPr>
        <w:footnoteRef/>
      </w:r>
      <w:r>
        <w:rPr>
          <w:rtl/>
        </w:rPr>
        <w:t xml:space="preserve"> </w:t>
      </w:r>
      <w:r w:rsidRPr="00795D74">
        <w:rPr>
          <w:rtl/>
        </w:rPr>
        <w:t>שיר השירים ב</w:t>
      </w:r>
      <w:r w:rsidRPr="00795D74">
        <w:rPr>
          <w:rFonts w:hint="cs"/>
          <w:rtl/>
        </w:rPr>
        <w:t>, ט.</w:t>
      </w:r>
    </w:p>
  </w:footnote>
  <w:footnote w:id="2">
    <w:p w:rsidR="000E0E97" w:rsidRDefault="000E0E97" w:rsidP="000E0E97">
      <w:pPr>
        <w:pStyle w:val="a3"/>
        <w:spacing w:after="0"/>
        <w:jc w:val="both"/>
      </w:pPr>
      <w:r>
        <w:rPr>
          <w:rStyle w:val="a5"/>
        </w:rPr>
        <w:footnoteRef/>
      </w:r>
      <w:r>
        <w:rPr>
          <w:rtl/>
        </w:rPr>
        <w:t xml:space="preserve"> </w:t>
      </w:r>
      <w:r>
        <w:rPr>
          <w:rFonts w:hint="cs"/>
          <w:rtl/>
        </w:rPr>
        <w:t>משנה חגיגה, א, א (ב ע"א).</w:t>
      </w:r>
    </w:p>
  </w:footnote>
  <w:footnote w:id="3">
    <w:p w:rsidR="000E0E97" w:rsidRPr="00F8057F" w:rsidRDefault="000E0E97" w:rsidP="000E0E97">
      <w:pPr>
        <w:pStyle w:val="a3"/>
        <w:spacing w:after="0"/>
        <w:jc w:val="both"/>
      </w:pPr>
      <w:r w:rsidRPr="007532BA">
        <w:rPr>
          <w:rStyle w:val="a5"/>
          <w:b/>
          <w:bCs/>
        </w:rPr>
        <w:footnoteRef/>
      </w:r>
      <w:r w:rsidRPr="007532BA">
        <w:rPr>
          <w:b/>
          <w:bCs/>
          <w:rtl/>
        </w:rPr>
        <w:t xml:space="preserve"> </w:t>
      </w:r>
      <w:r w:rsidRPr="00F8057F">
        <w:rPr>
          <w:rFonts w:hint="cs"/>
          <w:rtl/>
        </w:rPr>
        <w:t>כך לדוגמה, מסכת יומא, שעוסקת רובה ככולה, למעט הפרק האחרון בעבודת הכוהן הגדול ביום כיפור, וכן מסכת שקלים העוסקת בהתנהלות התקציבית והטכנית של המקדש. מסכת פסחים עוסקת בחציה בהלכות הקרבת ואכילת קרבן פסח. מסכת סוכה דנה במצות ארבעת המינים ובמצות השמחה בחג שהתקיימו במקדש</w:t>
      </w:r>
      <w:r>
        <w:rPr>
          <w:rFonts w:hint="cs"/>
          <w:rtl/>
        </w:rPr>
        <w:t>.</w:t>
      </w:r>
      <w:r w:rsidRPr="00F8057F">
        <w:rPr>
          <w:rFonts w:hint="cs"/>
          <w:rtl/>
        </w:rPr>
        <w:t xml:space="preserve"> במסכת תענית מוזכרים אנשי משמר ובית אב, נקבעה חובת המעמדות, וכמובן מתואר</w:t>
      </w:r>
      <w:r>
        <w:rPr>
          <w:rFonts w:hint="cs"/>
          <w:rtl/>
        </w:rPr>
        <w:t>ים</w:t>
      </w:r>
      <w:r w:rsidRPr="00F8057F">
        <w:rPr>
          <w:rFonts w:hint="cs"/>
          <w:rtl/>
        </w:rPr>
        <w:t xml:space="preserve"> צומות החורבן</w:t>
      </w:r>
      <w:r>
        <w:rPr>
          <w:rFonts w:hint="cs"/>
          <w:rtl/>
        </w:rPr>
        <w:t>.</w:t>
      </w:r>
      <w:r w:rsidRPr="00F8057F">
        <w:rPr>
          <w:rFonts w:hint="cs"/>
          <w:rtl/>
        </w:rPr>
        <w:t xml:space="preserve"> מסכת מגילה בנויה על שימוש במוש</w:t>
      </w:r>
      <w:r>
        <w:rPr>
          <w:rFonts w:hint="cs"/>
          <w:rtl/>
        </w:rPr>
        <w:t xml:space="preserve">גי יסוד במקדש לכונן את מהות </w:t>
      </w:r>
      <w:proofErr w:type="spellStart"/>
      <w:r>
        <w:rPr>
          <w:rFonts w:hint="cs"/>
          <w:rtl/>
        </w:rPr>
        <w:t>המצ</w:t>
      </w:r>
      <w:r w:rsidRPr="00F8057F">
        <w:rPr>
          <w:rFonts w:hint="cs"/>
          <w:rtl/>
        </w:rPr>
        <w:t>וה</w:t>
      </w:r>
      <w:proofErr w:type="spellEnd"/>
      <w:r w:rsidRPr="00F8057F">
        <w:rPr>
          <w:rFonts w:hint="cs"/>
          <w:rtl/>
        </w:rPr>
        <w:t xml:space="preserve"> של קריאת המגילה ואת יסודות בית הכנסת. ענייני המשכן והמקדש מופיעים גם במשניות מסוימות במסכת שבת ועירובין. כך </w:t>
      </w:r>
      <w:r>
        <w:rPr>
          <w:rFonts w:hint="cs"/>
          <w:rtl/>
        </w:rPr>
        <w:t xml:space="preserve">יוצא, </w:t>
      </w:r>
      <w:r w:rsidRPr="00F8057F">
        <w:rPr>
          <w:rFonts w:hint="cs"/>
          <w:rtl/>
        </w:rPr>
        <w:t>שאין כמעט מסכת ללא אזכור של בית המקדש והעבודה בו.</w:t>
      </w:r>
    </w:p>
  </w:footnote>
  <w:footnote w:id="4">
    <w:p w:rsidR="000E0E97" w:rsidRDefault="000E0E97" w:rsidP="000E0E97">
      <w:pPr>
        <w:pStyle w:val="a3"/>
        <w:spacing w:after="0"/>
        <w:jc w:val="both"/>
        <w:rPr>
          <w:rtl/>
        </w:rPr>
      </w:pPr>
      <w:r w:rsidRPr="00F8057F">
        <w:rPr>
          <w:rStyle w:val="a5"/>
        </w:rPr>
        <w:footnoteRef/>
      </w:r>
      <w:r w:rsidRPr="00F8057F">
        <w:rPr>
          <w:rtl/>
        </w:rPr>
        <w:t xml:space="preserve"> </w:t>
      </w:r>
      <w:r w:rsidRPr="00F8057F">
        <w:rPr>
          <w:rFonts w:hint="cs"/>
          <w:rtl/>
        </w:rPr>
        <w:t xml:space="preserve">"אלו דברים שאין להם שיעור: הפאה, והביכורים, </w:t>
      </w:r>
      <w:proofErr w:type="spellStart"/>
      <w:r w:rsidRPr="00F8057F">
        <w:rPr>
          <w:rFonts w:hint="cs"/>
          <w:rtl/>
        </w:rPr>
        <w:t>והראיון</w:t>
      </w:r>
      <w:proofErr w:type="spellEnd"/>
      <w:r w:rsidRPr="00F8057F">
        <w:rPr>
          <w:rFonts w:hint="cs"/>
          <w:rtl/>
        </w:rPr>
        <w:t>, וגמילות חסדים ותלמוד תורה" (משנה פאה, א, א).</w:t>
      </w:r>
    </w:p>
  </w:footnote>
  <w:footnote w:id="5">
    <w:p w:rsidR="000E0E97" w:rsidRDefault="000E0E97" w:rsidP="000E0E97">
      <w:pPr>
        <w:pStyle w:val="a3"/>
        <w:spacing w:after="0"/>
        <w:jc w:val="both"/>
      </w:pPr>
      <w:r>
        <w:rPr>
          <w:rStyle w:val="a5"/>
        </w:rPr>
        <w:footnoteRef/>
      </w:r>
      <w:r>
        <w:rPr>
          <w:rtl/>
        </w:rPr>
        <w:t xml:space="preserve"> </w:t>
      </w:r>
      <w:r w:rsidRPr="00B26C9A">
        <w:rPr>
          <w:rFonts w:hint="cs"/>
          <w:rtl/>
        </w:rPr>
        <w:t xml:space="preserve">דברים </w:t>
      </w:r>
      <w:proofErr w:type="spellStart"/>
      <w:r w:rsidRPr="00B26C9A">
        <w:rPr>
          <w:rFonts w:hint="cs"/>
          <w:rtl/>
        </w:rPr>
        <w:t>טז</w:t>
      </w:r>
      <w:proofErr w:type="spellEnd"/>
      <w:r w:rsidRPr="00B26C9A">
        <w:rPr>
          <w:rFonts w:hint="cs"/>
          <w:rtl/>
        </w:rPr>
        <w:t xml:space="preserve">, </w:t>
      </w:r>
      <w:proofErr w:type="spellStart"/>
      <w:r w:rsidRPr="00B26C9A">
        <w:rPr>
          <w:rFonts w:hint="cs"/>
          <w:rtl/>
        </w:rPr>
        <w:t>טז</w:t>
      </w:r>
      <w:proofErr w:type="spellEnd"/>
      <w:r>
        <w:rPr>
          <w:rFonts w:hint="cs"/>
          <w:rtl/>
        </w:rPr>
        <w:t xml:space="preserve">. חציו הראשון של הפסוק מופיע בשינוי קל גם בשמות </w:t>
      </w:r>
      <w:proofErr w:type="spellStart"/>
      <w:r>
        <w:rPr>
          <w:rFonts w:hint="cs"/>
          <w:rtl/>
        </w:rPr>
        <w:t>כג</w:t>
      </w:r>
      <w:proofErr w:type="spellEnd"/>
      <w:r>
        <w:rPr>
          <w:rFonts w:hint="cs"/>
          <w:rtl/>
        </w:rPr>
        <w:t xml:space="preserve">, </w:t>
      </w:r>
      <w:proofErr w:type="spellStart"/>
      <w:r>
        <w:rPr>
          <w:rFonts w:hint="cs"/>
          <w:rtl/>
        </w:rPr>
        <w:t>יז</w:t>
      </w:r>
      <w:proofErr w:type="spellEnd"/>
      <w:r>
        <w:rPr>
          <w:rFonts w:hint="cs"/>
          <w:rtl/>
        </w:rPr>
        <w:t xml:space="preserve">; שם לד, </w:t>
      </w:r>
      <w:proofErr w:type="spellStart"/>
      <w:r>
        <w:rPr>
          <w:rFonts w:hint="cs"/>
          <w:rtl/>
        </w:rPr>
        <w:t>כג</w:t>
      </w:r>
      <w:proofErr w:type="spellEnd"/>
      <w:r>
        <w:rPr>
          <w:rFonts w:hint="cs"/>
          <w:rtl/>
        </w:rPr>
        <w:t>.</w:t>
      </w:r>
    </w:p>
  </w:footnote>
  <w:footnote w:id="6">
    <w:p w:rsidR="000E0E97" w:rsidRDefault="000E0E97" w:rsidP="000E0E97">
      <w:pPr>
        <w:pStyle w:val="a3"/>
        <w:spacing w:after="0"/>
        <w:jc w:val="both"/>
        <w:rPr>
          <w:rtl/>
        </w:rPr>
      </w:pPr>
      <w:r>
        <w:rPr>
          <w:rStyle w:val="a5"/>
        </w:rPr>
        <w:footnoteRef/>
      </w:r>
      <w:r>
        <w:rPr>
          <w:rtl/>
        </w:rPr>
        <w:t xml:space="preserve"> </w:t>
      </w:r>
      <w:r>
        <w:rPr>
          <w:rFonts w:hint="cs"/>
          <w:rtl/>
        </w:rPr>
        <w:t>חגיגה ז ע"א.</w:t>
      </w:r>
    </w:p>
  </w:footnote>
  <w:footnote w:id="7">
    <w:p w:rsidR="000E0E97" w:rsidRDefault="000E0E97" w:rsidP="000E0E97">
      <w:pPr>
        <w:pStyle w:val="a3"/>
        <w:spacing w:after="0"/>
        <w:jc w:val="both"/>
      </w:pPr>
      <w:r>
        <w:rPr>
          <w:rStyle w:val="a5"/>
        </w:rPr>
        <w:footnoteRef/>
      </w:r>
      <w:r>
        <w:rPr>
          <w:rtl/>
        </w:rPr>
        <w:t xml:space="preserve"> </w:t>
      </w:r>
      <w:r>
        <w:rPr>
          <w:rFonts w:hint="cs"/>
          <w:rtl/>
        </w:rPr>
        <w:t>כך מובא בברייתא במסכת ראש השנה על משנת "בארבעה פרקים העולם נידון" (ראש השנה, א, ב): "</w:t>
      </w:r>
      <w:r w:rsidRPr="00AE083D">
        <w:rPr>
          <w:rtl/>
        </w:rPr>
        <w:t>תניא, אמר רבי יהודה משום רבי עקיבא: מפני מה אמרה תורה הביאו עומר בפסח - מפני שהפסח זמן תבואה הוא. אמר הקדוש ברוך הוא: הביאו לפני עומר בפסח, כדי שתתברך לכם תבואה שבשדות. ומפני מה אמרה תורה הביאו שתי הלחם בעצרת - מפני שעצרת זמן פירות האילן הוא, אמר הקדוש ברוך הוא: הביאו לפני שתי הלחם בעצרת, כדי שיתברכו לכם פירות האילן. ומפני מה אמרה תורה נסכו מים בחג - אמר הקדוש ברוך הוא: נסכו לפני מים</w:t>
      </w:r>
      <w:r>
        <w:rPr>
          <w:rtl/>
        </w:rPr>
        <w:t xml:space="preserve"> בחג, כדי שיתברכו לכם גשמי שנה</w:t>
      </w:r>
      <w:r>
        <w:rPr>
          <w:rFonts w:hint="cs"/>
          <w:rtl/>
        </w:rPr>
        <w:t>..." (</w:t>
      </w:r>
      <w:r w:rsidRPr="00AE083D">
        <w:rPr>
          <w:rtl/>
        </w:rPr>
        <w:t xml:space="preserve">ראש השנה </w:t>
      </w:r>
      <w:proofErr w:type="spellStart"/>
      <w:r w:rsidRPr="00AE083D">
        <w:rPr>
          <w:rtl/>
        </w:rPr>
        <w:t>טז</w:t>
      </w:r>
      <w:proofErr w:type="spellEnd"/>
      <w:r w:rsidRPr="00AE083D">
        <w:rPr>
          <w:rtl/>
        </w:rPr>
        <w:t xml:space="preserve"> </w:t>
      </w:r>
      <w:r w:rsidRPr="00AE083D">
        <w:rPr>
          <w:rFonts w:hint="cs"/>
          <w:rtl/>
        </w:rPr>
        <w:t>ע"</w:t>
      </w:r>
      <w:r>
        <w:rPr>
          <w:rtl/>
        </w:rPr>
        <w:t>א</w:t>
      </w:r>
      <w:r>
        <w:rPr>
          <w:rFonts w:hint="cs"/>
          <w:rtl/>
        </w:rPr>
        <w:t>).</w:t>
      </w:r>
    </w:p>
  </w:footnote>
  <w:footnote w:id="8">
    <w:p w:rsidR="000E0E97" w:rsidRDefault="000E0E97" w:rsidP="000E0E97">
      <w:pPr>
        <w:pStyle w:val="a3"/>
        <w:spacing w:after="0"/>
        <w:jc w:val="both"/>
      </w:pPr>
      <w:r>
        <w:rPr>
          <w:rStyle w:val="a5"/>
        </w:rPr>
        <w:footnoteRef/>
      </w:r>
      <w:r>
        <w:rPr>
          <w:rtl/>
        </w:rPr>
        <w:t xml:space="preserve"> </w:t>
      </w:r>
      <w:r>
        <w:rPr>
          <w:rFonts w:hint="cs"/>
          <w:rtl/>
        </w:rPr>
        <w:t>שם ב ע"א.</w:t>
      </w:r>
    </w:p>
  </w:footnote>
  <w:footnote w:id="9">
    <w:p w:rsidR="000E0E97" w:rsidRDefault="000E0E97" w:rsidP="000E0E97">
      <w:pPr>
        <w:pStyle w:val="a3"/>
        <w:spacing w:after="0"/>
        <w:jc w:val="both"/>
      </w:pPr>
      <w:r>
        <w:rPr>
          <w:rStyle w:val="a5"/>
        </w:rPr>
        <w:footnoteRef/>
      </w:r>
      <w:r>
        <w:rPr>
          <w:rtl/>
        </w:rPr>
        <w:t xml:space="preserve"> </w:t>
      </w:r>
      <w:r w:rsidRPr="00444989">
        <w:rPr>
          <w:rtl/>
        </w:rPr>
        <w:t>שמות לג</w:t>
      </w:r>
      <w:r w:rsidRPr="00444989">
        <w:rPr>
          <w:rFonts w:hint="cs"/>
          <w:rtl/>
        </w:rPr>
        <w:t>, כ.</w:t>
      </w:r>
    </w:p>
  </w:footnote>
  <w:footnote w:id="10">
    <w:p w:rsidR="000E0E97" w:rsidRDefault="000E0E97" w:rsidP="000E0E97">
      <w:pPr>
        <w:pStyle w:val="a3"/>
        <w:spacing w:after="0"/>
        <w:jc w:val="both"/>
        <w:rPr>
          <w:rtl/>
        </w:rPr>
      </w:pPr>
      <w:r>
        <w:rPr>
          <w:rStyle w:val="a5"/>
        </w:rPr>
        <w:footnoteRef/>
      </w:r>
      <w:r>
        <w:rPr>
          <w:rtl/>
        </w:rPr>
        <w:t xml:space="preserve"> </w:t>
      </w:r>
      <w:r>
        <w:rPr>
          <w:rFonts w:hint="cs"/>
          <w:rtl/>
        </w:rPr>
        <w:t xml:space="preserve">שם, </w:t>
      </w:r>
      <w:proofErr w:type="spellStart"/>
      <w:r>
        <w:rPr>
          <w:rFonts w:hint="cs"/>
          <w:rtl/>
        </w:rPr>
        <w:t>כג</w:t>
      </w:r>
      <w:proofErr w:type="spellEnd"/>
      <w:r>
        <w:rPr>
          <w:rFonts w:hint="cs"/>
          <w:rtl/>
        </w:rPr>
        <w:t>.</w:t>
      </w:r>
    </w:p>
  </w:footnote>
  <w:footnote w:id="11">
    <w:p w:rsidR="000E0E97" w:rsidRDefault="000E0E97" w:rsidP="000E0E97">
      <w:pPr>
        <w:pStyle w:val="a3"/>
        <w:spacing w:after="0"/>
        <w:jc w:val="both"/>
        <w:rPr>
          <w:rtl/>
        </w:rPr>
      </w:pPr>
      <w:r>
        <w:rPr>
          <w:rStyle w:val="a5"/>
        </w:rPr>
        <w:footnoteRef/>
      </w:r>
      <w:r>
        <w:rPr>
          <w:rtl/>
        </w:rPr>
        <w:t xml:space="preserve"> </w:t>
      </w:r>
      <w:r w:rsidRPr="00DB02E7">
        <w:rPr>
          <w:rFonts w:hint="cs"/>
          <w:rtl/>
        </w:rPr>
        <w:t xml:space="preserve">שם לד, </w:t>
      </w:r>
      <w:proofErr w:type="spellStart"/>
      <w:r w:rsidRPr="00DB02E7">
        <w:rPr>
          <w:rFonts w:hint="cs"/>
          <w:rtl/>
        </w:rPr>
        <w:t>כג</w:t>
      </w:r>
      <w:proofErr w:type="spellEnd"/>
      <w:r>
        <w:rPr>
          <w:rFonts w:hint="cs"/>
          <w:rtl/>
        </w:rPr>
        <w:t>.</w:t>
      </w:r>
    </w:p>
  </w:footnote>
  <w:footnote w:id="12">
    <w:p w:rsidR="000E0E97" w:rsidRDefault="000E0E97" w:rsidP="000E0E97">
      <w:pPr>
        <w:pStyle w:val="a3"/>
        <w:spacing w:after="0"/>
        <w:jc w:val="both"/>
      </w:pPr>
      <w:r>
        <w:rPr>
          <w:rStyle w:val="a5"/>
        </w:rPr>
        <w:footnoteRef/>
      </w:r>
      <w:r>
        <w:rPr>
          <w:rtl/>
        </w:rPr>
        <w:t xml:space="preserve"> </w:t>
      </w:r>
      <w:r>
        <w:rPr>
          <w:rFonts w:hint="cs"/>
          <w:rtl/>
        </w:rPr>
        <w:t>משנה שם.</w:t>
      </w:r>
    </w:p>
  </w:footnote>
  <w:footnote w:id="13">
    <w:p w:rsidR="000E0E97" w:rsidRDefault="000E0E97" w:rsidP="000E0E97">
      <w:pPr>
        <w:pStyle w:val="a3"/>
        <w:spacing w:after="0"/>
        <w:jc w:val="both"/>
        <w:rPr>
          <w:rtl/>
        </w:rPr>
      </w:pPr>
      <w:r>
        <w:rPr>
          <w:rStyle w:val="a5"/>
        </w:rPr>
        <w:footnoteRef/>
      </w:r>
      <w:r>
        <w:rPr>
          <w:rtl/>
        </w:rPr>
        <w:t xml:space="preserve"> </w:t>
      </w:r>
      <w:r>
        <w:rPr>
          <w:rFonts w:hint="cs"/>
          <w:rtl/>
        </w:rPr>
        <w:t>שמות לג, יא; דברים לד, י.</w:t>
      </w:r>
    </w:p>
  </w:footnote>
  <w:footnote w:id="14">
    <w:p w:rsidR="000E0E97" w:rsidRDefault="000E0E97" w:rsidP="000E0E97">
      <w:pPr>
        <w:pStyle w:val="a3"/>
        <w:spacing w:after="0"/>
        <w:jc w:val="both"/>
        <w:rPr>
          <w:rtl/>
        </w:rPr>
      </w:pPr>
      <w:r>
        <w:rPr>
          <w:rStyle w:val="a5"/>
        </w:rPr>
        <w:footnoteRef/>
      </w:r>
      <w:r>
        <w:rPr>
          <w:rtl/>
        </w:rPr>
        <w:t xml:space="preserve"> </w:t>
      </w:r>
      <w:r>
        <w:rPr>
          <w:rFonts w:hint="cs"/>
          <w:rtl/>
        </w:rPr>
        <w:t>משנה שם.</w:t>
      </w:r>
    </w:p>
  </w:footnote>
  <w:footnote w:id="15">
    <w:p w:rsidR="000E0E97" w:rsidRDefault="000E0E97" w:rsidP="000E0E97">
      <w:pPr>
        <w:pStyle w:val="a3"/>
        <w:spacing w:after="0"/>
        <w:jc w:val="both"/>
      </w:pPr>
      <w:r>
        <w:rPr>
          <w:rStyle w:val="a5"/>
        </w:rPr>
        <w:footnoteRef/>
      </w:r>
      <w:r>
        <w:rPr>
          <w:rtl/>
        </w:rPr>
        <w:t xml:space="preserve"> </w:t>
      </w:r>
      <w:r w:rsidRPr="00D06317">
        <w:rPr>
          <w:rFonts w:hint="cs"/>
          <w:rtl/>
        </w:rPr>
        <w:t xml:space="preserve">בראשית </w:t>
      </w:r>
      <w:proofErr w:type="spellStart"/>
      <w:r w:rsidRPr="00D06317">
        <w:rPr>
          <w:rFonts w:hint="cs"/>
          <w:rtl/>
        </w:rPr>
        <w:t>כב</w:t>
      </w:r>
      <w:proofErr w:type="spellEnd"/>
      <w:r w:rsidRPr="00D06317">
        <w:rPr>
          <w:rFonts w:hint="cs"/>
          <w:rtl/>
        </w:rPr>
        <w:t>, ג-ד</w:t>
      </w:r>
      <w:r>
        <w:rPr>
          <w:rFonts w:hint="cs"/>
          <w:rtl/>
        </w:rPr>
        <w:t>.</w:t>
      </w:r>
    </w:p>
  </w:footnote>
  <w:footnote w:id="16">
    <w:p w:rsidR="000E0E97" w:rsidRDefault="000E0E97" w:rsidP="000E0E97">
      <w:pPr>
        <w:pStyle w:val="a3"/>
        <w:spacing w:after="0"/>
        <w:jc w:val="both"/>
        <w:rPr>
          <w:rtl/>
        </w:rPr>
      </w:pPr>
      <w:r>
        <w:rPr>
          <w:rStyle w:val="a5"/>
        </w:rPr>
        <w:footnoteRef/>
      </w:r>
      <w:r>
        <w:rPr>
          <w:rtl/>
        </w:rPr>
        <w:t xml:space="preserve"> </w:t>
      </w:r>
      <w:r>
        <w:rPr>
          <w:rFonts w:hint="cs"/>
          <w:rtl/>
        </w:rPr>
        <w:t>שם, ז.</w:t>
      </w:r>
    </w:p>
  </w:footnote>
  <w:footnote w:id="17">
    <w:p w:rsidR="000E0E97" w:rsidRDefault="000E0E97" w:rsidP="000E0E97">
      <w:pPr>
        <w:pStyle w:val="a3"/>
        <w:spacing w:after="0"/>
        <w:jc w:val="both"/>
      </w:pPr>
      <w:r>
        <w:rPr>
          <w:rStyle w:val="a5"/>
        </w:rPr>
        <w:footnoteRef/>
      </w:r>
      <w:r>
        <w:rPr>
          <w:rtl/>
        </w:rPr>
        <w:t xml:space="preserve"> </w:t>
      </w:r>
      <w:r>
        <w:rPr>
          <w:rFonts w:hint="cs"/>
          <w:rtl/>
        </w:rPr>
        <w:t>שם, ח.</w:t>
      </w:r>
    </w:p>
  </w:footnote>
  <w:footnote w:id="18">
    <w:p w:rsidR="000E0E97" w:rsidRDefault="000E0E97" w:rsidP="000E0E97">
      <w:pPr>
        <w:pStyle w:val="a3"/>
        <w:spacing w:after="0"/>
        <w:jc w:val="both"/>
        <w:rPr>
          <w:rtl/>
        </w:rPr>
      </w:pPr>
      <w:r>
        <w:rPr>
          <w:rStyle w:val="a5"/>
        </w:rPr>
        <w:footnoteRef/>
      </w:r>
      <w:r>
        <w:rPr>
          <w:rtl/>
        </w:rPr>
        <w:t xml:space="preserve"> </w:t>
      </w:r>
      <w:r>
        <w:rPr>
          <w:rFonts w:hint="cs"/>
          <w:rtl/>
        </w:rPr>
        <w:t>שם, יד.</w:t>
      </w:r>
    </w:p>
  </w:footnote>
  <w:footnote w:id="19">
    <w:p w:rsidR="000E0E97" w:rsidRDefault="000E0E97" w:rsidP="000E0E97">
      <w:pPr>
        <w:pStyle w:val="a6"/>
        <w:spacing w:after="0"/>
        <w:jc w:val="both"/>
        <w:rPr>
          <w:rtl/>
        </w:rPr>
      </w:pPr>
      <w:r>
        <w:rPr>
          <w:rStyle w:val="a5"/>
        </w:rPr>
        <w:footnoteRef/>
      </w:r>
      <w:r>
        <w:rPr>
          <w:rtl/>
        </w:rPr>
        <w:t xml:space="preserve"> </w:t>
      </w:r>
      <w:r>
        <w:rPr>
          <w:rFonts w:hint="cs"/>
          <w:rtl/>
        </w:rPr>
        <w:t xml:space="preserve">המשנה משתמשת בדימויים הלקוחים מאיברי הגוף לסמן ולסמל עניינים </w:t>
      </w:r>
      <w:proofErr w:type="spellStart"/>
      <w:r>
        <w:rPr>
          <w:rFonts w:hint="cs"/>
          <w:rtl/>
        </w:rPr>
        <w:t>רזיים</w:t>
      </w:r>
      <w:proofErr w:type="spellEnd"/>
      <w:r>
        <w:rPr>
          <w:rFonts w:hint="cs"/>
          <w:rtl/>
        </w:rPr>
        <w:t xml:space="preserve"> גם בפרק ב במסכת סוכה. ראו את המאמר, </w:t>
      </w:r>
      <w:r w:rsidRPr="001D1784">
        <w:rPr>
          <w:rFonts w:hint="cs"/>
          <w:rtl/>
        </w:rPr>
        <w:t xml:space="preserve">"ובעצמות וגידים </w:t>
      </w:r>
      <w:proofErr w:type="spellStart"/>
      <w:r w:rsidRPr="001D1784">
        <w:rPr>
          <w:rFonts w:hint="cs"/>
          <w:rtl/>
        </w:rPr>
        <w:t>תסוככני</w:t>
      </w:r>
      <w:proofErr w:type="spellEnd"/>
      <w:r w:rsidRPr="001D1784">
        <w:rPr>
          <w:rFonts w:hint="cs"/>
          <w:rtl/>
        </w:rPr>
        <w:t>"</w:t>
      </w:r>
      <w:r>
        <w:rPr>
          <w:rFonts w:hint="cs"/>
          <w:rtl/>
        </w:rPr>
        <w:t>.</w:t>
      </w:r>
    </w:p>
  </w:footnote>
  <w:footnote w:id="20">
    <w:p w:rsidR="000E0E97" w:rsidRDefault="000E0E97" w:rsidP="000E0E97">
      <w:pPr>
        <w:pStyle w:val="a3"/>
        <w:spacing w:after="0"/>
        <w:jc w:val="both"/>
      </w:pPr>
      <w:r>
        <w:rPr>
          <w:rStyle w:val="a5"/>
        </w:rPr>
        <w:footnoteRef/>
      </w:r>
      <w:r>
        <w:rPr>
          <w:rtl/>
        </w:rPr>
        <w:t xml:space="preserve"> </w:t>
      </w:r>
      <w:r>
        <w:rPr>
          <w:rFonts w:hint="cs"/>
          <w:rtl/>
        </w:rPr>
        <w:t>קהלת א, טו.</w:t>
      </w:r>
    </w:p>
  </w:footnote>
  <w:footnote w:id="21">
    <w:p w:rsidR="000E0E97" w:rsidRDefault="000E0E97" w:rsidP="000E0E97">
      <w:pPr>
        <w:pStyle w:val="a3"/>
        <w:spacing w:after="0"/>
        <w:jc w:val="both"/>
      </w:pPr>
      <w:r>
        <w:rPr>
          <w:rStyle w:val="a5"/>
        </w:rPr>
        <w:footnoteRef/>
      </w:r>
      <w:r>
        <w:rPr>
          <w:rtl/>
        </w:rPr>
        <w:t xml:space="preserve"> </w:t>
      </w:r>
      <w:r>
        <w:rPr>
          <w:rFonts w:hint="cs"/>
          <w:rtl/>
        </w:rPr>
        <w:t>משנה שם, ז (ח ע"ב).</w:t>
      </w:r>
    </w:p>
  </w:footnote>
  <w:footnote w:id="22">
    <w:p w:rsidR="000E0E97" w:rsidRDefault="000E0E97" w:rsidP="000E0E97">
      <w:pPr>
        <w:pStyle w:val="a3"/>
        <w:spacing w:after="0"/>
        <w:jc w:val="both"/>
        <w:rPr>
          <w:rtl/>
        </w:rPr>
      </w:pPr>
      <w:r>
        <w:rPr>
          <w:rStyle w:val="a5"/>
        </w:rPr>
        <w:footnoteRef/>
      </w:r>
      <w:r>
        <w:rPr>
          <w:rtl/>
        </w:rPr>
        <w:t xml:space="preserve"> </w:t>
      </w:r>
      <w:r>
        <w:rPr>
          <w:rFonts w:hint="cs"/>
          <w:rtl/>
        </w:rPr>
        <w:t>שם, א (ב ע"א).</w:t>
      </w:r>
    </w:p>
  </w:footnote>
  <w:footnote w:id="23">
    <w:p w:rsidR="000E0E97" w:rsidRDefault="000E0E97" w:rsidP="000E0E97">
      <w:pPr>
        <w:pStyle w:val="a3"/>
        <w:spacing w:after="0"/>
        <w:jc w:val="both"/>
      </w:pPr>
      <w:r>
        <w:rPr>
          <w:rStyle w:val="a5"/>
        </w:rPr>
        <w:footnoteRef/>
      </w:r>
      <w:r>
        <w:rPr>
          <w:rtl/>
        </w:rPr>
        <w:t xml:space="preserve"> </w:t>
      </w:r>
      <w:r>
        <w:rPr>
          <w:rFonts w:hint="cs"/>
          <w:rtl/>
        </w:rPr>
        <w:t>שם, ב, א (</w:t>
      </w:r>
      <w:r w:rsidRPr="009B4FAC">
        <w:rPr>
          <w:rFonts w:hint="cs"/>
          <w:rtl/>
        </w:rPr>
        <w:t>יא</w:t>
      </w:r>
      <w:r>
        <w:rPr>
          <w:rFonts w:hint="cs"/>
          <w:rtl/>
        </w:rPr>
        <w:t xml:space="preserve"> ע"ב).</w:t>
      </w:r>
    </w:p>
  </w:footnote>
  <w:footnote w:id="24">
    <w:p w:rsidR="000E0E97" w:rsidRDefault="000E0E97" w:rsidP="000E0E97">
      <w:pPr>
        <w:pStyle w:val="a3"/>
        <w:spacing w:after="0"/>
        <w:jc w:val="both"/>
      </w:pPr>
      <w:r>
        <w:rPr>
          <w:rStyle w:val="a5"/>
        </w:rPr>
        <w:footnoteRef/>
      </w:r>
      <w:r>
        <w:rPr>
          <w:rtl/>
        </w:rPr>
        <w:t xml:space="preserve"> </w:t>
      </w:r>
      <w:r>
        <w:rPr>
          <w:rFonts w:hint="cs"/>
          <w:rtl/>
        </w:rPr>
        <w:t>שם, א, ח (י ע"א).</w:t>
      </w:r>
    </w:p>
  </w:footnote>
  <w:footnote w:id="25">
    <w:p w:rsidR="000E0E97" w:rsidRDefault="000E0E97" w:rsidP="000E0E97">
      <w:pPr>
        <w:pStyle w:val="a3"/>
        <w:spacing w:after="0"/>
        <w:jc w:val="both"/>
        <w:rPr>
          <w:rtl/>
        </w:rPr>
      </w:pPr>
      <w:r>
        <w:rPr>
          <w:rStyle w:val="a5"/>
        </w:rPr>
        <w:footnoteRef/>
      </w:r>
      <w:r>
        <w:rPr>
          <w:rtl/>
        </w:rPr>
        <w:t xml:space="preserve"> </w:t>
      </w:r>
      <w:r>
        <w:rPr>
          <w:rFonts w:hint="cs"/>
          <w:rtl/>
        </w:rPr>
        <w:t>"</w:t>
      </w:r>
      <w:proofErr w:type="spellStart"/>
      <w:r>
        <w:rPr>
          <w:rtl/>
        </w:rPr>
        <w:t>מתני</w:t>
      </w:r>
      <w:r>
        <w:rPr>
          <w:rFonts w:hint="cs"/>
          <w:rtl/>
        </w:rPr>
        <w:t>תין</w:t>
      </w:r>
      <w:proofErr w:type="spellEnd"/>
      <w:r>
        <w:rPr>
          <w:rtl/>
        </w:rPr>
        <w:t xml:space="preserve"> בראיית קרבן</w:t>
      </w:r>
      <w:r>
        <w:rPr>
          <w:rFonts w:hint="cs"/>
          <w:rtl/>
        </w:rPr>
        <w:t>,</w:t>
      </w:r>
      <w:r>
        <w:rPr>
          <w:rtl/>
        </w:rPr>
        <w:t xml:space="preserve"> אבל בראיית פנים אפי</w:t>
      </w:r>
      <w:r>
        <w:rPr>
          <w:rFonts w:hint="cs"/>
          <w:rtl/>
        </w:rPr>
        <w:t>לו</w:t>
      </w:r>
      <w:r>
        <w:rPr>
          <w:rtl/>
        </w:rPr>
        <w:t xml:space="preserve"> קטן חייב</w:t>
      </w:r>
      <w:r>
        <w:rPr>
          <w:rFonts w:hint="cs"/>
          <w:rtl/>
        </w:rPr>
        <w:t>,</w:t>
      </w:r>
      <w:r>
        <w:rPr>
          <w:rtl/>
        </w:rPr>
        <w:t xml:space="preserve"> מן </w:t>
      </w:r>
      <w:proofErr w:type="spellStart"/>
      <w:r>
        <w:rPr>
          <w:rtl/>
        </w:rPr>
        <w:t>הדא</w:t>
      </w:r>
      <w:proofErr w:type="spellEnd"/>
      <w:r>
        <w:rPr>
          <w:rFonts w:hint="cs"/>
          <w:rtl/>
        </w:rPr>
        <w:t>: "</w:t>
      </w:r>
      <w:r>
        <w:rPr>
          <w:rtl/>
        </w:rPr>
        <w:t>הקהל את העם האנשים והנשים והטף</w:t>
      </w:r>
      <w:r>
        <w:rPr>
          <w:rFonts w:hint="cs"/>
          <w:rtl/>
        </w:rPr>
        <w:t xml:space="preserve">" </w:t>
      </w:r>
      <w:r w:rsidRPr="00A46E00">
        <w:rPr>
          <w:rtl/>
        </w:rPr>
        <w:t>(</w:t>
      </w:r>
      <w:r w:rsidRPr="00A46E00">
        <w:rPr>
          <w:rFonts w:hint="cs"/>
          <w:rtl/>
        </w:rPr>
        <w:t xml:space="preserve">דברים לא, </w:t>
      </w:r>
      <w:proofErr w:type="spellStart"/>
      <w:r w:rsidRPr="00A46E00">
        <w:rPr>
          <w:rFonts w:hint="cs"/>
          <w:rtl/>
        </w:rPr>
        <w:t>יב</w:t>
      </w:r>
      <w:proofErr w:type="spellEnd"/>
      <w:r w:rsidRPr="00A46E00">
        <w:rPr>
          <w:rtl/>
        </w:rPr>
        <w:t>)</w:t>
      </w:r>
      <w:r>
        <w:rPr>
          <w:rFonts w:hint="cs"/>
          <w:rtl/>
        </w:rPr>
        <w:t>,</w:t>
      </w:r>
      <w:r>
        <w:rPr>
          <w:rtl/>
        </w:rPr>
        <w:t xml:space="preserve"> ואין קטן גדול מטף</w:t>
      </w:r>
      <w:r>
        <w:rPr>
          <w:rFonts w:hint="cs"/>
          <w:rtl/>
        </w:rPr>
        <w:t>"</w:t>
      </w:r>
      <w:r>
        <w:rPr>
          <w:rtl/>
        </w:rPr>
        <w:t xml:space="preserve"> </w:t>
      </w:r>
      <w:r>
        <w:rPr>
          <w:rFonts w:hint="cs"/>
          <w:rtl/>
        </w:rPr>
        <w:t>(ירושלמי חגיגה, פ"א ה"א).</w:t>
      </w:r>
    </w:p>
  </w:footnote>
  <w:footnote w:id="26">
    <w:p w:rsidR="000E0E97" w:rsidRDefault="000E0E97" w:rsidP="000E0E97">
      <w:pPr>
        <w:pStyle w:val="a3"/>
        <w:spacing w:after="0"/>
        <w:jc w:val="both"/>
      </w:pPr>
      <w:r>
        <w:rPr>
          <w:rStyle w:val="a5"/>
        </w:rPr>
        <w:footnoteRef/>
      </w:r>
      <w:r>
        <w:rPr>
          <w:rtl/>
        </w:rPr>
        <w:t xml:space="preserve"> </w:t>
      </w:r>
      <w:r>
        <w:rPr>
          <w:rFonts w:hint="cs"/>
          <w:rtl/>
        </w:rPr>
        <w:t>חגיגה ז ע"א.</w:t>
      </w:r>
    </w:p>
  </w:footnote>
  <w:footnote w:id="27">
    <w:p w:rsidR="000E0E97" w:rsidRDefault="000E0E97" w:rsidP="000E0E97">
      <w:pPr>
        <w:pStyle w:val="a3"/>
        <w:spacing w:after="0"/>
        <w:jc w:val="both"/>
      </w:pPr>
      <w:r>
        <w:rPr>
          <w:rStyle w:val="a5"/>
        </w:rPr>
        <w:footnoteRef/>
      </w:r>
      <w:r>
        <w:rPr>
          <w:rtl/>
        </w:rPr>
        <w:t xml:space="preserve"> </w:t>
      </w:r>
      <w:r>
        <w:rPr>
          <w:rFonts w:hint="cs"/>
          <w:rtl/>
        </w:rPr>
        <w:t xml:space="preserve">הגמרא בדף ב ע"א טענה ששיטת רבי יהודה היא "דלא </w:t>
      </w:r>
      <w:proofErr w:type="spellStart"/>
      <w:r>
        <w:rPr>
          <w:rFonts w:hint="cs"/>
          <w:rtl/>
        </w:rPr>
        <w:t>כמתניתין</w:t>
      </w:r>
      <w:proofErr w:type="spellEnd"/>
      <w:r>
        <w:rPr>
          <w:rFonts w:hint="cs"/>
          <w:rtl/>
        </w:rPr>
        <w:t>".</w:t>
      </w:r>
    </w:p>
  </w:footnote>
  <w:footnote w:id="28">
    <w:p w:rsidR="000E0E97" w:rsidRDefault="000E0E97" w:rsidP="000E0E97">
      <w:pPr>
        <w:pStyle w:val="a3"/>
        <w:spacing w:after="0"/>
        <w:jc w:val="both"/>
        <w:rPr>
          <w:rtl/>
        </w:rPr>
      </w:pPr>
      <w:r>
        <w:rPr>
          <w:rStyle w:val="a5"/>
        </w:rPr>
        <w:footnoteRef/>
      </w:r>
      <w:r>
        <w:rPr>
          <w:rtl/>
        </w:rPr>
        <w:t xml:space="preserve"> </w:t>
      </w:r>
      <w:r>
        <w:rPr>
          <w:rFonts w:hint="cs"/>
          <w:rtl/>
        </w:rPr>
        <w:t>משנה שם.</w:t>
      </w:r>
    </w:p>
  </w:footnote>
  <w:footnote w:id="29">
    <w:p w:rsidR="000E0E97" w:rsidRDefault="000E0E97" w:rsidP="000E0E97">
      <w:pPr>
        <w:pStyle w:val="a3"/>
        <w:spacing w:after="0"/>
        <w:jc w:val="both"/>
        <w:rPr>
          <w:rtl/>
        </w:rPr>
      </w:pPr>
      <w:r>
        <w:rPr>
          <w:rStyle w:val="a5"/>
        </w:rPr>
        <w:footnoteRef/>
      </w:r>
      <w:r>
        <w:rPr>
          <w:rtl/>
        </w:rPr>
        <w:t xml:space="preserve"> </w:t>
      </w:r>
      <w:r>
        <w:rPr>
          <w:rFonts w:hint="cs"/>
          <w:rtl/>
        </w:rPr>
        <w:t xml:space="preserve">חגיגה ג ע"ב. יש לציין, שאופי סיפור זה בבבלי שונה לחלוטין מאופיו במשנה </w:t>
      </w:r>
      <w:proofErr w:type="spellStart"/>
      <w:r>
        <w:rPr>
          <w:rFonts w:hint="cs"/>
          <w:rtl/>
        </w:rPr>
        <w:t>ובתוספתא</w:t>
      </w:r>
      <w:proofErr w:type="spellEnd"/>
      <w:r>
        <w:rPr>
          <w:rFonts w:hint="cs"/>
          <w:rtl/>
        </w:rPr>
        <w:t xml:space="preserve"> במסכת </w:t>
      </w:r>
      <w:proofErr w:type="spellStart"/>
      <w:r>
        <w:rPr>
          <w:rFonts w:hint="cs"/>
          <w:rtl/>
        </w:rPr>
        <w:t>ידים</w:t>
      </w:r>
      <w:proofErr w:type="spellEnd"/>
      <w:r>
        <w:rPr>
          <w:rFonts w:hint="cs"/>
          <w:rtl/>
        </w:rPr>
        <w:t xml:space="preserve"> (משנה, ד, ג; </w:t>
      </w:r>
      <w:proofErr w:type="spellStart"/>
      <w:r>
        <w:rPr>
          <w:rFonts w:hint="cs"/>
          <w:rtl/>
        </w:rPr>
        <w:t>תוספתא</w:t>
      </w:r>
      <w:proofErr w:type="spellEnd"/>
      <w:r>
        <w:rPr>
          <w:rFonts w:hint="cs"/>
          <w:rtl/>
        </w:rPr>
        <w:t xml:space="preserve">, ב, </w:t>
      </w:r>
      <w:proofErr w:type="spellStart"/>
      <w:r>
        <w:rPr>
          <w:rFonts w:hint="cs"/>
          <w:rtl/>
        </w:rPr>
        <w:t>טז</w:t>
      </w:r>
      <w:proofErr w:type="spellEnd"/>
      <w:r>
        <w:rPr>
          <w:rFonts w:hint="cs"/>
          <w:rtl/>
        </w:rPr>
        <w:t xml:space="preserve">). שם, ובמיוחד </w:t>
      </w:r>
      <w:proofErr w:type="spellStart"/>
      <w:r>
        <w:rPr>
          <w:rFonts w:hint="cs"/>
          <w:rtl/>
        </w:rPr>
        <w:t>בתוספתא</w:t>
      </w:r>
      <w:proofErr w:type="spellEnd"/>
      <w:r>
        <w:rPr>
          <w:rFonts w:hint="cs"/>
          <w:rtl/>
        </w:rPr>
        <w:t xml:space="preserve">, מתוארת שמחתו והתרגשותו של רבי אליעזר על כך שהחכמים שנמנו וגמרו בבית המדרש כיוונו למסורת שנמסרה לו מדורות קודמים. כלומר, אין שם שום כעס על אותו תלמיד על כך שלא אמר "תלמידך אני וממימיך אני שותה" (שדווקא כן אמר זאת, כמסופר שם), וכאילו חטא בכך שהביא "חידוש" מבית המדרש שכלל אינו חידוש אלא מסורת, ולכן נענש בהוצאת עיניו, פרט שנשמט לחלוטין מהגרסה הקדומה של הסיפור. להפך, יש שם רצון לשמוע את החידוש שנאמר בבית המדרש, ויש שמחה גדולה והתרגשות עד כדי בכי, על כך שהחכמים הנם כמו נביאים שה' מגלה להם את סודותיו, בבחינת "סוד ה' </w:t>
      </w:r>
      <w:proofErr w:type="spellStart"/>
      <w:r>
        <w:rPr>
          <w:rFonts w:hint="cs"/>
          <w:rtl/>
        </w:rPr>
        <w:t>ליראיו</w:t>
      </w:r>
      <w:proofErr w:type="spellEnd"/>
      <w:r>
        <w:rPr>
          <w:rFonts w:hint="cs"/>
          <w:rtl/>
        </w:rPr>
        <w:t xml:space="preserve">", ואמירה שלא "יחושו למניינם", כלומר שלא יחששו שאמרו דברים שאינם אמת. אלא שבבבלי, כנראה מתוך התבססות על שיטת רבי אליעזר ש"לא אמר דבר שלא שמע מפי רבו מעולם" (סוכה </w:t>
      </w:r>
      <w:proofErr w:type="spellStart"/>
      <w:r>
        <w:rPr>
          <w:rFonts w:hint="cs"/>
          <w:rtl/>
        </w:rPr>
        <w:t>כח</w:t>
      </w:r>
      <w:proofErr w:type="spellEnd"/>
      <w:r>
        <w:rPr>
          <w:rFonts w:hint="cs"/>
          <w:rtl/>
        </w:rPr>
        <w:t xml:space="preserve"> ע"א, ועוד) </w:t>
      </w:r>
      <w:r>
        <w:rPr>
          <w:rtl/>
        </w:rPr>
        <w:t>–</w:t>
      </w:r>
      <w:r>
        <w:rPr>
          <w:rFonts w:hint="cs"/>
          <w:rtl/>
        </w:rPr>
        <w:t xml:space="preserve"> הוא הוצג כמקפיד על תלמידו על מה ואיך שאמר.</w:t>
      </w:r>
    </w:p>
  </w:footnote>
  <w:footnote w:id="30">
    <w:p w:rsidR="000E0E97" w:rsidRDefault="000E0E97" w:rsidP="000E0E97">
      <w:pPr>
        <w:pStyle w:val="a3"/>
        <w:spacing w:after="0"/>
        <w:jc w:val="both"/>
        <w:rPr>
          <w:rtl/>
        </w:rPr>
      </w:pPr>
      <w:r>
        <w:rPr>
          <w:rStyle w:val="a5"/>
        </w:rPr>
        <w:footnoteRef/>
      </w:r>
      <w:r>
        <w:rPr>
          <w:rtl/>
        </w:rPr>
        <w:t xml:space="preserve"> </w:t>
      </w:r>
      <w:r w:rsidRPr="0083350C">
        <w:rPr>
          <w:rtl/>
        </w:rPr>
        <w:t>תהלים כה</w:t>
      </w:r>
      <w:r w:rsidRPr="0083350C">
        <w:rPr>
          <w:rFonts w:hint="cs"/>
          <w:rtl/>
        </w:rPr>
        <w:t>,</w:t>
      </w:r>
      <w:r w:rsidRPr="0083350C">
        <w:rPr>
          <w:rtl/>
        </w:rPr>
        <w:t xml:space="preserve"> יד</w:t>
      </w:r>
      <w:r w:rsidRPr="0083350C">
        <w:rPr>
          <w:rFonts w:hint="cs"/>
          <w:rtl/>
        </w:rPr>
        <w:t>.</w:t>
      </w:r>
    </w:p>
  </w:footnote>
  <w:footnote w:id="31">
    <w:p w:rsidR="000E0E97" w:rsidRDefault="000E0E97" w:rsidP="000E0E97">
      <w:pPr>
        <w:pStyle w:val="a3"/>
        <w:spacing w:after="0"/>
        <w:jc w:val="both"/>
      </w:pPr>
      <w:r>
        <w:rPr>
          <w:rStyle w:val="a5"/>
        </w:rPr>
        <w:footnoteRef/>
      </w:r>
      <w:r>
        <w:rPr>
          <w:rtl/>
        </w:rPr>
        <w:t xml:space="preserve"> </w:t>
      </w:r>
      <w:r>
        <w:rPr>
          <w:rFonts w:hint="cs"/>
          <w:rtl/>
        </w:rPr>
        <w:t xml:space="preserve">חגיגה ד ע"ב </w:t>
      </w:r>
      <w:r>
        <w:rPr>
          <w:rtl/>
        </w:rPr>
        <w:t>–</w:t>
      </w:r>
      <w:r>
        <w:rPr>
          <w:rFonts w:hint="cs"/>
          <w:rtl/>
        </w:rPr>
        <w:t xml:space="preserve"> ה ע"א.</w:t>
      </w:r>
    </w:p>
  </w:footnote>
  <w:footnote w:id="32">
    <w:p w:rsidR="000E0E97" w:rsidRDefault="000E0E97" w:rsidP="000E0E97">
      <w:pPr>
        <w:pStyle w:val="a3"/>
        <w:spacing w:after="0"/>
        <w:jc w:val="both"/>
      </w:pPr>
      <w:r>
        <w:rPr>
          <w:rStyle w:val="a5"/>
        </w:rPr>
        <w:footnoteRef/>
      </w:r>
      <w:r>
        <w:rPr>
          <w:rtl/>
        </w:rPr>
        <w:t xml:space="preserve"> </w:t>
      </w:r>
      <w:r>
        <w:rPr>
          <w:rFonts w:hint="cs"/>
          <w:rtl/>
        </w:rPr>
        <w:t>שם ג ע"א-ע"ב.</w:t>
      </w:r>
    </w:p>
  </w:footnote>
  <w:footnote w:id="33">
    <w:p w:rsidR="000E0E97" w:rsidRDefault="000E0E97" w:rsidP="000E0E97">
      <w:pPr>
        <w:pStyle w:val="a3"/>
        <w:spacing w:after="0"/>
        <w:jc w:val="both"/>
      </w:pPr>
      <w:r>
        <w:rPr>
          <w:rStyle w:val="a5"/>
        </w:rPr>
        <w:footnoteRef/>
      </w:r>
      <w:r>
        <w:rPr>
          <w:rtl/>
        </w:rPr>
        <w:t xml:space="preserve"> </w:t>
      </w:r>
      <w:r>
        <w:rPr>
          <w:rFonts w:hint="cs"/>
          <w:rtl/>
        </w:rPr>
        <w:t>ראו במאמר על מסכת פסחים פרק ג, "האחדות הנעלמת".</w:t>
      </w:r>
    </w:p>
  </w:footnote>
  <w:footnote w:id="34">
    <w:p w:rsidR="000E0E97" w:rsidRDefault="000E0E97" w:rsidP="000E0E97">
      <w:pPr>
        <w:pStyle w:val="a3"/>
        <w:spacing w:after="0"/>
        <w:jc w:val="both"/>
        <w:rPr>
          <w:rtl/>
        </w:rPr>
      </w:pPr>
      <w:r>
        <w:rPr>
          <w:rStyle w:val="a5"/>
        </w:rPr>
        <w:footnoteRef/>
      </w:r>
      <w:r>
        <w:rPr>
          <w:rtl/>
        </w:rPr>
        <w:t xml:space="preserve"> </w:t>
      </w:r>
      <w:r>
        <w:rPr>
          <w:rFonts w:hint="cs"/>
          <w:rtl/>
        </w:rPr>
        <w:t>שם ג ע"ב.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512AF"/>
    <w:multiLevelType w:val="hybridMultilevel"/>
    <w:tmpl w:val="E752E4D8"/>
    <w:lvl w:ilvl="0" w:tplc="9E62BA9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97"/>
    <w:rsid w:val="000E0E97"/>
    <w:rsid w:val="0051659B"/>
    <w:rsid w:val="00770A04"/>
    <w:rsid w:val="008A4698"/>
    <w:rsid w:val="00BA06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F4732-D3BA-4CC8-B5E0-FDBEF5A8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E97"/>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E0E97"/>
    <w:rPr>
      <w:sz w:val="20"/>
      <w:szCs w:val="20"/>
    </w:rPr>
  </w:style>
  <w:style w:type="character" w:customStyle="1" w:styleId="a4">
    <w:name w:val="טקסט הערת שוליים תו"/>
    <w:basedOn w:val="a0"/>
    <w:link w:val="a3"/>
    <w:semiHidden/>
    <w:rsid w:val="000E0E97"/>
    <w:rPr>
      <w:rFonts w:ascii="Arial" w:eastAsia="Times New Roman" w:hAnsi="Arial" w:cs="Arial"/>
      <w:sz w:val="20"/>
      <w:szCs w:val="20"/>
    </w:rPr>
  </w:style>
  <w:style w:type="character" w:styleId="a5">
    <w:name w:val="footnote reference"/>
    <w:semiHidden/>
    <w:unhideWhenUsed/>
    <w:rsid w:val="000E0E97"/>
    <w:rPr>
      <w:vertAlign w:val="superscript"/>
    </w:rPr>
  </w:style>
  <w:style w:type="paragraph" w:styleId="a6">
    <w:name w:val="annotation text"/>
    <w:basedOn w:val="a"/>
    <w:link w:val="a7"/>
    <w:unhideWhenUsed/>
    <w:rsid w:val="000E0E97"/>
    <w:pPr>
      <w:spacing w:line="240" w:lineRule="auto"/>
    </w:pPr>
    <w:rPr>
      <w:sz w:val="20"/>
      <w:szCs w:val="20"/>
    </w:rPr>
  </w:style>
  <w:style w:type="character" w:customStyle="1" w:styleId="a7">
    <w:name w:val="טקסט הערה תו"/>
    <w:basedOn w:val="a0"/>
    <w:link w:val="a6"/>
    <w:rsid w:val="000E0E9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9185</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2</cp:revision>
  <dcterms:created xsi:type="dcterms:W3CDTF">2014-10-06T17:12:00Z</dcterms:created>
  <dcterms:modified xsi:type="dcterms:W3CDTF">2014-10-06T17:12:00Z</dcterms:modified>
</cp:coreProperties>
</file>