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D1" w:rsidRPr="00B028B8" w:rsidRDefault="007E62D1" w:rsidP="007E62D1">
      <w:pPr>
        <w:tabs>
          <w:tab w:val="left" w:pos="1262"/>
        </w:tabs>
        <w:jc w:val="both"/>
        <w:rPr>
          <w:b/>
          <w:bCs/>
          <w:sz w:val="36"/>
          <w:szCs w:val="36"/>
          <w:u w:val="single"/>
          <w:rtl/>
        </w:rPr>
      </w:pPr>
      <w:bookmarkStart w:id="0" w:name="_GoBack"/>
      <w:bookmarkEnd w:id="0"/>
      <w:r w:rsidRPr="00B028B8">
        <w:rPr>
          <w:b/>
          <w:bCs/>
          <w:sz w:val="36"/>
          <w:szCs w:val="36"/>
          <w:u w:val="single"/>
          <w:rtl/>
        </w:rPr>
        <w:t>כלים מצופים, אדם מצופה</w:t>
      </w:r>
      <w:r w:rsidRPr="00B028B8">
        <w:rPr>
          <w:rFonts w:hint="cs"/>
          <w:b/>
          <w:bCs/>
          <w:sz w:val="36"/>
          <w:szCs w:val="36"/>
          <w:u w:val="single"/>
          <w:rtl/>
        </w:rPr>
        <w:t xml:space="preserve"> (</w:t>
      </w:r>
      <w:r w:rsidRPr="00B028B8">
        <w:rPr>
          <w:b/>
          <w:bCs/>
          <w:sz w:val="36"/>
          <w:szCs w:val="36"/>
          <w:u w:val="single"/>
          <w:rtl/>
        </w:rPr>
        <w:t>חגיגה</w:t>
      </w:r>
      <w:r w:rsidRPr="00B028B8">
        <w:rPr>
          <w:rFonts w:hint="cs"/>
          <w:b/>
          <w:bCs/>
          <w:sz w:val="36"/>
          <w:szCs w:val="36"/>
          <w:u w:val="single"/>
          <w:rtl/>
        </w:rPr>
        <w:t xml:space="preserve"> פרקים ב-ג, דפים </w:t>
      </w:r>
      <w:proofErr w:type="spellStart"/>
      <w:r w:rsidRPr="00B028B8">
        <w:rPr>
          <w:rFonts w:hint="cs"/>
          <w:b/>
          <w:bCs/>
          <w:sz w:val="36"/>
          <w:szCs w:val="36"/>
          <w:u w:val="single"/>
          <w:rtl/>
        </w:rPr>
        <w:t>יח-כז</w:t>
      </w:r>
      <w:proofErr w:type="spellEnd"/>
      <w:r w:rsidRPr="00B028B8">
        <w:rPr>
          <w:rFonts w:hint="cs"/>
          <w:b/>
          <w:bCs/>
          <w:sz w:val="36"/>
          <w:szCs w:val="36"/>
          <w:u w:val="single"/>
          <w:rtl/>
        </w:rPr>
        <w:t>)</w:t>
      </w:r>
    </w:p>
    <w:p w:rsidR="007E62D1" w:rsidRPr="00B028B8" w:rsidRDefault="007E62D1" w:rsidP="007E62D1">
      <w:pPr>
        <w:tabs>
          <w:tab w:val="left" w:pos="1262"/>
        </w:tabs>
        <w:jc w:val="both"/>
        <w:rPr>
          <w:b/>
          <w:bCs/>
          <w:sz w:val="28"/>
          <w:szCs w:val="28"/>
          <w:rtl/>
        </w:rPr>
      </w:pPr>
      <w:r w:rsidRPr="00B028B8">
        <w:rPr>
          <w:rFonts w:hint="cs"/>
          <w:b/>
          <w:bCs/>
          <w:sz w:val="28"/>
          <w:szCs w:val="28"/>
          <w:rtl/>
        </w:rPr>
        <w:t xml:space="preserve">מסכת חגיגה </w:t>
      </w:r>
      <w:r w:rsidRPr="00B028B8">
        <w:rPr>
          <w:b/>
          <w:bCs/>
          <w:sz w:val="28"/>
          <w:szCs w:val="28"/>
          <w:rtl/>
        </w:rPr>
        <w:t>–</w:t>
      </w:r>
      <w:r w:rsidRPr="00B028B8">
        <w:rPr>
          <w:rFonts w:hint="cs"/>
          <w:b/>
          <w:bCs/>
          <w:sz w:val="28"/>
          <w:szCs w:val="28"/>
          <w:rtl/>
        </w:rPr>
        <w:t xml:space="preserve"> ויחד א</w:t>
      </w:r>
      <w:r w:rsidRPr="00B028B8">
        <w:rPr>
          <w:rFonts w:hint="eastAsia"/>
          <w:b/>
          <w:bCs/>
          <w:sz w:val="28"/>
          <w:szCs w:val="28"/>
          <w:rtl/>
        </w:rPr>
        <w:t>ִ</w:t>
      </w:r>
      <w:r w:rsidRPr="00B028B8">
        <w:rPr>
          <w:rFonts w:hint="cs"/>
          <w:b/>
          <w:bCs/>
          <w:sz w:val="28"/>
          <w:szCs w:val="28"/>
          <w:rtl/>
        </w:rPr>
        <w:t xml:space="preserve">תה סדר מועד כולו </w:t>
      </w:r>
      <w:r w:rsidRPr="00B028B8">
        <w:rPr>
          <w:b/>
          <w:bCs/>
          <w:sz w:val="28"/>
          <w:szCs w:val="28"/>
          <w:rtl/>
        </w:rPr>
        <w:t>–</w:t>
      </w:r>
      <w:r w:rsidRPr="00B028B8">
        <w:rPr>
          <w:rFonts w:hint="cs"/>
          <w:b/>
          <w:bCs/>
          <w:sz w:val="28"/>
          <w:szCs w:val="28"/>
          <w:rtl/>
        </w:rPr>
        <w:t xml:space="preserve"> מסתיימת בהתמקדות ביסודות היטהרות האדם המחייבים חיבור בין כל כוחות החיים באדם. באופן מפתיע, חכמים הקלו בהלכות חמורות אלו דווקא בימי העלייה לרגל לבית המקדש. סוד ההקלה קשור לסוד פנימיותו של האדם היהודי.</w:t>
      </w:r>
    </w:p>
    <w:p w:rsidR="007E62D1" w:rsidRPr="009221F2" w:rsidRDefault="007E62D1" w:rsidP="007E62D1">
      <w:pPr>
        <w:tabs>
          <w:tab w:val="left" w:pos="1262"/>
        </w:tabs>
        <w:jc w:val="both"/>
        <w:rPr>
          <w:rtl/>
        </w:rPr>
      </w:pPr>
    </w:p>
    <w:p w:rsidR="007E62D1" w:rsidRPr="009221F2" w:rsidRDefault="007E62D1" w:rsidP="007E62D1">
      <w:pPr>
        <w:tabs>
          <w:tab w:val="left" w:pos="1262"/>
        </w:tabs>
        <w:jc w:val="both"/>
        <w:rPr>
          <w:b/>
          <w:bCs/>
          <w:u w:val="single"/>
          <w:rtl/>
        </w:rPr>
      </w:pPr>
      <w:r w:rsidRPr="009221F2">
        <w:rPr>
          <w:rFonts w:hint="cs"/>
          <w:b/>
          <w:bCs/>
          <w:u w:val="single"/>
          <w:rtl/>
        </w:rPr>
        <w:t>א. בעל הבית והעניים</w:t>
      </w:r>
    </w:p>
    <w:p w:rsidR="007E62D1" w:rsidRPr="009221F2" w:rsidRDefault="007E62D1" w:rsidP="007E62D1">
      <w:pPr>
        <w:tabs>
          <w:tab w:val="left" w:pos="1262"/>
        </w:tabs>
        <w:jc w:val="both"/>
        <w:rPr>
          <w:rtl/>
        </w:rPr>
      </w:pPr>
      <w:r w:rsidRPr="009221F2">
        <w:rPr>
          <w:rtl/>
        </w:rPr>
        <w:t>סדר מועד פ</w:t>
      </w:r>
      <w:r w:rsidRPr="009221F2">
        <w:rPr>
          <w:rFonts w:hint="cs"/>
          <w:rtl/>
        </w:rPr>
        <w:t>ו</w:t>
      </w:r>
      <w:r w:rsidRPr="009221F2">
        <w:rPr>
          <w:rtl/>
        </w:rPr>
        <w:t>תח בהגדרת הצורות השונות של אב המלאכה של הוצאה והכנסה מרשות לרשות במילים</w:t>
      </w:r>
      <w:r w:rsidRPr="009221F2">
        <w:rPr>
          <w:rFonts w:hint="cs"/>
          <w:rtl/>
        </w:rPr>
        <w:t>:</w:t>
      </w:r>
      <w:r w:rsidRPr="009221F2">
        <w:rPr>
          <w:rtl/>
        </w:rPr>
        <w:t xml:space="preserve"> "יציאות השבת שתיים שהן ארבע".</w:t>
      </w:r>
      <w:r w:rsidRPr="009221F2">
        <w:rPr>
          <w:vertAlign w:val="superscript"/>
          <w:rtl/>
        </w:rPr>
        <w:footnoteReference w:id="1"/>
      </w:r>
      <w:r w:rsidRPr="009221F2">
        <w:rPr>
          <w:rtl/>
        </w:rPr>
        <w:t xml:space="preserve"> </w:t>
      </w:r>
      <w:r w:rsidRPr="009221F2">
        <w:rPr>
          <w:rFonts w:hint="cs"/>
          <w:rtl/>
        </w:rPr>
        <w:t xml:space="preserve">במאמר על המשנה ההיא </w:t>
      </w:r>
      <w:r w:rsidRPr="009221F2">
        <w:rPr>
          <w:rtl/>
        </w:rPr>
        <w:t xml:space="preserve">כתבתי שלדעתי </w:t>
      </w:r>
      <w:r w:rsidRPr="009221F2">
        <w:rPr>
          <w:rFonts w:hint="cs"/>
          <w:rtl/>
        </w:rPr>
        <w:t xml:space="preserve">ניסוח משנה </w:t>
      </w:r>
      <w:r w:rsidRPr="009221F2">
        <w:rPr>
          <w:rtl/>
        </w:rPr>
        <w:t xml:space="preserve">מרמז לשם </w:t>
      </w:r>
      <w:proofErr w:type="spellStart"/>
      <w:r w:rsidRPr="009221F2">
        <w:rPr>
          <w:rtl/>
        </w:rPr>
        <w:t>הוי</w:t>
      </w:r>
      <w:r w:rsidRPr="009221F2">
        <w:rPr>
          <w:rFonts w:hint="cs"/>
          <w:rtl/>
        </w:rPr>
        <w:t>"ה</w:t>
      </w:r>
      <w:proofErr w:type="spellEnd"/>
      <w:r w:rsidRPr="009221F2">
        <w:rPr>
          <w:rtl/>
        </w:rPr>
        <w:t>, י-ה-ו-ה, המורכב משתי יחידות, י-ה, ו-ה – "שתיים שה</w:t>
      </w:r>
      <w:r w:rsidRPr="009221F2">
        <w:rPr>
          <w:rFonts w:hint="cs"/>
          <w:rtl/>
        </w:rPr>
        <w:t>ן</w:t>
      </w:r>
      <w:r w:rsidRPr="009221F2">
        <w:rPr>
          <w:rtl/>
        </w:rPr>
        <w:t xml:space="preserve"> ארבע". המילים "יציאות השבת" מתחילות באותיות י-ה , כאשר המשך השם נמצא באותיות הראשונות של המילים "ובעל הבית"</w:t>
      </w:r>
      <w:r w:rsidRPr="009221F2">
        <w:rPr>
          <w:rFonts w:hint="cs"/>
          <w:rtl/>
        </w:rPr>
        <w:t xml:space="preserve"> שבהמשך המשנה</w:t>
      </w:r>
      <w:r w:rsidRPr="009221F2">
        <w:rPr>
          <w:rtl/>
        </w:rPr>
        <w:t>.</w:t>
      </w:r>
      <w:r w:rsidRPr="009221F2">
        <w:rPr>
          <w:vertAlign w:val="superscript"/>
          <w:rtl/>
        </w:rPr>
        <w:footnoteReference w:id="2"/>
      </w:r>
    </w:p>
    <w:p w:rsidR="007E62D1" w:rsidRPr="009221F2" w:rsidRDefault="007E62D1" w:rsidP="007E62D1">
      <w:pPr>
        <w:tabs>
          <w:tab w:val="left" w:pos="1262"/>
        </w:tabs>
        <w:jc w:val="both"/>
        <w:rPr>
          <w:rtl/>
        </w:rPr>
      </w:pPr>
      <w:r w:rsidRPr="009221F2">
        <w:rPr>
          <w:rtl/>
        </w:rPr>
        <w:t>על רקע זה הצעתי</w:t>
      </w:r>
      <w:r w:rsidRPr="009221F2">
        <w:rPr>
          <w:rFonts w:hint="cs"/>
          <w:rtl/>
        </w:rPr>
        <w:t>,</w:t>
      </w:r>
      <w:r w:rsidRPr="009221F2">
        <w:rPr>
          <w:rtl/>
        </w:rPr>
        <w:t xml:space="preserve"> שעיסוק משנה </w:t>
      </w:r>
      <w:r w:rsidRPr="009221F2">
        <w:rPr>
          <w:rFonts w:hint="cs"/>
          <w:rtl/>
        </w:rPr>
        <w:t xml:space="preserve">זו </w:t>
      </w:r>
      <w:r w:rsidRPr="009221F2">
        <w:rPr>
          <w:rtl/>
        </w:rPr>
        <w:t>(שמקומה כפותח</w:t>
      </w:r>
      <w:r w:rsidRPr="009221F2">
        <w:rPr>
          <w:rFonts w:hint="cs"/>
          <w:rtl/>
        </w:rPr>
        <w:t>ת</w:t>
      </w:r>
      <w:r w:rsidRPr="009221F2">
        <w:rPr>
          <w:rtl/>
        </w:rPr>
        <w:t xml:space="preserve"> </w:t>
      </w:r>
      <w:r w:rsidRPr="009221F2">
        <w:rPr>
          <w:rFonts w:hint="cs"/>
          <w:rtl/>
        </w:rPr>
        <w:t>את מסכת שבת</w:t>
      </w:r>
      <w:r w:rsidRPr="009221F2">
        <w:rPr>
          <w:rtl/>
        </w:rPr>
        <w:t xml:space="preserve"> הנו בלתי מוסבר)</w:t>
      </w:r>
      <w:r w:rsidRPr="009221F2">
        <w:rPr>
          <w:vertAlign w:val="superscript"/>
          <w:rtl/>
        </w:rPr>
        <w:footnoteReference w:id="3"/>
      </w:r>
      <w:r w:rsidRPr="009221F2">
        <w:rPr>
          <w:rtl/>
        </w:rPr>
        <w:t xml:space="preserve"> בהוצאה של "בעל הבית" מרשות היחיד ל"עני" העומד בחוץ ברשות הרבים</w:t>
      </w:r>
      <w:r w:rsidRPr="009221F2">
        <w:rPr>
          <w:rFonts w:hint="cs"/>
          <w:rtl/>
        </w:rPr>
        <w:t xml:space="preserve"> ובהכנסת דבר מה מהחוץ פנימה,</w:t>
      </w:r>
      <w:r w:rsidRPr="009221F2">
        <w:rPr>
          <w:rtl/>
        </w:rPr>
        <w:t xml:space="preserve"> מרמז לבריאת העולם המהווה "הוצאה" של היש מרשות היחיד של הבורא לפני "בראשית ברא" אל מציאות של רשות הרבים</w:t>
      </w:r>
      <w:r w:rsidRPr="009221F2">
        <w:rPr>
          <w:rFonts w:hint="cs"/>
          <w:rtl/>
        </w:rPr>
        <w:t>, ולצורה שבה האדם פונה חזרה לבורא העולם</w:t>
      </w:r>
      <w:r w:rsidRPr="009221F2">
        <w:rPr>
          <w:rtl/>
        </w:rPr>
        <w:t xml:space="preserve">. בריאת העולם הנה החסד של עצם הפיכת היש מרשות </w:t>
      </w:r>
      <w:r w:rsidRPr="009221F2">
        <w:rPr>
          <w:rFonts w:hint="cs"/>
          <w:rtl/>
        </w:rPr>
        <w:t>ה</w:t>
      </w:r>
      <w:r w:rsidRPr="009221F2">
        <w:rPr>
          <w:rtl/>
        </w:rPr>
        <w:t>יחיד</w:t>
      </w:r>
      <w:r w:rsidRPr="009221F2">
        <w:rPr>
          <w:rFonts w:hint="cs"/>
          <w:rtl/>
        </w:rPr>
        <w:t>, "יחידו של עולם",</w:t>
      </w:r>
      <w:r w:rsidRPr="009221F2">
        <w:rPr>
          <w:rtl/>
        </w:rPr>
        <w:t xml:space="preserve"> לרשות </w:t>
      </w:r>
      <w:r w:rsidRPr="009221F2">
        <w:rPr>
          <w:rFonts w:hint="cs"/>
          <w:rtl/>
        </w:rPr>
        <w:t>ה</w:t>
      </w:r>
      <w:r w:rsidRPr="009221F2">
        <w:rPr>
          <w:rtl/>
        </w:rPr>
        <w:t>רבים. במובן זה</w:t>
      </w:r>
      <w:r w:rsidRPr="009221F2">
        <w:rPr>
          <w:rFonts w:hint="cs"/>
          <w:rtl/>
        </w:rPr>
        <w:t>,</w:t>
      </w:r>
      <w:r w:rsidRPr="009221F2">
        <w:rPr>
          <w:rtl/>
        </w:rPr>
        <w:t xml:space="preserve"> היחס המתואר במשנה בין בעל הבית המושיט חפצים מבפנים אל עני הלוקח אותם אל רשותו הנו תיאור של קיומו התמידי של העולם </w:t>
      </w:r>
      <w:proofErr w:type="spellStart"/>
      <w:r w:rsidRPr="009221F2">
        <w:rPr>
          <w:rtl/>
        </w:rPr>
        <w:t>וכלכלתו</w:t>
      </w:r>
      <w:proofErr w:type="spellEnd"/>
      <w:r w:rsidRPr="009221F2">
        <w:rPr>
          <w:rtl/>
        </w:rPr>
        <w:t xml:space="preserve">. </w:t>
      </w:r>
    </w:p>
    <w:p w:rsidR="007E62D1" w:rsidRPr="009221F2" w:rsidRDefault="007E62D1" w:rsidP="007E62D1">
      <w:pPr>
        <w:tabs>
          <w:tab w:val="left" w:pos="1262"/>
        </w:tabs>
        <w:jc w:val="both"/>
        <w:rPr>
          <w:rtl/>
        </w:rPr>
      </w:pPr>
      <w:r w:rsidRPr="009221F2">
        <w:rPr>
          <w:rtl/>
        </w:rPr>
        <w:t>המשניות האחרונות של מסכת חגיגה סוגרות מעגל. הן מתייחסות לכניסה של ה"עניים"</w:t>
      </w:r>
      <w:r w:rsidRPr="009221F2">
        <w:rPr>
          <w:rFonts w:hint="cs"/>
          <w:rtl/>
        </w:rPr>
        <w:t>,</w:t>
      </w:r>
      <w:r w:rsidRPr="009221F2">
        <w:rPr>
          <w:rtl/>
        </w:rPr>
        <w:t xml:space="preserve"> הלא הם עולי הרגל</w:t>
      </w:r>
      <w:r w:rsidRPr="009221F2">
        <w:rPr>
          <w:rFonts w:hint="cs"/>
          <w:rtl/>
        </w:rPr>
        <w:t>,</w:t>
      </w:r>
      <w:r w:rsidRPr="009221F2">
        <w:rPr>
          <w:rtl/>
        </w:rPr>
        <w:t xml:space="preserve"> לחצר ביתו של בעל הבית</w:t>
      </w:r>
      <w:r w:rsidRPr="009221F2">
        <w:rPr>
          <w:rFonts w:hint="cs"/>
          <w:rtl/>
        </w:rPr>
        <w:t>,</w:t>
      </w:r>
      <w:r w:rsidRPr="009221F2">
        <w:rPr>
          <w:rtl/>
        </w:rPr>
        <w:t xml:space="preserve"> השוכן בבית המקדש – "להכניס" מברכתם "ולהוציא" שוב את פרנסת ביתם, בחינת "והשיאנו </w:t>
      </w:r>
      <w:r w:rsidRPr="009221F2">
        <w:rPr>
          <w:rFonts w:hint="cs"/>
          <w:rtl/>
        </w:rPr>
        <w:t>ה' א-</w:t>
      </w:r>
      <w:proofErr w:type="spellStart"/>
      <w:r w:rsidRPr="009221F2">
        <w:rPr>
          <w:rFonts w:hint="cs"/>
          <w:rtl/>
        </w:rPr>
        <w:t>לוהינו</w:t>
      </w:r>
      <w:proofErr w:type="spellEnd"/>
      <w:r w:rsidRPr="009221F2">
        <w:rPr>
          <w:rFonts w:hint="cs"/>
          <w:rtl/>
        </w:rPr>
        <w:t xml:space="preserve"> </w:t>
      </w:r>
      <w:r w:rsidRPr="009221F2">
        <w:rPr>
          <w:rtl/>
        </w:rPr>
        <w:t>את ברכת מועד</w:t>
      </w:r>
      <w:r w:rsidRPr="009221F2">
        <w:rPr>
          <w:rFonts w:hint="cs"/>
          <w:rtl/>
        </w:rPr>
        <w:t>י</w:t>
      </w:r>
      <w:r w:rsidRPr="009221F2">
        <w:rPr>
          <w:rtl/>
        </w:rPr>
        <w:t>ך</w:t>
      </w:r>
      <w:r w:rsidRPr="009221F2">
        <w:rPr>
          <w:rFonts w:hint="cs"/>
          <w:rtl/>
        </w:rPr>
        <w:t xml:space="preserve"> לחיים ולשלום... כאשר רצית ואמרת לברכנו</w:t>
      </w:r>
      <w:r w:rsidRPr="009221F2">
        <w:rPr>
          <w:rtl/>
        </w:rPr>
        <w:t>".</w:t>
      </w:r>
      <w:r w:rsidRPr="009221F2">
        <w:rPr>
          <w:vertAlign w:val="superscript"/>
          <w:rtl/>
        </w:rPr>
        <w:footnoteReference w:id="4"/>
      </w:r>
      <w:r w:rsidRPr="009221F2">
        <w:rPr>
          <w:rtl/>
        </w:rPr>
        <w:t xml:space="preserve"> מסכת חגיגה</w:t>
      </w:r>
      <w:r w:rsidRPr="009221F2">
        <w:rPr>
          <w:rFonts w:hint="cs"/>
          <w:rtl/>
        </w:rPr>
        <w:t>,</w:t>
      </w:r>
      <w:r w:rsidRPr="009221F2">
        <w:rPr>
          <w:rtl/>
        </w:rPr>
        <w:t xml:space="preserve"> המסיימת את סדר מועד</w:t>
      </w:r>
      <w:r w:rsidRPr="009221F2">
        <w:rPr>
          <w:rFonts w:hint="cs"/>
          <w:rtl/>
        </w:rPr>
        <w:t>,</w:t>
      </w:r>
      <w:r w:rsidRPr="009221F2">
        <w:rPr>
          <w:rtl/>
        </w:rPr>
        <w:t xml:space="preserve"> מעצימה את נקודת החיבה וההתקשרות בכניסת העניים לחצרו של בעל הבית. זאת דרך הגדרת </w:t>
      </w:r>
      <w:r w:rsidRPr="009221F2">
        <w:rPr>
          <w:rtl/>
        </w:rPr>
        <w:lastRenderedPageBreak/>
        <w:t xml:space="preserve">מצות העלייה לרגל כמפגש בלתי אמצעי </w:t>
      </w:r>
      <w:r w:rsidRPr="009221F2">
        <w:rPr>
          <w:rFonts w:hint="cs"/>
          <w:rtl/>
        </w:rPr>
        <w:t>ב"ראיית פנים" ובראיית קרבן"</w:t>
      </w:r>
      <w:r w:rsidRPr="009221F2">
        <w:rPr>
          <w:vertAlign w:val="superscript"/>
          <w:rtl/>
        </w:rPr>
        <w:footnoteReference w:id="5"/>
      </w:r>
      <w:r w:rsidRPr="009221F2">
        <w:rPr>
          <w:rtl/>
        </w:rPr>
        <w:t xml:space="preserve"> ובתיאור המפליא של ראיית סודות הבריאה וההשגחה</w:t>
      </w:r>
      <w:r w:rsidRPr="009221F2">
        <w:rPr>
          <w:rFonts w:hint="cs"/>
          <w:rtl/>
        </w:rPr>
        <w:t xml:space="preserve"> </w:t>
      </w:r>
      <w:r w:rsidRPr="009221F2">
        <w:rPr>
          <w:rtl/>
        </w:rPr>
        <w:t>הא-</w:t>
      </w:r>
      <w:proofErr w:type="spellStart"/>
      <w:r w:rsidRPr="009221F2">
        <w:rPr>
          <w:rtl/>
        </w:rPr>
        <w:t>לוהית</w:t>
      </w:r>
      <w:proofErr w:type="spellEnd"/>
      <w:r w:rsidRPr="009221F2">
        <w:rPr>
          <w:rtl/>
        </w:rPr>
        <w:t xml:space="preserve"> כחלק ממצות "הראייה".</w:t>
      </w:r>
      <w:r w:rsidRPr="009221F2">
        <w:rPr>
          <w:vertAlign w:val="superscript"/>
          <w:rtl/>
        </w:rPr>
        <w:footnoteReference w:id="6"/>
      </w:r>
    </w:p>
    <w:p w:rsidR="007E62D1" w:rsidRPr="009221F2" w:rsidRDefault="007E62D1" w:rsidP="007E62D1">
      <w:pPr>
        <w:tabs>
          <w:tab w:val="left" w:pos="1262"/>
        </w:tabs>
        <w:jc w:val="both"/>
        <w:rPr>
          <w:rtl/>
        </w:rPr>
      </w:pPr>
      <w:r w:rsidRPr="009221F2">
        <w:rPr>
          <w:rtl/>
        </w:rPr>
        <w:t>תכונה מיוחדת במפגש בין עולי הרגל לבין הדר ב"בית זבול" בקודש הק</w:t>
      </w:r>
      <w:r w:rsidRPr="009221F2">
        <w:rPr>
          <w:rFonts w:hint="cs"/>
          <w:rtl/>
        </w:rPr>
        <w:t>ו</w:t>
      </w:r>
      <w:r w:rsidRPr="009221F2">
        <w:rPr>
          <w:rtl/>
        </w:rPr>
        <w:t xml:space="preserve">דשים נמצאת דווקא בהלכות המורכבות </w:t>
      </w:r>
      <w:r w:rsidRPr="009221F2">
        <w:rPr>
          <w:rFonts w:hint="cs"/>
          <w:rtl/>
        </w:rPr>
        <w:t xml:space="preserve">של </w:t>
      </w:r>
      <w:r w:rsidRPr="009221F2">
        <w:rPr>
          <w:rtl/>
        </w:rPr>
        <w:t xml:space="preserve">טומאה וטהרה שבסוף </w:t>
      </w:r>
      <w:r w:rsidRPr="009221F2">
        <w:rPr>
          <w:rFonts w:hint="cs"/>
          <w:rtl/>
        </w:rPr>
        <w:t>ה</w:t>
      </w:r>
      <w:r w:rsidRPr="009221F2">
        <w:rPr>
          <w:rtl/>
        </w:rPr>
        <w:t xml:space="preserve">פרק </w:t>
      </w:r>
      <w:r w:rsidRPr="009221F2">
        <w:rPr>
          <w:rFonts w:hint="cs"/>
          <w:rtl/>
        </w:rPr>
        <w:t>ה</w:t>
      </w:r>
      <w:r w:rsidRPr="009221F2">
        <w:rPr>
          <w:rtl/>
        </w:rPr>
        <w:t xml:space="preserve">שני ובפרק </w:t>
      </w:r>
      <w:r w:rsidRPr="009221F2">
        <w:rPr>
          <w:rFonts w:hint="cs"/>
          <w:rtl/>
        </w:rPr>
        <w:t>ה</w:t>
      </w:r>
      <w:r w:rsidRPr="009221F2">
        <w:rPr>
          <w:rtl/>
        </w:rPr>
        <w:t xml:space="preserve">שלישי במסכת, </w:t>
      </w:r>
      <w:r w:rsidRPr="009221F2">
        <w:rPr>
          <w:rFonts w:hint="cs"/>
          <w:rtl/>
        </w:rPr>
        <w:t>שהוא ה</w:t>
      </w:r>
      <w:r w:rsidRPr="009221F2">
        <w:rPr>
          <w:rtl/>
        </w:rPr>
        <w:t>פרק האחרון בסדר מועד. הלכות אלו מבליטות את קשר החיבה של בעל הבית לעניים המבקרים בביתו דרך שלושה שלבים של הלכות</w:t>
      </w:r>
      <w:r w:rsidRPr="009221F2">
        <w:rPr>
          <w:rFonts w:hint="cs"/>
          <w:rtl/>
        </w:rPr>
        <w:t>,</w:t>
      </w:r>
      <w:r w:rsidRPr="009221F2">
        <w:rPr>
          <w:rtl/>
        </w:rPr>
        <w:t xml:space="preserve"> ההולכים ונבנים לאורך המחצית השנייה של המסכת והמגיעים לניסוח ממצה בסוגיה האחרונה שבה.</w:t>
      </w:r>
    </w:p>
    <w:p w:rsidR="007E62D1" w:rsidRPr="009221F2" w:rsidRDefault="007E62D1" w:rsidP="007E62D1">
      <w:pPr>
        <w:tabs>
          <w:tab w:val="left" w:pos="1262"/>
        </w:tabs>
        <w:jc w:val="both"/>
        <w:rPr>
          <w:rtl/>
        </w:rPr>
      </w:pPr>
    </w:p>
    <w:p w:rsidR="007E62D1" w:rsidRPr="009221F2" w:rsidRDefault="007E62D1" w:rsidP="007E62D1">
      <w:pPr>
        <w:tabs>
          <w:tab w:val="left" w:pos="1262"/>
        </w:tabs>
        <w:jc w:val="both"/>
        <w:rPr>
          <w:b/>
          <w:bCs/>
          <w:u w:val="single"/>
          <w:rtl/>
        </w:rPr>
      </w:pPr>
      <w:r w:rsidRPr="009221F2">
        <w:rPr>
          <w:rFonts w:hint="cs"/>
          <w:b/>
          <w:bCs/>
          <w:u w:val="single"/>
          <w:rtl/>
        </w:rPr>
        <w:t xml:space="preserve">ב. מעשה ההיטהרות </w:t>
      </w:r>
      <w:r w:rsidRPr="009221F2">
        <w:rPr>
          <w:b/>
          <w:bCs/>
          <w:u w:val="single"/>
          <w:rtl/>
        </w:rPr>
        <w:t>–</w:t>
      </w:r>
      <w:r w:rsidRPr="009221F2">
        <w:rPr>
          <w:rFonts w:hint="cs"/>
          <w:b/>
          <w:bCs/>
          <w:u w:val="single"/>
          <w:rtl/>
        </w:rPr>
        <w:t xml:space="preserve"> חיבור בין גוף ונפש </w:t>
      </w:r>
    </w:p>
    <w:p w:rsidR="007E62D1" w:rsidRPr="009221F2" w:rsidRDefault="007E62D1" w:rsidP="007E62D1">
      <w:pPr>
        <w:tabs>
          <w:tab w:val="left" w:pos="1262"/>
        </w:tabs>
        <w:jc w:val="both"/>
        <w:rPr>
          <w:u w:val="single"/>
          <w:rtl/>
        </w:rPr>
      </w:pPr>
      <w:r w:rsidRPr="009221F2">
        <w:rPr>
          <w:rFonts w:hint="cs"/>
          <w:u w:val="single"/>
          <w:rtl/>
        </w:rPr>
        <w:t>השלב הראשון</w:t>
      </w:r>
      <w:r w:rsidRPr="009221F2">
        <w:rPr>
          <w:u w:val="single"/>
          <w:rtl/>
        </w:rPr>
        <w:t xml:space="preserve"> </w:t>
      </w:r>
    </w:p>
    <w:p w:rsidR="007E62D1" w:rsidRPr="009221F2" w:rsidRDefault="007E62D1" w:rsidP="007E62D1">
      <w:pPr>
        <w:tabs>
          <w:tab w:val="left" w:pos="1262"/>
        </w:tabs>
        <w:jc w:val="both"/>
        <w:rPr>
          <w:rtl/>
        </w:rPr>
      </w:pPr>
      <w:r w:rsidRPr="009221F2">
        <w:rPr>
          <w:rtl/>
        </w:rPr>
        <w:t xml:space="preserve">ישנן חמש דרגות של הקפדה בשמירה על הטהרה – האוכל חולין בטהרה (מידת חסידות), </w:t>
      </w:r>
      <w:r w:rsidRPr="009221F2">
        <w:rPr>
          <w:rFonts w:hint="cs"/>
          <w:rtl/>
        </w:rPr>
        <w:t xml:space="preserve">אכילת </w:t>
      </w:r>
      <w:r w:rsidRPr="009221F2">
        <w:rPr>
          <w:rtl/>
        </w:rPr>
        <w:t xml:space="preserve">מעשר שני המובא לירושלים, </w:t>
      </w:r>
      <w:r w:rsidRPr="009221F2">
        <w:rPr>
          <w:rFonts w:hint="cs"/>
          <w:rtl/>
        </w:rPr>
        <w:t xml:space="preserve">אכילת </w:t>
      </w:r>
      <w:r w:rsidRPr="009221F2">
        <w:rPr>
          <w:rtl/>
        </w:rPr>
        <w:t xml:space="preserve">תרומה, </w:t>
      </w:r>
      <w:r w:rsidRPr="009221F2">
        <w:rPr>
          <w:rFonts w:hint="cs"/>
          <w:rtl/>
        </w:rPr>
        <w:t xml:space="preserve">אכילת </w:t>
      </w:r>
      <w:r w:rsidRPr="009221F2">
        <w:rPr>
          <w:rtl/>
        </w:rPr>
        <w:t xml:space="preserve">קודש (קרבנות), והנוגע במי חטאת (תערובת מי מעיין השילוח עם אפר הפרה האדומה, אשר הזאת חלק מזערי ממנו מטהרת אדם טמא מת). </w:t>
      </w:r>
      <w:r w:rsidRPr="009221F2">
        <w:rPr>
          <w:rFonts w:hint="cs"/>
          <w:rtl/>
        </w:rPr>
        <w:t>וכך מובא במשנה בפרק ב:</w:t>
      </w:r>
    </w:p>
    <w:p w:rsidR="007E62D1" w:rsidRPr="009221F2" w:rsidRDefault="007E62D1" w:rsidP="007E62D1">
      <w:pPr>
        <w:tabs>
          <w:tab w:val="left" w:pos="1262"/>
        </w:tabs>
        <w:jc w:val="both"/>
        <w:rPr>
          <w:i/>
          <w:iCs/>
          <w:rtl/>
        </w:rPr>
      </w:pPr>
      <w:r w:rsidRPr="009221F2">
        <w:rPr>
          <w:i/>
          <w:iCs/>
          <w:rtl/>
        </w:rPr>
        <w:t>הטובל לחולין והוחזק לחולין</w:t>
      </w:r>
      <w:r w:rsidRPr="009221F2">
        <w:rPr>
          <w:rFonts w:hint="cs"/>
          <w:i/>
          <w:iCs/>
          <w:rtl/>
        </w:rPr>
        <w:t xml:space="preserve"> </w:t>
      </w:r>
      <w:r w:rsidRPr="009221F2">
        <w:rPr>
          <w:i/>
          <w:iCs/>
          <w:rtl/>
        </w:rPr>
        <w:t>– אסור למעשר</w:t>
      </w:r>
      <w:r w:rsidRPr="009221F2">
        <w:rPr>
          <w:rFonts w:hint="cs"/>
          <w:i/>
          <w:iCs/>
          <w:rtl/>
        </w:rPr>
        <w:t>;</w:t>
      </w:r>
      <w:r w:rsidRPr="009221F2">
        <w:rPr>
          <w:i/>
          <w:iCs/>
          <w:rtl/>
        </w:rPr>
        <w:t xml:space="preserve"> טבל למעשר והוחזק למעשר</w:t>
      </w:r>
      <w:r w:rsidRPr="009221F2">
        <w:rPr>
          <w:rFonts w:hint="cs"/>
          <w:i/>
          <w:iCs/>
          <w:rtl/>
        </w:rPr>
        <w:t xml:space="preserve"> (שני) –</w:t>
      </w:r>
      <w:r w:rsidRPr="009221F2">
        <w:rPr>
          <w:i/>
          <w:iCs/>
          <w:rtl/>
        </w:rPr>
        <w:t xml:space="preserve">  אסור לתרומה</w:t>
      </w:r>
      <w:r w:rsidRPr="009221F2">
        <w:rPr>
          <w:rFonts w:hint="cs"/>
          <w:i/>
          <w:iCs/>
          <w:rtl/>
        </w:rPr>
        <w:t>;</w:t>
      </w:r>
      <w:r w:rsidRPr="009221F2">
        <w:rPr>
          <w:i/>
          <w:iCs/>
          <w:rtl/>
        </w:rPr>
        <w:t xml:space="preserve"> טבל לתרומה והוחזק לתרומה</w:t>
      </w:r>
      <w:r w:rsidRPr="009221F2">
        <w:rPr>
          <w:rFonts w:hint="cs"/>
          <w:i/>
          <w:iCs/>
          <w:rtl/>
        </w:rPr>
        <w:t xml:space="preserve"> –</w:t>
      </w:r>
      <w:r w:rsidRPr="009221F2">
        <w:rPr>
          <w:i/>
          <w:iCs/>
          <w:rtl/>
        </w:rPr>
        <w:t xml:space="preserve">  אסור לקֹדש</w:t>
      </w:r>
      <w:r w:rsidRPr="009221F2">
        <w:rPr>
          <w:rFonts w:hint="cs"/>
          <w:i/>
          <w:iCs/>
          <w:rtl/>
        </w:rPr>
        <w:t>;</w:t>
      </w:r>
      <w:r w:rsidRPr="009221F2">
        <w:rPr>
          <w:i/>
          <w:iCs/>
          <w:rtl/>
        </w:rPr>
        <w:t xml:space="preserve"> טבל לקודש והוחזק לקודש</w:t>
      </w:r>
      <w:r w:rsidRPr="009221F2">
        <w:rPr>
          <w:rFonts w:hint="cs"/>
          <w:i/>
          <w:iCs/>
          <w:rtl/>
        </w:rPr>
        <w:t xml:space="preserve"> –</w:t>
      </w:r>
      <w:r w:rsidRPr="009221F2">
        <w:rPr>
          <w:i/>
          <w:iCs/>
          <w:rtl/>
        </w:rPr>
        <w:t xml:space="preserve">  אסור לחטאת</w:t>
      </w:r>
      <w:r w:rsidRPr="009221F2">
        <w:rPr>
          <w:rFonts w:hint="cs"/>
          <w:i/>
          <w:iCs/>
          <w:rtl/>
        </w:rPr>
        <w:t>.</w:t>
      </w:r>
      <w:r w:rsidRPr="009221F2">
        <w:rPr>
          <w:i/>
          <w:iCs/>
          <w:rtl/>
        </w:rPr>
        <w:t xml:space="preserve"> טבל ל(שם ה)חמור </w:t>
      </w:r>
      <w:r w:rsidRPr="009221F2">
        <w:rPr>
          <w:rFonts w:hint="cs"/>
          <w:i/>
          <w:iCs/>
          <w:rtl/>
        </w:rPr>
        <w:t>–</w:t>
      </w:r>
      <w:r w:rsidRPr="009221F2">
        <w:rPr>
          <w:i/>
          <w:iCs/>
          <w:rtl/>
        </w:rPr>
        <w:t xml:space="preserve"> מותר לקל</w:t>
      </w:r>
      <w:r w:rsidRPr="009221F2">
        <w:rPr>
          <w:rFonts w:hint="cs"/>
          <w:i/>
          <w:iCs/>
          <w:rtl/>
        </w:rPr>
        <w:t>.</w:t>
      </w:r>
      <w:r w:rsidRPr="009221F2">
        <w:rPr>
          <w:i/>
          <w:iCs/>
          <w:rtl/>
        </w:rPr>
        <w:t xml:space="preserve"> טבל ולא הוחזק</w:t>
      </w:r>
      <w:r w:rsidRPr="009221F2">
        <w:rPr>
          <w:rFonts w:hint="cs"/>
          <w:i/>
          <w:iCs/>
          <w:rtl/>
        </w:rPr>
        <w:t xml:space="preserve"> (לא התכוון לשום מטרה) –</w:t>
      </w:r>
      <w:r w:rsidRPr="009221F2">
        <w:rPr>
          <w:i/>
          <w:iCs/>
          <w:rtl/>
        </w:rPr>
        <w:t xml:space="preserve"> כאילו לא טבל</w:t>
      </w:r>
      <w:r w:rsidRPr="009221F2">
        <w:rPr>
          <w:rFonts w:hint="cs"/>
          <w:i/>
          <w:iCs/>
          <w:rtl/>
        </w:rPr>
        <w:t>.</w:t>
      </w:r>
      <w:r w:rsidRPr="009221F2">
        <w:rPr>
          <w:i/>
          <w:iCs/>
          <w:vertAlign w:val="superscript"/>
          <w:rtl/>
        </w:rPr>
        <w:footnoteReference w:id="7"/>
      </w:r>
    </w:p>
    <w:p w:rsidR="007E62D1" w:rsidRPr="009221F2" w:rsidRDefault="007E62D1" w:rsidP="007E62D1">
      <w:pPr>
        <w:tabs>
          <w:tab w:val="left" w:pos="1262"/>
        </w:tabs>
        <w:jc w:val="both"/>
        <w:rPr>
          <w:rtl/>
        </w:rPr>
      </w:pPr>
      <w:r w:rsidRPr="009221F2">
        <w:rPr>
          <w:rFonts w:hint="cs"/>
          <w:rtl/>
        </w:rPr>
        <w:t>משנה זו והלכות נוספות המובאות בגמרא קובעות יסוד מרכזי בתהליך היטהרות האדם: חיבור מעשה טבילת הגוף עם החובה לדייק באופן ההתכוונות בשעת הטבילה.</w:t>
      </w:r>
      <w:r w:rsidRPr="009221F2">
        <w:rPr>
          <w:rtl/>
        </w:rPr>
        <w:t xml:space="preserve"> טבילה לשם היטהרות חייבת להיות מלווה בהתכוונות למטרת ההיטהרות.</w:t>
      </w:r>
      <w:r w:rsidRPr="009221F2">
        <w:rPr>
          <w:b/>
          <w:bCs/>
          <w:rtl/>
        </w:rPr>
        <w:t xml:space="preserve"> </w:t>
      </w:r>
      <w:r w:rsidRPr="009221F2">
        <w:rPr>
          <w:rtl/>
        </w:rPr>
        <w:t xml:space="preserve">כאשר מבטל אדם את צורתו הפיזית בכניסתו למים – כברחם אם – ההתחדשות באה רק בחיבור בין גוף, מים ודעת האדם. </w:t>
      </w:r>
      <w:r w:rsidRPr="009221F2">
        <w:rPr>
          <w:rFonts w:hint="cs"/>
          <w:rtl/>
        </w:rPr>
        <w:t>על בסיס זה</w:t>
      </w:r>
      <w:r w:rsidRPr="009221F2">
        <w:rPr>
          <w:rtl/>
        </w:rPr>
        <w:t xml:space="preserve"> קובע</w:t>
      </w:r>
      <w:r w:rsidRPr="009221F2">
        <w:rPr>
          <w:rFonts w:hint="cs"/>
          <w:rtl/>
        </w:rPr>
        <w:t>ה</w:t>
      </w:r>
      <w:r w:rsidRPr="009221F2">
        <w:rPr>
          <w:rtl/>
        </w:rPr>
        <w:t xml:space="preserve"> המשנ</w:t>
      </w:r>
      <w:r w:rsidRPr="009221F2">
        <w:rPr>
          <w:rFonts w:hint="cs"/>
          <w:rtl/>
        </w:rPr>
        <w:t>ה</w:t>
      </w:r>
      <w:r w:rsidRPr="009221F2">
        <w:rPr>
          <w:rtl/>
        </w:rPr>
        <w:t xml:space="preserve"> (והסוגיה בדף </w:t>
      </w:r>
      <w:proofErr w:type="spellStart"/>
      <w:r w:rsidRPr="009221F2">
        <w:rPr>
          <w:rtl/>
        </w:rPr>
        <w:t>יט</w:t>
      </w:r>
      <w:proofErr w:type="spellEnd"/>
      <w:r w:rsidRPr="009221F2">
        <w:rPr>
          <w:rtl/>
        </w:rPr>
        <w:t>-כ מרחיבה), "טבל ל(שם ה)חמור – מותר בקל". למשל, מותר לאכול קרבן גם אם אדם התכוון בטבילה לשם ה</w:t>
      </w:r>
      <w:r w:rsidRPr="009221F2">
        <w:rPr>
          <w:rFonts w:hint="cs"/>
          <w:rtl/>
        </w:rPr>
        <w:t>י</w:t>
      </w:r>
      <w:r w:rsidRPr="009221F2">
        <w:rPr>
          <w:rtl/>
        </w:rPr>
        <w:t>טהרות בכדי לנגוע במי חטאת</w:t>
      </w:r>
      <w:r w:rsidRPr="009221F2">
        <w:rPr>
          <w:rFonts w:hint="cs"/>
          <w:rtl/>
        </w:rPr>
        <w:t>,</w:t>
      </w:r>
      <w:r w:rsidRPr="009221F2">
        <w:rPr>
          <w:rtl/>
        </w:rPr>
        <w:t xml:space="preserve"> אבל אם טבל לשם אכילת תרומה</w:t>
      </w:r>
      <w:r w:rsidRPr="009221F2">
        <w:rPr>
          <w:rFonts w:hint="cs"/>
          <w:rtl/>
        </w:rPr>
        <w:t xml:space="preserve"> </w:t>
      </w:r>
      <w:r w:rsidRPr="009221F2">
        <w:rPr>
          <w:rtl/>
        </w:rPr>
        <w:t>– יצטרך לטבול שוב לשם קרבן.</w:t>
      </w:r>
    </w:p>
    <w:p w:rsidR="007E62D1" w:rsidRPr="009221F2" w:rsidRDefault="007E62D1" w:rsidP="007E62D1">
      <w:pPr>
        <w:tabs>
          <w:tab w:val="left" w:pos="1262"/>
        </w:tabs>
        <w:jc w:val="both"/>
        <w:rPr>
          <w:rtl/>
        </w:rPr>
      </w:pPr>
      <w:r w:rsidRPr="009221F2">
        <w:rPr>
          <w:rtl/>
        </w:rPr>
        <w:t xml:space="preserve">החיבור בין גוף </w:t>
      </w:r>
      <w:r w:rsidRPr="009221F2">
        <w:rPr>
          <w:rFonts w:hint="cs"/>
          <w:rtl/>
        </w:rPr>
        <w:t>ל</w:t>
      </w:r>
      <w:r w:rsidRPr="009221F2">
        <w:rPr>
          <w:rtl/>
        </w:rPr>
        <w:t>נפש בהלכות טומאה וטהרה, בין יש חומרי לבין דעת והתכוונות, מתבטא גם בצורות אחרות. בגדים שנשמרו בטהרה לשם דרגה נמוכה, למשל לשם אכילת תרומה, נחשבים טמאים לאדם העוסק בדרגה גבוהה יותר, למשל בקרבן.</w:t>
      </w:r>
      <w:r w:rsidRPr="009221F2">
        <w:rPr>
          <w:vertAlign w:val="superscript"/>
          <w:rtl/>
        </w:rPr>
        <w:footnoteReference w:id="8"/>
      </w:r>
      <w:r w:rsidRPr="009221F2">
        <w:rPr>
          <w:rtl/>
        </w:rPr>
        <w:t xml:space="preserve"> העובדה שמעמד הבגדים לגבי טומאה וטהרה איננו אובייקטיבי, אלא הוא משתנה לפי התכוונות האדם הלובש את הבגד או המשתמש בו, מדגישה את מקומ</w:t>
      </w:r>
      <w:r w:rsidRPr="009221F2">
        <w:rPr>
          <w:rFonts w:hint="cs"/>
          <w:rtl/>
        </w:rPr>
        <w:t>ה</w:t>
      </w:r>
      <w:r w:rsidRPr="009221F2">
        <w:rPr>
          <w:rtl/>
        </w:rPr>
        <w:t xml:space="preserve"> המרכזי של </w:t>
      </w:r>
      <w:r w:rsidRPr="009221F2">
        <w:rPr>
          <w:rFonts w:hint="cs"/>
          <w:rtl/>
        </w:rPr>
        <w:t>ה</w:t>
      </w:r>
      <w:r w:rsidRPr="009221F2">
        <w:rPr>
          <w:rtl/>
        </w:rPr>
        <w:t>דעת ו</w:t>
      </w:r>
      <w:r w:rsidRPr="009221F2">
        <w:rPr>
          <w:rFonts w:hint="cs"/>
          <w:rtl/>
        </w:rPr>
        <w:t>ה</w:t>
      </w:r>
      <w:r w:rsidRPr="009221F2">
        <w:rPr>
          <w:rtl/>
        </w:rPr>
        <w:t>התכוונות במהות הטומאה והטהרה.</w:t>
      </w:r>
    </w:p>
    <w:p w:rsidR="007E62D1" w:rsidRPr="009221F2" w:rsidRDefault="007E62D1" w:rsidP="007E62D1">
      <w:pPr>
        <w:tabs>
          <w:tab w:val="left" w:pos="1262"/>
        </w:tabs>
        <w:jc w:val="both"/>
        <w:rPr>
          <w:rtl/>
        </w:rPr>
      </w:pPr>
      <w:r w:rsidRPr="009221F2">
        <w:rPr>
          <w:rFonts w:hint="cs"/>
          <w:rtl/>
        </w:rPr>
        <w:lastRenderedPageBreak/>
        <w:t xml:space="preserve">כך מנסח זאת הרמב"ם בסוף הלכות מקוואות, בדברים החותמים את ספר טהרה: </w:t>
      </w:r>
    </w:p>
    <w:p w:rsidR="007E62D1" w:rsidRPr="009221F2" w:rsidRDefault="007E62D1" w:rsidP="007E62D1">
      <w:pPr>
        <w:tabs>
          <w:tab w:val="left" w:pos="1262"/>
        </w:tabs>
        <w:jc w:val="both"/>
        <w:rPr>
          <w:i/>
          <w:iCs/>
          <w:rtl/>
        </w:rPr>
      </w:pPr>
      <w:r w:rsidRPr="009221F2">
        <w:rPr>
          <w:i/>
          <w:iCs/>
          <w:rtl/>
        </w:rPr>
        <w:t>דבר ברור וגלוי שהטומאות והטהרות גזרת הכתוב הן</w:t>
      </w:r>
      <w:r w:rsidRPr="009221F2">
        <w:rPr>
          <w:rFonts w:hint="cs"/>
          <w:i/>
          <w:iCs/>
          <w:rtl/>
        </w:rPr>
        <w:t xml:space="preserve">... </w:t>
      </w:r>
      <w:r w:rsidRPr="009221F2">
        <w:rPr>
          <w:i/>
          <w:iCs/>
          <w:rtl/>
        </w:rPr>
        <w:t>וכן הטבילה מן הטומאות מכלל החוקים ה</w:t>
      </w:r>
      <w:r w:rsidRPr="009221F2">
        <w:rPr>
          <w:rFonts w:hint="cs"/>
          <w:i/>
          <w:iCs/>
          <w:rtl/>
        </w:rPr>
        <w:t>י</w:t>
      </w:r>
      <w:r w:rsidRPr="009221F2">
        <w:rPr>
          <w:i/>
          <w:iCs/>
          <w:rtl/>
        </w:rPr>
        <w:t>א</w:t>
      </w:r>
      <w:r w:rsidRPr="009221F2">
        <w:rPr>
          <w:rFonts w:hint="cs"/>
          <w:i/>
          <w:iCs/>
          <w:rtl/>
        </w:rPr>
        <w:t>,</w:t>
      </w:r>
      <w:r w:rsidRPr="009221F2">
        <w:rPr>
          <w:i/>
          <w:iCs/>
          <w:rtl/>
        </w:rPr>
        <w:t xml:space="preserve"> שאין הטומאה טיט או צואה שתעבור במים</w:t>
      </w:r>
      <w:r w:rsidRPr="009221F2">
        <w:rPr>
          <w:rFonts w:hint="cs"/>
          <w:i/>
          <w:iCs/>
          <w:rtl/>
        </w:rPr>
        <w:t>,</w:t>
      </w:r>
      <w:r w:rsidRPr="009221F2">
        <w:rPr>
          <w:i/>
          <w:iCs/>
          <w:rtl/>
        </w:rPr>
        <w:t xml:space="preserve"> אלא גזרת הכתוב היא</w:t>
      </w:r>
      <w:r w:rsidRPr="009221F2">
        <w:rPr>
          <w:rFonts w:hint="cs"/>
          <w:i/>
          <w:iCs/>
          <w:rtl/>
        </w:rPr>
        <w:t>,</w:t>
      </w:r>
      <w:r w:rsidRPr="009221F2">
        <w:rPr>
          <w:i/>
          <w:iCs/>
          <w:rtl/>
        </w:rPr>
        <w:t xml:space="preserve"> והדבר תלוי בכוונת הלב, ולפיכך אמרו חכמים טבל ולא הוחזק</w:t>
      </w:r>
      <w:r w:rsidRPr="009221F2">
        <w:rPr>
          <w:rFonts w:hint="cs"/>
          <w:i/>
          <w:iCs/>
          <w:rtl/>
        </w:rPr>
        <w:t xml:space="preserve"> </w:t>
      </w:r>
      <w:r w:rsidRPr="009221F2">
        <w:rPr>
          <w:i/>
          <w:iCs/>
          <w:rtl/>
        </w:rPr>
        <w:t>– כאילו לא טבל</w:t>
      </w:r>
      <w:r w:rsidRPr="009221F2">
        <w:rPr>
          <w:rFonts w:hint="cs"/>
          <w:i/>
          <w:iCs/>
          <w:rtl/>
        </w:rPr>
        <w:t>.</w:t>
      </w:r>
      <w:r w:rsidRPr="009221F2">
        <w:rPr>
          <w:i/>
          <w:iCs/>
          <w:rtl/>
        </w:rPr>
        <w:t xml:space="preserve"> </w:t>
      </w:r>
      <w:r w:rsidRPr="009221F2">
        <w:rPr>
          <w:rFonts w:hint="cs"/>
          <w:i/>
          <w:iCs/>
          <w:rtl/>
        </w:rPr>
        <w:t>ואף על פי כן,</w:t>
      </w:r>
      <w:r w:rsidRPr="009221F2">
        <w:rPr>
          <w:i/>
          <w:iCs/>
          <w:rtl/>
        </w:rPr>
        <w:t xml:space="preserve"> רמז יש בדבר</w:t>
      </w:r>
      <w:r w:rsidRPr="009221F2">
        <w:rPr>
          <w:rFonts w:hint="cs"/>
          <w:i/>
          <w:iCs/>
          <w:rtl/>
        </w:rPr>
        <w:t>:</w:t>
      </w:r>
      <w:r w:rsidRPr="009221F2">
        <w:rPr>
          <w:i/>
          <w:iCs/>
          <w:rtl/>
        </w:rPr>
        <w:t xml:space="preserve"> כשם שהמכון לבו לִטהר</w:t>
      </w:r>
      <w:r w:rsidRPr="009221F2">
        <w:rPr>
          <w:rFonts w:hint="cs"/>
          <w:i/>
          <w:iCs/>
          <w:rtl/>
        </w:rPr>
        <w:t>,</w:t>
      </w:r>
      <w:r w:rsidRPr="009221F2">
        <w:rPr>
          <w:i/>
          <w:iCs/>
          <w:rtl/>
        </w:rPr>
        <w:t xml:space="preserve"> כיון שטבל טָהַר</w:t>
      </w:r>
      <w:r w:rsidRPr="009221F2">
        <w:rPr>
          <w:rFonts w:hint="cs"/>
          <w:i/>
          <w:iCs/>
          <w:rtl/>
        </w:rPr>
        <w:t>,</w:t>
      </w:r>
      <w:r w:rsidRPr="009221F2">
        <w:rPr>
          <w:i/>
          <w:iCs/>
          <w:rtl/>
        </w:rPr>
        <w:t xml:space="preserve"> </w:t>
      </w:r>
      <w:r w:rsidRPr="009221F2">
        <w:rPr>
          <w:rFonts w:hint="cs"/>
          <w:i/>
          <w:iCs/>
          <w:rtl/>
        </w:rPr>
        <w:t xml:space="preserve">ואף על פי </w:t>
      </w:r>
      <w:r w:rsidRPr="009221F2">
        <w:rPr>
          <w:i/>
          <w:iCs/>
          <w:rtl/>
        </w:rPr>
        <w:t>שלא נתחדש בגופו דבר</w:t>
      </w:r>
      <w:r w:rsidRPr="009221F2">
        <w:rPr>
          <w:rFonts w:hint="cs"/>
          <w:i/>
          <w:iCs/>
          <w:rtl/>
        </w:rPr>
        <w:t xml:space="preserve"> </w:t>
      </w:r>
      <w:r w:rsidRPr="009221F2">
        <w:rPr>
          <w:i/>
          <w:iCs/>
          <w:rtl/>
        </w:rPr>
        <w:t>– כך המכ</w:t>
      </w:r>
      <w:r w:rsidRPr="009221F2">
        <w:rPr>
          <w:rFonts w:hint="cs"/>
          <w:i/>
          <w:iCs/>
          <w:rtl/>
        </w:rPr>
        <w:t>ו</w:t>
      </w:r>
      <w:r w:rsidRPr="009221F2">
        <w:rPr>
          <w:i/>
          <w:iCs/>
          <w:rtl/>
        </w:rPr>
        <w:t>ון לבו לטהר נפשו מטומאת הנפשות שהן מחשבות הא</w:t>
      </w:r>
      <w:r w:rsidRPr="009221F2">
        <w:rPr>
          <w:rFonts w:hint="cs"/>
          <w:i/>
          <w:iCs/>
          <w:rtl/>
        </w:rPr>
        <w:t>ו</w:t>
      </w:r>
      <w:r w:rsidRPr="009221F2">
        <w:rPr>
          <w:i/>
          <w:iCs/>
          <w:rtl/>
        </w:rPr>
        <w:t>ון ודעות</w:t>
      </w:r>
      <w:r w:rsidRPr="009221F2">
        <w:rPr>
          <w:rFonts w:hint="cs"/>
          <w:i/>
          <w:iCs/>
          <w:rtl/>
        </w:rPr>
        <w:t xml:space="preserve"> (מידות)</w:t>
      </w:r>
      <w:r w:rsidRPr="009221F2">
        <w:rPr>
          <w:i/>
          <w:iCs/>
          <w:rtl/>
        </w:rPr>
        <w:t xml:space="preserve"> הרעות, כיון שהסכים בלבו לפרוש מאותן העצות והביא נפשו במי הדֵע</w:t>
      </w:r>
      <w:r w:rsidRPr="009221F2">
        <w:rPr>
          <w:rFonts w:hint="cs"/>
          <w:i/>
          <w:iCs/>
          <w:rtl/>
        </w:rPr>
        <w:t>ו</w:t>
      </w:r>
      <w:r w:rsidRPr="009221F2">
        <w:rPr>
          <w:i/>
          <w:iCs/>
          <w:rtl/>
        </w:rPr>
        <w:t>ת</w:t>
      </w:r>
      <w:r w:rsidRPr="009221F2">
        <w:rPr>
          <w:rFonts w:hint="cs"/>
          <w:i/>
          <w:iCs/>
          <w:rtl/>
        </w:rPr>
        <w:t>,</w:t>
      </w:r>
      <w:r w:rsidRPr="009221F2">
        <w:rPr>
          <w:i/>
          <w:iCs/>
          <w:rtl/>
        </w:rPr>
        <w:t xml:space="preserve"> טהר</w:t>
      </w:r>
      <w:r w:rsidRPr="009221F2">
        <w:rPr>
          <w:rFonts w:hint="cs"/>
          <w:i/>
          <w:iCs/>
          <w:rtl/>
        </w:rPr>
        <w:t>;</w:t>
      </w:r>
      <w:r w:rsidRPr="009221F2">
        <w:rPr>
          <w:i/>
          <w:iCs/>
          <w:rtl/>
        </w:rPr>
        <w:t xml:space="preserve"> הרי הוא אומר</w:t>
      </w:r>
      <w:r w:rsidRPr="009221F2">
        <w:rPr>
          <w:rFonts w:hint="cs"/>
          <w:i/>
          <w:iCs/>
          <w:rtl/>
        </w:rPr>
        <w:t>:</w:t>
      </w:r>
      <w:r w:rsidRPr="009221F2">
        <w:rPr>
          <w:i/>
          <w:iCs/>
          <w:rtl/>
        </w:rPr>
        <w:t xml:space="preserve"> </w:t>
      </w:r>
      <w:r w:rsidRPr="009221F2">
        <w:rPr>
          <w:rFonts w:hint="cs"/>
          <w:i/>
          <w:iCs/>
          <w:rtl/>
        </w:rPr>
        <w:t>'</w:t>
      </w:r>
      <w:r w:rsidRPr="009221F2">
        <w:rPr>
          <w:i/>
          <w:iCs/>
          <w:rtl/>
        </w:rPr>
        <w:t>וזרקתי עליכם מים טהורים וטהרתם</w:t>
      </w:r>
      <w:r w:rsidRPr="009221F2">
        <w:rPr>
          <w:rFonts w:hint="cs"/>
          <w:i/>
          <w:iCs/>
          <w:rtl/>
        </w:rPr>
        <w:t>,</w:t>
      </w:r>
      <w:r w:rsidRPr="009221F2">
        <w:rPr>
          <w:i/>
          <w:iCs/>
          <w:rtl/>
        </w:rPr>
        <w:t xml:space="preserve"> מכל טומאותיכם ומכל </w:t>
      </w:r>
      <w:proofErr w:type="spellStart"/>
      <w:r w:rsidRPr="009221F2">
        <w:rPr>
          <w:i/>
          <w:iCs/>
          <w:rtl/>
        </w:rPr>
        <w:t>גלוליכם</w:t>
      </w:r>
      <w:proofErr w:type="spellEnd"/>
      <w:r w:rsidRPr="009221F2">
        <w:rPr>
          <w:i/>
          <w:iCs/>
          <w:rtl/>
        </w:rPr>
        <w:t xml:space="preserve"> אטהר אתכם</w:t>
      </w:r>
      <w:r w:rsidRPr="009221F2">
        <w:rPr>
          <w:rFonts w:hint="cs"/>
          <w:i/>
          <w:iCs/>
          <w:rtl/>
        </w:rPr>
        <w:t>' (יחזקאל לו, כה).</w:t>
      </w:r>
      <w:r w:rsidRPr="009221F2">
        <w:rPr>
          <w:vertAlign w:val="superscript"/>
          <w:rtl/>
        </w:rPr>
        <w:footnoteReference w:id="9"/>
      </w:r>
    </w:p>
    <w:p w:rsidR="007E62D1" w:rsidRPr="009221F2" w:rsidRDefault="007E62D1" w:rsidP="007E62D1">
      <w:pPr>
        <w:tabs>
          <w:tab w:val="left" w:pos="1262"/>
        </w:tabs>
        <w:jc w:val="both"/>
        <w:rPr>
          <w:rtl/>
        </w:rPr>
      </w:pPr>
    </w:p>
    <w:p w:rsidR="007E62D1" w:rsidRPr="009221F2" w:rsidRDefault="007E62D1" w:rsidP="007E62D1">
      <w:pPr>
        <w:tabs>
          <w:tab w:val="left" w:pos="1262"/>
        </w:tabs>
        <w:jc w:val="both"/>
        <w:rPr>
          <w:b/>
          <w:bCs/>
          <w:u w:val="single"/>
          <w:rtl/>
        </w:rPr>
      </w:pPr>
      <w:r w:rsidRPr="009221F2">
        <w:rPr>
          <w:rFonts w:hint="cs"/>
          <w:b/>
          <w:bCs/>
          <w:u w:val="single"/>
          <w:rtl/>
        </w:rPr>
        <w:t xml:space="preserve">ג. הקלה בחומרת הלכות טומאה וטהרה </w:t>
      </w:r>
      <w:r w:rsidRPr="009221F2">
        <w:rPr>
          <w:b/>
          <w:bCs/>
          <w:u w:val="single"/>
          <w:rtl/>
        </w:rPr>
        <w:t>–</w:t>
      </w:r>
      <w:r w:rsidRPr="009221F2">
        <w:rPr>
          <w:rFonts w:hint="cs"/>
          <w:b/>
          <w:bCs/>
          <w:u w:val="single"/>
          <w:rtl/>
        </w:rPr>
        <w:t xml:space="preserve"> לשם מה? </w:t>
      </w:r>
    </w:p>
    <w:p w:rsidR="007E62D1" w:rsidRPr="009221F2" w:rsidRDefault="007E62D1" w:rsidP="007E62D1">
      <w:pPr>
        <w:tabs>
          <w:tab w:val="left" w:pos="1262"/>
        </w:tabs>
        <w:jc w:val="both"/>
        <w:rPr>
          <w:u w:val="single"/>
          <w:rtl/>
        </w:rPr>
      </w:pPr>
      <w:r w:rsidRPr="009221F2">
        <w:rPr>
          <w:rFonts w:hint="cs"/>
          <w:u w:val="single"/>
          <w:rtl/>
        </w:rPr>
        <w:t>השלב השני</w:t>
      </w:r>
    </w:p>
    <w:p w:rsidR="007E62D1" w:rsidRPr="009221F2" w:rsidRDefault="007E62D1" w:rsidP="007E62D1">
      <w:pPr>
        <w:tabs>
          <w:tab w:val="left" w:pos="1262"/>
        </w:tabs>
        <w:jc w:val="both"/>
        <w:rPr>
          <w:rtl/>
        </w:rPr>
      </w:pPr>
      <w:r w:rsidRPr="009221F2">
        <w:rPr>
          <w:rtl/>
        </w:rPr>
        <w:t>בהיגיון של "הפוך על הפוך"</w:t>
      </w:r>
      <w:r w:rsidRPr="009221F2">
        <w:rPr>
          <w:rFonts w:hint="cs"/>
          <w:rtl/>
        </w:rPr>
        <w:t>,</w:t>
      </w:r>
      <w:r w:rsidRPr="009221F2">
        <w:rPr>
          <w:rtl/>
        </w:rPr>
        <w:t xml:space="preserve"> חומרת "הקודש" ביחס לתרומה יוצרת מצב </w:t>
      </w:r>
      <w:r w:rsidRPr="009221F2">
        <w:rPr>
          <w:rFonts w:hint="cs"/>
          <w:rtl/>
        </w:rPr>
        <w:t>ש</w:t>
      </w:r>
      <w:r w:rsidRPr="009221F2">
        <w:rPr>
          <w:rtl/>
        </w:rPr>
        <w:t>בו אפשר להקל בו בשאלות</w:t>
      </w:r>
      <w:r w:rsidRPr="009221F2">
        <w:rPr>
          <w:rFonts w:hint="cs"/>
          <w:rtl/>
        </w:rPr>
        <w:t xml:space="preserve"> של</w:t>
      </w:r>
      <w:r w:rsidRPr="009221F2">
        <w:rPr>
          <w:rtl/>
        </w:rPr>
        <w:t xml:space="preserve"> נאמנות אדם המביא לאדם אחר אוכל</w:t>
      </w:r>
      <w:r w:rsidRPr="009221F2">
        <w:rPr>
          <w:rFonts w:hint="cs"/>
          <w:rtl/>
        </w:rPr>
        <w:t xml:space="preserve"> או כלי</w:t>
      </w:r>
      <w:r w:rsidRPr="009221F2">
        <w:rPr>
          <w:rtl/>
        </w:rPr>
        <w:t xml:space="preserve"> החייב בשמירת טהרה</w:t>
      </w:r>
      <w:r w:rsidRPr="009221F2">
        <w:rPr>
          <w:rFonts w:hint="cs"/>
          <w:rtl/>
        </w:rPr>
        <w:t xml:space="preserve"> בדרגה גבוהה כמו זו של הקודש</w:t>
      </w:r>
      <w:r w:rsidRPr="009221F2">
        <w:rPr>
          <w:rtl/>
        </w:rPr>
        <w:t xml:space="preserve">. כמו בשאלות </w:t>
      </w:r>
      <w:r w:rsidRPr="009221F2">
        <w:rPr>
          <w:rFonts w:hint="cs"/>
          <w:rtl/>
        </w:rPr>
        <w:t>הנוגעות כ</w:t>
      </w:r>
      <w:r w:rsidRPr="009221F2">
        <w:rPr>
          <w:rtl/>
        </w:rPr>
        <w:t xml:space="preserve">יום </w:t>
      </w:r>
      <w:r w:rsidRPr="009221F2">
        <w:rPr>
          <w:rFonts w:hint="cs"/>
          <w:rtl/>
        </w:rPr>
        <w:t>ביחס</w:t>
      </w:r>
      <w:r w:rsidRPr="009221F2">
        <w:rPr>
          <w:rtl/>
        </w:rPr>
        <w:t xml:space="preserve"> </w:t>
      </w:r>
      <w:r w:rsidRPr="009221F2">
        <w:rPr>
          <w:rFonts w:hint="cs"/>
          <w:rtl/>
        </w:rPr>
        <w:t>ל</w:t>
      </w:r>
      <w:r w:rsidRPr="009221F2">
        <w:rPr>
          <w:rtl/>
        </w:rPr>
        <w:t xml:space="preserve">אכילה בבתי חברים בנוגע לשמירה על כשרות, </w:t>
      </w:r>
      <w:r w:rsidRPr="009221F2">
        <w:rPr>
          <w:rFonts w:hint="cs"/>
          <w:rtl/>
        </w:rPr>
        <w:t>ול</w:t>
      </w:r>
      <w:r w:rsidRPr="009221F2">
        <w:rPr>
          <w:rtl/>
        </w:rPr>
        <w:t>יחסי מסחר ושכנות</w:t>
      </w:r>
      <w:r w:rsidRPr="009221F2">
        <w:rPr>
          <w:rFonts w:hint="cs"/>
          <w:rtl/>
        </w:rPr>
        <w:t xml:space="preserve"> </w:t>
      </w:r>
      <w:r w:rsidRPr="009221F2">
        <w:rPr>
          <w:rtl/>
        </w:rPr>
        <w:t>–</w:t>
      </w:r>
      <w:r w:rsidRPr="009221F2">
        <w:rPr>
          <w:rFonts w:hint="cs"/>
          <w:rtl/>
        </w:rPr>
        <w:t xml:space="preserve"> כך</w:t>
      </w:r>
      <w:r w:rsidRPr="009221F2">
        <w:rPr>
          <w:rtl/>
        </w:rPr>
        <w:t xml:space="preserve"> </w:t>
      </w:r>
      <w:r w:rsidRPr="009221F2">
        <w:rPr>
          <w:rFonts w:hint="cs"/>
          <w:rtl/>
        </w:rPr>
        <w:t xml:space="preserve">בעבר </w:t>
      </w:r>
      <w:r w:rsidRPr="009221F2">
        <w:rPr>
          <w:rtl/>
        </w:rPr>
        <w:t xml:space="preserve">היו שאלות הלכתיות לגבי טהרת אוכל שעבר מיד ליד. השמירה על הטהרה לא </w:t>
      </w:r>
      <w:proofErr w:type="spellStart"/>
      <w:r w:rsidRPr="009221F2">
        <w:rPr>
          <w:rtl/>
        </w:rPr>
        <w:t>היתה</w:t>
      </w:r>
      <w:proofErr w:type="spellEnd"/>
      <w:r w:rsidRPr="009221F2">
        <w:rPr>
          <w:rtl/>
        </w:rPr>
        <w:t xml:space="preserve"> שווה בין אדם לאדם, בין משפחה למשפחה. האפשרות להשתמש באוכל </w:t>
      </w:r>
      <w:r w:rsidRPr="009221F2">
        <w:rPr>
          <w:rFonts w:hint="cs"/>
          <w:rtl/>
        </w:rPr>
        <w:t xml:space="preserve">או בכלי </w:t>
      </w:r>
      <w:r w:rsidRPr="009221F2">
        <w:rPr>
          <w:rtl/>
        </w:rPr>
        <w:t xml:space="preserve">לשם תרומה או קרבן </w:t>
      </w:r>
      <w:proofErr w:type="spellStart"/>
      <w:r w:rsidRPr="009221F2">
        <w:rPr>
          <w:rtl/>
        </w:rPr>
        <w:t>היתה</w:t>
      </w:r>
      <w:proofErr w:type="spellEnd"/>
      <w:r w:rsidRPr="009221F2">
        <w:rPr>
          <w:rtl/>
        </w:rPr>
        <w:t xml:space="preserve"> תלויה ביכולת לסמוך על חבר או שכן שהעיד על דרגת שמירת הטהרה שלו ושל ביתו.</w:t>
      </w:r>
    </w:p>
    <w:p w:rsidR="007E62D1" w:rsidRPr="009221F2" w:rsidRDefault="007E62D1" w:rsidP="007E62D1">
      <w:pPr>
        <w:tabs>
          <w:tab w:val="left" w:pos="1262"/>
        </w:tabs>
        <w:jc w:val="both"/>
        <w:rPr>
          <w:rtl/>
        </w:rPr>
      </w:pPr>
      <w:r w:rsidRPr="009221F2">
        <w:rPr>
          <w:rtl/>
        </w:rPr>
        <w:t>באופן פרדוקסאלי ההלכה קובעת שאדם שהעיד על עצמו ששמר על טהרת "קודש" נאמן, אבל המעיד ששמר תרומה אינו נאמן.</w:t>
      </w:r>
      <w:r w:rsidRPr="009221F2">
        <w:rPr>
          <w:vertAlign w:val="superscript"/>
          <w:rtl/>
        </w:rPr>
        <w:footnoteReference w:id="10"/>
      </w:r>
      <w:r w:rsidRPr="009221F2">
        <w:rPr>
          <w:rtl/>
        </w:rPr>
        <w:t xml:space="preserve"> ההקלה נובעת מעצם החומרה היחסית של הקודש. חביבות הקודש והיראה ממנו, לעומת היחס </w:t>
      </w:r>
      <w:r w:rsidRPr="009221F2">
        <w:rPr>
          <w:rFonts w:hint="cs"/>
          <w:rtl/>
        </w:rPr>
        <w:t xml:space="preserve">הקל </w:t>
      </w:r>
      <w:r w:rsidRPr="009221F2">
        <w:rPr>
          <w:rtl/>
        </w:rPr>
        <w:t>לתרומה, היא ש</w:t>
      </w:r>
      <w:r w:rsidRPr="009221F2">
        <w:rPr>
          <w:rFonts w:hint="cs"/>
          <w:rtl/>
        </w:rPr>
        <w:t>ה</w:t>
      </w:r>
      <w:r w:rsidRPr="009221F2">
        <w:rPr>
          <w:rtl/>
        </w:rPr>
        <w:t>ביא</w:t>
      </w:r>
      <w:r w:rsidRPr="009221F2">
        <w:rPr>
          <w:rFonts w:hint="cs"/>
          <w:rtl/>
        </w:rPr>
        <w:t>ה</w:t>
      </w:r>
      <w:r w:rsidRPr="009221F2">
        <w:rPr>
          <w:rtl/>
        </w:rPr>
        <w:t xml:space="preserve"> להקפדה יתרה על הקודש</w:t>
      </w:r>
      <w:r w:rsidRPr="009221F2">
        <w:rPr>
          <w:rFonts w:hint="cs"/>
          <w:rtl/>
        </w:rPr>
        <w:t xml:space="preserve"> ול</w:t>
      </w:r>
      <w:r w:rsidRPr="009221F2">
        <w:rPr>
          <w:rtl/>
        </w:rPr>
        <w:t xml:space="preserve">רתיעה מלשקר </w:t>
      </w:r>
      <w:r w:rsidRPr="009221F2">
        <w:rPr>
          <w:rFonts w:hint="cs"/>
          <w:rtl/>
        </w:rPr>
        <w:t>לגביו</w:t>
      </w:r>
      <w:r w:rsidRPr="009221F2">
        <w:rPr>
          <w:rtl/>
        </w:rPr>
        <w:t>, מה שאינו מתחייב בקשר לתרומה.</w:t>
      </w:r>
    </w:p>
    <w:p w:rsidR="007E62D1" w:rsidRPr="009221F2" w:rsidRDefault="007E62D1" w:rsidP="007E62D1">
      <w:pPr>
        <w:tabs>
          <w:tab w:val="left" w:pos="1262"/>
        </w:tabs>
        <w:jc w:val="both"/>
        <w:rPr>
          <w:rtl/>
        </w:rPr>
      </w:pPr>
      <w:r w:rsidRPr="009221F2">
        <w:rPr>
          <w:rtl/>
        </w:rPr>
        <w:t>הנחה בסיסית זו</w:t>
      </w:r>
      <w:r w:rsidRPr="009221F2">
        <w:rPr>
          <w:rFonts w:hint="cs"/>
          <w:rtl/>
        </w:rPr>
        <w:t>,</w:t>
      </w:r>
      <w:r w:rsidRPr="009221F2">
        <w:rPr>
          <w:rtl/>
        </w:rPr>
        <w:t xml:space="preserve"> החושפת את נקודת ההתקשרות של הציבור הרחב</w:t>
      </w:r>
      <w:r w:rsidRPr="009221F2">
        <w:rPr>
          <w:rFonts w:hint="cs"/>
          <w:rtl/>
        </w:rPr>
        <w:t xml:space="preserve"> </w:t>
      </w:r>
      <w:r w:rsidRPr="009221F2">
        <w:rPr>
          <w:rtl/>
        </w:rPr>
        <w:t>– גם עמי הארץ</w:t>
      </w:r>
      <w:r w:rsidRPr="009221F2">
        <w:rPr>
          <w:rFonts w:hint="cs"/>
          <w:rtl/>
        </w:rPr>
        <w:t>,</w:t>
      </w:r>
      <w:r w:rsidRPr="009221F2">
        <w:rPr>
          <w:rtl/>
        </w:rPr>
        <w:t xml:space="preserve"> ולא רק החסידים והחברים שהקפידו הקפדה יתרה על הלכות שמירת טהרה – מהווה בסיס לסיום המפתיע של סדר מועד.</w:t>
      </w:r>
    </w:p>
    <w:p w:rsidR="007E62D1" w:rsidRPr="009221F2" w:rsidRDefault="007E62D1" w:rsidP="007E62D1">
      <w:pPr>
        <w:tabs>
          <w:tab w:val="left" w:pos="1262"/>
        </w:tabs>
        <w:jc w:val="both"/>
        <w:rPr>
          <w:u w:val="single"/>
          <w:rtl/>
        </w:rPr>
      </w:pPr>
    </w:p>
    <w:p w:rsidR="007E62D1" w:rsidRPr="009221F2" w:rsidRDefault="007E62D1" w:rsidP="007E62D1">
      <w:pPr>
        <w:tabs>
          <w:tab w:val="left" w:pos="1262"/>
        </w:tabs>
        <w:jc w:val="both"/>
        <w:rPr>
          <w:rtl/>
        </w:rPr>
      </w:pPr>
      <w:r w:rsidRPr="009221F2">
        <w:rPr>
          <w:u w:val="single"/>
          <w:rtl/>
        </w:rPr>
        <w:t>השלב השלישי</w:t>
      </w:r>
      <w:r w:rsidRPr="009221F2">
        <w:rPr>
          <w:rtl/>
        </w:rPr>
        <w:t xml:space="preserve"> </w:t>
      </w:r>
    </w:p>
    <w:p w:rsidR="007E62D1" w:rsidRPr="009221F2" w:rsidRDefault="007E62D1" w:rsidP="007E62D1">
      <w:pPr>
        <w:tabs>
          <w:tab w:val="left" w:pos="1262"/>
        </w:tabs>
        <w:jc w:val="both"/>
        <w:rPr>
          <w:rtl/>
        </w:rPr>
      </w:pPr>
      <w:r w:rsidRPr="009221F2">
        <w:rPr>
          <w:rtl/>
        </w:rPr>
        <w:t>מעמדו המיוחד של בית המקדש התבטא באופן יסודי ביותר בהלכות טומאה וטהרה. הטומאה נמצאת במקום של הרחקה משורש החיים – בבלות הגוף, באיבוד כוח הפריון, בחטא ובמוות.</w:t>
      </w:r>
      <w:r w:rsidRPr="009221F2">
        <w:rPr>
          <w:vertAlign w:val="superscript"/>
          <w:rtl/>
        </w:rPr>
        <w:footnoteReference w:id="11"/>
      </w:r>
      <w:r w:rsidRPr="009221F2">
        <w:rPr>
          <w:rtl/>
        </w:rPr>
        <w:t xml:space="preserve"> המקדש כמקום השראת השכינה היווה </w:t>
      </w:r>
      <w:r w:rsidRPr="009221F2">
        <w:rPr>
          <w:rFonts w:hint="cs"/>
          <w:rtl/>
        </w:rPr>
        <w:t xml:space="preserve">את </w:t>
      </w:r>
      <w:r w:rsidRPr="009221F2">
        <w:rPr>
          <w:rtl/>
        </w:rPr>
        <w:t xml:space="preserve">שורש הברכה, העצמת החיים וגילוי התורה. למדנו בסוגיות רבות לאורך סדר מועד </w:t>
      </w:r>
      <w:r w:rsidRPr="009221F2">
        <w:rPr>
          <w:rFonts w:hint="cs"/>
          <w:rtl/>
        </w:rPr>
        <w:t>על</w:t>
      </w:r>
      <w:r w:rsidRPr="009221F2">
        <w:rPr>
          <w:rtl/>
        </w:rPr>
        <w:t xml:space="preserve"> ההקפדה החמורה בהבאת טומאה לתוך בית המקדש עצמו. לעומת זאת</w:t>
      </w:r>
      <w:r w:rsidRPr="009221F2">
        <w:rPr>
          <w:rFonts w:hint="cs"/>
          <w:rtl/>
        </w:rPr>
        <w:t>,</w:t>
      </w:r>
      <w:r w:rsidRPr="009221F2">
        <w:rPr>
          <w:rtl/>
        </w:rPr>
        <w:t xml:space="preserve"> למדנו במקרה החשוב של הבאת קרבן פסח שעה </w:t>
      </w:r>
      <w:r w:rsidRPr="009221F2">
        <w:rPr>
          <w:rtl/>
        </w:rPr>
        <w:lastRenderedPageBreak/>
        <w:t>שכל הציבור היה טמא</w:t>
      </w:r>
      <w:r w:rsidRPr="009221F2">
        <w:rPr>
          <w:rFonts w:hint="cs"/>
          <w:rtl/>
        </w:rPr>
        <w:t>,</w:t>
      </w:r>
      <w:r w:rsidRPr="009221F2">
        <w:rPr>
          <w:rtl/>
        </w:rPr>
        <w:t xml:space="preserve"> שנדחתה הטומאה במקדש, כאילו נעלמה לשעה.</w:t>
      </w:r>
      <w:r w:rsidRPr="009221F2">
        <w:rPr>
          <w:vertAlign w:val="superscript"/>
          <w:rtl/>
        </w:rPr>
        <w:footnoteReference w:id="12"/>
      </w:r>
      <w:r w:rsidRPr="009221F2">
        <w:rPr>
          <w:rtl/>
        </w:rPr>
        <w:t xml:space="preserve"> ברוח דומה מסיים התלמוד את סדר מועד.</w:t>
      </w:r>
    </w:p>
    <w:p w:rsidR="007E62D1" w:rsidRPr="009221F2" w:rsidRDefault="007E62D1" w:rsidP="007E62D1">
      <w:pPr>
        <w:tabs>
          <w:tab w:val="left" w:pos="1262"/>
        </w:tabs>
        <w:jc w:val="both"/>
        <w:rPr>
          <w:rtl/>
        </w:rPr>
      </w:pPr>
      <w:r w:rsidRPr="009221F2">
        <w:rPr>
          <w:rtl/>
        </w:rPr>
        <w:t xml:space="preserve">בתקופת העלייה לרגל, עת שהייתם של רבים במקדש היו </w:t>
      </w:r>
      <w:r w:rsidRPr="009221F2">
        <w:rPr>
          <w:rFonts w:hint="cs"/>
          <w:rtl/>
        </w:rPr>
        <w:t xml:space="preserve">אי </w:t>
      </w:r>
      <w:r w:rsidRPr="009221F2">
        <w:rPr>
          <w:rtl/>
        </w:rPr>
        <w:t>אלו, אפילו כוהנים, ש</w:t>
      </w:r>
      <w:r w:rsidRPr="009221F2">
        <w:rPr>
          <w:rFonts w:hint="cs"/>
          <w:rtl/>
        </w:rPr>
        <w:t>יש להניח ש</w:t>
      </w:r>
      <w:r w:rsidRPr="009221F2">
        <w:rPr>
          <w:rtl/>
        </w:rPr>
        <w:t>לא שמרו על טהרתם דיו</w:t>
      </w:r>
      <w:r w:rsidRPr="009221F2">
        <w:rPr>
          <w:rFonts w:hint="cs"/>
          <w:rtl/>
        </w:rPr>
        <w:t>, והם</w:t>
      </w:r>
      <w:r w:rsidRPr="009221F2">
        <w:rPr>
          <w:rtl/>
        </w:rPr>
        <w:t xml:space="preserve"> נגעו בכלי המקדש עצמם וט</w:t>
      </w:r>
      <w:r w:rsidRPr="009221F2">
        <w:rPr>
          <w:rFonts w:hint="cs"/>
          <w:rtl/>
        </w:rPr>
        <w:t>י</w:t>
      </w:r>
      <w:r w:rsidRPr="009221F2">
        <w:rPr>
          <w:rtl/>
        </w:rPr>
        <w:t>מאום. אך הפלא ופלא – במשך שבוע המועד כמו נעלמה הדרישה החמורה של שמירת הטהרה במקום השראת השכינה. עולי הרגל הסתובבו בעזרות וכוהנים עמי הארץ בהיכל עצמו</w:t>
      </w:r>
      <w:r w:rsidRPr="009221F2">
        <w:rPr>
          <w:rFonts w:hint="cs"/>
          <w:rtl/>
        </w:rPr>
        <w:t>,</w:t>
      </w:r>
      <w:r w:rsidRPr="009221F2">
        <w:rPr>
          <w:rtl/>
        </w:rPr>
        <w:t xml:space="preserve"> ולא חשו להיטמאות כלי המקדש. יתר על כן, באופן פרדו</w:t>
      </w:r>
      <w:r w:rsidRPr="009221F2">
        <w:rPr>
          <w:rFonts w:hint="cs"/>
          <w:rtl/>
        </w:rPr>
        <w:t>ק</w:t>
      </w:r>
      <w:r w:rsidRPr="009221F2">
        <w:rPr>
          <w:rtl/>
        </w:rPr>
        <w:t>ס</w:t>
      </w:r>
      <w:r w:rsidRPr="009221F2">
        <w:rPr>
          <w:rFonts w:hint="cs"/>
          <w:rtl/>
        </w:rPr>
        <w:t>א</w:t>
      </w:r>
      <w:r w:rsidRPr="009221F2">
        <w:rPr>
          <w:rtl/>
        </w:rPr>
        <w:t>לי לחלוטין</w:t>
      </w:r>
      <w:r w:rsidRPr="009221F2">
        <w:rPr>
          <w:rFonts w:hint="cs"/>
          <w:rtl/>
        </w:rPr>
        <w:t>,</w:t>
      </w:r>
      <w:r w:rsidRPr="009221F2">
        <w:rPr>
          <w:rtl/>
        </w:rPr>
        <w:t xml:space="preserve"> ההקפדה היתרה על טהרת המקדש וכליו חזרה והתעוררה מיד לאחר המועד. כאשר עולי הרגל חזרו לביתם</w:t>
      </w:r>
      <w:r w:rsidRPr="009221F2">
        <w:rPr>
          <w:rFonts w:hint="cs"/>
          <w:rtl/>
        </w:rPr>
        <w:t>,</w:t>
      </w:r>
      <w:r w:rsidRPr="009221F2">
        <w:rPr>
          <w:rtl/>
        </w:rPr>
        <w:t xml:space="preserve"> החליפו את הכלים באחרים וטבלו אותם היות </w:t>
      </w:r>
      <w:r w:rsidRPr="009221F2">
        <w:rPr>
          <w:rFonts w:hint="cs"/>
          <w:rtl/>
        </w:rPr>
        <w:t>ש</w:t>
      </w:r>
      <w:r w:rsidRPr="009221F2">
        <w:rPr>
          <w:rtl/>
        </w:rPr>
        <w:t>היה חשש כבד שנטמאו</w:t>
      </w:r>
      <w:r w:rsidRPr="009221F2">
        <w:rPr>
          <w:rFonts w:hint="cs"/>
          <w:rtl/>
        </w:rPr>
        <w:t>:</w:t>
      </w:r>
    </w:p>
    <w:p w:rsidR="007E62D1" w:rsidRPr="009221F2" w:rsidRDefault="007E62D1" w:rsidP="007E62D1">
      <w:pPr>
        <w:tabs>
          <w:tab w:val="left" w:pos="1262"/>
        </w:tabs>
        <w:jc w:val="both"/>
        <w:rPr>
          <w:i/>
          <w:iCs/>
          <w:rtl/>
        </w:rPr>
      </w:pPr>
      <w:r w:rsidRPr="009221F2">
        <w:rPr>
          <w:i/>
          <w:iCs/>
          <w:rtl/>
        </w:rPr>
        <w:t xml:space="preserve">משעבר הרגל היו </w:t>
      </w:r>
      <w:proofErr w:type="spellStart"/>
      <w:r w:rsidRPr="009221F2">
        <w:rPr>
          <w:i/>
          <w:iCs/>
          <w:rtl/>
        </w:rPr>
        <w:t>מעבירין</w:t>
      </w:r>
      <w:proofErr w:type="spellEnd"/>
      <w:r w:rsidRPr="009221F2">
        <w:rPr>
          <w:i/>
          <w:iCs/>
          <w:rtl/>
        </w:rPr>
        <w:t xml:space="preserve"> על טהרת עזרה</w:t>
      </w:r>
      <w:r w:rsidRPr="009221F2">
        <w:rPr>
          <w:rFonts w:hint="cs"/>
          <w:i/>
          <w:iCs/>
          <w:rtl/>
        </w:rPr>
        <w:t>...</w:t>
      </w:r>
      <w:r w:rsidRPr="009221F2">
        <w:rPr>
          <w:i/>
          <w:iCs/>
          <w:rtl/>
        </w:rPr>
        <w:t xml:space="preserve"> כיצד מעבירים על טהרת עזרה</w:t>
      </w:r>
      <w:r w:rsidRPr="009221F2">
        <w:rPr>
          <w:rFonts w:hint="cs"/>
          <w:i/>
          <w:iCs/>
          <w:rtl/>
        </w:rPr>
        <w:t>?</w:t>
      </w:r>
      <w:r w:rsidRPr="009221F2">
        <w:rPr>
          <w:i/>
          <w:iCs/>
          <w:rtl/>
        </w:rPr>
        <w:t xml:space="preserve"> </w:t>
      </w:r>
      <w:proofErr w:type="spellStart"/>
      <w:r w:rsidRPr="009221F2">
        <w:rPr>
          <w:i/>
          <w:iCs/>
          <w:rtl/>
        </w:rPr>
        <w:t>מטבילין</w:t>
      </w:r>
      <w:proofErr w:type="spellEnd"/>
      <w:r w:rsidRPr="009221F2">
        <w:rPr>
          <w:i/>
          <w:iCs/>
          <w:rtl/>
        </w:rPr>
        <w:t xml:space="preserve"> את הכלים שהיו במקדש</w:t>
      </w:r>
      <w:r w:rsidRPr="009221F2">
        <w:rPr>
          <w:rFonts w:hint="cs"/>
          <w:i/>
          <w:iCs/>
          <w:rtl/>
        </w:rPr>
        <w:t>,</w:t>
      </w:r>
      <w:r w:rsidRPr="009221F2">
        <w:rPr>
          <w:i/>
          <w:iCs/>
          <w:rtl/>
        </w:rPr>
        <w:t xml:space="preserve"> </w:t>
      </w:r>
      <w:proofErr w:type="spellStart"/>
      <w:r w:rsidRPr="009221F2">
        <w:rPr>
          <w:i/>
          <w:iCs/>
          <w:rtl/>
        </w:rPr>
        <w:t>ואומרין</w:t>
      </w:r>
      <w:proofErr w:type="spellEnd"/>
      <w:r w:rsidRPr="009221F2">
        <w:rPr>
          <w:i/>
          <w:iCs/>
          <w:rtl/>
        </w:rPr>
        <w:t xml:space="preserve"> להם </w:t>
      </w:r>
      <w:r w:rsidRPr="009221F2">
        <w:rPr>
          <w:rFonts w:hint="cs"/>
          <w:i/>
          <w:iCs/>
          <w:rtl/>
        </w:rPr>
        <w:t xml:space="preserve">(לכוהנים עמי הארץ בזמן הרגל): </w:t>
      </w:r>
      <w:proofErr w:type="spellStart"/>
      <w:r w:rsidRPr="009221F2">
        <w:rPr>
          <w:i/>
          <w:iCs/>
          <w:rtl/>
        </w:rPr>
        <w:t>הזהרו</w:t>
      </w:r>
      <w:proofErr w:type="spellEnd"/>
      <w:r w:rsidRPr="009221F2">
        <w:rPr>
          <w:i/>
          <w:iCs/>
          <w:rtl/>
        </w:rPr>
        <w:t xml:space="preserve"> שלא תגעו בשלחן ובמנורה ותטמאוהו</w:t>
      </w:r>
      <w:r w:rsidRPr="009221F2">
        <w:rPr>
          <w:rFonts w:hint="cs"/>
          <w:i/>
          <w:iCs/>
          <w:rtl/>
        </w:rPr>
        <w:t>!</w:t>
      </w:r>
      <w:r w:rsidRPr="009221F2">
        <w:rPr>
          <w:i/>
          <w:iCs/>
          <w:rtl/>
        </w:rPr>
        <w:t xml:space="preserve"> כל הכלים שהיו במקדש יש להם שניים ושלישים</w:t>
      </w:r>
      <w:r w:rsidRPr="009221F2">
        <w:rPr>
          <w:rFonts w:hint="cs"/>
          <w:i/>
          <w:iCs/>
          <w:rtl/>
        </w:rPr>
        <w:t>,</w:t>
      </w:r>
      <w:r w:rsidRPr="009221F2">
        <w:rPr>
          <w:i/>
          <w:iCs/>
          <w:rtl/>
        </w:rPr>
        <w:t xml:space="preserve"> שאם נטמאו הראשונים יביאו שניים תחתיהן</w:t>
      </w:r>
      <w:r w:rsidRPr="009221F2">
        <w:rPr>
          <w:rFonts w:hint="cs"/>
          <w:i/>
          <w:iCs/>
          <w:rtl/>
        </w:rPr>
        <w:t>.</w:t>
      </w:r>
      <w:r w:rsidRPr="009221F2">
        <w:rPr>
          <w:i/>
          <w:iCs/>
          <w:rtl/>
        </w:rPr>
        <w:t xml:space="preserve"> כל הכלים שהיו במקדש </w:t>
      </w:r>
      <w:proofErr w:type="spellStart"/>
      <w:r w:rsidRPr="009221F2">
        <w:rPr>
          <w:i/>
          <w:iCs/>
          <w:rtl/>
        </w:rPr>
        <w:t>טעונין</w:t>
      </w:r>
      <w:proofErr w:type="spellEnd"/>
      <w:r w:rsidRPr="009221F2">
        <w:rPr>
          <w:i/>
          <w:iCs/>
          <w:rtl/>
        </w:rPr>
        <w:t xml:space="preserve"> טבילה</w:t>
      </w:r>
      <w:r w:rsidRPr="009221F2">
        <w:rPr>
          <w:rFonts w:hint="cs"/>
          <w:i/>
          <w:iCs/>
          <w:rtl/>
        </w:rPr>
        <w:t>,</w:t>
      </w:r>
      <w:r w:rsidRPr="009221F2">
        <w:rPr>
          <w:i/>
          <w:iCs/>
          <w:rtl/>
        </w:rPr>
        <w:t xml:space="preserve"> חוץ ממזבח הזהב ומזבח </w:t>
      </w:r>
      <w:proofErr w:type="spellStart"/>
      <w:r w:rsidRPr="009221F2">
        <w:rPr>
          <w:i/>
          <w:iCs/>
          <w:rtl/>
        </w:rPr>
        <w:t>הנחשת</w:t>
      </w:r>
      <w:proofErr w:type="spellEnd"/>
      <w:r w:rsidRPr="009221F2">
        <w:rPr>
          <w:i/>
          <w:iCs/>
          <w:rtl/>
        </w:rPr>
        <w:t xml:space="preserve"> מפני שהן כקרקע</w:t>
      </w:r>
      <w:r w:rsidRPr="009221F2">
        <w:rPr>
          <w:rFonts w:hint="cs"/>
          <w:i/>
          <w:iCs/>
          <w:rtl/>
        </w:rPr>
        <w:t>,</w:t>
      </w:r>
      <w:r w:rsidRPr="009221F2">
        <w:rPr>
          <w:i/>
          <w:iCs/>
          <w:rtl/>
        </w:rPr>
        <w:t xml:space="preserve"> דברי רבי אליעזר</w:t>
      </w:r>
      <w:r w:rsidRPr="009221F2">
        <w:rPr>
          <w:rFonts w:hint="cs"/>
          <w:i/>
          <w:iCs/>
          <w:rtl/>
        </w:rPr>
        <w:t>;</w:t>
      </w:r>
      <w:r w:rsidRPr="009221F2">
        <w:rPr>
          <w:i/>
          <w:iCs/>
          <w:rtl/>
        </w:rPr>
        <w:t xml:space="preserve"> וחכמים אומרים</w:t>
      </w:r>
      <w:r w:rsidRPr="009221F2">
        <w:rPr>
          <w:rFonts w:hint="cs"/>
          <w:i/>
          <w:iCs/>
          <w:rtl/>
        </w:rPr>
        <w:t>:</w:t>
      </w:r>
      <w:r w:rsidRPr="009221F2">
        <w:rPr>
          <w:i/>
          <w:iCs/>
          <w:rtl/>
        </w:rPr>
        <w:t xml:space="preserve"> מפני שהן </w:t>
      </w:r>
      <w:proofErr w:type="spellStart"/>
      <w:r w:rsidRPr="009221F2">
        <w:rPr>
          <w:i/>
          <w:iCs/>
          <w:rtl/>
        </w:rPr>
        <w:t>מצופין</w:t>
      </w:r>
      <w:proofErr w:type="spellEnd"/>
      <w:r w:rsidRPr="009221F2">
        <w:rPr>
          <w:rFonts w:hint="cs"/>
          <w:i/>
          <w:iCs/>
          <w:rtl/>
        </w:rPr>
        <w:t xml:space="preserve"> (כלומר עיקרם עץ שאינו מקבל טומאה אם לא הוכן ככלי קיבול).</w:t>
      </w:r>
      <w:r w:rsidRPr="009221F2">
        <w:rPr>
          <w:i/>
          <w:iCs/>
          <w:vertAlign w:val="superscript"/>
          <w:rtl/>
        </w:rPr>
        <w:footnoteReference w:id="13"/>
      </w:r>
    </w:p>
    <w:p w:rsidR="007E62D1" w:rsidRPr="009221F2" w:rsidRDefault="007E62D1" w:rsidP="007E62D1">
      <w:pPr>
        <w:tabs>
          <w:tab w:val="left" w:pos="1262"/>
        </w:tabs>
        <w:jc w:val="both"/>
        <w:rPr>
          <w:rtl/>
        </w:rPr>
      </w:pPr>
      <w:r w:rsidRPr="009221F2">
        <w:rPr>
          <w:rtl/>
        </w:rPr>
        <w:t>מה פשר קביעת הלכה מפתיעה זו? בשעת המפגש הבלתי מתווך בין הרעיה והדוד, אזי לטומאה אין קיום – אין בלות, אין איבוד כוח פריון, אין חטא ואין מוות – יש רק ברכה, העצמת החיים והתקשרות אל עץ החיים. אך מיד חוזרת הטומאה לאיתנה.</w:t>
      </w:r>
      <w:r w:rsidRPr="009221F2">
        <w:rPr>
          <w:vertAlign w:val="superscript"/>
          <w:rtl/>
        </w:rPr>
        <w:footnoteReference w:id="14"/>
      </w:r>
      <w:r w:rsidRPr="009221F2">
        <w:rPr>
          <w:rtl/>
        </w:rPr>
        <w:t xml:space="preserve"> האם השאיפה למפגש מיוחד זה יכול</w:t>
      </w:r>
      <w:r w:rsidRPr="009221F2">
        <w:rPr>
          <w:rFonts w:hint="cs"/>
          <w:rtl/>
        </w:rPr>
        <w:t>ה</w:t>
      </w:r>
      <w:r w:rsidRPr="009221F2">
        <w:rPr>
          <w:rtl/>
        </w:rPr>
        <w:t xml:space="preserve"> לאפשר לחכמים לעצב הלכה לפי הצורך? הסוגיה האחרונה של המסכת עוסקת בשאלה זו בלשון סימבולית מובהקת.</w:t>
      </w:r>
    </w:p>
    <w:p w:rsidR="007E62D1" w:rsidRPr="009221F2" w:rsidRDefault="007E62D1" w:rsidP="007E62D1">
      <w:pPr>
        <w:tabs>
          <w:tab w:val="left" w:pos="1262"/>
        </w:tabs>
        <w:jc w:val="both"/>
        <w:rPr>
          <w:rtl/>
        </w:rPr>
      </w:pPr>
    </w:p>
    <w:p w:rsidR="007E62D1" w:rsidRPr="009221F2" w:rsidRDefault="007E62D1" w:rsidP="007E62D1">
      <w:pPr>
        <w:tabs>
          <w:tab w:val="left" w:pos="1262"/>
        </w:tabs>
        <w:jc w:val="both"/>
        <w:rPr>
          <w:b/>
          <w:bCs/>
          <w:u w:val="single"/>
          <w:rtl/>
        </w:rPr>
      </w:pPr>
      <w:r w:rsidRPr="009221F2">
        <w:rPr>
          <w:rFonts w:hint="cs"/>
          <w:b/>
          <w:bCs/>
          <w:u w:val="single"/>
          <w:rtl/>
        </w:rPr>
        <w:t>ד. פנימיותם של פושעי ישראל טהורה היא</w:t>
      </w:r>
    </w:p>
    <w:p w:rsidR="007E62D1" w:rsidRPr="009221F2" w:rsidRDefault="007E62D1" w:rsidP="007E62D1">
      <w:pPr>
        <w:tabs>
          <w:tab w:val="left" w:pos="1262"/>
        </w:tabs>
        <w:jc w:val="both"/>
        <w:rPr>
          <w:rtl/>
        </w:rPr>
      </w:pPr>
      <w:r w:rsidRPr="009221F2">
        <w:rPr>
          <w:rtl/>
        </w:rPr>
        <w:t>בפרשת אמור נסמכת פרשת המועדים</w:t>
      </w:r>
      <w:r w:rsidRPr="009221F2">
        <w:rPr>
          <w:vertAlign w:val="superscript"/>
          <w:rtl/>
        </w:rPr>
        <w:footnoteReference w:id="15"/>
      </w:r>
      <w:r w:rsidRPr="009221F2">
        <w:rPr>
          <w:rtl/>
        </w:rPr>
        <w:t xml:space="preserve"> להלכות הקשורות למנורה ולשולחן שבבית המקדש.</w:t>
      </w:r>
      <w:r w:rsidRPr="009221F2">
        <w:rPr>
          <w:vertAlign w:val="superscript"/>
          <w:rtl/>
        </w:rPr>
        <w:footnoteReference w:id="16"/>
      </w:r>
      <w:r w:rsidRPr="009221F2">
        <w:rPr>
          <w:rtl/>
        </w:rPr>
        <w:t xml:space="preserve"> ברכת ה' המתהווה בקדושת הזמן שבמועדים נסמכת לברכת ה' המתהווה דרך קדושת מקום</w:t>
      </w:r>
      <w:r w:rsidRPr="009221F2">
        <w:rPr>
          <w:rFonts w:hint="cs"/>
          <w:rtl/>
        </w:rPr>
        <w:t xml:space="preserve"> המקדש</w:t>
      </w:r>
      <w:r w:rsidRPr="009221F2">
        <w:rPr>
          <w:rtl/>
        </w:rPr>
        <w:t xml:space="preserve">. המנורה, כולה זהב, גילמה את ברכת </w:t>
      </w:r>
      <w:r w:rsidRPr="009221F2">
        <w:rPr>
          <w:rFonts w:hint="cs"/>
          <w:rtl/>
        </w:rPr>
        <w:t>החיות הא-</w:t>
      </w:r>
      <w:proofErr w:type="spellStart"/>
      <w:r w:rsidRPr="009221F2">
        <w:rPr>
          <w:rFonts w:hint="cs"/>
          <w:rtl/>
        </w:rPr>
        <w:t>לוהית</w:t>
      </w:r>
      <w:proofErr w:type="spellEnd"/>
      <w:r w:rsidRPr="009221F2">
        <w:rPr>
          <w:rFonts w:hint="cs"/>
          <w:rtl/>
        </w:rPr>
        <w:t xml:space="preserve"> </w:t>
      </w:r>
      <w:r w:rsidRPr="009221F2">
        <w:rPr>
          <w:rtl/>
        </w:rPr>
        <w:t xml:space="preserve">שיצאה </w:t>
      </w:r>
      <w:r w:rsidRPr="009221F2">
        <w:rPr>
          <w:rtl/>
        </w:rPr>
        <w:lastRenderedPageBreak/>
        <w:t>מקודש הקדשים</w:t>
      </w:r>
      <w:r w:rsidRPr="009221F2">
        <w:rPr>
          <w:rFonts w:hint="cs"/>
          <w:rtl/>
        </w:rPr>
        <w:t xml:space="preserve"> ואשר השתקפה באור ובתורה</w:t>
      </w:r>
      <w:r w:rsidRPr="009221F2">
        <w:rPr>
          <w:rtl/>
        </w:rPr>
        <w:t xml:space="preserve">; השולחן גילמה את ברכת </w:t>
      </w:r>
      <w:r w:rsidRPr="009221F2">
        <w:rPr>
          <w:rFonts w:hint="cs"/>
          <w:rtl/>
        </w:rPr>
        <w:t>החיות הא-</w:t>
      </w:r>
      <w:proofErr w:type="spellStart"/>
      <w:r w:rsidRPr="009221F2">
        <w:rPr>
          <w:rFonts w:hint="cs"/>
          <w:rtl/>
        </w:rPr>
        <w:t>לוהית</w:t>
      </w:r>
      <w:proofErr w:type="spellEnd"/>
      <w:r w:rsidRPr="009221F2">
        <w:rPr>
          <w:rFonts w:hint="cs"/>
          <w:rtl/>
        </w:rPr>
        <w:t xml:space="preserve"> </w:t>
      </w:r>
      <w:r w:rsidRPr="009221F2">
        <w:rPr>
          <w:rtl/>
        </w:rPr>
        <w:t xml:space="preserve">שיצאה מקודש הקדשים  </w:t>
      </w:r>
      <w:r w:rsidRPr="009221F2">
        <w:rPr>
          <w:rFonts w:hint="cs"/>
          <w:rtl/>
        </w:rPr>
        <w:t>ואשר השתקפה ב</w:t>
      </w:r>
      <w:r w:rsidRPr="009221F2">
        <w:rPr>
          <w:rtl/>
        </w:rPr>
        <w:t xml:space="preserve">ברכת הלחם והנחלה. </w:t>
      </w:r>
    </w:p>
    <w:p w:rsidR="007E62D1" w:rsidRPr="009221F2" w:rsidRDefault="007E62D1" w:rsidP="007E62D1">
      <w:pPr>
        <w:tabs>
          <w:tab w:val="left" w:pos="1262"/>
        </w:tabs>
        <w:jc w:val="both"/>
        <w:rPr>
          <w:rtl/>
        </w:rPr>
      </w:pPr>
      <w:r w:rsidRPr="009221F2">
        <w:rPr>
          <w:rtl/>
        </w:rPr>
        <w:t>המפתיע הוא</w:t>
      </w:r>
      <w:r w:rsidRPr="009221F2">
        <w:rPr>
          <w:rFonts w:hint="cs"/>
          <w:rtl/>
        </w:rPr>
        <w:t>,</w:t>
      </w:r>
      <w:r w:rsidRPr="009221F2">
        <w:rPr>
          <w:rtl/>
        </w:rPr>
        <w:t xml:space="preserve"> שהשולחן היה חשוב יותר מהמנורה – מקום המנורה בהיכל הוגדר "נוכח השולחן".</w:t>
      </w:r>
      <w:r w:rsidRPr="009221F2">
        <w:rPr>
          <w:vertAlign w:val="superscript"/>
          <w:rtl/>
        </w:rPr>
        <w:footnoteReference w:id="17"/>
      </w:r>
      <w:r w:rsidRPr="009221F2">
        <w:rPr>
          <w:rtl/>
        </w:rPr>
        <w:t xml:space="preserve"> זהו הבסיס </w:t>
      </w:r>
      <w:r w:rsidRPr="009221F2">
        <w:rPr>
          <w:rFonts w:hint="cs"/>
          <w:rtl/>
        </w:rPr>
        <w:t>ל</w:t>
      </w:r>
      <w:r w:rsidRPr="009221F2">
        <w:rPr>
          <w:rtl/>
        </w:rPr>
        <w:t xml:space="preserve">שיטת המשנה, כנגד הברייתא המובאת </w:t>
      </w:r>
      <w:r w:rsidRPr="009221F2">
        <w:rPr>
          <w:rFonts w:hint="cs"/>
          <w:rtl/>
        </w:rPr>
        <w:t xml:space="preserve">בגמרא בדף </w:t>
      </w:r>
      <w:proofErr w:type="spellStart"/>
      <w:r w:rsidRPr="009221F2">
        <w:rPr>
          <w:rFonts w:hint="cs"/>
          <w:rtl/>
        </w:rPr>
        <w:t>כו</w:t>
      </w:r>
      <w:proofErr w:type="spellEnd"/>
      <w:r w:rsidRPr="009221F2">
        <w:rPr>
          <w:rFonts w:hint="cs"/>
          <w:rtl/>
        </w:rPr>
        <w:t xml:space="preserve"> ע"ב</w:t>
      </w:r>
      <w:r w:rsidRPr="009221F2">
        <w:rPr>
          <w:rtl/>
        </w:rPr>
        <w:t xml:space="preserve">, שבזמן המועד הכריזו כלפי כוהנים עמי הארץ </w:t>
      </w:r>
      <w:r w:rsidRPr="009221F2">
        <w:rPr>
          <w:rFonts w:hint="cs"/>
          <w:rtl/>
        </w:rPr>
        <w:t>מ</w:t>
      </w:r>
      <w:r w:rsidRPr="009221F2">
        <w:rPr>
          <w:rtl/>
        </w:rPr>
        <w:t>עולי הרגל</w:t>
      </w:r>
      <w:r w:rsidRPr="009221F2">
        <w:rPr>
          <w:rFonts w:hint="cs"/>
          <w:rtl/>
        </w:rPr>
        <w:t>:</w:t>
      </w:r>
      <w:r w:rsidRPr="009221F2">
        <w:rPr>
          <w:rtl/>
        </w:rPr>
        <w:t xml:space="preserve"> "היזהרו שלא תגעו בשולחן"</w:t>
      </w:r>
      <w:r w:rsidRPr="009221F2">
        <w:rPr>
          <w:rFonts w:hint="cs"/>
          <w:rtl/>
        </w:rPr>
        <w:t>,</w:t>
      </w:r>
      <w:r w:rsidRPr="009221F2">
        <w:rPr>
          <w:vertAlign w:val="superscript"/>
          <w:rtl/>
        </w:rPr>
        <w:footnoteReference w:id="18"/>
      </w:r>
      <w:r w:rsidRPr="009221F2">
        <w:rPr>
          <w:rtl/>
        </w:rPr>
        <w:t xml:space="preserve"> ולא הכריזו על המנורה. </w:t>
      </w:r>
      <w:r w:rsidRPr="009221F2">
        <w:rPr>
          <w:rFonts w:hint="cs"/>
          <w:rtl/>
        </w:rPr>
        <w:t>הגמרא מסבירה את החילוק ביניהם בכך ש"</w:t>
      </w:r>
      <w:r w:rsidRPr="009221F2">
        <w:rPr>
          <w:rtl/>
        </w:rPr>
        <w:t>שלחן – כתיב ביה תמיד, מנורה</w:t>
      </w:r>
      <w:r w:rsidRPr="009221F2">
        <w:rPr>
          <w:rFonts w:hint="cs"/>
          <w:rtl/>
        </w:rPr>
        <w:t xml:space="preserve"> </w:t>
      </w:r>
      <w:r w:rsidRPr="009221F2">
        <w:rPr>
          <w:rtl/>
        </w:rPr>
        <w:t>– לא כתיב בה תמיד</w:t>
      </w:r>
      <w:r w:rsidRPr="009221F2">
        <w:rPr>
          <w:rFonts w:hint="cs"/>
          <w:rtl/>
        </w:rPr>
        <w:t>".</w:t>
      </w:r>
      <w:r w:rsidRPr="009221F2">
        <w:rPr>
          <w:vertAlign w:val="superscript"/>
          <w:rtl/>
        </w:rPr>
        <w:footnoteReference w:id="19"/>
      </w:r>
      <w:r w:rsidRPr="009221F2">
        <w:rPr>
          <w:rFonts w:hint="cs"/>
          <w:rtl/>
        </w:rPr>
        <w:t xml:space="preserve"> </w:t>
      </w:r>
      <w:r w:rsidRPr="009221F2">
        <w:rPr>
          <w:rtl/>
        </w:rPr>
        <w:t>החיות שבארציות נחשבה מיצוי של שורש ברכת ה' שבחיים יותר מהחיות שברוח</w:t>
      </w:r>
      <w:r w:rsidRPr="009221F2">
        <w:rPr>
          <w:rFonts w:hint="cs"/>
          <w:rtl/>
        </w:rPr>
        <w:t>,</w:t>
      </w:r>
      <w:r w:rsidRPr="009221F2">
        <w:rPr>
          <w:rtl/>
        </w:rPr>
        <w:t xml:space="preserve"> </w:t>
      </w:r>
      <w:r w:rsidRPr="009221F2">
        <w:rPr>
          <w:rFonts w:hint="cs"/>
          <w:rtl/>
        </w:rPr>
        <w:t>ו</w:t>
      </w:r>
      <w:r w:rsidRPr="009221F2">
        <w:rPr>
          <w:rtl/>
        </w:rPr>
        <w:t xml:space="preserve">על כן יש להיזהר מלטמא את השולחן ביתר </w:t>
      </w:r>
      <w:r w:rsidRPr="009221F2">
        <w:rPr>
          <w:rFonts w:hint="cs"/>
          <w:rtl/>
        </w:rPr>
        <w:t>ה</w:t>
      </w:r>
      <w:r w:rsidRPr="009221F2">
        <w:rPr>
          <w:rtl/>
        </w:rPr>
        <w:t>קפדה.</w:t>
      </w:r>
    </w:p>
    <w:p w:rsidR="007E62D1" w:rsidRPr="009221F2" w:rsidRDefault="007E62D1" w:rsidP="007E62D1">
      <w:pPr>
        <w:tabs>
          <w:tab w:val="left" w:pos="1262"/>
        </w:tabs>
        <w:jc w:val="both"/>
        <w:rPr>
          <w:rtl/>
        </w:rPr>
      </w:pPr>
      <w:r w:rsidRPr="009221F2">
        <w:rPr>
          <w:rtl/>
        </w:rPr>
        <w:t>בהרחבת משנה זו</w:t>
      </w:r>
      <w:r w:rsidRPr="009221F2">
        <w:rPr>
          <w:rFonts w:hint="cs"/>
          <w:rtl/>
        </w:rPr>
        <w:t>,</w:t>
      </w:r>
      <w:r w:rsidRPr="009221F2">
        <w:rPr>
          <w:rtl/>
        </w:rPr>
        <w:t xml:space="preserve"> הסוגיה בד</w:t>
      </w:r>
      <w:r w:rsidRPr="009221F2">
        <w:rPr>
          <w:rFonts w:hint="cs"/>
          <w:rtl/>
        </w:rPr>
        <w:t>פים</w:t>
      </w:r>
      <w:r w:rsidRPr="009221F2">
        <w:rPr>
          <w:rtl/>
        </w:rPr>
        <w:t xml:space="preserve"> </w:t>
      </w:r>
      <w:proofErr w:type="spellStart"/>
      <w:r w:rsidRPr="009221F2">
        <w:rPr>
          <w:rtl/>
        </w:rPr>
        <w:t>כו-כז</w:t>
      </w:r>
      <w:proofErr w:type="spellEnd"/>
      <w:r w:rsidRPr="009221F2">
        <w:rPr>
          <w:rtl/>
        </w:rPr>
        <w:t xml:space="preserve"> דנה בשאלת ההיטמאות של כלי המקדש – השולחן, המנורה ושני המזבחות, החיצוני המצופה נחושת</w:t>
      </w:r>
      <w:r w:rsidRPr="009221F2">
        <w:rPr>
          <w:rFonts w:hint="cs"/>
          <w:rtl/>
        </w:rPr>
        <w:t>,</w:t>
      </w:r>
      <w:r w:rsidRPr="009221F2">
        <w:rPr>
          <w:rtl/>
        </w:rPr>
        <w:t xml:space="preserve"> </w:t>
      </w:r>
      <w:r w:rsidRPr="009221F2">
        <w:rPr>
          <w:rFonts w:hint="cs"/>
          <w:rtl/>
        </w:rPr>
        <w:t>ש</w:t>
      </w:r>
      <w:r w:rsidRPr="009221F2">
        <w:rPr>
          <w:rtl/>
        </w:rPr>
        <w:t xml:space="preserve">עליו </w:t>
      </w:r>
      <w:r w:rsidRPr="009221F2">
        <w:rPr>
          <w:rFonts w:hint="cs"/>
          <w:rtl/>
        </w:rPr>
        <w:t>מקריבים</w:t>
      </w:r>
      <w:r w:rsidRPr="009221F2">
        <w:rPr>
          <w:rtl/>
        </w:rPr>
        <w:t xml:space="preserve"> </w:t>
      </w:r>
      <w:r w:rsidRPr="009221F2">
        <w:rPr>
          <w:rFonts w:hint="cs"/>
          <w:rtl/>
        </w:rPr>
        <w:t xml:space="preserve">את </w:t>
      </w:r>
      <w:r w:rsidRPr="009221F2">
        <w:rPr>
          <w:rtl/>
        </w:rPr>
        <w:t>הקרבנות</w:t>
      </w:r>
      <w:r w:rsidRPr="009221F2">
        <w:rPr>
          <w:rFonts w:hint="cs"/>
          <w:rtl/>
        </w:rPr>
        <w:t>,</w:t>
      </w:r>
      <w:r w:rsidRPr="009221F2">
        <w:rPr>
          <w:rtl/>
        </w:rPr>
        <w:t xml:space="preserve"> והפנימי </w:t>
      </w:r>
      <w:r w:rsidRPr="009221F2">
        <w:rPr>
          <w:rFonts w:hint="cs"/>
          <w:rtl/>
        </w:rPr>
        <w:t>ה</w:t>
      </w:r>
      <w:r w:rsidRPr="009221F2">
        <w:rPr>
          <w:rtl/>
        </w:rPr>
        <w:t xml:space="preserve">מצופה זהב </w:t>
      </w:r>
      <w:r w:rsidRPr="009221F2">
        <w:rPr>
          <w:rFonts w:hint="cs"/>
          <w:rtl/>
        </w:rPr>
        <w:t>ש</w:t>
      </w:r>
      <w:r w:rsidRPr="009221F2">
        <w:rPr>
          <w:rtl/>
        </w:rPr>
        <w:t>עליו מקטירים קטורת. בלשון הסימבולי</w:t>
      </w:r>
      <w:r w:rsidRPr="009221F2">
        <w:rPr>
          <w:rFonts w:hint="cs"/>
          <w:rtl/>
        </w:rPr>
        <w:t>ת</w:t>
      </w:r>
      <w:r w:rsidRPr="009221F2">
        <w:rPr>
          <w:rtl/>
        </w:rPr>
        <w:t xml:space="preserve"> של הסוגיה</w:t>
      </w:r>
      <w:r w:rsidRPr="009221F2">
        <w:rPr>
          <w:rFonts w:hint="cs"/>
          <w:rtl/>
        </w:rPr>
        <w:t>,</w:t>
      </w:r>
      <w:r w:rsidRPr="009221F2">
        <w:rPr>
          <w:rtl/>
        </w:rPr>
        <w:t xml:space="preserve"> הלכות טומאה וטהרה של כלי המקדש הן גם הלכות קיום האדם לפני א-</w:t>
      </w:r>
      <w:proofErr w:type="spellStart"/>
      <w:r w:rsidRPr="009221F2">
        <w:rPr>
          <w:rtl/>
        </w:rPr>
        <w:t>לוהיו</w:t>
      </w:r>
      <w:proofErr w:type="spellEnd"/>
      <w:r w:rsidRPr="009221F2">
        <w:rPr>
          <w:rtl/>
        </w:rPr>
        <w:t>.</w:t>
      </w:r>
    </w:p>
    <w:p w:rsidR="007E62D1" w:rsidRPr="009221F2" w:rsidRDefault="007E62D1" w:rsidP="007E62D1">
      <w:pPr>
        <w:tabs>
          <w:tab w:val="left" w:pos="1262"/>
        </w:tabs>
        <w:jc w:val="both"/>
        <w:rPr>
          <w:rtl/>
        </w:rPr>
      </w:pPr>
      <w:r w:rsidRPr="009221F2">
        <w:rPr>
          <w:rtl/>
        </w:rPr>
        <w:t xml:space="preserve">המזבחות לא מקבלים טומאה היות </w:t>
      </w:r>
      <w:r w:rsidRPr="009221F2">
        <w:rPr>
          <w:rFonts w:hint="cs"/>
          <w:rtl/>
        </w:rPr>
        <w:t>ש</w:t>
      </w:r>
      <w:r w:rsidRPr="009221F2">
        <w:rPr>
          <w:rtl/>
        </w:rPr>
        <w:t>לדעת רבי אליעזר הם כקרקע, וקרקע אינ</w:t>
      </w:r>
      <w:r w:rsidRPr="009221F2">
        <w:rPr>
          <w:rFonts w:hint="cs"/>
          <w:rtl/>
        </w:rPr>
        <w:t>ה</w:t>
      </w:r>
      <w:r w:rsidRPr="009221F2">
        <w:rPr>
          <w:rtl/>
        </w:rPr>
        <w:t xml:space="preserve"> נטמא</w:t>
      </w:r>
      <w:r w:rsidRPr="009221F2">
        <w:rPr>
          <w:rFonts w:hint="cs"/>
          <w:rtl/>
        </w:rPr>
        <w:t>ת</w:t>
      </w:r>
      <w:r w:rsidRPr="009221F2">
        <w:rPr>
          <w:rtl/>
        </w:rPr>
        <w:t>.</w:t>
      </w:r>
      <w:r w:rsidRPr="009221F2">
        <w:rPr>
          <w:vertAlign w:val="superscript"/>
          <w:rtl/>
        </w:rPr>
        <w:footnoteReference w:id="20"/>
      </w:r>
      <w:r w:rsidRPr="009221F2">
        <w:rPr>
          <w:rtl/>
        </w:rPr>
        <w:t xml:space="preserve"> מהות המזבחות מבטאת את נקודת ההתקשרות של העולם אל ה', ההתקשרות של עצם היותו של היש החומרי נברא, ומתוך כך פונה </w:t>
      </w:r>
      <w:r w:rsidRPr="009221F2">
        <w:rPr>
          <w:rFonts w:hint="cs"/>
          <w:b/>
          <w:bCs/>
          <w:rtl/>
        </w:rPr>
        <w:t>האדם</w:t>
      </w:r>
      <w:r w:rsidRPr="009221F2">
        <w:rPr>
          <w:rFonts w:hint="cs"/>
          <w:rtl/>
        </w:rPr>
        <w:t xml:space="preserve"> </w:t>
      </w:r>
      <w:r w:rsidRPr="009221F2">
        <w:rPr>
          <w:rtl/>
        </w:rPr>
        <w:t>כלפי בוראו. גם באדם ישנ</w:t>
      </w:r>
      <w:r w:rsidRPr="009221F2">
        <w:rPr>
          <w:rFonts w:hint="cs"/>
          <w:rtl/>
        </w:rPr>
        <w:t>ה</w:t>
      </w:r>
      <w:r w:rsidRPr="009221F2">
        <w:rPr>
          <w:rtl/>
        </w:rPr>
        <w:t xml:space="preserve"> בחינת מזבח מחובר לאדמה, בסיס הקיום</w:t>
      </w:r>
      <w:r w:rsidRPr="009221F2">
        <w:rPr>
          <w:rFonts w:hint="cs"/>
          <w:rtl/>
        </w:rPr>
        <w:t>,</w:t>
      </w:r>
      <w:r w:rsidRPr="009221F2">
        <w:rPr>
          <w:rtl/>
        </w:rPr>
        <w:t xml:space="preserve"> אשר גם ללא דעת והתכוונות נמצא בזיקה עם שורש קיומו. </w:t>
      </w:r>
    </w:p>
    <w:p w:rsidR="007E62D1" w:rsidRPr="009221F2" w:rsidRDefault="007E62D1" w:rsidP="007E62D1">
      <w:pPr>
        <w:tabs>
          <w:tab w:val="left" w:pos="1262"/>
        </w:tabs>
        <w:jc w:val="both"/>
        <w:rPr>
          <w:rtl/>
        </w:rPr>
      </w:pPr>
      <w:r w:rsidRPr="009221F2">
        <w:rPr>
          <w:rtl/>
        </w:rPr>
        <w:t>באופן כללי</w:t>
      </w:r>
      <w:r w:rsidRPr="009221F2">
        <w:rPr>
          <w:rFonts w:hint="cs"/>
          <w:rtl/>
        </w:rPr>
        <w:t>,</w:t>
      </w:r>
      <w:r w:rsidRPr="009221F2">
        <w:rPr>
          <w:rtl/>
        </w:rPr>
        <w:t xml:space="preserve"> נשאלת שאלה </w:t>
      </w:r>
      <w:r w:rsidRPr="009221F2">
        <w:rPr>
          <w:rFonts w:hint="cs"/>
          <w:rtl/>
        </w:rPr>
        <w:t>ביחס</w:t>
      </w:r>
      <w:r w:rsidRPr="009221F2">
        <w:rPr>
          <w:rtl/>
        </w:rPr>
        <w:t xml:space="preserve"> </w:t>
      </w:r>
      <w:r w:rsidRPr="009221F2">
        <w:rPr>
          <w:rFonts w:hint="cs"/>
          <w:rtl/>
        </w:rPr>
        <w:t>ל</w:t>
      </w:r>
      <w:r w:rsidRPr="009221F2">
        <w:rPr>
          <w:rtl/>
        </w:rPr>
        <w:t>כלי מצופה –</w:t>
      </w:r>
      <w:r w:rsidRPr="009221F2">
        <w:rPr>
          <w:rFonts w:hint="cs"/>
          <w:rtl/>
        </w:rPr>
        <w:t xml:space="preserve"> בדומה</w:t>
      </w:r>
      <w:r w:rsidRPr="009221F2">
        <w:rPr>
          <w:rtl/>
        </w:rPr>
        <w:t xml:space="preserve"> </w:t>
      </w:r>
      <w:r w:rsidRPr="009221F2">
        <w:rPr>
          <w:rFonts w:hint="cs"/>
          <w:rtl/>
        </w:rPr>
        <w:t>ל</w:t>
      </w:r>
      <w:r w:rsidRPr="009221F2">
        <w:rPr>
          <w:rtl/>
        </w:rPr>
        <w:t>שולחן המקדש שהיה גם הוא מצופה זהב – אם מעמדו לעניין טומאה וטהרה נקבע על פי ההלכות הקשורות לחומר הכלי או לחומר הציפוי.</w:t>
      </w:r>
      <w:r w:rsidRPr="009221F2">
        <w:rPr>
          <w:vertAlign w:val="superscript"/>
          <w:rtl/>
        </w:rPr>
        <w:footnoteReference w:id="21"/>
      </w:r>
      <w:r w:rsidRPr="009221F2">
        <w:rPr>
          <w:rtl/>
        </w:rPr>
        <w:t xml:space="preserve"> ריש לקיש קבע שההלכה נקבעת על פי איכות החומר הפנימי. למשל, כלי העשוי מעץ זול בטל כלפי ציפוי </w:t>
      </w:r>
      <w:r w:rsidRPr="009221F2">
        <w:rPr>
          <w:rFonts w:hint="cs"/>
          <w:rtl/>
        </w:rPr>
        <w:t>ה</w:t>
      </w:r>
      <w:r w:rsidRPr="009221F2">
        <w:rPr>
          <w:rtl/>
        </w:rPr>
        <w:t>מתכת, אבל כלי העשוי מעץ יקר מהווה עיקרו של כל</w:t>
      </w:r>
      <w:r w:rsidRPr="009221F2">
        <w:rPr>
          <w:rFonts w:hint="cs"/>
          <w:rtl/>
        </w:rPr>
        <w:t>י</w:t>
      </w:r>
      <w:r w:rsidRPr="009221F2">
        <w:rPr>
          <w:rtl/>
        </w:rPr>
        <w:t xml:space="preserve">, ואינו בטל כלפי ציפוי </w:t>
      </w:r>
      <w:r w:rsidRPr="009221F2">
        <w:rPr>
          <w:rFonts w:hint="cs"/>
          <w:rtl/>
        </w:rPr>
        <w:t>ה</w:t>
      </w:r>
      <w:r w:rsidRPr="009221F2">
        <w:rPr>
          <w:rtl/>
        </w:rPr>
        <w:t>מתכת. מאידך, רבי יוחנן סבר שבכל מקרה כלי העשוי מעץ בטל כלפי ציפוי המתכת</w:t>
      </w:r>
      <w:r w:rsidRPr="009221F2">
        <w:rPr>
          <w:rFonts w:hint="cs"/>
          <w:rtl/>
        </w:rPr>
        <w:t>,</w:t>
      </w:r>
      <w:r w:rsidRPr="009221F2">
        <w:rPr>
          <w:rtl/>
        </w:rPr>
        <w:t xml:space="preserve"> החשובה</w:t>
      </w:r>
      <w:r w:rsidRPr="009221F2">
        <w:rPr>
          <w:rFonts w:hint="cs"/>
          <w:rtl/>
        </w:rPr>
        <w:t xml:space="preserve"> יותר</w:t>
      </w:r>
      <w:r w:rsidRPr="009221F2">
        <w:rPr>
          <w:rtl/>
        </w:rPr>
        <w:t xml:space="preserve"> מהעץ. הגמרא מדגישה לענייננו</w:t>
      </w:r>
      <w:r w:rsidRPr="009221F2">
        <w:rPr>
          <w:rFonts w:hint="cs"/>
          <w:rtl/>
        </w:rPr>
        <w:t>,</w:t>
      </w:r>
      <w:r w:rsidRPr="009221F2">
        <w:rPr>
          <w:rtl/>
        </w:rPr>
        <w:t xml:space="preserve"> שבשולחן </w:t>
      </w:r>
      <w:r w:rsidRPr="009221F2">
        <w:rPr>
          <w:rFonts w:hint="cs"/>
          <w:rtl/>
        </w:rPr>
        <w:t>שב</w:t>
      </w:r>
      <w:r w:rsidRPr="009221F2">
        <w:rPr>
          <w:rtl/>
        </w:rPr>
        <w:t>מקדש</w:t>
      </w:r>
      <w:r w:rsidRPr="009221F2">
        <w:rPr>
          <w:rFonts w:hint="cs"/>
          <w:rtl/>
        </w:rPr>
        <w:t>,</w:t>
      </w:r>
      <w:r w:rsidRPr="009221F2">
        <w:rPr>
          <w:rtl/>
        </w:rPr>
        <w:t xml:space="preserve"> ל</w:t>
      </w:r>
      <w:r w:rsidRPr="009221F2">
        <w:rPr>
          <w:rFonts w:hint="cs"/>
          <w:rtl/>
        </w:rPr>
        <w:t xml:space="preserve">פי </w:t>
      </w:r>
      <w:r w:rsidRPr="009221F2">
        <w:rPr>
          <w:rtl/>
        </w:rPr>
        <w:t xml:space="preserve">שתי השיטות ציפוי המתכת בטל כלפי העץ שבפנים, כתוצאה מחשיבות השולחן ככלי </w:t>
      </w:r>
      <w:r w:rsidRPr="009221F2">
        <w:rPr>
          <w:rFonts w:hint="cs"/>
          <w:rtl/>
        </w:rPr>
        <w:t>ה</w:t>
      </w:r>
      <w:r w:rsidRPr="009221F2">
        <w:rPr>
          <w:rtl/>
        </w:rPr>
        <w:t xml:space="preserve">מחזיק את ברכת לחם הפנים שהיה מונח עליו תמיד. </w:t>
      </w:r>
    </w:p>
    <w:p w:rsidR="007E62D1" w:rsidRPr="009221F2" w:rsidRDefault="007E62D1" w:rsidP="007E62D1">
      <w:pPr>
        <w:tabs>
          <w:tab w:val="left" w:pos="1262"/>
        </w:tabs>
        <w:jc w:val="both"/>
        <w:rPr>
          <w:rtl/>
        </w:rPr>
      </w:pPr>
      <w:r w:rsidRPr="009221F2">
        <w:rPr>
          <w:rtl/>
        </w:rPr>
        <w:t>בנוסף</w:t>
      </w:r>
      <w:r w:rsidRPr="009221F2">
        <w:rPr>
          <w:rFonts w:hint="cs"/>
          <w:rtl/>
        </w:rPr>
        <w:t>,</w:t>
      </w:r>
      <w:r w:rsidRPr="009221F2">
        <w:rPr>
          <w:rtl/>
        </w:rPr>
        <w:t xml:space="preserve"> הגמרא מציינת, כבדרך אגב, שלשתי השיטות שולחן אדם בביתו דומה דווקא למזבח, </w:t>
      </w:r>
      <w:r w:rsidRPr="009221F2">
        <w:rPr>
          <w:rFonts w:hint="cs"/>
          <w:rtl/>
        </w:rPr>
        <w:t>המעלה את מנחת האדם מלמטה למעלה ו</w:t>
      </w:r>
      <w:r w:rsidRPr="009221F2">
        <w:rPr>
          <w:rtl/>
        </w:rPr>
        <w:t>מכפר על חטא, ולא לשולחן במקדש</w:t>
      </w:r>
      <w:r w:rsidRPr="009221F2">
        <w:rPr>
          <w:rFonts w:hint="cs"/>
          <w:rtl/>
        </w:rPr>
        <w:t>, המגלם את ברכת ה' היורדת מלמעלה למטה</w:t>
      </w:r>
      <w:r w:rsidRPr="009221F2">
        <w:rPr>
          <w:rtl/>
        </w:rPr>
        <w:t>. כמזבח המחובר לאדמה, ברכת הארצי</w:t>
      </w:r>
      <w:r w:rsidRPr="009221F2">
        <w:rPr>
          <w:rFonts w:hint="cs"/>
          <w:rtl/>
        </w:rPr>
        <w:t>ו</w:t>
      </w:r>
      <w:r w:rsidRPr="009221F2">
        <w:rPr>
          <w:rtl/>
        </w:rPr>
        <w:t xml:space="preserve">ת שבבית המתגלמת בשולחן מהווה גילוי חיות העולם ללא קשר לדעת האדם, ולטהרה התלויה </w:t>
      </w:r>
      <w:r w:rsidRPr="009221F2">
        <w:rPr>
          <w:rtl/>
        </w:rPr>
        <w:lastRenderedPageBreak/>
        <w:t>בהתכוונות. בה</w:t>
      </w:r>
      <w:r w:rsidRPr="009221F2">
        <w:rPr>
          <w:rFonts w:hint="cs"/>
          <w:rtl/>
        </w:rPr>
        <w:t>י</w:t>
      </w:r>
      <w:r w:rsidRPr="009221F2">
        <w:rPr>
          <w:rtl/>
        </w:rPr>
        <w:t>דמות</w:t>
      </w:r>
      <w:r w:rsidRPr="009221F2">
        <w:rPr>
          <w:rFonts w:hint="cs"/>
          <w:rtl/>
        </w:rPr>
        <w:t>ו</w:t>
      </w:r>
      <w:r w:rsidRPr="009221F2">
        <w:rPr>
          <w:rtl/>
        </w:rPr>
        <w:t xml:space="preserve"> למזבח</w:t>
      </w:r>
      <w:r w:rsidRPr="009221F2">
        <w:rPr>
          <w:rFonts w:hint="cs"/>
          <w:rtl/>
        </w:rPr>
        <w:t>,</w:t>
      </w:r>
      <w:r w:rsidRPr="009221F2">
        <w:rPr>
          <w:rtl/>
        </w:rPr>
        <w:t xml:space="preserve"> השולחן שבבית מהווה גילוי של ברכת ה' בחיים הארציים</w:t>
      </w:r>
      <w:r w:rsidRPr="009221F2">
        <w:rPr>
          <w:rFonts w:hint="cs"/>
          <w:rtl/>
        </w:rPr>
        <w:t xml:space="preserve"> כניתן לרשות האדם לעשות אתה כרצונו</w:t>
      </w:r>
      <w:r w:rsidRPr="009221F2">
        <w:rPr>
          <w:rtl/>
        </w:rPr>
        <w:t xml:space="preserve"> באופן שונה מהשולחן במקדש</w:t>
      </w:r>
      <w:r w:rsidRPr="009221F2">
        <w:rPr>
          <w:rFonts w:hint="cs"/>
          <w:rtl/>
        </w:rPr>
        <w:t xml:space="preserve"> המהווה גילוי של החיים הארציים כגילוי של רצון ה' בחיים</w:t>
      </w:r>
      <w:r w:rsidRPr="009221F2">
        <w:rPr>
          <w:rtl/>
        </w:rPr>
        <w:t>.</w:t>
      </w:r>
    </w:p>
    <w:p w:rsidR="007E62D1" w:rsidRPr="009221F2" w:rsidRDefault="007E62D1" w:rsidP="007E62D1">
      <w:pPr>
        <w:tabs>
          <w:tab w:val="left" w:pos="1262"/>
        </w:tabs>
        <w:jc w:val="both"/>
        <w:rPr>
          <w:rtl/>
        </w:rPr>
      </w:pPr>
      <w:r w:rsidRPr="009221F2">
        <w:rPr>
          <w:rtl/>
        </w:rPr>
        <w:t>במרכז הלשון הסימבולי</w:t>
      </w:r>
      <w:r w:rsidRPr="009221F2">
        <w:rPr>
          <w:rFonts w:hint="cs"/>
          <w:rtl/>
        </w:rPr>
        <w:t>ת</w:t>
      </w:r>
      <w:r w:rsidRPr="009221F2">
        <w:rPr>
          <w:rtl/>
        </w:rPr>
        <w:t xml:space="preserve"> של הסוגיה נמצא היחס בין הפנים והחוץ ובין התקשרות האדמה הגולמית לבורא לבין התקשרות האדם דרך ההתכוונות שבשורש מעשיו. בדברי הגמרא</w:t>
      </w:r>
      <w:r w:rsidRPr="009221F2">
        <w:rPr>
          <w:rFonts w:hint="cs"/>
          <w:rtl/>
        </w:rPr>
        <w:t>,</w:t>
      </w:r>
      <w:r w:rsidRPr="009221F2">
        <w:rPr>
          <w:rtl/>
        </w:rPr>
        <w:t xml:space="preserve"> ציפויי המזבחות, הנחושת והזהב, </w:t>
      </w:r>
      <w:r w:rsidRPr="009221F2">
        <w:rPr>
          <w:rFonts w:hint="cs"/>
          <w:rtl/>
        </w:rPr>
        <w:t xml:space="preserve">חומרים </w:t>
      </w:r>
      <w:r w:rsidRPr="009221F2">
        <w:rPr>
          <w:rtl/>
        </w:rPr>
        <w:t>אשר בדרך כלל מהווים שורש לטומאה</w:t>
      </w:r>
      <w:r w:rsidRPr="009221F2">
        <w:rPr>
          <w:rFonts w:hint="cs"/>
          <w:rtl/>
        </w:rPr>
        <w:t xml:space="preserve"> וחטא בעסקי בני אדם</w:t>
      </w:r>
      <w:r w:rsidRPr="009221F2">
        <w:rPr>
          <w:rtl/>
        </w:rPr>
        <w:t xml:space="preserve">, נעלמים כלא היו, בטלים כלפי הפנים, העץ, </w:t>
      </w:r>
      <w:r w:rsidRPr="009221F2">
        <w:rPr>
          <w:rFonts w:hint="cs"/>
          <w:rtl/>
        </w:rPr>
        <w:t>ה</w:t>
      </w:r>
      <w:r w:rsidRPr="009221F2">
        <w:rPr>
          <w:rtl/>
        </w:rPr>
        <w:t>פשוט ו</w:t>
      </w:r>
      <w:r w:rsidRPr="009221F2">
        <w:rPr>
          <w:rFonts w:hint="cs"/>
          <w:rtl/>
        </w:rPr>
        <w:t>ה</w:t>
      </w:r>
      <w:r w:rsidRPr="009221F2">
        <w:rPr>
          <w:rtl/>
        </w:rPr>
        <w:t>צנוע</w:t>
      </w:r>
      <w:r w:rsidRPr="009221F2">
        <w:rPr>
          <w:rFonts w:hint="cs"/>
          <w:rtl/>
        </w:rPr>
        <w:t>,</w:t>
      </w:r>
      <w:r w:rsidRPr="009221F2">
        <w:rPr>
          <w:rtl/>
        </w:rPr>
        <w:t xml:space="preserve"> </w:t>
      </w:r>
      <w:r w:rsidRPr="009221F2">
        <w:rPr>
          <w:rFonts w:hint="cs"/>
          <w:rtl/>
        </w:rPr>
        <w:t>ה</w:t>
      </w:r>
      <w:r w:rsidRPr="009221F2">
        <w:rPr>
          <w:rtl/>
        </w:rPr>
        <w:t>מחובר לאדמה. בשלב זה</w:t>
      </w:r>
      <w:r w:rsidRPr="009221F2">
        <w:rPr>
          <w:rFonts w:hint="cs"/>
          <w:rtl/>
        </w:rPr>
        <w:t>,</w:t>
      </w:r>
      <w:r w:rsidRPr="009221F2">
        <w:rPr>
          <w:rtl/>
        </w:rPr>
        <w:t xml:space="preserve"> ההקבלה בין הדיון בהלכות טהרת כלי המקדש לבין הלכות אדם וקיומו נעשית מפורשת</w:t>
      </w:r>
      <w:r w:rsidRPr="009221F2">
        <w:rPr>
          <w:rFonts w:hint="cs"/>
          <w:rtl/>
        </w:rPr>
        <w:t>. כך מסתיימת המסכת עם שמועות מאת ריש לקיש ותלמידי רבי יוחנן, הממשיכות באופן מפורש את הסימבוליות שהייתה רק מרומזת עד כה:</w:t>
      </w:r>
    </w:p>
    <w:p w:rsidR="007E62D1" w:rsidRPr="009221F2" w:rsidRDefault="007E62D1" w:rsidP="007E62D1">
      <w:pPr>
        <w:tabs>
          <w:tab w:val="left" w:pos="1262"/>
        </w:tabs>
        <w:jc w:val="both"/>
        <w:rPr>
          <w:i/>
          <w:iCs/>
          <w:rtl/>
        </w:rPr>
      </w:pPr>
      <w:r w:rsidRPr="009221F2">
        <w:rPr>
          <w:i/>
          <w:iCs/>
          <w:rtl/>
        </w:rPr>
        <w:t xml:space="preserve">אמר רבי </w:t>
      </w:r>
      <w:proofErr w:type="spellStart"/>
      <w:r w:rsidRPr="009221F2">
        <w:rPr>
          <w:i/>
          <w:iCs/>
          <w:rtl/>
        </w:rPr>
        <w:t>אבהו</w:t>
      </w:r>
      <w:proofErr w:type="spellEnd"/>
      <w:r w:rsidRPr="009221F2">
        <w:rPr>
          <w:i/>
          <w:iCs/>
          <w:rtl/>
        </w:rPr>
        <w:t xml:space="preserve"> אמר רבי אלעזר: תלמידי חכמים אין אור</w:t>
      </w:r>
      <w:r w:rsidRPr="009221F2">
        <w:rPr>
          <w:rFonts w:hint="cs"/>
          <w:i/>
          <w:iCs/>
          <w:rtl/>
        </w:rPr>
        <w:t xml:space="preserve"> (אש)</w:t>
      </w:r>
      <w:r w:rsidRPr="009221F2">
        <w:rPr>
          <w:i/>
          <w:iCs/>
          <w:rtl/>
        </w:rPr>
        <w:t xml:space="preserve"> של </w:t>
      </w:r>
      <w:proofErr w:type="spellStart"/>
      <w:r w:rsidRPr="009221F2">
        <w:rPr>
          <w:i/>
          <w:iCs/>
          <w:rtl/>
        </w:rPr>
        <w:t>גיהנם</w:t>
      </w:r>
      <w:proofErr w:type="spellEnd"/>
      <w:r w:rsidRPr="009221F2">
        <w:rPr>
          <w:i/>
          <w:iCs/>
          <w:rtl/>
        </w:rPr>
        <w:t xml:space="preserve"> שולטת בהן, קל וחומר </w:t>
      </w:r>
      <w:proofErr w:type="spellStart"/>
      <w:r w:rsidRPr="009221F2">
        <w:rPr>
          <w:i/>
          <w:iCs/>
          <w:rtl/>
        </w:rPr>
        <w:t>מסלמנדרא</w:t>
      </w:r>
      <w:proofErr w:type="spellEnd"/>
      <w:r w:rsidRPr="009221F2">
        <w:rPr>
          <w:rFonts w:hint="cs"/>
          <w:i/>
          <w:iCs/>
          <w:rtl/>
        </w:rPr>
        <w:t>.</w:t>
      </w:r>
      <w:r w:rsidRPr="009221F2">
        <w:rPr>
          <w:i/>
          <w:iCs/>
          <w:rtl/>
        </w:rPr>
        <w:t xml:space="preserve"> ומה </w:t>
      </w:r>
      <w:proofErr w:type="spellStart"/>
      <w:r w:rsidRPr="009221F2">
        <w:rPr>
          <w:i/>
          <w:iCs/>
          <w:rtl/>
        </w:rPr>
        <w:t>סלמנדרא</w:t>
      </w:r>
      <w:proofErr w:type="spellEnd"/>
      <w:r w:rsidRPr="009221F2">
        <w:rPr>
          <w:i/>
          <w:iCs/>
          <w:rtl/>
        </w:rPr>
        <w:t xml:space="preserve"> שתולדת אש היא</w:t>
      </w:r>
      <w:r w:rsidRPr="009221F2">
        <w:rPr>
          <w:rFonts w:hint="cs"/>
          <w:i/>
          <w:iCs/>
          <w:rtl/>
        </w:rPr>
        <w:t>,</w:t>
      </w:r>
      <w:r w:rsidRPr="009221F2">
        <w:rPr>
          <w:i/>
          <w:iCs/>
          <w:rtl/>
        </w:rPr>
        <w:t xml:space="preserve"> הסך מדָמָהּ אין אור שולטת בו</w:t>
      </w:r>
      <w:r w:rsidRPr="009221F2">
        <w:rPr>
          <w:rFonts w:hint="cs"/>
          <w:i/>
          <w:iCs/>
          <w:rtl/>
        </w:rPr>
        <w:t>;</w:t>
      </w:r>
      <w:r w:rsidRPr="009221F2">
        <w:rPr>
          <w:i/>
          <w:iCs/>
          <w:rtl/>
        </w:rPr>
        <w:t xml:space="preserve"> תלמידי חכמים, שכל גופן אש, </w:t>
      </w:r>
      <w:proofErr w:type="spellStart"/>
      <w:r w:rsidRPr="009221F2">
        <w:rPr>
          <w:i/>
          <w:iCs/>
          <w:rtl/>
        </w:rPr>
        <w:t>דכתיב</w:t>
      </w:r>
      <w:proofErr w:type="spellEnd"/>
      <w:r w:rsidRPr="009221F2">
        <w:rPr>
          <w:rFonts w:hint="cs"/>
          <w:i/>
          <w:iCs/>
          <w:rtl/>
        </w:rPr>
        <w:t>:</w:t>
      </w:r>
      <w:r w:rsidRPr="009221F2">
        <w:rPr>
          <w:i/>
          <w:iCs/>
          <w:rtl/>
        </w:rPr>
        <w:t xml:space="preserve"> </w:t>
      </w:r>
      <w:r w:rsidRPr="009221F2">
        <w:rPr>
          <w:rFonts w:hint="cs"/>
          <w:i/>
          <w:iCs/>
          <w:rtl/>
        </w:rPr>
        <w:t>"</w:t>
      </w:r>
      <w:r w:rsidRPr="009221F2">
        <w:rPr>
          <w:i/>
          <w:iCs/>
          <w:rtl/>
        </w:rPr>
        <w:t>הלוא כה דברי כאש נאם ה'</w:t>
      </w:r>
      <w:r w:rsidRPr="009221F2">
        <w:rPr>
          <w:rFonts w:hint="cs"/>
          <w:i/>
          <w:iCs/>
          <w:rtl/>
        </w:rPr>
        <w:t xml:space="preserve"> " (</w:t>
      </w:r>
      <w:r w:rsidRPr="009221F2">
        <w:rPr>
          <w:i/>
          <w:iCs/>
          <w:rtl/>
        </w:rPr>
        <w:t xml:space="preserve">ירמיהו </w:t>
      </w:r>
      <w:proofErr w:type="spellStart"/>
      <w:r w:rsidRPr="009221F2">
        <w:rPr>
          <w:i/>
          <w:iCs/>
          <w:rtl/>
        </w:rPr>
        <w:t>כ</w:t>
      </w:r>
      <w:r w:rsidRPr="009221F2">
        <w:rPr>
          <w:rFonts w:hint="cs"/>
          <w:i/>
          <w:iCs/>
          <w:rtl/>
        </w:rPr>
        <w:t>ג</w:t>
      </w:r>
      <w:proofErr w:type="spellEnd"/>
      <w:r w:rsidRPr="009221F2">
        <w:rPr>
          <w:rFonts w:hint="cs"/>
          <w:i/>
          <w:iCs/>
          <w:rtl/>
        </w:rPr>
        <w:t xml:space="preserve">, </w:t>
      </w:r>
      <w:proofErr w:type="spellStart"/>
      <w:r w:rsidRPr="009221F2">
        <w:rPr>
          <w:rFonts w:hint="cs"/>
          <w:i/>
          <w:iCs/>
          <w:rtl/>
        </w:rPr>
        <w:t>כט</w:t>
      </w:r>
      <w:proofErr w:type="spellEnd"/>
      <w:r w:rsidRPr="009221F2">
        <w:rPr>
          <w:rFonts w:hint="cs"/>
          <w:i/>
          <w:iCs/>
          <w:rtl/>
        </w:rPr>
        <w:t>)</w:t>
      </w:r>
      <w:r w:rsidRPr="009221F2">
        <w:rPr>
          <w:i/>
          <w:iCs/>
          <w:rtl/>
        </w:rPr>
        <w:t xml:space="preserve"> – על אחת כמה וכמה. </w:t>
      </w:r>
    </w:p>
    <w:p w:rsidR="007E62D1" w:rsidRPr="009221F2" w:rsidRDefault="007E62D1" w:rsidP="007E62D1">
      <w:pPr>
        <w:tabs>
          <w:tab w:val="left" w:pos="1262"/>
        </w:tabs>
        <w:jc w:val="both"/>
        <w:rPr>
          <w:i/>
          <w:iCs/>
          <w:rtl/>
        </w:rPr>
      </w:pPr>
      <w:r w:rsidRPr="009221F2">
        <w:rPr>
          <w:i/>
          <w:iCs/>
          <w:rtl/>
        </w:rPr>
        <w:t xml:space="preserve">אמר ריש לקיש: אין אור של </w:t>
      </w:r>
      <w:proofErr w:type="spellStart"/>
      <w:r w:rsidRPr="009221F2">
        <w:rPr>
          <w:i/>
          <w:iCs/>
          <w:rtl/>
        </w:rPr>
        <w:t>גיהנם</w:t>
      </w:r>
      <w:proofErr w:type="spellEnd"/>
      <w:r w:rsidRPr="009221F2">
        <w:rPr>
          <w:i/>
          <w:iCs/>
          <w:rtl/>
        </w:rPr>
        <w:t xml:space="preserve"> שולטת בפושעי ישראל, קל וחומר ממזבח הזהב</w:t>
      </w:r>
      <w:r w:rsidRPr="009221F2">
        <w:rPr>
          <w:rFonts w:hint="cs"/>
          <w:i/>
          <w:iCs/>
          <w:rtl/>
        </w:rPr>
        <w:t>.</w:t>
      </w:r>
      <w:r w:rsidRPr="009221F2">
        <w:rPr>
          <w:i/>
          <w:iCs/>
          <w:rtl/>
        </w:rPr>
        <w:t xml:space="preserve"> מה מזבח הזהב</w:t>
      </w:r>
      <w:r w:rsidRPr="009221F2">
        <w:rPr>
          <w:rFonts w:hint="cs"/>
          <w:i/>
          <w:iCs/>
          <w:rtl/>
        </w:rPr>
        <w:t>,</w:t>
      </w:r>
      <w:r w:rsidRPr="009221F2">
        <w:rPr>
          <w:i/>
          <w:iCs/>
          <w:rtl/>
        </w:rPr>
        <w:t xml:space="preserve"> שאין עליו אלא כעובי דינר זהב, כמה שנים אין האור שולטת בו</w:t>
      </w:r>
      <w:r w:rsidRPr="009221F2">
        <w:rPr>
          <w:rFonts w:hint="cs"/>
          <w:i/>
          <w:iCs/>
          <w:rtl/>
        </w:rPr>
        <w:t>;</w:t>
      </w:r>
      <w:r w:rsidRPr="009221F2">
        <w:rPr>
          <w:i/>
          <w:iCs/>
          <w:rtl/>
        </w:rPr>
        <w:t xml:space="preserve"> פושעי ישראל </w:t>
      </w:r>
      <w:proofErr w:type="spellStart"/>
      <w:r w:rsidRPr="009221F2">
        <w:rPr>
          <w:i/>
          <w:iCs/>
          <w:rtl/>
        </w:rPr>
        <w:t>שמלאין</w:t>
      </w:r>
      <w:proofErr w:type="spellEnd"/>
      <w:r w:rsidRPr="009221F2">
        <w:rPr>
          <w:i/>
          <w:iCs/>
          <w:rtl/>
        </w:rPr>
        <w:t xml:space="preserve"> מצות כרמון, </w:t>
      </w:r>
      <w:proofErr w:type="spellStart"/>
      <w:r w:rsidRPr="009221F2">
        <w:rPr>
          <w:i/>
          <w:iCs/>
          <w:rtl/>
        </w:rPr>
        <w:t>דכתיב</w:t>
      </w:r>
      <w:proofErr w:type="spellEnd"/>
      <w:r w:rsidRPr="009221F2">
        <w:rPr>
          <w:rFonts w:hint="cs"/>
          <w:i/>
          <w:iCs/>
          <w:rtl/>
        </w:rPr>
        <w:t>:</w:t>
      </w:r>
      <w:r w:rsidRPr="009221F2">
        <w:rPr>
          <w:i/>
          <w:iCs/>
          <w:rtl/>
        </w:rPr>
        <w:t xml:space="preserve"> </w:t>
      </w:r>
      <w:r w:rsidRPr="009221F2">
        <w:rPr>
          <w:rFonts w:hint="cs"/>
          <w:i/>
          <w:iCs/>
          <w:rtl/>
        </w:rPr>
        <w:t>"</w:t>
      </w:r>
      <w:r w:rsidRPr="009221F2">
        <w:rPr>
          <w:i/>
          <w:iCs/>
          <w:rtl/>
        </w:rPr>
        <w:t>כפלח הרמון רקתך</w:t>
      </w:r>
      <w:r w:rsidRPr="009221F2">
        <w:rPr>
          <w:rFonts w:hint="cs"/>
          <w:i/>
          <w:iCs/>
          <w:rtl/>
        </w:rPr>
        <w:t>" (</w:t>
      </w:r>
      <w:r w:rsidRPr="009221F2">
        <w:rPr>
          <w:i/>
          <w:iCs/>
          <w:rtl/>
        </w:rPr>
        <w:t>שיר השירים ד</w:t>
      </w:r>
      <w:r w:rsidRPr="009221F2">
        <w:rPr>
          <w:rFonts w:hint="cs"/>
          <w:i/>
          <w:iCs/>
          <w:rtl/>
        </w:rPr>
        <w:t>, ג)</w:t>
      </w:r>
      <w:r w:rsidRPr="009221F2">
        <w:rPr>
          <w:i/>
          <w:iCs/>
          <w:rtl/>
        </w:rPr>
        <w:t xml:space="preserve">, אל תקרי רקתך אלא </w:t>
      </w:r>
      <w:proofErr w:type="spellStart"/>
      <w:r w:rsidRPr="009221F2">
        <w:rPr>
          <w:i/>
          <w:iCs/>
          <w:rtl/>
        </w:rPr>
        <w:t>רקנין</w:t>
      </w:r>
      <w:proofErr w:type="spellEnd"/>
      <w:r w:rsidRPr="009221F2">
        <w:rPr>
          <w:i/>
          <w:iCs/>
          <w:rtl/>
        </w:rPr>
        <w:t xml:space="preserve"> שבך – על אחת כמה וכמה.</w:t>
      </w:r>
      <w:r w:rsidRPr="009221F2">
        <w:rPr>
          <w:i/>
          <w:iCs/>
          <w:vertAlign w:val="superscript"/>
          <w:rtl/>
        </w:rPr>
        <w:footnoteReference w:id="22"/>
      </w:r>
      <w:r w:rsidRPr="009221F2">
        <w:rPr>
          <w:i/>
          <w:iCs/>
          <w:rtl/>
        </w:rPr>
        <w:t xml:space="preserve"> </w:t>
      </w:r>
    </w:p>
    <w:p w:rsidR="007E62D1" w:rsidRPr="009221F2" w:rsidRDefault="007E62D1" w:rsidP="007E62D1">
      <w:pPr>
        <w:tabs>
          <w:tab w:val="left" w:pos="1262"/>
        </w:tabs>
        <w:jc w:val="both"/>
        <w:rPr>
          <w:rtl/>
        </w:rPr>
      </w:pPr>
      <w:r w:rsidRPr="009221F2">
        <w:rPr>
          <w:rFonts w:hint="cs"/>
          <w:rtl/>
        </w:rPr>
        <w:t xml:space="preserve">והנה </w:t>
      </w:r>
      <w:r w:rsidRPr="009221F2">
        <w:rPr>
          <w:rtl/>
        </w:rPr>
        <w:t>מחד, בתלמידי חכמים – כל גופן (הציפוי החיצוני) אש, מה שאינו מקבל טומאה; מאידך, אפילו פושעי ישראל מלאים (מבפנים) מצוות כרימון</w:t>
      </w:r>
      <w:r w:rsidRPr="009221F2">
        <w:rPr>
          <w:rFonts w:hint="cs"/>
          <w:rtl/>
        </w:rPr>
        <w:t xml:space="preserve">. </w:t>
      </w:r>
    </w:p>
    <w:p w:rsidR="007E62D1" w:rsidRPr="009221F2" w:rsidRDefault="007E62D1" w:rsidP="007E62D1">
      <w:pPr>
        <w:tabs>
          <w:tab w:val="left" w:pos="1262"/>
        </w:tabs>
        <w:jc w:val="both"/>
        <w:rPr>
          <w:b/>
          <w:bCs/>
          <w:rtl/>
        </w:rPr>
      </w:pPr>
      <w:r w:rsidRPr="009221F2">
        <w:rPr>
          <w:rtl/>
        </w:rPr>
        <w:t>בכך נחשף פשר המהלך הגדול של סוף מסכת חגיגה</w:t>
      </w:r>
      <w:r w:rsidRPr="009221F2">
        <w:rPr>
          <w:rFonts w:hint="cs"/>
          <w:rtl/>
        </w:rPr>
        <w:t xml:space="preserve"> המבליט משהו במגמה שליוותה אותנו מהדף הראשון של המסכת </w:t>
      </w:r>
      <w:r w:rsidRPr="009221F2">
        <w:rPr>
          <w:rtl/>
        </w:rPr>
        <w:t>–</w:t>
      </w:r>
      <w:r w:rsidRPr="009221F2">
        <w:rPr>
          <w:rFonts w:hint="cs"/>
          <w:rtl/>
        </w:rPr>
        <w:t xml:space="preserve"> חיבת המפגש ב"ראיית פנים" במקדש</w:t>
      </w:r>
      <w:r w:rsidRPr="009221F2">
        <w:rPr>
          <w:rtl/>
        </w:rPr>
        <w:t>. במשך כל השנה מצב ההתקשרות בין ישראל לבין מי ששכן במקדש נקבע על ידי שמיר</w:t>
      </w:r>
      <w:r w:rsidRPr="009221F2">
        <w:rPr>
          <w:rFonts w:hint="cs"/>
          <w:rtl/>
        </w:rPr>
        <w:t>ה קפדנית</w:t>
      </w:r>
      <w:r w:rsidRPr="009221F2">
        <w:rPr>
          <w:rtl/>
        </w:rPr>
        <w:t xml:space="preserve"> </w:t>
      </w:r>
      <w:r w:rsidRPr="009221F2">
        <w:rPr>
          <w:rFonts w:hint="cs"/>
          <w:rtl/>
        </w:rPr>
        <w:t>על ה</w:t>
      </w:r>
      <w:r w:rsidRPr="009221F2">
        <w:rPr>
          <w:rtl/>
        </w:rPr>
        <w:t>טהרה שבדעת ובהתכוונות</w:t>
      </w:r>
      <w:r w:rsidRPr="009221F2">
        <w:rPr>
          <w:rFonts w:hint="cs"/>
          <w:rtl/>
        </w:rPr>
        <w:t>,</w:t>
      </w:r>
      <w:r w:rsidRPr="009221F2">
        <w:rPr>
          <w:rtl/>
        </w:rPr>
        <w:t xml:space="preserve"> דרגות </w:t>
      </w:r>
      <w:proofErr w:type="spellStart"/>
      <w:r w:rsidRPr="009221F2">
        <w:rPr>
          <w:rtl/>
        </w:rPr>
        <w:t>דרגות</w:t>
      </w:r>
      <w:proofErr w:type="spellEnd"/>
      <w:r w:rsidRPr="009221F2">
        <w:rPr>
          <w:rFonts w:hint="cs"/>
          <w:rtl/>
        </w:rPr>
        <w:t>:</w:t>
      </w:r>
      <w:r w:rsidRPr="009221F2">
        <w:rPr>
          <w:rtl/>
        </w:rPr>
        <w:t xml:space="preserve"> חולין, מעשר שני, תרומה קודש</w:t>
      </w:r>
      <w:r w:rsidRPr="009221F2">
        <w:rPr>
          <w:rFonts w:hint="cs"/>
          <w:rtl/>
        </w:rPr>
        <w:t xml:space="preserve"> ומי חטאת</w:t>
      </w:r>
      <w:r w:rsidRPr="009221F2">
        <w:rPr>
          <w:rtl/>
        </w:rPr>
        <w:t>. הלכות טהרה אלו היו תלוי</w:t>
      </w:r>
      <w:r w:rsidRPr="009221F2">
        <w:rPr>
          <w:rFonts w:hint="cs"/>
          <w:rtl/>
        </w:rPr>
        <w:t>ות</w:t>
      </w:r>
      <w:r w:rsidRPr="009221F2">
        <w:rPr>
          <w:rtl/>
        </w:rPr>
        <w:t xml:space="preserve"> במעשי האדם המתהווים מדעתו, מה שנחשב בהקשר זה</w:t>
      </w:r>
      <w:r w:rsidRPr="009221F2">
        <w:rPr>
          <w:rFonts w:hint="cs"/>
          <w:rtl/>
        </w:rPr>
        <w:t>, באופן לא צפוי,</w:t>
      </w:r>
      <w:r w:rsidRPr="009221F2">
        <w:rPr>
          <w:rtl/>
        </w:rPr>
        <w:t xml:space="preserve"> </w:t>
      </w:r>
      <w:r w:rsidRPr="009221F2">
        <w:rPr>
          <w:rFonts w:hint="cs"/>
          <w:rtl/>
        </w:rPr>
        <w:t>כ</w:t>
      </w:r>
      <w:r w:rsidRPr="009221F2">
        <w:rPr>
          <w:rtl/>
        </w:rPr>
        <w:t xml:space="preserve">ציפוי חיצוני לעומת השורש הקיומי של עצם חיות היש </w:t>
      </w:r>
      <w:r w:rsidRPr="009221F2">
        <w:rPr>
          <w:rFonts w:hint="cs"/>
          <w:rtl/>
        </w:rPr>
        <w:t>החומרי</w:t>
      </w:r>
      <w:r w:rsidRPr="009221F2">
        <w:rPr>
          <w:rFonts w:hint="cs"/>
          <w:b/>
          <w:bCs/>
          <w:rtl/>
        </w:rPr>
        <w:t xml:space="preserve"> </w:t>
      </w:r>
      <w:r w:rsidRPr="009221F2">
        <w:rPr>
          <w:rtl/>
        </w:rPr>
        <w:t>לפני א-</w:t>
      </w:r>
      <w:proofErr w:type="spellStart"/>
      <w:r w:rsidRPr="009221F2">
        <w:rPr>
          <w:rtl/>
        </w:rPr>
        <w:t>לוהים</w:t>
      </w:r>
      <w:proofErr w:type="spellEnd"/>
      <w:r w:rsidRPr="009221F2">
        <w:rPr>
          <w:rtl/>
        </w:rPr>
        <w:t>. לעומת זאת, במועד, עת חידוש ברית האהבה של הדוד והרעיה,</w:t>
      </w:r>
      <w:r w:rsidRPr="009221F2">
        <w:rPr>
          <w:rFonts w:hint="cs"/>
          <w:rtl/>
        </w:rPr>
        <w:t xml:space="preserve"> וחידוש שפע ברכת הדוד בבריאה,</w:t>
      </w:r>
      <w:r w:rsidRPr="009221F2">
        <w:rPr>
          <w:rtl/>
        </w:rPr>
        <w:t xml:space="preserve"> כל אדם בישראל, אפילו "פושעי ישראל", נידונים שלא על פי חיצוניותם</w:t>
      </w:r>
      <w:r w:rsidRPr="009221F2">
        <w:rPr>
          <w:rFonts w:hint="cs"/>
          <w:rtl/>
        </w:rPr>
        <w:t xml:space="preserve"> </w:t>
      </w:r>
      <w:r w:rsidRPr="009221F2">
        <w:rPr>
          <w:rtl/>
        </w:rPr>
        <w:t>– נחושת וזהב המסמלים התגנדרות והחצנה</w:t>
      </w:r>
      <w:r w:rsidRPr="009221F2">
        <w:rPr>
          <w:rFonts w:hint="cs"/>
          <w:rtl/>
        </w:rPr>
        <w:t xml:space="preserve"> </w:t>
      </w:r>
      <w:r w:rsidRPr="009221F2">
        <w:rPr>
          <w:rtl/>
        </w:rPr>
        <w:t>– אלא על פי פנימיותם, העץ הפשוט המחובר להתקשרות התמידית של היש הנברא לא-</w:t>
      </w:r>
      <w:proofErr w:type="spellStart"/>
      <w:r w:rsidRPr="009221F2">
        <w:rPr>
          <w:rtl/>
        </w:rPr>
        <w:t>לוהיו</w:t>
      </w:r>
      <w:proofErr w:type="spellEnd"/>
      <w:r w:rsidRPr="009221F2">
        <w:rPr>
          <w:rFonts w:hint="cs"/>
          <w:rtl/>
        </w:rPr>
        <w:t>, כמו שמזבח הנחושת מחובר לאדמה.</w:t>
      </w:r>
    </w:p>
    <w:p w:rsidR="007E62D1" w:rsidRPr="009221F2" w:rsidRDefault="007E62D1" w:rsidP="007E62D1">
      <w:pPr>
        <w:tabs>
          <w:tab w:val="left" w:pos="1262"/>
        </w:tabs>
        <w:jc w:val="both"/>
      </w:pPr>
      <w:r w:rsidRPr="009221F2">
        <w:rPr>
          <w:rtl/>
        </w:rPr>
        <w:t>על כן אין טומאה במקדש במועד.</w:t>
      </w:r>
    </w:p>
    <w:p w:rsidR="008E3430" w:rsidRPr="007E62D1" w:rsidRDefault="008E3430"/>
    <w:sectPr w:rsidR="008E3430" w:rsidRPr="007E62D1" w:rsidSect="005712F4">
      <w:footnotePr>
        <w:numRestart w:val="eachSect"/>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807" w:rsidRDefault="00412807" w:rsidP="007E62D1">
      <w:pPr>
        <w:spacing w:after="0" w:line="240" w:lineRule="auto"/>
      </w:pPr>
      <w:r>
        <w:separator/>
      </w:r>
    </w:p>
  </w:endnote>
  <w:endnote w:type="continuationSeparator" w:id="0">
    <w:p w:rsidR="00412807" w:rsidRDefault="00412807" w:rsidP="007E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ankRuehl">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807" w:rsidRDefault="00412807" w:rsidP="007E62D1">
      <w:pPr>
        <w:spacing w:after="0" w:line="240" w:lineRule="auto"/>
      </w:pPr>
      <w:r>
        <w:separator/>
      </w:r>
    </w:p>
  </w:footnote>
  <w:footnote w:type="continuationSeparator" w:id="0">
    <w:p w:rsidR="00412807" w:rsidRDefault="00412807" w:rsidP="007E62D1">
      <w:pPr>
        <w:spacing w:after="0" w:line="240" w:lineRule="auto"/>
      </w:pPr>
      <w:r>
        <w:continuationSeparator/>
      </w:r>
    </w:p>
  </w:footnote>
  <w:footnote w:id="1">
    <w:p w:rsidR="007E62D1" w:rsidRDefault="007E62D1" w:rsidP="007E62D1">
      <w:pPr>
        <w:pStyle w:val="a3"/>
        <w:spacing w:after="0"/>
        <w:jc w:val="both"/>
        <w:rPr>
          <w:rtl/>
        </w:rPr>
      </w:pPr>
      <w:r>
        <w:rPr>
          <w:rStyle w:val="a5"/>
        </w:rPr>
        <w:footnoteRef/>
      </w:r>
      <w:r>
        <w:rPr>
          <w:rtl/>
        </w:rPr>
        <w:t xml:space="preserve"> </w:t>
      </w:r>
      <w:r>
        <w:rPr>
          <w:rFonts w:hint="cs"/>
          <w:rtl/>
        </w:rPr>
        <w:t>משנה שבת, א, א.</w:t>
      </w:r>
    </w:p>
  </w:footnote>
  <w:footnote w:id="2">
    <w:p w:rsidR="007E62D1" w:rsidRPr="00DA7B46" w:rsidRDefault="007E62D1" w:rsidP="007E62D1">
      <w:pPr>
        <w:pStyle w:val="a3"/>
        <w:spacing w:after="0"/>
        <w:jc w:val="both"/>
        <w:rPr>
          <w:b/>
          <w:bCs/>
          <w:rtl/>
        </w:rPr>
      </w:pPr>
      <w:r>
        <w:rPr>
          <w:rStyle w:val="a5"/>
        </w:rPr>
        <w:footnoteRef/>
      </w:r>
      <w:r>
        <w:rPr>
          <w:rtl/>
        </w:rPr>
        <w:t xml:space="preserve"> </w:t>
      </w:r>
      <w:r w:rsidRPr="00F90400">
        <w:rPr>
          <w:rFonts w:hint="cs"/>
          <w:rtl/>
        </w:rPr>
        <w:t>המאמר יופיע בע"ה בכרך האחרון עם מאמרים על מסכתות ברכות, שבת ועירובין. בדימוי של "יציאות השבת" כתיאור של בריאת העולם רבי, עורך המשנה, נותן ביטוי ליסוד האמונה במצות שבת, מה שאפשר אולי לכנות "עיקר השבת". דימוי זה חוזר על עצמו במקומות נוספים במסכתות שבת ועירובין, ומהווה לדעתי</w:t>
      </w:r>
      <w:r>
        <w:rPr>
          <w:rFonts w:hint="cs"/>
          <w:rtl/>
        </w:rPr>
        <w:t xml:space="preserve"> את</w:t>
      </w:r>
      <w:r w:rsidRPr="00F90400">
        <w:rPr>
          <w:rFonts w:hint="cs"/>
          <w:rtl/>
        </w:rPr>
        <w:t xml:space="preserve"> אחת הסיבות </w:t>
      </w:r>
      <w:r>
        <w:rPr>
          <w:rFonts w:hint="cs"/>
          <w:rtl/>
        </w:rPr>
        <w:t xml:space="preserve">לכך </w:t>
      </w:r>
      <w:r w:rsidRPr="00F90400">
        <w:rPr>
          <w:rFonts w:hint="cs"/>
          <w:rtl/>
        </w:rPr>
        <w:t>שמלאכת הוצאה מרשות לרשות עומדת במוקד פרקים רבים במסכת שבת וניד</w:t>
      </w:r>
      <w:r>
        <w:rPr>
          <w:rFonts w:hint="cs"/>
          <w:rtl/>
        </w:rPr>
        <w:t>ונה</w:t>
      </w:r>
      <w:r w:rsidRPr="00F90400">
        <w:rPr>
          <w:rFonts w:hint="cs"/>
          <w:rtl/>
        </w:rPr>
        <w:t xml:space="preserve"> באופנים נוספים ברוב רובה של מסכת נוספת, מסכת עירובין, ללא כל פרופורציה למקומה כאחת משלושים ותשע</w:t>
      </w:r>
      <w:r>
        <w:rPr>
          <w:rFonts w:hint="cs"/>
          <w:rtl/>
        </w:rPr>
        <w:t>ה</w:t>
      </w:r>
      <w:r w:rsidRPr="00F90400">
        <w:rPr>
          <w:rFonts w:hint="cs"/>
          <w:rtl/>
        </w:rPr>
        <w:t xml:space="preserve"> אבות מלאכ</w:t>
      </w:r>
      <w:r>
        <w:rPr>
          <w:rFonts w:hint="cs"/>
          <w:rtl/>
        </w:rPr>
        <w:t>ות</w:t>
      </w:r>
      <w:r w:rsidRPr="00F90400">
        <w:rPr>
          <w:rFonts w:hint="cs"/>
          <w:rtl/>
        </w:rPr>
        <w:t>. על כך גם במאמרים שם.</w:t>
      </w:r>
      <w:r>
        <w:rPr>
          <w:rFonts w:hint="cs"/>
          <w:b/>
          <w:bCs/>
          <w:rtl/>
        </w:rPr>
        <w:t xml:space="preserve"> </w:t>
      </w:r>
    </w:p>
  </w:footnote>
  <w:footnote w:id="3">
    <w:p w:rsidR="007E62D1" w:rsidRDefault="007E62D1" w:rsidP="007E62D1">
      <w:pPr>
        <w:pStyle w:val="a3"/>
        <w:spacing w:after="0"/>
        <w:jc w:val="both"/>
      </w:pPr>
      <w:r>
        <w:rPr>
          <w:rStyle w:val="a5"/>
        </w:rPr>
        <w:footnoteRef/>
      </w:r>
      <w:r>
        <w:rPr>
          <w:rtl/>
        </w:rPr>
        <w:t xml:space="preserve"> </w:t>
      </w:r>
      <w:r>
        <w:rPr>
          <w:rFonts w:hint="cs"/>
          <w:rtl/>
        </w:rPr>
        <w:t xml:space="preserve">שהרי מלאכת הוצאה מוגדרת כ"מלאכה גרועה" (תוספות, שבת ב ע"א, ד"ה יציאות השבת שתים שהן ארבע), ובכלל, פרק א שם עוסק בעניינים שלקראת שבת, וכן הפרקים בהמשך דנים בענייני ההכנות לשבת </w:t>
      </w:r>
      <w:r>
        <w:rPr>
          <w:rtl/>
        </w:rPr>
        <w:t>–</w:t>
      </w:r>
      <w:r>
        <w:rPr>
          <w:rFonts w:hint="cs"/>
          <w:rtl/>
        </w:rPr>
        <w:t xml:space="preserve"> הדלקת הנר, הטמנת חמין והשארת אוכל על גבי כירה </w:t>
      </w:r>
      <w:r>
        <w:rPr>
          <w:rtl/>
        </w:rPr>
        <w:t>–</w:t>
      </w:r>
      <w:r>
        <w:rPr>
          <w:rFonts w:hint="cs"/>
          <w:rtl/>
        </w:rPr>
        <w:t xml:space="preserve"> ואילו העיסוק במלאכת הוצאה מתחיל רק בפרק ה, "במה בהמה יוצאה".</w:t>
      </w:r>
    </w:p>
  </w:footnote>
  <w:footnote w:id="4">
    <w:p w:rsidR="007E62D1" w:rsidRPr="00DA7B46" w:rsidRDefault="007E62D1" w:rsidP="007E62D1">
      <w:pPr>
        <w:pStyle w:val="a3"/>
        <w:spacing w:after="0"/>
        <w:jc w:val="both"/>
        <w:rPr>
          <w:b/>
          <w:bCs/>
        </w:rPr>
      </w:pPr>
      <w:r>
        <w:rPr>
          <w:rStyle w:val="a5"/>
        </w:rPr>
        <w:footnoteRef/>
      </w:r>
      <w:r>
        <w:rPr>
          <w:rtl/>
        </w:rPr>
        <w:t xml:space="preserve"> </w:t>
      </w:r>
      <w:r w:rsidRPr="00F93F02">
        <w:rPr>
          <w:rFonts w:hint="cs"/>
          <w:rtl/>
        </w:rPr>
        <w:t>עניין זה מרומז כבר בפרק האחרון של מסכת עירובין, המחבר בין ענייני הוצאה בשבת לענייני הוצאה מבית המקדש. על כך ראו במאמר שיופיע בע"ה בכרך שיכיל את המאמרים על  מסכת עירובין.</w:t>
      </w:r>
    </w:p>
  </w:footnote>
  <w:footnote w:id="5">
    <w:p w:rsidR="007E62D1" w:rsidRPr="00BE6B82" w:rsidRDefault="007E62D1" w:rsidP="007E62D1">
      <w:pPr>
        <w:pStyle w:val="a3"/>
        <w:spacing w:after="0"/>
        <w:jc w:val="both"/>
      </w:pPr>
      <w:r w:rsidRPr="00E64A9F">
        <w:rPr>
          <w:rStyle w:val="a5"/>
          <w:b/>
          <w:bCs/>
        </w:rPr>
        <w:footnoteRef/>
      </w:r>
      <w:r w:rsidRPr="00E64A9F">
        <w:rPr>
          <w:b/>
          <w:bCs/>
          <w:rtl/>
        </w:rPr>
        <w:t xml:space="preserve"> </w:t>
      </w:r>
      <w:r w:rsidRPr="00BE6B82">
        <w:rPr>
          <w:rFonts w:hint="cs"/>
          <w:rtl/>
        </w:rPr>
        <w:t>ראו את שיטות רבי יוחנן וריש לקיש בעניין זה במאמר על פרק א במסכת חגיגה, "מצות הראייה", חלק א.</w:t>
      </w:r>
    </w:p>
  </w:footnote>
  <w:footnote w:id="6">
    <w:p w:rsidR="007E62D1" w:rsidRPr="00E64A9F" w:rsidRDefault="007E62D1" w:rsidP="007E62D1">
      <w:pPr>
        <w:pStyle w:val="a3"/>
        <w:spacing w:after="0"/>
        <w:jc w:val="both"/>
        <w:rPr>
          <w:b/>
          <w:bCs/>
        </w:rPr>
      </w:pPr>
      <w:r w:rsidRPr="00BE6B82">
        <w:rPr>
          <w:rStyle w:val="a5"/>
        </w:rPr>
        <w:footnoteRef/>
      </w:r>
      <w:r w:rsidRPr="00BE6B82">
        <w:rPr>
          <w:rtl/>
        </w:rPr>
        <w:t xml:space="preserve"> </w:t>
      </w:r>
      <w:r w:rsidRPr="00BE6B82">
        <w:rPr>
          <w:rFonts w:hint="cs"/>
          <w:rtl/>
        </w:rPr>
        <w:t>ראו שם</w:t>
      </w:r>
      <w:r>
        <w:rPr>
          <w:rFonts w:hint="cs"/>
          <w:rtl/>
        </w:rPr>
        <w:t>,</w:t>
      </w:r>
      <w:r w:rsidRPr="00BE6B82">
        <w:rPr>
          <w:rFonts w:hint="cs"/>
          <w:rtl/>
        </w:rPr>
        <w:t xml:space="preserve"> חלק ג.</w:t>
      </w:r>
    </w:p>
  </w:footnote>
  <w:footnote w:id="7">
    <w:p w:rsidR="007E62D1" w:rsidRDefault="007E62D1" w:rsidP="007E62D1">
      <w:pPr>
        <w:pStyle w:val="a3"/>
        <w:spacing w:after="0"/>
        <w:jc w:val="both"/>
      </w:pPr>
      <w:r>
        <w:rPr>
          <w:rStyle w:val="a5"/>
        </w:rPr>
        <w:footnoteRef/>
      </w:r>
      <w:r>
        <w:rPr>
          <w:rtl/>
        </w:rPr>
        <w:t xml:space="preserve"> </w:t>
      </w:r>
      <w:r w:rsidRPr="009D7C8B">
        <w:rPr>
          <w:rtl/>
        </w:rPr>
        <w:t>משנה חגיגה</w:t>
      </w:r>
      <w:r>
        <w:rPr>
          <w:rFonts w:hint="cs"/>
          <w:rtl/>
        </w:rPr>
        <w:t>,</w:t>
      </w:r>
      <w:r w:rsidRPr="009D7C8B">
        <w:rPr>
          <w:rtl/>
        </w:rPr>
        <w:t xml:space="preserve"> ב</w:t>
      </w:r>
      <w:r w:rsidRPr="009D7C8B">
        <w:rPr>
          <w:rFonts w:hint="cs"/>
          <w:rtl/>
        </w:rPr>
        <w:t>, ו (</w:t>
      </w:r>
      <w:proofErr w:type="spellStart"/>
      <w:r w:rsidRPr="009D7C8B">
        <w:rPr>
          <w:rFonts w:hint="cs"/>
          <w:rtl/>
        </w:rPr>
        <w:t>יח</w:t>
      </w:r>
      <w:proofErr w:type="spellEnd"/>
      <w:r w:rsidRPr="009D7C8B">
        <w:rPr>
          <w:rFonts w:hint="cs"/>
          <w:rtl/>
        </w:rPr>
        <w:t xml:space="preserve"> ע"ב).</w:t>
      </w:r>
    </w:p>
  </w:footnote>
  <w:footnote w:id="8">
    <w:p w:rsidR="007E62D1" w:rsidRDefault="007E62D1" w:rsidP="007E62D1">
      <w:pPr>
        <w:pStyle w:val="a3"/>
        <w:spacing w:after="0"/>
        <w:jc w:val="both"/>
        <w:rPr>
          <w:rtl/>
        </w:rPr>
      </w:pPr>
      <w:r>
        <w:rPr>
          <w:rStyle w:val="a5"/>
        </w:rPr>
        <w:footnoteRef/>
      </w:r>
      <w:r>
        <w:rPr>
          <w:rtl/>
        </w:rPr>
        <w:t xml:space="preserve"> </w:t>
      </w:r>
      <w:r>
        <w:rPr>
          <w:rFonts w:hint="cs"/>
          <w:rtl/>
        </w:rPr>
        <w:t xml:space="preserve">משנה שם, ז (שם) </w:t>
      </w:r>
      <w:r>
        <w:rPr>
          <w:rtl/>
        </w:rPr>
        <w:t>–</w:t>
      </w:r>
      <w:r>
        <w:rPr>
          <w:rFonts w:hint="cs"/>
          <w:rtl/>
        </w:rPr>
        <w:t xml:space="preserve"> "</w:t>
      </w:r>
      <w:r>
        <w:rPr>
          <w:rtl/>
        </w:rPr>
        <w:t xml:space="preserve">בגדי עם הארץ מדרס </w:t>
      </w:r>
      <w:proofErr w:type="spellStart"/>
      <w:r>
        <w:rPr>
          <w:rtl/>
        </w:rPr>
        <w:t>לפרושין</w:t>
      </w:r>
      <w:proofErr w:type="spellEnd"/>
      <w:r>
        <w:rPr>
          <w:rFonts w:hint="cs"/>
          <w:rtl/>
        </w:rPr>
        <w:t xml:space="preserve">" </w:t>
      </w:r>
      <w:proofErr w:type="spellStart"/>
      <w:r>
        <w:rPr>
          <w:rFonts w:hint="cs"/>
          <w:rtl/>
        </w:rPr>
        <w:t>וכו</w:t>
      </w:r>
      <w:proofErr w:type="spellEnd"/>
      <w:r>
        <w:rPr>
          <w:rFonts w:hint="cs"/>
          <w:rtl/>
        </w:rPr>
        <w:t xml:space="preserve">'. בהמשך שם מובא, שאף מטפחתו של יוסף בן </w:t>
      </w:r>
      <w:proofErr w:type="spellStart"/>
      <w:r>
        <w:rPr>
          <w:rFonts w:hint="cs"/>
          <w:rtl/>
        </w:rPr>
        <w:t>יועזר</w:t>
      </w:r>
      <w:proofErr w:type="spellEnd"/>
      <w:r>
        <w:rPr>
          <w:rFonts w:hint="cs"/>
          <w:rtl/>
        </w:rPr>
        <w:t xml:space="preserve"> (הוא יוסי בן </w:t>
      </w:r>
      <w:proofErr w:type="spellStart"/>
      <w:r>
        <w:rPr>
          <w:rFonts w:hint="cs"/>
          <w:rtl/>
        </w:rPr>
        <w:t>יועזר</w:t>
      </w:r>
      <w:proofErr w:type="spellEnd"/>
      <w:r>
        <w:rPr>
          <w:rFonts w:hint="cs"/>
          <w:rtl/>
        </w:rPr>
        <w:t xml:space="preserve"> מהזוג הראשון במסכת אבות פרק א) שהיה "חסיד שבכהונה" הנה מדרס, כלומר טמאה ומטמאת, לקודש </w:t>
      </w:r>
      <w:r>
        <w:rPr>
          <w:rtl/>
        </w:rPr>
        <w:t>–</w:t>
      </w:r>
      <w:r>
        <w:rPr>
          <w:rFonts w:hint="cs"/>
          <w:rtl/>
        </w:rPr>
        <w:t xml:space="preserve"> למי שצריך להיות טהור לשם אכילת קרבן, כיון שככוהן הוא היה אוכל כל ימיו על טהרת תרומה בלבד. וכן נאמר אותו הדבר על יוחנן בן </w:t>
      </w:r>
      <w:proofErr w:type="spellStart"/>
      <w:r>
        <w:rPr>
          <w:rFonts w:hint="cs"/>
          <w:rtl/>
        </w:rPr>
        <w:t>גודגדא</w:t>
      </w:r>
      <w:proofErr w:type="spellEnd"/>
      <w:r>
        <w:rPr>
          <w:rFonts w:hint="cs"/>
          <w:rtl/>
        </w:rPr>
        <w:t xml:space="preserve"> שמטפחתו מדרס לחטאת, על אף שהיה אוכל כל ימיו על טהרת הקודש, עם כל ההגבלות הכרוכות בכך.</w:t>
      </w:r>
    </w:p>
  </w:footnote>
  <w:footnote w:id="9">
    <w:p w:rsidR="007E62D1" w:rsidRDefault="007E62D1" w:rsidP="007E62D1">
      <w:pPr>
        <w:pStyle w:val="a3"/>
        <w:spacing w:after="0"/>
        <w:jc w:val="both"/>
      </w:pPr>
      <w:r>
        <w:rPr>
          <w:rStyle w:val="a5"/>
        </w:rPr>
        <w:footnoteRef/>
      </w:r>
      <w:r>
        <w:rPr>
          <w:rtl/>
        </w:rPr>
        <w:t xml:space="preserve"> </w:t>
      </w:r>
      <w:r w:rsidRPr="007A61B8">
        <w:rPr>
          <w:rFonts w:hint="cs"/>
          <w:b/>
          <w:bCs/>
          <w:rtl/>
        </w:rPr>
        <w:t>משנה תורה</w:t>
      </w:r>
      <w:r w:rsidRPr="007A61B8">
        <w:rPr>
          <w:rFonts w:hint="cs"/>
          <w:rtl/>
        </w:rPr>
        <w:t>,</w:t>
      </w:r>
      <w:r>
        <w:rPr>
          <w:rtl/>
        </w:rPr>
        <w:t xml:space="preserve"> הלכות מקוו</w:t>
      </w:r>
      <w:r w:rsidRPr="007A61B8">
        <w:rPr>
          <w:rtl/>
        </w:rPr>
        <w:t>ת</w:t>
      </w:r>
      <w:r w:rsidRPr="007A61B8">
        <w:rPr>
          <w:rFonts w:hint="cs"/>
          <w:rtl/>
        </w:rPr>
        <w:t>,</w:t>
      </w:r>
      <w:r w:rsidRPr="007A61B8">
        <w:rPr>
          <w:rtl/>
        </w:rPr>
        <w:t xml:space="preserve"> יא</w:t>
      </w:r>
      <w:r>
        <w:rPr>
          <w:rFonts w:hint="cs"/>
          <w:rtl/>
        </w:rPr>
        <w:t xml:space="preserve">, </w:t>
      </w:r>
      <w:proofErr w:type="spellStart"/>
      <w:r>
        <w:rPr>
          <w:rFonts w:hint="cs"/>
          <w:rtl/>
        </w:rPr>
        <w:t>יב</w:t>
      </w:r>
      <w:proofErr w:type="spellEnd"/>
      <w:r w:rsidRPr="007A61B8">
        <w:rPr>
          <w:rFonts w:hint="cs"/>
          <w:rtl/>
        </w:rPr>
        <w:t>.</w:t>
      </w:r>
    </w:p>
  </w:footnote>
  <w:footnote w:id="10">
    <w:p w:rsidR="007E62D1" w:rsidRDefault="007E62D1" w:rsidP="007E62D1">
      <w:pPr>
        <w:pStyle w:val="a3"/>
        <w:spacing w:after="0"/>
        <w:jc w:val="both"/>
      </w:pPr>
      <w:r>
        <w:rPr>
          <w:rStyle w:val="a5"/>
        </w:rPr>
        <w:footnoteRef/>
      </w:r>
      <w:r>
        <w:rPr>
          <w:rtl/>
        </w:rPr>
        <w:t xml:space="preserve"> </w:t>
      </w:r>
      <w:r>
        <w:rPr>
          <w:rFonts w:hint="cs"/>
          <w:rtl/>
        </w:rPr>
        <w:t xml:space="preserve">משנה שם, ג, ד (כד ע"ב) </w:t>
      </w:r>
      <w:r>
        <w:rPr>
          <w:rtl/>
        </w:rPr>
        <w:t>–</w:t>
      </w:r>
      <w:r>
        <w:rPr>
          <w:rFonts w:hint="cs"/>
          <w:rtl/>
        </w:rPr>
        <w:t xml:space="preserve"> "חומר בתרומה".</w:t>
      </w:r>
    </w:p>
  </w:footnote>
  <w:footnote w:id="11">
    <w:p w:rsidR="007E62D1" w:rsidRDefault="007E62D1" w:rsidP="007E62D1">
      <w:pPr>
        <w:pStyle w:val="a3"/>
        <w:spacing w:after="0"/>
        <w:jc w:val="both"/>
        <w:rPr>
          <w:rtl/>
        </w:rPr>
      </w:pPr>
      <w:r>
        <w:rPr>
          <w:rStyle w:val="a5"/>
        </w:rPr>
        <w:footnoteRef/>
      </w:r>
      <w:r>
        <w:rPr>
          <w:rtl/>
        </w:rPr>
        <w:t xml:space="preserve"> </w:t>
      </w:r>
      <w:r>
        <w:rPr>
          <w:rFonts w:hint="cs"/>
          <w:rtl/>
        </w:rPr>
        <w:t xml:space="preserve">ראו במאמר על מסכת </w:t>
      </w:r>
      <w:r w:rsidRPr="004C3DA7">
        <w:rPr>
          <w:rtl/>
        </w:rPr>
        <w:t>סוכה פרק א</w:t>
      </w:r>
      <w:r>
        <w:rPr>
          <w:rFonts w:hint="cs"/>
          <w:rtl/>
        </w:rPr>
        <w:t>,</w:t>
      </w:r>
      <w:r w:rsidRPr="004C3DA7">
        <w:rPr>
          <w:rtl/>
        </w:rPr>
        <w:t xml:space="preserve"> </w:t>
      </w:r>
      <w:r>
        <w:rPr>
          <w:rFonts w:hint="cs"/>
          <w:rtl/>
        </w:rPr>
        <w:t>"</w:t>
      </w:r>
      <w:r>
        <w:rPr>
          <w:rtl/>
        </w:rPr>
        <w:t>סכך – בין טבע לתודעה</w:t>
      </w:r>
      <w:r>
        <w:rPr>
          <w:rFonts w:hint="cs"/>
          <w:rtl/>
        </w:rPr>
        <w:t>", חלק ב, וכן במאמר על מסכת מועד קטן, "</w:t>
      </w:r>
      <w:r w:rsidRPr="001B3FA1">
        <w:rPr>
          <w:rFonts w:hint="cs"/>
          <w:rtl/>
        </w:rPr>
        <w:t xml:space="preserve">שלושת המורחקים </w:t>
      </w:r>
      <w:r w:rsidRPr="001B3FA1">
        <w:rPr>
          <w:rtl/>
        </w:rPr>
        <w:t>–</w:t>
      </w:r>
      <w:r w:rsidRPr="001B3FA1">
        <w:rPr>
          <w:rFonts w:hint="cs"/>
          <w:rtl/>
        </w:rPr>
        <w:t xml:space="preserve"> האבל, המצורע והמנודה</w:t>
      </w:r>
      <w:r>
        <w:rPr>
          <w:rFonts w:hint="cs"/>
          <w:rtl/>
        </w:rPr>
        <w:t xml:space="preserve">" חלק ב, וכן במאמר על מסכת פסחים פרק ז, "בתוך </w:t>
      </w:r>
      <w:proofErr w:type="spellStart"/>
      <w:r>
        <w:rPr>
          <w:rFonts w:hint="cs"/>
          <w:rtl/>
        </w:rPr>
        <w:t>טומאותם</w:t>
      </w:r>
      <w:proofErr w:type="spellEnd"/>
      <w:r>
        <w:rPr>
          <w:rFonts w:hint="cs"/>
          <w:rtl/>
        </w:rPr>
        <w:t xml:space="preserve"> </w:t>
      </w:r>
      <w:r>
        <w:rPr>
          <w:rtl/>
        </w:rPr>
        <w:t>–</w:t>
      </w:r>
      <w:r>
        <w:rPr>
          <w:rFonts w:hint="cs"/>
          <w:rtl/>
        </w:rPr>
        <w:t xml:space="preserve"> </w:t>
      </w:r>
      <w:r>
        <w:rPr>
          <w:rtl/>
        </w:rPr>
        <w:t>המעמד המיוחד של קרבן פסח</w:t>
      </w:r>
      <w:r>
        <w:rPr>
          <w:rFonts w:hint="cs"/>
          <w:rtl/>
        </w:rPr>
        <w:t>", הערה 2.</w:t>
      </w:r>
    </w:p>
  </w:footnote>
  <w:footnote w:id="12">
    <w:p w:rsidR="007E62D1" w:rsidRDefault="007E62D1" w:rsidP="007E62D1">
      <w:pPr>
        <w:pStyle w:val="a3"/>
        <w:spacing w:after="0"/>
        <w:jc w:val="both"/>
      </w:pPr>
      <w:r>
        <w:rPr>
          <w:rStyle w:val="a5"/>
        </w:rPr>
        <w:footnoteRef/>
      </w:r>
      <w:r>
        <w:rPr>
          <w:rtl/>
        </w:rPr>
        <w:t xml:space="preserve"> </w:t>
      </w:r>
      <w:r>
        <w:rPr>
          <w:rFonts w:hint="cs"/>
          <w:rtl/>
        </w:rPr>
        <w:t>ראו במאמר הנ"ל במסכת פסחים.</w:t>
      </w:r>
    </w:p>
  </w:footnote>
  <w:footnote w:id="13">
    <w:p w:rsidR="007E62D1" w:rsidRDefault="007E62D1" w:rsidP="007E62D1">
      <w:pPr>
        <w:pStyle w:val="a3"/>
        <w:spacing w:after="0"/>
        <w:jc w:val="both"/>
        <w:rPr>
          <w:rtl/>
        </w:rPr>
      </w:pPr>
      <w:r>
        <w:rPr>
          <w:rStyle w:val="a5"/>
        </w:rPr>
        <w:footnoteRef/>
      </w:r>
      <w:r>
        <w:rPr>
          <w:rtl/>
        </w:rPr>
        <w:t xml:space="preserve"> </w:t>
      </w:r>
      <w:r>
        <w:rPr>
          <w:rFonts w:hint="cs"/>
          <w:rtl/>
        </w:rPr>
        <w:t>משנה שם, ז-ח (</w:t>
      </w:r>
      <w:proofErr w:type="spellStart"/>
      <w:r>
        <w:rPr>
          <w:rFonts w:hint="cs"/>
          <w:rtl/>
        </w:rPr>
        <w:t>כו</w:t>
      </w:r>
      <w:proofErr w:type="spellEnd"/>
      <w:r>
        <w:rPr>
          <w:rFonts w:hint="cs"/>
          <w:rtl/>
        </w:rPr>
        <w:t xml:space="preserve"> ע"א-ע"ב).</w:t>
      </w:r>
    </w:p>
  </w:footnote>
  <w:footnote w:id="14">
    <w:p w:rsidR="007E62D1" w:rsidRDefault="007E62D1" w:rsidP="007E62D1">
      <w:pPr>
        <w:pStyle w:val="a3"/>
        <w:spacing w:after="0"/>
        <w:jc w:val="both"/>
        <w:rPr>
          <w:rtl/>
        </w:rPr>
      </w:pPr>
      <w:r>
        <w:rPr>
          <w:rStyle w:val="a5"/>
        </w:rPr>
        <w:footnoteRef/>
      </w:r>
      <w:r>
        <w:rPr>
          <w:rtl/>
        </w:rPr>
        <w:t xml:space="preserve"> </w:t>
      </w:r>
      <w:r>
        <w:rPr>
          <w:rFonts w:hint="cs"/>
          <w:rtl/>
        </w:rPr>
        <w:t>ניתן לראות מגמה זו גם ביחס למה שמתרחש בשעת הרגל מחוץ למקדש. דעת חכמים ב</w:t>
      </w:r>
      <w:r w:rsidRPr="00A97584">
        <w:rPr>
          <w:rFonts w:hint="cs"/>
          <w:rtl/>
        </w:rPr>
        <w:t>רישא</w:t>
      </w:r>
      <w:r>
        <w:rPr>
          <w:rFonts w:hint="cs"/>
          <w:rtl/>
        </w:rPr>
        <w:t xml:space="preserve"> של משנה ז, הנ</w:t>
      </w:r>
      <w:r>
        <w:rPr>
          <w:rFonts w:hint="eastAsia"/>
          <w:rtl/>
        </w:rPr>
        <w:t>ָ</w:t>
      </w:r>
      <w:r>
        <w:rPr>
          <w:rFonts w:hint="cs"/>
          <w:rtl/>
        </w:rPr>
        <w:t xml:space="preserve">ה שאדם (המקפיד על הלכות טומאה וטהרה) שהתחיל למכור יין, שמן או בצק בזמן הרגל </w:t>
      </w:r>
      <w:r>
        <w:rPr>
          <w:rtl/>
        </w:rPr>
        <w:t>–</w:t>
      </w:r>
      <w:r>
        <w:rPr>
          <w:rFonts w:hint="cs"/>
          <w:rtl/>
        </w:rPr>
        <w:t xml:space="preserve"> כך שבני אדם רבים נוגעים במוצרים ואין שליטה על רמת הטהרה </w:t>
      </w:r>
      <w:r>
        <w:rPr>
          <w:rtl/>
        </w:rPr>
        <w:t>–</w:t>
      </w:r>
      <w:r>
        <w:rPr>
          <w:rFonts w:hint="cs"/>
          <w:rtl/>
        </w:rPr>
        <w:t xml:space="preserve"> אינו יכול להמשיך למכור את אותם דברים שנגעו בהם לאחר הרגל כטהורים מחשש שמא נטמאו. כלומר, יש כאן מעין טומאה (או טהרה) "סלקטיבית", כך שבזמן הרגל יש התעלמות ממצב הטהרה, אך לאחר מכן, שבה הטומאה למקומה הרגיל. את הטעם לכך ניתן למצוא בהסבר שהגמרא מביאה לכך שבזמן הרגל כולם נאמנים על התרומה (משנה ו): "</w:t>
      </w:r>
      <w:r w:rsidRPr="00BC03FA">
        <w:rPr>
          <w:rtl/>
        </w:rPr>
        <w:t xml:space="preserve">מנהני מילי? אמר רבי יהושע בן לוי: </w:t>
      </w:r>
      <w:proofErr w:type="spellStart"/>
      <w:r w:rsidRPr="00BC03FA">
        <w:rPr>
          <w:rtl/>
        </w:rPr>
        <w:t>דאמר</w:t>
      </w:r>
      <w:proofErr w:type="spellEnd"/>
      <w:r w:rsidRPr="00BC03FA">
        <w:rPr>
          <w:rtl/>
        </w:rPr>
        <w:t xml:space="preserve"> קרא</w:t>
      </w:r>
      <w:r>
        <w:rPr>
          <w:rFonts w:hint="cs"/>
          <w:rtl/>
        </w:rPr>
        <w:t>:</w:t>
      </w:r>
      <w:r w:rsidRPr="00BC03FA">
        <w:rPr>
          <w:rtl/>
        </w:rPr>
        <w:t xml:space="preserve"> </w:t>
      </w:r>
      <w:r>
        <w:rPr>
          <w:rFonts w:hint="cs"/>
          <w:rtl/>
        </w:rPr>
        <w:t>'</w:t>
      </w:r>
      <w:proofErr w:type="spellStart"/>
      <w:r w:rsidRPr="00BC03FA">
        <w:rPr>
          <w:rtl/>
        </w:rPr>
        <w:t>ויאסף</w:t>
      </w:r>
      <w:proofErr w:type="spellEnd"/>
      <w:r w:rsidRPr="00BC03FA">
        <w:rPr>
          <w:rtl/>
        </w:rPr>
        <w:t xml:space="preserve"> כל איש ישראל אל העיר כאיש אחד </w:t>
      </w:r>
      <w:r>
        <w:rPr>
          <w:rtl/>
        </w:rPr>
        <w:t>חברים</w:t>
      </w:r>
      <w:r>
        <w:rPr>
          <w:rFonts w:hint="cs"/>
          <w:rtl/>
        </w:rPr>
        <w:t xml:space="preserve">' </w:t>
      </w:r>
      <w:r w:rsidRPr="00A75944">
        <w:rPr>
          <w:rFonts w:hint="cs"/>
          <w:rtl/>
        </w:rPr>
        <w:t>(</w:t>
      </w:r>
      <w:r w:rsidRPr="00A75944">
        <w:rPr>
          <w:rtl/>
        </w:rPr>
        <w:t>שופטים כ</w:t>
      </w:r>
      <w:r w:rsidRPr="00A75944">
        <w:rPr>
          <w:rFonts w:hint="cs"/>
          <w:rtl/>
        </w:rPr>
        <w:t>, יא)</w:t>
      </w:r>
      <w:r>
        <w:rPr>
          <w:rtl/>
        </w:rPr>
        <w:t xml:space="preserve"> - הכתוב </w:t>
      </w:r>
      <w:proofErr w:type="spellStart"/>
      <w:r>
        <w:rPr>
          <w:rtl/>
        </w:rPr>
        <w:t>עשאן</w:t>
      </w:r>
      <w:proofErr w:type="spellEnd"/>
      <w:r>
        <w:rPr>
          <w:rtl/>
        </w:rPr>
        <w:t xml:space="preserve"> כולן חברים</w:t>
      </w:r>
      <w:r>
        <w:rPr>
          <w:rFonts w:hint="cs"/>
          <w:rtl/>
        </w:rPr>
        <w:t xml:space="preserve">" (חגיגה </w:t>
      </w:r>
      <w:proofErr w:type="spellStart"/>
      <w:r>
        <w:rPr>
          <w:rFonts w:hint="cs"/>
          <w:rtl/>
        </w:rPr>
        <w:t>כו</w:t>
      </w:r>
      <w:proofErr w:type="spellEnd"/>
      <w:r>
        <w:rPr>
          <w:rFonts w:hint="cs"/>
          <w:rtl/>
        </w:rPr>
        <w:t xml:space="preserve"> ע"א)</w:t>
      </w:r>
      <w:r>
        <w:rPr>
          <w:rtl/>
        </w:rPr>
        <w:t xml:space="preserve">. </w:t>
      </w:r>
      <w:r>
        <w:rPr>
          <w:rFonts w:hint="cs"/>
          <w:rtl/>
        </w:rPr>
        <w:t>כלומר, ברגל כל העם נחשב כ"חברים" המקפידים על פרטי הלכות טהרה. במסכת נידה רבא לומד מפסוק זה במפורש: "</w:t>
      </w:r>
      <w:r w:rsidRPr="00A75944">
        <w:rPr>
          <w:rtl/>
        </w:rPr>
        <w:t xml:space="preserve">וטומאת עם הארץ ברגל </w:t>
      </w:r>
      <w:r>
        <w:rPr>
          <w:rtl/>
        </w:rPr>
        <w:t>–</w:t>
      </w:r>
      <w:r w:rsidRPr="00A75944">
        <w:rPr>
          <w:rtl/>
        </w:rPr>
        <w:t xml:space="preserve"> כטהרה </w:t>
      </w:r>
      <w:proofErr w:type="spellStart"/>
      <w:r w:rsidRPr="00A75944">
        <w:rPr>
          <w:rtl/>
        </w:rPr>
        <w:t>שוינהו</w:t>
      </w:r>
      <w:proofErr w:type="spellEnd"/>
      <w:r w:rsidRPr="00A75944">
        <w:rPr>
          <w:rtl/>
        </w:rPr>
        <w:t xml:space="preserve"> רבנן</w:t>
      </w:r>
      <w:r>
        <w:rPr>
          <w:rFonts w:hint="cs"/>
          <w:rtl/>
        </w:rPr>
        <w:t xml:space="preserve">" </w:t>
      </w:r>
      <w:r w:rsidRPr="008A73EB">
        <w:rPr>
          <w:rFonts w:hint="cs"/>
          <w:rtl/>
        </w:rPr>
        <w:t>(</w:t>
      </w:r>
      <w:r w:rsidRPr="008A73EB">
        <w:rPr>
          <w:rtl/>
        </w:rPr>
        <w:t>נ</w:t>
      </w:r>
      <w:r w:rsidRPr="008A73EB">
        <w:rPr>
          <w:rFonts w:hint="cs"/>
          <w:rtl/>
        </w:rPr>
        <w:t>י</w:t>
      </w:r>
      <w:r w:rsidRPr="008A73EB">
        <w:rPr>
          <w:rtl/>
        </w:rPr>
        <w:t>דה לד ע</w:t>
      </w:r>
      <w:r w:rsidRPr="008A73EB">
        <w:rPr>
          <w:rFonts w:hint="cs"/>
          <w:rtl/>
        </w:rPr>
        <w:t>"</w:t>
      </w:r>
      <w:r w:rsidRPr="008A73EB">
        <w:rPr>
          <w:rtl/>
        </w:rPr>
        <w:t>א</w:t>
      </w:r>
      <w:r w:rsidRPr="008A73EB">
        <w:rPr>
          <w:rFonts w:hint="cs"/>
          <w:rtl/>
        </w:rPr>
        <w:t>).</w:t>
      </w:r>
      <w:r w:rsidRPr="00A75944">
        <w:rPr>
          <w:rtl/>
        </w:rPr>
        <w:t xml:space="preserve"> </w:t>
      </w:r>
      <w:r>
        <w:rPr>
          <w:rFonts w:hint="cs"/>
          <w:rtl/>
        </w:rPr>
        <w:t>ובירושלמי באופן אחר: "</w:t>
      </w:r>
      <w:r w:rsidRPr="008A73EB">
        <w:rPr>
          <w:rtl/>
        </w:rPr>
        <w:t>אמר רבי יהושע בן לוי</w:t>
      </w:r>
      <w:r>
        <w:rPr>
          <w:rFonts w:hint="cs"/>
          <w:rtl/>
        </w:rPr>
        <w:t>:</w:t>
      </w:r>
      <w:r w:rsidRPr="008A73EB">
        <w:rPr>
          <w:rtl/>
        </w:rPr>
        <w:t xml:space="preserve"> </w:t>
      </w:r>
      <w:r>
        <w:rPr>
          <w:rFonts w:hint="cs"/>
          <w:rtl/>
        </w:rPr>
        <w:t>'</w:t>
      </w:r>
      <w:r w:rsidRPr="008A73EB">
        <w:rPr>
          <w:rtl/>
        </w:rPr>
        <w:t>ירושלם הבנויה כעיר שחוברה לה יחדיו</w:t>
      </w:r>
      <w:r>
        <w:rPr>
          <w:rFonts w:hint="cs"/>
          <w:rtl/>
        </w:rPr>
        <w:t>' (תהלים</w:t>
      </w:r>
      <w:r w:rsidRPr="008A73EB">
        <w:rPr>
          <w:rtl/>
        </w:rPr>
        <w:t xml:space="preserve"> </w:t>
      </w:r>
      <w:proofErr w:type="spellStart"/>
      <w:r>
        <w:rPr>
          <w:rFonts w:hint="cs"/>
          <w:rtl/>
        </w:rPr>
        <w:t>קכב</w:t>
      </w:r>
      <w:proofErr w:type="spellEnd"/>
      <w:r>
        <w:rPr>
          <w:rFonts w:hint="cs"/>
          <w:rtl/>
        </w:rPr>
        <w:t xml:space="preserve">, ג) </w:t>
      </w:r>
      <w:r>
        <w:rPr>
          <w:rtl/>
        </w:rPr>
        <w:t>–</w:t>
      </w:r>
      <w:r>
        <w:rPr>
          <w:rFonts w:hint="cs"/>
          <w:rtl/>
        </w:rPr>
        <w:t xml:space="preserve"> </w:t>
      </w:r>
      <w:r w:rsidRPr="008A73EB">
        <w:rPr>
          <w:rtl/>
        </w:rPr>
        <w:t>עיר שהיא עושה כל ישראל חברים</w:t>
      </w:r>
      <w:r>
        <w:rPr>
          <w:rFonts w:hint="cs"/>
          <w:rtl/>
        </w:rPr>
        <w:t>.</w:t>
      </w:r>
      <w:r w:rsidRPr="008A73EB">
        <w:rPr>
          <w:rtl/>
        </w:rPr>
        <w:t xml:space="preserve"> מעתה</w:t>
      </w:r>
      <w:r>
        <w:rPr>
          <w:rFonts w:hint="cs"/>
          <w:rtl/>
        </w:rPr>
        <w:t xml:space="preserve"> (אם כזו היא ירושלים),</w:t>
      </w:r>
      <w:r w:rsidRPr="008A73EB">
        <w:rPr>
          <w:rtl/>
        </w:rPr>
        <w:t xml:space="preserve"> אפילו בשאר ימות השנה</w:t>
      </w:r>
      <w:r>
        <w:rPr>
          <w:rFonts w:hint="cs"/>
          <w:rtl/>
        </w:rPr>
        <w:t>?</w:t>
      </w:r>
      <w:r w:rsidRPr="008A73EB">
        <w:rPr>
          <w:rtl/>
        </w:rPr>
        <w:t xml:space="preserve"> אמר רבי</w:t>
      </w:r>
      <w:r>
        <w:rPr>
          <w:rtl/>
        </w:rPr>
        <w:t xml:space="preserve"> </w:t>
      </w:r>
      <w:proofErr w:type="spellStart"/>
      <w:r>
        <w:rPr>
          <w:rtl/>
        </w:rPr>
        <w:t>זעורה</w:t>
      </w:r>
      <w:proofErr w:type="spellEnd"/>
      <w:r>
        <w:rPr>
          <w:rFonts w:hint="cs"/>
          <w:rtl/>
        </w:rPr>
        <w:t>:</w:t>
      </w:r>
      <w:r>
        <w:rPr>
          <w:rtl/>
        </w:rPr>
        <w:t xml:space="preserve"> ובלבד בשעה </w:t>
      </w:r>
      <w:r>
        <w:rPr>
          <w:rFonts w:hint="cs"/>
          <w:rtl/>
        </w:rPr>
        <w:t>'</w:t>
      </w:r>
      <w:r>
        <w:rPr>
          <w:rtl/>
        </w:rPr>
        <w:t>ששם עלו שבטים</w:t>
      </w:r>
      <w:r>
        <w:rPr>
          <w:rFonts w:hint="cs"/>
          <w:rtl/>
        </w:rPr>
        <w:t>'" (</w:t>
      </w:r>
      <w:r w:rsidRPr="00E44FF9">
        <w:rPr>
          <w:rtl/>
        </w:rPr>
        <w:t>ירושלמי חגיגה</w:t>
      </w:r>
      <w:r w:rsidRPr="00E44FF9">
        <w:rPr>
          <w:rFonts w:hint="cs"/>
          <w:rtl/>
        </w:rPr>
        <w:t>,</w:t>
      </w:r>
      <w:r w:rsidRPr="00E44FF9">
        <w:rPr>
          <w:rtl/>
        </w:rPr>
        <w:t xml:space="preserve"> פ</w:t>
      </w:r>
      <w:r w:rsidRPr="00E44FF9">
        <w:rPr>
          <w:rFonts w:hint="cs"/>
          <w:rtl/>
        </w:rPr>
        <w:t>"</w:t>
      </w:r>
      <w:r w:rsidRPr="00E44FF9">
        <w:rPr>
          <w:rtl/>
        </w:rPr>
        <w:t xml:space="preserve">ג </w:t>
      </w:r>
      <w:proofErr w:type="spellStart"/>
      <w:r w:rsidRPr="00E44FF9">
        <w:rPr>
          <w:rtl/>
        </w:rPr>
        <w:t>ה</w:t>
      </w:r>
      <w:r w:rsidRPr="00E44FF9">
        <w:rPr>
          <w:rFonts w:hint="cs"/>
          <w:rtl/>
        </w:rPr>
        <w:t>"</w:t>
      </w:r>
      <w:r>
        <w:rPr>
          <w:rtl/>
        </w:rPr>
        <w:t>ו</w:t>
      </w:r>
      <w:proofErr w:type="spellEnd"/>
      <w:r>
        <w:rPr>
          <w:rFonts w:hint="cs"/>
          <w:rtl/>
        </w:rPr>
        <w:t>).</w:t>
      </w:r>
    </w:p>
  </w:footnote>
  <w:footnote w:id="15">
    <w:p w:rsidR="007E62D1" w:rsidRDefault="007E62D1" w:rsidP="007E62D1">
      <w:pPr>
        <w:pStyle w:val="a3"/>
        <w:spacing w:after="0"/>
        <w:jc w:val="both"/>
        <w:rPr>
          <w:rtl/>
        </w:rPr>
      </w:pPr>
      <w:r>
        <w:rPr>
          <w:rStyle w:val="a5"/>
        </w:rPr>
        <w:footnoteRef/>
      </w:r>
      <w:r>
        <w:rPr>
          <w:rtl/>
        </w:rPr>
        <w:t xml:space="preserve"> </w:t>
      </w:r>
      <w:r>
        <w:rPr>
          <w:rFonts w:hint="cs"/>
          <w:rtl/>
        </w:rPr>
        <w:t xml:space="preserve">ויקרא פרק </w:t>
      </w:r>
      <w:proofErr w:type="spellStart"/>
      <w:r>
        <w:rPr>
          <w:rFonts w:hint="cs"/>
          <w:rtl/>
        </w:rPr>
        <w:t>כג</w:t>
      </w:r>
      <w:proofErr w:type="spellEnd"/>
      <w:r>
        <w:rPr>
          <w:rFonts w:hint="cs"/>
          <w:rtl/>
        </w:rPr>
        <w:t>.</w:t>
      </w:r>
    </w:p>
  </w:footnote>
  <w:footnote w:id="16">
    <w:p w:rsidR="007E62D1" w:rsidRDefault="007E62D1" w:rsidP="007E62D1">
      <w:pPr>
        <w:pStyle w:val="a3"/>
        <w:spacing w:after="0"/>
        <w:jc w:val="both"/>
        <w:rPr>
          <w:rtl/>
        </w:rPr>
      </w:pPr>
      <w:r>
        <w:rPr>
          <w:rStyle w:val="a5"/>
        </w:rPr>
        <w:footnoteRef/>
      </w:r>
      <w:r>
        <w:rPr>
          <w:rtl/>
        </w:rPr>
        <w:t xml:space="preserve"> </w:t>
      </w:r>
      <w:r>
        <w:rPr>
          <w:rFonts w:hint="cs"/>
          <w:rtl/>
        </w:rPr>
        <w:t>בפרק כד שם מובאת מצות הכנת שמן זית זך והדלקת נרות "המנורה הטהורה" בו (פסוקים א-ד), וכן מצות הכנת לחם הפנים ועריכתו על "השולחן הטהור" (פסוקים ה-ט).</w:t>
      </w:r>
    </w:p>
  </w:footnote>
  <w:footnote w:id="17">
    <w:p w:rsidR="007E62D1" w:rsidRDefault="007E62D1" w:rsidP="007E62D1">
      <w:pPr>
        <w:pStyle w:val="a3"/>
        <w:spacing w:after="0"/>
        <w:jc w:val="both"/>
        <w:rPr>
          <w:rtl/>
        </w:rPr>
      </w:pPr>
      <w:r>
        <w:rPr>
          <w:rStyle w:val="a5"/>
        </w:rPr>
        <w:footnoteRef/>
      </w:r>
      <w:r>
        <w:rPr>
          <w:rtl/>
        </w:rPr>
        <w:t xml:space="preserve"> </w:t>
      </w:r>
      <w:r w:rsidRPr="00322081">
        <w:rPr>
          <w:rtl/>
        </w:rPr>
        <w:t xml:space="preserve">שמות </w:t>
      </w:r>
      <w:proofErr w:type="spellStart"/>
      <w:r w:rsidRPr="00322081">
        <w:rPr>
          <w:rtl/>
        </w:rPr>
        <w:t>כו</w:t>
      </w:r>
      <w:proofErr w:type="spellEnd"/>
      <w:r w:rsidRPr="00322081">
        <w:rPr>
          <w:rtl/>
        </w:rPr>
        <w:t>, לה</w:t>
      </w:r>
      <w:r>
        <w:rPr>
          <w:rFonts w:hint="cs"/>
          <w:rtl/>
        </w:rPr>
        <w:t>;</w:t>
      </w:r>
      <w:r w:rsidRPr="00322081">
        <w:rPr>
          <w:rtl/>
        </w:rPr>
        <w:t xml:space="preserve"> מ, כד. בתיאורי כל</w:t>
      </w:r>
      <w:r>
        <w:rPr>
          <w:rFonts w:hint="cs"/>
          <w:rtl/>
        </w:rPr>
        <w:t>י</w:t>
      </w:r>
      <w:r w:rsidRPr="00322081">
        <w:rPr>
          <w:rtl/>
        </w:rPr>
        <w:t xml:space="preserve"> המשכן בפרק כה תיאור השולחן נמצא מיד אחרי תיאור הארון ומקדים את תיאור המנורה – מ</w:t>
      </w:r>
      <w:r>
        <w:rPr>
          <w:rtl/>
        </w:rPr>
        <w:t>ה שמלמד על ח</w:t>
      </w:r>
      <w:r>
        <w:rPr>
          <w:rFonts w:hint="cs"/>
          <w:rtl/>
        </w:rPr>
        <w:t>שי</w:t>
      </w:r>
      <w:r w:rsidRPr="00322081">
        <w:rPr>
          <w:rtl/>
        </w:rPr>
        <w:t>בותו היחסית לעומת המנורה</w:t>
      </w:r>
      <w:r>
        <w:rPr>
          <w:rFonts w:hint="cs"/>
          <w:rtl/>
        </w:rPr>
        <w:t>.</w:t>
      </w:r>
    </w:p>
  </w:footnote>
  <w:footnote w:id="18">
    <w:p w:rsidR="007E62D1" w:rsidRDefault="007E62D1" w:rsidP="007E62D1">
      <w:pPr>
        <w:pStyle w:val="a3"/>
        <w:spacing w:after="0"/>
        <w:jc w:val="both"/>
      </w:pPr>
      <w:r>
        <w:rPr>
          <w:rStyle w:val="a5"/>
        </w:rPr>
        <w:footnoteRef/>
      </w:r>
      <w:r>
        <w:rPr>
          <w:rtl/>
        </w:rPr>
        <w:t xml:space="preserve"> </w:t>
      </w:r>
      <w:r>
        <w:rPr>
          <w:rFonts w:hint="cs"/>
          <w:rtl/>
        </w:rPr>
        <w:t>משנה שם, ח (</w:t>
      </w:r>
      <w:proofErr w:type="spellStart"/>
      <w:r>
        <w:rPr>
          <w:rFonts w:hint="cs"/>
          <w:rtl/>
        </w:rPr>
        <w:t>כו</w:t>
      </w:r>
      <w:proofErr w:type="spellEnd"/>
      <w:r>
        <w:rPr>
          <w:rFonts w:hint="cs"/>
          <w:rtl/>
        </w:rPr>
        <w:t xml:space="preserve"> ע"ב). אמנם הנוסח במשנה בדפוס הנו כמו בברייתא: "</w:t>
      </w:r>
      <w:proofErr w:type="spellStart"/>
      <w:r w:rsidRPr="00BC166B">
        <w:rPr>
          <w:rtl/>
        </w:rPr>
        <w:t>הזהרו</w:t>
      </w:r>
      <w:proofErr w:type="spellEnd"/>
      <w:r w:rsidRPr="00BC166B">
        <w:rPr>
          <w:rtl/>
        </w:rPr>
        <w:t xml:space="preserve"> </w:t>
      </w:r>
      <w:r>
        <w:rPr>
          <w:rtl/>
        </w:rPr>
        <w:t>ש</w:t>
      </w:r>
      <w:r>
        <w:rPr>
          <w:rFonts w:hint="cs"/>
          <w:rtl/>
        </w:rPr>
        <w:t>מ</w:t>
      </w:r>
      <w:r>
        <w:rPr>
          <w:rtl/>
        </w:rPr>
        <w:t>א תגעו בשלחן ובמנורה ותטמאוהו</w:t>
      </w:r>
      <w:r>
        <w:rPr>
          <w:rFonts w:hint="cs"/>
          <w:rtl/>
        </w:rPr>
        <w:t>", אך מסתבר שלפני אמוראי בבל היה נוסח שונה של המשנה שבו צוין רק השולחן (וככל הנראה, בשל נוסח זה הגיעה המילה "ותטמאוהו" למשנה בדפוס, למרות שמבחינה תחבירית היה צריך להיות "ותטמאום", שהרי הזהירות מתייחסת גם למנורה).</w:t>
      </w:r>
    </w:p>
  </w:footnote>
  <w:footnote w:id="19">
    <w:p w:rsidR="007E62D1" w:rsidRDefault="007E62D1" w:rsidP="007E62D1">
      <w:pPr>
        <w:pStyle w:val="a3"/>
        <w:spacing w:after="0"/>
        <w:jc w:val="both"/>
      </w:pPr>
      <w:r>
        <w:rPr>
          <w:rStyle w:val="a5"/>
        </w:rPr>
        <w:footnoteRef/>
      </w:r>
      <w:r>
        <w:rPr>
          <w:rtl/>
        </w:rPr>
        <w:t xml:space="preserve"> </w:t>
      </w:r>
      <w:r>
        <w:rPr>
          <w:rFonts w:hint="cs"/>
          <w:rtl/>
        </w:rPr>
        <w:t xml:space="preserve">חגיגה </w:t>
      </w:r>
      <w:proofErr w:type="spellStart"/>
      <w:r>
        <w:rPr>
          <w:rFonts w:hint="cs"/>
          <w:rtl/>
        </w:rPr>
        <w:t>כו</w:t>
      </w:r>
      <w:proofErr w:type="spellEnd"/>
      <w:r>
        <w:rPr>
          <w:rFonts w:hint="cs"/>
          <w:rtl/>
        </w:rPr>
        <w:t xml:space="preserve"> ע"ב.</w:t>
      </w:r>
    </w:p>
  </w:footnote>
  <w:footnote w:id="20">
    <w:p w:rsidR="007E62D1" w:rsidRPr="00F73641" w:rsidRDefault="007E62D1" w:rsidP="007E62D1">
      <w:pPr>
        <w:pStyle w:val="a3"/>
        <w:spacing w:after="0"/>
        <w:jc w:val="both"/>
      </w:pPr>
      <w:r>
        <w:rPr>
          <w:rStyle w:val="a5"/>
        </w:rPr>
        <w:footnoteRef/>
      </w:r>
      <w:r>
        <w:rPr>
          <w:rtl/>
        </w:rPr>
        <w:t xml:space="preserve"> </w:t>
      </w:r>
      <w:r w:rsidRPr="00C47AD1">
        <w:rPr>
          <w:rFonts w:hint="cs"/>
          <w:rtl/>
        </w:rPr>
        <w:t xml:space="preserve">משנה שם. גמרא, דף </w:t>
      </w:r>
      <w:proofErr w:type="spellStart"/>
      <w:r w:rsidRPr="00C47AD1">
        <w:rPr>
          <w:rFonts w:hint="cs"/>
          <w:rtl/>
        </w:rPr>
        <w:t>כז</w:t>
      </w:r>
      <w:proofErr w:type="spellEnd"/>
      <w:r w:rsidRPr="00C47AD1">
        <w:rPr>
          <w:rFonts w:hint="cs"/>
          <w:rtl/>
        </w:rPr>
        <w:t xml:space="preserve"> ע"א. וראו רמב"ם, </w:t>
      </w:r>
      <w:r w:rsidRPr="00C47AD1">
        <w:rPr>
          <w:rFonts w:hint="cs"/>
          <w:b/>
          <w:bCs/>
          <w:rtl/>
        </w:rPr>
        <w:t>משנה תורה</w:t>
      </w:r>
      <w:r w:rsidRPr="00C47AD1">
        <w:rPr>
          <w:rFonts w:hint="cs"/>
          <w:rtl/>
        </w:rPr>
        <w:t xml:space="preserve">, הלכות בית הבחירה א, </w:t>
      </w:r>
      <w:proofErr w:type="spellStart"/>
      <w:r w:rsidRPr="00C47AD1">
        <w:rPr>
          <w:rFonts w:hint="cs"/>
          <w:rtl/>
        </w:rPr>
        <w:t>יג</w:t>
      </w:r>
      <w:proofErr w:type="spellEnd"/>
      <w:r w:rsidRPr="00C47AD1">
        <w:rPr>
          <w:rFonts w:hint="cs"/>
          <w:rtl/>
        </w:rPr>
        <w:t>: "</w:t>
      </w:r>
      <w:r w:rsidRPr="00C47AD1">
        <w:rPr>
          <w:rtl/>
        </w:rPr>
        <w:t xml:space="preserve">המזבח </w:t>
      </w:r>
      <w:r>
        <w:rPr>
          <w:rtl/>
        </w:rPr>
        <w:t>–</w:t>
      </w:r>
      <w:r>
        <w:rPr>
          <w:rFonts w:hint="cs"/>
          <w:rtl/>
        </w:rPr>
        <w:t xml:space="preserve"> </w:t>
      </w:r>
      <w:r w:rsidRPr="00C47AD1">
        <w:rPr>
          <w:rtl/>
        </w:rPr>
        <w:t xml:space="preserve">אין </w:t>
      </w:r>
      <w:proofErr w:type="spellStart"/>
      <w:r w:rsidRPr="00C47AD1">
        <w:rPr>
          <w:rtl/>
        </w:rPr>
        <w:t>עושין</w:t>
      </w:r>
      <w:proofErr w:type="spellEnd"/>
      <w:r w:rsidRPr="00C47AD1">
        <w:rPr>
          <w:rtl/>
        </w:rPr>
        <w:t xml:space="preserve"> אותו אלא בנין אבנים (גזית)</w:t>
      </w:r>
      <w:r>
        <w:rPr>
          <w:rFonts w:hint="cs"/>
          <w:rtl/>
        </w:rPr>
        <w:t>;</w:t>
      </w:r>
      <w:r w:rsidRPr="00C47AD1">
        <w:rPr>
          <w:rtl/>
        </w:rPr>
        <w:t xml:space="preserve"> וזה שנאמר בתורה</w:t>
      </w:r>
      <w:r>
        <w:rPr>
          <w:rFonts w:hint="cs"/>
          <w:rtl/>
        </w:rPr>
        <w:t>:</w:t>
      </w:r>
      <w:r w:rsidRPr="00C47AD1">
        <w:rPr>
          <w:rtl/>
        </w:rPr>
        <w:t xml:space="preserve"> </w:t>
      </w:r>
      <w:r w:rsidRPr="00C47AD1">
        <w:rPr>
          <w:rFonts w:hint="cs"/>
          <w:rtl/>
        </w:rPr>
        <w:t>"</w:t>
      </w:r>
      <w:r w:rsidRPr="00C47AD1">
        <w:rPr>
          <w:rtl/>
        </w:rPr>
        <w:t>מזבח אדמה תעשה לי</w:t>
      </w:r>
      <w:r>
        <w:rPr>
          <w:rFonts w:hint="cs"/>
          <w:rtl/>
        </w:rPr>
        <w:t xml:space="preserve">" (שמות כ, כ) </w:t>
      </w:r>
      <w:r>
        <w:rPr>
          <w:rtl/>
        </w:rPr>
        <w:t>–</w:t>
      </w:r>
      <w:r>
        <w:rPr>
          <w:rFonts w:hint="cs"/>
          <w:rtl/>
        </w:rPr>
        <w:t xml:space="preserve"> </w:t>
      </w:r>
      <w:r w:rsidRPr="00C47AD1">
        <w:rPr>
          <w:rtl/>
        </w:rPr>
        <w:t>שיהיה מחו</w:t>
      </w:r>
      <w:r>
        <w:rPr>
          <w:rtl/>
        </w:rPr>
        <w:t>בר באדמה</w:t>
      </w:r>
      <w:r>
        <w:rPr>
          <w:rFonts w:hint="cs"/>
          <w:rtl/>
        </w:rPr>
        <w:t>,</w:t>
      </w:r>
      <w:r>
        <w:rPr>
          <w:rtl/>
        </w:rPr>
        <w:t xml:space="preserve"> שלא יבנוהו לא על גבי כֵּ</w:t>
      </w:r>
      <w:r w:rsidRPr="00C47AD1">
        <w:rPr>
          <w:rtl/>
        </w:rPr>
        <w:t>פין ולא על גבי מחילות</w:t>
      </w:r>
      <w:r w:rsidRPr="00C47AD1">
        <w:rPr>
          <w:rFonts w:hint="cs"/>
          <w:rtl/>
        </w:rPr>
        <w:t>...". ובהלכה יד שם: "</w:t>
      </w:r>
      <w:r w:rsidRPr="00C47AD1">
        <w:rPr>
          <w:rtl/>
        </w:rPr>
        <w:t xml:space="preserve">ומהיכן היו </w:t>
      </w:r>
      <w:proofErr w:type="spellStart"/>
      <w:r w:rsidRPr="00C47AD1">
        <w:rPr>
          <w:rtl/>
        </w:rPr>
        <w:t>מביאין</w:t>
      </w:r>
      <w:proofErr w:type="spellEnd"/>
      <w:r w:rsidRPr="00C47AD1">
        <w:rPr>
          <w:rtl/>
        </w:rPr>
        <w:t xml:space="preserve"> אבני מזבח</w:t>
      </w:r>
      <w:r w:rsidRPr="00C47AD1">
        <w:rPr>
          <w:rFonts w:hint="cs"/>
          <w:rtl/>
        </w:rPr>
        <w:t>?</w:t>
      </w:r>
      <w:r w:rsidRPr="00C47AD1">
        <w:rPr>
          <w:rtl/>
        </w:rPr>
        <w:t xml:space="preserve"> מן בתולת הקרקע</w:t>
      </w:r>
      <w:r w:rsidRPr="00C47AD1">
        <w:rPr>
          <w:rFonts w:hint="cs"/>
          <w:rtl/>
        </w:rPr>
        <w:t>.</w:t>
      </w:r>
      <w:r w:rsidRPr="00C47AD1">
        <w:rPr>
          <w:rtl/>
        </w:rPr>
        <w:t xml:space="preserve"> </w:t>
      </w:r>
      <w:proofErr w:type="spellStart"/>
      <w:r w:rsidRPr="00C47AD1">
        <w:rPr>
          <w:rtl/>
        </w:rPr>
        <w:t>חופרין</w:t>
      </w:r>
      <w:proofErr w:type="spellEnd"/>
      <w:r w:rsidRPr="00C47AD1">
        <w:rPr>
          <w:rtl/>
        </w:rPr>
        <w:t xml:space="preserve"> עד </w:t>
      </w:r>
      <w:proofErr w:type="spellStart"/>
      <w:r w:rsidRPr="00C47AD1">
        <w:rPr>
          <w:rtl/>
        </w:rPr>
        <w:t>שמגיעין</w:t>
      </w:r>
      <w:proofErr w:type="spellEnd"/>
      <w:r w:rsidRPr="00C47AD1">
        <w:rPr>
          <w:rtl/>
        </w:rPr>
        <w:t xml:space="preserve"> למקום הניכר שאינו מקום עבודה ובנין</w:t>
      </w:r>
      <w:r>
        <w:rPr>
          <w:rFonts w:hint="cs"/>
          <w:rtl/>
        </w:rPr>
        <w:t>,</w:t>
      </w:r>
      <w:r w:rsidRPr="00C47AD1">
        <w:rPr>
          <w:rtl/>
        </w:rPr>
        <w:t xml:space="preserve"> </w:t>
      </w:r>
      <w:proofErr w:type="spellStart"/>
      <w:r w:rsidRPr="00C47AD1">
        <w:rPr>
          <w:rtl/>
        </w:rPr>
        <w:t>ומוציאין</w:t>
      </w:r>
      <w:proofErr w:type="spellEnd"/>
      <w:r w:rsidRPr="00C47AD1">
        <w:rPr>
          <w:rtl/>
        </w:rPr>
        <w:t xml:space="preserve"> ממנו האבנים</w:t>
      </w:r>
      <w:r>
        <w:rPr>
          <w:rFonts w:hint="cs"/>
          <w:rtl/>
        </w:rPr>
        <w:t>,</w:t>
      </w:r>
      <w:r w:rsidRPr="00C47AD1">
        <w:rPr>
          <w:rtl/>
        </w:rPr>
        <w:t xml:space="preserve"> או מן הים הגדול</w:t>
      </w:r>
      <w:r>
        <w:rPr>
          <w:rFonts w:hint="cs"/>
          <w:rtl/>
        </w:rPr>
        <w:t xml:space="preserve">, </w:t>
      </w:r>
      <w:proofErr w:type="spellStart"/>
      <w:r>
        <w:rPr>
          <w:rFonts w:hint="cs"/>
          <w:rtl/>
        </w:rPr>
        <w:t>ובונין</w:t>
      </w:r>
      <w:proofErr w:type="spellEnd"/>
      <w:r>
        <w:rPr>
          <w:rFonts w:hint="cs"/>
          <w:rtl/>
        </w:rPr>
        <w:t xml:space="preserve"> בהן</w:t>
      </w:r>
      <w:r w:rsidRPr="00C47AD1">
        <w:rPr>
          <w:rFonts w:hint="cs"/>
          <w:rtl/>
        </w:rPr>
        <w:t>".</w:t>
      </w:r>
    </w:p>
  </w:footnote>
  <w:footnote w:id="21">
    <w:p w:rsidR="007E62D1" w:rsidRPr="00DD141E" w:rsidRDefault="007E62D1" w:rsidP="007E62D1">
      <w:pPr>
        <w:pStyle w:val="a3"/>
        <w:spacing w:after="0"/>
        <w:jc w:val="both"/>
        <w:rPr>
          <w:rtl/>
        </w:rPr>
      </w:pPr>
      <w:r w:rsidRPr="00DD141E">
        <w:rPr>
          <w:rStyle w:val="a5"/>
        </w:rPr>
        <w:footnoteRef/>
      </w:r>
      <w:r w:rsidRPr="00DD141E">
        <w:rPr>
          <w:rtl/>
        </w:rPr>
        <w:t xml:space="preserve"> </w:t>
      </w:r>
      <w:r>
        <w:rPr>
          <w:rFonts w:hint="cs"/>
          <w:rtl/>
        </w:rPr>
        <w:t xml:space="preserve">חגיגה </w:t>
      </w:r>
      <w:proofErr w:type="spellStart"/>
      <w:r w:rsidRPr="00DD141E">
        <w:rPr>
          <w:rFonts w:hint="cs"/>
          <w:rtl/>
        </w:rPr>
        <w:t>כו</w:t>
      </w:r>
      <w:proofErr w:type="spellEnd"/>
      <w:r w:rsidRPr="00DD141E">
        <w:rPr>
          <w:rFonts w:hint="cs"/>
          <w:rtl/>
        </w:rPr>
        <w:t xml:space="preserve"> ע"ב.</w:t>
      </w:r>
    </w:p>
  </w:footnote>
  <w:footnote w:id="22">
    <w:p w:rsidR="007E62D1" w:rsidRDefault="007E62D1" w:rsidP="007E62D1">
      <w:pPr>
        <w:pStyle w:val="a3"/>
        <w:spacing w:after="0"/>
        <w:jc w:val="both"/>
      </w:pPr>
      <w:r>
        <w:rPr>
          <w:rStyle w:val="a5"/>
        </w:rPr>
        <w:footnoteRef/>
      </w:r>
      <w:r>
        <w:rPr>
          <w:rtl/>
        </w:rPr>
        <w:t xml:space="preserve"> </w:t>
      </w:r>
      <w:r>
        <w:rPr>
          <w:rFonts w:hint="cs"/>
          <w:rtl/>
        </w:rPr>
        <w:t xml:space="preserve">שם </w:t>
      </w:r>
      <w:proofErr w:type="spellStart"/>
      <w:r>
        <w:rPr>
          <w:rFonts w:hint="cs"/>
          <w:rtl/>
        </w:rPr>
        <w:t>כז</w:t>
      </w:r>
      <w:proofErr w:type="spellEnd"/>
      <w:r>
        <w:rPr>
          <w:rFonts w:hint="cs"/>
          <w:rtl/>
        </w:rPr>
        <w:t xml:space="preserve"> ע"א.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1A60"/>
    <w:multiLevelType w:val="hybridMultilevel"/>
    <w:tmpl w:val="F2289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512AF"/>
    <w:multiLevelType w:val="hybridMultilevel"/>
    <w:tmpl w:val="E752E4D8"/>
    <w:lvl w:ilvl="0" w:tplc="9E62BA9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A36D38"/>
    <w:multiLevelType w:val="hybridMultilevel"/>
    <w:tmpl w:val="7BCA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22A90"/>
    <w:multiLevelType w:val="hybridMultilevel"/>
    <w:tmpl w:val="15F2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55022"/>
    <w:multiLevelType w:val="hybridMultilevel"/>
    <w:tmpl w:val="24F67F0A"/>
    <w:lvl w:ilvl="0" w:tplc="2304C140">
      <w:start w:val="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88386C"/>
    <w:multiLevelType w:val="hybridMultilevel"/>
    <w:tmpl w:val="7BB0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9104F"/>
    <w:multiLevelType w:val="hybridMultilevel"/>
    <w:tmpl w:val="96C2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B5E4E"/>
    <w:multiLevelType w:val="hybridMultilevel"/>
    <w:tmpl w:val="65607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9F600C4"/>
    <w:multiLevelType w:val="hybridMultilevel"/>
    <w:tmpl w:val="3A14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A56371"/>
    <w:multiLevelType w:val="hybridMultilevel"/>
    <w:tmpl w:val="7D5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4D7B8C"/>
    <w:multiLevelType w:val="hybridMultilevel"/>
    <w:tmpl w:val="FDDC65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A7D5CB9"/>
    <w:multiLevelType w:val="hybridMultilevel"/>
    <w:tmpl w:val="C29C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D235C"/>
    <w:multiLevelType w:val="hybridMultilevel"/>
    <w:tmpl w:val="A6C45A76"/>
    <w:lvl w:ilvl="0" w:tplc="6D68D00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086CB0"/>
    <w:multiLevelType w:val="hybridMultilevel"/>
    <w:tmpl w:val="5830AB30"/>
    <w:lvl w:ilvl="0" w:tplc="33443C9A">
      <w:numFmt w:val="bullet"/>
      <w:lvlText w:val="-"/>
      <w:lvlJc w:val="left"/>
      <w:pPr>
        <w:tabs>
          <w:tab w:val="num" w:pos="760"/>
        </w:tabs>
        <w:ind w:left="760" w:hanging="360"/>
      </w:pPr>
      <w:rPr>
        <w:rFonts w:ascii="Times New Roman" w:eastAsia="Calibri" w:hAnsi="Times New Roman" w:cs="FrankRuehl"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4">
    <w:nsid w:val="5C4B6550"/>
    <w:multiLevelType w:val="hybridMultilevel"/>
    <w:tmpl w:val="14042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E6F80"/>
    <w:multiLevelType w:val="hybridMultilevel"/>
    <w:tmpl w:val="B04AA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4707AAD"/>
    <w:multiLevelType w:val="hybridMultilevel"/>
    <w:tmpl w:val="00B6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E0170"/>
    <w:multiLevelType w:val="hybridMultilevel"/>
    <w:tmpl w:val="8528C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D46A9"/>
    <w:multiLevelType w:val="hybridMultilevel"/>
    <w:tmpl w:val="289E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32C2C"/>
    <w:multiLevelType w:val="hybridMultilevel"/>
    <w:tmpl w:val="BBA8D324"/>
    <w:lvl w:ilvl="0" w:tplc="04090013">
      <w:start w:val="1"/>
      <w:numFmt w:val="hebrew1"/>
      <w:lvlText w:val="%1."/>
      <w:lvlJc w:val="center"/>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11"/>
  </w:num>
  <w:num w:numId="2">
    <w:abstractNumId w:val="6"/>
  </w:num>
  <w:num w:numId="3">
    <w:abstractNumId w:val="19"/>
  </w:num>
  <w:num w:numId="4">
    <w:abstractNumId w:val="8"/>
  </w:num>
  <w:num w:numId="5">
    <w:abstractNumId w:val="17"/>
  </w:num>
  <w:num w:numId="6">
    <w:abstractNumId w:val="12"/>
  </w:num>
  <w:num w:numId="7">
    <w:abstractNumId w:val="5"/>
  </w:num>
  <w:num w:numId="8">
    <w:abstractNumId w:val="16"/>
  </w:num>
  <w:num w:numId="9">
    <w:abstractNumId w:val="0"/>
  </w:num>
  <w:num w:numId="10">
    <w:abstractNumId w:val="14"/>
  </w:num>
  <w:num w:numId="11">
    <w:abstractNumId w:val="18"/>
  </w:num>
  <w:num w:numId="12">
    <w:abstractNumId w:val="3"/>
  </w:num>
  <w:num w:numId="13">
    <w:abstractNumId w:val="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7E62D1"/>
    <w:rsid w:val="00173D2A"/>
    <w:rsid w:val="00412807"/>
    <w:rsid w:val="006B1787"/>
    <w:rsid w:val="006D1305"/>
    <w:rsid w:val="007C3325"/>
    <w:rsid w:val="007E62D1"/>
    <w:rsid w:val="008E3430"/>
    <w:rsid w:val="00955074"/>
    <w:rsid w:val="00A951DF"/>
    <w:rsid w:val="00B1540E"/>
    <w:rsid w:val="00BE60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57F02-0588-4CD6-9BED-FEA22B20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2D1"/>
    <w:pPr>
      <w:bidi/>
    </w:pPr>
    <w:rPr>
      <w:rFonts w:ascii="Arial" w:eastAsia="Times New Roman" w:hAnsi="Arial" w:cs="Arial"/>
      <w:sz w:val="24"/>
      <w:szCs w:val="24"/>
    </w:rPr>
  </w:style>
  <w:style w:type="paragraph" w:styleId="1">
    <w:name w:val="heading 1"/>
    <w:basedOn w:val="a"/>
    <w:next w:val="a"/>
    <w:link w:val="10"/>
    <w:qFormat/>
    <w:rsid w:val="007E62D1"/>
    <w:pPr>
      <w:keepNext/>
      <w:keepLines/>
      <w:spacing w:before="480" w:after="0"/>
      <w:outlineLvl w:val="0"/>
    </w:pPr>
    <w:rPr>
      <w:rFonts w:ascii="Cambria" w:eastAsia="Calibri" w:hAnsi="Cambria" w:cs="Times New Roman"/>
      <w:b/>
      <w:bCs/>
      <w:color w:val="365F91"/>
      <w:sz w:val="28"/>
      <w:szCs w:val="28"/>
    </w:rPr>
  </w:style>
  <w:style w:type="paragraph" w:styleId="3">
    <w:name w:val="heading 3"/>
    <w:basedOn w:val="a"/>
    <w:next w:val="a"/>
    <w:link w:val="30"/>
    <w:qFormat/>
    <w:rsid w:val="007E62D1"/>
    <w:pPr>
      <w:keepNext/>
      <w:spacing w:after="0" w:line="360" w:lineRule="auto"/>
      <w:jc w:val="right"/>
      <w:outlineLvl w:val="2"/>
    </w:pPr>
    <w:rPr>
      <w:rFonts w:ascii="Times New Roman" w:hAnsi="Times New Roman" w:cs="David"/>
      <w:sz w:val="28"/>
      <w:szCs w:val="28"/>
      <w:lang w:eastAsia="he-IL"/>
    </w:rPr>
  </w:style>
  <w:style w:type="paragraph" w:styleId="4">
    <w:name w:val="heading 4"/>
    <w:basedOn w:val="a"/>
    <w:next w:val="a"/>
    <w:link w:val="40"/>
    <w:qFormat/>
    <w:rsid w:val="007E62D1"/>
    <w:pPr>
      <w:keepNext/>
      <w:spacing w:after="0" w:line="360" w:lineRule="auto"/>
      <w:jc w:val="both"/>
      <w:outlineLvl w:val="3"/>
    </w:pPr>
    <w:rPr>
      <w:rFonts w:ascii="Times New Roman" w:hAnsi="Times New Roman" w:cs="David"/>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7E62D1"/>
    <w:rPr>
      <w:rFonts w:ascii="Cambria" w:eastAsia="Calibri" w:hAnsi="Cambria" w:cs="Times New Roman"/>
      <w:b/>
      <w:bCs/>
      <w:color w:val="365F91"/>
      <w:sz w:val="28"/>
      <w:szCs w:val="28"/>
    </w:rPr>
  </w:style>
  <w:style w:type="character" w:customStyle="1" w:styleId="30">
    <w:name w:val="כותרת 3 תו"/>
    <w:basedOn w:val="a0"/>
    <w:link w:val="3"/>
    <w:rsid w:val="007E62D1"/>
    <w:rPr>
      <w:rFonts w:ascii="Times New Roman" w:eastAsia="Times New Roman" w:hAnsi="Times New Roman" w:cs="David"/>
      <w:sz w:val="28"/>
      <w:szCs w:val="28"/>
      <w:lang w:eastAsia="he-IL"/>
    </w:rPr>
  </w:style>
  <w:style w:type="character" w:customStyle="1" w:styleId="40">
    <w:name w:val="כותרת 4 תו"/>
    <w:basedOn w:val="a0"/>
    <w:link w:val="4"/>
    <w:rsid w:val="007E62D1"/>
    <w:rPr>
      <w:rFonts w:ascii="Times New Roman" w:eastAsia="Times New Roman" w:hAnsi="Times New Roman" w:cs="David"/>
      <w:sz w:val="28"/>
      <w:szCs w:val="28"/>
      <w:lang w:eastAsia="he-IL"/>
    </w:rPr>
  </w:style>
  <w:style w:type="paragraph" w:styleId="a3">
    <w:name w:val="footnote text"/>
    <w:basedOn w:val="a"/>
    <w:link w:val="a4"/>
    <w:semiHidden/>
    <w:unhideWhenUsed/>
    <w:rsid w:val="007E62D1"/>
    <w:rPr>
      <w:sz w:val="20"/>
      <w:szCs w:val="20"/>
    </w:rPr>
  </w:style>
  <w:style w:type="character" w:customStyle="1" w:styleId="a4">
    <w:name w:val="טקסט הערת שוליים תו"/>
    <w:basedOn w:val="a0"/>
    <w:link w:val="a3"/>
    <w:semiHidden/>
    <w:rsid w:val="007E62D1"/>
    <w:rPr>
      <w:rFonts w:ascii="Arial" w:eastAsia="Times New Roman" w:hAnsi="Arial" w:cs="Arial"/>
      <w:sz w:val="20"/>
      <w:szCs w:val="20"/>
    </w:rPr>
  </w:style>
  <w:style w:type="character" w:styleId="a5">
    <w:name w:val="footnote reference"/>
    <w:semiHidden/>
    <w:unhideWhenUsed/>
    <w:rsid w:val="007E62D1"/>
    <w:rPr>
      <w:vertAlign w:val="superscript"/>
    </w:rPr>
  </w:style>
  <w:style w:type="character" w:customStyle="1" w:styleId="a6">
    <w:name w:val="נושא הערה תו"/>
    <w:basedOn w:val="a0"/>
    <w:link w:val="a7"/>
    <w:rsid w:val="007E62D1"/>
    <w:rPr>
      <w:rFonts w:ascii="Calibri" w:eastAsia="Calibri" w:hAnsi="Calibri" w:cs="Arial"/>
      <w:b/>
      <w:bCs/>
      <w:sz w:val="20"/>
      <w:szCs w:val="20"/>
    </w:rPr>
  </w:style>
  <w:style w:type="paragraph" w:styleId="a8">
    <w:name w:val="annotation text"/>
    <w:basedOn w:val="a"/>
    <w:link w:val="a9"/>
    <w:unhideWhenUsed/>
    <w:rsid w:val="007E62D1"/>
    <w:pPr>
      <w:spacing w:line="240" w:lineRule="auto"/>
    </w:pPr>
    <w:rPr>
      <w:sz w:val="20"/>
      <w:szCs w:val="20"/>
    </w:rPr>
  </w:style>
  <w:style w:type="character" w:customStyle="1" w:styleId="a9">
    <w:name w:val="טקסט הערה תו"/>
    <w:basedOn w:val="a0"/>
    <w:link w:val="a8"/>
    <w:rsid w:val="007E62D1"/>
    <w:rPr>
      <w:rFonts w:ascii="Arial" w:eastAsia="Times New Roman" w:hAnsi="Arial" w:cs="Arial"/>
      <w:sz w:val="20"/>
      <w:szCs w:val="20"/>
    </w:rPr>
  </w:style>
  <w:style w:type="paragraph" w:styleId="a7">
    <w:name w:val="annotation subject"/>
    <w:basedOn w:val="a8"/>
    <w:next w:val="a8"/>
    <w:link w:val="a6"/>
    <w:unhideWhenUsed/>
    <w:rsid w:val="007E62D1"/>
    <w:pPr>
      <w:spacing w:line="276" w:lineRule="auto"/>
    </w:pPr>
    <w:rPr>
      <w:rFonts w:ascii="Calibri" w:eastAsia="Calibri" w:hAnsi="Calibri"/>
      <w:b/>
      <w:bCs/>
    </w:rPr>
  </w:style>
  <w:style w:type="character" w:customStyle="1" w:styleId="11">
    <w:name w:val="נושא הערה תו1"/>
    <w:basedOn w:val="a9"/>
    <w:uiPriority w:val="99"/>
    <w:semiHidden/>
    <w:rsid w:val="007E62D1"/>
    <w:rPr>
      <w:rFonts w:ascii="Arial" w:eastAsia="Times New Roman" w:hAnsi="Arial" w:cs="Arial"/>
      <w:b/>
      <w:bCs/>
      <w:sz w:val="20"/>
      <w:szCs w:val="20"/>
    </w:rPr>
  </w:style>
  <w:style w:type="paragraph" w:customStyle="1" w:styleId="aa">
    <w:name w:val="טקסט"/>
    <w:basedOn w:val="a"/>
    <w:link w:val="ab"/>
    <w:qFormat/>
    <w:rsid w:val="007E62D1"/>
    <w:pPr>
      <w:overflowPunct w:val="0"/>
      <w:autoSpaceDE w:val="0"/>
      <w:autoSpaceDN w:val="0"/>
      <w:adjustRightInd w:val="0"/>
      <w:spacing w:after="120" w:line="240" w:lineRule="auto"/>
      <w:textAlignment w:val="baseline"/>
    </w:pPr>
    <w:rPr>
      <w:rFonts w:ascii="Times New Roman" w:hAnsi="Times New Roman"/>
      <w:sz w:val="22"/>
    </w:rPr>
  </w:style>
  <w:style w:type="paragraph" w:customStyle="1" w:styleId="ac">
    <w:name w:val="כותרת"/>
    <w:basedOn w:val="aa"/>
    <w:next w:val="ad"/>
    <w:rsid w:val="007E62D1"/>
    <w:pPr>
      <w:spacing w:before="120"/>
      <w:jc w:val="center"/>
    </w:pPr>
    <w:rPr>
      <w:color w:val="333300"/>
      <w:sz w:val="20"/>
      <w:szCs w:val="40"/>
    </w:rPr>
  </w:style>
  <w:style w:type="paragraph" w:customStyle="1" w:styleId="ad">
    <w:name w:val="משנה"/>
    <w:basedOn w:val="aa"/>
    <w:next w:val="a"/>
    <w:rsid w:val="007E62D1"/>
    <w:pPr>
      <w:spacing w:after="240"/>
      <w:jc w:val="both"/>
    </w:pPr>
    <w:rPr>
      <w:color w:val="FF00FF"/>
      <w:sz w:val="20"/>
      <w:szCs w:val="32"/>
    </w:rPr>
  </w:style>
  <w:style w:type="paragraph" w:customStyle="1" w:styleId="ae">
    <w:name w:val="בין"/>
    <w:basedOn w:val="a"/>
    <w:rsid w:val="007E62D1"/>
    <w:pPr>
      <w:overflowPunct w:val="0"/>
      <w:autoSpaceDE w:val="0"/>
      <w:autoSpaceDN w:val="0"/>
      <w:adjustRightInd w:val="0"/>
      <w:spacing w:after="120" w:line="240" w:lineRule="auto"/>
      <w:textAlignment w:val="baseline"/>
    </w:pPr>
    <w:rPr>
      <w:rFonts w:ascii="Times New Roman" w:hAnsi="Times New Roman"/>
      <w:noProof/>
      <w:color w:val="3366FF"/>
      <w:sz w:val="20"/>
      <w:szCs w:val="30"/>
      <w:lang w:eastAsia="he-IL"/>
    </w:rPr>
  </w:style>
  <w:style w:type="paragraph" w:customStyle="1" w:styleId="12">
    <w:name w:val="ציטוט1"/>
    <w:basedOn w:val="a"/>
    <w:qFormat/>
    <w:rsid w:val="007E62D1"/>
    <w:pPr>
      <w:spacing w:after="240" w:line="360" w:lineRule="auto"/>
    </w:pPr>
    <w:rPr>
      <w:rFonts w:ascii="Times New Roman" w:hAnsi="Times New Roman"/>
      <w:color w:val="FF0000"/>
      <w:sz w:val="26"/>
      <w:szCs w:val="22"/>
    </w:rPr>
  </w:style>
  <w:style w:type="character" w:styleId="Hyperlink">
    <w:name w:val="Hyperlink"/>
    <w:unhideWhenUsed/>
    <w:rsid w:val="007E62D1"/>
    <w:rPr>
      <w:color w:val="0000FF"/>
      <w:u w:val="single"/>
    </w:rPr>
  </w:style>
  <w:style w:type="character" w:customStyle="1" w:styleId="41">
    <w:name w:val="תו תו4"/>
    <w:basedOn w:val="a0"/>
    <w:semiHidden/>
    <w:rsid w:val="007E62D1"/>
  </w:style>
  <w:style w:type="character" w:styleId="af">
    <w:name w:val="annotation reference"/>
    <w:unhideWhenUsed/>
    <w:rsid w:val="007E62D1"/>
    <w:rPr>
      <w:sz w:val="16"/>
      <w:szCs w:val="16"/>
    </w:rPr>
  </w:style>
  <w:style w:type="character" w:customStyle="1" w:styleId="FootnoteTextChar">
    <w:name w:val="Footnote Text Char"/>
    <w:semiHidden/>
    <w:locked/>
    <w:rsid w:val="007E62D1"/>
    <w:rPr>
      <w:rFonts w:ascii="Calibri" w:hAnsi="Calibri" w:cs="Times New Roman"/>
    </w:rPr>
  </w:style>
  <w:style w:type="paragraph" w:styleId="af0">
    <w:name w:val="Body Text"/>
    <w:basedOn w:val="a"/>
    <w:link w:val="af1"/>
    <w:semiHidden/>
    <w:rsid w:val="007E62D1"/>
    <w:pPr>
      <w:spacing w:after="120"/>
    </w:pPr>
    <w:rPr>
      <w:rFonts w:ascii="Calibri" w:hAnsi="Calibri" w:cs="Times New Roman"/>
      <w:sz w:val="20"/>
      <w:szCs w:val="20"/>
    </w:rPr>
  </w:style>
  <w:style w:type="character" w:customStyle="1" w:styleId="af1">
    <w:name w:val="גוף טקסט תו"/>
    <w:basedOn w:val="a0"/>
    <w:link w:val="af0"/>
    <w:semiHidden/>
    <w:rsid w:val="007E62D1"/>
    <w:rPr>
      <w:rFonts w:ascii="Calibri" w:eastAsia="Times New Roman" w:hAnsi="Calibri" w:cs="Times New Roman"/>
      <w:sz w:val="20"/>
      <w:szCs w:val="20"/>
    </w:rPr>
  </w:style>
  <w:style w:type="paragraph" w:customStyle="1" w:styleId="13">
    <w:name w:val="פיסקת רשימה1"/>
    <w:basedOn w:val="a"/>
    <w:rsid w:val="007E62D1"/>
    <w:pPr>
      <w:spacing w:after="0" w:line="240" w:lineRule="auto"/>
      <w:ind w:left="720"/>
      <w:contextualSpacing/>
    </w:pPr>
    <w:rPr>
      <w:rFonts w:ascii="Times New Roman" w:eastAsia="Calibri" w:hAnsi="Times New Roman" w:cs="Times New Roman"/>
    </w:rPr>
  </w:style>
  <w:style w:type="character" w:customStyle="1" w:styleId="31">
    <w:name w:val="תו תו3"/>
    <w:semiHidden/>
    <w:locked/>
    <w:rsid w:val="007E62D1"/>
    <w:rPr>
      <w:rFonts w:ascii="Arial" w:hAnsi="Arial" w:cs="Arial"/>
      <w:lang w:val="en-US" w:eastAsia="en-US" w:bidi="he-IL"/>
    </w:rPr>
  </w:style>
  <w:style w:type="character" w:customStyle="1" w:styleId="2">
    <w:name w:val="תו תו2"/>
    <w:semiHidden/>
    <w:locked/>
    <w:rsid w:val="007E62D1"/>
    <w:rPr>
      <w:rFonts w:ascii="Arial" w:hAnsi="Arial" w:cs="Arial"/>
      <w:lang w:val="en-US" w:eastAsia="en-US" w:bidi="he-IL"/>
    </w:rPr>
  </w:style>
  <w:style w:type="character" w:customStyle="1" w:styleId="14">
    <w:name w:val="תו תו1"/>
    <w:rsid w:val="007E62D1"/>
    <w:rPr>
      <w:rFonts w:ascii="Arial" w:hAnsi="Arial" w:cs="Arial"/>
      <w:lang w:val="en-US" w:eastAsia="en-US" w:bidi="he-IL"/>
    </w:rPr>
  </w:style>
  <w:style w:type="character" w:customStyle="1" w:styleId="15">
    <w:name w:val="תו תו1"/>
    <w:locked/>
    <w:rsid w:val="007E62D1"/>
    <w:rPr>
      <w:rFonts w:ascii="Arial" w:hAnsi="Arial" w:cs="Arial"/>
      <w:lang w:val="en-US" w:eastAsia="en-US" w:bidi="he-IL"/>
    </w:rPr>
  </w:style>
  <w:style w:type="character" w:customStyle="1" w:styleId="af2">
    <w:name w:val="תו תו"/>
    <w:semiHidden/>
    <w:locked/>
    <w:rsid w:val="007E62D1"/>
    <w:rPr>
      <w:rFonts w:ascii="Arial" w:hAnsi="Arial" w:cs="Arial"/>
      <w:lang w:val="en-US" w:eastAsia="en-US" w:bidi="he-IL"/>
    </w:rPr>
  </w:style>
  <w:style w:type="paragraph" w:styleId="af3">
    <w:name w:val="Balloon Text"/>
    <w:basedOn w:val="a"/>
    <w:link w:val="af4"/>
    <w:rsid w:val="007E62D1"/>
    <w:rPr>
      <w:rFonts w:ascii="Tahoma" w:hAnsi="Tahoma" w:cs="Tahoma"/>
      <w:sz w:val="16"/>
      <w:szCs w:val="16"/>
    </w:rPr>
  </w:style>
  <w:style w:type="character" w:customStyle="1" w:styleId="af4">
    <w:name w:val="טקסט בלונים תו"/>
    <w:basedOn w:val="a0"/>
    <w:link w:val="af3"/>
    <w:rsid w:val="007E62D1"/>
    <w:rPr>
      <w:rFonts w:ascii="Tahoma" w:eastAsia="Times New Roman" w:hAnsi="Tahoma" w:cs="Tahoma"/>
      <w:sz w:val="16"/>
      <w:szCs w:val="16"/>
    </w:rPr>
  </w:style>
  <w:style w:type="numbering" w:customStyle="1" w:styleId="16">
    <w:name w:val="ללא רשימה1"/>
    <w:next w:val="a2"/>
    <w:semiHidden/>
    <w:unhideWhenUsed/>
    <w:rsid w:val="007E62D1"/>
  </w:style>
  <w:style w:type="character" w:customStyle="1" w:styleId="ab">
    <w:name w:val="טקסט תו"/>
    <w:link w:val="aa"/>
    <w:locked/>
    <w:rsid w:val="007E62D1"/>
    <w:rPr>
      <w:rFonts w:ascii="Times New Roman" w:eastAsia="Times New Roman" w:hAnsi="Times New Roman" w:cs="Arial"/>
      <w:szCs w:val="24"/>
    </w:rPr>
  </w:style>
  <w:style w:type="paragraph" w:customStyle="1" w:styleId="af5">
    <w:name w:val="ציטוט תו"/>
    <w:basedOn w:val="a"/>
    <w:rsid w:val="007E62D1"/>
    <w:pPr>
      <w:tabs>
        <w:tab w:val="left" w:pos="284"/>
      </w:tabs>
      <w:spacing w:after="0" w:line="280" w:lineRule="exact"/>
      <w:ind w:left="680"/>
      <w:jc w:val="both"/>
    </w:pPr>
    <w:rPr>
      <w:rFonts w:ascii="Times New Roman" w:hAnsi="Times New Roman" w:cs="Miria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1882</Words>
  <Characters>9412</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הראל</cp:lastModifiedBy>
  <cp:revision>7</cp:revision>
  <dcterms:created xsi:type="dcterms:W3CDTF">2014-10-06T10:59:00Z</dcterms:created>
  <dcterms:modified xsi:type="dcterms:W3CDTF">2014-10-06T17:17:00Z</dcterms:modified>
</cp:coreProperties>
</file>