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C5" w:rsidRDefault="00470C0E" w:rsidP="00192816">
      <w:pPr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   </w:t>
      </w:r>
      <w:r w:rsidR="00192816" w:rsidRPr="00DF12C5">
        <w:rPr>
          <w:rFonts w:cs="Arial" w:hint="cs"/>
          <w:rtl/>
        </w:rPr>
        <w:t>צייר</w:t>
      </w:r>
      <w:r w:rsidR="00192816" w:rsidRPr="00DF12C5">
        <w:rPr>
          <w:rFonts w:cs="Arial"/>
          <w:rtl/>
        </w:rPr>
        <w:t xml:space="preserve"> </w:t>
      </w:r>
      <w:r w:rsidR="00192816" w:rsidRPr="00DF12C5">
        <w:rPr>
          <w:rFonts w:cs="Arial" w:hint="cs"/>
          <w:rtl/>
        </w:rPr>
        <w:t>בקונטרוס</w:t>
      </w:r>
      <w:r w:rsidR="00192816" w:rsidRPr="00DF12C5">
        <w:rPr>
          <w:rFonts w:cs="Arial"/>
          <w:rtl/>
        </w:rPr>
        <w:t xml:space="preserve"> </w:t>
      </w:r>
      <w:r w:rsidR="00192816" w:rsidRPr="00DF12C5">
        <w:rPr>
          <w:rFonts w:cs="Arial" w:hint="cs"/>
          <w:rtl/>
        </w:rPr>
        <w:t>כמין</w:t>
      </w:r>
      <w:r w:rsidR="00192816" w:rsidRPr="00DF12C5">
        <w:rPr>
          <w:rFonts w:cs="Arial"/>
          <w:rtl/>
        </w:rPr>
        <w:t xml:space="preserve"> </w:t>
      </w:r>
      <w:r w:rsidR="00192816" w:rsidRPr="00DF12C5">
        <w:rPr>
          <w:rFonts w:cs="Arial" w:hint="cs"/>
          <w:rtl/>
        </w:rPr>
        <w:t>ט״ית</w:t>
      </w:r>
      <w:r w:rsidR="00192816">
        <w:rPr>
          <w:rFonts w:cs="Arial"/>
        </w:rPr>
        <w:t xml:space="preserve">     </w:t>
      </w:r>
      <w:r>
        <w:rPr>
          <w:rFonts w:cs="Arial"/>
        </w:rPr>
        <w:t xml:space="preserve">                                                                                         </w:t>
      </w:r>
    </w:p>
    <w:p w:rsidR="00DF12C5" w:rsidRDefault="00192816">
      <w:pPr>
        <w:rPr>
          <w:rFonts w:cs="Arial"/>
        </w:rPr>
      </w:pPr>
      <w:r>
        <w:rPr>
          <w:rFonts w:cs="Arial"/>
        </w:rPr>
        <w:t xml:space="preserve">    </w:t>
      </w:r>
      <w:r w:rsidR="00470C0E">
        <w:rPr>
          <w:rFonts w:cs="Arial"/>
        </w:rPr>
        <w:t xml:space="preserve"> </w:t>
      </w:r>
      <w:r w:rsidR="00DF12C5">
        <w:rPr>
          <w:rFonts w:cs="Arial"/>
        </w:rPr>
        <w:t>By Eli Genauer</w:t>
      </w:r>
    </w:p>
    <w:p w:rsidR="00192816" w:rsidRDefault="00192816"/>
    <w:p w:rsidR="00017001" w:rsidRDefault="00DF12C5">
      <w:r>
        <w:t>Menachot</w:t>
      </w:r>
      <w:r w:rsidR="00B55544">
        <w:t xml:space="preserve"> 74b</w:t>
      </w:r>
      <w:r w:rsidR="004D3112">
        <w:t xml:space="preserve"> and 75a</w:t>
      </w:r>
    </w:p>
    <w:p w:rsidR="00192816" w:rsidRDefault="00192816"/>
    <w:p w:rsidR="00C15351" w:rsidRDefault="00DF12C5" w:rsidP="00DF12C5">
      <w:r>
        <w:t xml:space="preserve">Mishnah on 74b </w:t>
      </w:r>
      <w:r w:rsidR="00C15351" w:rsidRPr="00C15351">
        <w:t>"</w:t>
      </w:r>
      <w:r w:rsidR="00C15351" w:rsidRPr="00C15351">
        <w:rPr>
          <w:rFonts w:cs="Arial" w:hint="cs"/>
          <w:rtl/>
        </w:rPr>
        <w:t>כמין</w:t>
      </w:r>
      <w:r w:rsidR="00C15351" w:rsidRPr="00C15351">
        <w:rPr>
          <w:rFonts w:cs="Arial"/>
          <w:rtl/>
        </w:rPr>
        <w:t xml:space="preserve"> </w:t>
      </w:r>
      <w:r w:rsidR="00C15351" w:rsidRPr="00C15351">
        <w:rPr>
          <w:rFonts w:cs="Arial" w:hint="cs"/>
          <w:rtl/>
        </w:rPr>
        <w:t>כי</w:t>
      </w:r>
      <w:r w:rsidR="00C15351" w:rsidRPr="00C15351">
        <w:t>"</w:t>
      </w:r>
    </w:p>
    <w:p w:rsidR="00192816" w:rsidRDefault="00192816" w:rsidP="00DF12C5"/>
    <w:p w:rsidR="00C15351" w:rsidRDefault="00C15351">
      <w:r>
        <w:rPr>
          <w:noProof/>
        </w:rPr>
        <w:drawing>
          <wp:inline distT="0" distB="0" distL="0" distR="0">
            <wp:extent cx="3797935" cy="192659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192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816" w:rsidRDefault="00192816"/>
    <w:p w:rsidR="00192816" w:rsidRDefault="00B55544" w:rsidP="002E52C4">
      <w:pPr>
        <w:bidi/>
        <w:rPr>
          <w:rFonts w:cs="Arial"/>
          <w:sz w:val="28"/>
          <w:szCs w:val="28"/>
        </w:rPr>
      </w:pPr>
      <w:r>
        <w:t>Meal offerings that are made in a vessel need three applications of oil…..</w:t>
      </w:r>
      <w:r w:rsidR="003B6E0E">
        <w:t>The Mishnah concludes</w:t>
      </w:r>
      <w:r w:rsidR="007F4FB5">
        <w:t>…</w:t>
      </w:r>
      <w:r w:rsidR="003B6E0E">
        <w:rPr>
          <w:rFonts w:cs="Arial"/>
          <w:sz w:val="28"/>
          <w:szCs w:val="28"/>
        </w:rPr>
        <w:t xml:space="preserve"> </w:t>
      </w:r>
      <w:r w:rsidR="00DB4A34">
        <w:rPr>
          <w:rFonts w:cs="Arial"/>
          <w:sz w:val="28"/>
          <w:szCs w:val="28"/>
        </w:rPr>
        <w:t xml:space="preserve">      </w:t>
      </w:r>
      <w:r w:rsidR="004D3112" w:rsidRPr="004D3112">
        <w:rPr>
          <w:rFonts w:cs="Arial"/>
          <w:sz w:val="28"/>
          <w:szCs w:val="28"/>
        </w:rPr>
        <w:t xml:space="preserve"> </w:t>
      </w:r>
    </w:p>
    <w:p w:rsidR="00B55544" w:rsidRPr="003B6E0E" w:rsidRDefault="004D3112" w:rsidP="00192816">
      <w:pPr>
        <w:bidi/>
      </w:pPr>
      <w:r w:rsidRPr="004D3112">
        <w:rPr>
          <w:rFonts w:cs="Arial"/>
          <w:sz w:val="28"/>
          <w:szCs w:val="28"/>
        </w:rPr>
        <w:t xml:space="preserve">  </w:t>
      </w:r>
      <w:r w:rsidR="002E52C4" w:rsidRPr="002E52C4">
        <w:rPr>
          <w:rFonts w:cs="Arial" w:hint="cs"/>
          <w:sz w:val="28"/>
          <w:szCs w:val="28"/>
          <w:rtl/>
        </w:rPr>
        <w:t>החלות</w:t>
      </w:r>
      <w:r w:rsidR="002E52C4" w:rsidRPr="002E52C4">
        <w:rPr>
          <w:rFonts w:cs="Arial"/>
          <w:sz w:val="28"/>
          <w:szCs w:val="28"/>
          <w:rtl/>
        </w:rPr>
        <w:t xml:space="preserve"> </w:t>
      </w:r>
      <w:r w:rsidR="002E52C4" w:rsidRPr="002E52C4">
        <w:rPr>
          <w:rFonts w:cs="Arial" w:hint="cs"/>
          <w:sz w:val="28"/>
          <w:szCs w:val="28"/>
          <w:rtl/>
        </w:rPr>
        <w:t>טעונות</w:t>
      </w:r>
      <w:r w:rsidR="002E52C4" w:rsidRPr="002E52C4">
        <w:rPr>
          <w:rFonts w:cs="Arial"/>
          <w:sz w:val="28"/>
          <w:szCs w:val="28"/>
          <w:rtl/>
        </w:rPr>
        <w:t xml:space="preserve"> </w:t>
      </w:r>
      <w:r w:rsidR="002E52C4" w:rsidRPr="002E52C4">
        <w:rPr>
          <w:rFonts w:cs="Arial" w:hint="cs"/>
          <w:sz w:val="28"/>
          <w:szCs w:val="28"/>
          <w:rtl/>
        </w:rPr>
        <w:t>בלילה</w:t>
      </w:r>
      <w:r w:rsidR="002E52C4" w:rsidRPr="002E52C4">
        <w:rPr>
          <w:rFonts w:cs="Arial"/>
          <w:sz w:val="28"/>
          <w:szCs w:val="28"/>
          <w:rtl/>
        </w:rPr>
        <w:t xml:space="preserve"> </w:t>
      </w:r>
      <w:r w:rsidR="002E52C4" w:rsidRPr="002E52C4">
        <w:rPr>
          <w:rFonts w:cs="Arial" w:hint="cs"/>
          <w:sz w:val="28"/>
          <w:szCs w:val="28"/>
          <w:rtl/>
        </w:rPr>
        <w:t>ורקיקין</w:t>
      </w:r>
      <w:r w:rsidR="002E52C4" w:rsidRPr="002E52C4">
        <w:rPr>
          <w:rFonts w:cs="Arial"/>
          <w:sz w:val="28"/>
          <w:szCs w:val="28"/>
          <w:rtl/>
        </w:rPr>
        <w:t xml:space="preserve"> </w:t>
      </w:r>
      <w:r w:rsidR="002E52C4" w:rsidRPr="002E52C4">
        <w:rPr>
          <w:rFonts w:cs="Arial" w:hint="cs"/>
          <w:sz w:val="28"/>
          <w:szCs w:val="28"/>
          <w:rtl/>
        </w:rPr>
        <w:t>משיחה</w:t>
      </w:r>
      <w:r w:rsidR="002E52C4" w:rsidRPr="002E52C4">
        <w:rPr>
          <w:rFonts w:cs="Arial"/>
          <w:sz w:val="28"/>
          <w:szCs w:val="28"/>
          <w:rtl/>
        </w:rPr>
        <w:t>.</w:t>
      </w:r>
      <w:r w:rsidR="002E52C4" w:rsidRPr="002E52C4">
        <w:rPr>
          <w:rFonts w:cs="Arial" w:hint="cs"/>
          <w:sz w:val="28"/>
          <w:szCs w:val="28"/>
          <w:rtl/>
        </w:rPr>
        <w:t>כיצד</w:t>
      </w:r>
      <w:r w:rsidR="002E52C4" w:rsidRPr="002E52C4">
        <w:rPr>
          <w:rFonts w:cs="Arial"/>
          <w:sz w:val="28"/>
          <w:szCs w:val="28"/>
          <w:rtl/>
        </w:rPr>
        <w:t xml:space="preserve"> </w:t>
      </w:r>
      <w:r w:rsidR="002E52C4" w:rsidRPr="002E52C4">
        <w:rPr>
          <w:rFonts w:cs="Arial" w:hint="cs"/>
          <w:sz w:val="28"/>
          <w:szCs w:val="28"/>
          <w:rtl/>
        </w:rPr>
        <w:t>מושחין</w:t>
      </w:r>
      <w:r w:rsidR="002E52C4" w:rsidRPr="002E52C4">
        <w:rPr>
          <w:rFonts w:cs="Arial"/>
          <w:sz w:val="28"/>
          <w:szCs w:val="28"/>
          <w:rtl/>
        </w:rPr>
        <w:t xml:space="preserve">? </w:t>
      </w:r>
      <w:r w:rsidR="002E52C4" w:rsidRPr="002E52C4">
        <w:rPr>
          <w:rFonts w:cs="Arial" w:hint="cs"/>
          <w:sz w:val="28"/>
          <w:szCs w:val="28"/>
          <w:rtl/>
        </w:rPr>
        <w:t>כמין</w:t>
      </w:r>
      <w:r w:rsidR="002E52C4" w:rsidRPr="002E52C4">
        <w:rPr>
          <w:rFonts w:cs="Arial"/>
          <w:sz w:val="28"/>
          <w:szCs w:val="28"/>
          <w:rtl/>
        </w:rPr>
        <w:t xml:space="preserve"> </w:t>
      </w:r>
      <w:r w:rsidR="002E52C4" w:rsidRPr="002E52C4">
        <w:rPr>
          <w:rFonts w:cs="Arial" w:hint="cs"/>
          <w:sz w:val="28"/>
          <w:szCs w:val="28"/>
          <w:rtl/>
        </w:rPr>
        <w:t>כי</w:t>
      </w:r>
    </w:p>
    <w:p w:rsidR="00B55544" w:rsidRDefault="00B55544" w:rsidP="00C76D9D">
      <w:r>
        <w:t xml:space="preserve">The loaves require mixing (with oil) and the wafers require anointing (with oil). How were they anointed? In the form of a </w:t>
      </w:r>
      <w:r w:rsidRPr="00B55544">
        <w:rPr>
          <w:i/>
          <w:iCs/>
        </w:rPr>
        <w:t>Khi</w:t>
      </w:r>
      <w:r>
        <w:rPr>
          <w:i/>
          <w:iCs/>
        </w:rPr>
        <w:t>.</w:t>
      </w:r>
    </w:p>
    <w:p w:rsidR="003B6E0E" w:rsidRDefault="00FC2E38" w:rsidP="00FC2E38">
      <w:r>
        <w:t xml:space="preserve">The Gemara </w:t>
      </w:r>
      <w:r w:rsidR="007F4FB5">
        <w:t>on 75</w:t>
      </w:r>
      <w:r w:rsidR="00C76D9D">
        <w:t>a</w:t>
      </w:r>
      <w:r w:rsidR="007F4FB5">
        <w:t xml:space="preserve"> explains</w:t>
      </w:r>
    </w:p>
    <w:p w:rsidR="002E52C4" w:rsidRDefault="002E52C4" w:rsidP="00DB4A34">
      <w:pPr>
        <w:rPr>
          <w:rFonts w:cs="Arial"/>
        </w:rPr>
      </w:pPr>
      <w:r w:rsidRPr="002E52C4">
        <w:rPr>
          <w:rFonts w:cs="Arial" w:hint="cs"/>
          <w:rtl/>
        </w:rPr>
        <w:t>מאי</w:t>
      </w:r>
      <w:r w:rsidRPr="002E52C4">
        <w:rPr>
          <w:rFonts w:cs="Arial"/>
          <w:rtl/>
        </w:rPr>
        <w:t xml:space="preserve"> </w:t>
      </w:r>
      <w:r w:rsidRPr="002E52C4">
        <w:rPr>
          <w:rFonts w:cs="Arial" w:hint="cs"/>
          <w:rtl/>
        </w:rPr>
        <w:t>כמין</w:t>
      </w:r>
      <w:r w:rsidRPr="002E52C4">
        <w:rPr>
          <w:rFonts w:cs="Arial"/>
          <w:rtl/>
        </w:rPr>
        <w:t xml:space="preserve"> </w:t>
      </w:r>
      <w:r w:rsidRPr="002E52C4">
        <w:rPr>
          <w:rFonts w:cs="Arial" w:hint="cs"/>
          <w:rtl/>
        </w:rPr>
        <w:t>כי</w:t>
      </w:r>
      <w:r w:rsidRPr="002E52C4">
        <w:rPr>
          <w:rFonts w:cs="Arial"/>
          <w:rtl/>
        </w:rPr>
        <w:t xml:space="preserve">? </w:t>
      </w:r>
      <w:r w:rsidRPr="002E52C4">
        <w:rPr>
          <w:rFonts w:cs="Arial" w:hint="cs"/>
          <w:rtl/>
        </w:rPr>
        <w:t>אמר</w:t>
      </w:r>
      <w:r w:rsidRPr="002E52C4">
        <w:rPr>
          <w:rFonts w:cs="Arial"/>
          <w:rtl/>
        </w:rPr>
        <w:t xml:space="preserve"> </w:t>
      </w:r>
      <w:r w:rsidRPr="002E52C4">
        <w:rPr>
          <w:rFonts w:cs="Arial" w:hint="cs"/>
          <w:rtl/>
        </w:rPr>
        <w:t>רב</w:t>
      </w:r>
      <w:r w:rsidRPr="002E52C4">
        <w:rPr>
          <w:rFonts w:cs="Arial"/>
          <w:rtl/>
        </w:rPr>
        <w:t xml:space="preserve"> </w:t>
      </w:r>
      <w:r w:rsidRPr="002E52C4">
        <w:rPr>
          <w:rFonts w:cs="Arial" w:hint="cs"/>
          <w:rtl/>
        </w:rPr>
        <w:t>כהנא</w:t>
      </w:r>
      <w:r w:rsidRPr="002E52C4">
        <w:rPr>
          <w:rFonts w:cs="Arial"/>
          <w:rtl/>
        </w:rPr>
        <w:t xml:space="preserve"> </w:t>
      </w:r>
      <w:r w:rsidRPr="002E52C4">
        <w:rPr>
          <w:rFonts w:cs="Arial" w:hint="cs"/>
          <w:rtl/>
        </w:rPr>
        <w:t>כמין</w:t>
      </w:r>
      <w:r w:rsidRPr="002E52C4">
        <w:rPr>
          <w:rFonts w:cs="Arial"/>
          <w:rtl/>
        </w:rPr>
        <w:t xml:space="preserve"> </w:t>
      </w:r>
      <w:r w:rsidRPr="002E52C4">
        <w:rPr>
          <w:rFonts w:cs="Arial" w:hint="cs"/>
          <w:rtl/>
        </w:rPr>
        <w:t>כי</w:t>
      </w:r>
      <w:r w:rsidRPr="002E52C4">
        <w:rPr>
          <w:rFonts w:cs="Arial"/>
          <w:rtl/>
        </w:rPr>
        <w:t xml:space="preserve"> </w:t>
      </w:r>
      <w:r w:rsidRPr="002E52C4">
        <w:rPr>
          <w:rFonts w:cs="Arial" w:hint="cs"/>
          <w:rtl/>
        </w:rPr>
        <w:t>יווני</w:t>
      </w:r>
    </w:p>
    <w:p w:rsidR="00DB4A34" w:rsidRDefault="00DB4A34" w:rsidP="00DB4A34">
      <w:r w:rsidRPr="00DB4A34">
        <w:t xml:space="preserve">The </w:t>
      </w:r>
      <w:r w:rsidRPr="00DB4A34">
        <w:rPr>
          <w:i/>
          <w:iCs/>
        </w:rPr>
        <w:t>khi</w:t>
      </w:r>
      <w:r w:rsidRPr="00DB4A34">
        <w:t xml:space="preserve"> is a Greek </w:t>
      </w:r>
      <w:r>
        <w:t>(</w:t>
      </w:r>
      <w:r w:rsidRPr="00DB4A34">
        <w:t>letter</w:t>
      </w:r>
      <w:r>
        <w:t>)</w:t>
      </w:r>
    </w:p>
    <w:p w:rsidR="00470C0E" w:rsidRPr="00470C0E" w:rsidRDefault="00DB4A34" w:rsidP="00470C0E">
      <w:pPr>
        <w:rPr>
          <w:rFonts w:cs="Arial"/>
        </w:rPr>
      </w:pPr>
      <w:r>
        <w:t xml:space="preserve">Tosafot indicate that Rashi </w:t>
      </w:r>
      <w:r w:rsidRPr="002E52C4">
        <w:rPr>
          <w:b/>
          <w:bCs/>
        </w:rPr>
        <w:t>drew</w:t>
      </w:r>
      <w:r>
        <w:t xml:space="preserve"> this Greek letter </w:t>
      </w:r>
      <w:r w:rsidRPr="00DB4A34">
        <w:rPr>
          <w:i/>
          <w:iCs/>
        </w:rPr>
        <w:t xml:space="preserve">khi </w:t>
      </w:r>
      <w:r>
        <w:t xml:space="preserve">to look like a </w:t>
      </w:r>
      <w:r w:rsidRPr="00DB4A34">
        <w:t xml:space="preserve">  </w:t>
      </w:r>
      <w:r w:rsidRPr="00DB4A34">
        <w:rPr>
          <w:rFonts w:cs="Arial" w:hint="cs"/>
          <w:rtl/>
        </w:rPr>
        <w:t>ט״ית</w:t>
      </w:r>
      <w:r w:rsidR="00470C0E">
        <w:rPr>
          <w:rFonts w:cs="Arial"/>
        </w:rPr>
        <w:t xml:space="preserve">                                                                                         </w:t>
      </w:r>
    </w:p>
    <w:p w:rsidR="00470C0E" w:rsidRDefault="00DB4A34" w:rsidP="00470C0E">
      <w:r w:rsidRPr="00DB4A34">
        <w:rPr>
          <w:noProof/>
        </w:rPr>
        <w:lastRenderedPageBreak/>
        <w:drawing>
          <wp:inline distT="0" distB="0" distL="0" distR="0">
            <wp:extent cx="3572745" cy="2328672"/>
            <wp:effectExtent l="19050" t="0" r="865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71" cy="233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5E" w:rsidRDefault="00C13C5E" w:rsidP="00470C0E">
      <w:r>
        <w:t>There is no Rashi on the Gemara o</w:t>
      </w:r>
      <w:r w:rsidR="00DF12C5">
        <w:t>n 75a so Tosafot are</w:t>
      </w:r>
      <w:r>
        <w:t xml:space="preserve"> referring to the Rash</w:t>
      </w:r>
      <w:r w:rsidR="002E52C4">
        <w:t>i we find on the Mishnah on 74b. It</w:t>
      </w:r>
      <w:r w:rsidR="003B6E0E">
        <w:t xml:space="preserve"> is </w:t>
      </w:r>
      <w:r>
        <w:t>included in the Vilna Shas under the title “Rashi K</w:t>
      </w:r>
      <w:r w:rsidR="00B36F73">
        <w:t>’</w:t>
      </w:r>
      <w:r>
        <w:t>tiv Yad”</w:t>
      </w:r>
    </w:p>
    <w:p w:rsidR="00C11BA1" w:rsidRDefault="00C11BA1" w:rsidP="00C11BA1">
      <w:pPr>
        <w:bidi/>
      </w:pPr>
      <w:r>
        <w:rPr>
          <w:noProof/>
        </w:rPr>
        <w:drawing>
          <wp:inline distT="0" distB="0" distL="0" distR="0">
            <wp:extent cx="4304030" cy="426720"/>
            <wp:effectExtent l="19050" t="0" r="127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5E" w:rsidRDefault="00D72848" w:rsidP="00DB4A34">
      <w:r>
        <w:t xml:space="preserve">You have the idea that the Khi looked like a </w:t>
      </w:r>
      <w:r w:rsidRPr="00D72848">
        <w:rPr>
          <w:rFonts w:cs="Arial" w:hint="cs"/>
          <w:sz w:val="24"/>
          <w:szCs w:val="24"/>
          <w:rtl/>
        </w:rPr>
        <w:t>ט״ית</w:t>
      </w:r>
      <w:r>
        <w:t xml:space="preserve"> as Tosafot indicate. But aside from that, the last three words giv</w:t>
      </w:r>
      <w:r w:rsidR="00C76D9D">
        <w:t>e us another “picture” of what</w:t>
      </w:r>
      <w:r>
        <w:t xml:space="preserve"> the </w:t>
      </w:r>
      <w:r w:rsidRPr="00D72848">
        <w:rPr>
          <w:i/>
          <w:iCs/>
        </w:rPr>
        <w:t>Khi</w:t>
      </w:r>
      <w:r>
        <w:rPr>
          <w:i/>
          <w:iCs/>
        </w:rPr>
        <w:t xml:space="preserve"> </w:t>
      </w:r>
      <w:r>
        <w:t>looked like… like the space be</w:t>
      </w:r>
      <w:r w:rsidR="003B6E0E">
        <w:t>tween the thumb and the fore</w:t>
      </w:r>
      <w:r>
        <w:t>finger.</w:t>
      </w:r>
      <w:r w:rsidR="006B22D0">
        <w:t xml:space="preserve"> One can imagine a “U” shape. But, despite Tosafot indication that Rashi drew a picture of the </w:t>
      </w:r>
      <w:r w:rsidR="006B22D0" w:rsidRPr="003B6E0E">
        <w:rPr>
          <w:i/>
          <w:iCs/>
        </w:rPr>
        <w:t>Khi,</w:t>
      </w:r>
      <w:r w:rsidR="006B22D0">
        <w:t xml:space="preserve"> we find no picture in this Rashi.</w:t>
      </w:r>
    </w:p>
    <w:p w:rsidR="00F85DAB" w:rsidRDefault="0026164F" w:rsidP="00470C0E">
      <w:r>
        <w:t>Thankfully, we have access to the manuscript u</w:t>
      </w:r>
      <w:r w:rsidR="002E52C4">
        <w:t>sed in the</w:t>
      </w:r>
      <w:r>
        <w:t xml:space="preserve"> “Rashi K</w:t>
      </w:r>
      <w:r w:rsidR="00B36F73">
        <w:t>’</w:t>
      </w:r>
      <w:r w:rsidR="00470C0E">
        <w:t>tiv Yad</w:t>
      </w:r>
      <w:r w:rsidR="00774280">
        <w:t>”</w:t>
      </w:r>
      <w:r w:rsidR="00470C0E">
        <w:t xml:space="preserve"> which </w:t>
      </w:r>
      <w:r>
        <w:t>is known as</w:t>
      </w:r>
      <w:r w:rsidR="00470C0E">
        <w:t xml:space="preserve"> Vatican </w:t>
      </w:r>
      <w:r w:rsidR="00F85DAB">
        <w:t>ebr</w:t>
      </w:r>
      <w:r>
        <w:t>.</w:t>
      </w:r>
      <w:r w:rsidR="00F85DAB">
        <w:t xml:space="preserve"> 487</w:t>
      </w:r>
    </w:p>
    <w:p w:rsidR="00C76D9D" w:rsidRDefault="00DE3ADD">
      <w:hyperlink r:id="rId8" w:history="1">
        <w:r w:rsidR="00470C0E" w:rsidRPr="00B216E5">
          <w:rPr>
            <w:rStyle w:val="Hyperlink"/>
          </w:rPr>
          <w:t>https://digi.vatlib.it/view/MSS_Vat.ebr.487</w:t>
        </w:r>
      </w:hyperlink>
      <w:r w:rsidR="00470C0E">
        <w:t>. To access the specific page, go to page 48v.</w:t>
      </w:r>
    </w:p>
    <w:p w:rsidR="00C76D9D" w:rsidRDefault="0026164F">
      <w:r>
        <w:t xml:space="preserve">The bibliographic record of the National Library of </w:t>
      </w:r>
      <w:r w:rsidR="00B36F73">
        <w:t>Israel notes that according to Rav Betzalel Ashkenazi, this manuscript was the authentic text of Rashi for our section of Menachot.</w:t>
      </w:r>
    </w:p>
    <w:p w:rsidR="00C76D9D" w:rsidRPr="00C76D9D" w:rsidRDefault="00C76D9D" w:rsidP="00B36F73">
      <w:pPr>
        <w:bidi/>
        <w:spacing w:after="0" w:line="240" w:lineRule="auto"/>
        <w:rPr>
          <w:rFonts w:ascii="Arial" w:eastAsia="Times New Roman" w:hAnsi="Arial" w:cs="Arial"/>
          <w:color w:val="313131"/>
        </w:rPr>
      </w:pPr>
      <w:r w:rsidRPr="00C76D9D">
        <w:rPr>
          <w:rFonts w:ascii="Arial" w:eastAsia="Times New Roman" w:hAnsi="Arial" w:cs="Arial"/>
          <w:color w:val="313131"/>
          <w:rtl/>
        </w:rPr>
        <w:t> </w:t>
      </w:r>
      <w:r w:rsidRPr="00C76D9D">
        <w:rPr>
          <w:rFonts w:ascii="Arial" w:eastAsia="Times New Roman" w:hAnsi="Arial" w:cs="Arial"/>
          <w:color w:val="313131"/>
          <w:rtl/>
        </w:rPr>
        <w:br/>
        <w:t>נוסח זה של רש"י הוא הנוסח האותנטי. במהדורת התלמוד של האלמנה והאחים ראם נדפס נוסח זה למנחות עב ע"ב-צד ע"א מתוך העתקה של ר' בצלאל אשכנזי שנרשם בשולי דפוס. ר' בצלאל טען שזהו הנוסח האמיתי של רש"י לפרקים ז-יא. </w:t>
      </w:r>
      <w:r w:rsidRPr="00C76D9D">
        <w:rPr>
          <w:rFonts w:ascii="Arial" w:eastAsia="Times New Roman" w:hAnsi="Arial" w:cs="Arial"/>
          <w:color w:val="313131"/>
          <w:rtl/>
        </w:rPr>
        <w:br/>
      </w:r>
    </w:p>
    <w:p w:rsidR="00C76D9D" w:rsidRDefault="0026164F">
      <w:r>
        <w:t>Here it is on Menachot 74b</w:t>
      </w:r>
    </w:p>
    <w:p w:rsidR="00F85DAB" w:rsidRDefault="00F85DAB">
      <w:r>
        <w:rPr>
          <w:noProof/>
        </w:rPr>
        <w:drawing>
          <wp:inline distT="0" distB="0" distL="0" distR="0">
            <wp:extent cx="6370758" cy="178525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511" cy="1785748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280" w:rsidRDefault="00C72494" w:rsidP="00774280">
      <w:r>
        <w:t>In the body of the text</w:t>
      </w:r>
      <w:r w:rsidR="00A07D0B">
        <w:t xml:space="preserve"> </w:t>
      </w:r>
      <w:r>
        <w:t>there is a picture of a</w:t>
      </w:r>
      <w:r w:rsidR="00DF12C5">
        <w:t xml:space="preserve"> </w:t>
      </w:r>
      <w:r w:rsidR="00DF12C5" w:rsidRPr="00DB4A34">
        <w:rPr>
          <w:rFonts w:cs="Arial" w:hint="cs"/>
          <w:rtl/>
        </w:rPr>
        <w:t>ט</w:t>
      </w:r>
      <w:r>
        <w:t xml:space="preserve">. </w:t>
      </w:r>
      <w:r w:rsidR="00A07D0B">
        <w:t xml:space="preserve">It also </w:t>
      </w:r>
      <w:r w:rsidR="0026164F">
        <w:t xml:space="preserve">has </w:t>
      </w:r>
      <w:r>
        <w:t xml:space="preserve">the word </w:t>
      </w:r>
      <w:r w:rsidR="0026164F">
        <w:t>“Kazeh” after B’Hafrasha</w:t>
      </w:r>
      <w:r w:rsidR="00DF12C5">
        <w:t>t</w:t>
      </w:r>
      <w:r w:rsidR="0026164F">
        <w:t xml:space="preserve"> Godel Ma’Etzbah ( separating the thumb from the finger). </w:t>
      </w:r>
      <w:r>
        <w:t xml:space="preserve">It refers to the picture on the right side which shows  where the thumb, space and finger are. It has the letter </w:t>
      </w:r>
      <w:r w:rsidR="00DF12C5" w:rsidRPr="00DB4A34">
        <w:rPr>
          <w:rFonts w:cs="Arial" w:hint="cs"/>
          <w:rtl/>
        </w:rPr>
        <w:t>ט</w:t>
      </w:r>
      <w:r>
        <w:t xml:space="preserve"> inside of it probably to indicate that the </w:t>
      </w:r>
      <w:r w:rsidR="00DF12C5" w:rsidRPr="00DB4A34">
        <w:rPr>
          <w:rFonts w:cs="Arial" w:hint="cs"/>
          <w:rtl/>
        </w:rPr>
        <w:t>ט</w:t>
      </w:r>
      <w:r w:rsidR="00DF12C5">
        <w:t xml:space="preserve"> and B’Hafrashat</w:t>
      </w:r>
      <w:r>
        <w:t xml:space="preserve"> Godel Ma’Etzbah are the same thing. To seal the deal, it shows a “U” shaped figure underneath.</w:t>
      </w:r>
    </w:p>
    <w:p w:rsidR="00A912F0" w:rsidRPr="00774280" w:rsidRDefault="00C72494" w:rsidP="00774280">
      <w:r>
        <w:t xml:space="preserve"> </w:t>
      </w:r>
      <w:r w:rsidR="002E52C4">
        <w:t>It is then entirely possible that Tosafot were looking at a Rashi manuscript ( or possibly a K’Tav Yad of Rashi himself) which had a picture, as they indicate by writi</w:t>
      </w:r>
      <w:r w:rsidR="00DF12C5">
        <w:t xml:space="preserve">ng </w:t>
      </w:r>
      <w:r w:rsidR="00A912F0" w:rsidRPr="00DF12C5">
        <w:rPr>
          <w:rFonts w:cs="Arial" w:hint="cs"/>
          <w:rtl/>
        </w:rPr>
        <w:t>צייר</w:t>
      </w:r>
      <w:r w:rsidR="00A912F0" w:rsidRPr="00DF12C5">
        <w:rPr>
          <w:rFonts w:cs="Arial"/>
          <w:rtl/>
        </w:rPr>
        <w:t xml:space="preserve"> </w:t>
      </w:r>
      <w:r w:rsidR="00A912F0" w:rsidRPr="00DF12C5">
        <w:rPr>
          <w:rFonts w:cs="Arial" w:hint="cs"/>
          <w:rtl/>
        </w:rPr>
        <w:t>בקונטרוס</w:t>
      </w:r>
      <w:r w:rsidR="00A912F0" w:rsidRPr="00DF12C5">
        <w:rPr>
          <w:rFonts w:cs="Arial"/>
          <w:rtl/>
        </w:rPr>
        <w:t xml:space="preserve"> </w:t>
      </w:r>
      <w:r w:rsidR="00A912F0" w:rsidRPr="00DF12C5">
        <w:rPr>
          <w:rFonts w:cs="Arial" w:hint="cs"/>
          <w:rtl/>
        </w:rPr>
        <w:t>כמין</w:t>
      </w:r>
      <w:r w:rsidR="00A912F0" w:rsidRPr="00DF12C5">
        <w:rPr>
          <w:rFonts w:cs="Arial"/>
          <w:rtl/>
        </w:rPr>
        <w:t xml:space="preserve"> </w:t>
      </w:r>
      <w:r w:rsidR="00A912F0" w:rsidRPr="00DF12C5">
        <w:rPr>
          <w:rFonts w:cs="Arial" w:hint="cs"/>
          <w:rtl/>
        </w:rPr>
        <w:t>ט״ית</w:t>
      </w:r>
    </w:p>
    <w:p w:rsidR="002E52C4" w:rsidRDefault="002E52C4" w:rsidP="00A912F0"/>
    <w:p w:rsidR="00F0137A" w:rsidRDefault="00F0137A"/>
    <w:p w:rsidR="00F0137A" w:rsidRDefault="00F0137A"/>
    <w:p w:rsidR="007F05A4" w:rsidRDefault="007F05A4"/>
    <w:p w:rsidR="00F85DAB" w:rsidRDefault="00F85DAB"/>
    <w:p w:rsidR="006D6373" w:rsidRDefault="006D6373"/>
    <w:p w:rsidR="0038269F" w:rsidRDefault="0038269F"/>
    <w:sectPr w:rsidR="0038269F" w:rsidSect="00017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AB"/>
    <w:rsid w:val="00017001"/>
    <w:rsid w:val="0011541B"/>
    <w:rsid w:val="00192816"/>
    <w:rsid w:val="00192DAA"/>
    <w:rsid w:val="001A5705"/>
    <w:rsid w:val="001E700A"/>
    <w:rsid w:val="0026164F"/>
    <w:rsid w:val="00296F62"/>
    <w:rsid w:val="002E52C4"/>
    <w:rsid w:val="00353344"/>
    <w:rsid w:val="0038269F"/>
    <w:rsid w:val="003B6E0E"/>
    <w:rsid w:val="00470C0E"/>
    <w:rsid w:val="004862F7"/>
    <w:rsid w:val="004D3112"/>
    <w:rsid w:val="00697C85"/>
    <w:rsid w:val="006B22D0"/>
    <w:rsid w:val="006D6373"/>
    <w:rsid w:val="007717CA"/>
    <w:rsid w:val="00774280"/>
    <w:rsid w:val="007F05A4"/>
    <w:rsid w:val="007F4FB5"/>
    <w:rsid w:val="00814586"/>
    <w:rsid w:val="008A4DDA"/>
    <w:rsid w:val="009230AA"/>
    <w:rsid w:val="00A07D0B"/>
    <w:rsid w:val="00A34019"/>
    <w:rsid w:val="00A40B99"/>
    <w:rsid w:val="00A534F3"/>
    <w:rsid w:val="00A76A98"/>
    <w:rsid w:val="00A912F0"/>
    <w:rsid w:val="00B36F73"/>
    <w:rsid w:val="00B55544"/>
    <w:rsid w:val="00C11BA1"/>
    <w:rsid w:val="00C13C5E"/>
    <w:rsid w:val="00C15351"/>
    <w:rsid w:val="00C72494"/>
    <w:rsid w:val="00C76D9D"/>
    <w:rsid w:val="00D72848"/>
    <w:rsid w:val="00D97138"/>
    <w:rsid w:val="00DA15A7"/>
    <w:rsid w:val="00DB4A34"/>
    <w:rsid w:val="00DE3ADD"/>
    <w:rsid w:val="00DE5676"/>
    <w:rsid w:val="00DF12C5"/>
    <w:rsid w:val="00E32B81"/>
    <w:rsid w:val="00E42D56"/>
    <w:rsid w:val="00F0137A"/>
    <w:rsid w:val="00F85DAB"/>
    <w:rsid w:val="00FC138E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01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AB"/>
    <w:rPr>
      <w:rFonts w:ascii="Tahoma" w:hAnsi="Tahoma" w:cs="Tahoma"/>
      <w:sz w:val="16"/>
      <w:szCs w:val="16"/>
      <w:lang w:bidi="he-IL"/>
    </w:rPr>
  </w:style>
  <w:style w:type="character" w:customStyle="1" w:styleId="exldetailsdisplayval">
    <w:name w:val="exldetailsdisplayval"/>
    <w:basedOn w:val="DefaultParagraphFont"/>
    <w:rsid w:val="00C76D9D"/>
  </w:style>
  <w:style w:type="character" w:styleId="Hyperlink">
    <w:name w:val="Hyperlink"/>
    <w:basedOn w:val="DefaultParagraphFont"/>
    <w:uiPriority w:val="99"/>
    <w:unhideWhenUsed/>
    <w:rsid w:val="00C76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01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AB"/>
    <w:rPr>
      <w:rFonts w:ascii="Tahoma" w:hAnsi="Tahoma" w:cs="Tahoma"/>
      <w:sz w:val="16"/>
      <w:szCs w:val="16"/>
      <w:lang w:bidi="he-IL"/>
    </w:rPr>
  </w:style>
  <w:style w:type="character" w:customStyle="1" w:styleId="exldetailsdisplayval">
    <w:name w:val="exldetailsdisplayval"/>
    <w:basedOn w:val="DefaultParagraphFont"/>
    <w:rsid w:val="00C76D9D"/>
  </w:style>
  <w:style w:type="character" w:styleId="Hyperlink">
    <w:name w:val="Hyperlink"/>
    <w:basedOn w:val="DefaultParagraphFont"/>
    <w:uiPriority w:val="99"/>
    <w:unhideWhenUsed/>
    <w:rsid w:val="00C76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.vatlib.it/view/MSS_Vat.ebr.4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nli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Ezra Chwat</cp:lastModifiedBy>
  <cp:revision>2</cp:revision>
  <dcterms:created xsi:type="dcterms:W3CDTF">2018-04-30T04:35:00Z</dcterms:created>
  <dcterms:modified xsi:type="dcterms:W3CDTF">2018-04-30T04:35:00Z</dcterms:modified>
</cp:coreProperties>
</file>