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FAE" w:rsidRDefault="002C5FAE" w:rsidP="00D934E1">
      <w:pPr>
        <w:rPr>
          <w:rFonts w:hint="cs"/>
          <w:rtl/>
        </w:rPr>
      </w:pPr>
      <w:r>
        <w:rPr>
          <w:rFonts w:hint="cs"/>
          <w:rtl/>
        </w:rPr>
        <w:t>בס"ד</w:t>
      </w:r>
      <w:r w:rsidR="003E1668">
        <w:rPr>
          <w:rFonts w:hint="cs"/>
          <w:rtl/>
        </w:rPr>
        <w:t xml:space="preserve">                                          </w:t>
      </w:r>
      <w:r w:rsidR="00377E51">
        <w:rPr>
          <w:rFonts w:hint="cs"/>
          <w:rtl/>
        </w:rPr>
        <w:t xml:space="preserve">    </w:t>
      </w:r>
      <w:r w:rsidR="003E1668">
        <w:rPr>
          <w:rFonts w:hint="cs"/>
          <w:rtl/>
        </w:rPr>
        <w:t xml:space="preserve">  </w:t>
      </w:r>
      <w:r w:rsidR="00D934E1">
        <w:rPr>
          <w:rFonts w:hint="cs"/>
          <w:rtl/>
        </w:rPr>
        <w:t>דף עזר ל</w:t>
      </w:r>
      <w:bookmarkStart w:id="0" w:name="_GoBack"/>
      <w:bookmarkEnd w:id="0"/>
      <w:r>
        <w:rPr>
          <w:rFonts w:hint="cs"/>
          <w:rtl/>
        </w:rPr>
        <w:t>מסכת נדה דף ל"ד</w:t>
      </w:r>
    </w:p>
    <w:tbl>
      <w:tblPr>
        <w:tblStyle w:val="a3"/>
        <w:bidiVisual/>
        <w:tblW w:w="0" w:type="auto"/>
        <w:tblLook w:val="04A0" w:firstRow="1" w:lastRow="0" w:firstColumn="1" w:lastColumn="0" w:noHBand="0" w:noVBand="1"/>
      </w:tblPr>
      <w:tblGrid>
        <w:gridCol w:w="1704"/>
        <w:gridCol w:w="1704"/>
        <w:gridCol w:w="1704"/>
        <w:gridCol w:w="1705"/>
        <w:gridCol w:w="1705"/>
      </w:tblGrid>
      <w:tr w:rsidR="002C5FAE" w:rsidTr="00377E51">
        <w:tc>
          <w:tcPr>
            <w:tcW w:w="1704" w:type="dxa"/>
            <w:vAlign w:val="center"/>
          </w:tcPr>
          <w:p w:rsidR="002C5FAE" w:rsidRDefault="002C5FAE" w:rsidP="00E67132">
            <w:pPr>
              <w:jc w:val="center"/>
              <w:rPr>
                <w:rFonts w:hint="cs"/>
                <w:rtl/>
              </w:rPr>
            </w:pPr>
          </w:p>
        </w:tc>
        <w:tc>
          <w:tcPr>
            <w:tcW w:w="1704" w:type="dxa"/>
            <w:vAlign w:val="center"/>
          </w:tcPr>
          <w:p w:rsidR="002C5FAE" w:rsidRDefault="002C5FAE" w:rsidP="00E67132">
            <w:pPr>
              <w:jc w:val="center"/>
              <w:rPr>
                <w:rFonts w:hint="cs"/>
                <w:rtl/>
              </w:rPr>
            </w:pPr>
            <w:r>
              <w:rPr>
                <w:rFonts w:hint="cs"/>
                <w:rtl/>
              </w:rPr>
              <w:t>לח</w:t>
            </w:r>
          </w:p>
        </w:tc>
        <w:tc>
          <w:tcPr>
            <w:tcW w:w="1704" w:type="dxa"/>
            <w:vAlign w:val="center"/>
          </w:tcPr>
          <w:p w:rsidR="002C5FAE" w:rsidRDefault="002C5FAE" w:rsidP="00E67132">
            <w:pPr>
              <w:jc w:val="center"/>
              <w:rPr>
                <w:rFonts w:hint="cs"/>
                <w:rtl/>
              </w:rPr>
            </w:pPr>
            <w:r>
              <w:rPr>
                <w:rFonts w:hint="cs"/>
                <w:rtl/>
              </w:rPr>
              <w:t>יבש</w:t>
            </w:r>
          </w:p>
        </w:tc>
        <w:tc>
          <w:tcPr>
            <w:tcW w:w="1705" w:type="dxa"/>
            <w:vAlign w:val="center"/>
          </w:tcPr>
          <w:p w:rsidR="002C5FAE" w:rsidRDefault="002C5FAE" w:rsidP="00E67132">
            <w:pPr>
              <w:jc w:val="center"/>
              <w:rPr>
                <w:rFonts w:hint="cs"/>
                <w:rtl/>
              </w:rPr>
            </w:pPr>
            <w:r>
              <w:rPr>
                <w:rFonts w:hint="cs"/>
                <w:rtl/>
              </w:rPr>
              <w:t>מגע</w:t>
            </w:r>
          </w:p>
        </w:tc>
        <w:tc>
          <w:tcPr>
            <w:tcW w:w="1705" w:type="dxa"/>
            <w:vAlign w:val="center"/>
          </w:tcPr>
          <w:p w:rsidR="002C5FAE" w:rsidRDefault="002C5FAE" w:rsidP="00E67132">
            <w:pPr>
              <w:jc w:val="center"/>
              <w:rPr>
                <w:rFonts w:hint="cs"/>
                <w:rtl/>
              </w:rPr>
            </w:pPr>
            <w:r>
              <w:rPr>
                <w:rFonts w:hint="cs"/>
                <w:rtl/>
              </w:rPr>
              <w:t>משא</w:t>
            </w:r>
          </w:p>
        </w:tc>
      </w:tr>
      <w:tr w:rsidR="002C5FAE" w:rsidTr="00377E51">
        <w:trPr>
          <w:trHeight w:val="227"/>
        </w:trPr>
        <w:tc>
          <w:tcPr>
            <w:tcW w:w="1704" w:type="dxa"/>
            <w:vAlign w:val="center"/>
          </w:tcPr>
          <w:p w:rsidR="002C5FAE" w:rsidRDefault="002C5FAE" w:rsidP="00E67132">
            <w:pPr>
              <w:jc w:val="center"/>
              <w:rPr>
                <w:rFonts w:hint="cs"/>
                <w:rtl/>
              </w:rPr>
            </w:pPr>
            <w:r>
              <w:rPr>
                <w:rFonts w:hint="cs"/>
                <w:rtl/>
              </w:rPr>
              <w:t>דם (נדה, יולדת, זבה)</w:t>
            </w:r>
          </w:p>
        </w:tc>
        <w:tc>
          <w:tcPr>
            <w:tcW w:w="1704" w:type="dxa"/>
            <w:vAlign w:val="center"/>
          </w:tcPr>
          <w:p w:rsidR="002C5FAE" w:rsidRPr="00E67132" w:rsidRDefault="002C5FAE" w:rsidP="00E67132">
            <w:pPr>
              <w:jc w:val="center"/>
              <w:rPr>
                <w:rFonts w:ascii="Gill Sans Ultra Bold" w:hAnsi="Gill Sans Ultra Bold"/>
                <w:sz w:val="40"/>
                <w:szCs w:val="40"/>
                <w:rtl/>
              </w:rPr>
            </w:pPr>
            <w:r w:rsidRPr="00E67132">
              <w:rPr>
                <w:rFonts w:ascii="Gill Sans Ultra Bold" w:hAnsi="Gill Sans Ultra Bold"/>
                <w:sz w:val="40"/>
                <w:szCs w:val="40"/>
                <w:rtl/>
              </w:rPr>
              <w:t>√</w:t>
            </w:r>
          </w:p>
        </w:tc>
        <w:tc>
          <w:tcPr>
            <w:tcW w:w="1704" w:type="dxa"/>
            <w:vAlign w:val="center"/>
          </w:tcPr>
          <w:p w:rsidR="002C5FAE" w:rsidRDefault="00E67132" w:rsidP="00E67132">
            <w:pPr>
              <w:jc w:val="center"/>
              <w:rPr>
                <w:rFonts w:hint="cs"/>
                <w:rtl/>
              </w:rPr>
            </w:pPr>
            <w:r w:rsidRPr="00E67132">
              <w:rPr>
                <w:rFonts w:ascii="Gill Sans Ultra Bold" w:hAnsi="Gill Sans Ultra Bold"/>
                <w:sz w:val="40"/>
                <w:szCs w:val="40"/>
                <w:rtl/>
              </w:rPr>
              <w:t>√</w:t>
            </w:r>
          </w:p>
        </w:tc>
        <w:tc>
          <w:tcPr>
            <w:tcW w:w="1705" w:type="dxa"/>
            <w:vAlign w:val="center"/>
          </w:tcPr>
          <w:p w:rsidR="002C5FAE" w:rsidRDefault="00E67132" w:rsidP="00E67132">
            <w:pPr>
              <w:jc w:val="center"/>
              <w:rPr>
                <w:rFonts w:hint="cs"/>
                <w:rtl/>
              </w:rPr>
            </w:pPr>
            <w:r w:rsidRPr="00E67132">
              <w:rPr>
                <w:rFonts w:ascii="Gill Sans Ultra Bold" w:hAnsi="Gill Sans Ultra Bold"/>
                <w:sz w:val="40"/>
                <w:szCs w:val="40"/>
                <w:rtl/>
              </w:rPr>
              <w:t>√</w:t>
            </w:r>
          </w:p>
        </w:tc>
        <w:tc>
          <w:tcPr>
            <w:tcW w:w="1705" w:type="dxa"/>
            <w:vAlign w:val="center"/>
          </w:tcPr>
          <w:p w:rsidR="00E67132" w:rsidRDefault="00E67132" w:rsidP="00E67132">
            <w:pPr>
              <w:jc w:val="center"/>
              <w:rPr>
                <w:rFonts w:ascii="Gill Sans Ultra Bold" w:hAnsi="Gill Sans Ultra Bold" w:hint="cs"/>
                <w:sz w:val="40"/>
                <w:szCs w:val="40"/>
                <w:rtl/>
              </w:rPr>
            </w:pPr>
          </w:p>
          <w:p w:rsidR="002C5FAE" w:rsidRDefault="00E67132" w:rsidP="00E67132">
            <w:pPr>
              <w:jc w:val="center"/>
              <w:rPr>
                <w:rFonts w:hint="cs"/>
                <w:rtl/>
              </w:rPr>
            </w:pPr>
            <w:r w:rsidRPr="00E67132">
              <w:rPr>
                <w:rFonts w:ascii="Gill Sans Ultra Bold" w:hAnsi="Gill Sans Ultra Bold"/>
                <w:sz w:val="40"/>
                <w:szCs w:val="40"/>
                <w:rtl/>
              </w:rPr>
              <w:t>√</w:t>
            </w:r>
          </w:p>
          <w:p w:rsidR="00E67132" w:rsidRDefault="00E67132" w:rsidP="00E67132">
            <w:pPr>
              <w:jc w:val="center"/>
              <w:rPr>
                <w:rFonts w:hint="cs"/>
                <w:rtl/>
              </w:rPr>
            </w:pPr>
          </w:p>
          <w:p w:rsidR="00E67132" w:rsidRDefault="00E67132" w:rsidP="00E67132">
            <w:pPr>
              <w:jc w:val="center"/>
              <w:rPr>
                <w:rFonts w:hint="cs"/>
                <w:rtl/>
              </w:rPr>
            </w:pPr>
          </w:p>
        </w:tc>
      </w:tr>
      <w:tr w:rsidR="00E67132" w:rsidTr="00377E51">
        <w:trPr>
          <w:trHeight w:val="227"/>
        </w:trPr>
        <w:tc>
          <w:tcPr>
            <w:tcW w:w="1704" w:type="dxa"/>
            <w:vAlign w:val="center"/>
          </w:tcPr>
          <w:p w:rsidR="00E67132" w:rsidRDefault="00E67132" w:rsidP="00E67132">
            <w:pPr>
              <w:jc w:val="center"/>
              <w:rPr>
                <w:rFonts w:hint="cs"/>
                <w:rtl/>
              </w:rPr>
            </w:pPr>
            <w:r>
              <w:rPr>
                <w:rFonts w:hint="cs"/>
                <w:rtl/>
              </w:rPr>
              <w:t>זוב ושכבת זרע של זב בעל ראייה אחת (שומר יום כנגד יום</w:t>
            </w:r>
            <w:r w:rsidR="00280683">
              <w:rPr>
                <w:rFonts w:hint="cs"/>
                <w:rtl/>
              </w:rPr>
              <w:t xml:space="preserve"> </w:t>
            </w:r>
            <w:r w:rsidR="00280683">
              <w:rPr>
                <w:rtl/>
              </w:rPr>
              <w:t>–</w:t>
            </w:r>
            <w:r w:rsidR="00280683">
              <w:rPr>
                <w:rFonts w:hint="cs"/>
                <w:rtl/>
              </w:rPr>
              <w:t xml:space="preserve"> </w:t>
            </w:r>
            <w:proofErr w:type="spellStart"/>
            <w:r w:rsidR="00280683">
              <w:rPr>
                <w:rFonts w:hint="cs"/>
                <w:rtl/>
              </w:rPr>
              <w:t>דאיתקש</w:t>
            </w:r>
            <w:proofErr w:type="spellEnd"/>
            <w:r w:rsidR="00280683">
              <w:rPr>
                <w:rFonts w:hint="cs"/>
                <w:rtl/>
              </w:rPr>
              <w:t xml:space="preserve"> לשכבת זרע</w:t>
            </w:r>
            <w:r>
              <w:rPr>
                <w:rFonts w:hint="cs"/>
                <w:rtl/>
              </w:rPr>
              <w:t>)</w:t>
            </w:r>
          </w:p>
        </w:tc>
        <w:tc>
          <w:tcPr>
            <w:tcW w:w="1704" w:type="dxa"/>
            <w:vAlign w:val="center"/>
          </w:tcPr>
          <w:p w:rsidR="00E67132" w:rsidRDefault="00E67132" w:rsidP="00E67132">
            <w:pPr>
              <w:jc w:val="center"/>
              <w:rPr>
                <w:rFonts w:hint="cs"/>
                <w:rtl/>
              </w:rPr>
            </w:pPr>
            <w:r w:rsidRPr="00E67132">
              <w:rPr>
                <w:rFonts w:ascii="Gill Sans Ultra Bold" w:hAnsi="Gill Sans Ultra Bold"/>
                <w:sz w:val="40"/>
                <w:szCs w:val="40"/>
                <w:rtl/>
              </w:rPr>
              <w:t>√</w:t>
            </w:r>
          </w:p>
        </w:tc>
        <w:tc>
          <w:tcPr>
            <w:tcW w:w="1704" w:type="dxa"/>
            <w:vAlign w:val="center"/>
          </w:tcPr>
          <w:p w:rsidR="00E67132" w:rsidRPr="00E67132" w:rsidRDefault="00E67132" w:rsidP="00E67132">
            <w:pPr>
              <w:jc w:val="center"/>
              <w:rPr>
                <w:sz w:val="44"/>
                <w:szCs w:val="44"/>
                <w:rtl/>
              </w:rPr>
            </w:pPr>
            <w:r w:rsidRPr="00E67132">
              <w:rPr>
                <w:sz w:val="44"/>
                <w:szCs w:val="44"/>
              </w:rPr>
              <w:t>X</w:t>
            </w:r>
          </w:p>
        </w:tc>
        <w:tc>
          <w:tcPr>
            <w:tcW w:w="1705" w:type="dxa"/>
            <w:vAlign w:val="center"/>
          </w:tcPr>
          <w:p w:rsidR="00E67132" w:rsidRDefault="00E67132" w:rsidP="00E67132">
            <w:pPr>
              <w:jc w:val="center"/>
              <w:rPr>
                <w:rFonts w:hint="cs"/>
                <w:rtl/>
              </w:rPr>
            </w:pPr>
            <w:r w:rsidRPr="00E67132">
              <w:rPr>
                <w:rFonts w:ascii="Gill Sans Ultra Bold" w:hAnsi="Gill Sans Ultra Bold"/>
                <w:sz w:val="40"/>
                <w:szCs w:val="40"/>
                <w:rtl/>
              </w:rPr>
              <w:t>√</w:t>
            </w:r>
          </w:p>
        </w:tc>
        <w:tc>
          <w:tcPr>
            <w:tcW w:w="1705" w:type="dxa"/>
            <w:vAlign w:val="center"/>
          </w:tcPr>
          <w:p w:rsidR="00E67132" w:rsidRPr="00E67132" w:rsidRDefault="00E67132" w:rsidP="00E67132">
            <w:pPr>
              <w:jc w:val="center"/>
              <w:rPr>
                <w:sz w:val="44"/>
                <w:szCs w:val="44"/>
                <w:rtl/>
              </w:rPr>
            </w:pPr>
            <w:r w:rsidRPr="00E67132">
              <w:rPr>
                <w:sz w:val="44"/>
                <w:szCs w:val="44"/>
              </w:rPr>
              <w:t>X</w:t>
            </w:r>
          </w:p>
        </w:tc>
      </w:tr>
      <w:tr w:rsidR="00E67132" w:rsidTr="00377E51">
        <w:trPr>
          <w:trHeight w:val="227"/>
        </w:trPr>
        <w:tc>
          <w:tcPr>
            <w:tcW w:w="1704" w:type="dxa"/>
            <w:vAlign w:val="center"/>
          </w:tcPr>
          <w:p w:rsidR="00E67132" w:rsidRDefault="00E67132" w:rsidP="00E67132">
            <w:pPr>
              <w:jc w:val="center"/>
              <w:rPr>
                <w:rFonts w:hint="cs"/>
                <w:rtl/>
              </w:rPr>
            </w:pPr>
            <w:r>
              <w:rPr>
                <w:rFonts w:hint="cs"/>
                <w:rtl/>
              </w:rPr>
              <w:t>זוב ושכבת זרע של זב בעל שתי ראיות (זב מלא ללא קרבן)</w:t>
            </w:r>
          </w:p>
        </w:tc>
        <w:tc>
          <w:tcPr>
            <w:tcW w:w="1704" w:type="dxa"/>
            <w:vAlign w:val="center"/>
          </w:tcPr>
          <w:p w:rsidR="00E67132" w:rsidRDefault="00E67132" w:rsidP="00E67132">
            <w:pPr>
              <w:jc w:val="center"/>
              <w:rPr>
                <w:rFonts w:hint="cs"/>
                <w:rtl/>
              </w:rPr>
            </w:pPr>
            <w:r w:rsidRPr="00E67132">
              <w:rPr>
                <w:rFonts w:ascii="Gill Sans Ultra Bold" w:hAnsi="Gill Sans Ultra Bold"/>
                <w:sz w:val="40"/>
                <w:szCs w:val="40"/>
                <w:rtl/>
              </w:rPr>
              <w:t>√</w:t>
            </w:r>
          </w:p>
        </w:tc>
        <w:tc>
          <w:tcPr>
            <w:tcW w:w="1704" w:type="dxa"/>
            <w:vAlign w:val="center"/>
          </w:tcPr>
          <w:p w:rsidR="00E67132" w:rsidRPr="00E67132" w:rsidRDefault="00E67132" w:rsidP="00E67132">
            <w:pPr>
              <w:jc w:val="center"/>
              <w:rPr>
                <w:sz w:val="44"/>
                <w:szCs w:val="44"/>
                <w:rtl/>
              </w:rPr>
            </w:pPr>
            <w:r w:rsidRPr="00E67132">
              <w:rPr>
                <w:sz w:val="44"/>
                <w:szCs w:val="44"/>
              </w:rPr>
              <w:t>X</w:t>
            </w:r>
          </w:p>
        </w:tc>
        <w:tc>
          <w:tcPr>
            <w:tcW w:w="1705" w:type="dxa"/>
            <w:vAlign w:val="center"/>
          </w:tcPr>
          <w:p w:rsidR="00E67132" w:rsidRDefault="00E67132" w:rsidP="00E67132">
            <w:pPr>
              <w:jc w:val="center"/>
              <w:rPr>
                <w:rFonts w:hint="cs"/>
                <w:rtl/>
              </w:rPr>
            </w:pPr>
            <w:r w:rsidRPr="00E67132">
              <w:rPr>
                <w:rFonts w:ascii="Gill Sans Ultra Bold" w:hAnsi="Gill Sans Ultra Bold"/>
                <w:sz w:val="40"/>
                <w:szCs w:val="40"/>
                <w:rtl/>
              </w:rPr>
              <w:t>√</w:t>
            </w:r>
          </w:p>
        </w:tc>
        <w:tc>
          <w:tcPr>
            <w:tcW w:w="1705" w:type="dxa"/>
            <w:vAlign w:val="center"/>
          </w:tcPr>
          <w:p w:rsidR="00E67132" w:rsidRDefault="00E67132" w:rsidP="00E67132">
            <w:pPr>
              <w:jc w:val="center"/>
              <w:rPr>
                <w:rFonts w:hint="cs"/>
                <w:rtl/>
              </w:rPr>
            </w:pPr>
            <w:r w:rsidRPr="00E67132">
              <w:rPr>
                <w:rFonts w:ascii="Gill Sans Ultra Bold" w:hAnsi="Gill Sans Ultra Bold"/>
                <w:sz w:val="40"/>
                <w:szCs w:val="40"/>
                <w:rtl/>
              </w:rPr>
              <w:t>√</w:t>
            </w:r>
          </w:p>
        </w:tc>
      </w:tr>
      <w:tr w:rsidR="00E67132" w:rsidTr="00377E51">
        <w:trPr>
          <w:trHeight w:val="227"/>
        </w:trPr>
        <w:tc>
          <w:tcPr>
            <w:tcW w:w="1704" w:type="dxa"/>
            <w:vAlign w:val="center"/>
          </w:tcPr>
          <w:p w:rsidR="00E67132" w:rsidRDefault="00E67132" w:rsidP="00E67132">
            <w:pPr>
              <w:jc w:val="center"/>
              <w:rPr>
                <w:rFonts w:hint="cs"/>
                <w:rtl/>
              </w:rPr>
            </w:pPr>
            <w:r>
              <w:rPr>
                <w:rFonts w:hint="cs"/>
                <w:rtl/>
              </w:rPr>
              <w:t>מעיינות (רוק, מי רגליים ועוד)</w:t>
            </w:r>
          </w:p>
          <w:p w:rsidR="00E67132" w:rsidRDefault="00462727" w:rsidP="00E67132">
            <w:pPr>
              <w:jc w:val="center"/>
              <w:rPr>
                <w:rFonts w:hint="cs"/>
                <w:rtl/>
              </w:rPr>
            </w:pPr>
            <w:r>
              <w:rPr>
                <w:rFonts w:hint="cs"/>
                <w:rtl/>
              </w:rPr>
              <w:t xml:space="preserve"> של זב, זבה, יולדת, נדה, מצורע/ת</w:t>
            </w:r>
          </w:p>
        </w:tc>
        <w:tc>
          <w:tcPr>
            <w:tcW w:w="1704" w:type="dxa"/>
            <w:vAlign w:val="center"/>
          </w:tcPr>
          <w:p w:rsidR="00E67132" w:rsidRDefault="00E67132" w:rsidP="00E67132">
            <w:pPr>
              <w:jc w:val="center"/>
              <w:rPr>
                <w:rFonts w:hint="cs"/>
                <w:rtl/>
              </w:rPr>
            </w:pPr>
            <w:r w:rsidRPr="00E67132">
              <w:rPr>
                <w:rFonts w:ascii="Gill Sans Ultra Bold" w:hAnsi="Gill Sans Ultra Bold"/>
                <w:sz w:val="40"/>
                <w:szCs w:val="40"/>
                <w:rtl/>
              </w:rPr>
              <w:t>√</w:t>
            </w:r>
          </w:p>
        </w:tc>
        <w:tc>
          <w:tcPr>
            <w:tcW w:w="1704" w:type="dxa"/>
            <w:vAlign w:val="center"/>
          </w:tcPr>
          <w:p w:rsidR="00E67132" w:rsidRPr="00E67132" w:rsidRDefault="00E67132" w:rsidP="00E67132">
            <w:pPr>
              <w:jc w:val="center"/>
              <w:rPr>
                <w:sz w:val="44"/>
                <w:szCs w:val="44"/>
                <w:rtl/>
              </w:rPr>
            </w:pPr>
            <w:r w:rsidRPr="00E67132">
              <w:rPr>
                <w:sz w:val="44"/>
                <w:szCs w:val="44"/>
              </w:rPr>
              <w:t>X</w:t>
            </w:r>
          </w:p>
        </w:tc>
        <w:tc>
          <w:tcPr>
            <w:tcW w:w="1705" w:type="dxa"/>
            <w:vAlign w:val="center"/>
          </w:tcPr>
          <w:p w:rsidR="00E67132" w:rsidRDefault="00E67132" w:rsidP="00E67132">
            <w:pPr>
              <w:jc w:val="center"/>
              <w:rPr>
                <w:rFonts w:hint="cs"/>
                <w:rtl/>
              </w:rPr>
            </w:pPr>
            <w:r w:rsidRPr="00E67132">
              <w:rPr>
                <w:rFonts w:ascii="Gill Sans Ultra Bold" w:hAnsi="Gill Sans Ultra Bold"/>
                <w:sz w:val="40"/>
                <w:szCs w:val="40"/>
                <w:rtl/>
              </w:rPr>
              <w:t>√</w:t>
            </w:r>
          </w:p>
        </w:tc>
        <w:tc>
          <w:tcPr>
            <w:tcW w:w="1705" w:type="dxa"/>
            <w:vAlign w:val="center"/>
          </w:tcPr>
          <w:p w:rsidR="00E67132" w:rsidRDefault="00E67132" w:rsidP="00E67132">
            <w:pPr>
              <w:jc w:val="center"/>
              <w:rPr>
                <w:rFonts w:hint="cs"/>
                <w:rtl/>
              </w:rPr>
            </w:pPr>
            <w:r w:rsidRPr="00E67132">
              <w:rPr>
                <w:rFonts w:ascii="Gill Sans Ultra Bold" w:hAnsi="Gill Sans Ultra Bold"/>
                <w:sz w:val="40"/>
                <w:szCs w:val="40"/>
                <w:rtl/>
              </w:rPr>
              <w:t>√</w:t>
            </w:r>
          </w:p>
        </w:tc>
      </w:tr>
    </w:tbl>
    <w:tbl>
      <w:tblPr>
        <w:tblStyle w:val="a3"/>
        <w:tblpPr w:leftFromText="180" w:rightFromText="180" w:vertAnchor="text" w:horzAnchor="margin" w:tblpXSpec="right" w:tblpY="280"/>
        <w:bidiVisual/>
        <w:tblW w:w="0" w:type="auto"/>
        <w:tblLook w:val="04A0" w:firstRow="1" w:lastRow="0" w:firstColumn="1" w:lastColumn="0" w:noHBand="0" w:noVBand="1"/>
      </w:tblPr>
      <w:tblGrid>
        <w:gridCol w:w="1043"/>
        <w:gridCol w:w="1134"/>
        <w:gridCol w:w="2551"/>
        <w:gridCol w:w="1418"/>
        <w:gridCol w:w="2410"/>
      </w:tblGrid>
      <w:tr w:rsidR="00377E51" w:rsidTr="00377E51">
        <w:tc>
          <w:tcPr>
            <w:tcW w:w="1043" w:type="dxa"/>
          </w:tcPr>
          <w:p w:rsidR="00377E51" w:rsidRDefault="00377E51" w:rsidP="00377E51">
            <w:pPr>
              <w:rPr>
                <w:rFonts w:hint="cs"/>
                <w:rtl/>
              </w:rPr>
            </w:pPr>
          </w:p>
        </w:tc>
        <w:tc>
          <w:tcPr>
            <w:tcW w:w="1134" w:type="dxa"/>
          </w:tcPr>
          <w:p w:rsidR="00377E51" w:rsidRDefault="00377E51" w:rsidP="00377E51">
            <w:pPr>
              <w:rPr>
                <w:rFonts w:hint="cs"/>
                <w:rtl/>
              </w:rPr>
            </w:pPr>
            <w:r>
              <w:rPr>
                <w:rFonts w:hint="cs"/>
                <w:rtl/>
              </w:rPr>
              <w:t>ב"ש</w:t>
            </w:r>
          </w:p>
        </w:tc>
        <w:tc>
          <w:tcPr>
            <w:tcW w:w="2551" w:type="dxa"/>
          </w:tcPr>
          <w:p w:rsidR="00377E51" w:rsidRDefault="00377E51" w:rsidP="00377E51">
            <w:pPr>
              <w:rPr>
                <w:rFonts w:hint="cs"/>
                <w:rtl/>
              </w:rPr>
            </w:pPr>
            <w:r>
              <w:rPr>
                <w:rFonts w:hint="cs"/>
                <w:rtl/>
              </w:rPr>
              <w:t>הסבר ב"ש</w:t>
            </w:r>
          </w:p>
        </w:tc>
        <w:tc>
          <w:tcPr>
            <w:tcW w:w="1418" w:type="dxa"/>
          </w:tcPr>
          <w:p w:rsidR="00377E51" w:rsidRDefault="00377E51" w:rsidP="00377E51">
            <w:pPr>
              <w:rPr>
                <w:rFonts w:hint="cs"/>
                <w:rtl/>
              </w:rPr>
            </w:pPr>
            <w:r>
              <w:rPr>
                <w:rFonts w:hint="cs"/>
                <w:rtl/>
              </w:rPr>
              <w:t>ב"ה</w:t>
            </w:r>
          </w:p>
        </w:tc>
        <w:tc>
          <w:tcPr>
            <w:tcW w:w="2410" w:type="dxa"/>
          </w:tcPr>
          <w:p w:rsidR="00377E51" w:rsidRDefault="00377E51" w:rsidP="00377E51">
            <w:pPr>
              <w:rPr>
                <w:rFonts w:hint="cs"/>
                <w:rtl/>
              </w:rPr>
            </w:pPr>
            <w:r>
              <w:rPr>
                <w:rFonts w:hint="cs"/>
                <w:rtl/>
              </w:rPr>
              <w:t>הסבר ב"ה</w:t>
            </w:r>
          </w:p>
        </w:tc>
      </w:tr>
      <w:tr w:rsidR="00377E51" w:rsidTr="00377E51">
        <w:tc>
          <w:tcPr>
            <w:tcW w:w="1043" w:type="dxa"/>
          </w:tcPr>
          <w:p w:rsidR="00377E51" w:rsidRDefault="00377E51" w:rsidP="00377E51">
            <w:pPr>
              <w:rPr>
                <w:rFonts w:hint="cs"/>
                <w:rtl/>
              </w:rPr>
            </w:pPr>
            <w:r>
              <w:rPr>
                <w:rFonts w:hint="cs"/>
                <w:rtl/>
              </w:rPr>
              <w:t>דם גויה</w:t>
            </w:r>
          </w:p>
        </w:tc>
        <w:tc>
          <w:tcPr>
            <w:tcW w:w="1134" w:type="dxa"/>
          </w:tcPr>
          <w:p w:rsidR="00377E51" w:rsidRDefault="00377E51" w:rsidP="00377E51">
            <w:pPr>
              <w:rPr>
                <w:rFonts w:hint="cs"/>
                <w:rtl/>
              </w:rPr>
            </w:pPr>
            <w:r>
              <w:rPr>
                <w:rFonts w:hint="cs"/>
                <w:rtl/>
              </w:rPr>
              <w:t>הדם טהור</w:t>
            </w:r>
          </w:p>
          <w:p w:rsidR="00377E51" w:rsidRDefault="00377E51" w:rsidP="00377E51">
            <w:pPr>
              <w:rPr>
                <w:rFonts w:hint="cs"/>
                <w:rtl/>
              </w:rPr>
            </w:pPr>
          </w:p>
        </w:tc>
        <w:tc>
          <w:tcPr>
            <w:tcW w:w="2551" w:type="dxa"/>
          </w:tcPr>
          <w:p w:rsidR="00377E51" w:rsidRDefault="00377E51" w:rsidP="00377E51">
            <w:pPr>
              <w:rPr>
                <w:rFonts w:hint="cs"/>
                <w:rtl/>
              </w:rPr>
            </w:pPr>
            <w:r>
              <w:rPr>
                <w:rFonts w:hint="cs"/>
                <w:rtl/>
              </w:rPr>
              <w:t>חכמים גזרו על גויה להיות זבה אבל רק לגבי מעיינותיה. לגבי דמה לא גזרו כדי שיהיה היכר שזה טומאה מדרבנן וטמא מספק</w:t>
            </w:r>
          </w:p>
        </w:tc>
        <w:tc>
          <w:tcPr>
            <w:tcW w:w="1418" w:type="dxa"/>
          </w:tcPr>
          <w:p w:rsidR="00377E51" w:rsidRDefault="00377E51" w:rsidP="00377E51">
            <w:pPr>
              <w:rPr>
                <w:rFonts w:hint="cs"/>
                <w:rtl/>
              </w:rPr>
            </w:pPr>
            <w:r>
              <w:rPr>
                <w:rFonts w:hint="cs"/>
                <w:rtl/>
              </w:rPr>
              <w:t>הדם כדין מעיין</w:t>
            </w:r>
          </w:p>
        </w:tc>
        <w:tc>
          <w:tcPr>
            <w:tcW w:w="2410" w:type="dxa"/>
          </w:tcPr>
          <w:p w:rsidR="00377E51" w:rsidRDefault="00377E51" w:rsidP="00377E51">
            <w:pPr>
              <w:rPr>
                <w:rFonts w:hint="cs"/>
                <w:rtl/>
              </w:rPr>
            </w:pPr>
            <w:r>
              <w:rPr>
                <w:rFonts w:hint="cs"/>
                <w:rtl/>
              </w:rPr>
              <w:t xml:space="preserve">חכמים גזרו גם על דמה של גויה להיות כזבה. ההיכר לדעת שזה מדרבנן ומספק הוא בכך שאינו מטמא ביבש. </w:t>
            </w:r>
          </w:p>
        </w:tc>
      </w:tr>
      <w:tr w:rsidR="00377E51" w:rsidTr="00377E51">
        <w:tc>
          <w:tcPr>
            <w:tcW w:w="1043" w:type="dxa"/>
          </w:tcPr>
          <w:p w:rsidR="00377E51" w:rsidRDefault="00377E51" w:rsidP="00377E51">
            <w:pPr>
              <w:rPr>
                <w:rFonts w:hint="cs"/>
                <w:rtl/>
              </w:rPr>
            </w:pPr>
            <w:r>
              <w:rPr>
                <w:rFonts w:hint="cs"/>
                <w:rtl/>
              </w:rPr>
              <w:t>דם טוהר של מצורעת</w:t>
            </w:r>
          </w:p>
        </w:tc>
        <w:tc>
          <w:tcPr>
            <w:tcW w:w="1134" w:type="dxa"/>
          </w:tcPr>
          <w:p w:rsidR="00377E51" w:rsidRDefault="00377E51" w:rsidP="00377E51">
            <w:pPr>
              <w:rPr>
                <w:rFonts w:hint="cs"/>
                <w:rtl/>
              </w:rPr>
            </w:pPr>
            <w:r>
              <w:rPr>
                <w:rFonts w:hint="cs"/>
                <w:rtl/>
              </w:rPr>
              <w:t>טהור</w:t>
            </w:r>
          </w:p>
        </w:tc>
        <w:tc>
          <w:tcPr>
            <w:tcW w:w="2551" w:type="dxa"/>
          </w:tcPr>
          <w:p w:rsidR="00377E51" w:rsidRDefault="00377E51" w:rsidP="00377E51">
            <w:pPr>
              <w:rPr>
                <w:rFonts w:hint="cs"/>
                <w:rtl/>
              </w:rPr>
            </w:pPr>
            <w:r>
              <w:rPr>
                <w:rFonts w:hint="cs"/>
                <w:rtl/>
              </w:rPr>
              <w:t>כי אינו מוגדר כ "מעיין" (לא מתעגל = מתאסף ויוצא)</w:t>
            </w:r>
          </w:p>
        </w:tc>
        <w:tc>
          <w:tcPr>
            <w:tcW w:w="1418" w:type="dxa"/>
          </w:tcPr>
          <w:p w:rsidR="00377E51" w:rsidRDefault="00377E51" w:rsidP="00377E51">
            <w:pPr>
              <w:rPr>
                <w:rFonts w:hint="cs"/>
                <w:rtl/>
              </w:rPr>
            </w:pPr>
            <w:r>
              <w:rPr>
                <w:rFonts w:hint="cs"/>
                <w:rtl/>
              </w:rPr>
              <w:t>כדין מעיין</w:t>
            </w:r>
          </w:p>
        </w:tc>
        <w:tc>
          <w:tcPr>
            <w:tcW w:w="2410" w:type="dxa"/>
          </w:tcPr>
          <w:p w:rsidR="00377E51" w:rsidRDefault="00377E51" w:rsidP="00377E51">
            <w:pPr>
              <w:rPr>
                <w:rFonts w:hint="cs"/>
                <w:rtl/>
              </w:rPr>
            </w:pPr>
            <w:r>
              <w:rPr>
                <w:rFonts w:hint="cs"/>
                <w:rtl/>
              </w:rPr>
              <w:t>יש לימוד מיוחד מפסוק לטמא אף שאינו מוגדר כ "מעיין" (ייתור אחת המילים "לזכר" "ולנקבה")</w:t>
            </w:r>
          </w:p>
        </w:tc>
      </w:tr>
      <w:tr w:rsidR="00377E51" w:rsidTr="00377E51">
        <w:tc>
          <w:tcPr>
            <w:tcW w:w="1043" w:type="dxa"/>
          </w:tcPr>
          <w:p w:rsidR="00377E51" w:rsidRDefault="00377E51" w:rsidP="00377E51">
            <w:pPr>
              <w:rPr>
                <w:rFonts w:hint="cs"/>
                <w:rtl/>
              </w:rPr>
            </w:pPr>
            <w:r>
              <w:rPr>
                <w:rFonts w:hint="cs"/>
                <w:rtl/>
              </w:rPr>
              <w:t>דם יולדת שלא טבלה</w:t>
            </w:r>
          </w:p>
        </w:tc>
        <w:tc>
          <w:tcPr>
            <w:tcW w:w="1134" w:type="dxa"/>
          </w:tcPr>
          <w:p w:rsidR="00377E51" w:rsidRDefault="00377E51" w:rsidP="00377E51">
            <w:pPr>
              <w:rPr>
                <w:rFonts w:hint="cs"/>
                <w:rtl/>
              </w:rPr>
            </w:pPr>
            <w:r>
              <w:rPr>
                <w:rFonts w:hint="cs"/>
                <w:rtl/>
              </w:rPr>
              <w:t>כדין מעיין</w:t>
            </w:r>
          </w:p>
        </w:tc>
        <w:tc>
          <w:tcPr>
            <w:tcW w:w="2551" w:type="dxa"/>
          </w:tcPr>
          <w:p w:rsidR="00377E51" w:rsidRDefault="00377E51" w:rsidP="00377E51">
            <w:pPr>
              <w:rPr>
                <w:rFonts w:hint="cs"/>
                <w:rtl/>
              </w:rPr>
            </w:pPr>
            <w:r>
              <w:rPr>
                <w:rFonts w:hint="cs"/>
                <w:rtl/>
              </w:rPr>
              <w:t>התורה תלתה את הטומאה בימים בלבד. צריכה להיות טהור (כי אינו "מעיין") אבל רבנן גזרו עליה טומאה שלא יבואו לטהר דמה בתוך שבעה. עשו היכר שזה מדרבנן וטמא מספק בכך שאינו מטמא יבש. *</w:t>
            </w:r>
          </w:p>
        </w:tc>
        <w:tc>
          <w:tcPr>
            <w:tcW w:w="1418" w:type="dxa"/>
          </w:tcPr>
          <w:p w:rsidR="00377E51" w:rsidRDefault="00377E51" w:rsidP="00377E51">
            <w:pPr>
              <w:rPr>
                <w:rFonts w:hint="cs"/>
                <w:rtl/>
              </w:rPr>
            </w:pPr>
            <w:r>
              <w:rPr>
                <w:rFonts w:hint="cs"/>
                <w:rtl/>
              </w:rPr>
              <w:t>טמא כדם נדה, יולדת, זבה</w:t>
            </w:r>
          </w:p>
        </w:tc>
        <w:tc>
          <w:tcPr>
            <w:tcW w:w="2410" w:type="dxa"/>
          </w:tcPr>
          <w:p w:rsidR="00377E51" w:rsidRDefault="00377E51" w:rsidP="00377E51">
            <w:pPr>
              <w:rPr>
                <w:rFonts w:hint="cs"/>
                <w:rtl/>
              </w:rPr>
            </w:pPr>
            <w:r>
              <w:rPr>
                <w:rFonts w:hint="cs"/>
                <w:rtl/>
              </w:rPr>
              <w:t>גם ביולדת התורה תלתה את הטומאה בימים ובטבילה כמו בנידה</w:t>
            </w:r>
          </w:p>
        </w:tc>
      </w:tr>
      <w:tr w:rsidR="00377E51" w:rsidTr="00377E51">
        <w:tc>
          <w:tcPr>
            <w:tcW w:w="1043" w:type="dxa"/>
          </w:tcPr>
          <w:p w:rsidR="00377E51" w:rsidRDefault="00377E51" w:rsidP="00377E51">
            <w:pPr>
              <w:rPr>
                <w:rFonts w:hint="cs"/>
                <w:rtl/>
              </w:rPr>
            </w:pPr>
            <w:r>
              <w:rPr>
                <w:rFonts w:hint="cs"/>
                <w:rtl/>
              </w:rPr>
              <w:t>דם יולדת בזוב שלא טבלה</w:t>
            </w:r>
          </w:p>
        </w:tc>
        <w:tc>
          <w:tcPr>
            <w:tcW w:w="1134" w:type="dxa"/>
          </w:tcPr>
          <w:p w:rsidR="00377E51" w:rsidRDefault="00377E51" w:rsidP="00377E51">
            <w:pPr>
              <w:rPr>
                <w:rFonts w:hint="cs"/>
                <w:rtl/>
              </w:rPr>
            </w:pPr>
            <w:r>
              <w:rPr>
                <w:rFonts w:hint="cs"/>
                <w:rtl/>
              </w:rPr>
              <w:t>טמא כדם נדה, יולדת, זבה</w:t>
            </w:r>
          </w:p>
        </w:tc>
        <w:tc>
          <w:tcPr>
            <w:tcW w:w="2551" w:type="dxa"/>
          </w:tcPr>
          <w:p w:rsidR="00377E51" w:rsidRDefault="00377E51" w:rsidP="00377E51">
            <w:pPr>
              <w:rPr>
                <w:rFonts w:hint="cs"/>
                <w:rtl/>
              </w:rPr>
            </w:pPr>
            <w:r>
              <w:rPr>
                <w:rFonts w:hint="cs"/>
                <w:rtl/>
              </w:rPr>
              <w:t xml:space="preserve">כדין כל נדה וזבה שלא טבלו </w:t>
            </w:r>
            <w:r>
              <w:rPr>
                <w:rtl/>
              </w:rPr>
              <w:t>–</w:t>
            </w:r>
            <w:r>
              <w:rPr>
                <w:rFonts w:hint="cs"/>
                <w:rtl/>
              </w:rPr>
              <w:t xml:space="preserve"> התורה תלתה בטבילה</w:t>
            </w:r>
          </w:p>
        </w:tc>
        <w:tc>
          <w:tcPr>
            <w:tcW w:w="1418" w:type="dxa"/>
          </w:tcPr>
          <w:p w:rsidR="00377E51" w:rsidRDefault="00377E51" w:rsidP="00377E51">
            <w:pPr>
              <w:rPr>
                <w:rFonts w:hint="cs"/>
                <w:rtl/>
              </w:rPr>
            </w:pPr>
            <w:r>
              <w:rPr>
                <w:rFonts w:hint="cs"/>
                <w:rtl/>
              </w:rPr>
              <w:t>טמא כדם נדה, יולדת, זבה</w:t>
            </w:r>
          </w:p>
        </w:tc>
        <w:tc>
          <w:tcPr>
            <w:tcW w:w="2410" w:type="dxa"/>
          </w:tcPr>
          <w:p w:rsidR="00377E51" w:rsidRDefault="00377E51" w:rsidP="00377E51">
            <w:pPr>
              <w:rPr>
                <w:rFonts w:hint="cs"/>
                <w:rtl/>
              </w:rPr>
            </w:pPr>
            <w:r>
              <w:rPr>
                <w:rFonts w:hint="cs"/>
                <w:rtl/>
              </w:rPr>
              <w:t xml:space="preserve">כדין כל נדה וזבה שלא טבלו </w:t>
            </w:r>
            <w:r>
              <w:rPr>
                <w:rtl/>
              </w:rPr>
              <w:t>–</w:t>
            </w:r>
            <w:r>
              <w:rPr>
                <w:rFonts w:hint="cs"/>
                <w:rtl/>
              </w:rPr>
              <w:t xml:space="preserve"> התורה תלתה בטבילה</w:t>
            </w:r>
          </w:p>
        </w:tc>
      </w:tr>
      <w:tr w:rsidR="00377E51" w:rsidTr="00377E51">
        <w:tc>
          <w:tcPr>
            <w:tcW w:w="1043" w:type="dxa"/>
          </w:tcPr>
          <w:p w:rsidR="00377E51" w:rsidRDefault="00377E51" w:rsidP="00377E51">
            <w:pPr>
              <w:rPr>
                <w:rFonts w:hint="cs"/>
                <w:rtl/>
              </w:rPr>
            </w:pPr>
            <w:r>
              <w:rPr>
                <w:rFonts w:hint="cs"/>
                <w:rtl/>
              </w:rPr>
              <w:t>רבא</w:t>
            </w:r>
          </w:p>
        </w:tc>
        <w:tc>
          <w:tcPr>
            <w:tcW w:w="1134" w:type="dxa"/>
          </w:tcPr>
          <w:p w:rsidR="00377E51" w:rsidRDefault="00377E51" w:rsidP="00377E51">
            <w:pPr>
              <w:rPr>
                <w:rFonts w:hint="cs"/>
                <w:rtl/>
              </w:rPr>
            </w:pPr>
          </w:p>
        </w:tc>
        <w:tc>
          <w:tcPr>
            <w:tcW w:w="2551" w:type="dxa"/>
          </w:tcPr>
          <w:p w:rsidR="00377E51" w:rsidRDefault="00377E51" w:rsidP="00377E51">
            <w:pPr>
              <w:rPr>
                <w:rFonts w:hint="cs"/>
                <w:rtl/>
              </w:rPr>
            </w:pPr>
          </w:p>
        </w:tc>
        <w:tc>
          <w:tcPr>
            <w:tcW w:w="1418" w:type="dxa"/>
          </w:tcPr>
          <w:p w:rsidR="00377E51" w:rsidRDefault="00377E51" w:rsidP="00377E51">
            <w:pPr>
              <w:rPr>
                <w:rFonts w:hint="cs"/>
                <w:rtl/>
              </w:rPr>
            </w:pPr>
          </w:p>
        </w:tc>
        <w:tc>
          <w:tcPr>
            <w:tcW w:w="2410" w:type="dxa"/>
          </w:tcPr>
          <w:p w:rsidR="00377E51" w:rsidRDefault="00377E51" w:rsidP="00377E51">
            <w:pPr>
              <w:rPr>
                <w:rFonts w:hint="cs"/>
                <w:rtl/>
              </w:rPr>
            </w:pPr>
          </w:p>
        </w:tc>
      </w:tr>
      <w:tr w:rsidR="00377E51" w:rsidTr="00377E51">
        <w:tc>
          <w:tcPr>
            <w:tcW w:w="1043" w:type="dxa"/>
          </w:tcPr>
          <w:p w:rsidR="00377E51" w:rsidRDefault="00377E51" w:rsidP="00377E51">
            <w:pPr>
              <w:rPr>
                <w:rFonts w:hint="cs"/>
                <w:rtl/>
              </w:rPr>
            </w:pPr>
            <w:r>
              <w:rPr>
                <w:rFonts w:hint="cs"/>
                <w:rtl/>
              </w:rPr>
              <w:t>זוב גוי</w:t>
            </w:r>
          </w:p>
        </w:tc>
        <w:tc>
          <w:tcPr>
            <w:tcW w:w="1134" w:type="dxa"/>
          </w:tcPr>
          <w:p w:rsidR="00377E51" w:rsidRDefault="00377E51" w:rsidP="00377E51">
            <w:pPr>
              <w:rPr>
                <w:rFonts w:hint="cs"/>
                <w:rtl/>
              </w:rPr>
            </w:pPr>
            <w:r>
              <w:rPr>
                <w:rFonts w:hint="cs"/>
                <w:rtl/>
              </w:rPr>
              <w:t>הזוב טמא (אע"פ שדם זוב גויה טהור)</w:t>
            </w:r>
          </w:p>
        </w:tc>
        <w:tc>
          <w:tcPr>
            <w:tcW w:w="2551" w:type="dxa"/>
          </w:tcPr>
          <w:p w:rsidR="00377E51" w:rsidRDefault="00377E51" w:rsidP="00377E51">
            <w:pPr>
              <w:rPr>
                <w:rFonts w:hint="cs"/>
                <w:rtl/>
              </w:rPr>
            </w:pPr>
            <w:r>
              <w:rPr>
                <w:rFonts w:hint="cs"/>
                <w:rtl/>
              </w:rPr>
              <w:t xml:space="preserve">כי יש היכר שזו טומאה מדרבנן על ידי שמטמאים את </w:t>
            </w:r>
            <w:proofErr w:type="spellStart"/>
            <w:r>
              <w:rPr>
                <w:rFonts w:hint="cs"/>
                <w:rtl/>
              </w:rPr>
              <w:t>קריו</w:t>
            </w:r>
            <w:proofErr w:type="spellEnd"/>
          </w:p>
        </w:tc>
        <w:tc>
          <w:tcPr>
            <w:tcW w:w="1418" w:type="dxa"/>
          </w:tcPr>
          <w:p w:rsidR="00377E51" w:rsidRDefault="00377E51" w:rsidP="00377E51">
            <w:pPr>
              <w:rPr>
                <w:rFonts w:hint="cs"/>
                <w:rtl/>
              </w:rPr>
            </w:pPr>
            <w:r>
              <w:rPr>
                <w:rFonts w:hint="cs"/>
                <w:rtl/>
              </w:rPr>
              <w:t>הזוב טמא</w:t>
            </w:r>
          </w:p>
        </w:tc>
        <w:tc>
          <w:tcPr>
            <w:tcW w:w="2410" w:type="dxa"/>
          </w:tcPr>
          <w:p w:rsidR="00377E51" w:rsidRDefault="00377E51" w:rsidP="00377E51">
            <w:pPr>
              <w:rPr>
                <w:rFonts w:hint="cs"/>
                <w:rtl/>
              </w:rPr>
            </w:pPr>
          </w:p>
        </w:tc>
      </w:tr>
      <w:tr w:rsidR="00377E51" w:rsidTr="00377E51">
        <w:tc>
          <w:tcPr>
            <w:tcW w:w="1043" w:type="dxa"/>
          </w:tcPr>
          <w:p w:rsidR="00377E51" w:rsidRDefault="00377E51" w:rsidP="00377E51">
            <w:pPr>
              <w:rPr>
                <w:rFonts w:hint="cs"/>
                <w:rtl/>
              </w:rPr>
            </w:pPr>
            <w:r>
              <w:rPr>
                <w:rFonts w:hint="cs"/>
                <w:rtl/>
              </w:rPr>
              <w:t>קרי גוי</w:t>
            </w:r>
          </w:p>
        </w:tc>
        <w:tc>
          <w:tcPr>
            <w:tcW w:w="1134" w:type="dxa"/>
          </w:tcPr>
          <w:p w:rsidR="00377E51" w:rsidRDefault="00377E51" w:rsidP="00377E51">
            <w:pPr>
              <w:rPr>
                <w:rFonts w:hint="cs"/>
                <w:rtl/>
              </w:rPr>
            </w:pPr>
            <w:r>
              <w:rPr>
                <w:rFonts w:hint="cs"/>
                <w:rtl/>
              </w:rPr>
              <w:t>הקרי טהור</w:t>
            </w:r>
          </w:p>
        </w:tc>
        <w:tc>
          <w:tcPr>
            <w:tcW w:w="2551" w:type="dxa"/>
          </w:tcPr>
          <w:p w:rsidR="00377E51" w:rsidRDefault="00377E51" w:rsidP="00377E51">
            <w:pPr>
              <w:rPr>
                <w:rFonts w:hint="cs"/>
                <w:rtl/>
              </w:rPr>
            </w:pPr>
          </w:p>
        </w:tc>
        <w:tc>
          <w:tcPr>
            <w:tcW w:w="1418" w:type="dxa"/>
          </w:tcPr>
          <w:p w:rsidR="00377E51" w:rsidRDefault="00377E51" w:rsidP="00377E51">
            <w:pPr>
              <w:rPr>
                <w:rFonts w:hint="cs"/>
                <w:rtl/>
              </w:rPr>
            </w:pPr>
            <w:r>
              <w:rPr>
                <w:rFonts w:hint="cs"/>
                <w:rtl/>
              </w:rPr>
              <w:t>הקרי טהור (אע"פ שמחמירים בדם זוב גויה)</w:t>
            </w:r>
          </w:p>
        </w:tc>
        <w:tc>
          <w:tcPr>
            <w:tcW w:w="2410" w:type="dxa"/>
          </w:tcPr>
          <w:p w:rsidR="00377E51" w:rsidRDefault="00377E51" w:rsidP="00377E51">
            <w:pPr>
              <w:rPr>
                <w:rFonts w:hint="cs"/>
                <w:rtl/>
              </w:rPr>
            </w:pPr>
            <w:r>
              <w:rPr>
                <w:rFonts w:hint="cs"/>
                <w:rtl/>
              </w:rPr>
              <w:t>כדי שיהיה היכר שזו טומאה מדרבנן ומספק. (את ההיכר עשו בקרי כי זה תלוי במעשה).</w:t>
            </w:r>
          </w:p>
        </w:tc>
      </w:tr>
    </w:tbl>
    <w:p w:rsidR="002C5FAE" w:rsidRDefault="002C5FAE">
      <w:pPr>
        <w:rPr>
          <w:rFonts w:hint="cs"/>
          <w:rtl/>
        </w:rPr>
      </w:pPr>
    </w:p>
    <w:p w:rsidR="00392627" w:rsidRDefault="00392627" w:rsidP="003E1668">
      <w:pPr>
        <w:rPr>
          <w:rFonts w:hint="cs"/>
          <w:rtl/>
        </w:rPr>
      </w:pPr>
    </w:p>
    <w:p w:rsidR="003E1668" w:rsidRDefault="003E1668" w:rsidP="003E1668">
      <w:pPr>
        <w:rPr>
          <w:rFonts w:hint="cs"/>
        </w:rPr>
      </w:pPr>
      <w:r>
        <w:rPr>
          <w:rFonts w:hint="cs"/>
          <w:rtl/>
        </w:rPr>
        <w:t>* יש חילוק בין ההיכר אצל גויה לחילוק אצל יולדת כי בגויה יש חשש שאם יאמרו שמטמא לח ולא יבש, יבואו לחלק גם בדין דם נדה יהודייה שטמא מן התורה בין לח ויבש ואילו ביולדת כולם יודעים שזה דם טוהר ולא יבואו להתבלבל.</w:t>
      </w:r>
    </w:p>
    <w:sectPr w:rsidR="003E1668" w:rsidSect="0073185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C760E"/>
    <w:multiLevelType w:val="hybridMultilevel"/>
    <w:tmpl w:val="7E5E5626"/>
    <w:lvl w:ilvl="0" w:tplc="7C566F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FAE"/>
    <w:rsid w:val="00082E90"/>
    <w:rsid w:val="00111DE0"/>
    <w:rsid w:val="00280683"/>
    <w:rsid w:val="002C5FAE"/>
    <w:rsid w:val="002F1020"/>
    <w:rsid w:val="00377E51"/>
    <w:rsid w:val="00392627"/>
    <w:rsid w:val="003E1668"/>
    <w:rsid w:val="00462727"/>
    <w:rsid w:val="0073185F"/>
    <w:rsid w:val="00790333"/>
    <w:rsid w:val="00BA7A3F"/>
    <w:rsid w:val="00D934E1"/>
    <w:rsid w:val="00E67132"/>
    <w:rsid w:val="00F53D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16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1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280</Words>
  <Characters>1405</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אבי פרנס</dc:creator>
  <cp:lastModifiedBy>אבי פרנס</cp:lastModifiedBy>
  <cp:revision>5</cp:revision>
  <dcterms:created xsi:type="dcterms:W3CDTF">2019-11-26T11:56:00Z</dcterms:created>
  <dcterms:modified xsi:type="dcterms:W3CDTF">2019-11-26T13:39:00Z</dcterms:modified>
</cp:coreProperties>
</file>