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8114C1" w14:textId="77777777" w:rsidR="00ED3251" w:rsidRDefault="00ED3251">
      <w:pPr>
        <w:pStyle w:val="2"/>
        <w:ind w:firstLine="284"/>
      </w:pPr>
      <w:bookmarkStart w:id="0" w:name="_GoBack"/>
      <w:bookmarkEnd w:id="0"/>
    </w:p>
    <w:p w14:paraId="0506157F" w14:textId="77777777" w:rsidR="00F66C44" w:rsidRDefault="00F66C44">
      <w:pPr>
        <w:pStyle w:val="2"/>
        <w:ind w:firstLine="284"/>
        <w:rPr>
          <w:rFonts w:hint="cs"/>
          <w:rtl/>
        </w:rPr>
      </w:pPr>
      <w:r>
        <w:rPr>
          <w:rFonts w:hint="cs"/>
          <w:rtl/>
        </w:rPr>
        <w:t xml:space="preserve">דף יט, א: </w:t>
      </w:r>
      <w:r>
        <w:rPr>
          <w:rtl/>
        </w:rPr>
        <w:t xml:space="preserve">אין מפליגין </w:t>
      </w:r>
    </w:p>
    <w:p w14:paraId="55735365" w14:textId="77777777" w:rsidR="00F66C44" w:rsidRDefault="00F66C44">
      <w:pPr>
        <w:ind w:firstLine="284"/>
        <w:rPr>
          <w:rFonts w:hint="cs"/>
          <w:rtl/>
        </w:rPr>
      </w:pPr>
      <w:r>
        <w:rPr>
          <w:rFonts w:hint="cs"/>
          <w:rtl/>
        </w:rPr>
        <w:t>"</w:t>
      </w:r>
      <w:r>
        <w:rPr>
          <w:rtl/>
        </w:rPr>
        <w:t>תנו רבנן: אין מ</w:t>
      </w:r>
      <w:r>
        <w:rPr>
          <w:rFonts w:hint="cs"/>
          <w:rtl/>
        </w:rPr>
        <w:t>ַ</w:t>
      </w:r>
      <w:r>
        <w:rPr>
          <w:rtl/>
        </w:rPr>
        <w:t>פ</w:t>
      </w:r>
      <w:r>
        <w:rPr>
          <w:rFonts w:hint="cs"/>
          <w:rtl/>
        </w:rPr>
        <w:t>ְ</w:t>
      </w:r>
      <w:r>
        <w:rPr>
          <w:rtl/>
        </w:rPr>
        <w:t>ל</w:t>
      </w:r>
      <w:r>
        <w:rPr>
          <w:rFonts w:hint="cs"/>
          <w:rtl/>
        </w:rPr>
        <w:t>ִ</w:t>
      </w:r>
      <w:r>
        <w:rPr>
          <w:rtl/>
        </w:rPr>
        <w:t>יג</w:t>
      </w:r>
      <w:r>
        <w:rPr>
          <w:rFonts w:hint="cs"/>
          <w:rtl/>
        </w:rPr>
        <w:t>ִ</w:t>
      </w:r>
      <w:r>
        <w:rPr>
          <w:rtl/>
        </w:rPr>
        <w:t>ין בספינה פחות משלשה ימים קודם לשבת</w:t>
      </w:r>
      <w:r>
        <w:rPr>
          <w:rFonts w:hint="cs"/>
          <w:rtl/>
        </w:rPr>
        <w:t>"</w:t>
      </w:r>
      <w:r>
        <w:rPr>
          <w:rtl/>
        </w:rPr>
        <w:t xml:space="preserve">.  </w:t>
      </w:r>
    </w:p>
    <w:p w14:paraId="4453349D" w14:textId="77777777" w:rsidR="00F66C44" w:rsidRDefault="00F66C44">
      <w:pPr>
        <w:autoSpaceDE w:val="0"/>
        <w:autoSpaceDN w:val="0"/>
        <w:adjustRightInd w:val="0"/>
        <w:ind w:firstLine="284"/>
        <w:rPr>
          <w:rFonts w:hint="cs"/>
          <w:rtl/>
        </w:rPr>
      </w:pPr>
      <w:r>
        <w:rPr>
          <w:rFonts w:hint="cs"/>
          <w:rtl/>
        </w:rPr>
        <w:t>בסוגיה זו נחלקו גדולי ישראל בהבנת מהותה של ההפלגה, בהגדרת המקומות הכלולים באיסור ההפלגה, ובהבנת טעם האיסור. שמונה שיטות שונות (!) מצאנו בכתבי הגאונים והראשונים להסבר דין זה, טעמו והקפו</w:t>
      </w:r>
      <w:r>
        <w:rPr>
          <w:rStyle w:val="a3"/>
          <w:rtl/>
        </w:rPr>
        <w:footnoteReference w:id="1"/>
      </w:r>
      <w:r>
        <w:rPr>
          <w:rFonts w:hint="cs"/>
          <w:rtl/>
        </w:rPr>
        <w:t>, וחלקם לא באו אלא על מנת להצדיק את מנהג העולם, כמו שכותב ר' מנחם המאירי בפתח סוגייתנו: "שמועה זו נתבלבלו המפרשים בענינה, וכ"ש ממה שראו שלא נמנעו מעולם להפליג בים אף בערב שבת, ולא נשמע להם מי שימחה בדבר".</w:t>
      </w:r>
    </w:p>
    <w:p w14:paraId="47164C97" w14:textId="77777777" w:rsidR="00F66C44" w:rsidRDefault="00F66C44">
      <w:pPr>
        <w:autoSpaceDE w:val="0"/>
        <w:autoSpaceDN w:val="0"/>
        <w:adjustRightInd w:val="0"/>
        <w:ind w:firstLine="284"/>
        <w:rPr>
          <w:rFonts w:hint="cs"/>
          <w:rtl/>
        </w:rPr>
      </w:pPr>
      <w:r>
        <w:rPr>
          <w:rtl/>
        </w:rPr>
        <w:t xml:space="preserve">רש"י </w:t>
      </w:r>
      <w:r>
        <w:rPr>
          <w:rFonts w:hint="cs"/>
          <w:rtl/>
        </w:rPr>
        <w:t>לא באר לנו מהו טעם איסור ההפלגה לקראת שבת (</w:t>
      </w:r>
      <w:r>
        <w:rPr>
          <w:rFonts w:hint="cs"/>
          <w:sz w:val="18"/>
          <w:szCs w:val="20"/>
          <w:rtl/>
        </w:rPr>
        <w:t>כפי שציין הריטב"א בחידושיו</w:t>
      </w:r>
      <w:r>
        <w:rPr>
          <w:rFonts w:hint="cs"/>
          <w:rtl/>
        </w:rPr>
        <w:t>), אלא בחר לעסוק</w:t>
      </w:r>
      <w:r>
        <w:rPr>
          <w:rtl/>
        </w:rPr>
        <w:t xml:space="preserve"> </w:t>
      </w:r>
      <w:r>
        <w:rPr>
          <w:rFonts w:hint="cs"/>
          <w:rtl/>
        </w:rPr>
        <w:t>בבירור לשוני: בגיזרון (</w:t>
      </w:r>
      <w:r>
        <w:rPr>
          <w:rFonts w:hint="cs"/>
          <w:sz w:val="18"/>
          <w:szCs w:val="20"/>
          <w:rtl/>
        </w:rPr>
        <w:t>אטימולוגיה בלעז</w:t>
      </w:r>
      <w:r>
        <w:rPr>
          <w:rFonts w:hint="cs"/>
          <w:rtl/>
        </w:rPr>
        <w:t xml:space="preserve">) של המִלה "הפלגה". </w:t>
      </w:r>
      <w:r>
        <w:rPr>
          <w:rtl/>
        </w:rPr>
        <w:t xml:space="preserve">רש"י </w:t>
      </w:r>
      <w:r>
        <w:rPr>
          <w:rFonts w:hint="cs"/>
          <w:rtl/>
        </w:rPr>
        <w:t>(</w:t>
      </w:r>
      <w:r>
        <w:rPr>
          <w:sz w:val="18"/>
          <w:szCs w:val="20"/>
          <w:rtl/>
        </w:rPr>
        <w:t>ד"ה מפליגין</w:t>
      </w:r>
      <w:r>
        <w:rPr>
          <w:rFonts w:hint="cs"/>
          <w:rtl/>
        </w:rPr>
        <w:t>) מפרט שתי הצעות לבאר את שורשו ומקורו של הפֹעַל</w:t>
      </w:r>
      <w:r>
        <w:rPr>
          <w:rtl/>
        </w:rPr>
        <w:t xml:space="preserve"> </w:t>
      </w:r>
      <w:r>
        <w:rPr>
          <w:rFonts w:hint="cs"/>
          <w:rtl/>
        </w:rPr>
        <w:t>"</w:t>
      </w:r>
      <w:r>
        <w:rPr>
          <w:rtl/>
        </w:rPr>
        <w:t>מפליגין</w:t>
      </w:r>
      <w:r>
        <w:rPr>
          <w:rFonts w:hint="cs"/>
          <w:rtl/>
        </w:rPr>
        <w:t xml:space="preserve">" במובן של יציאה לים בספינה: </w:t>
      </w:r>
    </w:p>
    <w:p w14:paraId="3D8529BA" w14:textId="77777777" w:rsidR="00F66C44" w:rsidRDefault="00F66C44">
      <w:pPr>
        <w:ind w:firstLine="284"/>
        <w:rPr>
          <w:rFonts w:hint="cs"/>
          <w:rtl/>
        </w:rPr>
      </w:pPr>
      <w:r>
        <w:rPr>
          <w:rFonts w:hint="cs"/>
          <w:b/>
          <w:bCs/>
          <w:rtl/>
        </w:rPr>
        <w:t xml:space="preserve">א. </w:t>
      </w:r>
      <w:r>
        <w:rPr>
          <w:rFonts w:hint="cs"/>
          <w:rtl/>
        </w:rPr>
        <w:t>"</w:t>
      </w:r>
      <w:r>
        <w:rPr>
          <w:rtl/>
        </w:rPr>
        <w:t>מפריש</w:t>
      </w:r>
      <w:r>
        <w:rPr>
          <w:rFonts w:hint="cs"/>
          <w:rtl/>
        </w:rPr>
        <w:t>ׁ</w:t>
      </w:r>
      <w:r>
        <w:rPr>
          <w:rtl/>
        </w:rPr>
        <w:t>ין מן היבשה לים</w:t>
      </w:r>
      <w:r>
        <w:rPr>
          <w:rStyle w:val="a3"/>
          <w:rtl/>
        </w:rPr>
        <w:footnoteReference w:id="2"/>
      </w:r>
      <w:r>
        <w:rPr>
          <w:rFonts w:hint="cs"/>
          <w:rtl/>
        </w:rPr>
        <w:t xml:space="preserve">, </w:t>
      </w:r>
      <w:r>
        <w:rPr>
          <w:rtl/>
        </w:rPr>
        <w:t>וזהו לשון [הפלגת</w:t>
      </w:r>
      <w:r>
        <w:rPr>
          <w:rStyle w:val="a3"/>
          <w:rtl/>
        </w:rPr>
        <w:footnoteReference w:id="3"/>
      </w:r>
      <w:r>
        <w:rPr>
          <w:rFonts w:hint="cs"/>
          <w:rtl/>
        </w:rPr>
        <w:t xml:space="preserve">] </w:t>
      </w:r>
      <w:r>
        <w:rPr>
          <w:rtl/>
        </w:rPr>
        <w:t>ספינה על שם שמפליג עצמו מן היישוב</w:t>
      </w:r>
      <w:r>
        <w:rPr>
          <w:rFonts w:hint="cs"/>
          <w:rtl/>
        </w:rPr>
        <w:t>".</w:t>
      </w:r>
    </w:p>
    <w:p w14:paraId="389E9B7D" w14:textId="77777777" w:rsidR="00F66C44" w:rsidRDefault="00F66C44">
      <w:pPr>
        <w:ind w:firstLine="284"/>
        <w:rPr>
          <w:rFonts w:hint="cs"/>
          <w:rtl/>
        </w:rPr>
      </w:pPr>
      <w:r>
        <w:rPr>
          <w:rFonts w:hint="cs"/>
          <w:rtl/>
        </w:rPr>
        <w:t>לפי הצעה זו, גזור הפֹעַל "מפליג" מן השורש העברי פל"ג (</w:t>
      </w:r>
      <w:r>
        <w:rPr>
          <w:rFonts w:hint="cs"/>
          <w:sz w:val="18"/>
          <w:szCs w:val="20"/>
          <w:rtl/>
        </w:rPr>
        <w:t>המוזכר כבר בתורה, בענין "דור הַפַּלָּגָה"</w:t>
      </w:r>
      <w:r>
        <w:rPr>
          <w:rStyle w:val="a3"/>
          <w:rtl/>
        </w:rPr>
        <w:footnoteReference w:id="4"/>
      </w:r>
      <w:r>
        <w:rPr>
          <w:rFonts w:hint="cs"/>
          <w:rtl/>
        </w:rPr>
        <w:t>). רש"י הִשוָה את הפֹעַל "</w:t>
      </w:r>
      <w:r>
        <w:rPr>
          <w:rtl/>
        </w:rPr>
        <w:t>מפליגין</w:t>
      </w:r>
      <w:r>
        <w:rPr>
          <w:rFonts w:hint="cs"/>
          <w:rtl/>
        </w:rPr>
        <w:t>" לפֹעַל</w:t>
      </w:r>
      <w:r>
        <w:rPr>
          <w:rtl/>
        </w:rPr>
        <w:t xml:space="preserve"> </w:t>
      </w:r>
      <w:r>
        <w:rPr>
          <w:rFonts w:hint="cs"/>
          <w:rtl/>
        </w:rPr>
        <w:t>"</w:t>
      </w:r>
      <w:r>
        <w:rPr>
          <w:rtl/>
        </w:rPr>
        <w:t>מפ</w:t>
      </w:r>
      <w:r>
        <w:rPr>
          <w:rFonts w:hint="cs"/>
          <w:rtl/>
        </w:rPr>
        <w:t>ר</w:t>
      </w:r>
      <w:r>
        <w:rPr>
          <w:rtl/>
        </w:rPr>
        <w:t>י</w:t>
      </w:r>
      <w:r>
        <w:rPr>
          <w:rFonts w:hint="cs"/>
          <w:rtl/>
        </w:rPr>
        <w:t>ש</w:t>
      </w:r>
      <w:r>
        <w:rPr>
          <w:rtl/>
        </w:rPr>
        <w:t>ין</w:t>
      </w:r>
      <w:r>
        <w:rPr>
          <w:rFonts w:hint="cs"/>
          <w:rtl/>
        </w:rPr>
        <w:t>" הדומה לו מבחינת צורתו</w:t>
      </w:r>
      <w:r>
        <w:rPr>
          <w:rStyle w:val="a3"/>
          <w:rtl/>
        </w:rPr>
        <w:footnoteReference w:id="5"/>
      </w:r>
      <w:r>
        <w:rPr>
          <w:rFonts w:hint="cs"/>
          <w:rtl/>
        </w:rPr>
        <w:t xml:space="preserve"> וגם מבחינת משמעותו: כשם שהפוֹרֵשׁ הרי הוא מתרחק, כך גם המפליג הרי הוא מתרחק ממקום מוצאו. פעלים משורש פל"ג </w:t>
      </w:r>
      <w:r>
        <w:rPr>
          <w:rFonts w:hint="cs"/>
          <w:rtl/>
        </w:rPr>
        <w:lastRenderedPageBreak/>
        <w:t>מופיעים במקרא בבנין נִפעל</w:t>
      </w:r>
      <w:r>
        <w:rPr>
          <w:rStyle w:val="a3"/>
          <w:sz w:val="18"/>
          <w:rtl/>
        </w:rPr>
        <w:footnoteReference w:id="6"/>
      </w:r>
      <w:r>
        <w:rPr>
          <w:rFonts w:hint="cs"/>
          <w:rtl/>
        </w:rPr>
        <w:t xml:space="preserve"> ופִעֵל</w:t>
      </w:r>
      <w:r>
        <w:rPr>
          <w:rStyle w:val="a3"/>
          <w:rtl/>
        </w:rPr>
        <w:footnoteReference w:id="7"/>
      </w:r>
      <w:r>
        <w:rPr>
          <w:rFonts w:hint="cs"/>
          <w:rtl/>
        </w:rPr>
        <w:t xml:space="preserve"> בלבד (במשמעות של פיזור, הפרדה וחילוק), אך רק בלשון חכמים הוחל השימוש בפעלים מבנין הפעיל והֻפעל (במשמעות של הרחקה או התרחקות). </w:t>
      </w:r>
    </w:p>
    <w:p w14:paraId="37BFD8DC" w14:textId="77777777" w:rsidR="00F66C44" w:rsidRDefault="00F66C44">
      <w:pPr>
        <w:ind w:firstLine="284"/>
        <w:rPr>
          <w:rFonts w:hint="cs"/>
          <w:rtl/>
        </w:rPr>
      </w:pPr>
      <w:r>
        <w:rPr>
          <w:rFonts w:hint="cs"/>
          <w:b/>
          <w:bCs/>
          <w:rtl/>
        </w:rPr>
        <w:t xml:space="preserve">ב. </w:t>
      </w:r>
      <w:r>
        <w:rPr>
          <w:rFonts w:hint="cs"/>
          <w:rtl/>
        </w:rPr>
        <w:t>הצעה אחרת מוסיף רש"י בשם רבו, ר"</w:t>
      </w:r>
      <w:r>
        <w:rPr>
          <w:rtl/>
        </w:rPr>
        <w:t>י ב</w:t>
      </w:r>
      <w:r>
        <w:rPr>
          <w:rFonts w:hint="cs"/>
          <w:rtl/>
        </w:rPr>
        <w:t>ר</w:t>
      </w:r>
      <w:r>
        <w:rPr>
          <w:rtl/>
        </w:rPr>
        <w:t xml:space="preserve"> יקר</w:t>
      </w:r>
      <w:r>
        <w:rPr>
          <w:rFonts w:hint="cs"/>
          <w:rtl/>
        </w:rPr>
        <w:t xml:space="preserve">, מהתקופה שלמד אצלו מסכת </w:t>
      </w:r>
      <w:r>
        <w:rPr>
          <w:rtl/>
        </w:rPr>
        <w:t>עירובין</w:t>
      </w:r>
      <w:r>
        <w:rPr>
          <w:rFonts w:hint="cs"/>
          <w:rtl/>
        </w:rPr>
        <w:t>: "</w:t>
      </w:r>
      <w:r>
        <w:rPr>
          <w:rtl/>
        </w:rPr>
        <w:t>ומרבינו יעקב שמעתי בעירובין</w:t>
      </w:r>
      <w:r>
        <w:rPr>
          <w:rFonts w:hint="cs"/>
          <w:rtl/>
        </w:rPr>
        <w:t>,</w:t>
      </w:r>
      <w:r>
        <w:rPr>
          <w:rtl/>
        </w:rPr>
        <w:t xml:space="preserve"> שאמצעיתו של ים נקרא פילגוס, ואף בלשון לעז פילגס</w:t>
      </w:r>
      <w:r>
        <w:rPr>
          <w:rFonts w:hint="cs"/>
          <w:rtl/>
        </w:rPr>
        <w:t>"</w:t>
      </w:r>
      <w:r>
        <w:rPr>
          <w:rtl/>
        </w:rPr>
        <w:t>.</w:t>
      </w:r>
      <w:r>
        <w:rPr>
          <w:rFonts w:hint="cs"/>
          <w:rtl/>
        </w:rPr>
        <w:t xml:space="preserve"> כוונתו למשנה במסכת ערובין (</w:t>
      </w:r>
      <w:r>
        <w:rPr>
          <w:sz w:val="18"/>
          <w:szCs w:val="20"/>
          <w:rtl/>
        </w:rPr>
        <w:t>פ</w:t>
      </w:r>
      <w:r>
        <w:rPr>
          <w:rFonts w:hint="cs"/>
          <w:sz w:val="18"/>
          <w:szCs w:val="20"/>
          <w:rtl/>
        </w:rPr>
        <w:t>"</w:t>
      </w:r>
      <w:r>
        <w:rPr>
          <w:sz w:val="18"/>
          <w:szCs w:val="20"/>
          <w:rtl/>
        </w:rPr>
        <w:t>ד מ</w:t>
      </w:r>
      <w:r>
        <w:rPr>
          <w:rFonts w:hint="cs"/>
          <w:sz w:val="18"/>
          <w:szCs w:val="20"/>
          <w:rtl/>
        </w:rPr>
        <w:t>"</w:t>
      </w:r>
      <w:r>
        <w:rPr>
          <w:sz w:val="18"/>
          <w:szCs w:val="20"/>
          <w:rtl/>
        </w:rPr>
        <w:t>א</w:t>
      </w:r>
      <w:r>
        <w:rPr>
          <w:rFonts w:hint="cs"/>
          <w:sz w:val="18"/>
          <w:szCs w:val="20"/>
          <w:rtl/>
        </w:rPr>
        <w:t>;</w:t>
      </w:r>
      <w:r>
        <w:rPr>
          <w:sz w:val="18"/>
          <w:szCs w:val="20"/>
          <w:rtl/>
        </w:rPr>
        <w:t xml:space="preserve"> </w:t>
      </w:r>
      <w:r>
        <w:rPr>
          <w:rFonts w:hint="cs"/>
          <w:sz w:val="18"/>
          <w:szCs w:val="20"/>
          <w:rtl/>
        </w:rPr>
        <w:t xml:space="preserve">דף </w:t>
      </w:r>
      <w:r>
        <w:rPr>
          <w:sz w:val="18"/>
          <w:szCs w:val="20"/>
          <w:rtl/>
        </w:rPr>
        <w:t>מא</w:t>
      </w:r>
      <w:r>
        <w:rPr>
          <w:rFonts w:hint="cs"/>
          <w:sz w:val="18"/>
          <w:szCs w:val="20"/>
          <w:rtl/>
        </w:rPr>
        <w:t xml:space="preserve">, </w:t>
      </w:r>
      <w:r>
        <w:rPr>
          <w:sz w:val="18"/>
          <w:szCs w:val="20"/>
          <w:rtl/>
        </w:rPr>
        <w:t>ב</w:t>
      </w:r>
      <w:r>
        <w:rPr>
          <w:rFonts w:hint="cs"/>
          <w:rtl/>
        </w:rPr>
        <w:t>): "</w:t>
      </w:r>
      <w:r>
        <w:rPr>
          <w:rtl/>
        </w:rPr>
        <w:t>מעשה שבאו מפרנדיסין</w:t>
      </w:r>
      <w:r>
        <w:rPr>
          <w:rStyle w:val="a3"/>
          <w:rtl/>
        </w:rPr>
        <w:footnoteReference w:id="8"/>
      </w:r>
      <w:r>
        <w:rPr>
          <w:b/>
          <w:bCs/>
          <w:rtl/>
        </w:rPr>
        <w:t xml:space="preserve"> והפליגה</w:t>
      </w:r>
      <w:r>
        <w:rPr>
          <w:rFonts w:hint="cs"/>
          <w:rtl/>
        </w:rPr>
        <w:t xml:space="preserve"> </w:t>
      </w:r>
      <w:r>
        <w:rPr>
          <w:rtl/>
        </w:rPr>
        <w:t>ספינתם בים</w:t>
      </w:r>
      <w:r>
        <w:rPr>
          <w:rFonts w:hint="cs"/>
          <w:rtl/>
        </w:rPr>
        <w:t xml:space="preserve">". שם הביא </w:t>
      </w:r>
      <w:r>
        <w:rPr>
          <w:rtl/>
        </w:rPr>
        <w:t>רש"י</w:t>
      </w:r>
      <w:r>
        <w:rPr>
          <w:rFonts w:hint="cs"/>
          <w:rtl/>
        </w:rPr>
        <w:t xml:space="preserve"> רק את פירוש רבו</w:t>
      </w:r>
      <w:r>
        <w:rPr>
          <w:rStyle w:val="a3"/>
          <w:rtl/>
        </w:rPr>
        <w:footnoteReference w:id="9"/>
      </w:r>
      <w:r>
        <w:rPr>
          <w:rFonts w:hint="cs"/>
          <w:rtl/>
        </w:rPr>
        <w:t>, אך ללא ציון שמו</w:t>
      </w:r>
      <w:r>
        <w:rPr>
          <w:rStyle w:val="a3"/>
          <w:rtl/>
        </w:rPr>
        <w:footnoteReference w:id="10"/>
      </w:r>
      <w:r>
        <w:rPr>
          <w:rFonts w:hint="cs"/>
          <w:rtl/>
        </w:rPr>
        <w:t>: "</w:t>
      </w:r>
      <w:r>
        <w:rPr>
          <w:rtl/>
        </w:rPr>
        <w:t>והפליגה - כשהיא מתרחקת משפת הים ונכנסת לאמצעי</w:t>
      </w:r>
      <w:r>
        <w:rPr>
          <w:rStyle w:val="a3"/>
          <w:rtl/>
        </w:rPr>
        <w:footnoteReference w:id="11"/>
      </w:r>
      <w:r>
        <w:rPr>
          <w:rFonts w:hint="cs"/>
          <w:rtl/>
        </w:rPr>
        <w:t xml:space="preserve"> </w:t>
      </w:r>
      <w:r>
        <w:rPr>
          <w:rtl/>
        </w:rPr>
        <w:t xml:space="preserve">קרי ליה </w:t>
      </w:r>
      <w:r>
        <w:rPr>
          <w:rFonts w:hint="cs"/>
          <w:rtl/>
        </w:rPr>
        <w:t>הַפְלָגָה.</w:t>
      </w:r>
      <w:r>
        <w:rPr>
          <w:rtl/>
        </w:rPr>
        <w:t xml:space="preserve"> ולשון לעז הוא, שקורין לשלולית הים פילג</w:t>
      </w:r>
      <w:r>
        <w:rPr>
          <w:rFonts w:hint="cs"/>
          <w:rtl/>
        </w:rPr>
        <w:t>"</w:t>
      </w:r>
      <w:r>
        <w:rPr>
          <w:rtl/>
        </w:rPr>
        <w:t>.</w:t>
      </w:r>
    </w:p>
    <w:p w14:paraId="55EF5094" w14:textId="77777777" w:rsidR="00F66C44" w:rsidRDefault="00F66C44">
      <w:pPr>
        <w:autoSpaceDE w:val="0"/>
        <w:autoSpaceDN w:val="0"/>
        <w:adjustRightInd w:val="0"/>
        <w:ind w:firstLine="284"/>
        <w:rPr>
          <w:rFonts w:hint="cs"/>
          <w:rtl/>
        </w:rPr>
      </w:pPr>
      <w:r>
        <w:rPr>
          <w:rFonts w:hint="cs"/>
          <w:rtl/>
        </w:rPr>
        <w:lastRenderedPageBreak/>
        <w:t>הצעה זו גוזרת את הפְעלים</w:t>
      </w:r>
      <w:r>
        <w:rPr>
          <w:rtl/>
        </w:rPr>
        <w:t xml:space="preserve"> </w:t>
      </w:r>
      <w:r>
        <w:rPr>
          <w:rFonts w:hint="cs"/>
          <w:rtl/>
        </w:rPr>
        <w:t>"</w:t>
      </w:r>
      <w:r>
        <w:rPr>
          <w:rtl/>
        </w:rPr>
        <w:t>מ</w:t>
      </w:r>
      <w:r>
        <w:rPr>
          <w:rFonts w:hint="cs"/>
          <w:rtl/>
        </w:rPr>
        <w:t>ַ</w:t>
      </w:r>
      <w:r>
        <w:rPr>
          <w:rtl/>
        </w:rPr>
        <w:t>פ</w:t>
      </w:r>
      <w:r>
        <w:rPr>
          <w:rFonts w:hint="cs"/>
          <w:rtl/>
        </w:rPr>
        <w:t>ְ</w:t>
      </w:r>
      <w:r>
        <w:rPr>
          <w:rtl/>
        </w:rPr>
        <w:t>ל</w:t>
      </w:r>
      <w:r>
        <w:rPr>
          <w:rFonts w:hint="cs"/>
          <w:rtl/>
        </w:rPr>
        <w:t>ִ</w:t>
      </w:r>
      <w:r>
        <w:rPr>
          <w:rtl/>
        </w:rPr>
        <w:t>יג</w:t>
      </w:r>
      <w:r>
        <w:rPr>
          <w:rFonts w:hint="cs"/>
          <w:rtl/>
        </w:rPr>
        <w:t>ִ</w:t>
      </w:r>
      <w:r>
        <w:rPr>
          <w:rtl/>
        </w:rPr>
        <w:t>ין</w:t>
      </w:r>
      <w:r>
        <w:rPr>
          <w:rFonts w:hint="cs"/>
          <w:rtl/>
        </w:rPr>
        <w:t>"</w:t>
      </w:r>
      <w:r>
        <w:rPr>
          <w:rtl/>
        </w:rPr>
        <w:t xml:space="preserve"> </w:t>
      </w:r>
      <w:r>
        <w:rPr>
          <w:rFonts w:hint="cs"/>
          <w:rtl/>
        </w:rPr>
        <w:t>ו"</w:t>
      </w:r>
      <w:r>
        <w:rPr>
          <w:rtl/>
        </w:rPr>
        <w:t>ה</w:t>
      </w:r>
      <w:r>
        <w:rPr>
          <w:rFonts w:hint="cs"/>
          <w:rtl/>
        </w:rPr>
        <w:t>ִ</w:t>
      </w:r>
      <w:r>
        <w:rPr>
          <w:rtl/>
        </w:rPr>
        <w:t>פ</w:t>
      </w:r>
      <w:r>
        <w:rPr>
          <w:rFonts w:hint="cs"/>
          <w:rtl/>
        </w:rPr>
        <w:t>ְ</w:t>
      </w:r>
      <w:r>
        <w:rPr>
          <w:rtl/>
        </w:rPr>
        <w:t>ל</w:t>
      </w:r>
      <w:r>
        <w:rPr>
          <w:rFonts w:hint="cs"/>
          <w:rtl/>
        </w:rPr>
        <w:t>ִ</w:t>
      </w:r>
      <w:r>
        <w:rPr>
          <w:rtl/>
        </w:rPr>
        <w:t>יג</w:t>
      </w:r>
      <w:r>
        <w:rPr>
          <w:rFonts w:hint="cs"/>
          <w:rtl/>
        </w:rPr>
        <w:t>ָ</w:t>
      </w:r>
      <w:r>
        <w:rPr>
          <w:rtl/>
        </w:rPr>
        <w:t>ה</w:t>
      </w:r>
      <w:r>
        <w:rPr>
          <w:rFonts w:hint="cs"/>
          <w:rtl/>
        </w:rPr>
        <w:t>" מהשֵם "</w:t>
      </w:r>
      <w:r>
        <w:rPr>
          <w:rtl/>
        </w:rPr>
        <w:t>פ</w:t>
      </w:r>
      <w:r>
        <w:rPr>
          <w:rFonts w:hint="cs"/>
          <w:rtl/>
        </w:rPr>
        <w:t>ֶּ</w:t>
      </w:r>
      <w:r>
        <w:rPr>
          <w:rtl/>
        </w:rPr>
        <w:t>יל</w:t>
      </w:r>
      <w:r>
        <w:rPr>
          <w:rFonts w:hint="cs"/>
          <w:rtl/>
        </w:rPr>
        <w:t>ַ</w:t>
      </w:r>
      <w:r>
        <w:rPr>
          <w:rtl/>
        </w:rPr>
        <w:t>גו</w:t>
      </w:r>
      <w:r>
        <w:rPr>
          <w:rFonts w:hint="cs"/>
          <w:rtl/>
        </w:rPr>
        <w:t>ֹ</w:t>
      </w:r>
      <w:r>
        <w:rPr>
          <w:rtl/>
        </w:rPr>
        <w:t>ס</w:t>
      </w:r>
      <w:r>
        <w:rPr>
          <w:rFonts w:hint="cs"/>
          <w:rtl/>
        </w:rPr>
        <w:t>", המצוי בארמית של חז"ל (</w:t>
      </w:r>
      <w:r>
        <w:rPr>
          <w:rFonts w:hint="cs"/>
          <w:sz w:val="26"/>
          <w:szCs w:val="20"/>
          <w:rtl/>
        </w:rPr>
        <w:t>במדרשים</w:t>
      </w:r>
      <w:r>
        <w:rPr>
          <w:rStyle w:val="a3"/>
          <w:rtl/>
        </w:rPr>
        <w:footnoteReference w:id="12"/>
      </w:r>
      <w:r>
        <w:rPr>
          <w:rFonts w:hint="cs"/>
          <w:sz w:val="18"/>
          <w:szCs w:val="20"/>
          <w:rtl/>
        </w:rPr>
        <w:t xml:space="preserve"> ובתרגומי המקרא לצירופי המִלים "</w:t>
      </w:r>
      <w:r>
        <w:rPr>
          <w:sz w:val="18"/>
          <w:szCs w:val="20"/>
          <w:rtl/>
        </w:rPr>
        <w:t>לֶב יָם</w:t>
      </w:r>
      <w:r>
        <w:rPr>
          <w:rFonts w:hint="cs"/>
          <w:sz w:val="18"/>
          <w:szCs w:val="20"/>
          <w:rtl/>
        </w:rPr>
        <w:t>"</w:t>
      </w:r>
      <w:r>
        <w:rPr>
          <w:rStyle w:val="a3"/>
          <w:sz w:val="18"/>
          <w:rtl/>
        </w:rPr>
        <w:footnoteReference w:id="13"/>
      </w:r>
      <w:r>
        <w:rPr>
          <w:rFonts w:hint="cs"/>
          <w:sz w:val="18"/>
          <w:szCs w:val="20"/>
          <w:rtl/>
        </w:rPr>
        <w:t xml:space="preserve"> ו"</w:t>
      </w:r>
      <w:r>
        <w:rPr>
          <w:sz w:val="18"/>
          <w:szCs w:val="20"/>
          <w:rtl/>
        </w:rPr>
        <w:t>לֵב יַמִּים</w:t>
      </w:r>
      <w:r>
        <w:rPr>
          <w:rFonts w:hint="cs"/>
          <w:sz w:val="18"/>
          <w:szCs w:val="20"/>
          <w:rtl/>
        </w:rPr>
        <w:t>"</w:t>
      </w:r>
      <w:r>
        <w:rPr>
          <w:rStyle w:val="a3"/>
          <w:sz w:val="18"/>
          <w:rtl/>
        </w:rPr>
        <w:footnoteReference w:id="14"/>
      </w:r>
      <w:r>
        <w:rPr>
          <w:rFonts w:hint="cs"/>
          <w:rtl/>
        </w:rPr>
        <w:t xml:space="preserve">), שפירושו: </w:t>
      </w:r>
      <w:r>
        <w:rPr>
          <w:rtl/>
        </w:rPr>
        <w:t>אמצע</w:t>
      </w:r>
      <w:r>
        <w:rPr>
          <w:rFonts w:hint="cs"/>
          <w:rtl/>
        </w:rPr>
        <w:t xml:space="preserve"> ה</w:t>
      </w:r>
      <w:r>
        <w:rPr>
          <w:rtl/>
        </w:rPr>
        <w:t>ים</w:t>
      </w:r>
      <w:r>
        <w:rPr>
          <w:rFonts w:hint="cs"/>
          <w:rtl/>
        </w:rPr>
        <w:t>. כפי שניתן להסיק מהסיומת "-וס", מקור מִלה זו מן היוונית</w:t>
      </w:r>
      <w:r>
        <w:rPr>
          <w:rStyle w:val="a3"/>
          <w:rtl/>
        </w:rPr>
        <w:footnoteReference w:id="15"/>
      </w:r>
      <w:r>
        <w:rPr>
          <w:rFonts w:hint="cs"/>
          <w:rtl/>
        </w:rPr>
        <w:t>, וכמו מִלים יווניות נוספות ש"נתגיירו" הושמטה סיומת זו</w:t>
      </w:r>
      <w:r>
        <w:rPr>
          <w:rStyle w:val="a3"/>
          <w:rtl/>
        </w:rPr>
        <w:footnoteReference w:id="16"/>
      </w:r>
      <w:r>
        <w:rPr>
          <w:rFonts w:hint="cs"/>
          <w:rtl/>
        </w:rPr>
        <w:t>. לדעת ר"</w:t>
      </w:r>
      <w:r>
        <w:rPr>
          <w:rtl/>
        </w:rPr>
        <w:t>י ב</w:t>
      </w:r>
      <w:r>
        <w:rPr>
          <w:rFonts w:hint="cs"/>
          <w:rtl/>
        </w:rPr>
        <w:t>ר</w:t>
      </w:r>
      <w:r>
        <w:rPr>
          <w:rtl/>
        </w:rPr>
        <w:t xml:space="preserve"> יקר</w:t>
      </w:r>
      <w:r>
        <w:rPr>
          <w:rFonts w:hint="cs"/>
          <w:rtl/>
        </w:rPr>
        <w:t xml:space="preserve">, ממקור יווני זה גזרו חז"ל את השורש פל"ג וחִדשו את </w:t>
      </w:r>
      <w:r>
        <w:rPr>
          <w:rFonts w:hint="cs"/>
          <w:rtl/>
        </w:rPr>
        <w:lastRenderedPageBreak/>
        <w:t>ה"הפלגה" אל לב הים. את פירוש רבו מחזק רש"י בעזרת מִלה בעלת צליל דומה ומשמעות דומה שהכיר בלעז</w:t>
      </w:r>
      <w:r>
        <w:rPr>
          <w:rStyle w:val="a3"/>
          <w:rtl/>
        </w:rPr>
        <w:footnoteReference w:id="17"/>
      </w:r>
      <w:r>
        <w:rPr>
          <w:rFonts w:hint="cs"/>
          <w:rtl/>
        </w:rPr>
        <w:t xml:space="preserve"> (בצרפתית</w:t>
      </w:r>
      <w:r>
        <w:rPr>
          <w:rStyle w:val="a3"/>
          <w:rtl/>
        </w:rPr>
        <w:footnoteReference w:id="18"/>
      </w:r>
      <w:r>
        <w:rPr>
          <w:rFonts w:hint="cs"/>
          <w:rtl/>
        </w:rPr>
        <w:t xml:space="preserve"> או באיטלקית</w:t>
      </w:r>
      <w:r>
        <w:rPr>
          <w:rStyle w:val="a3"/>
          <w:rtl/>
        </w:rPr>
        <w:footnoteReference w:id="19"/>
      </w:r>
      <w:r>
        <w:rPr>
          <w:rFonts w:hint="cs"/>
          <w:rtl/>
        </w:rPr>
        <w:t>).</w:t>
      </w:r>
    </w:p>
    <w:p w14:paraId="58F323BE" w14:textId="77777777" w:rsidR="00F66C44" w:rsidRDefault="00F66C44">
      <w:pPr>
        <w:autoSpaceDE w:val="0"/>
        <w:autoSpaceDN w:val="0"/>
        <w:adjustRightInd w:val="0"/>
        <w:ind w:firstLine="284"/>
        <w:rPr>
          <w:rFonts w:hint="cs"/>
          <w:rtl/>
        </w:rPr>
      </w:pPr>
      <w:r>
        <w:rPr>
          <w:rFonts w:hint="cs"/>
          <w:rtl/>
        </w:rPr>
        <w:t xml:space="preserve">אמנם, מדברי </w:t>
      </w:r>
      <w:r>
        <w:rPr>
          <w:rtl/>
        </w:rPr>
        <w:t>הריב"ש</w:t>
      </w:r>
      <w:r>
        <w:rPr>
          <w:rFonts w:hint="cs"/>
          <w:rtl/>
        </w:rPr>
        <w:t xml:space="preserve"> (</w:t>
      </w:r>
      <w:r>
        <w:rPr>
          <w:rFonts w:hint="cs"/>
          <w:sz w:val="18"/>
          <w:szCs w:val="20"/>
          <w:rtl/>
        </w:rPr>
        <w:t>בתשובה</w:t>
      </w:r>
      <w:r>
        <w:rPr>
          <w:sz w:val="18"/>
          <w:szCs w:val="20"/>
          <w:rtl/>
        </w:rPr>
        <w:t xml:space="preserve"> תמ</w:t>
      </w:r>
      <w:r>
        <w:rPr>
          <w:rFonts w:hint="cs"/>
          <w:sz w:val="18"/>
          <w:szCs w:val="20"/>
          <w:rtl/>
        </w:rPr>
        <w:t>"</w:t>
      </w:r>
      <w:r>
        <w:rPr>
          <w:sz w:val="18"/>
          <w:szCs w:val="20"/>
          <w:rtl/>
        </w:rPr>
        <w:t>ב</w:t>
      </w:r>
      <w:r>
        <w:rPr>
          <w:rFonts w:hint="cs"/>
          <w:rtl/>
        </w:rPr>
        <w:t>) ניתן ללמוד שהמִלה "</w:t>
      </w:r>
      <w:r>
        <w:rPr>
          <w:rtl/>
        </w:rPr>
        <w:t>פ</w:t>
      </w:r>
      <w:r>
        <w:rPr>
          <w:rFonts w:hint="cs"/>
          <w:rtl/>
        </w:rPr>
        <w:t>י</w:t>
      </w:r>
      <w:r>
        <w:rPr>
          <w:rtl/>
        </w:rPr>
        <w:t>לגו</w:t>
      </w:r>
      <w:r>
        <w:rPr>
          <w:rFonts w:hint="cs"/>
          <w:rtl/>
        </w:rPr>
        <w:t>ס" היוונית יָנקה מהמִלה המקראית "</w:t>
      </w:r>
      <w:r>
        <w:rPr>
          <w:rtl/>
        </w:rPr>
        <w:t>פֶּלֶג</w:t>
      </w:r>
      <w:r>
        <w:rPr>
          <w:rFonts w:hint="cs"/>
          <w:rtl/>
        </w:rPr>
        <w:t>"</w:t>
      </w:r>
      <w:r>
        <w:rPr>
          <w:rStyle w:val="a3"/>
          <w:rtl/>
        </w:rPr>
        <w:footnoteReference w:id="20"/>
      </w:r>
      <w:r>
        <w:rPr>
          <w:rFonts w:hint="cs"/>
          <w:rtl/>
        </w:rPr>
        <w:t>: "</w:t>
      </w:r>
      <w:r>
        <w:rPr>
          <w:rtl/>
        </w:rPr>
        <w:t xml:space="preserve">פלגוס </w:t>
      </w:r>
      <w:r>
        <w:rPr>
          <w:rFonts w:hint="cs"/>
          <w:rtl/>
        </w:rPr>
        <w:t xml:space="preserve">- </w:t>
      </w:r>
      <w:r>
        <w:rPr>
          <w:rtl/>
        </w:rPr>
        <w:t>לב ים</w:t>
      </w:r>
      <w:r>
        <w:rPr>
          <w:rFonts w:hint="cs"/>
          <w:rtl/>
        </w:rPr>
        <w:t xml:space="preserve">, </w:t>
      </w:r>
      <w:r>
        <w:rPr>
          <w:rtl/>
        </w:rPr>
        <w:t>ששם המים עמוקים. והוא מלשון: פַּלְגֵי מָיִם</w:t>
      </w:r>
      <w:r>
        <w:rPr>
          <w:rFonts w:hint="cs"/>
          <w:rtl/>
        </w:rPr>
        <w:t xml:space="preserve"> (</w:t>
      </w:r>
      <w:r>
        <w:rPr>
          <w:sz w:val="18"/>
          <w:szCs w:val="20"/>
          <w:rtl/>
        </w:rPr>
        <w:t>תהלים א</w:t>
      </w:r>
      <w:r>
        <w:rPr>
          <w:rFonts w:hint="cs"/>
          <w:sz w:val="18"/>
          <w:szCs w:val="20"/>
          <w:rtl/>
        </w:rPr>
        <w:t>,</w:t>
      </w:r>
      <w:r>
        <w:rPr>
          <w:sz w:val="18"/>
          <w:szCs w:val="20"/>
          <w:rtl/>
        </w:rPr>
        <w:t xml:space="preserve"> ג</w:t>
      </w:r>
      <w:r>
        <w:rPr>
          <w:rFonts w:hint="cs"/>
          <w:rtl/>
        </w:rPr>
        <w:t>),</w:t>
      </w:r>
      <w:r>
        <w:rPr>
          <w:rtl/>
        </w:rPr>
        <w:t xml:space="preserve"> ותרגום ירושלמי: בלב ים</w:t>
      </w:r>
      <w:r>
        <w:rPr>
          <w:rFonts w:hint="cs"/>
          <w:rtl/>
        </w:rPr>
        <w:t xml:space="preserve"> - </w:t>
      </w:r>
      <w:r>
        <w:rPr>
          <w:rtl/>
        </w:rPr>
        <w:t>בפלגוש ד</w:t>
      </w:r>
      <w:r>
        <w:rPr>
          <w:rFonts w:hint="cs"/>
          <w:rtl/>
        </w:rPr>
        <w:t>ְ</w:t>
      </w:r>
      <w:r>
        <w:rPr>
          <w:rtl/>
        </w:rPr>
        <w:t>ימא רבא</w:t>
      </w:r>
      <w:r>
        <w:rPr>
          <w:rFonts w:hint="cs"/>
          <w:rtl/>
        </w:rPr>
        <w:t xml:space="preserve">". יתכן גם ש"זה וזה גורם", וחלה בלשון חז"ל </w:t>
      </w:r>
      <w:r>
        <w:rPr>
          <w:rtl/>
        </w:rPr>
        <w:t>"שאילת משמעות"</w:t>
      </w:r>
      <w:r>
        <w:rPr>
          <w:rFonts w:hint="cs"/>
          <w:rtl/>
        </w:rPr>
        <w:t xml:space="preserve">: </w:t>
      </w:r>
      <w:r>
        <w:rPr>
          <w:rtl/>
        </w:rPr>
        <w:t>חז"ל גזרו משורש פל"ג המקראי פעלים בבנין ה</w:t>
      </w:r>
      <w:r>
        <w:rPr>
          <w:rFonts w:hint="cs"/>
          <w:rtl/>
        </w:rPr>
        <w:t>ִ</w:t>
      </w:r>
      <w:r>
        <w:rPr>
          <w:rtl/>
        </w:rPr>
        <w:t xml:space="preserve">פעיל שמשמעותם יונקת </w:t>
      </w:r>
      <w:r>
        <w:rPr>
          <w:rFonts w:hint="cs"/>
          <w:rtl/>
        </w:rPr>
        <w:t xml:space="preserve">גם </w:t>
      </w:r>
      <w:r>
        <w:rPr>
          <w:rtl/>
        </w:rPr>
        <w:t xml:space="preserve">מהמילה היוונית "פילגוס" (הנמצאת בתודעתם), וכך יצרו את ה"הפלגה" בספינה בלב ים. </w:t>
      </w:r>
    </w:p>
    <w:p w14:paraId="02AF1209" w14:textId="77777777" w:rsidR="00F66C44" w:rsidRDefault="00F66C44">
      <w:pPr>
        <w:autoSpaceDE w:val="0"/>
        <w:autoSpaceDN w:val="0"/>
        <w:adjustRightInd w:val="0"/>
        <w:ind w:firstLine="284"/>
        <w:rPr>
          <w:rFonts w:hint="cs"/>
          <w:rtl/>
        </w:rPr>
      </w:pPr>
      <w:r>
        <w:rPr>
          <w:rFonts w:hint="cs"/>
          <w:rtl/>
        </w:rPr>
        <w:t>עכ"פ, רש"י הציג שני פירושים: או שהמפליג הוא הפוֹרֵשׁ והמתרחק, או שהמפליג הוא השט לעומק הים ו</w:t>
      </w:r>
      <w:r>
        <w:rPr>
          <w:rtl/>
        </w:rPr>
        <w:t>אמצעיתו</w:t>
      </w:r>
      <w:r>
        <w:rPr>
          <w:rFonts w:hint="cs"/>
          <w:rtl/>
        </w:rPr>
        <w:t xml:space="preserve">, ופועל זה מקורו יווני. נראה שרש"י העדיף את הפירוש הראשון, ועל כן הקדימו בסוגייתנו, וניתן למנות כמה השערות מה יתרון מצא בפירוש זה: </w:t>
      </w:r>
    </w:p>
    <w:p w14:paraId="115386DD" w14:textId="77777777" w:rsidR="00F66C44" w:rsidRDefault="00F66C44">
      <w:pPr>
        <w:autoSpaceDE w:val="0"/>
        <w:autoSpaceDN w:val="0"/>
        <w:adjustRightInd w:val="0"/>
        <w:ind w:firstLine="284"/>
        <w:rPr>
          <w:rFonts w:hint="cs"/>
          <w:rtl/>
        </w:rPr>
      </w:pPr>
      <w:r>
        <w:rPr>
          <w:rFonts w:hint="cs"/>
          <w:b/>
          <w:bCs/>
          <w:rtl/>
        </w:rPr>
        <w:t xml:space="preserve">א) </w:t>
      </w:r>
      <w:r>
        <w:rPr>
          <w:rFonts w:hint="cs"/>
          <w:rtl/>
        </w:rPr>
        <w:t xml:space="preserve">נוח יותר (אף שאין הכרח) לפרש על פי שורש עברי, ולא על פי מִלה לועזית.  </w:t>
      </w:r>
    </w:p>
    <w:p w14:paraId="4C698A7A" w14:textId="77777777" w:rsidR="00F66C44" w:rsidRDefault="00F66C44">
      <w:pPr>
        <w:autoSpaceDE w:val="0"/>
        <w:autoSpaceDN w:val="0"/>
        <w:adjustRightInd w:val="0"/>
        <w:ind w:firstLine="284"/>
        <w:rPr>
          <w:rFonts w:hint="cs"/>
          <w:rtl/>
        </w:rPr>
      </w:pPr>
      <w:r>
        <w:rPr>
          <w:rFonts w:hint="cs"/>
          <w:b/>
          <w:bCs/>
          <w:rtl/>
        </w:rPr>
        <w:t xml:space="preserve">ב) </w:t>
      </w:r>
      <w:r>
        <w:rPr>
          <w:rFonts w:hint="cs"/>
          <w:rtl/>
        </w:rPr>
        <w:t>מסתבר יותר לפרש כאן על פי שורש עברי, משום שמצאנו "הפלגות" רבות בלשון חכמים שאינן קשורות כלל ל"פילגוס" של הים: הן במובן המוחשי של הרחקת מקום, כגון: "</w:t>
      </w:r>
      <w:r>
        <w:rPr>
          <w:rtl/>
        </w:rPr>
        <w:t xml:space="preserve">הודיעו שהוא </w:t>
      </w:r>
      <w:r>
        <w:rPr>
          <w:b/>
          <w:bCs/>
          <w:rtl/>
        </w:rPr>
        <w:t>מפליג</w:t>
      </w:r>
      <w:r>
        <w:rPr>
          <w:rFonts w:hint="cs"/>
          <w:rtl/>
        </w:rPr>
        <w:t>" (</w:t>
      </w:r>
      <w:r>
        <w:rPr>
          <w:sz w:val="18"/>
          <w:szCs w:val="20"/>
          <w:rtl/>
        </w:rPr>
        <w:t>ע</w:t>
      </w:r>
      <w:r>
        <w:rPr>
          <w:rFonts w:hint="cs"/>
          <w:sz w:val="18"/>
          <w:szCs w:val="20"/>
          <w:rtl/>
        </w:rPr>
        <w:t xml:space="preserve">"ז </w:t>
      </w:r>
      <w:r>
        <w:rPr>
          <w:sz w:val="18"/>
          <w:szCs w:val="20"/>
          <w:rtl/>
        </w:rPr>
        <w:t>פ</w:t>
      </w:r>
      <w:r>
        <w:rPr>
          <w:rFonts w:hint="cs"/>
          <w:sz w:val="18"/>
          <w:szCs w:val="20"/>
          <w:rtl/>
        </w:rPr>
        <w:t>"</w:t>
      </w:r>
      <w:r>
        <w:rPr>
          <w:sz w:val="18"/>
          <w:szCs w:val="20"/>
          <w:rtl/>
        </w:rPr>
        <w:t>ה מ</w:t>
      </w:r>
      <w:r>
        <w:rPr>
          <w:rFonts w:hint="cs"/>
          <w:sz w:val="18"/>
          <w:szCs w:val="20"/>
          <w:rtl/>
        </w:rPr>
        <w:t>"</w:t>
      </w:r>
      <w:r>
        <w:rPr>
          <w:sz w:val="18"/>
          <w:szCs w:val="20"/>
          <w:rtl/>
        </w:rPr>
        <w:t>ג</w:t>
      </w:r>
      <w:r>
        <w:rPr>
          <w:rFonts w:hint="cs"/>
          <w:rtl/>
        </w:rPr>
        <w:t>), והן במובן של הרחקת זמן, כגון: "</w:t>
      </w:r>
      <w:r>
        <w:rPr>
          <w:rtl/>
        </w:rPr>
        <w:t xml:space="preserve">דיבר עם חבירו </w:t>
      </w:r>
      <w:r>
        <w:rPr>
          <w:b/>
          <w:bCs/>
          <w:rtl/>
        </w:rPr>
        <w:t>והפליג</w:t>
      </w:r>
      <w:r>
        <w:rPr>
          <w:rFonts w:hint="cs"/>
          <w:rtl/>
        </w:rPr>
        <w:t>" (</w:t>
      </w:r>
      <w:r>
        <w:rPr>
          <w:sz w:val="18"/>
          <w:szCs w:val="20"/>
          <w:rtl/>
        </w:rPr>
        <w:t>יומא ל</w:t>
      </w:r>
      <w:r>
        <w:rPr>
          <w:rFonts w:hint="cs"/>
          <w:sz w:val="18"/>
          <w:szCs w:val="20"/>
          <w:rtl/>
        </w:rPr>
        <w:t xml:space="preserve">, </w:t>
      </w:r>
      <w:r>
        <w:rPr>
          <w:sz w:val="18"/>
          <w:szCs w:val="20"/>
          <w:rtl/>
        </w:rPr>
        <w:t xml:space="preserve">א </w:t>
      </w:r>
      <w:r>
        <w:rPr>
          <w:rFonts w:hint="cs"/>
          <w:sz w:val="18"/>
          <w:szCs w:val="20"/>
          <w:rtl/>
        </w:rPr>
        <w:t>ו</w:t>
      </w:r>
      <w:r>
        <w:rPr>
          <w:sz w:val="18"/>
          <w:szCs w:val="20"/>
          <w:rtl/>
        </w:rPr>
        <w:t xml:space="preserve">רש"י </w:t>
      </w:r>
      <w:r>
        <w:rPr>
          <w:rFonts w:hint="cs"/>
          <w:sz w:val="18"/>
          <w:szCs w:val="20"/>
          <w:rtl/>
        </w:rPr>
        <w:t>שם</w:t>
      </w:r>
      <w:r>
        <w:rPr>
          <w:rFonts w:hint="cs"/>
          <w:rtl/>
        </w:rPr>
        <w:t>); וכיו"ב: "</w:t>
      </w:r>
      <w:r>
        <w:rPr>
          <w:rtl/>
        </w:rPr>
        <w:t xml:space="preserve">מצינו בבראשית רבה </w:t>
      </w:r>
      <w:r>
        <w:rPr>
          <w:rFonts w:hint="cs"/>
          <w:rtl/>
        </w:rPr>
        <w:t>(</w:t>
      </w:r>
      <w:r>
        <w:rPr>
          <w:sz w:val="18"/>
          <w:szCs w:val="20"/>
          <w:rtl/>
        </w:rPr>
        <w:t>פרשה מד</w:t>
      </w:r>
      <w:r>
        <w:rPr>
          <w:rFonts w:hint="cs"/>
          <w:rtl/>
        </w:rPr>
        <w:t xml:space="preserve">) </w:t>
      </w:r>
      <w:r>
        <w:rPr>
          <w:rtl/>
        </w:rPr>
        <w:t xml:space="preserve">כל מקום שנאמר </w:t>
      </w:r>
      <w:r>
        <w:rPr>
          <w:rFonts w:hint="cs"/>
          <w:rtl/>
        </w:rPr>
        <w:t>'</w:t>
      </w:r>
      <w:r>
        <w:rPr>
          <w:rtl/>
        </w:rPr>
        <w:t>אחרי</w:t>
      </w:r>
      <w:r>
        <w:rPr>
          <w:rFonts w:hint="cs"/>
          <w:rtl/>
        </w:rPr>
        <w:t>' -</w:t>
      </w:r>
      <w:r>
        <w:rPr>
          <w:rtl/>
        </w:rPr>
        <w:t xml:space="preserve"> </w:t>
      </w:r>
      <w:r>
        <w:rPr>
          <w:b/>
          <w:bCs/>
          <w:rtl/>
        </w:rPr>
        <w:t>מופלג</w:t>
      </w:r>
      <w:r>
        <w:rPr>
          <w:rFonts w:hint="cs"/>
          <w:rtl/>
        </w:rPr>
        <w:t>" (</w:t>
      </w:r>
      <w:r>
        <w:rPr>
          <w:sz w:val="18"/>
          <w:szCs w:val="20"/>
          <w:rtl/>
        </w:rPr>
        <w:t>רש"י סוטה לג</w:t>
      </w:r>
      <w:r>
        <w:rPr>
          <w:rFonts w:hint="cs"/>
          <w:sz w:val="18"/>
          <w:szCs w:val="20"/>
          <w:rtl/>
        </w:rPr>
        <w:t xml:space="preserve">, </w:t>
      </w:r>
      <w:r>
        <w:rPr>
          <w:sz w:val="18"/>
          <w:szCs w:val="20"/>
          <w:rtl/>
        </w:rPr>
        <w:t>ב ד"ה אחרי</w:t>
      </w:r>
      <w:r>
        <w:rPr>
          <w:rFonts w:hint="cs"/>
          <w:rtl/>
        </w:rPr>
        <w:t>). וכך כותב תלמיד רש"י, ר' שמחה מוִיטרי (</w:t>
      </w:r>
      <w:r>
        <w:rPr>
          <w:sz w:val="18"/>
          <w:szCs w:val="20"/>
          <w:rtl/>
        </w:rPr>
        <w:t>מחזור ויטרי סימן תכ</w:t>
      </w:r>
      <w:r>
        <w:rPr>
          <w:rFonts w:hint="cs"/>
          <w:sz w:val="18"/>
          <w:szCs w:val="20"/>
          <w:rtl/>
        </w:rPr>
        <w:t>"</w:t>
      </w:r>
      <w:r>
        <w:rPr>
          <w:sz w:val="18"/>
          <w:szCs w:val="20"/>
          <w:rtl/>
        </w:rPr>
        <w:t>ז</w:t>
      </w:r>
      <w:r>
        <w:rPr>
          <w:rFonts w:hint="cs"/>
          <w:rtl/>
        </w:rPr>
        <w:t>) בפירושו למשנה בפרקי אבות (</w:t>
      </w:r>
      <w:r>
        <w:rPr>
          <w:sz w:val="18"/>
          <w:szCs w:val="20"/>
          <w:rtl/>
        </w:rPr>
        <w:t>פ</w:t>
      </w:r>
      <w:r>
        <w:rPr>
          <w:rFonts w:hint="cs"/>
          <w:sz w:val="18"/>
          <w:szCs w:val="20"/>
          <w:rtl/>
        </w:rPr>
        <w:t>"</w:t>
      </w:r>
      <w:r>
        <w:rPr>
          <w:sz w:val="18"/>
          <w:szCs w:val="20"/>
          <w:rtl/>
        </w:rPr>
        <w:t>ד מ</w:t>
      </w:r>
      <w:r>
        <w:rPr>
          <w:rFonts w:hint="cs"/>
          <w:sz w:val="18"/>
          <w:szCs w:val="20"/>
          <w:rtl/>
        </w:rPr>
        <w:t>"</w:t>
      </w:r>
      <w:r>
        <w:rPr>
          <w:sz w:val="18"/>
          <w:szCs w:val="20"/>
          <w:rtl/>
        </w:rPr>
        <w:t>ג</w:t>
      </w:r>
      <w:r>
        <w:rPr>
          <w:rStyle w:val="a3"/>
          <w:sz w:val="18"/>
          <w:rtl/>
        </w:rPr>
        <w:footnoteReference w:id="21"/>
      </w:r>
      <w:r>
        <w:rPr>
          <w:rFonts w:hint="cs"/>
          <w:rtl/>
        </w:rPr>
        <w:t>): "</w:t>
      </w:r>
      <w:r>
        <w:rPr>
          <w:rtl/>
        </w:rPr>
        <w:t xml:space="preserve">ואל תהי </w:t>
      </w:r>
      <w:r>
        <w:rPr>
          <w:b/>
          <w:bCs/>
          <w:rtl/>
        </w:rPr>
        <w:t>מפליג</w:t>
      </w:r>
      <w:r>
        <w:rPr>
          <w:rtl/>
        </w:rPr>
        <w:t xml:space="preserve"> לכל דבר</w:t>
      </w:r>
      <w:r>
        <w:rPr>
          <w:rFonts w:hint="cs"/>
          <w:rtl/>
        </w:rPr>
        <w:t xml:space="preserve"> -</w:t>
      </w:r>
      <w:r>
        <w:rPr>
          <w:rtl/>
        </w:rPr>
        <w:t xml:space="preserve"> אל תהי דוח</w:t>
      </w:r>
      <w:r>
        <w:rPr>
          <w:rFonts w:hint="cs"/>
          <w:rtl/>
        </w:rPr>
        <w:t>ֶ</w:t>
      </w:r>
      <w:r>
        <w:rPr>
          <w:rtl/>
        </w:rPr>
        <w:t>ה ואומר על דבר הלכה למחר אשמענה</w:t>
      </w:r>
      <w:r>
        <w:rPr>
          <w:rFonts w:hint="cs"/>
          <w:rtl/>
        </w:rPr>
        <w:t>..</w:t>
      </w:r>
      <w:r>
        <w:rPr>
          <w:rtl/>
        </w:rPr>
        <w:t>. מפליג</w:t>
      </w:r>
      <w:r>
        <w:rPr>
          <w:rFonts w:hint="cs"/>
          <w:rtl/>
        </w:rPr>
        <w:t xml:space="preserve"> - </w:t>
      </w:r>
      <w:r>
        <w:rPr>
          <w:rtl/>
        </w:rPr>
        <w:t>כמו הפליגו בדברים</w:t>
      </w:r>
      <w:r>
        <w:rPr>
          <w:rFonts w:hint="cs"/>
          <w:rtl/>
        </w:rPr>
        <w:t xml:space="preserve"> (</w:t>
      </w:r>
      <w:r>
        <w:rPr>
          <w:sz w:val="18"/>
          <w:szCs w:val="20"/>
          <w:rtl/>
        </w:rPr>
        <w:t>יומא סו</w:t>
      </w:r>
      <w:r>
        <w:rPr>
          <w:rFonts w:hint="cs"/>
          <w:sz w:val="18"/>
          <w:szCs w:val="20"/>
          <w:rtl/>
        </w:rPr>
        <w:t xml:space="preserve">, </w:t>
      </w:r>
      <w:r>
        <w:rPr>
          <w:sz w:val="18"/>
          <w:szCs w:val="20"/>
          <w:rtl/>
        </w:rPr>
        <w:t xml:space="preserve">ב </w:t>
      </w:r>
      <w:r>
        <w:rPr>
          <w:rFonts w:hint="cs"/>
          <w:sz w:val="18"/>
          <w:szCs w:val="20"/>
          <w:rtl/>
        </w:rPr>
        <w:t>ו</w:t>
      </w:r>
      <w:r>
        <w:rPr>
          <w:sz w:val="18"/>
          <w:szCs w:val="20"/>
          <w:rtl/>
        </w:rPr>
        <w:t>סוכה כז</w:t>
      </w:r>
      <w:r>
        <w:rPr>
          <w:rFonts w:hint="cs"/>
          <w:sz w:val="18"/>
          <w:szCs w:val="20"/>
          <w:rtl/>
        </w:rPr>
        <w:t xml:space="preserve">, </w:t>
      </w:r>
      <w:r>
        <w:rPr>
          <w:sz w:val="18"/>
          <w:szCs w:val="20"/>
          <w:rtl/>
        </w:rPr>
        <w:t xml:space="preserve">ב </w:t>
      </w:r>
      <w:r>
        <w:rPr>
          <w:rFonts w:hint="cs"/>
          <w:sz w:val="18"/>
          <w:szCs w:val="20"/>
          <w:rtl/>
        </w:rPr>
        <w:t xml:space="preserve"> עי"ש ברש"י</w:t>
      </w:r>
      <w:r>
        <w:rPr>
          <w:rFonts w:hint="cs"/>
          <w:rtl/>
        </w:rPr>
        <w:t xml:space="preserve">), </w:t>
      </w:r>
      <w:r>
        <w:rPr>
          <w:rtl/>
        </w:rPr>
        <w:t>לשון הבדלה וחילוק</w:t>
      </w:r>
      <w:r>
        <w:rPr>
          <w:rFonts w:hint="cs"/>
          <w:rtl/>
        </w:rPr>
        <w:t xml:space="preserve">, </w:t>
      </w:r>
      <w:r>
        <w:rPr>
          <w:rtl/>
        </w:rPr>
        <w:t>ולשון מפליגין בספינה</w:t>
      </w:r>
      <w:r>
        <w:rPr>
          <w:rFonts w:hint="cs"/>
          <w:rtl/>
        </w:rPr>
        <w:t xml:space="preserve"> </w:t>
      </w:r>
      <w:r>
        <w:rPr>
          <w:rtl/>
        </w:rPr>
        <w:t>בשבת</w:t>
      </w:r>
      <w:r>
        <w:rPr>
          <w:rFonts w:hint="cs"/>
          <w:rtl/>
        </w:rPr>
        <w:t xml:space="preserve">". </w:t>
      </w:r>
    </w:p>
    <w:p w14:paraId="07F25206" w14:textId="77777777" w:rsidR="00F66C44" w:rsidRDefault="00F66C44">
      <w:pPr>
        <w:autoSpaceDE w:val="0"/>
        <w:autoSpaceDN w:val="0"/>
        <w:adjustRightInd w:val="0"/>
        <w:ind w:firstLine="284"/>
        <w:rPr>
          <w:rFonts w:hint="cs"/>
          <w:rtl/>
        </w:rPr>
      </w:pPr>
      <w:r>
        <w:rPr>
          <w:rFonts w:hint="cs"/>
          <w:b/>
          <w:bCs/>
          <w:rtl/>
        </w:rPr>
        <w:t xml:space="preserve">ג) </w:t>
      </w:r>
      <w:r>
        <w:rPr>
          <w:rFonts w:hint="cs"/>
          <w:rtl/>
        </w:rPr>
        <w:t>יתכן שרש"י הסיק ש"הפלגה" קשורה ל"פרישה" מתוך השימוש המסורג של שם הפֹעַל</w:t>
      </w:r>
      <w:r>
        <w:rPr>
          <w:rtl/>
        </w:rPr>
        <w:t xml:space="preserve"> </w:t>
      </w:r>
      <w:r>
        <w:rPr>
          <w:rFonts w:hint="cs"/>
          <w:rtl/>
        </w:rPr>
        <w:t>"</w:t>
      </w:r>
      <w:r>
        <w:rPr>
          <w:rtl/>
        </w:rPr>
        <w:t>ל</w:t>
      </w:r>
      <w:r>
        <w:rPr>
          <w:rFonts w:hint="cs"/>
          <w:rtl/>
        </w:rPr>
        <w:t>ִ</w:t>
      </w:r>
      <w:r>
        <w:rPr>
          <w:rtl/>
        </w:rPr>
        <w:t>פרוש</w:t>
      </w:r>
      <w:r>
        <w:rPr>
          <w:rFonts w:hint="cs"/>
          <w:rtl/>
        </w:rPr>
        <w:t>ׁ" יחד עם הפֹעַל</w:t>
      </w:r>
      <w:r>
        <w:rPr>
          <w:rtl/>
        </w:rPr>
        <w:t xml:space="preserve"> </w:t>
      </w:r>
      <w:r>
        <w:rPr>
          <w:rFonts w:hint="cs"/>
          <w:rtl/>
        </w:rPr>
        <w:t>"מפליגין" בלשון המדרשים המזכירים את סוגייתנו (</w:t>
      </w:r>
      <w:r>
        <w:rPr>
          <w:sz w:val="18"/>
          <w:szCs w:val="20"/>
          <w:rtl/>
        </w:rPr>
        <w:t>במדבר רבה</w:t>
      </w:r>
      <w:r>
        <w:rPr>
          <w:rFonts w:hint="cs"/>
          <w:sz w:val="18"/>
          <w:szCs w:val="20"/>
          <w:rtl/>
        </w:rPr>
        <w:t>,</w:t>
      </w:r>
      <w:r>
        <w:rPr>
          <w:sz w:val="18"/>
          <w:szCs w:val="20"/>
          <w:rtl/>
        </w:rPr>
        <w:t xml:space="preserve"> פרשה טז</w:t>
      </w:r>
      <w:r>
        <w:rPr>
          <w:rFonts w:hint="cs"/>
          <w:sz w:val="18"/>
          <w:szCs w:val="20"/>
          <w:rtl/>
        </w:rPr>
        <w:t>;</w:t>
      </w:r>
      <w:r>
        <w:rPr>
          <w:sz w:val="18"/>
          <w:szCs w:val="20"/>
          <w:rtl/>
        </w:rPr>
        <w:t xml:space="preserve"> מדרש תנחומא</w:t>
      </w:r>
      <w:r>
        <w:rPr>
          <w:rFonts w:hint="cs"/>
          <w:sz w:val="18"/>
          <w:szCs w:val="20"/>
          <w:rtl/>
        </w:rPr>
        <w:t xml:space="preserve">, </w:t>
      </w:r>
      <w:r>
        <w:rPr>
          <w:sz w:val="18"/>
          <w:szCs w:val="20"/>
          <w:rtl/>
        </w:rPr>
        <w:t>בובר</w:t>
      </w:r>
      <w:r>
        <w:rPr>
          <w:rFonts w:hint="cs"/>
          <w:sz w:val="18"/>
          <w:szCs w:val="20"/>
          <w:rtl/>
        </w:rPr>
        <w:t>,</w:t>
      </w:r>
      <w:r>
        <w:rPr>
          <w:sz w:val="18"/>
          <w:szCs w:val="20"/>
          <w:rtl/>
        </w:rPr>
        <w:t xml:space="preserve"> שלח</w:t>
      </w:r>
      <w:r>
        <w:rPr>
          <w:rFonts w:hint="cs"/>
          <w:sz w:val="18"/>
          <w:szCs w:val="20"/>
          <w:rtl/>
        </w:rPr>
        <w:t xml:space="preserve">, </w:t>
      </w:r>
      <w:r>
        <w:rPr>
          <w:sz w:val="18"/>
          <w:szCs w:val="20"/>
          <w:rtl/>
        </w:rPr>
        <w:t>א</w:t>
      </w:r>
      <w:r>
        <w:rPr>
          <w:rFonts w:hint="cs"/>
          <w:sz w:val="18"/>
          <w:szCs w:val="20"/>
          <w:rtl/>
        </w:rPr>
        <w:t xml:space="preserve">'; </w:t>
      </w:r>
      <w:r>
        <w:rPr>
          <w:sz w:val="18"/>
          <w:szCs w:val="20"/>
          <w:rtl/>
        </w:rPr>
        <w:t>ילקוט שמעוני</w:t>
      </w:r>
      <w:r>
        <w:rPr>
          <w:rFonts w:hint="cs"/>
          <w:sz w:val="18"/>
          <w:szCs w:val="20"/>
          <w:rtl/>
        </w:rPr>
        <w:t xml:space="preserve">, </w:t>
      </w:r>
      <w:r>
        <w:rPr>
          <w:sz w:val="18"/>
          <w:szCs w:val="20"/>
          <w:rtl/>
        </w:rPr>
        <w:t>שלח</w:t>
      </w:r>
      <w:r>
        <w:rPr>
          <w:rFonts w:hint="cs"/>
          <w:sz w:val="18"/>
          <w:szCs w:val="20"/>
          <w:rtl/>
        </w:rPr>
        <w:t>,</w:t>
      </w:r>
      <w:r>
        <w:rPr>
          <w:sz w:val="18"/>
          <w:szCs w:val="20"/>
          <w:rtl/>
        </w:rPr>
        <w:t xml:space="preserve"> רמז תשמ</w:t>
      </w:r>
      <w:r>
        <w:rPr>
          <w:rFonts w:hint="cs"/>
          <w:sz w:val="18"/>
          <w:szCs w:val="20"/>
          <w:rtl/>
        </w:rPr>
        <w:t>"</w:t>
      </w:r>
      <w:r>
        <w:rPr>
          <w:sz w:val="18"/>
          <w:szCs w:val="20"/>
          <w:rtl/>
        </w:rPr>
        <w:t>ב</w:t>
      </w:r>
      <w:r>
        <w:rPr>
          <w:rFonts w:hint="cs"/>
          <w:rtl/>
        </w:rPr>
        <w:t>): "</w:t>
      </w:r>
      <w:r>
        <w:rPr>
          <w:rtl/>
        </w:rPr>
        <w:t>הלכה</w:t>
      </w:r>
      <w:r>
        <w:rPr>
          <w:rFonts w:hint="cs"/>
          <w:rtl/>
        </w:rPr>
        <w:t>:</w:t>
      </w:r>
      <w:r>
        <w:rPr>
          <w:rtl/>
        </w:rPr>
        <w:t xml:space="preserve"> מהו </w:t>
      </w:r>
      <w:r>
        <w:rPr>
          <w:b/>
          <w:bCs/>
          <w:rtl/>
        </w:rPr>
        <w:t>לפרוש</w:t>
      </w:r>
      <w:r>
        <w:rPr>
          <w:rtl/>
        </w:rPr>
        <w:t xml:space="preserve"> לים הגדול קודם לשבת שלשה ימים</w:t>
      </w:r>
      <w:r>
        <w:rPr>
          <w:rFonts w:hint="cs"/>
          <w:rtl/>
        </w:rPr>
        <w:t>?</w:t>
      </w:r>
      <w:r>
        <w:rPr>
          <w:rtl/>
        </w:rPr>
        <w:t xml:space="preserve"> שנו רבותינו</w:t>
      </w:r>
      <w:r>
        <w:rPr>
          <w:rFonts w:hint="cs"/>
          <w:rtl/>
        </w:rPr>
        <w:t>:</w:t>
      </w:r>
      <w:r>
        <w:rPr>
          <w:rtl/>
        </w:rPr>
        <w:t xml:space="preserve"> אין </w:t>
      </w:r>
      <w:r>
        <w:rPr>
          <w:b/>
          <w:bCs/>
          <w:rtl/>
        </w:rPr>
        <w:t>מפליגין</w:t>
      </w:r>
      <w:r>
        <w:rPr>
          <w:rtl/>
        </w:rPr>
        <w:t xml:space="preserve"> בספינה בים</w:t>
      </w:r>
      <w:r>
        <w:rPr>
          <w:rStyle w:val="a3"/>
          <w:rtl/>
        </w:rPr>
        <w:footnoteReference w:id="22"/>
      </w:r>
      <w:r>
        <w:rPr>
          <w:rtl/>
        </w:rPr>
        <w:t xml:space="preserve"> הגדול שלשה ימים קודם לשבת</w:t>
      </w:r>
      <w:r>
        <w:rPr>
          <w:rFonts w:hint="cs"/>
          <w:rtl/>
        </w:rPr>
        <w:t xml:space="preserve">, </w:t>
      </w:r>
      <w:r>
        <w:rPr>
          <w:rtl/>
        </w:rPr>
        <w:t>בזמן שהוא הולך למקום רחוק</w:t>
      </w:r>
      <w:r>
        <w:rPr>
          <w:rFonts w:hint="cs"/>
          <w:rtl/>
        </w:rPr>
        <w:t>,</w:t>
      </w:r>
      <w:r>
        <w:rPr>
          <w:rtl/>
        </w:rPr>
        <w:t xml:space="preserve"> אבל אם מבקש </w:t>
      </w:r>
      <w:r>
        <w:rPr>
          <w:b/>
          <w:bCs/>
          <w:rtl/>
        </w:rPr>
        <w:t>לפרוש</w:t>
      </w:r>
      <w:r>
        <w:rPr>
          <w:rtl/>
        </w:rPr>
        <w:t xml:space="preserve"> כמו מ</w:t>
      </w:r>
      <w:r>
        <w:rPr>
          <w:rFonts w:hint="cs"/>
          <w:rtl/>
        </w:rPr>
        <w:t>ִ</w:t>
      </w:r>
      <w:r>
        <w:rPr>
          <w:rtl/>
        </w:rPr>
        <w:t xml:space="preserve">צור לצידון מותר לו </w:t>
      </w:r>
      <w:r>
        <w:rPr>
          <w:b/>
          <w:bCs/>
          <w:rtl/>
        </w:rPr>
        <w:t>לפרוש</w:t>
      </w:r>
      <w:r>
        <w:rPr>
          <w:rtl/>
        </w:rPr>
        <w:t xml:space="preserve"> אפי' בערב שבת</w:t>
      </w:r>
      <w:r>
        <w:rPr>
          <w:rFonts w:hint="cs"/>
          <w:rtl/>
        </w:rPr>
        <w:t xml:space="preserve">". </w:t>
      </w:r>
    </w:p>
    <w:p w14:paraId="764172A3" w14:textId="77777777" w:rsidR="00F66C44" w:rsidRDefault="00F66C44">
      <w:pPr>
        <w:autoSpaceDE w:val="0"/>
        <w:autoSpaceDN w:val="0"/>
        <w:adjustRightInd w:val="0"/>
        <w:ind w:firstLine="284"/>
        <w:rPr>
          <w:rFonts w:hint="cs"/>
          <w:rtl/>
        </w:rPr>
      </w:pPr>
      <w:r>
        <w:rPr>
          <w:rFonts w:hint="cs"/>
          <w:b/>
          <w:bCs/>
          <w:rtl/>
        </w:rPr>
        <w:lastRenderedPageBreak/>
        <w:t xml:space="preserve">ד) </w:t>
      </w:r>
      <w:r>
        <w:rPr>
          <w:rFonts w:hint="cs"/>
          <w:rtl/>
        </w:rPr>
        <w:t xml:space="preserve">יתכן שחקירה לשונית זו שבפירוש רש"י לא נועדה רק לשם ההבנה המילולית של פעולת ההפלגה וגזרונה, כי אם לצורך הבנת איסור ההפלגה ופרטיו, הלכה למעשה, כדלהלן. </w:t>
      </w:r>
    </w:p>
    <w:p w14:paraId="47D7DBD6" w14:textId="77777777" w:rsidR="00F66C44" w:rsidRDefault="00F66C44">
      <w:pPr>
        <w:autoSpaceDE w:val="0"/>
        <w:autoSpaceDN w:val="0"/>
        <w:adjustRightInd w:val="0"/>
        <w:ind w:firstLine="284"/>
        <w:rPr>
          <w:rFonts w:hint="cs"/>
          <w:rtl/>
        </w:rPr>
      </w:pPr>
    </w:p>
    <w:p w14:paraId="3F198E10" w14:textId="77777777" w:rsidR="00F66C44" w:rsidRDefault="00F66C44">
      <w:pPr>
        <w:autoSpaceDE w:val="0"/>
        <w:autoSpaceDN w:val="0"/>
        <w:adjustRightInd w:val="0"/>
        <w:ind w:firstLine="284"/>
        <w:rPr>
          <w:rFonts w:hint="cs"/>
          <w:rtl/>
        </w:rPr>
      </w:pPr>
      <w:r>
        <w:rPr>
          <w:rFonts w:hint="cs"/>
          <w:rtl/>
        </w:rPr>
        <w:t>בלשון הברייתא מצאנו כמה נוסחאות. הנוסח הקצר ביותר הוא</w:t>
      </w:r>
      <w:r>
        <w:rPr>
          <w:rtl/>
        </w:rPr>
        <w:t xml:space="preserve">: </w:t>
      </w:r>
      <w:r>
        <w:rPr>
          <w:rFonts w:hint="cs"/>
          <w:rtl/>
        </w:rPr>
        <w:t>"</w:t>
      </w:r>
      <w:r>
        <w:rPr>
          <w:rtl/>
        </w:rPr>
        <w:t xml:space="preserve">אין </w:t>
      </w:r>
      <w:r>
        <w:rPr>
          <w:b/>
          <w:bCs/>
          <w:rtl/>
        </w:rPr>
        <w:t>מפליגין</w:t>
      </w:r>
      <w:r>
        <w:rPr>
          <w:rtl/>
        </w:rPr>
        <w:t xml:space="preserve"> פחות מג' ימים קודם השבת</w:t>
      </w:r>
      <w:r>
        <w:rPr>
          <w:rFonts w:hint="cs"/>
          <w:rtl/>
        </w:rPr>
        <w:t>"</w:t>
      </w:r>
      <w:r>
        <w:rPr>
          <w:rStyle w:val="a3"/>
          <w:rtl/>
        </w:rPr>
        <w:footnoteReference w:id="23"/>
      </w:r>
      <w:r>
        <w:rPr>
          <w:rFonts w:hint="cs"/>
          <w:rtl/>
        </w:rPr>
        <w:t>. מניסוח כוללני זה ניתן אף להבין שהברייתא אוסרת כל יציאה לדרך רחוקה ומופלגת, ואפילו ביבשה</w:t>
      </w:r>
      <w:r>
        <w:rPr>
          <w:rStyle w:val="a3"/>
          <w:rtl/>
        </w:rPr>
        <w:footnoteReference w:id="24"/>
      </w:r>
      <w:r>
        <w:rPr>
          <w:rFonts w:hint="cs"/>
          <w:rtl/>
        </w:rPr>
        <w:t>.</w:t>
      </w:r>
      <w:r>
        <w:rPr>
          <w:rtl/>
        </w:rPr>
        <w:t xml:space="preserve"> </w:t>
      </w:r>
      <w:r>
        <w:rPr>
          <w:rFonts w:hint="cs"/>
          <w:rtl/>
        </w:rPr>
        <w:t>בנוסח שב</w:t>
      </w:r>
      <w:r>
        <w:rPr>
          <w:rtl/>
        </w:rPr>
        <w:t>תוספתא</w:t>
      </w:r>
      <w:r>
        <w:rPr>
          <w:rFonts w:hint="cs"/>
          <w:rtl/>
        </w:rPr>
        <w:t xml:space="preserve"> מפורט מעט יותר: "</w:t>
      </w:r>
      <w:r>
        <w:rPr>
          <w:rtl/>
        </w:rPr>
        <w:t xml:space="preserve">אין מפליגין </w:t>
      </w:r>
      <w:r>
        <w:rPr>
          <w:b/>
          <w:bCs/>
          <w:rtl/>
        </w:rPr>
        <w:t>בים הגדול</w:t>
      </w:r>
      <w:r>
        <w:rPr>
          <w:rFonts w:hint="cs"/>
          <w:rtl/>
        </w:rPr>
        <w:t>"</w:t>
      </w:r>
      <w:r>
        <w:rPr>
          <w:rStyle w:val="a3"/>
          <w:rtl/>
        </w:rPr>
        <w:footnoteReference w:id="25"/>
      </w:r>
      <w:r>
        <w:rPr>
          <w:rFonts w:hint="cs"/>
          <w:rtl/>
        </w:rPr>
        <w:t xml:space="preserve">. גם ניסוח זה פתוח לפרשנויות שונות: האם חז"ל אסרו שייט בסירה לאורך חוף הים (בלבד), או (גם/רק) הפלגה בספינה בלב ים? </w:t>
      </w:r>
    </w:p>
    <w:p w14:paraId="526BD62D" w14:textId="77777777" w:rsidR="00F66C44" w:rsidRDefault="00F66C44">
      <w:pPr>
        <w:autoSpaceDE w:val="0"/>
        <w:autoSpaceDN w:val="0"/>
        <w:adjustRightInd w:val="0"/>
        <w:ind w:firstLine="284"/>
        <w:rPr>
          <w:rFonts w:hint="cs"/>
          <w:rtl/>
        </w:rPr>
      </w:pPr>
      <w:r>
        <w:rPr>
          <w:rFonts w:hint="cs"/>
          <w:rtl/>
        </w:rPr>
        <w:t>ה</w:t>
      </w:r>
      <w:r>
        <w:rPr>
          <w:rtl/>
        </w:rPr>
        <w:t xml:space="preserve">רי"ף </w:t>
      </w:r>
      <w:r>
        <w:rPr>
          <w:rFonts w:hint="cs"/>
          <w:rtl/>
        </w:rPr>
        <w:t>בהלכותיו כותב (</w:t>
      </w:r>
      <w:r>
        <w:rPr>
          <w:sz w:val="20"/>
          <w:szCs w:val="20"/>
          <w:rtl/>
        </w:rPr>
        <w:t>ז</w:t>
      </w:r>
      <w:r>
        <w:rPr>
          <w:rFonts w:hint="cs"/>
          <w:sz w:val="20"/>
          <w:szCs w:val="20"/>
          <w:rtl/>
        </w:rPr>
        <w:t xml:space="preserve">, </w:t>
      </w:r>
      <w:r>
        <w:rPr>
          <w:sz w:val="20"/>
          <w:szCs w:val="20"/>
          <w:rtl/>
        </w:rPr>
        <w:t>ב</w:t>
      </w:r>
      <w:r>
        <w:rPr>
          <w:rFonts w:hint="cs"/>
          <w:rtl/>
        </w:rPr>
        <w:t>) בשם רבנו חננאל: "</w:t>
      </w:r>
      <w:r>
        <w:rPr>
          <w:rtl/>
        </w:rPr>
        <w:t xml:space="preserve">יש מי שאומר הא דתניא </w:t>
      </w:r>
      <w:r>
        <w:rPr>
          <w:rFonts w:hint="cs"/>
          <w:rtl/>
        </w:rPr>
        <w:t>'</w:t>
      </w:r>
      <w:r>
        <w:rPr>
          <w:rtl/>
        </w:rPr>
        <w:t>אין מפליגין בספינה פחות מג' ימים קודם השבת</w:t>
      </w:r>
      <w:r>
        <w:rPr>
          <w:rFonts w:hint="cs"/>
          <w:rtl/>
        </w:rPr>
        <w:t>' -</w:t>
      </w:r>
      <w:r>
        <w:rPr>
          <w:rtl/>
        </w:rPr>
        <w:t xml:space="preserve"> בזמן שהספינה גוששת ואין במים עשרה טפחים ומשום גזירת תחומין גזרו בה</w:t>
      </w:r>
      <w:r>
        <w:rPr>
          <w:rFonts w:hint="cs"/>
          <w:rtl/>
        </w:rPr>
        <w:t>,</w:t>
      </w:r>
      <w:r>
        <w:rPr>
          <w:rtl/>
        </w:rPr>
        <w:t xml:space="preserve"> אבל למעלה מ</w:t>
      </w:r>
      <w:r>
        <w:rPr>
          <w:rFonts w:hint="cs"/>
          <w:rtl/>
        </w:rPr>
        <w:t>עשרה</w:t>
      </w:r>
      <w:r>
        <w:rPr>
          <w:rtl/>
        </w:rPr>
        <w:t xml:space="preserve"> טפחים לא גזרו</w:t>
      </w:r>
      <w:r>
        <w:rPr>
          <w:rFonts w:hint="cs"/>
          <w:rtl/>
        </w:rPr>
        <w:t>,</w:t>
      </w:r>
      <w:r>
        <w:rPr>
          <w:rtl/>
        </w:rPr>
        <w:t xml:space="preserve"> ומשום הכי נהגו העם להפליג בים הגדול</w:t>
      </w:r>
      <w:r>
        <w:rPr>
          <w:rFonts w:hint="cs"/>
          <w:rtl/>
        </w:rPr>
        <w:t>". מנוסח הברייתא שבסוגייתנו "</w:t>
      </w:r>
      <w:r>
        <w:rPr>
          <w:rtl/>
        </w:rPr>
        <w:t xml:space="preserve">אין מפליגין </w:t>
      </w:r>
      <w:r>
        <w:rPr>
          <w:b/>
          <w:bCs/>
          <w:rtl/>
        </w:rPr>
        <w:t>בספינה</w:t>
      </w:r>
      <w:r>
        <w:rPr>
          <w:rFonts w:hint="cs"/>
          <w:rtl/>
        </w:rPr>
        <w:t>" הוכיח ה</w:t>
      </w:r>
      <w:r>
        <w:rPr>
          <w:rtl/>
        </w:rPr>
        <w:t xml:space="preserve">רי"ף </w:t>
      </w:r>
      <w:r>
        <w:rPr>
          <w:rFonts w:hint="cs"/>
          <w:rtl/>
        </w:rPr>
        <w:t>(</w:t>
      </w:r>
      <w:r>
        <w:rPr>
          <w:rFonts w:hint="cs"/>
          <w:sz w:val="18"/>
          <w:szCs w:val="20"/>
          <w:rtl/>
        </w:rPr>
        <w:t>במהדורה האחרונה של הלכות רב אלפס, וכמודפס לפנינו</w:t>
      </w:r>
      <w:r>
        <w:rPr>
          <w:rFonts w:hint="cs"/>
          <w:rtl/>
        </w:rPr>
        <w:t>) שהאיסור כולל כל שייט בים: "</w:t>
      </w:r>
      <w:r>
        <w:rPr>
          <w:rtl/>
        </w:rPr>
        <w:t>והאי טעמא פריכא הוא</w:t>
      </w:r>
      <w:r>
        <w:rPr>
          <w:rFonts w:hint="cs"/>
          <w:rtl/>
        </w:rPr>
        <w:t>!</w:t>
      </w:r>
      <w:r>
        <w:rPr>
          <w:rtl/>
        </w:rPr>
        <w:t xml:space="preserve"> דאי מהאי טעמא הוא דאין מפליגין</w:t>
      </w:r>
      <w:r>
        <w:rPr>
          <w:rFonts w:hint="cs"/>
          <w:rtl/>
        </w:rPr>
        <w:t>,</w:t>
      </w:r>
      <w:r>
        <w:rPr>
          <w:rtl/>
        </w:rPr>
        <w:t xml:space="preserve"> הוה ליה למיתנא </w:t>
      </w:r>
      <w:r>
        <w:rPr>
          <w:rFonts w:hint="cs"/>
          <w:rtl/>
        </w:rPr>
        <w:t>'</w:t>
      </w:r>
      <w:r>
        <w:rPr>
          <w:rtl/>
        </w:rPr>
        <w:t xml:space="preserve">אין מפליגין בספינה </w:t>
      </w:r>
      <w:r>
        <w:rPr>
          <w:b/>
          <w:bCs/>
          <w:rtl/>
        </w:rPr>
        <w:t>קטנה</w:t>
      </w:r>
      <w:r>
        <w:rPr>
          <w:rFonts w:hint="cs"/>
          <w:b/>
          <w:bCs/>
          <w:rtl/>
        </w:rPr>
        <w:t>'</w:t>
      </w:r>
      <w:r>
        <w:rPr>
          <w:rFonts w:hint="cs"/>
          <w:rtl/>
        </w:rPr>
        <w:t>!</w:t>
      </w:r>
      <w:r>
        <w:rPr>
          <w:rtl/>
        </w:rPr>
        <w:t xml:space="preserve"> אמאי תני </w:t>
      </w:r>
      <w:r>
        <w:rPr>
          <w:rFonts w:hint="cs"/>
          <w:rtl/>
        </w:rPr>
        <w:t>'</w:t>
      </w:r>
      <w:r>
        <w:rPr>
          <w:rtl/>
        </w:rPr>
        <w:t>ספינה</w:t>
      </w:r>
      <w:r>
        <w:rPr>
          <w:rFonts w:hint="cs"/>
          <w:rtl/>
        </w:rPr>
        <w:t>'</w:t>
      </w:r>
      <w:r>
        <w:rPr>
          <w:rtl/>
        </w:rPr>
        <w:t xml:space="preserve"> סתם דמשמע בין קטנה בין גדולה</w:t>
      </w:r>
      <w:r>
        <w:rPr>
          <w:rFonts w:hint="cs"/>
          <w:rtl/>
        </w:rPr>
        <w:t>".</w:t>
      </w:r>
    </w:p>
    <w:p w14:paraId="0E045870" w14:textId="77777777" w:rsidR="00F66C44" w:rsidRDefault="00F66C44">
      <w:pPr>
        <w:autoSpaceDE w:val="0"/>
        <w:autoSpaceDN w:val="0"/>
        <w:adjustRightInd w:val="0"/>
        <w:ind w:firstLine="284"/>
        <w:rPr>
          <w:rFonts w:hint="cs"/>
          <w:rtl/>
        </w:rPr>
      </w:pPr>
      <w:r>
        <w:rPr>
          <w:rFonts w:hint="cs"/>
          <w:rtl/>
        </w:rPr>
        <w:t>גם נוסח הברייתא שבסוגייתנו פתוח לפרשנויות שונות: האם האיסור הוא בספינה המפליגה בים או בנהר? הניסוח המפורט ביותר מופיע ב</w:t>
      </w:r>
      <w:r>
        <w:rPr>
          <w:rtl/>
        </w:rPr>
        <w:t>מדרש תנאים לדברים</w:t>
      </w:r>
      <w:r>
        <w:rPr>
          <w:rStyle w:val="a3"/>
          <w:rtl/>
        </w:rPr>
        <w:footnoteReference w:id="26"/>
      </w:r>
      <w:r>
        <w:rPr>
          <w:rFonts w:hint="cs"/>
          <w:rtl/>
        </w:rPr>
        <w:t>: "</w:t>
      </w:r>
      <w:r>
        <w:rPr>
          <w:rtl/>
        </w:rPr>
        <w:t>רבי אומר</w:t>
      </w:r>
      <w:r>
        <w:rPr>
          <w:rFonts w:hint="cs"/>
          <w:rtl/>
        </w:rPr>
        <w:t>:</w:t>
      </w:r>
      <w:r>
        <w:rPr>
          <w:rtl/>
        </w:rPr>
        <w:t xml:space="preserve"> זה אחד מן הדברים שדרש שמאי הזקן</w:t>
      </w:r>
      <w:r>
        <w:rPr>
          <w:rStyle w:val="a3"/>
          <w:rtl/>
        </w:rPr>
        <w:footnoteReference w:id="27"/>
      </w:r>
      <w:r>
        <w:rPr>
          <w:rFonts w:hint="cs"/>
          <w:rtl/>
        </w:rPr>
        <w:t>:</w:t>
      </w:r>
      <w:r>
        <w:rPr>
          <w:rtl/>
        </w:rPr>
        <w:t xml:space="preserve"> אין מפליגין </w:t>
      </w:r>
      <w:r>
        <w:rPr>
          <w:b/>
          <w:bCs/>
          <w:rtl/>
        </w:rPr>
        <w:t>את הספינה בים הגדול</w:t>
      </w:r>
      <w:r>
        <w:rPr>
          <w:rFonts w:hint="cs"/>
          <w:rtl/>
        </w:rPr>
        <w:t xml:space="preserve">". האמנם ניתן לדייק מכאן שהפלגה נאסרה רק בים, </w:t>
      </w:r>
      <w:r>
        <w:rPr>
          <w:rFonts w:hint="cs"/>
          <w:rtl/>
        </w:rPr>
        <w:lastRenderedPageBreak/>
        <w:t>אך בנהרות מותרת? ואולי אדרבה! העובדה שהבבלי הביא ברייתא זו ללא הגבלת מקום, מוכיחה שהאיסור כולל גם את הנהרות.</w:t>
      </w:r>
    </w:p>
    <w:p w14:paraId="57C17D3A" w14:textId="77777777" w:rsidR="00F66C44" w:rsidRDefault="00F66C44">
      <w:pPr>
        <w:autoSpaceDE w:val="0"/>
        <w:autoSpaceDN w:val="0"/>
        <w:adjustRightInd w:val="0"/>
        <w:ind w:firstLine="284"/>
        <w:rPr>
          <w:rFonts w:hint="cs"/>
          <w:rtl/>
        </w:rPr>
      </w:pPr>
      <w:r>
        <w:rPr>
          <w:rFonts w:hint="cs"/>
          <w:rtl/>
        </w:rPr>
        <w:t>לדעת הרי"ף (</w:t>
      </w:r>
      <w:r>
        <w:rPr>
          <w:rFonts w:hint="cs"/>
          <w:sz w:val="18"/>
          <w:szCs w:val="20"/>
          <w:rtl/>
        </w:rPr>
        <w:t>שם, וכ"כ בתשובה שי"ז</w:t>
      </w:r>
      <w:r>
        <w:rPr>
          <w:rFonts w:hint="cs"/>
          <w:rtl/>
        </w:rPr>
        <w:t>), טעם האיסור הוא: "</w:t>
      </w:r>
      <w:r>
        <w:rPr>
          <w:rtl/>
        </w:rPr>
        <w:t>משום ב</w:t>
      </w:r>
      <w:r>
        <w:rPr>
          <w:rFonts w:hint="cs"/>
          <w:rtl/>
        </w:rPr>
        <w:t>ִ</w:t>
      </w:r>
      <w:r>
        <w:rPr>
          <w:rtl/>
        </w:rPr>
        <w:t>טול מצות עונג שבת</w:t>
      </w:r>
      <w:r>
        <w:rPr>
          <w:rFonts w:hint="cs"/>
          <w:rtl/>
        </w:rPr>
        <w:t>,</w:t>
      </w:r>
      <w:r>
        <w:rPr>
          <w:rtl/>
        </w:rPr>
        <w:t xml:space="preserve"> דכל ג' ימים הויא להו שינוי וסת משום נענוע הספינה</w:t>
      </w:r>
      <w:r>
        <w:rPr>
          <w:rFonts w:hint="cs"/>
          <w:rtl/>
        </w:rPr>
        <w:t>,</w:t>
      </w:r>
      <w:r>
        <w:rPr>
          <w:rtl/>
        </w:rPr>
        <w:t xml:space="preserve"> כדכתיב בהו </w:t>
      </w:r>
      <w:r>
        <w:rPr>
          <w:rFonts w:hint="cs"/>
          <w:rtl/>
        </w:rPr>
        <w:t>(</w:t>
      </w:r>
      <w:r>
        <w:rPr>
          <w:sz w:val="18"/>
          <w:szCs w:val="20"/>
          <w:rtl/>
        </w:rPr>
        <w:t>תהלים קז</w:t>
      </w:r>
      <w:r>
        <w:rPr>
          <w:rFonts w:hint="cs"/>
          <w:sz w:val="18"/>
          <w:szCs w:val="20"/>
          <w:rtl/>
        </w:rPr>
        <w:t xml:space="preserve">, </w:t>
      </w:r>
      <w:r>
        <w:rPr>
          <w:sz w:val="18"/>
          <w:szCs w:val="20"/>
          <w:rtl/>
        </w:rPr>
        <w:t>כז</w:t>
      </w:r>
      <w:r>
        <w:rPr>
          <w:rFonts w:hint="cs"/>
          <w:rtl/>
        </w:rPr>
        <w:t>): '</w:t>
      </w:r>
      <w:r>
        <w:rPr>
          <w:rtl/>
        </w:rPr>
        <w:t>יָחוֹגּוּ וְיָנוּעוּ כַּשִּׁכּוֹר</w:t>
      </w:r>
      <w:r>
        <w:rPr>
          <w:rFonts w:hint="cs"/>
          <w:rtl/>
        </w:rPr>
        <w:t xml:space="preserve">' </w:t>
      </w:r>
      <w:r>
        <w:rPr>
          <w:rtl/>
        </w:rPr>
        <w:t>וגו' ולא יכלי למעבד עונג שבת</w:t>
      </w:r>
      <w:r>
        <w:rPr>
          <w:rFonts w:hint="cs"/>
          <w:rtl/>
        </w:rPr>
        <w:t>". הרמב"ם (</w:t>
      </w:r>
      <w:r>
        <w:rPr>
          <w:rFonts w:hint="cs"/>
          <w:sz w:val="18"/>
          <w:szCs w:val="20"/>
          <w:rtl/>
        </w:rPr>
        <w:t xml:space="preserve">הל' </w:t>
      </w:r>
      <w:r>
        <w:rPr>
          <w:rFonts w:hint="eastAsia"/>
          <w:sz w:val="18"/>
          <w:szCs w:val="20"/>
          <w:rtl/>
        </w:rPr>
        <w:t>שבת</w:t>
      </w:r>
      <w:r>
        <w:rPr>
          <w:sz w:val="18"/>
          <w:szCs w:val="20"/>
          <w:rtl/>
        </w:rPr>
        <w:t xml:space="preserve"> </w:t>
      </w:r>
      <w:r>
        <w:rPr>
          <w:rFonts w:hint="cs"/>
          <w:sz w:val="18"/>
          <w:szCs w:val="20"/>
          <w:rtl/>
        </w:rPr>
        <w:t xml:space="preserve">כ"ד, ו'; </w:t>
      </w:r>
      <w:r>
        <w:rPr>
          <w:rFonts w:hint="eastAsia"/>
          <w:sz w:val="18"/>
          <w:szCs w:val="20"/>
          <w:rtl/>
        </w:rPr>
        <w:t>ל</w:t>
      </w:r>
      <w:r>
        <w:rPr>
          <w:sz w:val="18"/>
          <w:szCs w:val="20"/>
          <w:rtl/>
        </w:rPr>
        <w:t xml:space="preserve">', </w:t>
      </w:r>
      <w:r>
        <w:rPr>
          <w:rFonts w:hint="eastAsia"/>
          <w:sz w:val="18"/>
          <w:szCs w:val="20"/>
          <w:rtl/>
        </w:rPr>
        <w:t>י</w:t>
      </w:r>
      <w:r>
        <w:rPr>
          <w:sz w:val="18"/>
          <w:szCs w:val="20"/>
          <w:rtl/>
        </w:rPr>
        <w:t>"</w:t>
      </w:r>
      <w:r>
        <w:rPr>
          <w:rFonts w:hint="eastAsia"/>
          <w:sz w:val="18"/>
          <w:szCs w:val="20"/>
          <w:rtl/>
        </w:rPr>
        <w:t>ג</w:t>
      </w:r>
      <w:r>
        <w:rPr>
          <w:rFonts w:hint="cs"/>
          <w:rtl/>
        </w:rPr>
        <w:t>) פסק כשיטת הרי"ף, והוסיף בתשובה (</w:t>
      </w:r>
      <w:r>
        <w:rPr>
          <w:rFonts w:hint="cs"/>
          <w:sz w:val="18"/>
          <w:szCs w:val="20"/>
          <w:rtl/>
        </w:rPr>
        <w:t>כמובא</w:t>
      </w:r>
      <w:r>
        <w:rPr>
          <w:rFonts w:hint="eastAsia"/>
          <w:sz w:val="18"/>
          <w:szCs w:val="20"/>
          <w:rtl/>
        </w:rPr>
        <w:t xml:space="preserve"> במגיד</w:t>
      </w:r>
      <w:r>
        <w:rPr>
          <w:sz w:val="18"/>
          <w:szCs w:val="20"/>
          <w:rtl/>
        </w:rPr>
        <w:t xml:space="preserve"> </w:t>
      </w:r>
      <w:r>
        <w:rPr>
          <w:rFonts w:hint="eastAsia"/>
          <w:sz w:val="18"/>
          <w:szCs w:val="20"/>
          <w:rtl/>
        </w:rPr>
        <w:t>משנה</w:t>
      </w:r>
      <w:r>
        <w:rPr>
          <w:sz w:val="18"/>
          <w:szCs w:val="20"/>
          <w:rtl/>
        </w:rPr>
        <w:t xml:space="preserve"> </w:t>
      </w:r>
      <w:r>
        <w:rPr>
          <w:rFonts w:hint="eastAsia"/>
          <w:sz w:val="18"/>
          <w:szCs w:val="20"/>
          <w:rtl/>
        </w:rPr>
        <w:t>ובכסף</w:t>
      </w:r>
      <w:r>
        <w:rPr>
          <w:sz w:val="18"/>
          <w:szCs w:val="20"/>
          <w:rtl/>
        </w:rPr>
        <w:t xml:space="preserve"> </w:t>
      </w:r>
      <w:r>
        <w:rPr>
          <w:rFonts w:hint="eastAsia"/>
          <w:sz w:val="18"/>
          <w:szCs w:val="20"/>
          <w:rtl/>
        </w:rPr>
        <w:t>משנה</w:t>
      </w:r>
      <w:r>
        <w:rPr>
          <w:rFonts w:hint="cs"/>
          <w:sz w:val="18"/>
          <w:szCs w:val="20"/>
          <w:rtl/>
        </w:rPr>
        <w:t xml:space="preserve">; </w:t>
      </w:r>
      <w:r>
        <w:rPr>
          <w:sz w:val="18"/>
          <w:szCs w:val="20"/>
          <w:rtl/>
        </w:rPr>
        <w:t>סימן ש</w:t>
      </w:r>
      <w:r>
        <w:rPr>
          <w:rFonts w:hint="cs"/>
          <w:sz w:val="18"/>
          <w:szCs w:val="20"/>
          <w:rtl/>
        </w:rPr>
        <w:t>"</w:t>
      </w:r>
      <w:r>
        <w:rPr>
          <w:sz w:val="18"/>
          <w:szCs w:val="20"/>
          <w:rtl/>
        </w:rPr>
        <w:t>ח</w:t>
      </w:r>
      <w:r>
        <w:rPr>
          <w:rFonts w:hint="cs"/>
          <w:sz w:val="18"/>
          <w:szCs w:val="20"/>
          <w:rtl/>
        </w:rPr>
        <w:t xml:space="preserve"> במהדורת בלאו</w:t>
      </w:r>
      <w:r>
        <w:rPr>
          <w:rFonts w:hint="cs"/>
          <w:rtl/>
        </w:rPr>
        <w:t xml:space="preserve">) שלטעם זה האיסור הוא רק בשייט </w:t>
      </w:r>
      <w:r>
        <w:rPr>
          <w:rtl/>
        </w:rPr>
        <w:t>בימים המלוחים</w:t>
      </w:r>
      <w:r>
        <w:rPr>
          <w:rFonts w:hint="cs"/>
          <w:rtl/>
        </w:rPr>
        <w:t xml:space="preserve">, כי המלח מעכיר את רוח האדם, וגורם לבחילות וכיו"ב תופעות מצערות שעלולים לבטלו ממצות עונג שבת, אך </w:t>
      </w:r>
      <w:r>
        <w:rPr>
          <w:rFonts w:hint="eastAsia"/>
          <w:rtl/>
        </w:rPr>
        <w:t>במי</w:t>
      </w:r>
      <w:r>
        <w:rPr>
          <w:rtl/>
        </w:rPr>
        <w:t xml:space="preserve"> </w:t>
      </w:r>
      <w:r>
        <w:rPr>
          <w:rFonts w:hint="eastAsia"/>
          <w:rtl/>
        </w:rPr>
        <w:t>נהרות</w:t>
      </w:r>
      <w:r>
        <w:rPr>
          <w:rtl/>
        </w:rPr>
        <w:t xml:space="preserve"> </w:t>
      </w:r>
      <w:r>
        <w:rPr>
          <w:rFonts w:hint="cs"/>
          <w:rtl/>
        </w:rPr>
        <w:t>ש</w:t>
      </w:r>
      <w:r>
        <w:rPr>
          <w:rFonts w:hint="eastAsia"/>
          <w:rtl/>
        </w:rPr>
        <w:t>השייט</w:t>
      </w:r>
      <w:r>
        <w:rPr>
          <w:rtl/>
        </w:rPr>
        <w:t xml:space="preserve"> </w:t>
      </w:r>
      <w:r>
        <w:rPr>
          <w:rFonts w:hint="cs"/>
          <w:rtl/>
        </w:rPr>
        <w:t xml:space="preserve">הוא על מֵי מנוחות - </w:t>
      </w:r>
      <w:r>
        <w:rPr>
          <w:rFonts w:hint="eastAsia"/>
          <w:rtl/>
        </w:rPr>
        <w:t>מותר</w:t>
      </w:r>
      <w:r>
        <w:rPr>
          <w:rtl/>
        </w:rPr>
        <w:t xml:space="preserve"> </w:t>
      </w:r>
      <w:r>
        <w:rPr>
          <w:rFonts w:hint="eastAsia"/>
          <w:rtl/>
        </w:rPr>
        <w:t>להפליג</w:t>
      </w:r>
      <w:r>
        <w:rPr>
          <w:rtl/>
        </w:rPr>
        <w:t xml:space="preserve"> </w:t>
      </w:r>
      <w:r>
        <w:rPr>
          <w:rFonts w:hint="eastAsia"/>
          <w:rtl/>
        </w:rPr>
        <w:t>גם</w:t>
      </w:r>
      <w:r>
        <w:rPr>
          <w:rtl/>
        </w:rPr>
        <w:t xml:space="preserve"> </w:t>
      </w:r>
      <w:r>
        <w:rPr>
          <w:rFonts w:hint="eastAsia"/>
          <w:rtl/>
        </w:rPr>
        <w:t>סמוך</w:t>
      </w:r>
      <w:r>
        <w:rPr>
          <w:rtl/>
        </w:rPr>
        <w:t xml:space="preserve"> </w:t>
      </w:r>
      <w:r>
        <w:rPr>
          <w:rFonts w:hint="eastAsia"/>
          <w:rtl/>
        </w:rPr>
        <w:t>לשבת</w:t>
      </w:r>
      <w:r>
        <w:rPr>
          <w:rtl/>
        </w:rPr>
        <w:t>.</w:t>
      </w:r>
      <w:r>
        <w:rPr>
          <w:rFonts w:hint="cs"/>
          <w:rtl/>
        </w:rPr>
        <w:t xml:space="preserve"> וכן פסק המחבר (</w:t>
      </w:r>
      <w:r>
        <w:rPr>
          <w:rFonts w:hint="cs"/>
          <w:sz w:val="18"/>
          <w:szCs w:val="20"/>
          <w:rtl/>
        </w:rPr>
        <w:t xml:space="preserve">ראה </w:t>
      </w:r>
      <w:r>
        <w:rPr>
          <w:sz w:val="18"/>
          <w:szCs w:val="20"/>
          <w:rtl/>
        </w:rPr>
        <w:t>שו</w:t>
      </w:r>
      <w:r>
        <w:rPr>
          <w:rFonts w:hint="cs"/>
          <w:sz w:val="18"/>
          <w:szCs w:val="20"/>
          <w:rtl/>
        </w:rPr>
        <w:t>"</w:t>
      </w:r>
      <w:r>
        <w:rPr>
          <w:sz w:val="18"/>
          <w:szCs w:val="20"/>
          <w:rtl/>
        </w:rPr>
        <w:t>ע</w:t>
      </w:r>
      <w:r>
        <w:rPr>
          <w:rFonts w:hint="cs"/>
          <w:sz w:val="18"/>
          <w:szCs w:val="20"/>
          <w:rtl/>
        </w:rPr>
        <w:t xml:space="preserve"> </w:t>
      </w:r>
      <w:r>
        <w:rPr>
          <w:sz w:val="18"/>
          <w:szCs w:val="20"/>
          <w:rtl/>
        </w:rPr>
        <w:t>או</w:t>
      </w:r>
      <w:r>
        <w:rPr>
          <w:rFonts w:hint="cs"/>
          <w:sz w:val="18"/>
          <w:szCs w:val="20"/>
          <w:rtl/>
        </w:rPr>
        <w:t>"</w:t>
      </w:r>
      <w:r>
        <w:rPr>
          <w:sz w:val="18"/>
          <w:szCs w:val="20"/>
          <w:rtl/>
        </w:rPr>
        <w:t>ח רמ</w:t>
      </w:r>
      <w:r>
        <w:rPr>
          <w:rFonts w:hint="cs"/>
          <w:sz w:val="18"/>
          <w:szCs w:val="20"/>
          <w:rtl/>
        </w:rPr>
        <w:t>"</w:t>
      </w:r>
      <w:r>
        <w:rPr>
          <w:sz w:val="18"/>
          <w:szCs w:val="20"/>
          <w:rtl/>
        </w:rPr>
        <w:t>ח</w:t>
      </w:r>
      <w:r>
        <w:rPr>
          <w:rFonts w:hint="cs"/>
          <w:sz w:val="18"/>
          <w:szCs w:val="20"/>
          <w:rtl/>
        </w:rPr>
        <w:t xml:space="preserve">, </w:t>
      </w:r>
      <w:r>
        <w:rPr>
          <w:sz w:val="18"/>
          <w:szCs w:val="20"/>
          <w:rtl/>
        </w:rPr>
        <w:t>ב</w:t>
      </w:r>
      <w:r>
        <w:rPr>
          <w:rFonts w:hint="cs"/>
          <w:sz w:val="18"/>
          <w:szCs w:val="20"/>
          <w:rtl/>
        </w:rPr>
        <w:t>'</w:t>
      </w:r>
      <w:r>
        <w:rPr>
          <w:rFonts w:hint="cs"/>
          <w:rtl/>
        </w:rPr>
        <w:t>).</w:t>
      </w:r>
    </w:p>
    <w:p w14:paraId="34EE1148" w14:textId="77777777" w:rsidR="00F66C44" w:rsidRDefault="00F66C44">
      <w:pPr>
        <w:autoSpaceDE w:val="0"/>
        <w:autoSpaceDN w:val="0"/>
        <w:adjustRightInd w:val="0"/>
        <w:ind w:firstLine="284"/>
        <w:rPr>
          <w:rFonts w:hint="cs"/>
          <w:rtl/>
        </w:rPr>
      </w:pPr>
      <w:r>
        <w:rPr>
          <w:rFonts w:hint="cs"/>
          <w:rtl/>
        </w:rPr>
        <w:t>חילוק זה בין נהר לים, אף שמסתבר הוא, יש לעיין אם עולה הוא בקנה אחד עם לשון הברייתא שנקטה "</w:t>
      </w:r>
      <w:r>
        <w:rPr>
          <w:rtl/>
        </w:rPr>
        <w:t>מפליגין</w:t>
      </w:r>
      <w:r>
        <w:rPr>
          <w:rFonts w:hint="cs"/>
          <w:rtl/>
        </w:rPr>
        <w:t xml:space="preserve">". מצד אחד </w:t>
      </w:r>
      <w:r>
        <w:rPr>
          <w:rtl/>
        </w:rPr>
        <w:t xml:space="preserve">יש </w:t>
      </w:r>
      <w:r>
        <w:rPr>
          <w:rFonts w:hint="cs"/>
          <w:rtl/>
        </w:rPr>
        <w:t>שהוכיחו חילוק זה מלשון ה</w:t>
      </w:r>
      <w:r>
        <w:rPr>
          <w:rtl/>
        </w:rPr>
        <w:t xml:space="preserve">ברייתא </w:t>
      </w:r>
      <w:r>
        <w:rPr>
          <w:rFonts w:hint="cs"/>
          <w:rtl/>
        </w:rPr>
        <w:t>"</w:t>
      </w:r>
      <w:r>
        <w:rPr>
          <w:rtl/>
        </w:rPr>
        <w:t>מדקתני</w:t>
      </w:r>
      <w:r>
        <w:rPr>
          <w:rFonts w:hint="cs"/>
          <w:rtl/>
        </w:rPr>
        <w:t xml:space="preserve"> '</w:t>
      </w:r>
      <w:r>
        <w:rPr>
          <w:rtl/>
        </w:rPr>
        <w:t>אין</w:t>
      </w:r>
      <w:r>
        <w:rPr>
          <w:rFonts w:hint="cs"/>
          <w:rtl/>
        </w:rPr>
        <w:t xml:space="preserve"> </w:t>
      </w:r>
      <w:r>
        <w:rPr>
          <w:rtl/>
        </w:rPr>
        <w:t>מפליגין</w:t>
      </w:r>
      <w:r>
        <w:rPr>
          <w:rFonts w:hint="cs"/>
          <w:rtl/>
        </w:rPr>
        <w:t xml:space="preserve">' </w:t>
      </w:r>
      <w:r>
        <w:rPr>
          <w:rtl/>
        </w:rPr>
        <w:t>ובים הוא דאיכא הפלגה אבל בנהרות לא</w:t>
      </w:r>
      <w:r>
        <w:rPr>
          <w:rFonts w:hint="cs"/>
          <w:rtl/>
        </w:rPr>
        <w:t>"</w:t>
      </w:r>
      <w:r>
        <w:rPr>
          <w:rStyle w:val="a3"/>
          <w:rtl/>
        </w:rPr>
        <w:footnoteReference w:id="28"/>
      </w:r>
      <w:r>
        <w:rPr>
          <w:rFonts w:hint="cs"/>
          <w:rtl/>
        </w:rPr>
        <w:t>, ומצד שני דייק רב האי גאון את ההפך: "</w:t>
      </w:r>
      <w:r>
        <w:rPr>
          <w:rtl/>
        </w:rPr>
        <w:t xml:space="preserve">וכשאתה מעיין </w:t>
      </w:r>
      <w:r>
        <w:rPr>
          <w:rFonts w:hint="cs"/>
          <w:rtl/>
        </w:rPr>
        <w:t>[ב]</w:t>
      </w:r>
      <w:r>
        <w:rPr>
          <w:rtl/>
        </w:rPr>
        <w:t>דברי חכמים כולם אי אתה מוצא דבר זה בים לבד</w:t>
      </w:r>
      <w:r>
        <w:rPr>
          <w:rFonts w:hint="cs"/>
          <w:rtl/>
        </w:rPr>
        <w:t>,</w:t>
      </w:r>
      <w:r>
        <w:rPr>
          <w:rtl/>
        </w:rPr>
        <w:t xml:space="preserve"> והפלגה היא שאמרו </w:t>
      </w:r>
      <w:r>
        <w:rPr>
          <w:rFonts w:hint="cs"/>
          <w:rtl/>
        </w:rPr>
        <w:t>'</w:t>
      </w:r>
      <w:r>
        <w:rPr>
          <w:rtl/>
        </w:rPr>
        <w:t>אין מפליגין</w:t>
      </w:r>
      <w:r>
        <w:rPr>
          <w:rFonts w:hint="cs"/>
          <w:rtl/>
        </w:rPr>
        <w:t>'</w:t>
      </w:r>
      <w:r>
        <w:rPr>
          <w:rtl/>
        </w:rPr>
        <w:t xml:space="preserve"> ומופלג הוא בנהרות כדרך שהוא מופלג כשהוא בים</w:t>
      </w:r>
      <w:r>
        <w:rPr>
          <w:rFonts w:hint="cs"/>
          <w:rtl/>
        </w:rPr>
        <w:t>"</w:t>
      </w:r>
      <w:r>
        <w:rPr>
          <w:rStyle w:val="a3"/>
          <w:rtl/>
        </w:rPr>
        <w:footnoteReference w:id="29"/>
      </w:r>
      <w:r>
        <w:rPr>
          <w:rFonts w:hint="cs"/>
          <w:rtl/>
        </w:rPr>
        <w:t xml:space="preserve">. מה פשר מחלוקת זו? כיצד ניתן להוכיח אם הפלגה היא בים או גם בנהר? </w:t>
      </w:r>
    </w:p>
    <w:p w14:paraId="2C19D09F" w14:textId="77777777" w:rsidR="00F66C44" w:rsidRDefault="00F66C44">
      <w:pPr>
        <w:autoSpaceDE w:val="0"/>
        <w:autoSpaceDN w:val="0"/>
        <w:adjustRightInd w:val="0"/>
        <w:ind w:firstLine="284"/>
        <w:rPr>
          <w:rFonts w:hint="cs"/>
          <w:color w:val="000000"/>
          <w:szCs w:val="28"/>
          <w:rtl/>
        </w:rPr>
      </w:pPr>
      <w:r>
        <w:rPr>
          <w:rFonts w:hint="cs"/>
          <w:rtl/>
        </w:rPr>
        <w:t>נראה שהדבר תלוי בשני הפירושים שכתב רש"י בסוגייתנו. פירוש רבו, ר"</w:t>
      </w:r>
      <w:r>
        <w:rPr>
          <w:rtl/>
        </w:rPr>
        <w:t>י ב</w:t>
      </w:r>
      <w:r>
        <w:rPr>
          <w:rFonts w:hint="cs"/>
          <w:rtl/>
        </w:rPr>
        <w:t>ר</w:t>
      </w:r>
      <w:r>
        <w:rPr>
          <w:rtl/>
        </w:rPr>
        <w:t xml:space="preserve"> יקר</w:t>
      </w:r>
      <w:r>
        <w:rPr>
          <w:rFonts w:hint="cs"/>
          <w:rtl/>
        </w:rPr>
        <w:t>, קושר את ההפלגה ל"פילגוס", לב הים, וזה מסביר את שיטת הרמב"ם שאין השייט בנהרות בכלל איסור "הפלגה"</w:t>
      </w:r>
      <w:r>
        <w:rPr>
          <w:rStyle w:val="a3"/>
          <w:rtl/>
        </w:rPr>
        <w:footnoteReference w:id="30"/>
      </w:r>
      <w:r>
        <w:rPr>
          <w:rFonts w:hint="cs"/>
          <w:rtl/>
        </w:rPr>
        <w:t>. לעומת זאת, דברי רה"ג שדין ההפלגה בנהר כדין ההפלגה בים, יובנו לפי הסברו הראשון של רש"י, שהפלגה היא פרישה והתרחקות</w:t>
      </w:r>
      <w:r>
        <w:rPr>
          <w:rStyle w:val="a3"/>
          <w:rtl/>
        </w:rPr>
        <w:footnoteReference w:id="31"/>
      </w:r>
      <w:r>
        <w:rPr>
          <w:rFonts w:hint="cs"/>
          <w:rtl/>
        </w:rPr>
        <w:t>.</w:t>
      </w:r>
      <w:r>
        <w:rPr>
          <w:color w:val="000000"/>
          <w:szCs w:val="28"/>
          <w:rtl/>
        </w:rPr>
        <w:t xml:space="preserve"> </w:t>
      </w:r>
    </w:p>
    <w:p w14:paraId="756538F4" w14:textId="77777777" w:rsidR="00F66C44" w:rsidRDefault="00F66C44">
      <w:pPr>
        <w:pStyle w:val="2"/>
        <w:ind w:firstLine="284"/>
        <w:rPr>
          <w:rFonts w:hint="cs"/>
          <w:rtl/>
        </w:rPr>
      </w:pPr>
      <w:r>
        <w:rPr>
          <w:rFonts w:hint="cs"/>
          <w:rtl/>
        </w:rPr>
        <w:lastRenderedPageBreak/>
        <w:t xml:space="preserve">דף יט, א: </w:t>
      </w:r>
      <w:r>
        <w:rPr>
          <w:rtl/>
        </w:rPr>
        <w:t xml:space="preserve">אין מפליגין בספינה </w:t>
      </w:r>
    </w:p>
    <w:p w14:paraId="4746D6A3" w14:textId="77777777" w:rsidR="00F66C44" w:rsidRDefault="00F66C44">
      <w:pPr>
        <w:autoSpaceDE w:val="0"/>
        <w:autoSpaceDN w:val="0"/>
        <w:adjustRightInd w:val="0"/>
        <w:ind w:firstLine="284"/>
        <w:rPr>
          <w:rFonts w:hint="cs"/>
          <w:rtl/>
        </w:rPr>
      </w:pPr>
      <w:r>
        <w:rPr>
          <w:rFonts w:hint="cs"/>
          <w:rtl/>
        </w:rPr>
        <w:t>האם הה</w:t>
      </w:r>
      <w:r>
        <w:rPr>
          <w:rtl/>
        </w:rPr>
        <w:t>פלג</w:t>
      </w:r>
      <w:r>
        <w:rPr>
          <w:rFonts w:hint="cs"/>
          <w:rtl/>
        </w:rPr>
        <w:t xml:space="preserve">ה בים היא הרחקה (של המופלג: הספינה המורחקת) או התרחקות (של המפליג)? </w:t>
      </w:r>
    </w:p>
    <w:p w14:paraId="03A4F792" w14:textId="77777777" w:rsidR="00F66C44" w:rsidRDefault="00F66C44">
      <w:pPr>
        <w:autoSpaceDE w:val="0"/>
        <w:autoSpaceDN w:val="0"/>
        <w:adjustRightInd w:val="0"/>
        <w:ind w:firstLine="284"/>
        <w:rPr>
          <w:rFonts w:hint="cs"/>
          <w:rtl/>
        </w:rPr>
      </w:pPr>
      <w:r>
        <w:rPr>
          <w:rFonts w:hint="cs"/>
          <w:rtl/>
        </w:rPr>
        <w:t>תלוי בנוסח:</w:t>
      </w:r>
    </w:p>
    <w:p w14:paraId="6ABA5309" w14:textId="77777777" w:rsidR="00F66C44" w:rsidRDefault="00F66C44">
      <w:pPr>
        <w:autoSpaceDE w:val="0"/>
        <w:autoSpaceDN w:val="0"/>
        <w:adjustRightInd w:val="0"/>
        <w:ind w:firstLine="284"/>
        <w:rPr>
          <w:rFonts w:hint="cs"/>
          <w:sz w:val="20"/>
          <w:rtl/>
        </w:rPr>
      </w:pPr>
      <w:r>
        <w:rPr>
          <w:rFonts w:hint="cs"/>
          <w:rtl/>
        </w:rPr>
        <w:t>בלשון המשנה בערובין "</w:t>
      </w:r>
      <w:r>
        <w:rPr>
          <w:b/>
          <w:bCs/>
          <w:rtl/>
        </w:rPr>
        <w:t>הפליגה</w:t>
      </w:r>
      <w:r>
        <w:rPr>
          <w:rFonts w:hint="cs"/>
          <w:rtl/>
        </w:rPr>
        <w:t xml:space="preserve"> </w:t>
      </w:r>
      <w:r>
        <w:rPr>
          <w:rtl/>
        </w:rPr>
        <w:t>ספינתם בים</w:t>
      </w:r>
      <w:r>
        <w:rPr>
          <w:rFonts w:hint="cs"/>
          <w:rtl/>
        </w:rPr>
        <w:t>" - ברור שהפֹעַל "</w:t>
      </w:r>
      <w:r>
        <w:rPr>
          <w:rtl/>
        </w:rPr>
        <w:t>ה</w:t>
      </w:r>
      <w:r>
        <w:rPr>
          <w:rFonts w:hint="cs"/>
          <w:rtl/>
        </w:rPr>
        <w:t>ִ</w:t>
      </w:r>
      <w:r>
        <w:rPr>
          <w:rtl/>
        </w:rPr>
        <w:t>פליגה</w:t>
      </w:r>
      <w:r>
        <w:rPr>
          <w:rFonts w:hint="cs"/>
          <w:rtl/>
        </w:rPr>
        <w:t>" הוא "פֹעַל עומד" (</w:t>
      </w:r>
      <w:r>
        <w:rPr>
          <w:rFonts w:ascii="Arial" w:hAnsi="Arial" w:cs="Arial" w:hint="cs"/>
          <w:sz w:val="18"/>
          <w:szCs w:val="20"/>
          <w:rtl/>
        </w:rPr>
        <w:t>=</w:t>
      </w:r>
      <w:r>
        <w:rPr>
          <w:rFonts w:hint="cs"/>
          <w:sz w:val="18"/>
          <w:szCs w:val="20"/>
          <w:rtl/>
        </w:rPr>
        <w:t>פֹעַל שהפעולה שהוא מבטא נשארת בגוף הפועֵל ואינה עוברת לזולתו, בניגוד ל"פֹעַל יוצא"</w:t>
      </w:r>
      <w:r>
        <w:rPr>
          <w:rFonts w:hint="cs"/>
          <w:rtl/>
        </w:rPr>
        <w:t>) ופירושו: הספינה מתרחקת, שטה בים. אך הפֹעַל</w:t>
      </w:r>
      <w:r>
        <w:rPr>
          <w:rtl/>
        </w:rPr>
        <w:t xml:space="preserve"> </w:t>
      </w:r>
      <w:r>
        <w:rPr>
          <w:rFonts w:hint="cs"/>
          <w:rtl/>
        </w:rPr>
        <w:t>"מפליגין" הוא דו משמעי ותלוי במלת היחס העוקבת: "</w:t>
      </w:r>
      <w:r>
        <w:rPr>
          <w:rtl/>
        </w:rPr>
        <w:t>מ</w:t>
      </w:r>
      <w:r>
        <w:rPr>
          <w:rFonts w:hint="cs"/>
          <w:rtl/>
        </w:rPr>
        <w:t>ַ</w:t>
      </w:r>
      <w:r>
        <w:rPr>
          <w:rtl/>
        </w:rPr>
        <w:t>פ</w:t>
      </w:r>
      <w:r>
        <w:rPr>
          <w:rFonts w:hint="cs"/>
          <w:rtl/>
        </w:rPr>
        <w:t>ְ</w:t>
      </w:r>
      <w:r>
        <w:rPr>
          <w:rtl/>
        </w:rPr>
        <w:t>ל</w:t>
      </w:r>
      <w:r>
        <w:rPr>
          <w:rFonts w:hint="cs"/>
          <w:rtl/>
        </w:rPr>
        <w:t>ִ</w:t>
      </w:r>
      <w:r>
        <w:rPr>
          <w:rtl/>
        </w:rPr>
        <w:t>יג</w:t>
      </w:r>
      <w:r>
        <w:rPr>
          <w:rFonts w:hint="cs"/>
          <w:rtl/>
        </w:rPr>
        <w:t>ִ</w:t>
      </w:r>
      <w:r>
        <w:rPr>
          <w:rtl/>
        </w:rPr>
        <w:t xml:space="preserve">ין </w:t>
      </w:r>
      <w:r>
        <w:rPr>
          <w:b/>
          <w:bCs/>
          <w:rtl/>
        </w:rPr>
        <w:t>ב</w:t>
      </w:r>
      <w:r>
        <w:rPr>
          <w:rtl/>
        </w:rPr>
        <w:t>ספינה</w:t>
      </w:r>
      <w:r>
        <w:rPr>
          <w:rFonts w:hint="cs"/>
          <w:rtl/>
        </w:rPr>
        <w:t>" (</w:t>
      </w:r>
      <w:r>
        <w:rPr>
          <w:rFonts w:hint="cs"/>
          <w:sz w:val="18"/>
          <w:szCs w:val="20"/>
          <w:rtl/>
        </w:rPr>
        <w:t>כנוסח הברייתא שבסוגייתנו</w:t>
      </w:r>
      <w:r>
        <w:rPr>
          <w:rFonts w:hint="cs"/>
          <w:rtl/>
        </w:rPr>
        <w:t xml:space="preserve">) - פירושו: מתרחקים מהיבשה, שטים בים { </w:t>
      </w:r>
      <w:r>
        <w:rPr>
          <w:rFonts w:hint="cs"/>
          <w:sz w:val="16"/>
          <w:szCs w:val="18"/>
          <w:rtl/>
        </w:rPr>
        <w:t xml:space="preserve">הפליג [את עצמו], בבנין הִפְעיל, היכול לשמש גם לפעולה החוזרת אל הפועֵל (השוה: </w:t>
      </w:r>
      <w:r>
        <w:rPr>
          <w:rFonts w:hint="cs"/>
          <w:color w:val="FF0000"/>
          <w:sz w:val="16"/>
          <w:szCs w:val="18"/>
          <w:rtl/>
        </w:rPr>
        <w:t>"</w:t>
      </w:r>
      <w:r>
        <w:rPr>
          <w:color w:val="FF0000"/>
          <w:sz w:val="16"/>
          <w:szCs w:val="18"/>
          <w:rtl/>
        </w:rPr>
        <w:t>תַּגְבִּיהַּ</w:t>
      </w:r>
      <w:r>
        <w:rPr>
          <w:rFonts w:hint="cs"/>
          <w:color w:val="FF0000"/>
          <w:sz w:val="16"/>
          <w:szCs w:val="18"/>
          <w:rtl/>
        </w:rPr>
        <w:t>",</w:t>
      </w:r>
      <w:r>
        <w:rPr>
          <w:color w:val="FF0000"/>
          <w:sz w:val="16"/>
          <w:szCs w:val="18"/>
          <w:rtl/>
        </w:rPr>
        <w:t xml:space="preserve"> </w:t>
      </w:r>
      <w:r>
        <w:rPr>
          <w:rFonts w:hint="eastAsia"/>
          <w:color w:val="FF0000"/>
          <w:sz w:val="16"/>
          <w:szCs w:val="18"/>
          <w:rtl/>
        </w:rPr>
        <w:t>עובדיה</w:t>
      </w:r>
      <w:r>
        <w:rPr>
          <w:color w:val="FF0000"/>
          <w:sz w:val="16"/>
          <w:szCs w:val="18"/>
          <w:rtl/>
        </w:rPr>
        <w:t xml:space="preserve"> א</w:t>
      </w:r>
      <w:r>
        <w:rPr>
          <w:rFonts w:hint="cs"/>
          <w:color w:val="FF0000"/>
          <w:sz w:val="16"/>
          <w:szCs w:val="18"/>
          <w:rtl/>
        </w:rPr>
        <w:t xml:space="preserve">, </w:t>
      </w:r>
      <w:r>
        <w:rPr>
          <w:color w:val="FF0000"/>
          <w:sz w:val="16"/>
          <w:szCs w:val="18"/>
          <w:rtl/>
        </w:rPr>
        <w:t>ד</w:t>
      </w:r>
      <w:r>
        <w:rPr>
          <w:rFonts w:hint="cs"/>
          <w:sz w:val="16"/>
          <w:szCs w:val="18"/>
          <w:rtl/>
        </w:rPr>
        <w:t>).</w:t>
      </w:r>
      <w:r>
        <w:rPr>
          <w:rFonts w:hint="cs"/>
          <w:rtl/>
        </w:rPr>
        <w:t>}. לעומת זאת, "</w:t>
      </w:r>
      <w:r>
        <w:rPr>
          <w:rtl/>
        </w:rPr>
        <w:t>מפליגין</w:t>
      </w:r>
      <w:r>
        <w:rPr>
          <w:b/>
          <w:bCs/>
          <w:rtl/>
        </w:rPr>
        <w:t xml:space="preserve"> את </w:t>
      </w:r>
      <w:r>
        <w:rPr>
          <w:rtl/>
        </w:rPr>
        <w:t>הספינה בים הגדול</w:t>
      </w:r>
      <w:r>
        <w:rPr>
          <w:rFonts w:hint="cs"/>
          <w:rtl/>
        </w:rPr>
        <w:t>" (</w:t>
      </w:r>
      <w:r>
        <w:rPr>
          <w:rFonts w:hint="cs"/>
          <w:sz w:val="18"/>
          <w:szCs w:val="20"/>
          <w:rtl/>
        </w:rPr>
        <w:t>כמופיע ב</w:t>
      </w:r>
      <w:r>
        <w:rPr>
          <w:sz w:val="18"/>
          <w:szCs w:val="20"/>
          <w:rtl/>
        </w:rPr>
        <w:t>מדרש תנאים לדברים כ</w:t>
      </w:r>
      <w:r>
        <w:rPr>
          <w:rFonts w:hint="cs"/>
          <w:sz w:val="18"/>
          <w:szCs w:val="20"/>
          <w:rtl/>
        </w:rPr>
        <w:t xml:space="preserve">, </w:t>
      </w:r>
      <w:r>
        <w:rPr>
          <w:sz w:val="18"/>
          <w:szCs w:val="20"/>
          <w:rtl/>
        </w:rPr>
        <w:t>כ</w:t>
      </w:r>
      <w:r>
        <w:rPr>
          <w:rFonts w:hint="cs"/>
          <w:sz w:val="18"/>
          <w:szCs w:val="20"/>
          <w:rtl/>
        </w:rPr>
        <w:t xml:space="preserve"> ובמדרשים נוספים</w:t>
      </w:r>
      <w:r>
        <w:rPr>
          <w:rFonts w:hint="cs"/>
          <w:rtl/>
        </w:rPr>
        <w:t xml:space="preserve">) - אין פירושו </w:t>
      </w:r>
      <w:r>
        <w:rPr>
          <w:rFonts w:hint="cs"/>
          <w:b/>
          <w:bCs/>
          <w:rtl/>
        </w:rPr>
        <w:t>התרחקות</w:t>
      </w:r>
      <w:r>
        <w:rPr>
          <w:rFonts w:hint="cs"/>
          <w:rtl/>
        </w:rPr>
        <w:t xml:space="preserve">, אלא </w:t>
      </w:r>
      <w:r>
        <w:rPr>
          <w:rFonts w:hint="cs"/>
          <w:b/>
          <w:bCs/>
          <w:rtl/>
        </w:rPr>
        <w:t>הרחקה</w:t>
      </w:r>
      <w:r>
        <w:rPr>
          <w:rFonts w:hint="cs"/>
          <w:rtl/>
        </w:rPr>
        <w:t xml:space="preserve"> של הספינה מן היבשה ע"י האדם (וזהו "פֹעַל יוצא"). שימוש לשון דומה מצאנו בלשונו של </w:t>
      </w:r>
      <w:r>
        <w:rPr>
          <w:rtl/>
        </w:rPr>
        <w:t xml:space="preserve">רש"י </w:t>
      </w:r>
      <w:r>
        <w:rPr>
          <w:rFonts w:hint="cs"/>
          <w:rtl/>
        </w:rPr>
        <w:t>(</w:t>
      </w:r>
      <w:r>
        <w:rPr>
          <w:sz w:val="18"/>
          <w:szCs w:val="20"/>
          <w:rtl/>
        </w:rPr>
        <w:t>בבא מציעא עט</w:t>
      </w:r>
      <w:r>
        <w:rPr>
          <w:rFonts w:hint="cs"/>
          <w:sz w:val="18"/>
          <w:szCs w:val="20"/>
          <w:rtl/>
        </w:rPr>
        <w:t xml:space="preserve">, </w:t>
      </w:r>
      <w:r>
        <w:rPr>
          <w:sz w:val="18"/>
          <w:szCs w:val="20"/>
          <w:rtl/>
        </w:rPr>
        <w:t>ב</w:t>
      </w:r>
      <w:r>
        <w:rPr>
          <w:rFonts w:hint="cs"/>
          <w:sz w:val="18"/>
          <w:szCs w:val="20"/>
          <w:rtl/>
        </w:rPr>
        <w:t xml:space="preserve"> ד"ה </w:t>
      </w:r>
      <w:r>
        <w:rPr>
          <w:sz w:val="18"/>
          <w:szCs w:val="20"/>
          <w:rtl/>
        </w:rPr>
        <w:t>לאשלא יתירתא</w:t>
      </w:r>
      <w:r>
        <w:rPr>
          <w:rFonts w:hint="cs"/>
          <w:rtl/>
        </w:rPr>
        <w:t>):</w:t>
      </w:r>
      <w:r>
        <w:rPr>
          <w:rtl/>
        </w:rPr>
        <w:t xml:space="preserve"> </w:t>
      </w:r>
      <w:r>
        <w:rPr>
          <w:rFonts w:hint="cs"/>
          <w:rtl/>
        </w:rPr>
        <w:t>"</w:t>
      </w:r>
      <w:r>
        <w:rPr>
          <w:rtl/>
        </w:rPr>
        <w:t xml:space="preserve">צריך אני לקנות חבלים ביוקר כאן שכשהספינה מכבדת צריך </w:t>
      </w:r>
      <w:r>
        <w:rPr>
          <w:b/>
          <w:bCs/>
          <w:rtl/>
        </w:rPr>
        <w:t>להפליגה</w:t>
      </w:r>
      <w:r>
        <w:rPr>
          <w:rFonts w:hint="cs"/>
          <w:b/>
          <w:bCs/>
          <w:rtl/>
        </w:rPr>
        <w:t>ּ</w:t>
      </w:r>
      <w:r>
        <w:rPr>
          <w:rFonts w:hint="cs"/>
          <w:rtl/>
        </w:rPr>
        <w:t xml:space="preserve"> </w:t>
      </w:r>
      <w:r>
        <w:rPr>
          <w:rtl/>
        </w:rPr>
        <w:t>אל אמצעית הנהר</w:t>
      </w:r>
      <w:r>
        <w:rPr>
          <w:rFonts w:hint="cs"/>
          <w:rtl/>
        </w:rPr>
        <w:t xml:space="preserve"> </w:t>
      </w:r>
      <w:r>
        <w:rPr>
          <w:rtl/>
        </w:rPr>
        <w:t>למקום מים עמוקים שלא תהא גוששת, וצריך חבלים ארוכים</w:t>
      </w:r>
      <w:r>
        <w:rPr>
          <w:rFonts w:hint="cs"/>
          <w:rtl/>
        </w:rPr>
        <w:t>"</w:t>
      </w:r>
      <w:r>
        <w:rPr>
          <w:rtl/>
        </w:rPr>
        <w:t>.</w:t>
      </w:r>
    </w:p>
    <w:p w14:paraId="0910668D" w14:textId="77777777" w:rsidR="00F66C44" w:rsidRDefault="00F66C44">
      <w:pPr>
        <w:pStyle w:val="2"/>
        <w:ind w:firstLine="284"/>
        <w:rPr>
          <w:rFonts w:hint="cs"/>
          <w:rtl/>
        </w:rPr>
      </w:pPr>
      <w:r>
        <w:rPr>
          <w:rFonts w:hint="cs"/>
          <w:rtl/>
        </w:rPr>
        <w:t xml:space="preserve">דף יט, א: </w:t>
      </w:r>
      <w:r>
        <w:rPr>
          <w:rtl/>
        </w:rPr>
        <w:t>אבל לדבר מצוה - שפיר דמי</w:t>
      </w:r>
      <w:r>
        <w:rPr>
          <w:rFonts w:hint="cs"/>
          <w:rtl/>
        </w:rPr>
        <w:t>.</w:t>
      </w:r>
    </w:p>
    <w:p w14:paraId="553AE060" w14:textId="77777777" w:rsidR="00F66C44" w:rsidRDefault="00F66C44">
      <w:pPr>
        <w:ind w:firstLine="284"/>
        <w:rPr>
          <w:rFonts w:hint="cs"/>
          <w:rtl/>
        </w:rPr>
      </w:pPr>
      <w:r>
        <w:rPr>
          <w:rFonts w:hint="cs"/>
          <w:rtl/>
        </w:rPr>
        <w:t xml:space="preserve">הברייתא מגבילה את איסור ההפלגה </w:t>
      </w:r>
      <w:r>
        <w:rPr>
          <w:rtl/>
        </w:rPr>
        <w:t>בספינה קודם לשבת</w:t>
      </w:r>
      <w:r>
        <w:rPr>
          <w:rFonts w:hint="cs"/>
          <w:rtl/>
        </w:rPr>
        <w:t xml:space="preserve"> בלשון זו: "</w:t>
      </w:r>
      <w:r>
        <w:rPr>
          <w:rtl/>
        </w:rPr>
        <w:t xml:space="preserve">במה דברים אמורים - לדבר הרשות, אבל לדבר מצוה - </w:t>
      </w:r>
      <w:r>
        <w:rPr>
          <w:rFonts w:hint="cs"/>
          <w:rtl/>
        </w:rPr>
        <w:t>שַׁפִּיר דָמֵי"</w:t>
      </w:r>
      <w:r>
        <w:rPr>
          <w:rtl/>
        </w:rPr>
        <w:t xml:space="preserve">. </w:t>
      </w:r>
    </w:p>
    <w:p w14:paraId="4EBEA2B5" w14:textId="77777777" w:rsidR="00F66C44" w:rsidRDefault="00F66C44">
      <w:pPr>
        <w:ind w:firstLine="284"/>
        <w:rPr>
          <w:rFonts w:hint="cs"/>
          <w:rtl/>
        </w:rPr>
      </w:pPr>
      <w:r>
        <w:rPr>
          <w:rFonts w:hint="cs"/>
          <w:rtl/>
        </w:rPr>
        <w:t>שילוב ארמית בתוך לשון הברייתא - נדיר, ועל כן מוזר למצוא בסיומה של ברייתא זו את המלים "</w:t>
      </w:r>
      <w:r>
        <w:rPr>
          <w:rtl/>
        </w:rPr>
        <w:t>שפיר דמי</w:t>
      </w:r>
      <w:r>
        <w:rPr>
          <w:rFonts w:hint="cs"/>
          <w:rtl/>
        </w:rPr>
        <w:t>" (</w:t>
      </w:r>
      <w:r>
        <w:rPr>
          <w:rFonts w:ascii="Arial" w:hAnsi="Arial" w:cs="Arial" w:hint="cs"/>
          <w:rtl/>
        </w:rPr>
        <w:t>=</w:t>
      </w:r>
      <w:r>
        <w:rPr>
          <w:rFonts w:hint="cs"/>
          <w:rtl/>
        </w:rPr>
        <w:t xml:space="preserve"> "דוֹמֶה יפה", דהיינו: נחשב ראוי וטוב, מותר). מטעם זה העדיף ריעב"ץ את הנוסח "מותר", המצוי בכתבי ראשונים המצטטים ברייתא זו (</w:t>
      </w:r>
      <w:r>
        <w:rPr>
          <w:rFonts w:hint="cs"/>
          <w:sz w:val="18"/>
          <w:szCs w:val="20"/>
          <w:rtl/>
        </w:rPr>
        <w:t xml:space="preserve">בה"ג, </w:t>
      </w:r>
      <w:r>
        <w:rPr>
          <w:sz w:val="18"/>
          <w:szCs w:val="20"/>
          <w:rtl/>
        </w:rPr>
        <w:t>רא"ש</w:t>
      </w:r>
      <w:r>
        <w:rPr>
          <w:rFonts w:hint="cs"/>
          <w:sz w:val="18"/>
          <w:szCs w:val="20"/>
          <w:rtl/>
        </w:rPr>
        <w:t>,</w:t>
      </w:r>
      <w:r>
        <w:rPr>
          <w:sz w:val="18"/>
          <w:szCs w:val="20"/>
          <w:rtl/>
        </w:rPr>
        <w:t xml:space="preserve"> ראבי"ה</w:t>
      </w:r>
      <w:r>
        <w:rPr>
          <w:rFonts w:hint="cs"/>
          <w:sz w:val="18"/>
          <w:szCs w:val="20"/>
          <w:rtl/>
        </w:rPr>
        <w:t>,</w:t>
      </w:r>
      <w:r>
        <w:rPr>
          <w:sz w:val="18"/>
          <w:szCs w:val="20"/>
          <w:rtl/>
        </w:rPr>
        <w:t xml:space="preserve"> </w:t>
      </w:r>
      <w:r>
        <w:rPr>
          <w:rFonts w:hint="cs"/>
          <w:sz w:val="18"/>
          <w:szCs w:val="20"/>
          <w:rtl/>
        </w:rPr>
        <w:t xml:space="preserve">ספר התרומה, </w:t>
      </w:r>
      <w:r>
        <w:rPr>
          <w:sz w:val="18"/>
          <w:szCs w:val="20"/>
          <w:rtl/>
        </w:rPr>
        <w:t>אור זרוע</w:t>
      </w:r>
      <w:r>
        <w:rPr>
          <w:rFonts w:hint="cs"/>
          <w:sz w:val="18"/>
          <w:szCs w:val="20"/>
          <w:rtl/>
        </w:rPr>
        <w:t>,</w:t>
      </w:r>
      <w:r>
        <w:rPr>
          <w:sz w:val="18"/>
          <w:szCs w:val="20"/>
          <w:rtl/>
        </w:rPr>
        <w:t xml:space="preserve"> רבינו ירוחם</w:t>
      </w:r>
      <w:r>
        <w:rPr>
          <w:rFonts w:hint="cs"/>
          <w:sz w:val="18"/>
          <w:szCs w:val="20"/>
          <w:rtl/>
        </w:rPr>
        <w:t>,</w:t>
      </w:r>
      <w:r>
        <w:rPr>
          <w:sz w:val="18"/>
          <w:szCs w:val="20"/>
          <w:rtl/>
        </w:rPr>
        <w:t xml:space="preserve"> טור</w:t>
      </w:r>
      <w:r>
        <w:rPr>
          <w:rFonts w:hint="cs"/>
          <w:sz w:val="18"/>
          <w:szCs w:val="20"/>
          <w:rtl/>
        </w:rPr>
        <w:t xml:space="preserve"> ועוד</w:t>
      </w:r>
      <w:r>
        <w:rPr>
          <w:rStyle w:val="a3"/>
          <w:sz w:val="18"/>
          <w:rtl/>
        </w:rPr>
        <w:footnoteReference w:id="32"/>
      </w:r>
      <w:r>
        <w:rPr>
          <w:rFonts w:hint="cs"/>
          <w:rtl/>
        </w:rPr>
        <w:t>), וכך אכן מתועד בכתבי יד (</w:t>
      </w:r>
      <w:r>
        <w:rPr>
          <w:rFonts w:hint="cs"/>
          <w:sz w:val="18"/>
          <w:szCs w:val="20"/>
          <w:rtl/>
        </w:rPr>
        <w:t>כגון כתב יד מינכן</w:t>
      </w:r>
      <w:r>
        <w:rPr>
          <w:rFonts w:hint="cs"/>
          <w:rtl/>
        </w:rPr>
        <w:t>). גם ב</w:t>
      </w:r>
      <w:r>
        <w:rPr>
          <w:rtl/>
        </w:rPr>
        <w:t>תוספתא (</w:t>
      </w:r>
      <w:r>
        <w:rPr>
          <w:rFonts w:hint="cs"/>
          <w:sz w:val="18"/>
          <w:szCs w:val="20"/>
          <w:rtl/>
        </w:rPr>
        <w:t xml:space="preserve">פרק </w:t>
      </w:r>
      <w:r>
        <w:rPr>
          <w:sz w:val="18"/>
          <w:szCs w:val="20"/>
          <w:rtl/>
        </w:rPr>
        <w:t>י</w:t>
      </w:r>
      <w:r>
        <w:rPr>
          <w:rFonts w:hint="cs"/>
          <w:sz w:val="18"/>
          <w:szCs w:val="20"/>
          <w:rtl/>
        </w:rPr>
        <w:t>"</w:t>
      </w:r>
      <w:r>
        <w:rPr>
          <w:sz w:val="18"/>
          <w:szCs w:val="20"/>
          <w:rtl/>
        </w:rPr>
        <w:t>ג הלכה י</w:t>
      </w:r>
      <w:r>
        <w:rPr>
          <w:rFonts w:hint="cs"/>
          <w:sz w:val="18"/>
          <w:szCs w:val="20"/>
          <w:rtl/>
        </w:rPr>
        <w:t>"</w:t>
      </w:r>
      <w:r>
        <w:rPr>
          <w:sz w:val="18"/>
          <w:szCs w:val="20"/>
          <w:rtl/>
        </w:rPr>
        <w:t>ג</w:t>
      </w:r>
      <w:r>
        <w:rPr>
          <w:rFonts w:hint="cs"/>
          <w:sz w:val="18"/>
          <w:szCs w:val="20"/>
          <w:rtl/>
        </w:rPr>
        <w:t>; מהדורת</w:t>
      </w:r>
      <w:r>
        <w:rPr>
          <w:sz w:val="18"/>
          <w:szCs w:val="20"/>
          <w:rtl/>
        </w:rPr>
        <w:t xml:space="preserve"> </w:t>
      </w:r>
      <w:r>
        <w:rPr>
          <w:rFonts w:hint="cs"/>
          <w:sz w:val="18"/>
          <w:szCs w:val="20"/>
          <w:rtl/>
        </w:rPr>
        <w:t xml:space="preserve">ר"ש </w:t>
      </w:r>
      <w:r>
        <w:rPr>
          <w:sz w:val="18"/>
          <w:szCs w:val="20"/>
          <w:rtl/>
        </w:rPr>
        <w:t>ליברמן</w:t>
      </w:r>
      <w:r>
        <w:rPr>
          <w:rtl/>
        </w:rPr>
        <w:t>)</w:t>
      </w:r>
      <w:r>
        <w:rPr>
          <w:rFonts w:hint="cs"/>
          <w:rtl/>
        </w:rPr>
        <w:t xml:space="preserve"> שנו הכל בעברית: "</w:t>
      </w:r>
      <w:r>
        <w:rPr>
          <w:rtl/>
        </w:rPr>
        <w:t>אין מפליגין בים הגדול פחות משלשה ימים קודם לשבת</w:t>
      </w:r>
      <w:r>
        <w:rPr>
          <w:rFonts w:hint="cs"/>
          <w:rtl/>
        </w:rPr>
        <w:t>,</w:t>
      </w:r>
      <w:r>
        <w:rPr>
          <w:rtl/>
        </w:rPr>
        <w:t xml:space="preserve"> </w:t>
      </w:r>
      <w:r>
        <w:rPr>
          <w:b/>
          <w:bCs/>
          <w:rtl/>
        </w:rPr>
        <w:t>במי</w:t>
      </w:r>
      <w:r>
        <w:rPr>
          <w:rtl/>
        </w:rPr>
        <w:t xml:space="preserve"> דברים אמורים ביורד לדבר הרשות</w:t>
      </w:r>
      <w:r>
        <w:rPr>
          <w:rFonts w:hint="cs"/>
          <w:rtl/>
        </w:rPr>
        <w:t>,</w:t>
      </w:r>
      <w:r>
        <w:rPr>
          <w:rtl/>
        </w:rPr>
        <w:t xml:space="preserve"> אבל ביורד לדבר מצוה אפי' בערב שבת </w:t>
      </w:r>
      <w:r>
        <w:rPr>
          <w:rFonts w:hint="cs"/>
          <w:rtl/>
        </w:rPr>
        <w:t xml:space="preserve">- </w:t>
      </w:r>
      <w:r>
        <w:rPr>
          <w:b/>
          <w:bCs/>
          <w:rtl/>
        </w:rPr>
        <w:t>מותר</w:t>
      </w:r>
      <w:r>
        <w:rPr>
          <w:rFonts w:hint="cs"/>
          <w:rtl/>
        </w:rPr>
        <w:t xml:space="preserve">". </w:t>
      </w:r>
    </w:p>
    <w:p w14:paraId="0274DFCF" w14:textId="77777777" w:rsidR="00F66C44" w:rsidRDefault="00F66C44"/>
    <w:sectPr w:rsidR="00F66C44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D9B984" w14:textId="77777777" w:rsidR="00F66C44" w:rsidRDefault="00F66C44">
      <w:r>
        <w:separator/>
      </w:r>
    </w:p>
  </w:endnote>
  <w:endnote w:type="continuationSeparator" w:id="0">
    <w:p w14:paraId="59ACA457" w14:textId="77777777" w:rsidR="00F66C44" w:rsidRDefault="00F66C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Ezra SIL">
    <w:altName w:val="Courier New"/>
    <w:charset w:val="00"/>
    <w:family w:val="auto"/>
    <w:pitch w:val="variable"/>
    <w:sig w:usb0="00000000" w:usb1="00000000" w:usb2="00000000" w:usb3="00000000" w:csb0="00000021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035367" w14:textId="77777777" w:rsidR="00F66C44" w:rsidRDefault="00F66C44">
      <w:r>
        <w:separator/>
      </w:r>
    </w:p>
  </w:footnote>
  <w:footnote w:type="continuationSeparator" w:id="0">
    <w:p w14:paraId="5DB2CF3C" w14:textId="77777777" w:rsidR="00F66C44" w:rsidRDefault="00F66C44">
      <w:r>
        <w:continuationSeparator/>
      </w:r>
    </w:p>
  </w:footnote>
  <w:footnote w:id="1">
    <w:p w14:paraId="2F49B4DC" w14:textId="77777777" w:rsidR="00F66C44" w:rsidRDefault="00F66C44">
      <w:pPr>
        <w:pStyle w:val="a4"/>
        <w:rPr>
          <w:rFonts w:hint="cs"/>
          <w:rtl/>
        </w:rPr>
      </w:pPr>
      <w:r>
        <w:rPr>
          <w:rStyle w:val="a3"/>
          <w:rtl/>
        </w:rPr>
        <w:footnoteRef/>
      </w:r>
      <w:r>
        <w:rPr>
          <w:sz w:val="26"/>
          <w:szCs w:val="26"/>
        </w:rPr>
        <w:t xml:space="preserve"> </w:t>
      </w:r>
      <w:r>
        <w:rPr>
          <w:rFonts w:hint="cs"/>
          <w:sz w:val="26"/>
          <w:rtl/>
        </w:rPr>
        <w:t>ראה סיכום השיטות ב</w:t>
      </w:r>
      <w:r>
        <w:rPr>
          <w:sz w:val="26"/>
          <w:rtl/>
        </w:rPr>
        <w:t xml:space="preserve">שו"ת ציץ אליעזר </w:t>
      </w:r>
      <w:r>
        <w:rPr>
          <w:rFonts w:hint="cs"/>
          <w:sz w:val="26"/>
          <w:rtl/>
        </w:rPr>
        <w:t>(</w:t>
      </w:r>
      <w:r>
        <w:rPr>
          <w:sz w:val="18"/>
          <w:szCs w:val="20"/>
          <w:rtl/>
        </w:rPr>
        <w:t>ח</w:t>
      </w:r>
      <w:r>
        <w:rPr>
          <w:rFonts w:hint="cs"/>
          <w:sz w:val="18"/>
          <w:szCs w:val="20"/>
          <w:rtl/>
        </w:rPr>
        <w:t>"</w:t>
      </w:r>
      <w:r>
        <w:rPr>
          <w:sz w:val="18"/>
          <w:szCs w:val="20"/>
          <w:rtl/>
        </w:rPr>
        <w:t>א סימן כ</w:t>
      </w:r>
      <w:r>
        <w:rPr>
          <w:rFonts w:hint="cs"/>
          <w:sz w:val="18"/>
          <w:szCs w:val="20"/>
          <w:rtl/>
        </w:rPr>
        <w:t>"</w:t>
      </w:r>
      <w:r>
        <w:rPr>
          <w:sz w:val="18"/>
          <w:szCs w:val="20"/>
          <w:rtl/>
        </w:rPr>
        <w:t>א</w:t>
      </w:r>
      <w:r>
        <w:rPr>
          <w:rFonts w:hint="cs"/>
          <w:sz w:val="26"/>
          <w:rtl/>
        </w:rPr>
        <w:t>)</w:t>
      </w:r>
      <w:r>
        <w:rPr>
          <w:sz w:val="26"/>
          <w:rtl/>
        </w:rPr>
        <w:t xml:space="preserve"> </w:t>
      </w:r>
      <w:r>
        <w:rPr>
          <w:rFonts w:hint="cs"/>
          <w:sz w:val="26"/>
          <w:rtl/>
        </w:rPr>
        <w:t>וב"</w:t>
      </w:r>
      <w:r>
        <w:rPr>
          <w:rFonts w:hint="eastAsia"/>
          <w:sz w:val="26"/>
          <w:rtl/>
        </w:rPr>
        <w:t>בירור</w:t>
      </w:r>
      <w:r>
        <w:rPr>
          <w:sz w:val="26"/>
          <w:rtl/>
        </w:rPr>
        <w:t xml:space="preserve"> </w:t>
      </w:r>
      <w:r>
        <w:rPr>
          <w:rFonts w:hint="eastAsia"/>
          <w:sz w:val="26"/>
          <w:rtl/>
        </w:rPr>
        <w:t>הלכה</w:t>
      </w:r>
      <w:r>
        <w:rPr>
          <w:rFonts w:hint="cs"/>
          <w:sz w:val="26"/>
          <w:rtl/>
        </w:rPr>
        <w:t>" (</w:t>
      </w:r>
      <w:r>
        <w:rPr>
          <w:rFonts w:hint="cs"/>
          <w:sz w:val="18"/>
          <w:szCs w:val="20"/>
          <w:rtl/>
        </w:rPr>
        <w:t xml:space="preserve">במהדורת התלמוד של </w:t>
      </w:r>
      <w:r>
        <w:rPr>
          <w:rFonts w:hint="eastAsia"/>
          <w:sz w:val="18"/>
          <w:szCs w:val="20"/>
          <w:rtl/>
        </w:rPr>
        <w:t>מכון</w:t>
      </w:r>
      <w:r>
        <w:rPr>
          <w:sz w:val="18"/>
          <w:szCs w:val="20"/>
          <w:rtl/>
        </w:rPr>
        <w:t xml:space="preserve"> </w:t>
      </w:r>
      <w:r>
        <w:rPr>
          <w:rFonts w:hint="eastAsia"/>
          <w:sz w:val="18"/>
          <w:szCs w:val="20"/>
          <w:rtl/>
        </w:rPr>
        <w:t>הלכה</w:t>
      </w:r>
      <w:r>
        <w:rPr>
          <w:sz w:val="18"/>
          <w:szCs w:val="20"/>
          <w:rtl/>
        </w:rPr>
        <w:t xml:space="preserve"> </w:t>
      </w:r>
      <w:r>
        <w:rPr>
          <w:rFonts w:hint="eastAsia"/>
          <w:sz w:val="18"/>
          <w:szCs w:val="20"/>
          <w:rtl/>
        </w:rPr>
        <w:t>ברורה</w:t>
      </w:r>
      <w:r>
        <w:rPr>
          <w:rFonts w:hint="cs"/>
          <w:sz w:val="26"/>
          <w:rtl/>
        </w:rPr>
        <w:t xml:space="preserve">). </w:t>
      </w:r>
    </w:p>
  </w:footnote>
  <w:footnote w:id="2">
    <w:p w14:paraId="39AC2A99" w14:textId="77777777" w:rsidR="00F66C44" w:rsidRDefault="00F66C44">
      <w:pPr>
        <w:pStyle w:val="a4"/>
        <w:rPr>
          <w:rFonts w:hint="cs"/>
          <w:rtl/>
        </w:rPr>
      </w:pPr>
      <w:r>
        <w:rPr>
          <w:rStyle w:val="a3"/>
        </w:rPr>
        <w:footnoteRef/>
      </w:r>
      <w:r>
        <w:rPr>
          <w:rFonts w:hint="cs"/>
          <w:rtl/>
        </w:rPr>
        <w:t xml:space="preserve"> עד כאן מופיע גם בפירוש רש"י שעל הרי"ף על אתר (</w:t>
      </w:r>
      <w:r>
        <w:rPr>
          <w:rFonts w:hint="cs"/>
          <w:sz w:val="18"/>
          <w:szCs w:val="20"/>
          <w:rtl/>
        </w:rPr>
        <w:t>ז, א; וכ"כ רבנו ירוחם ו</w:t>
      </w:r>
      <w:r>
        <w:rPr>
          <w:sz w:val="18"/>
          <w:szCs w:val="20"/>
          <w:rtl/>
        </w:rPr>
        <w:t>שו"ת בנימין זאב סימן ר</w:t>
      </w:r>
      <w:r>
        <w:rPr>
          <w:rFonts w:hint="cs"/>
          <w:sz w:val="18"/>
          <w:szCs w:val="20"/>
          <w:rtl/>
        </w:rPr>
        <w:t>"</w:t>
      </w:r>
      <w:r>
        <w:rPr>
          <w:sz w:val="18"/>
          <w:szCs w:val="20"/>
          <w:rtl/>
        </w:rPr>
        <w:t>כ</w:t>
      </w:r>
      <w:r>
        <w:rPr>
          <w:rFonts w:hint="cs"/>
          <w:rtl/>
        </w:rPr>
        <w:t>), ותו לא.</w:t>
      </w:r>
    </w:p>
  </w:footnote>
  <w:footnote w:id="3">
    <w:p w14:paraId="1CEAFEC9" w14:textId="77777777" w:rsidR="00F66C44" w:rsidRDefault="00F66C44">
      <w:pPr>
        <w:pStyle w:val="a4"/>
        <w:rPr>
          <w:rFonts w:hint="cs"/>
          <w:rtl/>
        </w:rPr>
      </w:pPr>
      <w:r>
        <w:rPr>
          <w:rStyle w:val="a3"/>
        </w:rPr>
        <w:footnoteRef/>
      </w:r>
      <w:r>
        <w:rPr>
          <w:rFonts w:hint="cs"/>
          <w:rtl/>
        </w:rPr>
        <w:t xml:space="preserve"> תיבה זו נוספה בסוגריים מרובעות בדפוס, ע"פ הגהת ריעב"ץ, ככה"נ ע"פ סברא, </w:t>
      </w:r>
      <w:r>
        <w:rPr>
          <w:rFonts w:hint="cs"/>
          <w:color w:val="FF0000"/>
          <w:rtl/>
        </w:rPr>
        <w:t>וצ"ע בכתבי יד של פירש"י</w:t>
      </w:r>
      <w:r>
        <w:rPr>
          <w:rFonts w:hint="cs"/>
          <w:rtl/>
        </w:rPr>
        <w:t>. ב</w:t>
      </w:r>
      <w:r>
        <w:rPr>
          <w:rtl/>
        </w:rPr>
        <w:t xml:space="preserve">אור זרוע </w:t>
      </w:r>
      <w:r>
        <w:rPr>
          <w:rFonts w:hint="cs"/>
          <w:rtl/>
        </w:rPr>
        <w:t>(</w:t>
      </w:r>
      <w:r>
        <w:rPr>
          <w:sz w:val="18"/>
          <w:szCs w:val="20"/>
          <w:rtl/>
        </w:rPr>
        <w:t>ח"ב</w:t>
      </w:r>
      <w:r>
        <w:rPr>
          <w:rFonts w:hint="cs"/>
          <w:sz w:val="18"/>
          <w:szCs w:val="20"/>
          <w:rtl/>
        </w:rPr>
        <w:t>,</w:t>
      </w:r>
      <w:r>
        <w:rPr>
          <w:sz w:val="18"/>
          <w:szCs w:val="20"/>
          <w:rtl/>
        </w:rPr>
        <w:t xml:space="preserve"> הלכות ערב שבת סימן ג</w:t>
      </w:r>
      <w:r>
        <w:rPr>
          <w:rFonts w:hint="cs"/>
          <w:sz w:val="18"/>
          <w:szCs w:val="20"/>
          <w:rtl/>
        </w:rPr>
        <w:t>'</w:t>
      </w:r>
      <w:r>
        <w:rPr>
          <w:rFonts w:hint="cs"/>
          <w:rtl/>
        </w:rPr>
        <w:t>) הובא פירוש רש"י ללא תיבה זו.</w:t>
      </w:r>
    </w:p>
  </w:footnote>
  <w:footnote w:id="4">
    <w:p w14:paraId="7E3D1844" w14:textId="77777777" w:rsidR="00F66C44" w:rsidRDefault="00F66C44">
      <w:pPr>
        <w:pStyle w:val="a4"/>
        <w:rPr>
          <w:rFonts w:hint="cs"/>
          <w:rtl/>
        </w:rPr>
      </w:pPr>
      <w:r>
        <w:rPr>
          <w:rStyle w:val="a3"/>
          <w:rtl/>
        </w:rPr>
        <w:footnoteRef/>
      </w:r>
      <w:r>
        <w:rPr>
          <w:szCs w:val="22"/>
        </w:rPr>
        <w:t xml:space="preserve"> </w:t>
      </w:r>
      <w:r>
        <w:rPr>
          <w:rFonts w:hint="cs"/>
          <w:rtl/>
        </w:rPr>
        <w:t>מאן דתני (</w:t>
      </w:r>
      <w:r>
        <w:rPr>
          <w:sz w:val="18"/>
          <w:szCs w:val="20"/>
          <w:rtl/>
        </w:rPr>
        <w:t>בבא מציעא פ</w:t>
      </w:r>
      <w:r>
        <w:rPr>
          <w:rFonts w:hint="cs"/>
          <w:sz w:val="18"/>
          <w:szCs w:val="20"/>
          <w:rtl/>
        </w:rPr>
        <w:t>"</w:t>
      </w:r>
      <w:r>
        <w:rPr>
          <w:sz w:val="18"/>
          <w:szCs w:val="20"/>
          <w:rtl/>
        </w:rPr>
        <w:t>ד מ</w:t>
      </w:r>
      <w:r>
        <w:rPr>
          <w:rFonts w:hint="cs"/>
          <w:sz w:val="18"/>
          <w:szCs w:val="20"/>
          <w:rtl/>
        </w:rPr>
        <w:t>"</w:t>
      </w:r>
      <w:r>
        <w:rPr>
          <w:sz w:val="18"/>
          <w:szCs w:val="20"/>
          <w:rtl/>
        </w:rPr>
        <w:t>ב</w:t>
      </w:r>
      <w:r>
        <w:rPr>
          <w:rFonts w:hint="cs"/>
          <w:sz w:val="18"/>
          <w:szCs w:val="20"/>
          <w:rtl/>
        </w:rPr>
        <w:t xml:space="preserve">; </w:t>
      </w:r>
      <w:r>
        <w:rPr>
          <w:sz w:val="18"/>
          <w:szCs w:val="20"/>
          <w:rtl/>
        </w:rPr>
        <w:t>סנהדרין פ</w:t>
      </w:r>
      <w:r>
        <w:rPr>
          <w:rFonts w:hint="cs"/>
          <w:sz w:val="18"/>
          <w:szCs w:val="20"/>
          <w:rtl/>
        </w:rPr>
        <w:t>"</w:t>
      </w:r>
      <w:r>
        <w:rPr>
          <w:sz w:val="18"/>
          <w:szCs w:val="20"/>
          <w:rtl/>
        </w:rPr>
        <w:t>י מ</w:t>
      </w:r>
      <w:r>
        <w:rPr>
          <w:rFonts w:hint="cs"/>
          <w:sz w:val="18"/>
          <w:szCs w:val="20"/>
          <w:rtl/>
        </w:rPr>
        <w:t>"</w:t>
      </w:r>
      <w:r>
        <w:rPr>
          <w:sz w:val="18"/>
          <w:szCs w:val="20"/>
          <w:rtl/>
        </w:rPr>
        <w:t>ג</w:t>
      </w:r>
      <w:r>
        <w:rPr>
          <w:rFonts w:hint="cs"/>
          <w:rtl/>
        </w:rPr>
        <w:t>) "דור הַפַּלָּגָה" (</w:t>
      </w:r>
      <w:r>
        <w:rPr>
          <w:rFonts w:hint="cs"/>
          <w:color w:val="FF0000"/>
          <w:sz w:val="18"/>
          <w:szCs w:val="20"/>
          <w:rtl/>
        </w:rPr>
        <w:t>משנה סדורה, ר"ע שטיינזלץ</w:t>
      </w:r>
      <w:r>
        <w:rPr>
          <w:rFonts w:hint="cs"/>
          <w:rtl/>
        </w:rPr>
        <w:t>) לא משתבש, ומאן דתני "דור הַפְּלַגָּה" (</w:t>
      </w:r>
      <w:r>
        <w:rPr>
          <w:rFonts w:hint="cs"/>
          <w:color w:val="FF0000"/>
          <w:sz w:val="18"/>
          <w:szCs w:val="20"/>
          <w:rtl/>
        </w:rPr>
        <w:t>משנה ר"פ קהתי, מילון אבן שושן</w:t>
      </w:r>
      <w:r>
        <w:rPr>
          <w:rFonts w:hint="cs"/>
          <w:rtl/>
        </w:rPr>
        <w:t>) לא משתבש; אך הקריאה העממית הרווחת "דור הַפְלָגָה" (</w:t>
      </w:r>
      <w:r>
        <w:rPr>
          <w:rFonts w:hint="cs"/>
          <w:color w:val="FF0000"/>
          <w:sz w:val="18"/>
          <w:szCs w:val="20"/>
          <w:rtl/>
        </w:rPr>
        <w:t>משנה בהוצאת אשכול, ותלמוד בהוצאת ארט-סקרול, ורמב"ם לעם מכירה ז, ב</w:t>
      </w:r>
      <w:r>
        <w:rPr>
          <w:rFonts w:hint="cs"/>
          <w:rtl/>
        </w:rPr>
        <w:t>) כנראה משובשת (</w:t>
      </w:r>
      <w:r>
        <w:rPr>
          <w:rFonts w:hint="cs"/>
          <w:color w:val="FF0000"/>
          <w:sz w:val="18"/>
          <w:szCs w:val="20"/>
          <w:rtl/>
        </w:rPr>
        <w:t>מילון אבן שושן</w:t>
      </w:r>
      <w:r>
        <w:rPr>
          <w:rFonts w:hint="cs"/>
          <w:rtl/>
        </w:rPr>
        <w:t xml:space="preserve">). </w:t>
      </w:r>
    </w:p>
  </w:footnote>
  <w:footnote w:id="5">
    <w:p w14:paraId="08D8F233" w14:textId="77777777" w:rsidR="00F66C44" w:rsidRDefault="00F66C44">
      <w:pPr>
        <w:pStyle w:val="a4"/>
        <w:rPr>
          <w:rFonts w:hint="cs"/>
          <w:rtl/>
        </w:rPr>
      </w:pPr>
      <w:r>
        <w:rPr>
          <w:rStyle w:val="a3"/>
        </w:rPr>
        <w:footnoteRef/>
      </w:r>
      <w:r>
        <w:rPr>
          <w:rFonts w:hint="cs"/>
          <w:rtl/>
        </w:rPr>
        <w:t xml:space="preserve"> לגבי דמיון השורשים פל"ג ופר"שׁ, יש להעיר כי ישנה קרבה בין השורשים השונים הפותחים באותיות פ"ר, </w:t>
      </w:r>
      <w:r>
        <w:rPr>
          <w:rFonts w:hint="cs"/>
          <w:color w:val="FF0000"/>
          <w:rtl/>
        </w:rPr>
        <w:t>וכן בין השורשים השונים הפותחים באותיות פ"ל, כגון פל"א, פל"ג, פל"ה, ופל"ט</w:t>
      </w:r>
      <w:r>
        <w:rPr>
          <w:rFonts w:hint="cs"/>
          <w:rtl/>
        </w:rPr>
        <w:t xml:space="preserve"> (וראה להלן על חילופי ל'-ר'). </w:t>
      </w:r>
    </w:p>
  </w:footnote>
  <w:footnote w:id="6">
    <w:p w14:paraId="05D04DFF" w14:textId="77777777" w:rsidR="00F66C44" w:rsidRDefault="00F66C44">
      <w:pPr>
        <w:pStyle w:val="a4"/>
        <w:rPr>
          <w:rtl/>
        </w:rPr>
      </w:pPr>
      <w:r>
        <w:rPr>
          <w:rStyle w:val="a3"/>
          <w:rtl/>
        </w:rPr>
        <w:footnoteRef/>
      </w:r>
      <w:r>
        <w:rPr>
          <w:szCs w:val="22"/>
        </w:rPr>
        <w:t xml:space="preserve"> </w:t>
      </w:r>
      <w:r>
        <w:rPr>
          <w:rFonts w:hint="cs"/>
          <w:rtl/>
        </w:rPr>
        <w:t>"</w:t>
      </w:r>
      <w:r>
        <w:rPr>
          <w:rtl/>
        </w:rPr>
        <w:t>שֵׁם הָאֶחָד פֶּלֶג</w:t>
      </w:r>
      <w:r>
        <w:rPr>
          <w:rFonts w:hint="cs"/>
          <w:rtl/>
        </w:rPr>
        <w:t>,</w:t>
      </w:r>
      <w:r>
        <w:rPr>
          <w:rtl/>
        </w:rPr>
        <w:t xml:space="preserve"> כִּי בְיָמָיו </w:t>
      </w:r>
      <w:r>
        <w:rPr>
          <w:b/>
          <w:bCs/>
          <w:rtl/>
        </w:rPr>
        <w:t>נִפְלְגָה</w:t>
      </w:r>
      <w:r>
        <w:rPr>
          <w:rtl/>
        </w:rPr>
        <w:t xml:space="preserve"> הָאָרֶץ</w:t>
      </w:r>
      <w:r>
        <w:rPr>
          <w:rFonts w:hint="cs"/>
          <w:rtl/>
        </w:rPr>
        <w:t>" (</w:t>
      </w:r>
      <w:r>
        <w:rPr>
          <w:rFonts w:hint="cs"/>
          <w:sz w:val="18"/>
          <w:szCs w:val="20"/>
          <w:rtl/>
        </w:rPr>
        <w:t xml:space="preserve">בראשית י, כה; </w:t>
      </w:r>
      <w:r>
        <w:rPr>
          <w:sz w:val="18"/>
          <w:szCs w:val="20"/>
          <w:rtl/>
        </w:rPr>
        <w:t>דברי הימים א</w:t>
      </w:r>
      <w:r>
        <w:rPr>
          <w:rFonts w:hint="cs"/>
          <w:sz w:val="18"/>
          <w:szCs w:val="20"/>
          <w:rtl/>
        </w:rPr>
        <w:t>'</w:t>
      </w:r>
      <w:r>
        <w:rPr>
          <w:sz w:val="18"/>
          <w:szCs w:val="20"/>
          <w:rtl/>
        </w:rPr>
        <w:t xml:space="preserve"> א</w:t>
      </w:r>
      <w:r>
        <w:rPr>
          <w:rFonts w:hint="cs"/>
          <w:sz w:val="18"/>
          <w:szCs w:val="20"/>
          <w:rtl/>
        </w:rPr>
        <w:t xml:space="preserve">, </w:t>
      </w:r>
      <w:r>
        <w:rPr>
          <w:sz w:val="18"/>
          <w:szCs w:val="20"/>
          <w:rtl/>
        </w:rPr>
        <w:t>יט</w:t>
      </w:r>
      <w:r>
        <w:rPr>
          <w:rFonts w:hint="cs"/>
          <w:rtl/>
        </w:rPr>
        <w:t xml:space="preserve">) וכתב ר"א </w:t>
      </w:r>
      <w:r>
        <w:rPr>
          <w:rtl/>
        </w:rPr>
        <w:t xml:space="preserve">אבן עזרא </w:t>
      </w:r>
      <w:r>
        <w:rPr>
          <w:rFonts w:hint="cs"/>
          <w:rtl/>
        </w:rPr>
        <w:t>(</w:t>
      </w:r>
      <w:r>
        <w:rPr>
          <w:sz w:val="18"/>
          <w:szCs w:val="20"/>
          <w:rtl/>
        </w:rPr>
        <w:t>בראשית יא</w:t>
      </w:r>
      <w:r>
        <w:rPr>
          <w:rFonts w:hint="cs"/>
          <w:sz w:val="18"/>
          <w:szCs w:val="20"/>
          <w:rtl/>
        </w:rPr>
        <w:t xml:space="preserve">, </w:t>
      </w:r>
      <w:r>
        <w:rPr>
          <w:sz w:val="18"/>
          <w:szCs w:val="20"/>
          <w:rtl/>
        </w:rPr>
        <w:t>א</w:t>
      </w:r>
      <w:r>
        <w:rPr>
          <w:rFonts w:hint="cs"/>
          <w:rtl/>
        </w:rPr>
        <w:t>): "</w:t>
      </w:r>
      <w:r>
        <w:rPr>
          <w:rtl/>
        </w:rPr>
        <w:t>ונקרא פֶּלֶג כי בעת הולדו נִפְלְגָה הָאָרֶץ, כתרגום ארמית חֵצִי</w:t>
      </w:r>
      <w:r>
        <w:rPr>
          <w:rFonts w:hint="cs"/>
          <w:rtl/>
        </w:rPr>
        <w:t xml:space="preserve"> (</w:t>
      </w:r>
      <w:r>
        <w:rPr>
          <w:sz w:val="18"/>
          <w:szCs w:val="20"/>
          <w:rtl/>
        </w:rPr>
        <w:t>שמות כה</w:t>
      </w:r>
      <w:r>
        <w:rPr>
          <w:rFonts w:hint="cs"/>
          <w:sz w:val="18"/>
          <w:szCs w:val="20"/>
          <w:rtl/>
        </w:rPr>
        <w:t xml:space="preserve">, </w:t>
      </w:r>
      <w:r>
        <w:rPr>
          <w:sz w:val="18"/>
          <w:szCs w:val="20"/>
          <w:rtl/>
        </w:rPr>
        <w:t>י</w:t>
      </w:r>
      <w:r>
        <w:rPr>
          <w:rFonts w:hint="cs"/>
          <w:sz w:val="18"/>
          <w:szCs w:val="20"/>
          <w:rtl/>
        </w:rPr>
        <w:t xml:space="preserve"> ועוד</w:t>
      </w:r>
      <w:r>
        <w:rPr>
          <w:rFonts w:hint="cs"/>
          <w:rtl/>
        </w:rPr>
        <w:t>)</w:t>
      </w:r>
      <w:r>
        <w:rPr>
          <w:rtl/>
        </w:rPr>
        <w:t>, וכמוהו</w:t>
      </w:r>
      <w:r>
        <w:rPr>
          <w:rFonts w:hint="cs"/>
          <w:rtl/>
        </w:rPr>
        <w:t xml:space="preserve"> </w:t>
      </w:r>
      <w:r>
        <w:rPr>
          <w:rtl/>
        </w:rPr>
        <w:t>פַּלְגֵי מָיִם</w:t>
      </w:r>
      <w:r>
        <w:rPr>
          <w:rFonts w:hint="cs"/>
          <w:rtl/>
        </w:rPr>
        <w:t xml:space="preserve"> (</w:t>
      </w:r>
      <w:r>
        <w:rPr>
          <w:sz w:val="18"/>
          <w:szCs w:val="20"/>
          <w:rtl/>
        </w:rPr>
        <w:t>תהלים א</w:t>
      </w:r>
      <w:r>
        <w:rPr>
          <w:rFonts w:hint="cs"/>
          <w:sz w:val="18"/>
          <w:szCs w:val="20"/>
          <w:rtl/>
        </w:rPr>
        <w:t>,</w:t>
      </w:r>
      <w:r>
        <w:rPr>
          <w:sz w:val="18"/>
          <w:szCs w:val="20"/>
          <w:rtl/>
        </w:rPr>
        <w:t xml:space="preserve"> ג</w:t>
      </w:r>
      <w:r>
        <w:rPr>
          <w:rFonts w:hint="cs"/>
          <w:sz w:val="18"/>
          <w:szCs w:val="20"/>
          <w:rtl/>
        </w:rPr>
        <w:t xml:space="preserve"> ועוד</w:t>
      </w:r>
      <w:r>
        <w:rPr>
          <w:rFonts w:hint="cs"/>
          <w:rtl/>
        </w:rPr>
        <w:t xml:space="preserve">), </w:t>
      </w:r>
      <w:r>
        <w:rPr>
          <w:rtl/>
        </w:rPr>
        <w:t>הם חלקי המים שהנהר יחולק</w:t>
      </w:r>
      <w:r>
        <w:rPr>
          <w:rFonts w:hint="cs"/>
          <w:rtl/>
        </w:rPr>
        <w:t>".</w:t>
      </w:r>
    </w:p>
  </w:footnote>
  <w:footnote w:id="7">
    <w:p w14:paraId="234CDD58" w14:textId="77777777" w:rsidR="00F66C44" w:rsidRDefault="00F66C44">
      <w:pPr>
        <w:pStyle w:val="a4"/>
        <w:rPr>
          <w:rFonts w:hint="cs"/>
          <w:rtl/>
        </w:rPr>
      </w:pPr>
      <w:r>
        <w:rPr>
          <w:rStyle w:val="a3"/>
          <w:rtl/>
        </w:rPr>
        <w:footnoteRef/>
      </w:r>
      <w:r>
        <w:rPr>
          <w:szCs w:val="22"/>
        </w:rPr>
        <w:t xml:space="preserve"> </w:t>
      </w:r>
      <w:r>
        <w:rPr>
          <w:rFonts w:hint="cs"/>
          <w:rtl/>
        </w:rPr>
        <w:t>"</w:t>
      </w:r>
      <w:r>
        <w:rPr>
          <w:rtl/>
        </w:rPr>
        <w:t xml:space="preserve">בַּלַּע אֲדֹנָי </w:t>
      </w:r>
      <w:r>
        <w:rPr>
          <w:b/>
          <w:bCs/>
          <w:rtl/>
        </w:rPr>
        <w:t>פַּלַּג</w:t>
      </w:r>
      <w:r>
        <w:rPr>
          <w:rtl/>
        </w:rPr>
        <w:t xml:space="preserve"> לְשׁוֹנָם</w:t>
      </w:r>
      <w:r>
        <w:rPr>
          <w:rFonts w:hint="cs"/>
          <w:rtl/>
        </w:rPr>
        <w:t>"</w:t>
      </w:r>
      <w:r>
        <w:rPr>
          <w:rtl/>
        </w:rPr>
        <w:t xml:space="preserve"> </w:t>
      </w:r>
      <w:r>
        <w:rPr>
          <w:rFonts w:hint="cs"/>
          <w:rtl/>
        </w:rPr>
        <w:t>(</w:t>
      </w:r>
      <w:r>
        <w:rPr>
          <w:szCs w:val="20"/>
          <w:rtl/>
        </w:rPr>
        <w:t>תהלים נה</w:t>
      </w:r>
      <w:r>
        <w:rPr>
          <w:rFonts w:hint="cs"/>
          <w:szCs w:val="20"/>
          <w:rtl/>
        </w:rPr>
        <w:t xml:space="preserve">, </w:t>
      </w:r>
      <w:r>
        <w:rPr>
          <w:szCs w:val="20"/>
          <w:rtl/>
        </w:rPr>
        <w:t>י</w:t>
      </w:r>
      <w:r>
        <w:rPr>
          <w:rFonts w:hint="cs"/>
          <w:sz w:val="26"/>
          <w:rtl/>
        </w:rPr>
        <w:t>). הניקוד החריג (ל' פתוחה, במקום "</w:t>
      </w:r>
      <w:r>
        <w:rPr>
          <w:sz w:val="26"/>
          <w:rtl/>
        </w:rPr>
        <w:t>פַּלּ</w:t>
      </w:r>
      <w:r>
        <w:rPr>
          <w:rFonts w:hint="cs"/>
          <w:sz w:val="26"/>
          <w:rtl/>
        </w:rPr>
        <w:t>ֵ</w:t>
      </w:r>
      <w:r>
        <w:rPr>
          <w:sz w:val="26"/>
          <w:rtl/>
        </w:rPr>
        <w:t>ג</w:t>
      </w:r>
      <w:r>
        <w:rPr>
          <w:rFonts w:hint="cs"/>
          <w:sz w:val="26"/>
          <w:rtl/>
        </w:rPr>
        <w:t>") מוסבר ע"י הריעב"ץ (</w:t>
      </w:r>
      <w:r>
        <w:rPr>
          <w:szCs w:val="20"/>
          <w:rtl/>
        </w:rPr>
        <w:t xml:space="preserve">לוח </w:t>
      </w:r>
      <w:r>
        <w:rPr>
          <w:rFonts w:hint="cs"/>
          <w:szCs w:val="20"/>
          <w:rtl/>
        </w:rPr>
        <w:t>א</w:t>
      </w:r>
      <w:r>
        <w:rPr>
          <w:szCs w:val="20"/>
          <w:rtl/>
        </w:rPr>
        <w:t>רש</w:t>
      </w:r>
      <w:r>
        <w:rPr>
          <w:rFonts w:hint="cs"/>
          <w:szCs w:val="20"/>
          <w:rtl/>
        </w:rPr>
        <w:t>ׁ, תשס"א, עמ' ע"ח</w:t>
      </w:r>
      <w:r>
        <w:rPr>
          <w:rFonts w:hint="cs"/>
          <w:sz w:val="26"/>
          <w:rtl/>
        </w:rPr>
        <w:t>), כדי "לזווג המִלוֹת", דהיינו להתאים את הניקוד לפֹעַל הקודם בפסוק (שדינו להִנָקד בפתח ולא בצירי</w:t>
      </w:r>
      <w:r>
        <w:rPr>
          <w:rFonts w:hint="cs"/>
          <w:szCs w:val="20"/>
          <w:rtl/>
        </w:rPr>
        <w:t>, "</w:t>
      </w:r>
      <w:r>
        <w:rPr>
          <w:szCs w:val="20"/>
          <w:rtl/>
        </w:rPr>
        <w:t>בעבו</w:t>
      </w:r>
      <w:r>
        <w:rPr>
          <w:rFonts w:hint="cs"/>
          <w:szCs w:val="20"/>
          <w:rtl/>
        </w:rPr>
        <w:t>ר</w:t>
      </w:r>
      <w:r>
        <w:rPr>
          <w:szCs w:val="20"/>
          <w:rtl/>
        </w:rPr>
        <w:t xml:space="preserve"> אות הגרון</w:t>
      </w:r>
      <w:r>
        <w:rPr>
          <w:rFonts w:hint="cs"/>
          <w:szCs w:val="20"/>
          <w:rtl/>
        </w:rPr>
        <w:t xml:space="preserve">", כלשון ר"א </w:t>
      </w:r>
      <w:r>
        <w:rPr>
          <w:szCs w:val="20"/>
          <w:rtl/>
        </w:rPr>
        <w:t xml:space="preserve">אבן עזרא </w:t>
      </w:r>
      <w:r>
        <w:rPr>
          <w:rFonts w:hint="cs"/>
          <w:szCs w:val="20"/>
          <w:rtl/>
        </w:rPr>
        <w:t>על אתר</w:t>
      </w:r>
      <w:r>
        <w:rPr>
          <w:rFonts w:hint="cs"/>
          <w:sz w:val="26"/>
          <w:rtl/>
        </w:rPr>
        <w:t>)</w:t>
      </w:r>
      <w:r>
        <w:rPr>
          <w:rFonts w:hint="cs"/>
          <w:rtl/>
        </w:rPr>
        <w:t xml:space="preserve">. רש"י שם מביא שני פירושים אם משמעותו </w:t>
      </w:r>
      <w:r>
        <w:rPr>
          <w:rtl/>
        </w:rPr>
        <w:t>חילוק</w:t>
      </w:r>
      <w:r>
        <w:rPr>
          <w:rFonts w:hint="cs"/>
          <w:rtl/>
        </w:rPr>
        <w:t xml:space="preserve"> או הרחקה והבדלה.</w:t>
      </w:r>
      <w:r>
        <w:rPr>
          <w:rtl/>
        </w:rPr>
        <w:t xml:space="preserve"> </w:t>
      </w:r>
      <w:r>
        <w:rPr>
          <w:rFonts w:hint="cs"/>
          <w:rtl/>
        </w:rPr>
        <w:t>בברכת "נשמת" אנו אומרים "</w:t>
      </w:r>
      <w:r>
        <w:rPr>
          <w:rtl/>
        </w:rPr>
        <w:t xml:space="preserve">על כן </w:t>
      </w:r>
      <w:r>
        <w:rPr>
          <w:rFonts w:hint="cs"/>
          <w:rtl/>
        </w:rPr>
        <w:t xml:space="preserve">אֵבָרִים </w:t>
      </w:r>
      <w:r>
        <w:rPr>
          <w:rFonts w:hint="cs"/>
          <w:b/>
          <w:bCs/>
          <w:rtl/>
        </w:rPr>
        <w:t>שֶׁפִּלַּגְתָּ</w:t>
      </w:r>
      <w:r>
        <w:rPr>
          <w:rFonts w:hint="cs"/>
          <w:rtl/>
        </w:rPr>
        <w:t xml:space="preserve"> </w:t>
      </w:r>
      <w:r>
        <w:rPr>
          <w:rtl/>
        </w:rPr>
        <w:t>בנו</w:t>
      </w:r>
      <w:r>
        <w:rPr>
          <w:rFonts w:hint="cs"/>
          <w:rtl/>
        </w:rPr>
        <w:t xml:space="preserve">", כלומר, </w:t>
      </w:r>
      <w:r>
        <w:rPr>
          <w:rtl/>
        </w:rPr>
        <w:t xml:space="preserve">רמ"ח </w:t>
      </w:r>
      <w:r>
        <w:rPr>
          <w:rFonts w:hint="cs"/>
          <w:rtl/>
        </w:rPr>
        <w:t>ה</w:t>
      </w:r>
      <w:r>
        <w:rPr>
          <w:rtl/>
        </w:rPr>
        <w:t>א</w:t>
      </w:r>
      <w:r>
        <w:rPr>
          <w:rFonts w:hint="cs"/>
          <w:rtl/>
        </w:rPr>
        <w:t>ֵ</w:t>
      </w:r>
      <w:r>
        <w:rPr>
          <w:rtl/>
        </w:rPr>
        <w:t>ברים</w:t>
      </w:r>
      <w:r>
        <w:rPr>
          <w:rFonts w:hint="cs"/>
          <w:rtl/>
        </w:rPr>
        <w:t xml:space="preserve"> </w:t>
      </w:r>
      <w:r>
        <w:rPr>
          <w:rtl/>
        </w:rPr>
        <w:t>שח</w:t>
      </w:r>
      <w:r>
        <w:rPr>
          <w:rFonts w:hint="cs"/>
          <w:rtl/>
        </w:rPr>
        <w:t>ִ</w:t>
      </w:r>
      <w:r>
        <w:rPr>
          <w:rtl/>
        </w:rPr>
        <w:t>ל</w:t>
      </w:r>
      <w:r>
        <w:rPr>
          <w:rFonts w:hint="cs"/>
          <w:rtl/>
        </w:rPr>
        <w:t>ֵּ</w:t>
      </w:r>
      <w:r>
        <w:rPr>
          <w:rtl/>
        </w:rPr>
        <w:t>ק</w:t>
      </w:r>
      <w:r>
        <w:rPr>
          <w:rFonts w:hint="cs"/>
          <w:rtl/>
        </w:rPr>
        <w:t xml:space="preserve"> בגופנו (</w:t>
      </w:r>
      <w:r>
        <w:rPr>
          <w:rFonts w:hint="cs"/>
          <w:szCs w:val="20"/>
          <w:rtl/>
        </w:rPr>
        <w:t xml:space="preserve">ע"פ </w:t>
      </w:r>
      <w:r>
        <w:rPr>
          <w:szCs w:val="20"/>
          <w:rtl/>
        </w:rPr>
        <w:t>פירוש</w:t>
      </w:r>
      <w:r>
        <w:rPr>
          <w:rFonts w:hint="cs"/>
          <w:szCs w:val="20"/>
          <w:rtl/>
        </w:rPr>
        <w:t xml:space="preserve"> בעל ה</w:t>
      </w:r>
      <w:r>
        <w:rPr>
          <w:szCs w:val="20"/>
          <w:rtl/>
        </w:rPr>
        <w:t>רקח</w:t>
      </w:r>
      <w:r>
        <w:rPr>
          <w:rFonts w:hint="cs"/>
          <w:szCs w:val="20"/>
          <w:rtl/>
        </w:rPr>
        <w:t xml:space="preserve">, </w:t>
      </w:r>
      <w:r>
        <w:rPr>
          <w:szCs w:val="20"/>
          <w:rtl/>
        </w:rPr>
        <w:t>עמוד תק</w:t>
      </w:r>
      <w:r>
        <w:rPr>
          <w:rFonts w:hint="cs"/>
          <w:szCs w:val="20"/>
          <w:rtl/>
        </w:rPr>
        <w:t>"</w:t>
      </w:r>
      <w:r>
        <w:rPr>
          <w:szCs w:val="20"/>
          <w:rtl/>
        </w:rPr>
        <w:t>ב</w:t>
      </w:r>
      <w:r>
        <w:rPr>
          <w:rFonts w:hint="cs"/>
          <w:szCs w:val="20"/>
          <w:rtl/>
        </w:rPr>
        <w:t xml:space="preserve">; ר"ד </w:t>
      </w:r>
      <w:r>
        <w:rPr>
          <w:szCs w:val="20"/>
          <w:rtl/>
        </w:rPr>
        <w:t>אבודרהם</w:t>
      </w:r>
      <w:r>
        <w:rPr>
          <w:rFonts w:hint="cs"/>
          <w:rtl/>
        </w:rPr>
        <w:t>), וב</w:t>
      </w:r>
      <w:r>
        <w:rPr>
          <w:rtl/>
        </w:rPr>
        <w:t xml:space="preserve">מחזור ויטרי </w:t>
      </w:r>
      <w:r>
        <w:rPr>
          <w:sz w:val="18"/>
          <w:szCs w:val="20"/>
          <w:rtl/>
        </w:rPr>
        <w:t>סימן ק</w:t>
      </w:r>
      <w:r>
        <w:rPr>
          <w:rFonts w:hint="cs"/>
          <w:sz w:val="18"/>
          <w:szCs w:val="20"/>
          <w:rtl/>
        </w:rPr>
        <w:t>"</w:t>
      </w:r>
      <w:r>
        <w:rPr>
          <w:sz w:val="18"/>
          <w:szCs w:val="20"/>
          <w:rtl/>
        </w:rPr>
        <w:t xml:space="preserve">ס </w:t>
      </w:r>
      <w:r>
        <w:rPr>
          <w:rFonts w:hint="cs"/>
          <w:rtl/>
        </w:rPr>
        <w:t>דן בנוסח זה לעומת הנוסח "</w:t>
      </w:r>
      <w:r>
        <w:rPr>
          <w:rtl/>
        </w:rPr>
        <w:t>איברים שפילגת</w:t>
      </w:r>
      <w:r>
        <w:rPr>
          <w:b/>
          <w:bCs/>
          <w:rtl/>
        </w:rPr>
        <w:t>נו</w:t>
      </w:r>
      <w:r>
        <w:rPr>
          <w:rFonts w:hint="cs"/>
          <w:rtl/>
        </w:rPr>
        <w:t>" (</w:t>
      </w:r>
      <w:r>
        <w:rPr>
          <w:rFonts w:hint="cs"/>
          <w:sz w:val="18"/>
          <w:szCs w:val="20"/>
          <w:rtl/>
        </w:rPr>
        <w:t>והשוה לדיון על "ותבדיל</w:t>
      </w:r>
      <w:r>
        <w:rPr>
          <w:rFonts w:hint="cs"/>
          <w:b/>
          <w:bCs/>
          <w:sz w:val="18"/>
          <w:szCs w:val="20"/>
          <w:rtl/>
        </w:rPr>
        <w:t>נו</w:t>
      </w:r>
      <w:r>
        <w:rPr>
          <w:rFonts w:hint="cs"/>
          <w:sz w:val="18"/>
          <w:szCs w:val="20"/>
          <w:rtl/>
        </w:rPr>
        <w:t xml:space="preserve">" בנוסח ההבדלה בברכת הדעת בספר </w:t>
      </w:r>
      <w:r>
        <w:rPr>
          <w:sz w:val="18"/>
          <w:szCs w:val="20"/>
          <w:rtl/>
        </w:rPr>
        <w:t xml:space="preserve">לוח </w:t>
      </w:r>
      <w:r>
        <w:rPr>
          <w:rFonts w:hint="cs"/>
          <w:sz w:val="18"/>
          <w:szCs w:val="20"/>
          <w:rtl/>
        </w:rPr>
        <w:t>א</w:t>
      </w:r>
      <w:r>
        <w:rPr>
          <w:sz w:val="18"/>
          <w:szCs w:val="20"/>
          <w:rtl/>
        </w:rPr>
        <w:t>רש</w:t>
      </w:r>
      <w:r>
        <w:rPr>
          <w:rFonts w:hint="cs"/>
          <w:sz w:val="18"/>
          <w:szCs w:val="20"/>
          <w:rtl/>
        </w:rPr>
        <w:t>ׁ, תשס"א, עמ' נ"ח</w:t>
      </w:r>
      <w:r>
        <w:rPr>
          <w:rFonts w:hint="cs"/>
          <w:rtl/>
        </w:rPr>
        <w:t>)</w:t>
      </w:r>
      <w:r>
        <w:rPr>
          <w:rtl/>
        </w:rPr>
        <w:t xml:space="preserve">. </w:t>
      </w:r>
    </w:p>
  </w:footnote>
  <w:footnote w:id="8">
    <w:p w14:paraId="56D44B2A" w14:textId="77777777" w:rsidR="00F66C44" w:rsidRDefault="00F66C44">
      <w:pPr>
        <w:pStyle w:val="a4"/>
        <w:rPr>
          <w:rFonts w:hint="cs"/>
          <w:rtl/>
        </w:rPr>
      </w:pPr>
      <w:r>
        <w:rPr>
          <w:rStyle w:val="a3"/>
        </w:rPr>
        <w:footnoteRef/>
      </w:r>
      <w:r>
        <w:rPr>
          <w:rFonts w:hint="cs"/>
          <w:rtl/>
        </w:rPr>
        <w:t xml:space="preserve"> הנוסח </w:t>
      </w:r>
      <w:r>
        <w:rPr>
          <w:rFonts w:hint="cs"/>
          <w:sz w:val="20"/>
          <w:rtl/>
        </w:rPr>
        <w:t xml:space="preserve">בכתב יד </w:t>
      </w:r>
      <w:r>
        <w:rPr>
          <w:sz w:val="20"/>
          <w:rtl/>
        </w:rPr>
        <w:t>קאופמן</w:t>
      </w:r>
      <w:r>
        <w:rPr>
          <w:rFonts w:hint="cs"/>
          <w:sz w:val="20"/>
          <w:rtl/>
        </w:rPr>
        <w:t>: "</w:t>
      </w:r>
      <w:r>
        <w:rPr>
          <w:rFonts w:hint="eastAsia"/>
          <w:rtl/>
        </w:rPr>
        <w:t>מפ</w:t>
      </w:r>
      <w:r>
        <w:rPr>
          <w:rFonts w:hint="eastAsia"/>
          <w:b/>
          <w:bCs/>
          <w:rtl/>
        </w:rPr>
        <w:t>ל</w:t>
      </w:r>
      <w:r>
        <w:rPr>
          <w:rFonts w:hint="eastAsia"/>
          <w:rtl/>
        </w:rPr>
        <w:t>נדיסים</w:t>
      </w:r>
      <w:r>
        <w:rPr>
          <w:rFonts w:hint="cs"/>
          <w:rtl/>
        </w:rPr>
        <w:t xml:space="preserve">", ובמשנה </w:t>
      </w:r>
      <w:r>
        <w:rPr>
          <w:rtl/>
        </w:rPr>
        <w:t>שבבבלי: "מפ</w:t>
      </w:r>
      <w:r>
        <w:rPr>
          <w:rFonts w:hint="eastAsia"/>
          <w:b/>
          <w:bCs/>
          <w:rtl/>
        </w:rPr>
        <w:t>ל</w:t>
      </w:r>
      <w:r>
        <w:rPr>
          <w:rFonts w:hint="eastAsia"/>
          <w:rtl/>
        </w:rPr>
        <w:t>נדרסין</w:t>
      </w:r>
      <w:r>
        <w:rPr>
          <w:rtl/>
        </w:rPr>
        <w:t>"</w:t>
      </w:r>
      <w:r>
        <w:rPr>
          <w:rFonts w:hint="cs"/>
          <w:rtl/>
        </w:rPr>
        <w:t>. הכוונה כנראה לעיר נמל בדרום מזרח איטליה (</w:t>
      </w:r>
      <w:r>
        <w:rPr>
          <w:rFonts w:hint="cs"/>
          <w:sz w:val="18"/>
          <w:szCs w:val="20"/>
          <w:rtl/>
        </w:rPr>
        <w:t>ע"פ הערות הר"י קאפח והר"ע שטיינזלץ</w:t>
      </w:r>
      <w:r>
        <w:rPr>
          <w:rFonts w:hint="cs"/>
          <w:rtl/>
        </w:rPr>
        <w:t xml:space="preserve">), וראה בספר עלי תמר, </w:t>
      </w:r>
      <w:r>
        <w:rPr>
          <w:rFonts w:hint="cs"/>
          <w:sz w:val="18"/>
          <w:szCs w:val="20"/>
          <w:rtl/>
        </w:rPr>
        <w:t>עירובין, עמ' קע"ו,</w:t>
      </w:r>
      <w:r>
        <w:rPr>
          <w:rFonts w:hint="cs"/>
          <w:rtl/>
        </w:rPr>
        <w:t xml:space="preserve"> הדן בגרסאות שונות של שם זה, ומעיר על חילופי ל'-ר' כאן (כמו גרעין/גלעין).</w:t>
      </w:r>
    </w:p>
  </w:footnote>
  <w:footnote w:id="9">
    <w:p w14:paraId="29546E10" w14:textId="77777777" w:rsidR="00F66C44" w:rsidRDefault="00F66C44">
      <w:pPr>
        <w:pStyle w:val="a4"/>
        <w:rPr>
          <w:rFonts w:hint="cs"/>
          <w:rtl/>
        </w:rPr>
      </w:pPr>
      <w:r>
        <w:rPr>
          <w:rStyle w:val="a3"/>
        </w:rPr>
        <w:footnoteRef/>
      </w:r>
      <w:r>
        <w:rPr>
          <w:rFonts w:hint="cs"/>
          <w:rtl/>
        </w:rPr>
        <w:t xml:space="preserve"> יתכן שהפירוש הראשון התחדש ל</w:t>
      </w:r>
      <w:r>
        <w:rPr>
          <w:rtl/>
        </w:rPr>
        <w:t>רש"י</w:t>
      </w:r>
      <w:r>
        <w:rPr>
          <w:rFonts w:hint="cs"/>
          <w:rtl/>
        </w:rPr>
        <w:t xml:space="preserve"> רק לאחר כתיבת פירושו ל</w:t>
      </w:r>
      <w:r>
        <w:rPr>
          <w:rtl/>
        </w:rPr>
        <w:t>עירובין</w:t>
      </w:r>
      <w:r>
        <w:rPr>
          <w:rFonts w:hint="cs"/>
          <w:rtl/>
        </w:rPr>
        <w:t>. אמנם, יש לציין כי בפירוש רש"י שעל הרי"ף במסכת ערובין (</w:t>
      </w:r>
      <w:r>
        <w:rPr>
          <w:rFonts w:hint="cs"/>
          <w:sz w:val="18"/>
          <w:szCs w:val="20"/>
          <w:rtl/>
        </w:rPr>
        <w:t>י, ב</w:t>
      </w:r>
      <w:r>
        <w:rPr>
          <w:rFonts w:hint="cs"/>
          <w:rtl/>
        </w:rPr>
        <w:t>) מובא פירוש זה: "והפליגה - כלומר נתרחקה משפת הנהר; כשהיא מתרחקת משפת הנהר ונכנסת לאמצעה (</w:t>
      </w:r>
      <w:r>
        <w:rPr>
          <w:rFonts w:hint="cs"/>
          <w:sz w:val="18"/>
          <w:szCs w:val="20"/>
          <w:rtl/>
        </w:rPr>
        <w:t>אולי צ"ל: "</w:t>
      </w:r>
      <w:r>
        <w:rPr>
          <w:sz w:val="18"/>
          <w:szCs w:val="20"/>
          <w:rtl/>
        </w:rPr>
        <w:t>לאמצע</w:t>
      </w:r>
      <w:r>
        <w:rPr>
          <w:rFonts w:hint="cs"/>
          <w:b/>
          <w:bCs/>
          <w:sz w:val="18"/>
          <w:szCs w:val="20"/>
          <w:rtl/>
        </w:rPr>
        <w:t>ו</w:t>
      </w:r>
      <w:r>
        <w:rPr>
          <w:rFonts w:hint="cs"/>
          <w:sz w:val="18"/>
          <w:szCs w:val="20"/>
          <w:rtl/>
        </w:rPr>
        <w:t xml:space="preserve">", כלומר לאמצע </w:t>
      </w:r>
      <w:r>
        <w:rPr>
          <w:rFonts w:hint="cs"/>
          <w:b/>
          <w:bCs/>
          <w:sz w:val="18"/>
          <w:szCs w:val="20"/>
          <w:rtl/>
        </w:rPr>
        <w:t>של הנהר</w:t>
      </w:r>
      <w:r>
        <w:rPr>
          <w:rFonts w:hint="cs"/>
          <w:rtl/>
        </w:rPr>
        <w:t>) - קרי הַפְלָגָה". יתכן שמפירוש זה משמע שהַפְלָגָה משמעה הרחקה כפירוש הראשון. על השינוי שבין "נהר" ל"ים" ראה להלן.</w:t>
      </w:r>
    </w:p>
  </w:footnote>
  <w:footnote w:id="10">
    <w:p w14:paraId="270F338E" w14:textId="77777777" w:rsidR="00F66C44" w:rsidRDefault="00F66C44">
      <w:pPr>
        <w:pStyle w:val="a4"/>
        <w:rPr>
          <w:rFonts w:hint="cs"/>
          <w:rtl/>
        </w:rPr>
      </w:pPr>
      <w:r>
        <w:rPr>
          <w:rStyle w:val="a3"/>
        </w:rPr>
        <w:footnoteRef/>
      </w:r>
      <w:r>
        <w:rPr>
          <w:rFonts w:hint="cs"/>
          <w:rtl/>
        </w:rPr>
        <w:t xml:space="preserve"> מכאן ניתן להסיק שכשמפרש רש"י בסתמא, הרי הוא מוסר את הפירושים שלמד מרבותיו, בבחינת "</w:t>
      </w:r>
      <w:r>
        <w:rPr>
          <w:rtl/>
        </w:rPr>
        <w:t>וכי רבי לא שנאה, רבי חייא מנין לו?</w:t>
      </w:r>
      <w:r>
        <w:rPr>
          <w:rFonts w:hint="cs"/>
          <w:rtl/>
        </w:rPr>
        <w:t>" (</w:t>
      </w:r>
      <w:r>
        <w:rPr>
          <w:sz w:val="18"/>
          <w:szCs w:val="20"/>
          <w:rtl/>
        </w:rPr>
        <w:t>עירובין צב</w:t>
      </w:r>
      <w:r>
        <w:rPr>
          <w:rFonts w:hint="cs"/>
          <w:sz w:val="18"/>
          <w:szCs w:val="20"/>
          <w:rtl/>
        </w:rPr>
        <w:t xml:space="preserve">, </w:t>
      </w:r>
      <w:r>
        <w:rPr>
          <w:sz w:val="18"/>
          <w:szCs w:val="20"/>
          <w:rtl/>
        </w:rPr>
        <w:t>א</w:t>
      </w:r>
      <w:r>
        <w:rPr>
          <w:rFonts w:hint="cs"/>
          <w:rtl/>
        </w:rPr>
        <w:t>). רק כשמוסיף פירוש מדעתו, הוא קורא את שם הרב המפרש על פירושו.</w:t>
      </w:r>
    </w:p>
  </w:footnote>
  <w:footnote w:id="11">
    <w:p w14:paraId="0D399CF7" w14:textId="77777777" w:rsidR="00F66C44" w:rsidRDefault="00F66C44">
      <w:pPr>
        <w:pStyle w:val="a4"/>
        <w:rPr>
          <w:rtl/>
        </w:rPr>
      </w:pPr>
      <w:r>
        <w:rPr>
          <w:rStyle w:val="a3"/>
        </w:rPr>
        <w:footnoteRef/>
      </w:r>
      <w:r>
        <w:rPr>
          <w:rFonts w:hint="cs"/>
          <w:rtl/>
        </w:rPr>
        <w:t xml:space="preserve"> אולי צ"ל: "</w:t>
      </w:r>
      <w:r>
        <w:rPr>
          <w:rtl/>
        </w:rPr>
        <w:t>לאמצע</w:t>
      </w:r>
      <w:r>
        <w:rPr>
          <w:rFonts w:hint="cs"/>
          <w:b/>
          <w:bCs/>
          <w:rtl/>
        </w:rPr>
        <w:t>ו</w:t>
      </w:r>
      <w:r>
        <w:rPr>
          <w:rFonts w:hint="cs"/>
          <w:rtl/>
        </w:rPr>
        <w:t xml:space="preserve">", כלומר לאמצע </w:t>
      </w:r>
      <w:r>
        <w:rPr>
          <w:rFonts w:hint="cs"/>
          <w:b/>
          <w:bCs/>
          <w:rtl/>
        </w:rPr>
        <w:t>של הים</w:t>
      </w:r>
      <w:r>
        <w:rPr>
          <w:rFonts w:hint="cs"/>
          <w:rtl/>
        </w:rPr>
        <w:t>.</w:t>
      </w:r>
    </w:p>
  </w:footnote>
  <w:footnote w:id="12">
    <w:p w14:paraId="7647630E" w14:textId="77777777" w:rsidR="00F66C44" w:rsidRDefault="00F66C44">
      <w:pPr>
        <w:pStyle w:val="a4"/>
        <w:rPr>
          <w:rFonts w:hint="cs"/>
          <w:rtl/>
        </w:rPr>
      </w:pPr>
      <w:r>
        <w:rPr>
          <w:rStyle w:val="a3"/>
        </w:rPr>
        <w:footnoteRef/>
      </w:r>
      <w:r>
        <w:rPr>
          <w:rFonts w:hint="cs"/>
          <w:rtl/>
        </w:rPr>
        <w:t xml:space="preserve"> על הכתוב (</w:t>
      </w:r>
      <w:r>
        <w:rPr>
          <w:sz w:val="18"/>
          <w:szCs w:val="20"/>
          <w:rtl/>
        </w:rPr>
        <w:t>משלי כג</w:t>
      </w:r>
      <w:r>
        <w:rPr>
          <w:rFonts w:hint="cs"/>
          <w:sz w:val="18"/>
          <w:szCs w:val="20"/>
          <w:rtl/>
        </w:rPr>
        <w:t xml:space="preserve">, </w:t>
      </w:r>
      <w:r>
        <w:rPr>
          <w:sz w:val="18"/>
          <w:szCs w:val="20"/>
          <w:rtl/>
        </w:rPr>
        <w:t>לד</w:t>
      </w:r>
      <w:r>
        <w:rPr>
          <w:rFonts w:hint="cs"/>
          <w:rtl/>
        </w:rPr>
        <w:t>): "</w:t>
      </w:r>
      <w:r>
        <w:rPr>
          <w:rtl/>
        </w:rPr>
        <w:t>וְהָיִיתָ</w:t>
      </w:r>
      <w:r>
        <w:rPr>
          <w:rFonts w:hint="cs"/>
          <w:rtl/>
        </w:rPr>
        <w:t xml:space="preserve"> </w:t>
      </w:r>
      <w:r>
        <w:rPr>
          <w:rtl/>
        </w:rPr>
        <w:t>כְּשֹׁכֵב בְּלֶב יָם</w:t>
      </w:r>
      <w:r>
        <w:rPr>
          <w:rFonts w:hint="cs"/>
          <w:rtl/>
        </w:rPr>
        <w:t>,</w:t>
      </w:r>
      <w:r>
        <w:rPr>
          <w:rtl/>
        </w:rPr>
        <w:t xml:space="preserve"> וּכְשֹׁכֵב</w:t>
      </w:r>
      <w:r>
        <w:rPr>
          <w:rFonts w:hint="cs"/>
          <w:rtl/>
        </w:rPr>
        <w:t xml:space="preserve"> </w:t>
      </w:r>
      <w:r>
        <w:rPr>
          <w:rtl/>
        </w:rPr>
        <w:t>בְּרֹאשׁ חִבֵּל</w:t>
      </w:r>
      <w:r>
        <w:rPr>
          <w:rFonts w:hint="cs"/>
          <w:rtl/>
        </w:rPr>
        <w:t>" דרשו: "</w:t>
      </w:r>
      <w:r>
        <w:rPr>
          <w:rtl/>
        </w:rPr>
        <w:t>כהדא אילפא דדמכא ב</w:t>
      </w:r>
      <w:r>
        <w:rPr>
          <w:b/>
          <w:bCs/>
          <w:rtl/>
        </w:rPr>
        <w:t xml:space="preserve">פילגוס </w:t>
      </w:r>
      <w:r>
        <w:rPr>
          <w:rtl/>
        </w:rPr>
        <w:t>דימא</w:t>
      </w:r>
      <w:r>
        <w:rPr>
          <w:rFonts w:hint="cs"/>
          <w:rtl/>
        </w:rPr>
        <w:t>" (</w:t>
      </w:r>
      <w:r>
        <w:rPr>
          <w:sz w:val="18"/>
          <w:szCs w:val="20"/>
          <w:rtl/>
        </w:rPr>
        <w:t>ויקרא רבה</w:t>
      </w:r>
      <w:r>
        <w:rPr>
          <w:rFonts w:hint="cs"/>
          <w:sz w:val="18"/>
          <w:szCs w:val="20"/>
          <w:rtl/>
        </w:rPr>
        <w:t xml:space="preserve"> </w:t>
      </w:r>
      <w:r>
        <w:rPr>
          <w:sz w:val="18"/>
          <w:szCs w:val="20"/>
          <w:rtl/>
        </w:rPr>
        <w:t>פרשה יב</w:t>
      </w:r>
      <w:r>
        <w:rPr>
          <w:rFonts w:hint="cs"/>
          <w:sz w:val="18"/>
          <w:szCs w:val="20"/>
          <w:rtl/>
        </w:rPr>
        <w:t xml:space="preserve">; </w:t>
      </w:r>
      <w:r>
        <w:rPr>
          <w:sz w:val="18"/>
          <w:szCs w:val="20"/>
          <w:rtl/>
        </w:rPr>
        <w:t>אסתר רבה</w:t>
      </w:r>
      <w:r>
        <w:rPr>
          <w:rFonts w:hint="cs"/>
          <w:sz w:val="18"/>
          <w:szCs w:val="20"/>
          <w:rtl/>
        </w:rPr>
        <w:t xml:space="preserve"> </w:t>
      </w:r>
      <w:r>
        <w:rPr>
          <w:sz w:val="18"/>
          <w:szCs w:val="20"/>
          <w:rtl/>
        </w:rPr>
        <w:t>פרשה ה</w:t>
      </w:r>
      <w:r>
        <w:rPr>
          <w:rFonts w:hint="cs"/>
          <w:sz w:val="18"/>
          <w:szCs w:val="20"/>
          <w:rtl/>
        </w:rPr>
        <w:t>,</w:t>
      </w:r>
      <w:r>
        <w:rPr>
          <w:sz w:val="18"/>
          <w:szCs w:val="20"/>
          <w:rtl/>
        </w:rPr>
        <w:t xml:space="preserve"> א</w:t>
      </w:r>
      <w:r>
        <w:rPr>
          <w:rFonts w:hint="cs"/>
          <w:rtl/>
        </w:rPr>
        <w:t>). כמו כן, מובא ב</w:t>
      </w:r>
      <w:r>
        <w:rPr>
          <w:sz w:val="26"/>
          <w:rtl/>
        </w:rPr>
        <w:t>אוצר המדרשים (</w:t>
      </w:r>
      <w:r>
        <w:rPr>
          <w:sz w:val="18"/>
          <w:szCs w:val="20"/>
          <w:rtl/>
        </w:rPr>
        <w:t>עמ</w:t>
      </w:r>
      <w:r>
        <w:rPr>
          <w:rFonts w:hint="cs"/>
          <w:sz w:val="18"/>
          <w:szCs w:val="20"/>
          <w:rtl/>
        </w:rPr>
        <w:t>'</w:t>
      </w:r>
      <w:r>
        <w:rPr>
          <w:sz w:val="18"/>
          <w:szCs w:val="20"/>
          <w:rtl/>
        </w:rPr>
        <w:t xml:space="preserve"> רנ</w:t>
      </w:r>
      <w:r>
        <w:rPr>
          <w:rFonts w:hint="cs"/>
          <w:sz w:val="18"/>
          <w:szCs w:val="20"/>
          <w:rtl/>
        </w:rPr>
        <w:t>"</w:t>
      </w:r>
      <w:r>
        <w:rPr>
          <w:sz w:val="18"/>
          <w:szCs w:val="20"/>
          <w:rtl/>
        </w:rPr>
        <w:t>ג</w:t>
      </w:r>
      <w:r>
        <w:rPr>
          <w:rFonts w:hint="cs"/>
          <w:sz w:val="26"/>
          <w:rtl/>
        </w:rPr>
        <w:t>) "</w:t>
      </w:r>
      <w:r>
        <w:rPr>
          <w:sz w:val="26"/>
          <w:rtl/>
        </w:rPr>
        <w:t>וקרא לארץ ועמדה במקומה כדי שלא תזוז לא לכאן ולא לכאן</w:t>
      </w:r>
      <w:r>
        <w:rPr>
          <w:rFonts w:hint="cs"/>
          <w:sz w:val="26"/>
          <w:rtl/>
        </w:rPr>
        <w:t>,</w:t>
      </w:r>
      <w:r>
        <w:rPr>
          <w:sz w:val="26"/>
          <w:rtl/>
        </w:rPr>
        <w:t xml:space="preserve"> כאניה בפלגוס</w:t>
      </w:r>
      <w:r>
        <w:rPr>
          <w:rFonts w:hint="cs"/>
          <w:sz w:val="26"/>
          <w:rtl/>
        </w:rPr>
        <w:t>". על הכתוב "</w:t>
      </w:r>
      <w:r>
        <w:rPr>
          <w:sz w:val="26"/>
          <w:rtl/>
        </w:rPr>
        <w:t>עֵת לִשְׁמוֹר וְעֵת לְהַשְׁלִיךְ</w:t>
      </w:r>
      <w:r>
        <w:rPr>
          <w:rFonts w:hint="cs"/>
          <w:sz w:val="26"/>
          <w:rtl/>
        </w:rPr>
        <w:t>" (</w:t>
      </w:r>
      <w:r>
        <w:rPr>
          <w:sz w:val="18"/>
          <w:szCs w:val="20"/>
          <w:rtl/>
        </w:rPr>
        <w:t>קהלת ג</w:t>
      </w:r>
      <w:r>
        <w:rPr>
          <w:rFonts w:hint="cs"/>
          <w:sz w:val="18"/>
          <w:szCs w:val="20"/>
          <w:rtl/>
        </w:rPr>
        <w:t xml:space="preserve">, </w:t>
      </w:r>
      <w:r>
        <w:rPr>
          <w:sz w:val="18"/>
          <w:szCs w:val="20"/>
          <w:rtl/>
        </w:rPr>
        <w:t>ו</w:t>
      </w:r>
      <w:r>
        <w:rPr>
          <w:rFonts w:hint="cs"/>
          <w:sz w:val="26"/>
          <w:rtl/>
        </w:rPr>
        <w:t>) מובא ב</w:t>
      </w:r>
      <w:r>
        <w:rPr>
          <w:sz w:val="26"/>
          <w:rtl/>
        </w:rPr>
        <w:t>קהלת רבה (</w:t>
      </w:r>
      <w:r>
        <w:rPr>
          <w:sz w:val="18"/>
          <w:szCs w:val="20"/>
          <w:rtl/>
        </w:rPr>
        <w:t>פרשה ג</w:t>
      </w:r>
      <w:r>
        <w:rPr>
          <w:rFonts w:hint="cs"/>
          <w:sz w:val="18"/>
          <w:szCs w:val="20"/>
          <w:rtl/>
        </w:rPr>
        <w:t>'</w:t>
      </w:r>
      <w:r>
        <w:rPr>
          <w:rFonts w:hint="cs"/>
          <w:sz w:val="26"/>
          <w:rtl/>
        </w:rPr>
        <w:t>) מעשה בסוחר ובנו שבחכמתו השליך את אוצרו לים, מחמת המלחים שזממו: "</w:t>
      </w:r>
      <w:r>
        <w:rPr>
          <w:sz w:val="26"/>
          <w:rtl/>
        </w:rPr>
        <w:t xml:space="preserve">כד עללין אנא </w:t>
      </w:r>
      <w:r>
        <w:rPr>
          <w:b/>
          <w:bCs/>
          <w:sz w:val="26"/>
          <w:rtl/>
        </w:rPr>
        <w:t>לפילגוס</w:t>
      </w:r>
      <w:r>
        <w:rPr>
          <w:rFonts w:hint="cs"/>
          <w:sz w:val="26"/>
          <w:rtl/>
        </w:rPr>
        <w:t xml:space="preserve">, </w:t>
      </w:r>
      <w:r>
        <w:rPr>
          <w:sz w:val="26"/>
          <w:rtl/>
        </w:rPr>
        <w:t>אנן קטלין לון ומשליכין לון ל</w:t>
      </w:r>
      <w:r>
        <w:rPr>
          <w:rFonts w:hint="cs"/>
          <w:sz w:val="26"/>
          <w:rtl/>
        </w:rPr>
        <w:t>ְ</w:t>
      </w:r>
      <w:r>
        <w:rPr>
          <w:sz w:val="26"/>
          <w:rtl/>
        </w:rPr>
        <w:t>ימא</w:t>
      </w:r>
      <w:r>
        <w:rPr>
          <w:rFonts w:hint="cs"/>
          <w:sz w:val="26"/>
          <w:rtl/>
        </w:rPr>
        <w:t>,</w:t>
      </w:r>
      <w:r>
        <w:rPr>
          <w:sz w:val="26"/>
          <w:rtl/>
        </w:rPr>
        <w:t xml:space="preserve"> ונסבין הדין מודליה דדינרין מיניה</w:t>
      </w:r>
      <w:r>
        <w:rPr>
          <w:rFonts w:hint="cs"/>
          <w:sz w:val="26"/>
          <w:rtl/>
        </w:rPr>
        <w:t>" (</w:t>
      </w:r>
      <w:r>
        <w:rPr>
          <w:rFonts w:ascii="Arial" w:hAnsi="Arial" w:cs="Arial" w:hint="cs"/>
          <w:sz w:val="18"/>
          <w:szCs w:val="20"/>
          <w:rtl/>
        </w:rPr>
        <w:t>=</w:t>
      </w:r>
      <w:r>
        <w:rPr>
          <w:rFonts w:hint="cs"/>
          <w:sz w:val="26"/>
          <w:rtl/>
        </w:rPr>
        <w:t>"</w:t>
      </w:r>
      <w:r>
        <w:rPr>
          <w:sz w:val="26"/>
          <w:rtl/>
        </w:rPr>
        <w:t>כאשר נהיה ב</w:t>
      </w:r>
      <w:r>
        <w:rPr>
          <w:b/>
          <w:bCs/>
          <w:sz w:val="26"/>
          <w:rtl/>
        </w:rPr>
        <w:t>לב הים</w:t>
      </w:r>
      <w:r>
        <w:rPr>
          <w:sz w:val="26"/>
          <w:rtl/>
        </w:rPr>
        <w:t>, נשליך האיש בים</w:t>
      </w:r>
      <w:r>
        <w:rPr>
          <w:rFonts w:hint="cs"/>
          <w:sz w:val="26"/>
          <w:rtl/>
        </w:rPr>
        <w:t xml:space="preserve">, </w:t>
      </w:r>
      <w:r>
        <w:rPr>
          <w:sz w:val="26"/>
          <w:rtl/>
        </w:rPr>
        <w:t>ונקח הארגז ממנו</w:t>
      </w:r>
      <w:r>
        <w:rPr>
          <w:rFonts w:hint="cs"/>
          <w:sz w:val="26"/>
          <w:rtl/>
        </w:rPr>
        <w:t>"</w:t>
      </w:r>
      <w:r>
        <w:rPr>
          <w:rFonts w:hint="cs"/>
          <w:szCs w:val="20"/>
          <w:rtl/>
        </w:rPr>
        <w:t>; שו</w:t>
      </w:r>
      <w:r>
        <w:rPr>
          <w:rFonts w:hint="cs"/>
          <w:sz w:val="18"/>
          <w:szCs w:val="20"/>
          <w:rtl/>
        </w:rPr>
        <w:t xml:space="preserve">"ת </w:t>
      </w:r>
      <w:r>
        <w:rPr>
          <w:sz w:val="18"/>
          <w:szCs w:val="20"/>
          <w:rtl/>
        </w:rPr>
        <w:t>ריב"ש</w:t>
      </w:r>
      <w:r>
        <w:rPr>
          <w:rFonts w:hint="cs"/>
          <w:sz w:val="18"/>
          <w:szCs w:val="20"/>
          <w:rtl/>
        </w:rPr>
        <w:t xml:space="preserve"> </w:t>
      </w:r>
      <w:r>
        <w:rPr>
          <w:sz w:val="18"/>
          <w:szCs w:val="20"/>
          <w:rtl/>
        </w:rPr>
        <w:t>תמ</w:t>
      </w:r>
      <w:r>
        <w:rPr>
          <w:rFonts w:hint="cs"/>
          <w:sz w:val="18"/>
          <w:szCs w:val="20"/>
          <w:rtl/>
        </w:rPr>
        <w:t>"</w:t>
      </w:r>
      <w:r>
        <w:rPr>
          <w:sz w:val="18"/>
          <w:szCs w:val="20"/>
          <w:rtl/>
        </w:rPr>
        <w:t>ב</w:t>
      </w:r>
      <w:r>
        <w:rPr>
          <w:rFonts w:hint="cs"/>
          <w:sz w:val="26"/>
          <w:rtl/>
        </w:rPr>
        <w:t>).</w:t>
      </w:r>
    </w:p>
  </w:footnote>
  <w:footnote w:id="13">
    <w:p w14:paraId="2BAFFA30" w14:textId="77777777" w:rsidR="00F66C44" w:rsidRDefault="00F66C44">
      <w:pPr>
        <w:pStyle w:val="a4"/>
        <w:rPr>
          <w:rtl/>
        </w:rPr>
      </w:pPr>
      <w:r>
        <w:rPr>
          <w:rStyle w:val="a3"/>
          <w:rtl/>
        </w:rPr>
        <w:footnoteRef/>
      </w:r>
      <w:r>
        <w:rPr>
          <w:szCs w:val="22"/>
        </w:rPr>
        <w:t xml:space="preserve"> </w:t>
      </w:r>
      <w:r>
        <w:rPr>
          <w:rFonts w:hint="cs"/>
          <w:rtl/>
        </w:rPr>
        <w:t>ההַאֲנָשָׁה "</w:t>
      </w:r>
      <w:r>
        <w:rPr>
          <w:rtl/>
        </w:rPr>
        <w:t>לֶב יָם</w:t>
      </w:r>
      <w:r>
        <w:rPr>
          <w:rFonts w:hint="cs"/>
          <w:rtl/>
        </w:rPr>
        <w:t>" או "</w:t>
      </w:r>
      <w:r>
        <w:rPr>
          <w:rtl/>
        </w:rPr>
        <w:t>לֵב יַמִּים</w:t>
      </w:r>
      <w:r>
        <w:rPr>
          <w:rFonts w:hint="cs"/>
          <w:rtl/>
        </w:rPr>
        <w:t>", נחלקו תרגומי המקרא הארמיים כיצד לתרגמה, כמבואר להלן (</w:t>
      </w:r>
      <w:r>
        <w:rPr>
          <w:sz w:val="18"/>
          <w:szCs w:val="20"/>
          <w:rtl/>
        </w:rPr>
        <w:t>פג</w:t>
      </w:r>
      <w:r>
        <w:rPr>
          <w:rFonts w:hint="cs"/>
          <w:sz w:val="18"/>
          <w:szCs w:val="20"/>
          <w:rtl/>
        </w:rPr>
        <w:t>,</w:t>
      </w:r>
      <w:r>
        <w:rPr>
          <w:sz w:val="18"/>
          <w:szCs w:val="20"/>
          <w:rtl/>
        </w:rPr>
        <w:t xml:space="preserve"> ב</w:t>
      </w:r>
      <w:r>
        <w:rPr>
          <w:rFonts w:hint="cs"/>
          <w:rtl/>
        </w:rPr>
        <w:t>):</w:t>
      </w:r>
      <w:r>
        <w:rPr>
          <w:rtl/>
        </w:rPr>
        <w:t xml:space="preserve"> </w:t>
      </w:r>
      <w:r>
        <w:rPr>
          <w:rFonts w:hint="cs"/>
          <w:rtl/>
        </w:rPr>
        <w:t>בניגוד ל</w:t>
      </w:r>
      <w:r>
        <w:rPr>
          <w:rtl/>
        </w:rPr>
        <w:t xml:space="preserve">אונקלוס </w:t>
      </w:r>
      <w:r>
        <w:rPr>
          <w:rFonts w:hint="cs"/>
          <w:rtl/>
        </w:rPr>
        <w:t>המשאיר הַאֲנָשָׁה זו על כנה, תרגום התורה המכונה "יונתן" (</w:t>
      </w:r>
      <w:r>
        <w:rPr>
          <w:rFonts w:hint="cs"/>
          <w:sz w:val="18"/>
          <w:szCs w:val="20"/>
          <w:rtl/>
        </w:rPr>
        <w:t>ראה להלן</w:t>
      </w:r>
      <w:r>
        <w:rPr>
          <w:sz w:val="18"/>
          <w:szCs w:val="20"/>
          <w:rtl/>
        </w:rPr>
        <w:t xml:space="preserve"> דף </w:t>
      </w:r>
      <w:r>
        <w:rPr>
          <w:rFonts w:hint="cs"/>
          <w:sz w:val="18"/>
          <w:szCs w:val="20"/>
          <w:rtl/>
        </w:rPr>
        <w:t xml:space="preserve">כח, </w:t>
      </w:r>
      <w:r>
        <w:rPr>
          <w:sz w:val="18"/>
          <w:szCs w:val="20"/>
          <w:rtl/>
        </w:rPr>
        <w:t>א</w:t>
      </w:r>
      <w:r>
        <w:rPr>
          <w:rFonts w:hint="cs"/>
          <w:rtl/>
        </w:rPr>
        <w:t>) תִרגם ביטוי זה ללא הַשְאָלָה: "</w:t>
      </w:r>
      <w:r>
        <w:rPr>
          <w:rtl/>
        </w:rPr>
        <w:t>ב</w:t>
      </w:r>
      <w:r>
        <w:rPr>
          <w:rFonts w:hint="cs"/>
          <w:rtl/>
        </w:rPr>
        <w:t xml:space="preserve">ְּגוֹ </w:t>
      </w:r>
      <w:r>
        <w:rPr>
          <w:rtl/>
        </w:rPr>
        <w:t>פ</w:t>
      </w:r>
      <w:r>
        <w:rPr>
          <w:rFonts w:hint="cs"/>
          <w:rtl/>
        </w:rPr>
        <w:t>ִי</w:t>
      </w:r>
      <w:r>
        <w:rPr>
          <w:rtl/>
        </w:rPr>
        <w:t>ל</w:t>
      </w:r>
      <w:r>
        <w:rPr>
          <w:rFonts w:hint="cs"/>
          <w:rtl/>
        </w:rPr>
        <w:t>ְ</w:t>
      </w:r>
      <w:r>
        <w:rPr>
          <w:rtl/>
        </w:rPr>
        <w:t>גו</w:t>
      </w:r>
      <w:r>
        <w:rPr>
          <w:rFonts w:hint="cs"/>
          <w:rtl/>
        </w:rPr>
        <w:t>ּס</w:t>
      </w:r>
      <w:r>
        <w:rPr>
          <w:rtl/>
        </w:rPr>
        <w:t xml:space="preserve"> ד</w:t>
      </w:r>
      <w:r>
        <w:rPr>
          <w:rFonts w:hint="cs"/>
          <w:rtl/>
        </w:rPr>
        <w:t>ְּ</w:t>
      </w:r>
      <w:r>
        <w:rPr>
          <w:rtl/>
        </w:rPr>
        <w:t>י</w:t>
      </w:r>
      <w:r>
        <w:rPr>
          <w:rFonts w:hint="cs"/>
          <w:rtl/>
        </w:rPr>
        <w:t>ַ</w:t>
      </w:r>
      <w:r>
        <w:rPr>
          <w:rtl/>
        </w:rPr>
        <w:t>מ</w:t>
      </w:r>
      <w:r>
        <w:rPr>
          <w:rFonts w:hint="cs"/>
          <w:rtl/>
        </w:rPr>
        <w:t>ָּ</w:t>
      </w:r>
      <w:r>
        <w:rPr>
          <w:rtl/>
        </w:rPr>
        <w:t>א ר</w:t>
      </w:r>
      <w:r>
        <w:rPr>
          <w:rFonts w:hint="cs"/>
          <w:rtl/>
        </w:rPr>
        <w:t>ַ</w:t>
      </w:r>
      <w:r>
        <w:rPr>
          <w:rtl/>
        </w:rPr>
        <w:t>ב</w:t>
      </w:r>
      <w:r>
        <w:rPr>
          <w:rFonts w:hint="cs"/>
          <w:rtl/>
        </w:rPr>
        <w:t>ָּ</w:t>
      </w:r>
      <w:r>
        <w:rPr>
          <w:rtl/>
        </w:rPr>
        <w:t>א</w:t>
      </w:r>
      <w:r>
        <w:rPr>
          <w:rFonts w:hint="cs"/>
          <w:rtl/>
        </w:rPr>
        <w:t>" (</w:t>
      </w:r>
      <w:r>
        <w:rPr>
          <w:sz w:val="18"/>
          <w:szCs w:val="20"/>
          <w:rtl/>
        </w:rPr>
        <w:t>שמות טו</w:t>
      </w:r>
      <w:r>
        <w:rPr>
          <w:rFonts w:hint="cs"/>
          <w:sz w:val="18"/>
          <w:szCs w:val="20"/>
          <w:rtl/>
        </w:rPr>
        <w:t xml:space="preserve">, </w:t>
      </w:r>
      <w:r>
        <w:rPr>
          <w:sz w:val="18"/>
          <w:szCs w:val="20"/>
          <w:rtl/>
        </w:rPr>
        <w:t>ח</w:t>
      </w:r>
      <w:r>
        <w:rPr>
          <w:rFonts w:hint="cs"/>
          <w:sz w:val="18"/>
          <w:szCs w:val="20"/>
          <w:rtl/>
        </w:rPr>
        <w:t>; הניקוד ע"פ מהדורת מקראות גדולות הרווחת</w:t>
      </w:r>
      <w:r>
        <w:rPr>
          <w:rFonts w:hint="cs"/>
          <w:rtl/>
        </w:rPr>
        <w:t>), ודומה לו ב</w:t>
      </w:r>
      <w:r>
        <w:rPr>
          <w:rFonts w:hint="cs"/>
          <w:sz w:val="26"/>
          <w:rtl/>
        </w:rPr>
        <w:t xml:space="preserve">תרגום ירושלמי השלם (כתב יד </w:t>
      </w:r>
      <w:r>
        <w:rPr>
          <w:sz w:val="26"/>
          <w:rtl/>
        </w:rPr>
        <w:t>ניאופיטי</w:t>
      </w:r>
      <w:r>
        <w:rPr>
          <w:rFonts w:hint="cs"/>
          <w:sz w:val="26"/>
          <w:rtl/>
        </w:rPr>
        <w:t xml:space="preserve">; אף הוא </w:t>
      </w:r>
      <w:r>
        <w:rPr>
          <w:rFonts w:hint="cs"/>
          <w:rtl/>
        </w:rPr>
        <w:t>תרגום ארמי ארץ-ישראלי):</w:t>
      </w:r>
      <w:r>
        <w:rPr>
          <w:rtl/>
        </w:rPr>
        <w:t xml:space="preserve"> "בפלגית דימא רבא"</w:t>
      </w:r>
      <w:r>
        <w:rPr>
          <w:rFonts w:hint="cs"/>
          <w:rtl/>
        </w:rPr>
        <w:t>.</w:t>
      </w:r>
    </w:p>
  </w:footnote>
  <w:footnote w:id="14">
    <w:p w14:paraId="191DBEB5" w14:textId="77777777" w:rsidR="00F66C44" w:rsidRDefault="00F66C44">
      <w:pPr>
        <w:pStyle w:val="a4"/>
        <w:rPr>
          <w:rtl/>
        </w:rPr>
      </w:pPr>
      <w:r>
        <w:rPr>
          <w:rStyle w:val="a3"/>
          <w:rtl/>
        </w:rPr>
        <w:footnoteRef/>
      </w:r>
      <w:r>
        <w:rPr>
          <w:szCs w:val="22"/>
        </w:rPr>
        <w:t xml:space="preserve"> </w:t>
      </w:r>
      <w:r>
        <w:rPr>
          <w:rFonts w:hint="cs"/>
          <w:rtl/>
        </w:rPr>
        <w:t>תרגום תהלים (</w:t>
      </w:r>
      <w:r>
        <w:rPr>
          <w:rFonts w:hint="cs"/>
          <w:sz w:val="18"/>
          <w:szCs w:val="20"/>
          <w:rtl/>
        </w:rPr>
        <w:t>מו, ג; הניקוד ע"פ מהדורת הכתר</w:t>
      </w:r>
      <w:r>
        <w:rPr>
          <w:rFonts w:hint="cs"/>
          <w:rtl/>
        </w:rPr>
        <w:t>): "</w:t>
      </w:r>
      <w:r>
        <w:rPr>
          <w:rtl/>
        </w:rPr>
        <w:t>ב</w:t>
      </w:r>
      <w:r>
        <w:rPr>
          <w:rFonts w:hint="cs"/>
          <w:rtl/>
        </w:rPr>
        <w:t>ְּ</w:t>
      </w:r>
      <w:r>
        <w:rPr>
          <w:rtl/>
        </w:rPr>
        <w:t>פ</w:t>
      </w:r>
      <w:r>
        <w:rPr>
          <w:rFonts w:hint="cs"/>
          <w:rtl/>
        </w:rPr>
        <w:t>ֵי</w:t>
      </w:r>
      <w:r>
        <w:rPr>
          <w:rtl/>
        </w:rPr>
        <w:t>ל</w:t>
      </w:r>
      <w:r>
        <w:rPr>
          <w:rFonts w:hint="cs"/>
          <w:rtl/>
        </w:rPr>
        <w:t>ָ</w:t>
      </w:r>
      <w:r>
        <w:rPr>
          <w:rtl/>
        </w:rPr>
        <w:t>גו</w:t>
      </w:r>
      <w:r>
        <w:rPr>
          <w:rFonts w:hint="cs"/>
          <w:rtl/>
        </w:rPr>
        <w:t>ֹס</w:t>
      </w:r>
      <w:r>
        <w:rPr>
          <w:rtl/>
        </w:rPr>
        <w:t xml:space="preserve"> ד</w:t>
      </w:r>
      <w:r>
        <w:rPr>
          <w:rFonts w:hint="cs"/>
          <w:rtl/>
        </w:rPr>
        <w:t>ְּ</w:t>
      </w:r>
      <w:r>
        <w:rPr>
          <w:rtl/>
        </w:rPr>
        <w:t>י</w:t>
      </w:r>
      <w:r>
        <w:rPr>
          <w:rFonts w:hint="cs"/>
          <w:rtl/>
        </w:rPr>
        <w:t>ַ</w:t>
      </w:r>
      <w:r>
        <w:rPr>
          <w:rtl/>
        </w:rPr>
        <w:t>מ</w:t>
      </w:r>
      <w:r>
        <w:rPr>
          <w:rFonts w:hint="cs"/>
          <w:rtl/>
        </w:rPr>
        <w:t>ָּ</w:t>
      </w:r>
      <w:r>
        <w:rPr>
          <w:rtl/>
        </w:rPr>
        <w:t>א ר</w:t>
      </w:r>
      <w:r>
        <w:rPr>
          <w:rFonts w:hint="cs"/>
          <w:rtl/>
        </w:rPr>
        <w:t>ַ</w:t>
      </w:r>
      <w:r>
        <w:rPr>
          <w:rtl/>
        </w:rPr>
        <w:t>ב</w:t>
      </w:r>
      <w:r>
        <w:rPr>
          <w:rFonts w:hint="cs"/>
          <w:rtl/>
        </w:rPr>
        <w:t>ָּ</w:t>
      </w:r>
      <w:r>
        <w:rPr>
          <w:rtl/>
        </w:rPr>
        <w:t>א</w:t>
      </w:r>
      <w:r>
        <w:rPr>
          <w:rFonts w:hint="cs"/>
          <w:rtl/>
        </w:rPr>
        <w:t>".</w:t>
      </w:r>
    </w:p>
  </w:footnote>
  <w:footnote w:id="15">
    <w:p w14:paraId="2529F33B" w14:textId="77777777" w:rsidR="00F66C44" w:rsidRDefault="00F66C44">
      <w:pPr>
        <w:pStyle w:val="a4"/>
        <w:rPr>
          <w:rFonts w:hint="cs"/>
          <w:rtl/>
        </w:rPr>
      </w:pPr>
      <w:r>
        <w:rPr>
          <w:rStyle w:val="a3"/>
          <w:rtl/>
        </w:rPr>
        <w:footnoteRef/>
      </w:r>
      <w:r>
        <w:rPr>
          <w:rFonts w:hint="cs"/>
          <w:rtl/>
        </w:rPr>
        <w:t xml:space="preserve"> "</w:t>
      </w:r>
      <w:r>
        <w:rPr>
          <w:rtl/>
        </w:rPr>
        <w:t>פֶּלַגוֹס</w:t>
      </w:r>
      <w:r>
        <w:rPr>
          <w:rFonts w:hint="cs"/>
          <w:rtl/>
        </w:rPr>
        <w:t>"</w:t>
      </w:r>
      <w:r>
        <w:rPr>
          <w:rtl/>
        </w:rPr>
        <w:t xml:space="preserve"> ביוונית </w:t>
      </w:r>
      <w:r>
        <w:rPr>
          <w:rFonts w:hint="cs"/>
          <w:rtl/>
        </w:rPr>
        <w:t xml:space="preserve">היא </w:t>
      </w:r>
      <w:r>
        <w:rPr>
          <w:rtl/>
        </w:rPr>
        <w:t xml:space="preserve">מילה ספרותית </w:t>
      </w:r>
      <w:r>
        <w:rPr>
          <w:rFonts w:hint="cs"/>
          <w:rtl/>
        </w:rPr>
        <w:t xml:space="preserve">לעומק הים המופלג מהיבשה, </w:t>
      </w:r>
      <w:r>
        <w:rPr>
          <w:rtl/>
        </w:rPr>
        <w:t>לים הגדול</w:t>
      </w:r>
      <w:r>
        <w:rPr>
          <w:rFonts w:hint="cs"/>
          <w:rtl/>
        </w:rPr>
        <w:t>. לפעמים היא משמשת כביטוי מושאל לכמות אדירה, בדומה ל"ים" בביטויים העבריים:</w:t>
      </w:r>
      <w:r>
        <w:rPr>
          <w:rtl/>
        </w:rPr>
        <w:t xml:space="preserve"> </w:t>
      </w:r>
      <w:r>
        <w:rPr>
          <w:rFonts w:hint="cs"/>
          <w:rtl/>
        </w:rPr>
        <w:t>"</w:t>
      </w:r>
      <w:r>
        <w:rPr>
          <w:rtl/>
        </w:rPr>
        <w:t>גָדוֹל כַּיָּם שִׁבְרֵךְ</w:t>
      </w:r>
      <w:r>
        <w:rPr>
          <w:rFonts w:hint="cs"/>
          <w:rtl/>
        </w:rPr>
        <w:t>" (</w:t>
      </w:r>
      <w:r>
        <w:rPr>
          <w:sz w:val="18"/>
          <w:szCs w:val="20"/>
          <w:rtl/>
        </w:rPr>
        <w:t>איכה ב</w:t>
      </w:r>
      <w:r>
        <w:rPr>
          <w:rFonts w:hint="cs"/>
          <w:sz w:val="18"/>
          <w:szCs w:val="20"/>
          <w:rtl/>
        </w:rPr>
        <w:t xml:space="preserve">, </w:t>
      </w:r>
      <w:r>
        <w:rPr>
          <w:sz w:val="18"/>
          <w:szCs w:val="20"/>
          <w:rtl/>
        </w:rPr>
        <w:t>יג</w:t>
      </w:r>
      <w:r>
        <w:rPr>
          <w:rFonts w:hint="cs"/>
          <w:rtl/>
        </w:rPr>
        <w:t>), "</w:t>
      </w:r>
      <w:r>
        <w:rPr>
          <w:rtl/>
        </w:rPr>
        <w:t>ט</w:t>
      </w:r>
      <w:r>
        <w:rPr>
          <w:rFonts w:hint="cs"/>
          <w:rtl/>
        </w:rPr>
        <w:t>ִ</w:t>
      </w:r>
      <w:r>
        <w:rPr>
          <w:rtl/>
        </w:rPr>
        <w:t>פ</w:t>
      </w:r>
      <w:r>
        <w:rPr>
          <w:rFonts w:hint="cs"/>
          <w:rtl/>
        </w:rPr>
        <w:t>ָּ</w:t>
      </w:r>
      <w:r>
        <w:rPr>
          <w:rtl/>
        </w:rPr>
        <w:t>ה מן הים</w:t>
      </w:r>
      <w:r>
        <w:rPr>
          <w:rFonts w:hint="cs"/>
          <w:rtl/>
        </w:rPr>
        <w:t>" (</w:t>
      </w:r>
      <w:r>
        <w:rPr>
          <w:sz w:val="20"/>
          <w:szCs w:val="20"/>
          <w:rtl/>
        </w:rPr>
        <w:t>רמב"ן בראשית א</w:t>
      </w:r>
      <w:r>
        <w:rPr>
          <w:rFonts w:hint="cs"/>
          <w:sz w:val="20"/>
          <w:szCs w:val="20"/>
          <w:rtl/>
        </w:rPr>
        <w:t xml:space="preserve">, </w:t>
      </w:r>
      <w:r>
        <w:rPr>
          <w:sz w:val="20"/>
          <w:szCs w:val="20"/>
          <w:rtl/>
        </w:rPr>
        <w:t>ג</w:t>
      </w:r>
      <w:r>
        <w:rPr>
          <w:rFonts w:hint="cs"/>
          <w:sz w:val="20"/>
          <w:szCs w:val="20"/>
          <w:rtl/>
        </w:rPr>
        <w:t>: "</w:t>
      </w:r>
      <w:r>
        <w:rPr>
          <w:sz w:val="20"/>
          <w:szCs w:val="20"/>
          <w:rtl/>
        </w:rPr>
        <w:t>ודעתינו בו פחות מטפה מן הים הגדול</w:t>
      </w:r>
      <w:r>
        <w:rPr>
          <w:rFonts w:hint="cs"/>
          <w:sz w:val="20"/>
          <w:szCs w:val="20"/>
          <w:rtl/>
        </w:rPr>
        <w:t xml:space="preserve">"; </w:t>
      </w:r>
      <w:r>
        <w:rPr>
          <w:sz w:val="20"/>
          <w:szCs w:val="20"/>
          <w:rtl/>
        </w:rPr>
        <w:t>רמב"ם הלכות יסודי התורה פ</w:t>
      </w:r>
      <w:r>
        <w:rPr>
          <w:rFonts w:hint="cs"/>
          <w:sz w:val="20"/>
          <w:szCs w:val="20"/>
          <w:rtl/>
        </w:rPr>
        <w:t>"</w:t>
      </w:r>
      <w:r>
        <w:rPr>
          <w:sz w:val="20"/>
          <w:szCs w:val="20"/>
          <w:rtl/>
        </w:rPr>
        <w:t>ב</w:t>
      </w:r>
      <w:r>
        <w:rPr>
          <w:rFonts w:hint="cs"/>
          <w:sz w:val="20"/>
          <w:szCs w:val="20"/>
          <w:rtl/>
        </w:rPr>
        <w:t xml:space="preserve">, </w:t>
      </w:r>
      <w:r>
        <w:rPr>
          <w:sz w:val="20"/>
          <w:szCs w:val="20"/>
          <w:rtl/>
        </w:rPr>
        <w:t>יא</w:t>
      </w:r>
      <w:r>
        <w:rPr>
          <w:rFonts w:hint="cs"/>
          <w:sz w:val="20"/>
          <w:szCs w:val="20"/>
          <w:rtl/>
        </w:rPr>
        <w:t>: "</w:t>
      </w:r>
      <w:r>
        <w:rPr>
          <w:sz w:val="20"/>
          <w:szCs w:val="20"/>
          <w:rtl/>
        </w:rPr>
        <w:t>דברים אלו</w:t>
      </w:r>
      <w:r>
        <w:rPr>
          <w:rFonts w:hint="cs"/>
          <w:sz w:val="20"/>
          <w:szCs w:val="20"/>
          <w:rtl/>
        </w:rPr>
        <w:t xml:space="preserve">... </w:t>
      </w:r>
      <w:r>
        <w:rPr>
          <w:sz w:val="20"/>
          <w:szCs w:val="20"/>
          <w:rtl/>
        </w:rPr>
        <w:t>כמו טיפה מן הים הם ממה שצריך לבאר בענין זה</w:t>
      </w:r>
      <w:r>
        <w:rPr>
          <w:rFonts w:hint="cs"/>
          <w:sz w:val="20"/>
          <w:szCs w:val="20"/>
          <w:rtl/>
        </w:rPr>
        <w:t xml:space="preserve">"; </w:t>
      </w:r>
      <w:r>
        <w:rPr>
          <w:sz w:val="20"/>
          <w:szCs w:val="20"/>
          <w:rtl/>
        </w:rPr>
        <w:t>שו"ת יכין ובועז ח</w:t>
      </w:r>
      <w:r>
        <w:rPr>
          <w:rFonts w:hint="cs"/>
          <w:sz w:val="20"/>
          <w:szCs w:val="20"/>
          <w:rtl/>
        </w:rPr>
        <w:t>"</w:t>
      </w:r>
      <w:r>
        <w:rPr>
          <w:sz w:val="20"/>
          <w:szCs w:val="20"/>
          <w:rtl/>
        </w:rPr>
        <w:t>א</w:t>
      </w:r>
      <w:r>
        <w:rPr>
          <w:rFonts w:hint="cs"/>
          <w:sz w:val="20"/>
          <w:szCs w:val="20"/>
          <w:rtl/>
        </w:rPr>
        <w:t xml:space="preserve">, </w:t>
      </w:r>
      <w:r>
        <w:rPr>
          <w:sz w:val="20"/>
          <w:szCs w:val="20"/>
          <w:rtl/>
        </w:rPr>
        <w:t>קכה</w:t>
      </w:r>
      <w:r>
        <w:rPr>
          <w:rFonts w:hint="cs"/>
          <w:sz w:val="20"/>
          <w:szCs w:val="20"/>
          <w:rtl/>
        </w:rPr>
        <w:t>: "</w:t>
      </w:r>
      <w:r>
        <w:rPr>
          <w:sz w:val="20"/>
          <w:szCs w:val="20"/>
          <w:rtl/>
        </w:rPr>
        <w:t>הוצרכתי לקצר ולכתוב בקצרה מעט כטפה מן הים וכְמַר מִדְּלִי</w:t>
      </w:r>
      <w:r>
        <w:rPr>
          <w:rFonts w:hint="cs"/>
          <w:sz w:val="20"/>
          <w:szCs w:val="20"/>
          <w:rtl/>
        </w:rPr>
        <w:t xml:space="preserve">", ע"פ </w:t>
      </w:r>
      <w:r>
        <w:rPr>
          <w:sz w:val="20"/>
          <w:szCs w:val="20"/>
          <w:rtl/>
        </w:rPr>
        <w:t>ישעיה</w:t>
      </w:r>
      <w:r>
        <w:rPr>
          <w:rFonts w:hint="cs"/>
          <w:sz w:val="20"/>
          <w:szCs w:val="20"/>
          <w:rtl/>
        </w:rPr>
        <w:t xml:space="preserve"> </w:t>
      </w:r>
      <w:r>
        <w:rPr>
          <w:sz w:val="20"/>
          <w:szCs w:val="20"/>
          <w:rtl/>
        </w:rPr>
        <w:t>מ</w:t>
      </w:r>
      <w:r>
        <w:rPr>
          <w:rFonts w:hint="cs"/>
          <w:sz w:val="20"/>
          <w:szCs w:val="20"/>
          <w:rtl/>
        </w:rPr>
        <w:t xml:space="preserve">, </w:t>
      </w:r>
      <w:r>
        <w:rPr>
          <w:sz w:val="20"/>
          <w:szCs w:val="20"/>
          <w:rtl/>
        </w:rPr>
        <w:t>טו</w:t>
      </w:r>
      <w:r>
        <w:rPr>
          <w:rFonts w:hint="cs"/>
          <w:rtl/>
        </w:rPr>
        <w:t>) "</w:t>
      </w:r>
      <w:r>
        <w:rPr>
          <w:rtl/>
        </w:rPr>
        <w:t>ים התלמוד</w:t>
      </w:r>
      <w:r>
        <w:rPr>
          <w:rFonts w:hint="cs"/>
          <w:rtl/>
        </w:rPr>
        <w:t>" (</w:t>
      </w:r>
      <w:r>
        <w:rPr>
          <w:sz w:val="18"/>
          <w:szCs w:val="20"/>
          <w:rtl/>
        </w:rPr>
        <w:t>ספר החינוך מצוה ת</w:t>
      </w:r>
      <w:r>
        <w:rPr>
          <w:rFonts w:hint="cs"/>
          <w:sz w:val="18"/>
          <w:szCs w:val="20"/>
          <w:rtl/>
        </w:rPr>
        <w:t>'</w:t>
      </w:r>
      <w:r>
        <w:rPr>
          <w:sz w:val="18"/>
          <w:szCs w:val="20"/>
          <w:rtl/>
        </w:rPr>
        <w:t xml:space="preserve"> </w:t>
      </w:r>
      <w:r>
        <w:rPr>
          <w:rFonts w:hint="cs"/>
          <w:sz w:val="18"/>
          <w:szCs w:val="20"/>
          <w:rtl/>
        </w:rPr>
        <w:t xml:space="preserve">- </w:t>
      </w:r>
      <w:r>
        <w:rPr>
          <w:sz w:val="18"/>
          <w:szCs w:val="20"/>
          <w:rtl/>
        </w:rPr>
        <w:t>דיני נחלות</w:t>
      </w:r>
      <w:r>
        <w:rPr>
          <w:rFonts w:hint="cs"/>
          <w:rtl/>
        </w:rPr>
        <w:t>), "ים של עבודה" וכיו"ב.</w:t>
      </w:r>
    </w:p>
  </w:footnote>
  <w:footnote w:id="16">
    <w:p w14:paraId="5564F13A" w14:textId="77777777" w:rsidR="00F66C44" w:rsidRDefault="00F66C44">
      <w:pPr>
        <w:pStyle w:val="a4"/>
        <w:rPr>
          <w:rFonts w:hint="cs"/>
          <w:rtl/>
        </w:rPr>
      </w:pPr>
      <w:r>
        <w:rPr>
          <w:rStyle w:val="a3"/>
          <w:rtl/>
        </w:rPr>
        <w:footnoteRef/>
      </w:r>
      <w:r>
        <w:rPr>
          <w:szCs w:val="22"/>
        </w:rPr>
        <w:t xml:space="preserve"> </w:t>
      </w:r>
      <w:r>
        <w:rPr>
          <w:rFonts w:hint="cs"/>
          <w:sz w:val="26"/>
          <w:rtl/>
        </w:rPr>
        <w:t xml:space="preserve">השוה: </w:t>
      </w:r>
      <w:r>
        <w:rPr>
          <w:sz w:val="26"/>
          <w:rtl/>
        </w:rPr>
        <w:t>אלכסנדר</w:t>
      </w:r>
      <w:r>
        <w:rPr>
          <w:rFonts w:hint="cs"/>
          <w:b/>
          <w:bCs/>
          <w:sz w:val="26"/>
          <w:rtl/>
        </w:rPr>
        <w:t>וס</w:t>
      </w:r>
      <w:r>
        <w:rPr>
          <w:rFonts w:hint="cs"/>
          <w:sz w:val="26"/>
          <w:rtl/>
        </w:rPr>
        <w:t xml:space="preserve"> </w:t>
      </w:r>
      <w:r>
        <w:sym w:font="Wingdings" w:char="F0DF"/>
      </w:r>
      <w:r>
        <w:rPr>
          <w:rFonts w:hint="cs"/>
          <w:sz w:val="26"/>
          <w:rtl/>
        </w:rPr>
        <w:t xml:space="preserve"> </w:t>
      </w:r>
      <w:r>
        <w:rPr>
          <w:sz w:val="26"/>
          <w:rtl/>
        </w:rPr>
        <w:t>אלכסנדר</w:t>
      </w:r>
      <w:r>
        <w:rPr>
          <w:rFonts w:hint="cs"/>
          <w:sz w:val="26"/>
          <w:rtl/>
        </w:rPr>
        <w:t>. וכ"כ</w:t>
      </w:r>
      <w:r>
        <w:rPr>
          <w:rFonts w:hint="eastAsia"/>
          <w:szCs w:val="28"/>
          <w:rtl/>
        </w:rPr>
        <w:t xml:space="preserve"> </w:t>
      </w:r>
      <w:r>
        <w:rPr>
          <w:rFonts w:hint="eastAsia"/>
          <w:rtl/>
        </w:rPr>
        <w:t>מחזור</w:t>
      </w:r>
      <w:r>
        <w:rPr>
          <w:rtl/>
        </w:rPr>
        <w:t xml:space="preserve"> </w:t>
      </w:r>
      <w:r>
        <w:rPr>
          <w:rFonts w:hint="eastAsia"/>
          <w:rtl/>
        </w:rPr>
        <w:t>ויטרי</w:t>
      </w:r>
      <w:r>
        <w:rPr>
          <w:rFonts w:hint="cs"/>
          <w:rtl/>
        </w:rPr>
        <w:t xml:space="preserve"> (</w:t>
      </w:r>
      <w:r>
        <w:rPr>
          <w:rFonts w:hint="eastAsia"/>
          <w:szCs w:val="20"/>
          <w:rtl/>
        </w:rPr>
        <w:t>סימן</w:t>
      </w:r>
      <w:r>
        <w:rPr>
          <w:szCs w:val="20"/>
          <w:rtl/>
        </w:rPr>
        <w:t xml:space="preserve"> </w:t>
      </w:r>
      <w:r>
        <w:rPr>
          <w:rFonts w:hint="eastAsia"/>
          <w:szCs w:val="20"/>
          <w:rtl/>
        </w:rPr>
        <w:t>תכה</w:t>
      </w:r>
      <w:r>
        <w:rPr>
          <w:szCs w:val="20"/>
          <w:rtl/>
        </w:rPr>
        <w:t xml:space="preserve"> </w:t>
      </w:r>
      <w:r>
        <w:rPr>
          <w:rFonts w:hint="eastAsia"/>
          <w:szCs w:val="20"/>
          <w:rtl/>
        </w:rPr>
        <w:t>ד</w:t>
      </w:r>
      <w:r>
        <w:rPr>
          <w:szCs w:val="20"/>
          <w:rtl/>
        </w:rPr>
        <w:t>"</w:t>
      </w:r>
      <w:r>
        <w:rPr>
          <w:rFonts w:hint="eastAsia"/>
          <w:szCs w:val="20"/>
          <w:rtl/>
        </w:rPr>
        <w:t>ה</w:t>
      </w:r>
      <w:r>
        <w:rPr>
          <w:szCs w:val="20"/>
          <w:rtl/>
        </w:rPr>
        <w:t xml:space="preserve"> </w:t>
      </w:r>
      <w:r>
        <w:rPr>
          <w:rFonts w:hint="eastAsia"/>
          <w:szCs w:val="20"/>
          <w:rtl/>
        </w:rPr>
        <w:t>הוי</w:t>
      </w:r>
      <w:r>
        <w:rPr>
          <w:szCs w:val="20"/>
          <w:rtl/>
        </w:rPr>
        <w:t xml:space="preserve"> </w:t>
      </w:r>
      <w:r>
        <w:rPr>
          <w:rFonts w:hint="eastAsia"/>
          <w:szCs w:val="20"/>
          <w:rtl/>
        </w:rPr>
        <w:t>שקוד</w:t>
      </w:r>
      <w:r>
        <w:rPr>
          <w:rFonts w:hint="cs"/>
          <w:rtl/>
        </w:rPr>
        <w:t>): "</w:t>
      </w:r>
      <w:r>
        <w:rPr>
          <w:rFonts w:hint="eastAsia"/>
          <w:rtl/>
        </w:rPr>
        <w:t>אפיקורוס</w:t>
      </w:r>
      <w:r>
        <w:rPr>
          <w:rFonts w:hint="cs"/>
          <w:rtl/>
        </w:rPr>
        <w:t xml:space="preserve"> - </w:t>
      </w:r>
      <w:r>
        <w:rPr>
          <w:rFonts w:hint="eastAsia"/>
          <w:rtl/>
        </w:rPr>
        <w:t>לשון</w:t>
      </w:r>
      <w:r>
        <w:rPr>
          <w:rtl/>
        </w:rPr>
        <w:t xml:space="preserve"> </w:t>
      </w:r>
      <w:r>
        <w:rPr>
          <w:rFonts w:hint="eastAsia"/>
          <w:rtl/>
        </w:rPr>
        <w:t>הפקר</w:t>
      </w:r>
      <w:r>
        <w:rPr>
          <w:rFonts w:hint="cs"/>
          <w:rtl/>
        </w:rPr>
        <w:t xml:space="preserve">, </w:t>
      </w:r>
      <w:r>
        <w:rPr>
          <w:rFonts w:hint="eastAsia"/>
          <w:rtl/>
        </w:rPr>
        <w:t>כגון</w:t>
      </w:r>
      <w:r>
        <w:rPr>
          <w:rtl/>
        </w:rPr>
        <w:t xml:space="preserve"> </w:t>
      </w:r>
      <w:r>
        <w:rPr>
          <w:rFonts w:hint="eastAsia"/>
          <w:rtl/>
        </w:rPr>
        <w:t>עוף</w:t>
      </w:r>
      <w:r>
        <w:rPr>
          <w:rtl/>
        </w:rPr>
        <w:t xml:space="preserve"> </w:t>
      </w:r>
      <w:r>
        <w:rPr>
          <w:rFonts w:hint="eastAsia"/>
          <w:rtl/>
        </w:rPr>
        <w:t>וגבינה</w:t>
      </w:r>
      <w:r>
        <w:rPr>
          <w:rtl/>
        </w:rPr>
        <w:t xml:space="preserve"> </w:t>
      </w:r>
      <w:r>
        <w:rPr>
          <w:rFonts w:hint="eastAsia"/>
          <w:rtl/>
        </w:rPr>
        <w:t>נאכלים</w:t>
      </w:r>
      <w:r>
        <w:rPr>
          <w:rtl/>
        </w:rPr>
        <w:t xml:space="preserve"> </w:t>
      </w:r>
      <w:r>
        <w:rPr>
          <w:rFonts w:hint="eastAsia"/>
          <w:rtl/>
        </w:rPr>
        <w:t>באפיקורן</w:t>
      </w:r>
      <w:r>
        <w:rPr>
          <w:rtl/>
        </w:rPr>
        <w:t xml:space="preserve">. </w:t>
      </w:r>
      <w:r>
        <w:rPr>
          <w:rFonts w:hint="eastAsia"/>
          <w:rtl/>
        </w:rPr>
        <w:t>ליסטיס</w:t>
      </w:r>
      <w:r>
        <w:rPr>
          <w:rFonts w:hint="cs"/>
          <w:rtl/>
        </w:rPr>
        <w:t>,</w:t>
      </w:r>
      <w:r>
        <w:rPr>
          <w:rtl/>
        </w:rPr>
        <w:t xml:space="preserve"> </w:t>
      </w:r>
      <w:r>
        <w:rPr>
          <w:rFonts w:hint="eastAsia"/>
          <w:rtl/>
        </w:rPr>
        <w:t>ליסטין</w:t>
      </w:r>
      <w:r>
        <w:rPr>
          <w:rFonts w:hint="cs"/>
          <w:rtl/>
        </w:rPr>
        <w:t xml:space="preserve">, </w:t>
      </w:r>
      <w:r>
        <w:rPr>
          <w:rFonts w:hint="eastAsia"/>
          <w:rtl/>
        </w:rPr>
        <w:t>אפוטרופוס</w:t>
      </w:r>
      <w:r>
        <w:rPr>
          <w:rFonts w:hint="cs"/>
          <w:rtl/>
        </w:rPr>
        <w:t xml:space="preserve"> -</w:t>
      </w:r>
      <w:r>
        <w:rPr>
          <w:rtl/>
        </w:rPr>
        <w:t xml:space="preserve"> </w:t>
      </w:r>
      <w:r>
        <w:rPr>
          <w:rFonts w:hint="eastAsia"/>
          <w:rtl/>
        </w:rPr>
        <w:t>בכולן</w:t>
      </w:r>
      <w:r>
        <w:rPr>
          <w:rtl/>
        </w:rPr>
        <w:t xml:space="preserve"> </w:t>
      </w:r>
      <w:r>
        <w:rPr>
          <w:rFonts w:hint="eastAsia"/>
          <w:b/>
          <w:bCs/>
          <w:rtl/>
        </w:rPr>
        <w:t>הסמ</w:t>
      </w:r>
      <w:r>
        <w:rPr>
          <w:rFonts w:hint="cs"/>
          <w:b/>
          <w:bCs/>
          <w:rtl/>
        </w:rPr>
        <w:t>"</w:t>
      </w:r>
      <w:r>
        <w:rPr>
          <w:rFonts w:hint="eastAsia"/>
          <w:b/>
          <w:bCs/>
          <w:rtl/>
        </w:rPr>
        <w:t>ך</w:t>
      </w:r>
      <w:r>
        <w:rPr>
          <w:b/>
          <w:bCs/>
          <w:rtl/>
        </w:rPr>
        <w:t xml:space="preserve"> </w:t>
      </w:r>
      <w:r>
        <w:rPr>
          <w:rFonts w:hint="eastAsia"/>
          <w:b/>
          <w:bCs/>
          <w:rtl/>
        </w:rPr>
        <w:t>לתיקון</w:t>
      </w:r>
      <w:r>
        <w:rPr>
          <w:b/>
          <w:bCs/>
          <w:rtl/>
        </w:rPr>
        <w:t xml:space="preserve"> </w:t>
      </w:r>
      <w:r>
        <w:rPr>
          <w:rFonts w:hint="eastAsia"/>
          <w:b/>
          <w:bCs/>
          <w:rtl/>
        </w:rPr>
        <w:t>הש</w:t>
      </w:r>
      <w:r>
        <w:rPr>
          <w:rFonts w:hint="cs"/>
          <w:b/>
          <w:bCs/>
          <w:rtl/>
        </w:rPr>
        <w:t>ֵ</w:t>
      </w:r>
      <w:r>
        <w:rPr>
          <w:rFonts w:hint="eastAsia"/>
          <w:b/>
          <w:bCs/>
          <w:rtl/>
        </w:rPr>
        <w:t>ם</w:t>
      </w:r>
      <w:r>
        <w:rPr>
          <w:rFonts w:hint="cs"/>
          <w:rtl/>
        </w:rPr>
        <w:t>"</w:t>
      </w:r>
      <w:r>
        <w:rPr>
          <w:rtl/>
        </w:rPr>
        <w:t xml:space="preserve">. </w:t>
      </w:r>
      <w:r>
        <w:rPr>
          <w:rFonts w:hint="eastAsia"/>
          <w:rtl/>
        </w:rPr>
        <w:t>לפעמים</w:t>
      </w:r>
      <w:r>
        <w:rPr>
          <w:rFonts w:hint="cs"/>
          <w:rtl/>
        </w:rPr>
        <w:t xml:space="preserve"> </w:t>
      </w:r>
      <w:r>
        <w:rPr>
          <w:rFonts w:hint="eastAsia"/>
          <w:rtl/>
        </w:rPr>
        <w:t>העברית</w:t>
      </w:r>
      <w:r>
        <w:rPr>
          <w:rFonts w:hint="cs"/>
          <w:rtl/>
        </w:rPr>
        <w:t xml:space="preserve"> </w:t>
      </w:r>
      <w:r>
        <w:rPr>
          <w:rFonts w:hint="eastAsia"/>
          <w:rtl/>
        </w:rPr>
        <w:t>מ</w:t>
      </w:r>
      <w:r>
        <w:rPr>
          <w:rFonts w:hint="cs"/>
          <w:rtl/>
        </w:rPr>
        <w:t xml:space="preserve">אמצת </w:t>
      </w:r>
      <w:r>
        <w:rPr>
          <w:rFonts w:hint="eastAsia"/>
          <w:rtl/>
        </w:rPr>
        <w:t>את</w:t>
      </w:r>
      <w:r>
        <w:rPr>
          <w:rFonts w:hint="cs"/>
          <w:rtl/>
        </w:rPr>
        <w:t xml:space="preserve"> </w:t>
      </w:r>
      <w:r>
        <w:rPr>
          <w:rFonts w:hint="eastAsia"/>
          <w:rtl/>
        </w:rPr>
        <w:t>המ</w:t>
      </w:r>
      <w:r>
        <w:rPr>
          <w:rFonts w:hint="cs"/>
          <w:rtl/>
        </w:rPr>
        <w:t>ִ</w:t>
      </w:r>
      <w:r>
        <w:rPr>
          <w:rFonts w:hint="eastAsia"/>
          <w:rtl/>
        </w:rPr>
        <w:t>לה</w:t>
      </w:r>
      <w:r>
        <w:rPr>
          <w:rFonts w:hint="cs"/>
          <w:rtl/>
        </w:rPr>
        <w:t xml:space="preserve"> </w:t>
      </w:r>
      <w:r>
        <w:rPr>
          <w:rFonts w:hint="eastAsia"/>
          <w:rtl/>
        </w:rPr>
        <w:t>הזרה</w:t>
      </w:r>
      <w:r>
        <w:rPr>
          <w:rFonts w:hint="cs"/>
          <w:rtl/>
        </w:rPr>
        <w:t xml:space="preserve"> ללא הסיומת שלה, ולפעמים הסיומת מתקבלת ו</w:t>
      </w:r>
      <w:r>
        <w:rPr>
          <w:rFonts w:hint="eastAsia"/>
          <w:rtl/>
        </w:rPr>
        <w:t>משתרשת</w:t>
      </w:r>
      <w:r>
        <w:rPr>
          <w:rFonts w:hint="cs"/>
          <w:rtl/>
        </w:rPr>
        <w:t xml:space="preserve"> </w:t>
      </w:r>
      <w:r>
        <w:rPr>
          <w:rFonts w:hint="eastAsia"/>
          <w:rtl/>
        </w:rPr>
        <w:t>כחלק</w:t>
      </w:r>
      <w:r>
        <w:rPr>
          <w:rFonts w:hint="cs"/>
          <w:rtl/>
        </w:rPr>
        <w:t xml:space="preserve"> מהמִלה (</w:t>
      </w:r>
      <w:r>
        <w:rPr>
          <w:rFonts w:hint="eastAsia"/>
          <w:sz w:val="18"/>
          <w:szCs w:val="20"/>
          <w:rtl/>
        </w:rPr>
        <w:t>כגון</w:t>
      </w:r>
      <w:r>
        <w:rPr>
          <w:rFonts w:hint="cs"/>
          <w:sz w:val="18"/>
          <w:szCs w:val="20"/>
          <w:rtl/>
        </w:rPr>
        <w:t xml:space="preserve"> </w:t>
      </w:r>
      <w:r>
        <w:rPr>
          <w:rFonts w:hint="cs"/>
          <w:color w:val="FF0000"/>
          <w:sz w:val="18"/>
          <w:szCs w:val="20"/>
          <w:rtl/>
        </w:rPr>
        <w:t>"הורדוס",</w:t>
      </w:r>
      <w:r>
        <w:rPr>
          <w:rFonts w:hint="cs"/>
          <w:sz w:val="18"/>
          <w:szCs w:val="20"/>
          <w:rtl/>
        </w:rPr>
        <w:t xml:space="preserve"> "</w:t>
      </w:r>
      <w:r>
        <w:rPr>
          <w:rFonts w:hint="eastAsia"/>
          <w:sz w:val="18"/>
          <w:szCs w:val="20"/>
          <w:rtl/>
        </w:rPr>
        <w:t>קאלוס</w:t>
      </w:r>
      <w:r>
        <w:rPr>
          <w:rFonts w:hint="cs"/>
          <w:sz w:val="18"/>
          <w:szCs w:val="20"/>
          <w:rtl/>
        </w:rPr>
        <w:t>", "</w:t>
      </w:r>
      <w:r>
        <w:rPr>
          <w:rFonts w:hint="eastAsia"/>
          <w:sz w:val="18"/>
          <w:szCs w:val="20"/>
          <w:rtl/>
        </w:rPr>
        <w:t>תריס</w:t>
      </w:r>
      <w:r>
        <w:rPr>
          <w:rFonts w:hint="cs"/>
          <w:sz w:val="18"/>
          <w:szCs w:val="20"/>
          <w:rtl/>
        </w:rPr>
        <w:t xml:space="preserve">"; מפי מו"ר ד"ר </w:t>
      </w:r>
      <w:r>
        <w:rPr>
          <w:rFonts w:hint="eastAsia"/>
          <w:sz w:val="18"/>
          <w:szCs w:val="20"/>
          <w:rtl/>
        </w:rPr>
        <w:t>יואל</w:t>
      </w:r>
      <w:r>
        <w:rPr>
          <w:rFonts w:hint="cs"/>
          <w:sz w:val="18"/>
          <w:szCs w:val="20"/>
          <w:rtl/>
        </w:rPr>
        <w:t xml:space="preserve"> </w:t>
      </w:r>
      <w:r>
        <w:rPr>
          <w:rFonts w:hint="eastAsia"/>
          <w:sz w:val="18"/>
          <w:szCs w:val="20"/>
          <w:rtl/>
        </w:rPr>
        <w:t>אליצור</w:t>
      </w:r>
      <w:r>
        <w:rPr>
          <w:rFonts w:hint="cs"/>
          <w:rtl/>
        </w:rPr>
        <w:t>). במקרה זה התקבעה הסיומת בארמית ("</w:t>
      </w:r>
      <w:r>
        <w:rPr>
          <w:rtl/>
        </w:rPr>
        <w:t>פ</w:t>
      </w:r>
      <w:r>
        <w:rPr>
          <w:rFonts w:hint="cs"/>
          <w:rtl/>
        </w:rPr>
        <w:t>ֶּ</w:t>
      </w:r>
      <w:r>
        <w:rPr>
          <w:rtl/>
        </w:rPr>
        <w:t>יל</w:t>
      </w:r>
      <w:r>
        <w:rPr>
          <w:rFonts w:hint="cs"/>
          <w:rtl/>
        </w:rPr>
        <w:t>ַ</w:t>
      </w:r>
      <w:r>
        <w:rPr>
          <w:rtl/>
        </w:rPr>
        <w:t>גו</w:t>
      </w:r>
      <w:r>
        <w:rPr>
          <w:rFonts w:hint="cs"/>
          <w:rtl/>
        </w:rPr>
        <w:t>ֹ</w:t>
      </w:r>
      <w:r>
        <w:rPr>
          <w:rtl/>
        </w:rPr>
        <w:t>ס</w:t>
      </w:r>
      <w:r>
        <w:rPr>
          <w:rFonts w:hint="cs"/>
          <w:rtl/>
        </w:rPr>
        <w:t>") אך לא בשורש פל"ג העברי (</w:t>
      </w:r>
      <w:r>
        <w:rPr>
          <w:rFonts w:hint="cs"/>
          <w:sz w:val="18"/>
          <w:szCs w:val="20"/>
          <w:rtl/>
        </w:rPr>
        <w:t xml:space="preserve">מפי מו"ר ד"ר </w:t>
      </w:r>
      <w:r>
        <w:rPr>
          <w:rFonts w:hint="eastAsia"/>
          <w:sz w:val="18"/>
          <w:szCs w:val="20"/>
          <w:rtl/>
        </w:rPr>
        <w:t>יואל</w:t>
      </w:r>
      <w:r>
        <w:rPr>
          <w:rFonts w:hint="cs"/>
          <w:sz w:val="18"/>
          <w:szCs w:val="20"/>
          <w:rtl/>
        </w:rPr>
        <w:t xml:space="preserve"> </w:t>
      </w:r>
      <w:r>
        <w:rPr>
          <w:rFonts w:hint="eastAsia"/>
          <w:sz w:val="18"/>
          <w:szCs w:val="20"/>
          <w:rtl/>
        </w:rPr>
        <w:t>אליצור</w:t>
      </w:r>
      <w:r>
        <w:rPr>
          <w:rFonts w:hint="cs"/>
          <w:rtl/>
        </w:rPr>
        <w:t>). גם במִלה "</w:t>
      </w:r>
      <w:r>
        <w:rPr>
          <w:rtl/>
        </w:rPr>
        <w:t>אַרְכִיפ</w:t>
      </w:r>
      <w:r>
        <w:rPr>
          <w:rFonts w:hint="cs"/>
          <w:rtl/>
        </w:rPr>
        <w:t>ּ</w:t>
      </w:r>
      <w:r>
        <w:rPr>
          <w:rtl/>
        </w:rPr>
        <w:t>ֶלָג</w:t>
      </w:r>
      <w:r>
        <w:rPr>
          <w:rFonts w:hint="cs"/>
          <w:rtl/>
        </w:rPr>
        <w:t>" (</w:t>
      </w:r>
      <w:r>
        <w:rPr>
          <w:rFonts w:ascii="Arial" w:hAnsi="Arial" w:cs="Arial" w:hint="cs"/>
          <w:sz w:val="18"/>
          <w:szCs w:val="20"/>
          <w:rtl/>
        </w:rPr>
        <w:t>=</w:t>
      </w:r>
      <w:r>
        <w:rPr>
          <w:rtl/>
        </w:rPr>
        <w:t>קבוצת איים</w:t>
      </w:r>
      <w:r>
        <w:rPr>
          <w:rFonts w:hint="cs"/>
          <w:rtl/>
        </w:rPr>
        <w:t xml:space="preserve">) השאולה בעברית החדשה מן </w:t>
      </w:r>
      <w:r>
        <w:rPr>
          <w:rFonts w:hint="eastAsia"/>
          <w:rtl/>
        </w:rPr>
        <w:t>האיטלקית</w:t>
      </w:r>
      <w:r>
        <w:rPr>
          <w:rFonts w:hint="cs"/>
          <w:rtl/>
        </w:rPr>
        <w:t>, נעדרת הסיומת מן הרכיב היווני "פלג".</w:t>
      </w:r>
    </w:p>
  </w:footnote>
  <w:footnote w:id="17">
    <w:p w14:paraId="1C873343" w14:textId="77777777" w:rsidR="00F66C44" w:rsidRDefault="00F66C44">
      <w:pPr>
        <w:pStyle w:val="a4"/>
        <w:rPr>
          <w:rtl/>
        </w:rPr>
      </w:pPr>
      <w:r>
        <w:rPr>
          <w:rStyle w:val="a3"/>
          <w:rtl/>
        </w:rPr>
        <w:footnoteRef/>
      </w:r>
      <w:r>
        <w:rPr>
          <w:szCs w:val="22"/>
        </w:rPr>
        <w:t xml:space="preserve"> </w:t>
      </w:r>
      <w:r>
        <w:rPr>
          <w:rFonts w:hint="cs"/>
          <w:rtl/>
        </w:rPr>
        <w:t>בדפוסים שלנו מופיע במסכת שבת הלעז "</w:t>
      </w:r>
      <w:r>
        <w:rPr>
          <w:rtl/>
        </w:rPr>
        <w:t>פילגס</w:t>
      </w:r>
      <w:r>
        <w:rPr>
          <w:rFonts w:hint="cs"/>
          <w:rtl/>
        </w:rPr>
        <w:t>" ובערובין "</w:t>
      </w:r>
      <w:r>
        <w:rPr>
          <w:rtl/>
        </w:rPr>
        <w:t>פילג</w:t>
      </w:r>
      <w:r>
        <w:rPr>
          <w:rFonts w:hint="cs"/>
          <w:rtl/>
        </w:rPr>
        <w:t>" (</w:t>
      </w:r>
      <w:r>
        <w:rPr>
          <w:rFonts w:hint="cs"/>
          <w:sz w:val="18"/>
          <w:szCs w:val="20"/>
          <w:rtl/>
        </w:rPr>
        <w:t>ולאור האמור בהערה הקודמת, מובן שינוי זה</w:t>
      </w:r>
      <w:r>
        <w:rPr>
          <w:rFonts w:hint="cs"/>
          <w:rtl/>
        </w:rPr>
        <w:t>), וב</w:t>
      </w:r>
      <w:r>
        <w:rPr>
          <w:rtl/>
        </w:rPr>
        <w:t xml:space="preserve">אור זרוע </w:t>
      </w:r>
      <w:r>
        <w:rPr>
          <w:rFonts w:hint="cs"/>
          <w:rtl/>
        </w:rPr>
        <w:t>(</w:t>
      </w:r>
      <w:r>
        <w:rPr>
          <w:sz w:val="18"/>
          <w:szCs w:val="20"/>
          <w:rtl/>
        </w:rPr>
        <w:t>ח"ב</w:t>
      </w:r>
      <w:r>
        <w:rPr>
          <w:rFonts w:hint="cs"/>
          <w:sz w:val="18"/>
          <w:szCs w:val="20"/>
          <w:rtl/>
        </w:rPr>
        <w:t>,</w:t>
      </w:r>
      <w:r>
        <w:rPr>
          <w:sz w:val="18"/>
          <w:szCs w:val="20"/>
          <w:rtl/>
        </w:rPr>
        <w:t xml:space="preserve"> הלכות ערב שבת סימן ג</w:t>
      </w:r>
      <w:r>
        <w:rPr>
          <w:rFonts w:hint="cs"/>
          <w:sz w:val="18"/>
          <w:szCs w:val="20"/>
          <w:rtl/>
        </w:rPr>
        <w:t>'</w:t>
      </w:r>
      <w:r>
        <w:rPr>
          <w:rFonts w:hint="cs"/>
          <w:rtl/>
        </w:rPr>
        <w:t>) מצוטט הלעז מרש"י כך: "</w:t>
      </w:r>
      <w:r>
        <w:rPr>
          <w:rtl/>
        </w:rPr>
        <w:t>(פלמו) [פלגס]</w:t>
      </w:r>
      <w:r>
        <w:rPr>
          <w:rFonts w:hint="cs"/>
          <w:rtl/>
        </w:rPr>
        <w:t>".</w:t>
      </w:r>
    </w:p>
  </w:footnote>
  <w:footnote w:id="18">
    <w:p w14:paraId="09C6481E" w14:textId="77777777" w:rsidR="00F66C44" w:rsidRDefault="00F66C44">
      <w:pPr>
        <w:pStyle w:val="a4"/>
        <w:rPr>
          <w:rFonts w:hint="cs"/>
          <w:rtl/>
        </w:rPr>
      </w:pPr>
      <w:r>
        <w:rPr>
          <w:rStyle w:val="a3"/>
          <w:rtl/>
        </w:rPr>
        <w:footnoteRef/>
      </w:r>
      <w:r>
        <w:rPr>
          <w:rFonts w:hint="cs"/>
          <w:rtl/>
        </w:rPr>
        <w:t xml:space="preserve"> ר"מ קטן (</w:t>
      </w:r>
      <w:r>
        <w:rPr>
          <w:rFonts w:hint="cs"/>
          <w:sz w:val="18"/>
          <w:szCs w:val="20"/>
          <w:rtl/>
        </w:rPr>
        <w:t>אוצר לעזי רש"י</w:t>
      </w:r>
      <w:r>
        <w:rPr>
          <w:rFonts w:hint="cs"/>
          <w:rtl/>
        </w:rPr>
        <w:t>) סבור שמדובר ב"</w:t>
      </w:r>
      <w:r>
        <w:rPr>
          <w:sz w:val="18"/>
          <w:szCs w:val="18"/>
        </w:rPr>
        <w:t>pelege</w:t>
      </w:r>
      <w:r>
        <w:rPr>
          <w:rFonts w:hint="cs"/>
          <w:rtl/>
        </w:rPr>
        <w:t>" בצרפתית (</w:t>
      </w:r>
      <w:r>
        <w:rPr>
          <w:rFonts w:ascii="Arial" w:hAnsi="Arial" w:cs="Arial" w:hint="cs"/>
          <w:sz w:val="18"/>
          <w:szCs w:val="20"/>
          <w:rtl/>
        </w:rPr>
        <w:t>=</w:t>
      </w:r>
      <w:r>
        <w:rPr>
          <w:rFonts w:hint="cs"/>
          <w:rtl/>
        </w:rPr>
        <w:t>לב ים).</w:t>
      </w:r>
    </w:p>
  </w:footnote>
  <w:footnote w:id="19">
    <w:p w14:paraId="16C951E9" w14:textId="77777777" w:rsidR="00F66C44" w:rsidRDefault="00F66C44">
      <w:pPr>
        <w:pStyle w:val="a4"/>
        <w:rPr>
          <w:rtl/>
        </w:rPr>
      </w:pPr>
      <w:r>
        <w:rPr>
          <w:rStyle w:val="a3"/>
          <w:rtl/>
        </w:rPr>
        <w:footnoteRef/>
      </w:r>
      <w:r>
        <w:rPr>
          <w:szCs w:val="22"/>
        </w:rPr>
        <w:t xml:space="preserve"> </w:t>
      </w:r>
      <w:r>
        <w:rPr>
          <w:rFonts w:hint="cs"/>
          <w:rtl/>
        </w:rPr>
        <w:t>ע"פ מהדורת ר"ע שטייזלץ (</w:t>
      </w:r>
      <w:r>
        <w:rPr>
          <w:rFonts w:ascii="Arial" w:hAnsi="Arial" w:cs="Arial" w:hint="cs"/>
          <w:sz w:val="18"/>
          <w:szCs w:val="20"/>
          <w:rtl/>
        </w:rPr>
        <w:t>=</w:t>
      </w:r>
      <w:r>
        <w:rPr>
          <w:rtl/>
        </w:rPr>
        <w:t>עומק הים</w:t>
      </w:r>
      <w:r>
        <w:rPr>
          <w:rFonts w:hint="cs"/>
          <w:rtl/>
        </w:rPr>
        <w:t>)</w:t>
      </w:r>
      <w:r>
        <w:rPr>
          <w:rtl/>
        </w:rPr>
        <w:t>.</w:t>
      </w:r>
    </w:p>
  </w:footnote>
  <w:footnote w:id="20">
    <w:p w14:paraId="44581529" w14:textId="77777777" w:rsidR="00F66C44" w:rsidRDefault="00F66C44">
      <w:pPr>
        <w:pStyle w:val="a4"/>
        <w:rPr>
          <w:sz w:val="24"/>
          <w:rtl/>
        </w:rPr>
      </w:pPr>
      <w:r>
        <w:rPr>
          <w:rStyle w:val="a3"/>
          <w:rtl/>
        </w:rPr>
        <w:footnoteRef/>
      </w:r>
      <w:r>
        <w:rPr>
          <w:szCs w:val="22"/>
        </w:rPr>
        <w:t xml:space="preserve"> </w:t>
      </w:r>
      <w:r>
        <w:rPr>
          <w:sz w:val="24"/>
          <w:rtl/>
        </w:rPr>
        <w:t>תהלים סה</w:t>
      </w:r>
      <w:r>
        <w:rPr>
          <w:rFonts w:hint="cs"/>
          <w:sz w:val="24"/>
          <w:rtl/>
        </w:rPr>
        <w:t>,</w:t>
      </w:r>
      <w:r>
        <w:rPr>
          <w:sz w:val="24"/>
          <w:rtl/>
        </w:rPr>
        <w:t xml:space="preserve"> י</w:t>
      </w:r>
      <w:r>
        <w:rPr>
          <w:rFonts w:hint="cs"/>
          <w:sz w:val="24"/>
          <w:rtl/>
        </w:rPr>
        <w:t>; עי"ש בפירוש הרי"ד ובמיוחס ל</w:t>
      </w:r>
      <w:r>
        <w:rPr>
          <w:sz w:val="24"/>
          <w:rtl/>
        </w:rPr>
        <w:t>רש"י תענית ח</w:t>
      </w:r>
      <w:r>
        <w:rPr>
          <w:rFonts w:hint="cs"/>
          <w:sz w:val="24"/>
          <w:rtl/>
        </w:rPr>
        <w:t xml:space="preserve">, </w:t>
      </w:r>
      <w:r>
        <w:rPr>
          <w:sz w:val="24"/>
          <w:rtl/>
        </w:rPr>
        <w:t>ב ד"ה פלג</w:t>
      </w:r>
      <w:r>
        <w:rPr>
          <w:rFonts w:hint="cs"/>
          <w:sz w:val="24"/>
          <w:rtl/>
        </w:rPr>
        <w:t>.</w:t>
      </w:r>
    </w:p>
  </w:footnote>
  <w:footnote w:id="21">
    <w:p w14:paraId="0230A49C" w14:textId="77777777" w:rsidR="00F66C44" w:rsidRDefault="00F66C44">
      <w:pPr>
        <w:pStyle w:val="a4"/>
        <w:rPr>
          <w:rFonts w:hint="cs"/>
          <w:rtl/>
        </w:rPr>
      </w:pPr>
      <w:r>
        <w:rPr>
          <w:rStyle w:val="a3"/>
        </w:rPr>
        <w:footnoteRef/>
      </w:r>
      <w:r>
        <w:rPr>
          <w:rFonts w:hint="cs"/>
          <w:rtl/>
        </w:rPr>
        <w:t xml:space="preserve"> פירושים נוספים למשנה זו ראה בפירוש </w:t>
      </w:r>
      <w:r>
        <w:rPr>
          <w:rtl/>
        </w:rPr>
        <w:t>רבינו יונה</w:t>
      </w:r>
      <w:r>
        <w:rPr>
          <w:rFonts w:hint="cs"/>
          <w:rtl/>
        </w:rPr>
        <w:t xml:space="preserve">, בפירוש </w:t>
      </w:r>
      <w:r>
        <w:rPr>
          <w:rtl/>
        </w:rPr>
        <w:t>מרכבת המשנה לר"י אלאשקר</w:t>
      </w:r>
      <w:r>
        <w:rPr>
          <w:rFonts w:hint="cs"/>
          <w:rtl/>
        </w:rPr>
        <w:t xml:space="preserve"> ובפירוש "ר' אריה (לוין) היה אומר".</w:t>
      </w:r>
    </w:p>
  </w:footnote>
  <w:footnote w:id="22">
    <w:p w14:paraId="1F279891" w14:textId="77777777" w:rsidR="00F66C44" w:rsidRDefault="00F66C44">
      <w:pPr>
        <w:pStyle w:val="a4"/>
        <w:rPr>
          <w:rFonts w:hint="cs"/>
          <w:rtl/>
        </w:rPr>
      </w:pPr>
      <w:r>
        <w:rPr>
          <w:rStyle w:val="a3"/>
          <w:rtl/>
        </w:rPr>
        <w:footnoteRef/>
      </w:r>
      <w:r>
        <w:rPr>
          <w:szCs w:val="22"/>
        </w:rPr>
        <w:t xml:space="preserve"> </w:t>
      </w:r>
      <w:r>
        <w:rPr>
          <w:rFonts w:hint="cs"/>
          <w:rtl/>
        </w:rPr>
        <w:t>נוסח אחר:</w:t>
      </w:r>
      <w:r>
        <w:rPr>
          <w:rtl/>
        </w:rPr>
        <w:t xml:space="preserve"> </w:t>
      </w:r>
      <w:r>
        <w:rPr>
          <w:b/>
          <w:bCs/>
          <w:rtl/>
        </w:rPr>
        <w:t>ל</w:t>
      </w:r>
      <w:r>
        <w:rPr>
          <w:rtl/>
        </w:rPr>
        <w:t>ים</w:t>
      </w:r>
      <w:r>
        <w:rPr>
          <w:rFonts w:hint="cs"/>
          <w:sz w:val="18"/>
          <w:szCs w:val="20"/>
          <w:rtl/>
        </w:rPr>
        <w:t xml:space="preserve"> </w:t>
      </w:r>
      <w:r>
        <w:rPr>
          <w:rFonts w:hint="cs"/>
          <w:rtl/>
        </w:rPr>
        <w:t>(</w:t>
      </w:r>
      <w:r>
        <w:rPr>
          <w:szCs w:val="20"/>
          <w:rtl/>
        </w:rPr>
        <w:t>תנחומא</w:t>
      </w:r>
      <w:r>
        <w:rPr>
          <w:rFonts w:hint="cs"/>
          <w:sz w:val="18"/>
          <w:szCs w:val="20"/>
          <w:rtl/>
        </w:rPr>
        <w:t xml:space="preserve">, </w:t>
      </w:r>
      <w:r>
        <w:rPr>
          <w:sz w:val="18"/>
          <w:szCs w:val="20"/>
          <w:rtl/>
        </w:rPr>
        <w:t>בובר</w:t>
      </w:r>
      <w:r>
        <w:rPr>
          <w:rFonts w:hint="cs"/>
          <w:sz w:val="18"/>
          <w:szCs w:val="20"/>
          <w:rtl/>
        </w:rPr>
        <w:t>,</w:t>
      </w:r>
      <w:r>
        <w:rPr>
          <w:sz w:val="18"/>
          <w:szCs w:val="20"/>
          <w:rtl/>
        </w:rPr>
        <w:t xml:space="preserve"> שלח</w:t>
      </w:r>
      <w:r>
        <w:rPr>
          <w:rFonts w:hint="cs"/>
          <w:sz w:val="18"/>
          <w:szCs w:val="20"/>
          <w:rtl/>
        </w:rPr>
        <w:t xml:space="preserve">, </w:t>
      </w:r>
      <w:r>
        <w:rPr>
          <w:sz w:val="18"/>
          <w:szCs w:val="20"/>
          <w:rtl/>
        </w:rPr>
        <w:t>א</w:t>
      </w:r>
      <w:r>
        <w:rPr>
          <w:rFonts w:hint="cs"/>
          <w:sz w:val="18"/>
          <w:szCs w:val="20"/>
          <w:rtl/>
        </w:rPr>
        <w:t>'</w:t>
      </w:r>
      <w:r>
        <w:rPr>
          <w:rFonts w:hint="cs"/>
          <w:rtl/>
        </w:rPr>
        <w:t>).</w:t>
      </w:r>
    </w:p>
  </w:footnote>
  <w:footnote w:id="23">
    <w:p w14:paraId="4D14A661" w14:textId="77777777" w:rsidR="00F66C44" w:rsidRDefault="00F66C44">
      <w:pPr>
        <w:pStyle w:val="a4"/>
        <w:rPr>
          <w:rFonts w:hint="cs"/>
          <w:rtl/>
        </w:rPr>
      </w:pPr>
      <w:r>
        <w:rPr>
          <w:rStyle w:val="a3"/>
        </w:rPr>
        <w:footnoteRef/>
      </w:r>
      <w:r>
        <w:rPr>
          <w:rFonts w:hint="cs"/>
          <w:rtl/>
        </w:rPr>
        <w:t xml:space="preserve"> כך מופיע, למשל, בחלק מנוסחאות הלכות ה</w:t>
      </w:r>
      <w:r>
        <w:rPr>
          <w:rtl/>
        </w:rPr>
        <w:t xml:space="preserve">רי"ף </w:t>
      </w:r>
      <w:r>
        <w:rPr>
          <w:rFonts w:hint="cs"/>
          <w:rtl/>
        </w:rPr>
        <w:t>(</w:t>
      </w:r>
      <w:r>
        <w:rPr>
          <w:sz w:val="18"/>
          <w:szCs w:val="20"/>
          <w:rtl/>
        </w:rPr>
        <w:t>ז</w:t>
      </w:r>
      <w:r>
        <w:rPr>
          <w:rFonts w:hint="cs"/>
          <w:sz w:val="18"/>
          <w:szCs w:val="20"/>
          <w:rtl/>
        </w:rPr>
        <w:t xml:space="preserve">, </w:t>
      </w:r>
      <w:r>
        <w:rPr>
          <w:sz w:val="18"/>
          <w:szCs w:val="20"/>
          <w:rtl/>
        </w:rPr>
        <w:t>א</w:t>
      </w:r>
      <w:r>
        <w:rPr>
          <w:rFonts w:hint="cs"/>
          <w:rtl/>
        </w:rPr>
        <w:t>) וספר המנהיג (</w:t>
      </w:r>
      <w:r>
        <w:rPr>
          <w:rFonts w:hint="cs"/>
          <w:sz w:val="18"/>
          <w:szCs w:val="20"/>
          <w:rtl/>
        </w:rPr>
        <w:t>מהדורת רפאל, עמ' קל</w:t>
      </w:r>
      <w:r>
        <w:rPr>
          <w:rFonts w:hint="cs"/>
          <w:rtl/>
        </w:rPr>
        <w:t xml:space="preserve">). </w:t>
      </w:r>
    </w:p>
  </w:footnote>
  <w:footnote w:id="24">
    <w:p w14:paraId="2C3FAE75" w14:textId="77777777" w:rsidR="00F66C44" w:rsidRDefault="00F66C44">
      <w:pPr>
        <w:pStyle w:val="a4"/>
        <w:rPr>
          <w:rFonts w:hint="cs"/>
          <w:rtl/>
        </w:rPr>
      </w:pPr>
      <w:r>
        <w:rPr>
          <w:rStyle w:val="a3"/>
          <w:rtl/>
        </w:rPr>
        <w:footnoteRef/>
      </w:r>
      <w:r>
        <w:rPr>
          <w:szCs w:val="22"/>
        </w:rPr>
        <w:t xml:space="preserve"> </w:t>
      </w:r>
      <w:r>
        <w:rPr>
          <w:rFonts w:hint="cs"/>
          <w:rtl/>
        </w:rPr>
        <w:t xml:space="preserve">וכך סובר רבינו זרחיה הלוי, </w:t>
      </w:r>
      <w:r>
        <w:rPr>
          <w:rtl/>
        </w:rPr>
        <w:t xml:space="preserve">בעל המאור, </w:t>
      </w:r>
      <w:r>
        <w:rPr>
          <w:rFonts w:hint="cs"/>
          <w:rtl/>
        </w:rPr>
        <w:t>שמהותו של איסור זה הוא הִכָּנסות ל</w:t>
      </w:r>
      <w:r>
        <w:rPr>
          <w:rtl/>
        </w:rPr>
        <w:t>מקום סכנה</w:t>
      </w:r>
      <w:r>
        <w:rPr>
          <w:rFonts w:hint="cs"/>
          <w:rtl/>
        </w:rPr>
        <w:t>, "</w:t>
      </w:r>
      <w:r>
        <w:rPr>
          <w:rtl/>
        </w:rPr>
        <w:t xml:space="preserve">וכל שלשה ימים קודם לשבת </w:t>
      </w:r>
      <w:r>
        <w:rPr>
          <w:rFonts w:hint="cs"/>
          <w:rtl/>
        </w:rPr>
        <w:t>- '</w:t>
      </w:r>
      <w:r>
        <w:rPr>
          <w:rtl/>
        </w:rPr>
        <w:t>קמי שבתא</w:t>
      </w:r>
      <w:r>
        <w:rPr>
          <w:rFonts w:hint="cs"/>
          <w:rtl/>
        </w:rPr>
        <w:t>'</w:t>
      </w:r>
      <w:r>
        <w:rPr>
          <w:rtl/>
        </w:rPr>
        <w:t xml:space="preserve"> מקרי</w:t>
      </w:r>
      <w:r>
        <w:rPr>
          <w:rFonts w:hint="cs"/>
          <w:rtl/>
        </w:rPr>
        <w:t>,</w:t>
      </w:r>
      <w:r>
        <w:rPr>
          <w:rtl/>
        </w:rPr>
        <w:t xml:space="preserve"> ונראה כמ</w:t>
      </w:r>
      <w:r>
        <w:rPr>
          <w:rFonts w:hint="cs"/>
          <w:rtl/>
        </w:rPr>
        <w:t>ַ</w:t>
      </w:r>
      <w:r>
        <w:rPr>
          <w:rtl/>
        </w:rPr>
        <w:t>תנ</w:t>
      </w:r>
      <w:r>
        <w:rPr>
          <w:rFonts w:hint="cs"/>
          <w:rtl/>
        </w:rPr>
        <w:t>ֶ</w:t>
      </w:r>
      <w:r>
        <w:rPr>
          <w:rtl/>
        </w:rPr>
        <w:t>ה לדחות את השבת מפני שאין דבר שעומד מפני פ</w:t>
      </w:r>
      <w:r>
        <w:rPr>
          <w:rFonts w:hint="cs"/>
          <w:rtl/>
        </w:rPr>
        <w:t>ִ</w:t>
      </w:r>
      <w:r>
        <w:rPr>
          <w:rtl/>
        </w:rPr>
        <w:t xml:space="preserve">קוח נפש, </w:t>
      </w:r>
      <w:r>
        <w:rPr>
          <w:b/>
          <w:bCs/>
          <w:rtl/>
        </w:rPr>
        <w:t>וה</w:t>
      </w:r>
      <w:r>
        <w:rPr>
          <w:rFonts w:hint="cs"/>
          <w:b/>
          <w:bCs/>
          <w:rtl/>
        </w:rPr>
        <w:t xml:space="preserve">וא </w:t>
      </w:r>
      <w:r>
        <w:rPr>
          <w:b/>
          <w:bCs/>
          <w:rtl/>
        </w:rPr>
        <w:t>ה</w:t>
      </w:r>
      <w:r>
        <w:rPr>
          <w:rFonts w:hint="cs"/>
          <w:b/>
          <w:bCs/>
          <w:rtl/>
        </w:rPr>
        <w:t>דין</w:t>
      </w:r>
      <w:r>
        <w:rPr>
          <w:b/>
          <w:bCs/>
          <w:rtl/>
        </w:rPr>
        <w:t xml:space="preserve"> להפריש במדברות</w:t>
      </w:r>
      <w:r>
        <w:rPr>
          <w:rtl/>
        </w:rPr>
        <w:t xml:space="preserve"> וכל מקום סכנה שאדם עתיד לחלל בו את השבת</w:t>
      </w:r>
      <w:r>
        <w:rPr>
          <w:rFonts w:hint="cs"/>
          <w:rtl/>
        </w:rPr>
        <w:t>"</w:t>
      </w:r>
      <w:r>
        <w:rPr>
          <w:rtl/>
        </w:rPr>
        <w:t>.</w:t>
      </w:r>
    </w:p>
  </w:footnote>
  <w:footnote w:id="25">
    <w:p w14:paraId="22148277" w14:textId="77777777" w:rsidR="00F66C44" w:rsidRDefault="00F66C44">
      <w:pPr>
        <w:pStyle w:val="a4"/>
        <w:rPr>
          <w:rFonts w:hint="cs"/>
          <w:sz w:val="30"/>
          <w:szCs w:val="28"/>
          <w:rtl/>
        </w:rPr>
      </w:pPr>
      <w:r>
        <w:rPr>
          <w:rStyle w:val="a3"/>
        </w:rPr>
        <w:footnoteRef/>
      </w:r>
      <w:r>
        <w:rPr>
          <w:rFonts w:hint="cs"/>
          <w:sz w:val="26"/>
          <w:rtl/>
        </w:rPr>
        <w:t xml:space="preserve">פרק </w:t>
      </w:r>
      <w:r>
        <w:rPr>
          <w:sz w:val="26"/>
          <w:rtl/>
        </w:rPr>
        <w:t>י</w:t>
      </w:r>
      <w:r>
        <w:rPr>
          <w:rFonts w:hint="cs"/>
          <w:sz w:val="26"/>
          <w:rtl/>
        </w:rPr>
        <w:t>"ד</w:t>
      </w:r>
      <w:r>
        <w:rPr>
          <w:sz w:val="26"/>
          <w:rtl/>
        </w:rPr>
        <w:t xml:space="preserve"> הלכה י</w:t>
      </w:r>
      <w:r>
        <w:rPr>
          <w:rFonts w:hint="cs"/>
          <w:sz w:val="26"/>
          <w:rtl/>
        </w:rPr>
        <w:t xml:space="preserve">"ב / פרק </w:t>
      </w:r>
      <w:r>
        <w:rPr>
          <w:sz w:val="26"/>
          <w:rtl/>
        </w:rPr>
        <w:t>י</w:t>
      </w:r>
      <w:r>
        <w:rPr>
          <w:rFonts w:hint="cs"/>
          <w:sz w:val="26"/>
          <w:rtl/>
        </w:rPr>
        <w:t>"</w:t>
      </w:r>
      <w:r>
        <w:rPr>
          <w:sz w:val="26"/>
          <w:rtl/>
        </w:rPr>
        <w:t>ג הלכה י</w:t>
      </w:r>
      <w:r>
        <w:rPr>
          <w:rFonts w:hint="cs"/>
          <w:sz w:val="26"/>
          <w:rtl/>
        </w:rPr>
        <w:t>"</w:t>
      </w:r>
      <w:r>
        <w:rPr>
          <w:sz w:val="26"/>
          <w:rtl/>
        </w:rPr>
        <w:t>ג</w:t>
      </w:r>
      <w:r>
        <w:rPr>
          <w:rFonts w:hint="cs"/>
          <w:sz w:val="26"/>
          <w:rtl/>
        </w:rPr>
        <w:t>. בהגהות הגר"א נוסף "בספינה".</w:t>
      </w:r>
    </w:p>
  </w:footnote>
  <w:footnote w:id="26">
    <w:p w14:paraId="07DDDF68" w14:textId="77777777" w:rsidR="00F66C44" w:rsidRDefault="00F66C44">
      <w:pPr>
        <w:pStyle w:val="a4"/>
        <w:rPr>
          <w:rFonts w:hint="cs"/>
          <w:rtl/>
        </w:rPr>
      </w:pPr>
      <w:r>
        <w:rPr>
          <w:rStyle w:val="a3"/>
          <w:rtl/>
        </w:rPr>
        <w:footnoteRef/>
      </w:r>
      <w:r>
        <w:rPr>
          <w:szCs w:val="22"/>
        </w:rPr>
        <w:t xml:space="preserve"> </w:t>
      </w:r>
      <w:r>
        <w:rPr>
          <w:rFonts w:hint="cs"/>
          <w:rtl/>
        </w:rPr>
        <w:t>מהדורת הופמן (</w:t>
      </w:r>
      <w:r>
        <w:rPr>
          <w:sz w:val="18"/>
          <w:szCs w:val="20"/>
          <w:rtl/>
        </w:rPr>
        <w:t>כ</w:t>
      </w:r>
      <w:r>
        <w:rPr>
          <w:rFonts w:hint="cs"/>
          <w:sz w:val="18"/>
          <w:szCs w:val="20"/>
          <w:rtl/>
        </w:rPr>
        <w:t xml:space="preserve">, </w:t>
      </w:r>
      <w:r>
        <w:rPr>
          <w:sz w:val="18"/>
          <w:szCs w:val="20"/>
          <w:rtl/>
        </w:rPr>
        <w:t>כ</w:t>
      </w:r>
      <w:r>
        <w:rPr>
          <w:rFonts w:hint="cs"/>
          <w:rtl/>
        </w:rPr>
        <w:t>), וכן הוא ב</w:t>
      </w:r>
      <w:r>
        <w:rPr>
          <w:rtl/>
        </w:rPr>
        <w:t xml:space="preserve">ספרי </w:t>
      </w:r>
      <w:r>
        <w:rPr>
          <w:rFonts w:hint="cs"/>
          <w:rtl/>
        </w:rPr>
        <w:t>(</w:t>
      </w:r>
      <w:r>
        <w:rPr>
          <w:sz w:val="18"/>
          <w:szCs w:val="20"/>
          <w:rtl/>
        </w:rPr>
        <w:t>דברים פיסקא רג</w:t>
      </w:r>
      <w:r>
        <w:rPr>
          <w:rFonts w:hint="cs"/>
          <w:rtl/>
        </w:rPr>
        <w:t>),</w:t>
      </w:r>
      <w:r>
        <w:rPr>
          <w:rtl/>
        </w:rPr>
        <w:t xml:space="preserve"> </w:t>
      </w:r>
      <w:r>
        <w:rPr>
          <w:rFonts w:hint="cs"/>
          <w:rtl/>
        </w:rPr>
        <w:t>ב</w:t>
      </w:r>
      <w:r>
        <w:rPr>
          <w:rtl/>
        </w:rPr>
        <w:t>תנחומא</w:t>
      </w:r>
      <w:r>
        <w:rPr>
          <w:rFonts w:hint="cs"/>
          <w:rtl/>
        </w:rPr>
        <w:t xml:space="preserve"> (</w:t>
      </w:r>
      <w:r>
        <w:rPr>
          <w:sz w:val="18"/>
          <w:szCs w:val="20"/>
          <w:rtl/>
        </w:rPr>
        <w:t>ורש</w:t>
      </w:r>
      <w:r>
        <w:rPr>
          <w:rFonts w:hint="cs"/>
          <w:sz w:val="18"/>
          <w:szCs w:val="20"/>
          <w:rtl/>
        </w:rPr>
        <w:t xml:space="preserve">ה, </w:t>
      </w:r>
      <w:r>
        <w:rPr>
          <w:sz w:val="18"/>
          <w:szCs w:val="20"/>
          <w:rtl/>
        </w:rPr>
        <w:t>שלח</w:t>
      </w:r>
      <w:r>
        <w:rPr>
          <w:rFonts w:hint="cs"/>
          <w:rtl/>
        </w:rPr>
        <w:t>), ב</w:t>
      </w:r>
      <w:r>
        <w:rPr>
          <w:rtl/>
        </w:rPr>
        <w:t xml:space="preserve">מדרש הגדול </w:t>
      </w:r>
      <w:r>
        <w:rPr>
          <w:rFonts w:hint="cs"/>
          <w:rtl/>
        </w:rPr>
        <w:t>ועוד.</w:t>
      </w:r>
    </w:p>
  </w:footnote>
  <w:footnote w:id="27">
    <w:p w14:paraId="65D059E4" w14:textId="77777777" w:rsidR="00F66C44" w:rsidRDefault="00F66C44">
      <w:pPr>
        <w:pStyle w:val="a4"/>
        <w:rPr>
          <w:rFonts w:hint="cs"/>
          <w:rtl/>
        </w:rPr>
      </w:pPr>
      <w:r>
        <w:rPr>
          <w:rStyle w:val="a3"/>
          <w:rtl/>
        </w:rPr>
        <w:footnoteRef/>
      </w:r>
      <w:r>
        <w:rPr>
          <w:szCs w:val="22"/>
        </w:rPr>
        <w:t xml:space="preserve"> </w:t>
      </w:r>
      <w:r>
        <w:rPr>
          <w:rFonts w:hint="cs"/>
          <w:rtl/>
        </w:rPr>
        <w:t>לכאורה היה מקום לסייע מכאן לדעת (</w:t>
      </w:r>
      <w:r>
        <w:rPr>
          <w:rFonts w:hint="cs"/>
          <w:sz w:val="18"/>
          <w:szCs w:val="20"/>
          <w:rtl/>
        </w:rPr>
        <w:t xml:space="preserve">רשב"ם, </w:t>
      </w:r>
      <w:r>
        <w:rPr>
          <w:sz w:val="18"/>
          <w:szCs w:val="20"/>
          <w:rtl/>
        </w:rPr>
        <w:t xml:space="preserve">עירובין </w:t>
      </w:r>
      <w:r>
        <w:rPr>
          <w:szCs w:val="20"/>
          <w:rtl/>
        </w:rPr>
        <w:t>מג</w:t>
      </w:r>
      <w:r>
        <w:rPr>
          <w:rFonts w:hint="cs"/>
          <w:szCs w:val="20"/>
          <w:rtl/>
        </w:rPr>
        <w:t xml:space="preserve">, </w:t>
      </w:r>
      <w:r>
        <w:rPr>
          <w:sz w:val="18"/>
          <w:szCs w:val="20"/>
          <w:rtl/>
        </w:rPr>
        <w:t xml:space="preserve">א </w:t>
      </w:r>
      <w:r>
        <w:rPr>
          <w:rFonts w:hint="cs"/>
          <w:szCs w:val="20"/>
          <w:rtl/>
        </w:rPr>
        <w:t xml:space="preserve">תוד"ה </w:t>
      </w:r>
      <w:r>
        <w:rPr>
          <w:sz w:val="18"/>
          <w:szCs w:val="20"/>
          <w:rtl/>
        </w:rPr>
        <w:t>הלכה כרבן</w:t>
      </w:r>
      <w:r>
        <w:rPr>
          <w:rFonts w:hint="cs"/>
          <w:sz w:val="18"/>
          <w:szCs w:val="20"/>
          <w:rtl/>
        </w:rPr>
        <w:t>; וכ"כ ראב"ן הירחי</w:t>
      </w:r>
      <w:r>
        <w:rPr>
          <w:rFonts w:hint="cs"/>
          <w:szCs w:val="20"/>
          <w:rtl/>
        </w:rPr>
        <w:t xml:space="preserve">, ספר </w:t>
      </w:r>
      <w:r>
        <w:rPr>
          <w:rFonts w:hint="cs"/>
          <w:sz w:val="18"/>
          <w:szCs w:val="20"/>
          <w:rtl/>
        </w:rPr>
        <w:t>המנהיג, שם, עמ' קלא</w:t>
      </w:r>
      <w:r>
        <w:rPr>
          <w:rFonts w:hint="cs"/>
          <w:rtl/>
        </w:rPr>
        <w:t>) הסוברים שהברייתא בסוגייתנו "</w:t>
      </w:r>
      <w:r>
        <w:rPr>
          <w:rtl/>
        </w:rPr>
        <w:t>אתיא כב</w:t>
      </w:r>
      <w:r>
        <w:rPr>
          <w:rFonts w:hint="cs"/>
          <w:rtl/>
        </w:rPr>
        <w:t xml:space="preserve">ית </w:t>
      </w:r>
      <w:r>
        <w:rPr>
          <w:rtl/>
        </w:rPr>
        <w:t>ש</w:t>
      </w:r>
      <w:r>
        <w:rPr>
          <w:rFonts w:hint="cs"/>
          <w:rtl/>
        </w:rPr>
        <w:t>מאי,</w:t>
      </w:r>
      <w:r>
        <w:rPr>
          <w:rtl/>
        </w:rPr>
        <w:t xml:space="preserve"> דלא שרו לעשות מלאכה בערב שבת אלא בכדי שיעשו מבעוד יום</w:t>
      </w:r>
      <w:r>
        <w:rPr>
          <w:rFonts w:hint="cs"/>
          <w:rtl/>
        </w:rPr>
        <w:t xml:space="preserve">... </w:t>
      </w:r>
      <w:r>
        <w:rPr>
          <w:rtl/>
        </w:rPr>
        <w:t xml:space="preserve">ואע"ג דבההיא ברייתא פליגי רבי ורבן שמעון בן גמליאל </w:t>
      </w:r>
      <w:r>
        <w:rPr>
          <w:rFonts w:hint="cs"/>
          <w:rtl/>
        </w:rPr>
        <w:t xml:space="preserve">- </w:t>
      </w:r>
      <w:r>
        <w:rPr>
          <w:rtl/>
        </w:rPr>
        <w:t>אליבא דב"ש פליגי</w:t>
      </w:r>
      <w:r>
        <w:rPr>
          <w:rFonts w:hint="cs"/>
          <w:rtl/>
        </w:rPr>
        <w:t>!</w:t>
      </w:r>
      <w:r>
        <w:rPr>
          <w:rtl/>
        </w:rPr>
        <w:t xml:space="preserve"> וכן משמע בירושלמי</w:t>
      </w:r>
      <w:r>
        <w:rPr>
          <w:rFonts w:hint="cs"/>
          <w:rtl/>
        </w:rPr>
        <w:t xml:space="preserve">". רבי </w:t>
      </w:r>
      <w:r>
        <w:rPr>
          <w:rtl/>
        </w:rPr>
        <w:t xml:space="preserve">אריה ליב ילין </w:t>
      </w:r>
      <w:r>
        <w:rPr>
          <w:rFonts w:hint="cs"/>
          <w:rtl/>
        </w:rPr>
        <w:t>(</w:t>
      </w:r>
      <w:r>
        <w:rPr>
          <w:sz w:val="18"/>
          <w:szCs w:val="20"/>
          <w:rtl/>
        </w:rPr>
        <w:t xml:space="preserve">בהגהות </w:t>
      </w:r>
      <w:r>
        <w:rPr>
          <w:rFonts w:hint="cs"/>
          <w:sz w:val="18"/>
          <w:szCs w:val="20"/>
          <w:rtl/>
        </w:rPr>
        <w:t>"</w:t>
      </w:r>
      <w:r>
        <w:rPr>
          <w:sz w:val="18"/>
          <w:szCs w:val="20"/>
          <w:rtl/>
        </w:rPr>
        <w:t>יפה</w:t>
      </w:r>
      <w:r>
        <w:rPr>
          <w:rFonts w:hint="cs"/>
          <w:sz w:val="18"/>
          <w:szCs w:val="20"/>
          <w:rtl/>
        </w:rPr>
        <w:t xml:space="preserve"> </w:t>
      </w:r>
      <w:r>
        <w:rPr>
          <w:sz w:val="18"/>
          <w:szCs w:val="20"/>
          <w:rtl/>
        </w:rPr>
        <w:t>עינים</w:t>
      </w:r>
      <w:r>
        <w:rPr>
          <w:rFonts w:hint="cs"/>
          <w:sz w:val="18"/>
          <w:szCs w:val="20"/>
          <w:rtl/>
        </w:rPr>
        <w:t>"</w:t>
      </w:r>
      <w:r>
        <w:rPr>
          <w:rFonts w:hint="cs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דוחה סיוע זה: "ומשם אין להכריח דבית שמאי היא ולא בית הלל, דיש לומר דשמאי הוא בעל המאמר, אבל גם בית הלל מודו, דהלֹא (</w:t>
      </w:r>
      <w:r>
        <w:rPr>
          <w:rFonts w:hint="cs"/>
          <w:sz w:val="18"/>
          <w:szCs w:val="20"/>
          <w:rtl/>
        </w:rPr>
        <w:t xml:space="preserve">כדברי </w:t>
      </w:r>
      <w:r>
        <w:rPr>
          <w:sz w:val="18"/>
          <w:szCs w:val="20"/>
          <w:rtl/>
        </w:rPr>
        <w:t>רב הונא</w:t>
      </w:r>
      <w:r>
        <w:rPr>
          <w:rFonts w:hint="cs"/>
          <w:sz w:val="18"/>
          <w:szCs w:val="20"/>
          <w:rtl/>
        </w:rPr>
        <w:t xml:space="preserve"> לעיל </w:t>
      </w:r>
      <w:r>
        <w:rPr>
          <w:sz w:val="18"/>
          <w:szCs w:val="20"/>
          <w:rtl/>
        </w:rPr>
        <w:t>דף טו</w:t>
      </w:r>
      <w:r>
        <w:rPr>
          <w:rFonts w:hint="cs"/>
          <w:sz w:val="18"/>
          <w:szCs w:val="20"/>
          <w:rtl/>
        </w:rPr>
        <w:t xml:space="preserve">, </w:t>
      </w:r>
      <w:r>
        <w:rPr>
          <w:sz w:val="18"/>
          <w:szCs w:val="20"/>
          <w:rtl/>
        </w:rPr>
        <w:t>א</w:t>
      </w:r>
      <w:r>
        <w:rPr>
          <w:rFonts w:hint="cs"/>
          <w:rtl/>
        </w:rPr>
        <w:t xml:space="preserve">) שמאי והלל לא נחלקו כי אם בשלושה מקומות". </w:t>
      </w:r>
      <w:r>
        <w:rPr>
          <w:rFonts w:hint="cs"/>
          <w:sz w:val="26"/>
          <w:rtl/>
        </w:rPr>
        <w:t>וע"ע בחידושי הריצ"ד כאן ובערובין מא, ב.@</w:t>
      </w:r>
    </w:p>
  </w:footnote>
  <w:footnote w:id="28">
    <w:p w14:paraId="05157A1D" w14:textId="77777777" w:rsidR="00F66C44" w:rsidRDefault="00F66C44">
      <w:pPr>
        <w:pStyle w:val="a4"/>
        <w:rPr>
          <w:rtl/>
        </w:rPr>
      </w:pPr>
      <w:r>
        <w:rPr>
          <w:rStyle w:val="a3"/>
          <w:rtl/>
        </w:rPr>
        <w:footnoteRef/>
      </w:r>
      <w:r>
        <w:rPr>
          <w:szCs w:val="22"/>
        </w:rPr>
        <w:t xml:space="preserve"> </w:t>
      </w:r>
      <w:r>
        <w:rPr>
          <w:sz w:val="26"/>
          <w:rtl/>
        </w:rPr>
        <w:t xml:space="preserve">ספר העיתים </w:t>
      </w:r>
      <w:r>
        <w:rPr>
          <w:rFonts w:hint="cs"/>
          <w:sz w:val="26"/>
          <w:rtl/>
        </w:rPr>
        <w:t>(</w:t>
      </w:r>
      <w:r>
        <w:rPr>
          <w:rFonts w:hint="cs"/>
          <w:sz w:val="18"/>
          <w:szCs w:val="20"/>
          <w:rtl/>
        </w:rPr>
        <w:t xml:space="preserve">ריש </w:t>
      </w:r>
      <w:r>
        <w:rPr>
          <w:sz w:val="18"/>
          <w:szCs w:val="20"/>
          <w:rtl/>
        </w:rPr>
        <w:t>סימן א</w:t>
      </w:r>
      <w:r>
        <w:rPr>
          <w:rFonts w:hint="cs"/>
          <w:sz w:val="18"/>
          <w:szCs w:val="20"/>
          <w:rtl/>
        </w:rPr>
        <w:t>'</w:t>
      </w:r>
      <w:r>
        <w:rPr>
          <w:rFonts w:hint="cs"/>
          <w:sz w:val="26"/>
          <w:rtl/>
        </w:rPr>
        <w:t xml:space="preserve">). </w:t>
      </w:r>
    </w:p>
  </w:footnote>
  <w:footnote w:id="29">
    <w:p w14:paraId="23FA6ECC" w14:textId="77777777" w:rsidR="00F66C44" w:rsidRDefault="00F66C44">
      <w:pPr>
        <w:pStyle w:val="a4"/>
        <w:rPr>
          <w:rFonts w:hint="cs"/>
          <w:rtl/>
        </w:rPr>
      </w:pPr>
      <w:r>
        <w:rPr>
          <w:rStyle w:val="a3"/>
          <w:rtl/>
        </w:rPr>
        <w:footnoteRef/>
      </w:r>
      <w:r>
        <w:rPr>
          <w:szCs w:val="22"/>
        </w:rPr>
        <w:t xml:space="preserve"> </w:t>
      </w:r>
      <w:r>
        <w:rPr>
          <w:sz w:val="26"/>
          <w:rtl/>
        </w:rPr>
        <w:t>תשובות הגאונים</w:t>
      </w:r>
      <w:r>
        <w:rPr>
          <w:rFonts w:hint="cs"/>
          <w:sz w:val="26"/>
          <w:rtl/>
        </w:rPr>
        <w:t xml:space="preserve"> (</w:t>
      </w:r>
      <w:r>
        <w:rPr>
          <w:rFonts w:hint="cs"/>
          <w:sz w:val="18"/>
          <w:szCs w:val="20"/>
          <w:rtl/>
        </w:rPr>
        <w:t xml:space="preserve">ליק, </w:t>
      </w:r>
      <w:r>
        <w:rPr>
          <w:sz w:val="18"/>
          <w:szCs w:val="20"/>
          <w:rtl/>
        </w:rPr>
        <w:t>סימן ס</w:t>
      </w:r>
      <w:r>
        <w:rPr>
          <w:rFonts w:hint="cs"/>
          <w:sz w:val="18"/>
          <w:szCs w:val="20"/>
          <w:rtl/>
        </w:rPr>
        <w:t>"</w:t>
      </w:r>
      <w:r>
        <w:rPr>
          <w:sz w:val="18"/>
          <w:szCs w:val="20"/>
          <w:rtl/>
        </w:rPr>
        <w:t>א</w:t>
      </w:r>
      <w:r>
        <w:rPr>
          <w:rFonts w:hint="cs"/>
          <w:sz w:val="18"/>
          <w:szCs w:val="20"/>
          <w:rtl/>
        </w:rPr>
        <w:t>; אוצר הגאונים, התשובות, עמ' 18</w:t>
      </w:r>
      <w:r>
        <w:rPr>
          <w:rFonts w:hint="cs"/>
          <w:rtl/>
        </w:rPr>
        <w:t xml:space="preserve">). אמנם, בראש </w:t>
      </w:r>
      <w:r>
        <w:rPr>
          <w:rtl/>
        </w:rPr>
        <w:t xml:space="preserve">ספר העיתים </w:t>
      </w:r>
      <w:r>
        <w:rPr>
          <w:rFonts w:hint="cs"/>
          <w:rtl/>
        </w:rPr>
        <w:t>מובאת תשובת רה"ג בניסוח אחר [המוסגר נוסף ע"י המהדיר]: "</w:t>
      </w:r>
      <w:r>
        <w:rPr>
          <w:rtl/>
        </w:rPr>
        <w:t>וכשאתה מעיין בדברי</w:t>
      </w:r>
      <w:r>
        <w:rPr>
          <w:rFonts w:hint="cs"/>
          <w:rtl/>
        </w:rPr>
        <w:t xml:space="preserve"> </w:t>
      </w:r>
      <w:r>
        <w:rPr>
          <w:rtl/>
        </w:rPr>
        <w:t>חכמים כולם אי אתה מוצא דב"ז [אלא] בים לבד והפלגה היא שאמרו, אין מפליגין, ומופלג [לאו] היא בנהרות כדרך שהיא מופלג כשהיא בים</w:t>
      </w:r>
      <w:r>
        <w:rPr>
          <w:rFonts w:hint="cs"/>
          <w:rtl/>
        </w:rPr>
        <w:t>". ממהלך תשובת רה"ג משמע שאין לתקן כנ"ל, ואין להעמיד את רה"ג בשיטת הרמב"ם, וכן הוער באוצר הגאונים (</w:t>
      </w:r>
      <w:r>
        <w:rPr>
          <w:rFonts w:hint="cs"/>
          <w:sz w:val="18"/>
          <w:szCs w:val="20"/>
          <w:rtl/>
        </w:rPr>
        <w:t>שם, הערה ב'</w:t>
      </w:r>
      <w:r>
        <w:rPr>
          <w:rFonts w:hint="cs"/>
          <w:rtl/>
        </w:rPr>
        <w:t xml:space="preserve">) "מו"ל העתים... הפך כוונת הגאון". </w:t>
      </w:r>
    </w:p>
  </w:footnote>
  <w:footnote w:id="30">
    <w:p w14:paraId="59794DCB" w14:textId="77777777" w:rsidR="00F66C44" w:rsidRDefault="00F66C44">
      <w:pPr>
        <w:pStyle w:val="a4"/>
        <w:rPr>
          <w:rtl/>
        </w:rPr>
      </w:pPr>
      <w:r>
        <w:rPr>
          <w:rStyle w:val="a3"/>
          <w:rtl/>
        </w:rPr>
        <w:footnoteRef/>
      </w:r>
      <w:r>
        <w:rPr>
          <w:szCs w:val="22"/>
        </w:rPr>
        <w:t xml:space="preserve"> </w:t>
      </w:r>
      <w:r>
        <w:rPr>
          <w:rFonts w:hint="cs"/>
          <w:rtl/>
        </w:rPr>
        <w:t xml:space="preserve">ראה </w:t>
      </w:r>
      <w:r>
        <w:rPr>
          <w:rtl/>
        </w:rPr>
        <w:t>עָר</w:t>
      </w:r>
      <w:r>
        <w:rPr>
          <w:rFonts w:hint="cs"/>
          <w:rtl/>
        </w:rPr>
        <w:t>ו</w:t>
      </w:r>
      <w:r>
        <w:rPr>
          <w:rtl/>
        </w:rPr>
        <w:t xml:space="preserve">ֹךְ הַשֻּׁלְחָן </w:t>
      </w:r>
      <w:r>
        <w:rPr>
          <w:rFonts w:hint="cs"/>
          <w:sz w:val="26"/>
          <w:rtl/>
        </w:rPr>
        <w:t>(</w:t>
      </w:r>
      <w:r>
        <w:rPr>
          <w:rFonts w:hint="cs"/>
          <w:sz w:val="18"/>
          <w:szCs w:val="20"/>
          <w:rtl/>
        </w:rPr>
        <w:t>רמ"ח, ג'</w:t>
      </w:r>
      <w:r>
        <w:rPr>
          <w:rFonts w:hint="cs"/>
          <w:sz w:val="26"/>
          <w:rtl/>
        </w:rPr>
        <w:t>).</w:t>
      </w:r>
    </w:p>
  </w:footnote>
  <w:footnote w:id="31">
    <w:p w14:paraId="1DAA3BBE" w14:textId="77777777" w:rsidR="00F66C44" w:rsidRDefault="00F66C44">
      <w:pPr>
        <w:pStyle w:val="a4"/>
        <w:rPr>
          <w:rtl/>
        </w:rPr>
      </w:pPr>
      <w:r>
        <w:rPr>
          <w:rStyle w:val="a3"/>
          <w:rtl/>
        </w:rPr>
        <w:footnoteRef/>
      </w:r>
      <w:r>
        <w:rPr>
          <w:szCs w:val="22"/>
        </w:rPr>
        <w:t xml:space="preserve"> </w:t>
      </w:r>
      <w:r>
        <w:rPr>
          <w:rFonts w:hint="cs"/>
          <w:sz w:val="26"/>
          <w:rtl/>
        </w:rPr>
        <w:t>אמנם, אין הכרח לומר את ההפך, ש</w:t>
      </w:r>
      <w:r>
        <w:rPr>
          <w:rFonts w:hint="cs"/>
          <w:rtl/>
        </w:rPr>
        <w:t>פירוש רש"י, שהפלגה היא פרישה, מחייבת לסבור כרה"ג, כי ניתן לפרש שההפלגה היא פרישה והתרחקות במרחק רב יותר מאשר בנהר: "ומשום הכי קתני 'אין מפליגין' ענינו שהם יבדילו ויתרחקו מן הארץ ומן החוף רחוק נבדל ופלג רב, אמנם נהרות אין בהם הפלגה" (</w:t>
      </w:r>
      <w:r>
        <w:rPr>
          <w:rFonts w:hint="cs"/>
          <w:sz w:val="26"/>
          <w:rtl/>
        </w:rPr>
        <w:t xml:space="preserve">קרבן נתנאל </w:t>
      </w:r>
      <w:r>
        <w:rPr>
          <w:rFonts w:hint="cs"/>
          <w:sz w:val="18"/>
          <w:szCs w:val="20"/>
          <w:rtl/>
        </w:rPr>
        <w:t>אות מ'</w:t>
      </w:r>
      <w:r>
        <w:rPr>
          <w:rFonts w:hint="cs"/>
          <w:sz w:val="26"/>
          <w:rtl/>
        </w:rPr>
        <w:t xml:space="preserve">). </w:t>
      </w:r>
      <w:r>
        <w:rPr>
          <w:rFonts w:hint="cs"/>
          <w:rtl/>
        </w:rPr>
        <w:t>מעניין לציין כי בפירוש רש"י שעל הרי"ף בערובין (</w:t>
      </w:r>
      <w:r>
        <w:rPr>
          <w:rFonts w:hint="cs"/>
          <w:sz w:val="18"/>
          <w:szCs w:val="20"/>
          <w:rtl/>
        </w:rPr>
        <w:t>הובא לעיל</w:t>
      </w:r>
      <w:r>
        <w:rPr>
          <w:rFonts w:hint="cs"/>
          <w:rtl/>
        </w:rPr>
        <w:t>) מדובר על הפלגה ב</w:t>
      </w:r>
      <w:r>
        <w:rPr>
          <w:rFonts w:hint="cs"/>
          <w:b/>
          <w:bCs/>
          <w:rtl/>
        </w:rPr>
        <w:t>נהר</w:t>
      </w:r>
      <w:r>
        <w:rPr>
          <w:rFonts w:hint="cs"/>
          <w:rtl/>
        </w:rPr>
        <w:t>!</w:t>
      </w:r>
    </w:p>
  </w:footnote>
  <w:footnote w:id="32">
    <w:p w14:paraId="26C29715" w14:textId="77777777" w:rsidR="00F66C44" w:rsidRDefault="00F66C44">
      <w:pPr>
        <w:pStyle w:val="a4"/>
        <w:rPr>
          <w:rFonts w:hint="cs"/>
          <w:rtl/>
        </w:rPr>
      </w:pPr>
      <w:r>
        <w:rPr>
          <w:rStyle w:val="a3"/>
          <w:rtl/>
        </w:rPr>
        <w:footnoteRef/>
      </w:r>
      <w:r>
        <w:rPr>
          <w:rFonts w:hint="cs"/>
          <w:rtl/>
        </w:rPr>
        <w:t xml:space="preserve"> כיו"ב מופיע ברי"ף (</w:t>
      </w:r>
      <w:r>
        <w:rPr>
          <w:rFonts w:hint="cs"/>
          <w:sz w:val="18"/>
          <w:szCs w:val="20"/>
          <w:rtl/>
        </w:rPr>
        <w:t>ז, ב</w:t>
      </w:r>
      <w:r>
        <w:rPr>
          <w:rFonts w:hint="cs"/>
          <w:rtl/>
        </w:rPr>
        <w:t>): "</w:t>
      </w:r>
      <w:r>
        <w:rPr>
          <w:rtl/>
        </w:rPr>
        <w:t>אבל לדבר מצוה</w:t>
      </w:r>
      <w:r>
        <w:rPr>
          <w:rFonts w:hint="cs"/>
          <w:rtl/>
        </w:rPr>
        <w:t xml:space="preserve"> - </w:t>
      </w:r>
      <w:r>
        <w:rPr>
          <w:rFonts w:hint="cs"/>
          <w:b/>
          <w:bCs/>
          <w:rtl/>
        </w:rPr>
        <w:t>מפליגין</w:t>
      </w:r>
      <w:r>
        <w:rPr>
          <w:rFonts w:hint="cs"/>
          <w:rtl/>
        </w:rPr>
        <w:t>".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12F49"/>
    <w:multiLevelType w:val="hybridMultilevel"/>
    <w:tmpl w:val="6D06EBD2"/>
    <w:lvl w:ilvl="0" w:tplc="8146ED2C">
      <w:start w:val="1"/>
      <w:numFmt w:val="decimal"/>
      <w:pStyle w:val="5"/>
      <w:lvlText w:val="%1."/>
      <w:lvlJc w:val="left"/>
      <w:pPr>
        <w:tabs>
          <w:tab w:val="num" w:pos="720"/>
        </w:tabs>
        <w:ind w:left="720" w:right="720" w:hanging="360"/>
      </w:pPr>
      <w:rPr>
        <w:rFonts w:hint="default"/>
        <w:color w:val="0000FF"/>
        <w:sz w:val="16"/>
      </w:rPr>
    </w:lvl>
    <w:lvl w:ilvl="1" w:tplc="040D0003" w:tentative="1">
      <w:start w:val="1"/>
      <w:numFmt w:val="bullet"/>
      <w:lvlText w:val="o"/>
      <w:lvlJc w:val="left"/>
      <w:pPr>
        <w:tabs>
          <w:tab w:val="num" w:pos="1440"/>
        </w:tabs>
        <w:ind w:left="1440" w:right="1440" w:hanging="360"/>
      </w:pPr>
      <w:rPr>
        <w:rFonts w:ascii="Courier New" w:hAnsi="Courier New" w:hint="default"/>
      </w:rPr>
    </w:lvl>
    <w:lvl w:ilvl="2" w:tplc="040D0005" w:tentative="1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040D0001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D0003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hint="default"/>
      </w:rPr>
    </w:lvl>
    <w:lvl w:ilvl="5" w:tplc="040D0005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D0001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D0003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hint="default"/>
      </w:rPr>
    </w:lvl>
    <w:lvl w:ilvl="8" w:tplc="040D0005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3251"/>
    <w:rsid w:val="00D236D8"/>
    <w:rsid w:val="00ED3251"/>
    <w:rsid w:val="00F66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095FC924"/>
  <w15:chartTrackingRefBased/>
  <w15:docId w15:val="{662A77A3-B0B8-4910-B3E4-2F7B614DB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  <w:rPr>
      <w:sz w:val="24"/>
      <w:szCs w:val="24"/>
      <w:lang w:eastAsia="he-IL"/>
    </w:rPr>
  </w:style>
  <w:style w:type="paragraph" w:styleId="2">
    <w:name w:val="heading 2"/>
    <w:basedOn w:val="a"/>
    <w:next w:val="a"/>
    <w:qFormat/>
    <w:pPr>
      <w:keepNext/>
      <w:spacing w:before="480" w:after="60" w:line="360" w:lineRule="auto"/>
      <w:jc w:val="both"/>
      <w:outlineLvl w:val="1"/>
    </w:pPr>
    <w:rPr>
      <w:rFonts w:ascii="Arial" w:hAnsi="Arial" w:cs="Miriam"/>
      <w:sz w:val="28"/>
      <w:szCs w:val="28"/>
      <w:lang w:eastAsia="en-US"/>
    </w:rPr>
  </w:style>
  <w:style w:type="paragraph" w:styleId="5">
    <w:name w:val="heading 5"/>
    <w:basedOn w:val="a"/>
    <w:next w:val="a"/>
    <w:qFormat/>
    <w:pPr>
      <w:keepNext/>
      <w:numPr>
        <w:numId w:val="1"/>
      </w:numPr>
      <w:autoSpaceDE w:val="0"/>
      <w:autoSpaceDN w:val="0"/>
      <w:adjustRightInd w:val="0"/>
      <w:ind w:right="0"/>
      <w:outlineLvl w:val="4"/>
    </w:pPr>
    <w:rPr>
      <w:b/>
      <w:bCs/>
      <w:color w:val="000000"/>
      <w:sz w:val="18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Pr>
      <w:rFonts w:ascii="Arial" w:hAnsi="Arial" w:cs="Arial"/>
      <w:szCs w:val="22"/>
      <w:vertAlign w:val="superscript"/>
    </w:rPr>
  </w:style>
  <w:style w:type="paragraph" w:styleId="a4">
    <w:name w:val="footnote text"/>
    <w:basedOn w:val="a"/>
    <w:semiHidden/>
    <w:pPr>
      <w:tabs>
        <w:tab w:val="left" w:pos="4109"/>
        <w:tab w:val="left" w:pos="6072"/>
      </w:tabs>
      <w:autoSpaceDE w:val="0"/>
      <w:autoSpaceDN w:val="0"/>
      <w:spacing w:line="360" w:lineRule="auto"/>
      <w:jc w:val="both"/>
    </w:pPr>
    <w:rPr>
      <w:rFonts w:ascii="Ezra SIL" w:hAnsi="Ezra SIL" w:cs="FrankRuehl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126BF58F1D3E534198274CAD27C9364B" ma:contentTypeVersion="15" ma:contentTypeDescription="צור מסמך חדש." ma:contentTypeScope="" ma:versionID="404f4c90b1dd83b821518da62684989d">
  <xsd:schema xmlns:xsd="http://www.w3.org/2001/XMLSchema" xmlns:xs="http://www.w3.org/2001/XMLSchema" xmlns:p="http://schemas.microsoft.com/office/2006/metadata/properties" xmlns:ns3="8893e021-340b-47fb-be7c-94ed5d83ed0a" targetNamespace="http://schemas.microsoft.com/office/2006/metadata/properties" ma:root="true" ma:fieldsID="13b81221d6f1d584edafc68ff58ba301" ns3:_="">
    <xsd:import namespace="8893e021-340b-47fb-be7c-94ed5d83ed0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93e021-340b-47fb-be7c-94ed5d83ed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893e021-340b-47fb-be7c-94ed5d83ed0a" xsi:nil="true"/>
  </documentManagement>
</p:properties>
</file>

<file path=customXml/itemProps1.xml><?xml version="1.0" encoding="utf-8"?>
<ds:datastoreItem xmlns:ds="http://schemas.openxmlformats.org/officeDocument/2006/customXml" ds:itemID="{323BF828-4C68-4A7B-B60C-E563449593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93e021-340b-47fb-be7c-94ed5d83ed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9382009-D06E-43B3-9E00-571B5BD866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02EC6-2902-4EF4-809F-4C942AD088B4}">
  <ds:schemaRefs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8893e021-340b-47fb-be7c-94ed5d83ed0a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1379</Words>
  <Characters>6896</Characters>
  <Application>Microsoft Office Word</Application>
  <DocSecurity>4</DocSecurity>
  <Lines>57</Lines>
  <Paragraphs>16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דף יט, א: אין מפליגין </vt:lpstr>
    </vt:vector>
  </TitlesOfParts>
  <Company>מצפה יריחו</Company>
  <LinksUpToDate>false</LinksUpToDate>
  <CharactersWithSpaces>8259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יט, א: אין מפליגין</dc:title>
  <dc:subject/>
  <dc:creator>אוריאל פרנק</dc:creator>
  <cp:keywords/>
  <dc:description/>
  <cp:lastModifiedBy>אוריאל פרנק</cp:lastModifiedBy>
  <cp:revision>2</cp:revision>
  <dcterms:created xsi:type="dcterms:W3CDTF">2026-10-19T14:19:00Z</dcterms:created>
  <dcterms:modified xsi:type="dcterms:W3CDTF">2026-10-19T14:19:00Z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0x010100126BF58F1D3E534198274CAD27C9364B</vt:lpwstr>
  </property>
</Properties>
</file>