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B5EA1" w14:textId="77777777" w:rsidR="00152F4E" w:rsidRPr="00152F4E" w:rsidRDefault="00152F4E" w:rsidP="00152F4E">
      <w:pPr>
        <w:spacing w:after="240" w:line="240" w:lineRule="auto"/>
        <w:rPr>
          <w:rFonts w:ascii="Arial" w:eastAsia="Times New Roman" w:hAnsi="Arial" w:cs="Arial"/>
          <w:color w:val="000033"/>
          <w:sz w:val="18"/>
          <w:szCs w:val="18"/>
        </w:rPr>
      </w:pPr>
      <w:r w:rsidRPr="00152F4E">
        <w:rPr>
          <w:rFonts w:ascii="Arial" w:eastAsia="Times New Roman" w:hAnsi="Arial" w:cs="Arial"/>
          <w:b/>
          <w:bCs/>
          <w:color w:val="1D3850"/>
          <w:sz w:val="24"/>
          <w:szCs w:val="24"/>
          <w:rtl/>
        </w:rPr>
        <w:t xml:space="preserve">החמץ והעכברים - מסכת פסחים ט: - י: פסקי הלכות - מ'תשע </w:t>
      </w:r>
      <w:proofErr w:type="spellStart"/>
      <w:r w:rsidRPr="00152F4E">
        <w:rPr>
          <w:rFonts w:ascii="Arial" w:eastAsia="Times New Roman" w:hAnsi="Arial" w:cs="Arial"/>
          <w:b/>
          <w:bCs/>
          <w:color w:val="1D3850"/>
          <w:sz w:val="24"/>
          <w:szCs w:val="24"/>
          <w:rtl/>
        </w:rPr>
        <w:t>ציבורין</w:t>
      </w:r>
      <w:proofErr w:type="spellEnd"/>
      <w:r w:rsidRPr="00152F4E">
        <w:rPr>
          <w:rFonts w:ascii="Arial" w:eastAsia="Times New Roman" w:hAnsi="Arial" w:cs="Arial"/>
          <w:b/>
          <w:bCs/>
          <w:color w:val="1D3850"/>
          <w:sz w:val="24"/>
          <w:szCs w:val="24"/>
          <w:rtl/>
        </w:rPr>
        <w:t xml:space="preserve">' עד המשנה </w:t>
      </w:r>
      <w:r w:rsidRPr="00152F4E">
        <w:rPr>
          <w:rFonts w:ascii="Times New Roman" w:eastAsia="Times New Roman" w:hAnsi="Times New Roman" w:cs="Times New Roman"/>
          <w:sz w:val="24"/>
          <w:szCs w:val="24"/>
          <w:rtl/>
        </w:rPr>
        <w:br/>
      </w:r>
      <w:r w:rsidRPr="00152F4E">
        <w:rPr>
          <w:rFonts w:ascii="Arial" w:eastAsia="Times New Roman" w:hAnsi="Arial" w:cs="Arial"/>
          <w:b/>
          <w:bCs/>
          <w:color w:val="9C9A36"/>
          <w:sz w:val="24"/>
          <w:szCs w:val="24"/>
          <w:rtl/>
        </w:rPr>
        <w:t xml:space="preserve">הרב עזריאל זילבר </w:t>
      </w:r>
    </w:p>
    <w:p w14:paraId="43BA5334" w14:textId="77777777" w:rsidR="00152F4E" w:rsidRPr="00152F4E" w:rsidRDefault="00152F4E" w:rsidP="00152F4E">
      <w:pPr>
        <w:spacing w:before="100" w:beforeAutospacing="1" w:after="100" w:afterAutospacing="1" w:line="240" w:lineRule="auto"/>
        <w:rPr>
          <w:rFonts w:ascii="Times New Roman" w:eastAsia="Times New Roman" w:hAnsi="Times New Roman" w:cs="Times New Roman"/>
          <w:sz w:val="24"/>
          <w:szCs w:val="24"/>
          <w:rtl/>
        </w:rPr>
      </w:pPr>
      <w:r w:rsidRPr="00152F4E">
        <w:rPr>
          <w:rFonts w:ascii="Arial" w:eastAsia="Times New Roman" w:hAnsi="Arial" w:cs="Arial"/>
          <w:color w:val="000033"/>
          <w:sz w:val="18"/>
          <w:szCs w:val="18"/>
          <w:rtl/>
        </w:rPr>
        <w:t> </w:t>
      </w:r>
      <w:r w:rsidRPr="00152F4E">
        <w:rPr>
          <w:rFonts w:ascii="Arial" w:eastAsia="Times New Roman" w:hAnsi="Arial" w:cs="Arial"/>
          <w:color w:val="000033"/>
          <w:sz w:val="24"/>
          <w:szCs w:val="24"/>
          <w:rtl/>
        </w:rPr>
        <w:t>א.</w:t>
      </w:r>
      <w:r w:rsidRPr="00152F4E">
        <w:rPr>
          <w:rFonts w:ascii="Times New Roman" w:eastAsia="Times New Roman" w:hAnsi="Times New Roman" w:cs="Times New Roman"/>
          <w:color w:val="000033"/>
          <w:sz w:val="14"/>
          <w:szCs w:val="14"/>
          <w:rtl/>
        </w:rPr>
        <w:t xml:space="preserve">      </w:t>
      </w:r>
      <w:r w:rsidRPr="00152F4E">
        <w:rPr>
          <w:rFonts w:ascii="Arial" w:eastAsia="Times New Roman" w:hAnsi="Arial" w:cs="Arial"/>
          <w:color w:val="000033"/>
          <w:sz w:val="24"/>
          <w:szCs w:val="24"/>
          <w:rtl/>
        </w:rPr>
        <w:t xml:space="preserve">המבנה הטכני של </w:t>
      </w:r>
      <w:proofErr w:type="spellStart"/>
      <w:r w:rsidRPr="00152F4E">
        <w:rPr>
          <w:rFonts w:ascii="Arial" w:eastAsia="Times New Roman" w:hAnsi="Arial" w:cs="Arial"/>
          <w:color w:val="000033"/>
          <w:sz w:val="24"/>
          <w:szCs w:val="24"/>
          <w:rtl/>
        </w:rPr>
        <w:t>הסוגיא</w:t>
      </w:r>
      <w:proofErr w:type="spellEnd"/>
    </w:p>
    <w:p w14:paraId="5E16D086"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eastAsia="Times New Roman"/>
          <w:color w:val="000033"/>
          <w:sz w:val="24"/>
          <w:szCs w:val="24"/>
          <w:rtl/>
        </w:rPr>
        <w:t xml:space="preserve">לפנינו שמונה עשרה הלכות וספיקות המחולקים בצורה זו:  [2,7,2,7,]  בשני המקרים הראשונים הגמרא מכריעה. ב'תשע </w:t>
      </w:r>
      <w:proofErr w:type="spellStart"/>
      <w:r w:rsidRPr="00152F4E">
        <w:rPr>
          <w:rFonts w:eastAsia="Times New Roman"/>
          <w:color w:val="000033"/>
          <w:sz w:val="24"/>
          <w:szCs w:val="24"/>
          <w:rtl/>
        </w:rPr>
        <w:t>ציבורין</w:t>
      </w:r>
      <w:proofErr w:type="spellEnd"/>
      <w:r w:rsidRPr="00152F4E">
        <w:rPr>
          <w:rFonts w:eastAsia="Times New Roman"/>
          <w:color w:val="000033"/>
          <w:sz w:val="24"/>
          <w:szCs w:val="24"/>
          <w:rtl/>
        </w:rPr>
        <w:t xml:space="preserve">' הגמרא מחמירה, בגלל דין 'כל קבוע כמחצה על מחצה דמי', בדין השני של 'שני עכברים ושני בתים', הגמרא מקילה כי בדיקת חמץ דרבנן, ולכן ניתן להקל בספיקה. כבר עכשיו מזדקרת לעינינו שאלת </w:t>
      </w:r>
      <w:proofErr w:type="spellStart"/>
      <w:r w:rsidRPr="00152F4E">
        <w:rPr>
          <w:rFonts w:eastAsia="Times New Roman"/>
          <w:color w:val="000033"/>
          <w:sz w:val="24"/>
          <w:szCs w:val="24"/>
          <w:rtl/>
        </w:rPr>
        <w:t>תוס</w:t>
      </w:r>
      <w:proofErr w:type="spellEnd"/>
      <w:r w:rsidRPr="00152F4E">
        <w:rPr>
          <w:rFonts w:eastAsia="Times New Roman"/>
          <w:color w:val="000033"/>
          <w:sz w:val="24"/>
          <w:szCs w:val="24"/>
          <w:rtl/>
        </w:rPr>
        <w:t xml:space="preserve">' [ד"ה היינו תשע] השואל לפשר ההבדל להלכה בין שני המקרים. מדוע במקרה הראשון לא מקילים מספק. בשאלה זו נעסוק בהמשך. כרגע נישאר לדון במבנה </w:t>
      </w:r>
      <w:proofErr w:type="spellStart"/>
      <w:r w:rsidRPr="00152F4E">
        <w:rPr>
          <w:rFonts w:eastAsia="Times New Roman"/>
          <w:color w:val="000033"/>
          <w:sz w:val="24"/>
          <w:szCs w:val="24"/>
          <w:rtl/>
        </w:rPr>
        <w:t>הסוגיא</w:t>
      </w:r>
      <w:proofErr w:type="spellEnd"/>
      <w:r w:rsidRPr="00152F4E">
        <w:rPr>
          <w:rFonts w:eastAsia="Times New Roman"/>
          <w:color w:val="000033"/>
          <w:sz w:val="24"/>
          <w:szCs w:val="24"/>
          <w:rtl/>
        </w:rPr>
        <w:t xml:space="preserve">. לאחר שתי ההלכות הראשונות, הגמרא מביאה עוד שבעה מצבים, שכל אחד מהם דומה לדין אחר בש"ס ויש בו מחלוקת. במקרים אלו הגמרא לא אומרת מה ההלכה למעשה. ושוב, שתי הלכות ברורות של רבא, על ההבדל בין עכבר שנכנס לתינוק שנכנס, אם נמצאו פירורים. ושוב שבעה מקרים של בעיות בדרך של 'אם </w:t>
      </w:r>
      <w:proofErr w:type="spellStart"/>
      <w:r w:rsidRPr="00152F4E">
        <w:rPr>
          <w:rFonts w:eastAsia="Times New Roman"/>
          <w:color w:val="000033"/>
          <w:sz w:val="24"/>
          <w:szCs w:val="24"/>
          <w:rtl/>
        </w:rPr>
        <w:t>תימצי</w:t>
      </w:r>
      <w:proofErr w:type="spellEnd"/>
      <w:r w:rsidRPr="00152F4E">
        <w:rPr>
          <w:rFonts w:eastAsia="Times New Roman"/>
          <w:color w:val="000033"/>
          <w:sz w:val="24"/>
          <w:szCs w:val="24"/>
          <w:rtl/>
        </w:rPr>
        <w:t xml:space="preserve"> לומר'. ארבע בעיות עם עכבר שנכנס, ועוד שלוש בעיות נוספות. חמץ בשמי קורה, בבור ובפי נחש. </w:t>
      </w:r>
    </w:p>
    <w:p w14:paraId="2C4A8E55"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eastAsia="Times New Roman"/>
          <w:color w:val="000033"/>
          <w:sz w:val="24"/>
          <w:szCs w:val="24"/>
          <w:rtl/>
        </w:rPr>
        <w:t xml:space="preserve">ניתן לחלק אחרת. חמישה עשר המקרים הראשונים דנים במציאות של ספק חמץ, ושלושת המקרים האחרונים דנים כשיש ודאי חמץ, השאלה היא אם מוטל עלינו לבערו מן העולם. </w:t>
      </w:r>
    </w:p>
    <w:p w14:paraId="43430AB3"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eastAsia="Times New Roman"/>
          <w:color w:val="000033"/>
          <w:sz w:val="24"/>
          <w:szCs w:val="24"/>
          <w:rtl/>
        </w:rPr>
        <w:t xml:space="preserve">מעניין לציין, שאחד מן הספיקות עוסק בחמץ שהושאר בפינה אחת ונמצא בפינה אחרת. הגמרא משווה אותו לכלי שנמצא בבית, שגזרו טומאה על כלים שיש ספק אם נגע בהם טמא. כלומר, מקרה זה מחבר אותנו ל'גזירת י"ח דבר' של בית שמאי במסכת שבת. אף כאן - שמונה עשר מקרים. </w:t>
      </w:r>
    </w:p>
    <w:p w14:paraId="7DFE5B3A" w14:textId="77777777" w:rsidR="00152F4E" w:rsidRPr="00152F4E" w:rsidRDefault="00152F4E" w:rsidP="00152F4E">
      <w:pPr>
        <w:spacing w:before="100" w:beforeAutospacing="1" w:after="100" w:afterAutospacing="1" w:line="360" w:lineRule="auto"/>
        <w:ind w:hanging="360"/>
        <w:jc w:val="both"/>
        <w:rPr>
          <w:rFonts w:ascii="Arial" w:eastAsia="Times New Roman" w:hAnsi="Arial" w:cs="Arial"/>
          <w:color w:val="000033"/>
          <w:sz w:val="18"/>
          <w:szCs w:val="18"/>
          <w:rtl/>
        </w:rPr>
      </w:pPr>
      <w:r w:rsidRPr="00152F4E">
        <w:rPr>
          <w:rFonts w:eastAsiaTheme="minorBidi"/>
          <w:color w:val="000033"/>
          <w:sz w:val="24"/>
          <w:szCs w:val="24"/>
          <w:rtl/>
        </w:rPr>
        <w:t>ב.</w:t>
      </w:r>
      <w:r w:rsidRPr="00152F4E">
        <w:rPr>
          <w:rFonts w:ascii="Times New Roman" w:eastAsiaTheme="minorBidi" w:hAnsi="Times New Roman" w:cs="Times New Roman"/>
          <w:color w:val="000033"/>
          <w:sz w:val="14"/>
          <w:szCs w:val="14"/>
          <w:rtl/>
        </w:rPr>
        <w:t xml:space="preserve">      </w:t>
      </w:r>
      <w:r w:rsidRPr="00152F4E">
        <w:rPr>
          <w:rFonts w:eastAsia="Times New Roman"/>
          <w:color w:val="000033"/>
          <w:sz w:val="24"/>
          <w:szCs w:val="24"/>
          <w:rtl/>
        </w:rPr>
        <w:t xml:space="preserve">הערה כללית ושיטות ה'ראשונים' </w:t>
      </w:r>
      <w:proofErr w:type="spellStart"/>
      <w:r w:rsidRPr="00152F4E">
        <w:rPr>
          <w:rFonts w:eastAsia="Times New Roman"/>
          <w:color w:val="000033"/>
          <w:sz w:val="24"/>
          <w:szCs w:val="24"/>
          <w:rtl/>
        </w:rPr>
        <w:t>בסוגיא</w:t>
      </w:r>
      <w:proofErr w:type="spellEnd"/>
    </w:p>
    <w:p w14:paraId="21FEB6FC"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proofErr w:type="spellStart"/>
      <w:r w:rsidRPr="00152F4E">
        <w:rPr>
          <w:rFonts w:eastAsia="Times New Roman"/>
          <w:color w:val="000033"/>
          <w:sz w:val="24"/>
          <w:szCs w:val="24"/>
          <w:rtl/>
        </w:rPr>
        <w:t>הר"ן</w:t>
      </w:r>
      <w:proofErr w:type="spellEnd"/>
      <w:r w:rsidRPr="00152F4E">
        <w:rPr>
          <w:rFonts w:eastAsia="Times New Roman"/>
          <w:color w:val="000033"/>
          <w:sz w:val="24"/>
          <w:szCs w:val="24"/>
          <w:rtl/>
        </w:rPr>
        <w:t xml:space="preserve"> בחידושיו, מעיר הערה כללית על </w:t>
      </w:r>
      <w:proofErr w:type="spellStart"/>
      <w:r w:rsidRPr="00152F4E">
        <w:rPr>
          <w:rFonts w:eastAsia="Times New Roman"/>
          <w:color w:val="000033"/>
          <w:sz w:val="24"/>
          <w:szCs w:val="24"/>
          <w:rtl/>
        </w:rPr>
        <w:t>הסוגיא</w:t>
      </w:r>
      <w:proofErr w:type="spellEnd"/>
      <w:r w:rsidRPr="00152F4E">
        <w:rPr>
          <w:rFonts w:eastAsia="Times New Roman"/>
          <w:color w:val="000033"/>
          <w:sz w:val="24"/>
          <w:szCs w:val="24"/>
          <w:rtl/>
        </w:rPr>
        <w:t xml:space="preserve">. לאחר שלמדנו שיש להצניע את החמץ לאחר הבדיקה, שמא ייטלו עכבר בפנינו, באה הגמרא לדון במקרי הספק, האם הדבר נחשב כאילו ניטל החמץ בפנינו והובא הביתה, וחייבים בדיקה נוספת.   </w:t>
      </w:r>
    </w:p>
    <w:p w14:paraId="43BE9F37"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eastAsia="Times New Roman"/>
          <w:color w:val="000033"/>
          <w:sz w:val="24"/>
          <w:szCs w:val="24"/>
          <w:rtl/>
        </w:rPr>
        <w:t>עיקר הדיון הארוך ב'ראשונים' עוסק בארבע המקרים הראשונים</w:t>
      </w:r>
      <w:bookmarkStart w:id="0" w:name="_ftnref1"/>
      <w:bookmarkEnd w:id="0"/>
      <w:r w:rsidRPr="00152F4E">
        <w:rPr>
          <w:rFonts w:eastAsia="Times New Roman"/>
          <w:color w:val="000033"/>
          <w:sz w:val="24"/>
          <w:szCs w:val="24"/>
          <w:rtl/>
        </w:rPr>
        <w:t xml:space="preserve">. מובן שהשאלה המרכזית היא שאלת בעלי התוספות, מה בין המקרה הראשון לשני. מדוע החמרנו בראשון, אם בדיקת חמץ היא רק מדרבנן? </w:t>
      </w:r>
    </w:p>
    <w:p w14:paraId="02EEC744" w14:textId="77777777" w:rsidR="00152F4E" w:rsidRPr="00152F4E" w:rsidRDefault="00152F4E" w:rsidP="00152F4E">
      <w:pPr>
        <w:spacing w:before="100" w:beforeAutospacing="1" w:after="100" w:afterAutospacing="1" w:line="360" w:lineRule="auto"/>
        <w:ind w:hanging="360"/>
        <w:jc w:val="both"/>
        <w:rPr>
          <w:rFonts w:ascii="Arial" w:eastAsia="Times New Roman" w:hAnsi="Arial" w:cs="Arial"/>
          <w:color w:val="000033"/>
          <w:sz w:val="18"/>
          <w:szCs w:val="18"/>
          <w:rtl/>
        </w:rPr>
      </w:pPr>
      <w:r w:rsidRPr="00152F4E">
        <w:rPr>
          <w:rFonts w:eastAsiaTheme="minorBidi"/>
          <w:color w:val="000033"/>
          <w:sz w:val="24"/>
          <w:szCs w:val="24"/>
          <w:rtl/>
        </w:rPr>
        <w:t>ג.</w:t>
      </w:r>
      <w:r w:rsidRPr="00152F4E">
        <w:rPr>
          <w:rFonts w:ascii="Times New Roman" w:eastAsiaTheme="minorBidi" w:hAnsi="Times New Roman" w:cs="Times New Roman"/>
          <w:color w:val="000033"/>
          <w:sz w:val="14"/>
          <w:szCs w:val="14"/>
          <w:rtl/>
        </w:rPr>
        <w:t xml:space="preserve">       </w:t>
      </w:r>
      <w:r w:rsidRPr="00152F4E">
        <w:rPr>
          <w:rFonts w:eastAsia="Times New Roman"/>
          <w:color w:val="000033"/>
          <w:sz w:val="24"/>
          <w:szCs w:val="24"/>
          <w:rtl/>
        </w:rPr>
        <w:t>שיטת רש"י</w:t>
      </w:r>
    </w:p>
    <w:p w14:paraId="1D5F3DB8"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eastAsia="Times New Roman"/>
          <w:color w:val="000033"/>
          <w:sz w:val="24"/>
          <w:szCs w:val="24"/>
          <w:rtl/>
        </w:rPr>
        <w:lastRenderedPageBreak/>
        <w:t xml:space="preserve">שיטת רש"י לא מבוארת דיה. בפשטות נראה מדבריו, שהדיון </w:t>
      </w:r>
      <w:proofErr w:type="spellStart"/>
      <w:r w:rsidRPr="00152F4E">
        <w:rPr>
          <w:rFonts w:eastAsia="Times New Roman"/>
          <w:color w:val="000033"/>
          <w:sz w:val="24"/>
          <w:szCs w:val="24"/>
          <w:rtl/>
        </w:rPr>
        <w:t>בסוגיא</w:t>
      </w:r>
      <w:proofErr w:type="spellEnd"/>
      <w:r w:rsidRPr="00152F4E">
        <w:rPr>
          <w:rFonts w:eastAsia="Times New Roman"/>
          <w:color w:val="000033"/>
          <w:sz w:val="24"/>
          <w:szCs w:val="24"/>
          <w:rtl/>
        </w:rPr>
        <w:t xml:space="preserve"> הוא על בדיקת חמץ. לפיכך קשה עליו שאלת </w:t>
      </w:r>
      <w:proofErr w:type="spellStart"/>
      <w:r w:rsidRPr="00152F4E">
        <w:rPr>
          <w:rFonts w:eastAsia="Times New Roman"/>
          <w:color w:val="000033"/>
          <w:sz w:val="24"/>
          <w:szCs w:val="24"/>
          <w:rtl/>
        </w:rPr>
        <w:t>תוס</w:t>
      </w:r>
      <w:proofErr w:type="spellEnd"/>
      <w:r w:rsidRPr="00152F4E">
        <w:rPr>
          <w:rFonts w:eastAsia="Times New Roman"/>
          <w:color w:val="000033"/>
          <w:sz w:val="24"/>
          <w:szCs w:val="24"/>
          <w:rtl/>
        </w:rPr>
        <w:t xml:space="preserve">', מדוע לא די בביטול? </w:t>
      </w:r>
      <w:proofErr w:type="spellStart"/>
      <w:r w:rsidRPr="00152F4E">
        <w:rPr>
          <w:rFonts w:eastAsia="Times New Roman"/>
          <w:color w:val="000033"/>
          <w:sz w:val="24"/>
          <w:szCs w:val="24"/>
          <w:rtl/>
        </w:rPr>
        <w:t>תוס</w:t>
      </w:r>
      <w:proofErr w:type="spellEnd"/>
      <w:r w:rsidRPr="00152F4E">
        <w:rPr>
          <w:rFonts w:eastAsia="Times New Roman"/>
          <w:color w:val="000033"/>
          <w:sz w:val="24"/>
          <w:szCs w:val="24"/>
          <w:rtl/>
        </w:rPr>
        <w:t xml:space="preserve">' עצמו ניסה לתרץ ברש"י, שמדובר כאן באפן שלא ביטל. אך עדיין קשה, מדוע שיבדוק ולא יבטל? ניתן לתרץ שכבר עבר הזמן שניתן לבטל. עיקר חידושו של רש"י </w:t>
      </w:r>
      <w:proofErr w:type="spellStart"/>
      <w:r w:rsidRPr="00152F4E">
        <w:rPr>
          <w:rFonts w:eastAsia="Times New Roman"/>
          <w:color w:val="000033"/>
          <w:sz w:val="24"/>
          <w:szCs w:val="24"/>
          <w:rtl/>
        </w:rPr>
        <w:t>בסוגיא</w:t>
      </w:r>
      <w:proofErr w:type="spellEnd"/>
      <w:r w:rsidRPr="00152F4E">
        <w:rPr>
          <w:rFonts w:eastAsia="Times New Roman"/>
          <w:color w:val="000033"/>
          <w:sz w:val="24"/>
          <w:szCs w:val="24"/>
          <w:rtl/>
        </w:rPr>
        <w:t xml:space="preserve"> הוא במקרה הרביעי 'ספק על ספק לא על' וכן במקרים בהמשך. רש"י רוצה לטעון, שמחלוקת ר' אליעזר וחכמים היא דווקא בספק טומאה דאורייתא, אך בדיקת חמץ היא דרבנן ולכן ניתן להקל. מוכח מרש"י שמדובר כאן לאחר הביטול. כאן רש"י פותח פתח להבנה, שכל ההשוואות </w:t>
      </w:r>
      <w:proofErr w:type="spellStart"/>
      <w:r w:rsidRPr="00152F4E">
        <w:rPr>
          <w:rFonts w:eastAsia="Times New Roman"/>
          <w:color w:val="000033"/>
          <w:sz w:val="24"/>
          <w:szCs w:val="24"/>
          <w:rtl/>
        </w:rPr>
        <w:t>בסוגיא</w:t>
      </w:r>
      <w:proofErr w:type="spellEnd"/>
      <w:r w:rsidRPr="00152F4E">
        <w:rPr>
          <w:rFonts w:eastAsia="Times New Roman"/>
          <w:color w:val="000033"/>
          <w:sz w:val="24"/>
          <w:szCs w:val="24"/>
          <w:rtl/>
        </w:rPr>
        <w:t xml:space="preserve"> הינן רק לעניין המקרה הדומה, אך לא להלכה. כשאומרת הגמרא 'היינו בקעה' כוונתה לומר, שזו המציאות הדומה לספק בבקעה, אך הדין כאן צריך להיבחן לפי הכללים של חמץ. בבחינת 'דון מינה </w:t>
      </w:r>
      <w:proofErr w:type="spellStart"/>
      <w:r w:rsidRPr="00152F4E">
        <w:rPr>
          <w:rFonts w:eastAsia="Times New Roman"/>
          <w:color w:val="000033"/>
          <w:sz w:val="24"/>
          <w:szCs w:val="24"/>
          <w:rtl/>
        </w:rPr>
        <w:t>ואוקי</w:t>
      </w:r>
      <w:proofErr w:type="spellEnd"/>
      <w:r w:rsidRPr="00152F4E">
        <w:rPr>
          <w:rFonts w:eastAsia="Times New Roman"/>
          <w:color w:val="000033"/>
          <w:sz w:val="24"/>
          <w:szCs w:val="24"/>
          <w:rtl/>
        </w:rPr>
        <w:t xml:space="preserve"> באתרה'</w:t>
      </w:r>
      <w:bookmarkStart w:id="1" w:name="_ftnref2"/>
      <w:bookmarkEnd w:id="1"/>
      <w:r w:rsidRPr="00152F4E">
        <w:rPr>
          <w:rFonts w:eastAsia="Times New Roman"/>
          <w:color w:val="000033"/>
          <w:sz w:val="24"/>
          <w:szCs w:val="24"/>
          <w:rtl/>
        </w:rPr>
        <w:t xml:space="preserve">. לעומתו, </w:t>
      </w:r>
      <w:proofErr w:type="spellStart"/>
      <w:r w:rsidRPr="00152F4E">
        <w:rPr>
          <w:rFonts w:eastAsia="Times New Roman"/>
          <w:color w:val="000033"/>
          <w:sz w:val="24"/>
          <w:szCs w:val="24"/>
          <w:rtl/>
        </w:rPr>
        <w:t>תוס</w:t>
      </w:r>
      <w:proofErr w:type="spellEnd"/>
      <w:r w:rsidRPr="00152F4E">
        <w:rPr>
          <w:rFonts w:eastAsia="Times New Roman"/>
          <w:color w:val="000033"/>
          <w:sz w:val="24"/>
          <w:szCs w:val="24"/>
          <w:rtl/>
        </w:rPr>
        <w:t>' מבין שההשוואה של הגמרא היא מוחלטת, בבחינת 'דון מינה ומינה'</w:t>
      </w:r>
      <w:bookmarkStart w:id="2" w:name="_ftnref3"/>
      <w:bookmarkEnd w:id="2"/>
      <w:r w:rsidRPr="00152F4E">
        <w:rPr>
          <w:rFonts w:eastAsia="Times New Roman"/>
          <w:color w:val="000033"/>
          <w:sz w:val="24"/>
          <w:szCs w:val="24"/>
          <w:rtl/>
        </w:rPr>
        <w:t xml:space="preserve">, לפיכך הוא מתקשה מאוד בדברי הגמרא, שבדין השלישי השוותה הגמרא את החמץ ל'ספק טומאה ברה"ר' - בו ניתן להקל, ובדין הרביעי, השוותה הגמרא את החמץ ל'ספק טומאה ברה"י' - בו מחמירים בדרך כלל. </w:t>
      </w:r>
    </w:p>
    <w:p w14:paraId="69CF704B" w14:textId="77777777" w:rsidR="00152F4E" w:rsidRPr="00152F4E" w:rsidRDefault="00152F4E" w:rsidP="00152F4E">
      <w:pPr>
        <w:spacing w:before="100" w:beforeAutospacing="1" w:after="100" w:afterAutospacing="1" w:line="360" w:lineRule="auto"/>
        <w:ind w:hanging="360"/>
        <w:jc w:val="both"/>
        <w:rPr>
          <w:rFonts w:ascii="Arial" w:eastAsia="Times New Roman" w:hAnsi="Arial" w:cs="Arial"/>
          <w:color w:val="000033"/>
          <w:sz w:val="18"/>
          <w:szCs w:val="18"/>
          <w:rtl/>
        </w:rPr>
      </w:pPr>
      <w:r w:rsidRPr="00152F4E">
        <w:rPr>
          <w:rFonts w:eastAsiaTheme="minorBidi"/>
          <w:color w:val="000033"/>
          <w:sz w:val="24"/>
          <w:szCs w:val="24"/>
          <w:rtl/>
        </w:rPr>
        <w:t>ד.</w:t>
      </w:r>
      <w:r w:rsidRPr="00152F4E">
        <w:rPr>
          <w:rFonts w:ascii="Times New Roman" w:eastAsiaTheme="minorBidi" w:hAnsi="Times New Roman" w:cs="Times New Roman"/>
          <w:color w:val="000033"/>
          <w:sz w:val="14"/>
          <w:szCs w:val="14"/>
          <w:rtl/>
        </w:rPr>
        <w:t xml:space="preserve">      </w:t>
      </w:r>
      <w:r w:rsidRPr="00152F4E">
        <w:rPr>
          <w:rFonts w:eastAsia="Times New Roman"/>
          <w:color w:val="000033"/>
          <w:sz w:val="24"/>
          <w:szCs w:val="24"/>
          <w:rtl/>
        </w:rPr>
        <w:t xml:space="preserve">שיטת </w:t>
      </w:r>
      <w:proofErr w:type="spellStart"/>
      <w:r w:rsidRPr="00152F4E">
        <w:rPr>
          <w:rFonts w:eastAsia="Times New Roman"/>
          <w:color w:val="000033"/>
          <w:sz w:val="24"/>
          <w:szCs w:val="24"/>
          <w:rtl/>
        </w:rPr>
        <w:t>תוס</w:t>
      </w:r>
      <w:proofErr w:type="spellEnd"/>
      <w:r w:rsidRPr="00152F4E">
        <w:rPr>
          <w:rFonts w:eastAsia="Times New Roman"/>
          <w:color w:val="000033"/>
          <w:sz w:val="24"/>
          <w:szCs w:val="24"/>
          <w:rtl/>
        </w:rPr>
        <w:t xml:space="preserve">' </w:t>
      </w:r>
    </w:p>
    <w:p w14:paraId="5613E3C8"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eastAsia="Times New Roman"/>
          <w:color w:val="000033"/>
          <w:sz w:val="24"/>
          <w:szCs w:val="24"/>
          <w:rtl/>
        </w:rPr>
        <w:t xml:space="preserve">מילת המפתח </w:t>
      </w:r>
      <w:proofErr w:type="spellStart"/>
      <w:r w:rsidRPr="00152F4E">
        <w:rPr>
          <w:rFonts w:eastAsia="Times New Roman"/>
          <w:color w:val="000033"/>
          <w:sz w:val="24"/>
          <w:szCs w:val="24"/>
          <w:rtl/>
        </w:rPr>
        <w:t>בסוגיא</w:t>
      </w:r>
      <w:proofErr w:type="spellEnd"/>
      <w:r w:rsidRPr="00152F4E">
        <w:rPr>
          <w:rFonts w:eastAsia="Times New Roman"/>
          <w:color w:val="000033"/>
          <w:sz w:val="24"/>
          <w:szCs w:val="24"/>
          <w:rtl/>
        </w:rPr>
        <w:t xml:space="preserve"> לפי </w:t>
      </w:r>
      <w:proofErr w:type="spellStart"/>
      <w:r w:rsidRPr="00152F4E">
        <w:rPr>
          <w:rFonts w:eastAsia="Times New Roman"/>
          <w:color w:val="000033"/>
          <w:sz w:val="24"/>
          <w:szCs w:val="24"/>
          <w:rtl/>
        </w:rPr>
        <w:t>תוס</w:t>
      </w:r>
      <w:proofErr w:type="spellEnd"/>
      <w:r w:rsidRPr="00152F4E">
        <w:rPr>
          <w:rFonts w:eastAsia="Times New Roman"/>
          <w:color w:val="000033"/>
          <w:sz w:val="24"/>
          <w:szCs w:val="24"/>
          <w:rtl/>
        </w:rPr>
        <w:t xml:space="preserve">' היא 'חזקה'. לבית הבדוק יש חזקת בדוק, לכן יש להקל בספק ולא לבדוק שנית. לפיכך </w:t>
      </w:r>
      <w:proofErr w:type="spellStart"/>
      <w:r w:rsidRPr="00152F4E">
        <w:rPr>
          <w:rFonts w:eastAsia="Times New Roman"/>
          <w:color w:val="000033"/>
          <w:sz w:val="24"/>
          <w:szCs w:val="24"/>
          <w:rtl/>
        </w:rPr>
        <w:t>תוס</w:t>
      </w:r>
      <w:proofErr w:type="spellEnd"/>
      <w:r w:rsidRPr="00152F4E">
        <w:rPr>
          <w:rFonts w:eastAsia="Times New Roman"/>
          <w:color w:val="000033"/>
          <w:sz w:val="24"/>
          <w:szCs w:val="24"/>
          <w:rtl/>
        </w:rPr>
        <w:t xml:space="preserve">' הוצרך להסביר במקרה הראשון, שהגמרא דנה לעניין אכילת הספק שהכניס העכבר הביתה. מעבר לדוחק שיש בכך, שמקרה זה עוסק בדין אכילה, ויתר המקרים בדין בדיקה, עולה מדברי </w:t>
      </w:r>
      <w:proofErr w:type="spellStart"/>
      <w:r w:rsidRPr="00152F4E">
        <w:rPr>
          <w:rFonts w:eastAsia="Times New Roman"/>
          <w:color w:val="000033"/>
          <w:sz w:val="24"/>
          <w:szCs w:val="24"/>
          <w:rtl/>
        </w:rPr>
        <w:t>תוס</w:t>
      </w:r>
      <w:proofErr w:type="spellEnd"/>
      <w:r w:rsidRPr="00152F4E">
        <w:rPr>
          <w:rFonts w:eastAsia="Times New Roman"/>
          <w:color w:val="000033"/>
          <w:sz w:val="24"/>
          <w:szCs w:val="24"/>
          <w:rtl/>
        </w:rPr>
        <w:t xml:space="preserve">' חידוש </w:t>
      </w:r>
      <w:proofErr w:type="spellStart"/>
      <w:r w:rsidRPr="00152F4E">
        <w:rPr>
          <w:rFonts w:eastAsia="Times New Roman"/>
          <w:color w:val="000033"/>
          <w:sz w:val="24"/>
          <w:szCs w:val="24"/>
          <w:rtl/>
        </w:rPr>
        <w:t>לקולא</w:t>
      </w:r>
      <w:proofErr w:type="spellEnd"/>
      <w:r w:rsidRPr="00152F4E">
        <w:rPr>
          <w:rFonts w:eastAsia="Times New Roman"/>
          <w:color w:val="000033"/>
          <w:sz w:val="24"/>
          <w:szCs w:val="24"/>
          <w:rtl/>
        </w:rPr>
        <w:t xml:space="preserve">, שבאופן ש'פירש' ולא לקח מן הקבוע, ניתן להקל באכילה על סמך הכלל 'כל </w:t>
      </w:r>
      <w:proofErr w:type="spellStart"/>
      <w:r w:rsidRPr="00152F4E">
        <w:rPr>
          <w:rFonts w:eastAsia="Times New Roman"/>
          <w:color w:val="000033"/>
          <w:sz w:val="24"/>
          <w:szCs w:val="24"/>
          <w:rtl/>
        </w:rPr>
        <w:t>דפריש</w:t>
      </w:r>
      <w:proofErr w:type="spellEnd"/>
      <w:r w:rsidRPr="00152F4E">
        <w:rPr>
          <w:rFonts w:eastAsia="Times New Roman"/>
          <w:color w:val="000033"/>
          <w:sz w:val="24"/>
          <w:szCs w:val="24"/>
          <w:rtl/>
        </w:rPr>
        <w:t xml:space="preserve"> </w:t>
      </w:r>
      <w:proofErr w:type="spellStart"/>
      <w:r w:rsidRPr="00152F4E">
        <w:rPr>
          <w:rFonts w:eastAsia="Times New Roman"/>
          <w:color w:val="000033"/>
          <w:sz w:val="24"/>
          <w:szCs w:val="24"/>
          <w:rtl/>
        </w:rPr>
        <w:t>מרובא</w:t>
      </w:r>
      <w:proofErr w:type="spellEnd"/>
      <w:r w:rsidRPr="00152F4E">
        <w:rPr>
          <w:rFonts w:eastAsia="Times New Roman"/>
          <w:color w:val="000033"/>
          <w:sz w:val="24"/>
          <w:szCs w:val="24"/>
          <w:rtl/>
        </w:rPr>
        <w:t xml:space="preserve"> פריש'. כלומר, חמץ בתערובת נאסר לחלוטין בגלל חומרת החמץ, אך בדין 'כל </w:t>
      </w:r>
      <w:proofErr w:type="spellStart"/>
      <w:r w:rsidRPr="00152F4E">
        <w:rPr>
          <w:rFonts w:eastAsia="Times New Roman"/>
          <w:color w:val="000033"/>
          <w:sz w:val="24"/>
          <w:szCs w:val="24"/>
          <w:rtl/>
        </w:rPr>
        <w:t>דפריש</w:t>
      </w:r>
      <w:proofErr w:type="spellEnd"/>
      <w:r w:rsidRPr="00152F4E">
        <w:rPr>
          <w:rFonts w:eastAsia="Times New Roman"/>
          <w:color w:val="000033"/>
          <w:sz w:val="24"/>
          <w:szCs w:val="24"/>
          <w:rtl/>
        </w:rPr>
        <w:t xml:space="preserve">' ניתן להקל. ה'משנה ברורה' פוסק, שלא ניתן להקל להלכה כדברי </w:t>
      </w:r>
      <w:proofErr w:type="spellStart"/>
      <w:r w:rsidRPr="00152F4E">
        <w:rPr>
          <w:rFonts w:eastAsia="Times New Roman"/>
          <w:color w:val="000033"/>
          <w:sz w:val="24"/>
          <w:szCs w:val="24"/>
          <w:rtl/>
        </w:rPr>
        <w:t>תוס</w:t>
      </w:r>
      <w:proofErr w:type="spellEnd"/>
      <w:r w:rsidRPr="00152F4E">
        <w:rPr>
          <w:rFonts w:eastAsia="Times New Roman"/>
          <w:color w:val="000033"/>
          <w:sz w:val="24"/>
          <w:szCs w:val="24"/>
          <w:rtl/>
        </w:rPr>
        <w:t>' בעניין זה</w:t>
      </w:r>
      <w:bookmarkStart w:id="3" w:name="_ftnref4"/>
      <w:bookmarkEnd w:id="3"/>
      <w:r w:rsidRPr="00152F4E">
        <w:rPr>
          <w:rFonts w:eastAsia="Times New Roman"/>
          <w:color w:val="000033"/>
          <w:sz w:val="24"/>
          <w:szCs w:val="24"/>
          <w:rtl/>
        </w:rPr>
        <w:t xml:space="preserve">. כאמור, </w:t>
      </w:r>
      <w:proofErr w:type="spellStart"/>
      <w:r w:rsidRPr="00152F4E">
        <w:rPr>
          <w:rFonts w:eastAsia="Times New Roman"/>
          <w:color w:val="000033"/>
          <w:sz w:val="24"/>
          <w:szCs w:val="24"/>
          <w:rtl/>
        </w:rPr>
        <w:t>תוס</w:t>
      </w:r>
      <w:proofErr w:type="spellEnd"/>
      <w:r w:rsidRPr="00152F4E">
        <w:rPr>
          <w:rFonts w:eastAsia="Times New Roman"/>
          <w:color w:val="000033"/>
          <w:sz w:val="24"/>
          <w:szCs w:val="24"/>
          <w:rtl/>
        </w:rPr>
        <w:t xml:space="preserve">' לומד את </w:t>
      </w:r>
      <w:proofErr w:type="spellStart"/>
      <w:r w:rsidRPr="00152F4E">
        <w:rPr>
          <w:rFonts w:eastAsia="Times New Roman"/>
          <w:color w:val="000033"/>
          <w:sz w:val="24"/>
          <w:szCs w:val="24"/>
          <w:rtl/>
        </w:rPr>
        <w:t>הסוגיא</w:t>
      </w:r>
      <w:proofErr w:type="spellEnd"/>
      <w:r w:rsidRPr="00152F4E">
        <w:rPr>
          <w:rFonts w:eastAsia="Times New Roman"/>
          <w:color w:val="000033"/>
          <w:sz w:val="24"/>
          <w:szCs w:val="24"/>
          <w:rtl/>
        </w:rPr>
        <w:t xml:space="preserve"> כולה כפשטה, בדרך של 'דון מינה ומינה', ולכן 'מרים ידיים' ונשאר בשאלה על הדין הרביעי 'ספק על'.  </w:t>
      </w:r>
    </w:p>
    <w:p w14:paraId="54165722" w14:textId="77777777" w:rsidR="00152F4E" w:rsidRPr="00152F4E" w:rsidRDefault="00152F4E" w:rsidP="00152F4E">
      <w:pPr>
        <w:spacing w:before="100" w:beforeAutospacing="1" w:after="100" w:afterAutospacing="1" w:line="360" w:lineRule="auto"/>
        <w:ind w:hanging="360"/>
        <w:jc w:val="both"/>
        <w:rPr>
          <w:rFonts w:ascii="Arial" w:eastAsia="Times New Roman" w:hAnsi="Arial" w:cs="Arial"/>
          <w:color w:val="000033"/>
          <w:sz w:val="18"/>
          <w:szCs w:val="18"/>
          <w:rtl/>
        </w:rPr>
      </w:pPr>
      <w:r w:rsidRPr="00152F4E">
        <w:rPr>
          <w:rFonts w:eastAsiaTheme="minorBidi"/>
          <w:color w:val="000033"/>
          <w:sz w:val="24"/>
          <w:szCs w:val="24"/>
          <w:rtl/>
        </w:rPr>
        <w:t>ה.</w:t>
      </w:r>
      <w:r w:rsidRPr="00152F4E">
        <w:rPr>
          <w:rFonts w:ascii="Times New Roman" w:eastAsiaTheme="minorBidi" w:hAnsi="Times New Roman" w:cs="Times New Roman"/>
          <w:color w:val="000033"/>
          <w:sz w:val="14"/>
          <w:szCs w:val="14"/>
          <w:rtl/>
        </w:rPr>
        <w:t xml:space="preserve">     </w:t>
      </w:r>
      <w:r w:rsidRPr="00152F4E">
        <w:rPr>
          <w:rFonts w:eastAsia="Times New Roman"/>
          <w:color w:val="000033"/>
          <w:sz w:val="24"/>
          <w:szCs w:val="24"/>
          <w:rtl/>
        </w:rPr>
        <w:t>שיטת 'בעל המאור'</w:t>
      </w:r>
    </w:p>
    <w:p w14:paraId="78198745"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eastAsia="Times New Roman"/>
          <w:color w:val="000033"/>
          <w:sz w:val="24"/>
          <w:szCs w:val="24"/>
          <w:rtl/>
        </w:rPr>
        <w:t xml:space="preserve">ל'בעל המאור' שיטה פשוטה באופן יחסי </w:t>
      </w:r>
      <w:proofErr w:type="spellStart"/>
      <w:r w:rsidRPr="00152F4E">
        <w:rPr>
          <w:rFonts w:eastAsia="Times New Roman"/>
          <w:color w:val="000033"/>
          <w:sz w:val="24"/>
          <w:szCs w:val="24"/>
          <w:rtl/>
        </w:rPr>
        <w:t>בסוגיא</w:t>
      </w:r>
      <w:proofErr w:type="spellEnd"/>
      <w:r w:rsidRPr="00152F4E">
        <w:rPr>
          <w:rFonts w:eastAsia="Times New Roman"/>
          <w:color w:val="000033"/>
          <w:sz w:val="24"/>
          <w:szCs w:val="24"/>
          <w:rtl/>
        </w:rPr>
        <w:t xml:space="preserve">. מילת המפתח </w:t>
      </w:r>
      <w:proofErr w:type="spellStart"/>
      <w:r w:rsidRPr="00152F4E">
        <w:rPr>
          <w:rFonts w:eastAsia="Times New Roman"/>
          <w:color w:val="000033"/>
          <w:sz w:val="24"/>
          <w:szCs w:val="24"/>
          <w:rtl/>
        </w:rPr>
        <w:t>בסוגיא</w:t>
      </w:r>
      <w:proofErr w:type="spellEnd"/>
      <w:r w:rsidRPr="00152F4E">
        <w:rPr>
          <w:rFonts w:eastAsia="Times New Roman"/>
          <w:color w:val="000033"/>
          <w:sz w:val="24"/>
          <w:szCs w:val="24"/>
          <w:rtl/>
        </w:rPr>
        <w:t xml:space="preserve"> היא 'ביטול'. כלומר, עיקר הדיון הוא על ביטול. האם יש במצבים השונים שהגמרא מביאה, צורך לבטל שוב את החמץ. לאמור, הביטול מוריד את הספק מספק דאורייתא, בו צריך להחמיר, לספק דרבנן - בו ניתן להקל. כדברי הגמרא במקרה השני. לדבריו, אין הבדל בין המקרה הראשון לשני, ובשניהם צריך לבטל ולא צריך לבדוק. לעומת זאת, אם יש מצב של וודאי חמץ, ברור שצריך לבדוק. לכן, ב'שני שבילים' [המקרה השלישי] אם באו בעלי שני הבתים להישאל ביחד, נחשב הדבר לוודאי חמץ, ואז שניהם צריכים לבדוק, ולא די בביטול. בשלושת המקרים </w:t>
      </w:r>
      <w:r w:rsidRPr="00152F4E">
        <w:rPr>
          <w:rFonts w:eastAsia="Times New Roman"/>
          <w:color w:val="000033"/>
          <w:sz w:val="24"/>
          <w:szCs w:val="24"/>
          <w:rtl/>
        </w:rPr>
        <w:lastRenderedPageBreak/>
        <w:t xml:space="preserve">האחרונים, החמיר להלכה בעל המאור שצריך לבדוק, ולא די לבטל, כי יש שם וודאי חמץ. 'בעל המאור' מקבל לחלוטין את גישת רש"י, שהגמרא פה הולכת בשיטת 'דון מינה </w:t>
      </w:r>
      <w:proofErr w:type="spellStart"/>
      <w:r w:rsidRPr="00152F4E">
        <w:rPr>
          <w:rFonts w:eastAsia="Times New Roman"/>
          <w:color w:val="000033"/>
          <w:sz w:val="24"/>
          <w:szCs w:val="24"/>
          <w:rtl/>
        </w:rPr>
        <w:t>ואוקי</w:t>
      </w:r>
      <w:proofErr w:type="spellEnd"/>
      <w:r w:rsidRPr="00152F4E">
        <w:rPr>
          <w:rFonts w:eastAsia="Times New Roman"/>
          <w:color w:val="000033"/>
          <w:sz w:val="24"/>
          <w:szCs w:val="24"/>
          <w:rtl/>
        </w:rPr>
        <w:t xml:space="preserve"> באתרה'. ולכן הוא מסביר את הדין הרביעי של 'ספק על', באופן שהיה ספק נוסף, שהיו כאן שני בתים, אחד בדוק ואחד שאינו בדוק. כך יש ספק </w:t>
      </w:r>
      <w:proofErr w:type="spellStart"/>
      <w:r w:rsidRPr="00152F4E">
        <w:rPr>
          <w:rFonts w:eastAsia="Times New Roman"/>
          <w:color w:val="000033"/>
          <w:sz w:val="24"/>
          <w:szCs w:val="24"/>
          <w:rtl/>
        </w:rPr>
        <w:t>ספיקא</w:t>
      </w:r>
      <w:proofErr w:type="spellEnd"/>
      <w:r w:rsidRPr="00152F4E">
        <w:rPr>
          <w:rFonts w:eastAsia="Times New Roman"/>
          <w:color w:val="000033"/>
          <w:sz w:val="24"/>
          <w:szCs w:val="24"/>
          <w:rtl/>
        </w:rPr>
        <w:t xml:space="preserve"> כמו בבקעה. אך להלכה אין להשוות כלל בין טומאה לחמץ, ולכן בנידון של החמץ, לא צריך אפילו לבטל שנית, כי יש כאן ספק </w:t>
      </w:r>
      <w:proofErr w:type="spellStart"/>
      <w:r w:rsidRPr="00152F4E">
        <w:rPr>
          <w:rFonts w:eastAsia="Times New Roman"/>
          <w:color w:val="000033"/>
          <w:sz w:val="24"/>
          <w:szCs w:val="24"/>
          <w:rtl/>
        </w:rPr>
        <w:t>ספיקא</w:t>
      </w:r>
      <w:proofErr w:type="spellEnd"/>
      <w:r w:rsidRPr="00152F4E">
        <w:rPr>
          <w:rFonts w:eastAsia="Times New Roman"/>
          <w:color w:val="000033"/>
          <w:sz w:val="24"/>
          <w:szCs w:val="24"/>
          <w:rtl/>
        </w:rPr>
        <w:t xml:space="preserve">, בו ניתן להקל אף בדין תורה. </w:t>
      </w:r>
    </w:p>
    <w:p w14:paraId="06674CB1" w14:textId="77777777" w:rsidR="00152F4E" w:rsidRPr="00152F4E" w:rsidRDefault="00152F4E" w:rsidP="00152F4E">
      <w:pPr>
        <w:spacing w:before="100" w:beforeAutospacing="1" w:after="100" w:afterAutospacing="1" w:line="360" w:lineRule="auto"/>
        <w:ind w:hanging="360"/>
        <w:jc w:val="both"/>
        <w:rPr>
          <w:rFonts w:ascii="Arial" w:eastAsia="Times New Roman" w:hAnsi="Arial" w:cs="Arial"/>
          <w:color w:val="000033"/>
          <w:sz w:val="18"/>
          <w:szCs w:val="18"/>
          <w:rtl/>
        </w:rPr>
      </w:pPr>
      <w:r w:rsidRPr="00152F4E">
        <w:rPr>
          <w:rFonts w:eastAsiaTheme="minorBidi"/>
          <w:color w:val="000033"/>
          <w:sz w:val="24"/>
          <w:szCs w:val="24"/>
          <w:rtl/>
        </w:rPr>
        <w:t>ו.</w:t>
      </w:r>
      <w:r w:rsidRPr="00152F4E">
        <w:rPr>
          <w:rFonts w:ascii="Times New Roman" w:eastAsiaTheme="minorBidi" w:hAnsi="Times New Roman" w:cs="Times New Roman"/>
          <w:color w:val="000033"/>
          <w:sz w:val="14"/>
          <w:szCs w:val="14"/>
          <w:rtl/>
        </w:rPr>
        <w:t xml:space="preserve">        </w:t>
      </w:r>
      <w:r w:rsidRPr="00152F4E">
        <w:rPr>
          <w:rFonts w:eastAsia="Times New Roman"/>
          <w:color w:val="000033"/>
          <w:sz w:val="24"/>
          <w:szCs w:val="24"/>
          <w:rtl/>
        </w:rPr>
        <w:t xml:space="preserve">שיטת </w:t>
      </w:r>
      <w:proofErr w:type="spellStart"/>
      <w:r w:rsidRPr="00152F4E">
        <w:rPr>
          <w:rFonts w:eastAsia="Times New Roman"/>
          <w:color w:val="000033"/>
          <w:sz w:val="24"/>
          <w:szCs w:val="24"/>
          <w:rtl/>
        </w:rPr>
        <w:t>הר"ן</w:t>
      </w:r>
      <w:proofErr w:type="spellEnd"/>
    </w:p>
    <w:p w14:paraId="43F5E80F"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proofErr w:type="spellStart"/>
      <w:r w:rsidRPr="00152F4E">
        <w:rPr>
          <w:rFonts w:eastAsia="Times New Roman"/>
          <w:color w:val="000033"/>
          <w:sz w:val="24"/>
          <w:szCs w:val="24"/>
          <w:rtl/>
        </w:rPr>
        <w:t>לר"ן</w:t>
      </w:r>
      <w:proofErr w:type="spellEnd"/>
      <w:r w:rsidRPr="00152F4E">
        <w:rPr>
          <w:rFonts w:eastAsia="Times New Roman"/>
          <w:color w:val="000033"/>
          <w:sz w:val="24"/>
          <w:szCs w:val="24"/>
          <w:rtl/>
        </w:rPr>
        <w:t xml:space="preserve"> יש שיטה מיוחדת </w:t>
      </w:r>
      <w:proofErr w:type="spellStart"/>
      <w:r w:rsidRPr="00152F4E">
        <w:rPr>
          <w:rFonts w:eastAsia="Times New Roman"/>
          <w:color w:val="000033"/>
          <w:sz w:val="24"/>
          <w:szCs w:val="24"/>
          <w:rtl/>
        </w:rPr>
        <w:t>בסוגיא</w:t>
      </w:r>
      <w:proofErr w:type="spellEnd"/>
      <w:r w:rsidRPr="00152F4E">
        <w:rPr>
          <w:rFonts w:eastAsia="Times New Roman"/>
          <w:color w:val="000033"/>
          <w:sz w:val="24"/>
          <w:szCs w:val="24"/>
          <w:rtl/>
        </w:rPr>
        <w:t xml:space="preserve">. לדבריו, </w:t>
      </w:r>
      <w:proofErr w:type="spellStart"/>
      <w:r w:rsidRPr="00152F4E">
        <w:rPr>
          <w:rFonts w:eastAsia="Times New Roman"/>
          <w:color w:val="000033"/>
          <w:sz w:val="24"/>
          <w:szCs w:val="24"/>
          <w:rtl/>
        </w:rPr>
        <w:t>הסוגיא</w:t>
      </w:r>
      <w:proofErr w:type="spellEnd"/>
      <w:r w:rsidRPr="00152F4E">
        <w:rPr>
          <w:rFonts w:eastAsia="Times New Roman"/>
          <w:color w:val="000033"/>
          <w:sz w:val="24"/>
          <w:szCs w:val="24"/>
          <w:rtl/>
        </w:rPr>
        <w:t xml:space="preserve"> כולה עוסקת בבדיקת חמץ. לפיכך הוא מסביר, שהחמרת הגמרא במקרה הראשון, נובעת מכך שיש לנו צורך לדון על החתיכה שנכנסה לבית מה דינה. כלומר, כיוון שנלקחה מן הקבוע היא אסורה באכילה. לכן ברור לנו, שחתיכה האסורה באכילה נכנסה הביתה, לפיכך חייבים לבדוק שנית. ביתר המקרים לא נולד ספק בחתיכה. הצד להחמיר במקרה הרביעי של 'ספק על', נובע מכך שראינו וודאי חמץ בחצר, ויש ספק אם החמץ נכנס לבית. בדיוק כמו המציאות בבקעה. האדם הלך בבקעה, וספק אם נכנס לחצר. אף כאן השאלה אם הבתים והחצר נחשבים מקום אחד ויש להחמיר לבדוק גם בבתים. להלכה הוא מקל כמו רש"י, כי בדיקת חמץ דרבנן, בשיטת 'דון מינה </w:t>
      </w:r>
      <w:proofErr w:type="spellStart"/>
      <w:r w:rsidRPr="00152F4E">
        <w:rPr>
          <w:rFonts w:eastAsia="Times New Roman"/>
          <w:color w:val="000033"/>
          <w:sz w:val="24"/>
          <w:szCs w:val="24"/>
          <w:rtl/>
        </w:rPr>
        <w:t>ואוקי</w:t>
      </w:r>
      <w:proofErr w:type="spellEnd"/>
      <w:r w:rsidRPr="00152F4E">
        <w:rPr>
          <w:rFonts w:eastAsia="Times New Roman"/>
          <w:color w:val="000033"/>
          <w:sz w:val="24"/>
          <w:szCs w:val="24"/>
          <w:rtl/>
        </w:rPr>
        <w:t xml:space="preserve"> באתרה' המבוארת לעיל. </w:t>
      </w:r>
    </w:p>
    <w:p w14:paraId="4BD46569" w14:textId="77777777" w:rsidR="00152F4E" w:rsidRPr="00152F4E" w:rsidRDefault="00152F4E" w:rsidP="00152F4E">
      <w:pPr>
        <w:spacing w:before="100" w:beforeAutospacing="1" w:after="100" w:afterAutospacing="1" w:line="360" w:lineRule="auto"/>
        <w:ind w:hanging="360"/>
        <w:jc w:val="both"/>
        <w:rPr>
          <w:rFonts w:ascii="Arial" w:eastAsia="Times New Roman" w:hAnsi="Arial" w:cs="Arial"/>
          <w:color w:val="000033"/>
          <w:sz w:val="18"/>
          <w:szCs w:val="18"/>
          <w:rtl/>
        </w:rPr>
      </w:pPr>
      <w:r w:rsidRPr="00152F4E">
        <w:rPr>
          <w:rFonts w:eastAsiaTheme="minorBidi"/>
          <w:color w:val="000033"/>
          <w:sz w:val="24"/>
          <w:szCs w:val="24"/>
          <w:rtl/>
        </w:rPr>
        <w:t>ז.</w:t>
      </w:r>
      <w:r w:rsidRPr="00152F4E">
        <w:rPr>
          <w:rFonts w:ascii="Times New Roman" w:eastAsiaTheme="minorBidi" w:hAnsi="Times New Roman" w:cs="Times New Roman"/>
          <w:color w:val="000033"/>
          <w:sz w:val="14"/>
          <w:szCs w:val="14"/>
          <w:rtl/>
        </w:rPr>
        <w:t xml:space="preserve">       </w:t>
      </w:r>
      <w:r w:rsidRPr="00152F4E">
        <w:rPr>
          <w:rFonts w:eastAsia="Times New Roman"/>
          <w:color w:val="000033"/>
          <w:sz w:val="24"/>
          <w:szCs w:val="24"/>
          <w:rtl/>
        </w:rPr>
        <w:t>שיטת הרמב"ם</w:t>
      </w:r>
    </w:p>
    <w:p w14:paraId="2E433E71"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eastAsia="Times New Roman"/>
          <w:color w:val="000033"/>
          <w:sz w:val="24"/>
          <w:szCs w:val="24"/>
          <w:rtl/>
        </w:rPr>
        <w:t xml:space="preserve">שיטת הרמב"ם קשה למדי להבנה. בעיקרון, הוא מסביר את </w:t>
      </w:r>
      <w:proofErr w:type="spellStart"/>
      <w:r w:rsidRPr="00152F4E">
        <w:rPr>
          <w:rFonts w:eastAsia="Times New Roman"/>
          <w:color w:val="000033"/>
          <w:sz w:val="24"/>
          <w:szCs w:val="24"/>
          <w:rtl/>
        </w:rPr>
        <w:t>הסוגיא</w:t>
      </w:r>
      <w:proofErr w:type="spellEnd"/>
      <w:r w:rsidRPr="00152F4E">
        <w:rPr>
          <w:rFonts w:eastAsia="Times New Roman"/>
          <w:color w:val="000033"/>
          <w:sz w:val="24"/>
          <w:szCs w:val="24"/>
          <w:rtl/>
        </w:rPr>
        <w:t xml:space="preserve"> לעניין בדיקה, כמו רש"י </w:t>
      </w:r>
      <w:proofErr w:type="spellStart"/>
      <w:r w:rsidRPr="00152F4E">
        <w:rPr>
          <w:rFonts w:eastAsia="Times New Roman"/>
          <w:color w:val="000033"/>
          <w:sz w:val="24"/>
          <w:szCs w:val="24"/>
          <w:rtl/>
        </w:rPr>
        <w:t>והר"ן</w:t>
      </w:r>
      <w:proofErr w:type="spellEnd"/>
      <w:r w:rsidRPr="00152F4E">
        <w:rPr>
          <w:rFonts w:eastAsia="Times New Roman"/>
          <w:color w:val="000033"/>
          <w:sz w:val="24"/>
          <w:szCs w:val="24"/>
          <w:rtl/>
        </w:rPr>
        <w:t xml:space="preserve">. אף הוא הולך בשיטת 'דון מינה </w:t>
      </w:r>
      <w:proofErr w:type="spellStart"/>
      <w:r w:rsidRPr="00152F4E">
        <w:rPr>
          <w:rFonts w:eastAsia="Times New Roman"/>
          <w:color w:val="000033"/>
          <w:sz w:val="24"/>
          <w:szCs w:val="24"/>
          <w:rtl/>
        </w:rPr>
        <w:t>ואוקי</w:t>
      </w:r>
      <w:proofErr w:type="spellEnd"/>
      <w:r w:rsidRPr="00152F4E">
        <w:rPr>
          <w:rFonts w:eastAsia="Times New Roman"/>
          <w:color w:val="000033"/>
          <w:sz w:val="24"/>
          <w:szCs w:val="24"/>
          <w:rtl/>
        </w:rPr>
        <w:t xml:space="preserve"> באתרה' - כרוב הראשונים. לפיכך בדין השלישי 'שני שבילים', הוא מקל יותר מכל הראשונים, ולא מחלק כלל בין מצב שבאו יחד להישאל או לבד. בכך הוא שונה משיטת רש"י. הרב קוק בברור ההלכה שלו [הודפס בסוף מסכת פסחים של מכון 'הלכה ברורה'] מסביר, שלמרות שהרמב"ם החמיר ב'שני שבילים' אם באו להישאל יחד, אפילו בטומאה דרבנן, כאן הרמב"ם מקל, כי בדיקת חמץ אין לה עיקר מן התורה אם כבר ביטל, והרמב"ם מקל באופן שביטל, כדברי הרב המגיד בפירושו. ועדיין קשה, שהרמב"ם מחמיר ב'ספק על' כדעת חכמים ומצריך בדיקה שנית. הרב המגיד מסביר, שבאופן של 'ספק על', אין בית שבטוח נקי, אך ב'שני בתים' [הדין השלישי] ברור שיש בית שלא נכנס בו חמץ, ולכן ניתן להקל. נראה להסביר בדבריו, שלמרות שניתן לומר גם ההפך, </w:t>
      </w:r>
      <w:proofErr w:type="spellStart"/>
      <w:r w:rsidRPr="00152F4E">
        <w:rPr>
          <w:rFonts w:eastAsia="Times New Roman"/>
          <w:color w:val="000033"/>
          <w:sz w:val="24"/>
          <w:szCs w:val="24"/>
          <w:rtl/>
        </w:rPr>
        <w:t>שב'שני</w:t>
      </w:r>
      <w:proofErr w:type="spellEnd"/>
      <w:r w:rsidRPr="00152F4E">
        <w:rPr>
          <w:rFonts w:eastAsia="Times New Roman"/>
          <w:color w:val="000033"/>
          <w:sz w:val="24"/>
          <w:szCs w:val="24"/>
          <w:rtl/>
        </w:rPr>
        <w:t xml:space="preserve"> בתים' בטוח נכנס עכבר לאחד מהם, בכל אופן הולכים </w:t>
      </w:r>
      <w:proofErr w:type="spellStart"/>
      <w:r w:rsidRPr="00152F4E">
        <w:rPr>
          <w:rFonts w:eastAsia="Times New Roman"/>
          <w:color w:val="000033"/>
          <w:sz w:val="24"/>
          <w:szCs w:val="24"/>
          <w:rtl/>
        </w:rPr>
        <w:t>לקולא</w:t>
      </w:r>
      <w:proofErr w:type="spellEnd"/>
      <w:r w:rsidRPr="00152F4E">
        <w:rPr>
          <w:rFonts w:eastAsia="Times New Roman"/>
          <w:color w:val="000033"/>
          <w:sz w:val="24"/>
          <w:szCs w:val="24"/>
          <w:rtl/>
        </w:rPr>
        <w:t xml:space="preserve">, כי בדיקת חמץ דרבנן. לעצם הדבר שהרמב"ם מחמיר להצריך בדיקה בספק, על אף שהיה [או יהיה] ביטול, הרב המגיד מסביר ברמב"ם בשם </w:t>
      </w:r>
      <w:proofErr w:type="spellStart"/>
      <w:r w:rsidRPr="00152F4E">
        <w:rPr>
          <w:rFonts w:eastAsia="Times New Roman"/>
          <w:color w:val="000033"/>
          <w:sz w:val="24"/>
          <w:szCs w:val="24"/>
          <w:rtl/>
        </w:rPr>
        <w:t>הרא"ה</w:t>
      </w:r>
      <w:proofErr w:type="spellEnd"/>
      <w:r w:rsidRPr="00152F4E">
        <w:rPr>
          <w:rFonts w:eastAsia="Times New Roman"/>
          <w:color w:val="000033"/>
          <w:sz w:val="24"/>
          <w:szCs w:val="24"/>
          <w:rtl/>
        </w:rPr>
        <w:t xml:space="preserve">, </w:t>
      </w:r>
      <w:proofErr w:type="spellStart"/>
      <w:r w:rsidRPr="00152F4E">
        <w:rPr>
          <w:rFonts w:eastAsia="Times New Roman"/>
          <w:color w:val="000033"/>
          <w:sz w:val="24"/>
          <w:szCs w:val="24"/>
          <w:rtl/>
        </w:rPr>
        <w:t>שבסוגיא</w:t>
      </w:r>
      <w:proofErr w:type="spellEnd"/>
      <w:r w:rsidRPr="00152F4E">
        <w:rPr>
          <w:rFonts w:eastAsia="Times New Roman"/>
          <w:color w:val="000033"/>
          <w:sz w:val="24"/>
          <w:szCs w:val="24"/>
          <w:rtl/>
        </w:rPr>
        <w:t xml:space="preserve"> שלנו, לא תמיד הולכים לפי הכלל של '</w:t>
      </w:r>
      <w:proofErr w:type="spellStart"/>
      <w:r w:rsidRPr="00152F4E">
        <w:rPr>
          <w:rFonts w:eastAsia="Times New Roman"/>
          <w:color w:val="000033"/>
          <w:sz w:val="24"/>
          <w:szCs w:val="24"/>
          <w:rtl/>
        </w:rPr>
        <w:t>ספיקא</w:t>
      </w:r>
      <w:proofErr w:type="spellEnd"/>
      <w:r w:rsidRPr="00152F4E">
        <w:rPr>
          <w:rFonts w:eastAsia="Times New Roman"/>
          <w:color w:val="000033"/>
          <w:sz w:val="24"/>
          <w:szCs w:val="24"/>
          <w:rtl/>
        </w:rPr>
        <w:t xml:space="preserve"> </w:t>
      </w:r>
      <w:r w:rsidRPr="00152F4E">
        <w:rPr>
          <w:rFonts w:eastAsia="Times New Roman"/>
          <w:color w:val="000033"/>
          <w:sz w:val="24"/>
          <w:szCs w:val="24"/>
          <w:rtl/>
        </w:rPr>
        <w:lastRenderedPageBreak/>
        <w:t xml:space="preserve">דרבנן </w:t>
      </w:r>
      <w:proofErr w:type="spellStart"/>
      <w:r w:rsidRPr="00152F4E">
        <w:rPr>
          <w:rFonts w:eastAsia="Times New Roman"/>
          <w:color w:val="000033"/>
          <w:sz w:val="24"/>
          <w:szCs w:val="24"/>
          <w:rtl/>
        </w:rPr>
        <w:t>לקולא</w:t>
      </w:r>
      <w:proofErr w:type="spellEnd"/>
      <w:r w:rsidRPr="00152F4E">
        <w:rPr>
          <w:rFonts w:eastAsia="Times New Roman"/>
          <w:color w:val="000033"/>
          <w:sz w:val="24"/>
          <w:szCs w:val="24"/>
          <w:rtl/>
        </w:rPr>
        <w:t xml:space="preserve">', כי בדיקת חמץ עיקרה נתקנה על הספק, ולכן לא ניתן להקל בספיקה, אלא אם יש </w:t>
      </w:r>
      <w:proofErr w:type="spellStart"/>
      <w:r w:rsidRPr="00152F4E">
        <w:rPr>
          <w:rFonts w:eastAsia="Times New Roman"/>
          <w:color w:val="000033"/>
          <w:sz w:val="24"/>
          <w:szCs w:val="24"/>
          <w:rtl/>
        </w:rPr>
        <w:t>סברא</w:t>
      </w:r>
      <w:proofErr w:type="spellEnd"/>
      <w:r w:rsidRPr="00152F4E">
        <w:rPr>
          <w:rFonts w:eastAsia="Times New Roman"/>
          <w:color w:val="000033"/>
          <w:sz w:val="24"/>
          <w:szCs w:val="24"/>
          <w:rtl/>
        </w:rPr>
        <w:t xml:space="preserve"> נוספת. כך כותב גם </w:t>
      </w:r>
      <w:proofErr w:type="spellStart"/>
      <w:r w:rsidRPr="00152F4E">
        <w:rPr>
          <w:rFonts w:eastAsia="Times New Roman"/>
          <w:color w:val="000033"/>
          <w:sz w:val="24"/>
          <w:szCs w:val="24"/>
          <w:rtl/>
        </w:rPr>
        <w:t>הראב"ד</w:t>
      </w:r>
      <w:proofErr w:type="spellEnd"/>
      <w:r w:rsidRPr="00152F4E">
        <w:rPr>
          <w:rFonts w:eastAsia="Times New Roman"/>
          <w:color w:val="000033"/>
          <w:sz w:val="24"/>
          <w:szCs w:val="24"/>
          <w:rtl/>
        </w:rPr>
        <w:t xml:space="preserve"> בהשגותיו על 'בעל המאור'.</w:t>
      </w:r>
    </w:p>
    <w:p w14:paraId="64BF51F6"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eastAsia="Times New Roman"/>
          <w:color w:val="000033"/>
          <w:sz w:val="24"/>
          <w:szCs w:val="24"/>
          <w:rtl/>
        </w:rPr>
        <w:t xml:space="preserve">בשבע השאלות של רבא בסוף </w:t>
      </w:r>
      <w:proofErr w:type="spellStart"/>
      <w:r w:rsidRPr="00152F4E">
        <w:rPr>
          <w:rFonts w:eastAsia="Times New Roman"/>
          <w:color w:val="000033"/>
          <w:sz w:val="24"/>
          <w:szCs w:val="24"/>
          <w:rtl/>
        </w:rPr>
        <w:t>הסוגיא</w:t>
      </w:r>
      <w:proofErr w:type="spellEnd"/>
      <w:r w:rsidRPr="00152F4E">
        <w:rPr>
          <w:rFonts w:eastAsia="Times New Roman"/>
          <w:color w:val="000033"/>
          <w:sz w:val="24"/>
          <w:szCs w:val="24"/>
          <w:rtl/>
        </w:rPr>
        <w:t xml:space="preserve">, הכריע הרמב"ם לאותו צד שהגמרא אמרה לגביו 'אם </w:t>
      </w:r>
      <w:proofErr w:type="spellStart"/>
      <w:r w:rsidRPr="00152F4E">
        <w:rPr>
          <w:rFonts w:eastAsia="Times New Roman"/>
          <w:color w:val="000033"/>
          <w:sz w:val="24"/>
          <w:szCs w:val="24"/>
          <w:rtl/>
        </w:rPr>
        <w:t>תימצי</w:t>
      </w:r>
      <w:proofErr w:type="spellEnd"/>
      <w:r w:rsidRPr="00152F4E">
        <w:rPr>
          <w:rFonts w:eastAsia="Times New Roman"/>
          <w:color w:val="000033"/>
          <w:sz w:val="24"/>
          <w:szCs w:val="24"/>
          <w:rtl/>
        </w:rPr>
        <w:t xml:space="preserve"> לומר'. כדרכו בכל הש"ס. </w:t>
      </w:r>
    </w:p>
    <w:p w14:paraId="1AB82D33"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eastAsia="Times New Roman"/>
          <w:color w:val="000033"/>
          <w:sz w:val="24"/>
          <w:szCs w:val="24"/>
          <w:rtl/>
        </w:rPr>
        <w:t xml:space="preserve">אך עדיין שיטת הרמב"ם קשה לכאורה, כי הרמב"ם כותב בבעיה האחרונה, של כיכר בפי נחש, שניתן להקל אם מבטל החמץ, ומדוע לא הזכיר את הצורך בביטול ביתר המקרים? ניתן לתרץ, שדברי הרמב"ם בהלכה י"ד, המצריך לבטל, מוסבים על כל ההלכות דלעיל, בהם הרמב"ם פטר מבדיקה. </w:t>
      </w:r>
    </w:p>
    <w:p w14:paraId="26AAC769"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eastAsia="Times New Roman"/>
          <w:color w:val="000033"/>
          <w:sz w:val="24"/>
          <w:szCs w:val="24"/>
          <w:rtl/>
        </w:rPr>
        <w:t> </w:t>
      </w:r>
    </w:p>
    <w:p w14:paraId="00B0BE5F" w14:textId="77777777" w:rsidR="00152F4E" w:rsidRPr="00152F4E" w:rsidRDefault="00152F4E" w:rsidP="00152F4E">
      <w:pPr>
        <w:spacing w:before="100" w:beforeAutospacing="1" w:after="100" w:afterAutospacing="1" w:line="360" w:lineRule="auto"/>
        <w:jc w:val="both"/>
        <w:rPr>
          <w:rFonts w:ascii="Times New Roman" w:eastAsia="Times New Roman" w:hAnsi="Times New Roman" w:cs="Times New Roman"/>
          <w:color w:val="000033"/>
          <w:sz w:val="24"/>
          <w:szCs w:val="24"/>
          <w:rtl/>
        </w:rPr>
      </w:pPr>
      <w:r w:rsidRPr="00152F4E">
        <w:rPr>
          <w:rFonts w:ascii="Times New Roman" w:eastAsia="Times New Roman" w:hAnsi="Times New Roman" w:cs="Times New Roman"/>
          <w:color w:val="000033"/>
          <w:sz w:val="24"/>
          <w:szCs w:val="24"/>
        </w:rPr>
        <w:t> </w:t>
      </w:r>
    </w:p>
    <w:p w14:paraId="44479DCF" w14:textId="77777777" w:rsidR="0065380C" w:rsidRDefault="0065380C">
      <w:bookmarkStart w:id="4" w:name="_ftn1"/>
      <w:bookmarkEnd w:id="4"/>
    </w:p>
    <w:sectPr w:rsidR="0065380C" w:rsidSect="00E31D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F4E"/>
    <w:rsid w:val="00152F4E"/>
    <w:rsid w:val="006439C5"/>
    <w:rsid w:val="0065380C"/>
    <w:rsid w:val="00E31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4EA5"/>
  <w15:docId w15:val="{A9BCD69C-C6EF-49E7-9C50-8E704944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koteret11">
    <w:name w:val="koteret11"/>
    <w:basedOn w:val="a0"/>
    <w:rsid w:val="00152F4E"/>
    <w:rPr>
      <w:rFonts w:ascii="Arial" w:hAnsi="Arial" w:cs="Arial" w:hint="default"/>
      <w:b/>
      <w:bCs/>
      <w:color w:val="1D3850"/>
      <w:sz w:val="24"/>
      <w:szCs w:val="24"/>
    </w:rPr>
  </w:style>
  <w:style w:type="character" w:customStyle="1" w:styleId="green1">
    <w:name w:val="green1"/>
    <w:basedOn w:val="a0"/>
    <w:rsid w:val="00152F4E"/>
    <w:rPr>
      <w:rFonts w:ascii="Arial" w:hAnsi="Arial" w:cs="Arial" w:hint="default"/>
      <w:b/>
      <w:bCs/>
      <w:color w:val="9C9A36"/>
      <w:sz w:val="24"/>
      <w:szCs w:val="24"/>
    </w:rPr>
  </w:style>
  <w:style w:type="character" w:customStyle="1" w:styleId="normal1">
    <w:name w:val="normal1"/>
    <w:basedOn w:val="a0"/>
    <w:rsid w:val="00152F4E"/>
    <w:rPr>
      <w:rFonts w:ascii="Arial" w:hAnsi="Arial" w:cs="Arial" w:hint="default"/>
      <w:color w:val="000033"/>
      <w:sz w:val="18"/>
      <w:szCs w:val="18"/>
    </w:rPr>
  </w:style>
  <w:style w:type="paragraph" w:styleId="NormalWeb">
    <w:name w:val="Normal (Web)"/>
    <w:basedOn w:val="a"/>
    <w:uiPriority w:val="99"/>
    <w:semiHidden/>
    <w:unhideWhenUsed/>
    <w:rsid w:val="00152F4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152F4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semiHidden/>
    <w:unhideWhenUsed/>
    <w:rsid w:val="00152F4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טקסט הערת שוליים תו"/>
    <w:basedOn w:val="a0"/>
    <w:link w:val="a4"/>
    <w:uiPriority w:val="99"/>
    <w:semiHidden/>
    <w:rsid w:val="00152F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747848">
      <w:bodyDiv w:val="1"/>
      <w:marLeft w:val="0"/>
      <w:marRight w:val="0"/>
      <w:marTop w:val="0"/>
      <w:marBottom w:val="0"/>
      <w:divBdr>
        <w:top w:val="none" w:sz="0" w:space="0" w:color="auto"/>
        <w:left w:val="none" w:sz="0" w:space="0" w:color="auto"/>
        <w:bottom w:val="none" w:sz="0" w:space="0" w:color="auto"/>
        <w:right w:val="none" w:sz="0" w:space="0" w:color="auto"/>
      </w:divBdr>
      <w:divsChild>
        <w:div w:id="861086344">
          <w:marLeft w:val="0"/>
          <w:marRight w:val="0"/>
          <w:marTop w:val="0"/>
          <w:marBottom w:val="0"/>
          <w:divBdr>
            <w:top w:val="none" w:sz="0" w:space="0" w:color="auto"/>
            <w:left w:val="none" w:sz="0" w:space="0" w:color="auto"/>
            <w:bottom w:val="none" w:sz="0" w:space="0" w:color="auto"/>
            <w:right w:val="none" w:sz="0" w:space="0" w:color="auto"/>
          </w:divBdr>
          <w:divsChild>
            <w:div w:id="2011909229">
              <w:marLeft w:val="0"/>
              <w:marRight w:val="0"/>
              <w:marTop w:val="0"/>
              <w:marBottom w:val="0"/>
              <w:divBdr>
                <w:top w:val="none" w:sz="0" w:space="0" w:color="auto"/>
                <w:left w:val="none" w:sz="0" w:space="0" w:color="auto"/>
                <w:bottom w:val="none" w:sz="0" w:space="0" w:color="auto"/>
                <w:right w:val="none" w:sz="0" w:space="0" w:color="auto"/>
              </w:divBdr>
            </w:div>
            <w:div w:id="12584202">
              <w:marLeft w:val="0"/>
              <w:marRight w:val="0"/>
              <w:marTop w:val="0"/>
              <w:marBottom w:val="0"/>
              <w:divBdr>
                <w:top w:val="none" w:sz="0" w:space="0" w:color="auto"/>
                <w:left w:val="none" w:sz="0" w:space="0" w:color="auto"/>
                <w:bottom w:val="none" w:sz="0" w:space="0" w:color="auto"/>
                <w:right w:val="none" w:sz="0" w:space="0" w:color="auto"/>
              </w:divBdr>
            </w:div>
            <w:div w:id="1719234062">
              <w:marLeft w:val="0"/>
              <w:marRight w:val="0"/>
              <w:marTop w:val="0"/>
              <w:marBottom w:val="0"/>
              <w:divBdr>
                <w:top w:val="none" w:sz="0" w:space="0" w:color="auto"/>
                <w:left w:val="none" w:sz="0" w:space="0" w:color="auto"/>
                <w:bottom w:val="none" w:sz="0" w:space="0" w:color="auto"/>
                <w:right w:val="none" w:sz="0" w:space="0" w:color="auto"/>
              </w:divBdr>
            </w:div>
            <w:div w:id="12273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1093</Words>
  <Characters>5469</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זילבר</dc:creator>
  <cp:lastModifiedBy>עזריאל זילבר</cp:lastModifiedBy>
  <cp:revision>2</cp:revision>
  <dcterms:created xsi:type="dcterms:W3CDTF">2016-03-27T19:26:00Z</dcterms:created>
  <dcterms:modified xsi:type="dcterms:W3CDTF">2020-11-23T13:09:00Z</dcterms:modified>
</cp:coreProperties>
</file>