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8A34D" w14:textId="77777777" w:rsidR="008F2822" w:rsidRDefault="008F2822">
      <w:pPr>
        <w:pStyle w:val="1"/>
        <w:rPr>
          <w:rFonts w:hint="cs"/>
          <w:rtl/>
        </w:rPr>
      </w:pPr>
      <w:bookmarkStart w:id="0" w:name="_GoBack"/>
      <w:bookmarkEnd w:id="0"/>
      <w:r>
        <w:rPr>
          <w:rFonts w:hint="cs"/>
          <w:rtl/>
        </w:rPr>
        <w:t xml:space="preserve">דף ז, ב: חקק בו ד' על ד' והשלימו לי' </w:t>
      </w:r>
    </w:p>
    <w:p w14:paraId="00EDA468" w14:textId="77777777" w:rsidR="008F2822" w:rsidRDefault="008F2822">
      <w:pPr>
        <w:pStyle w:val="2"/>
        <w:rPr>
          <w:rFonts w:hint="cs"/>
          <w:rtl/>
        </w:rPr>
      </w:pPr>
      <w:r>
        <w:rPr>
          <w:rFonts w:hint="cs"/>
          <w:rtl/>
        </w:rPr>
        <w:t>דִקדוק במִין המִספרִים</w:t>
      </w:r>
    </w:p>
    <w:p w14:paraId="37C8DEAE" w14:textId="77777777" w:rsidR="008F2822" w:rsidRDefault="008F2822">
      <w:pPr>
        <w:pStyle w:val="3"/>
        <w:rPr>
          <w:rFonts w:hint="cs"/>
          <w:sz w:val="22"/>
          <w:rtl/>
        </w:rPr>
      </w:pPr>
      <w:r>
        <w:rPr>
          <w:sz w:val="22"/>
          <w:rtl/>
        </w:rPr>
        <w:t>עַל שְׁל</w:t>
      </w:r>
      <w:r>
        <w:rPr>
          <w:rFonts w:hint="cs"/>
          <w:sz w:val="22"/>
          <w:rtl/>
        </w:rPr>
        <w:t>ו</w:t>
      </w:r>
      <w:r>
        <w:rPr>
          <w:sz w:val="22"/>
          <w:rtl/>
        </w:rPr>
        <w:t xml:space="preserve">ֹשָׁה וְעַל אַרְבָּעָה </w:t>
      </w:r>
    </w:p>
    <w:p w14:paraId="30139C32" w14:textId="77777777" w:rsidR="008F2822" w:rsidRDefault="008F2822">
      <w:pPr>
        <w:ind w:firstLine="284"/>
        <w:rPr>
          <w:rFonts w:hint="cs"/>
          <w:rtl/>
        </w:rPr>
      </w:pPr>
      <w:r>
        <w:rPr>
          <w:rFonts w:hint="cs"/>
          <w:rtl/>
        </w:rPr>
        <w:t>אחת המשימות המוטלות על מי שלומד מתוך מהדורת תלמוד רגילה היא פִענוח קיצורים וראשי תיבות. משימה זו נחסכת מן הלומד מתוך מהדורות תלמוד חדישות, המפענחות את הקיצורים בדרך כלל כהלכה. אך, "כשם שאי אפשר ל</w:t>
      </w:r>
      <w:r>
        <w:rPr>
          <w:rtl/>
        </w:rPr>
        <w:t>ַבָּר</w:t>
      </w:r>
      <w:r>
        <w:rPr>
          <w:rFonts w:hint="cs"/>
          <w:rtl/>
        </w:rPr>
        <w:t xml:space="preserve"> בלא </w:t>
      </w:r>
      <w:r>
        <w:rPr>
          <w:rtl/>
        </w:rPr>
        <w:t>תֶבֶן</w:t>
      </w:r>
      <w:r>
        <w:rPr>
          <w:rFonts w:hint="cs"/>
          <w:rtl/>
        </w:rPr>
        <w:t>"</w:t>
      </w:r>
      <w:r>
        <w:rPr>
          <w:rStyle w:val="a6"/>
          <w:rtl/>
        </w:rPr>
        <w:footnoteReference w:id="1"/>
      </w:r>
      <w:r>
        <w:rPr>
          <w:rFonts w:hint="cs"/>
          <w:rtl/>
        </w:rPr>
        <w:t xml:space="preserve">, כך אי אפשר למהדורות אלו ללא פענוחים מוטעים מבלי דעת. להלן נדגים סוג אחד של שיבושים בפענוח קיצורים המשפיע לפעמים על משמעות המשפט. </w:t>
      </w:r>
    </w:p>
    <w:p w14:paraId="7B5BE714" w14:textId="77777777" w:rsidR="008F2822" w:rsidRDefault="008F2822">
      <w:pPr>
        <w:ind w:firstLine="284"/>
        <w:rPr>
          <w:rFonts w:hint="cs"/>
          <w:rtl/>
        </w:rPr>
      </w:pPr>
      <w:r>
        <w:rPr>
          <w:rFonts w:hint="cs"/>
          <w:rtl/>
        </w:rPr>
        <w:t>דוברי עברית בימינו מתקשים להקפיד תמיד על התאמת מין המספר למין הדבר שאותו סופרים</w:t>
      </w:r>
      <w:r>
        <w:rPr>
          <w:rStyle w:val="a6"/>
          <w:rtl/>
        </w:rPr>
        <w:footnoteReference w:id="2"/>
      </w:r>
      <w:r>
        <w:rPr>
          <w:rFonts w:hint="cs"/>
          <w:rtl/>
        </w:rPr>
        <w:t xml:space="preserve">. אחת הסיבות לאי הקפדה זו </w:t>
      </w:r>
      <w:r>
        <w:rPr>
          <w:rFonts w:hint="cs"/>
          <w:rtl/>
        </w:rPr>
        <w:lastRenderedPageBreak/>
        <w:t>היא התופעה הלשונית התמוהה והמבַלבלת שקיימת בלשון העברית (</w:t>
      </w:r>
      <w:r>
        <w:rPr>
          <w:rFonts w:hint="cs"/>
          <w:sz w:val="18"/>
          <w:szCs w:val="20"/>
          <w:rtl/>
        </w:rPr>
        <w:t>ובלשונות נוספים, כגון ארמית</w:t>
      </w:r>
      <w:r>
        <w:rPr>
          <w:rFonts w:hint="cs"/>
          <w:rtl/>
        </w:rPr>
        <w:t>) שכל המספרים "</w:t>
      </w:r>
      <w:r>
        <w:rPr>
          <w:rtl/>
        </w:rPr>
        <w:t>שְׁלוֹשָׁה</w:t>
      </w:r>
      <w:r>
        <w:rPr>
          <w:rFonts w:hint="cs"/>
          <w:rtl/>
        </w:rPr>
        <w:t>", "</w:t>
      </w:r>
      <w:r>
        <w:rPr>
          <w:rtl/>
        </w:rPr>
        <w:t>אַרְבָּעָה</w:t>
      </w:r>
      <w:r>
        <w:rPr>
          <w:rFonts w:hint="cs"/>
          <w:rtl/>
        </w:rPr>
        <w:t>" עד "</w:t>
      </w:r>
      <w:r>
        <w:rPr>
          <w:rtl/>
        </w:rPr>
        <w:t>עֲשָׂרָה</w:t>
      </w:r>
      <w:r>
        <w:rPr>
          <w:rFonts w:hint="cs"/>
          <w:rtl/>
        </w:rPr>
        <w:t>"</w:t>
      </w:r>
      <w:r>
        <w:rPr>
          <w:rFonts w:cs="Times New Roman"/>
          <w:color w:val="000000"/>
          <w:sz w:val="24"/>
          <w:szCs w:val="32"/>
          <w:rtl/>
        </w:rPr>
        <w:t xml:space="preserve"> </w:t>
      </w:r>
      <w:r>
        <w:rPr>
          <w:rFonts w:hint="cs"/>
          <w:rtl/>
        </w:rPr>
        <w:t>- עם סיומת "נקבית" ("ָה") - מונים זכרים, ואילוּ נקבות נספרות במספר הנעדר סממן נקבי: "</w:t>
      </w:r>
      <w:r>
        <w:rPr>
          <w:rtl/>
        </w:rPr>
        <w:t>שָׁלוֹשׁ</w:t>
      </w:r>
      <w:r>
        <w:rPr>
          <w:rFonts w:hint="cs"/>
          <w:rtl/>
        </w:rPr>
        <w:t>",</w:t>
      </w:r>
      <w:r>
        <w:rPr>
          <w:rtl/>
        </w:rPr>
        <w:t xml:space="preserve"> </w:t>
      </w:r>
      <w:r>
        <w:rPr>
          <w:rFonts w:hint="cs"/>
          <w:rtl/>
        </w:rPr>
        <w:t>"</w:t>
      </w:r>
      <w:r>
        <w:rPr>
          <w:rtl/>
        </w:rPr>
        <w:t>אַרְבּ</w:t>
      </w:r>
      <w:r>
        <w:rPr>
          <w:rFonts w:hint="cs"/>
          <w:rtl/>
        </w:rPr>
        <w:t>ַ</w:t>
      </w:r>
      <w:r>
        <w:rPr>
          <w:rtl/>
        </w:rPr>
        <w:t>ע</w:t>
      </w:r>
      <w:r>
        <w:rPr>
          <w:rFonts w:hint="cs"/>
          <w:rtl/>
        </w:rPr>
        <w:t>" עד</w:t>
      </w:r>
      <w:r>
        <w:rPr>
          <w:rtl/>
        </w:rPr>
        <w:t xml:space="preserve"> </w:t>
      </w:r>
      <w:r>
        <w:rPr>
          <w:rFonts w:hint="cs"/>
          <w:rtl/>
        </w:rPr>
        <w:t>"</w:t>
      </w:r>
      <w:r>
        <w:rPr>
          <w:rtl/>
        </w:rPr>
        <w:t>עֶשֶׂר</w:t>
      </w:r>
      <w:r>
        <w:rPr>
          <w:rFonts w:hint="cs"/>
          <w:rtl/>
        </w:rPr>
        <w:t>". לדוגמה: "</w:t>
      </w:r>
      <w:r>
        <w:rPr>
          <w:rtl/>
        </w:rPr>
        <w:t>וַיִּוָּלְדוּ לוֹ שִׁבְ</w:t>
      </w:r>
      <w:r>
        <w:rPr>
          <w:b/>
          <w:bCs/>
          <w:rtl/>
        </w:rPr>
        <w:t>עָה</w:t>
      </w:r>
      <w:r>
        <w:rPr>
          <w:rtl/>
        </w:rPr>
        <w:t xml:space="preserve"> בָנִים וְשָׁלוֹ</w:t>
      </w:r>
      <w:r>
        <w:rPr>
          <w:b/>
          <w:bCs/>
          <w:rtl/>
        </w:rPr>
        <w:t>שׁ</w:t>
      </w:r>
      <w:r>
        <w:rPr>
          <w:rtl/>
        </w:rPr>
        <w:t xml:space="preserve"> בָּנוֹת</w:t>
      </w:r>
      <w:r>
        <w:rPr>
          <w:rFonts w:hint="cs"/>
          <w:rtl/>
        </w:rPr>
        <w:t>" (</w:t>
      </w:r>
      <w:r>
        <w:rPr>
          <w:sz w:val="18"/>
          <w:szCs w:val="20"/>
          <w:rtl/>
        </w:rPr>
        <w:t>איוב א</w:t>
      </w:r>
      <w:r>
        <w:rPr>
          <w:rFonts w:hint="cs"/>
          <w:sz w:val="18"/>
          <w:szCs w:val="20"/>
          <w:rtl/>
        </w:rPr>
        <w:t xml:space="preserve">, </w:t>
      </w:r>
      <w:r>
        <w:rPr>
          <w:sz w:val="18"/>
          <w:szCs w:val="20"/>
          <w:rtl/>
        </w:rPr>
        <w:t>ב</w:t>
      </w:r>
      <w:r>
        <w:rPr>
          <w:rFonts w:hint="cs"/>
          <w:rtl/>
        </w:rPr>
        <w:t>). רק במספרים "אחת" ו"שתים" נוהגים שמות המספר כשמות התואר: "אחד" ו"שנים" מתאימים לשמות ממין זכר, ו"אחת" ו"שתים" הנקביים מתאימים לשמות ממין נקבה</w:t>
      </w:r>
      <w:r>
        <w:rPr>
          <w:rStyle w:val="a6"/>
          <w:rtl/>
        </w:rPr>
        <w:footnoteReference w:id="3"/>
      </w:r>
      <w:r>
        <w:rPr>
          <w:rFonts w:hint="cs"/>
          <w:rtl/>
        </w:rPr>
        <w:t>.</w:t>
      </w:r>
    </w:p>
    <w:p w14:paraId="0FBCDDF5" w14:textId="77777777" w:rsidR="008F2822" w:rsidRDefault="008F2822">
      <w:pPr>
        <w:pStyle w:val="3"/>
        <w:rPr>
          <w:rFonts w:hint="cs"/>
          <w:rtl/>
        </w:rPr>
      </w:pPr>
      <w:r>
        <w:rPr>
          <w:rFonts w:hint="cs"/>
          <w:rtl/>
        </w:rPr>
        <w:t>גופי הלכות</w:t>
      </w:r>
    </w:p>
    <w:p w14:paraId="5B9BC4DD" w14:textId="77777777" w:rsidR="008F2822" w:rsidRDefault="008F2822">
      <w:pPr>
        <w:ind w:firstLine="284"/>
        <w:rPr>
          <w:rFonts w:hint="cs"/>
          <w:rtl/>
        </w:rPr>
      </w:pPr>
      <w:r>
        <w:rPr>
          <w:rFonts w:hint="cs"/>
          <w:rtl/>
        </w:rPr>
        <w:t>ההבחנה הלשונית בין מספרי זכר ונקבה אף נפסקה בשולחן ערוך (</w:t>
      </w:r>
      <w:r>
        <w:rPr>
          <w:sz w:val="18"/>
          <w:szCs w:val="20"/>
          <w:rtl/>
        </w:rPr>
        <w:t>אבן העזר סימן קכו</w:t>
      </w:r>
      <w:r>
        <w:rPr>
          <w:rFonts w:hint="cs"/>
          <w:sz w:val="18"/>
          <w:szCs w:val="20"/>
          <w:rtl/>
        </w:rPr>
        <w:t xml:space="preserve"> </w:t>
      </w:r>
      <w:r>
        <w:rPr>
          <w:sz w:val="18"/>
          <w:szCs w:val="20"/>
          <w:rtl/>
        </w:rPr>
        <w:t>ד</w:t>
      </w:r>
      <w:r>
        <w:rPr>
          <w:rFonts w:hint="cs"/>
          <w:sz w:val="18"/>
          <w:szCs w:val="20"/>
          <w:rtl/>
        </w:rPr>
        <w:t>-</w:t>
      </w:r>
      <w:r>
        <w:rPr>
          <w:sz w:val="18"/>
          <w:szCs w:val="20"/>
          <w:rtl/>
        </w:rPr>
        <w:t>ה</w:t>
      </w:r>
      <w:r>
        <w:rPr>
          <w:rFonts w:hint="cs"/>
          <w:rtl/>
        </w:rPr>
        <w:t>) בדיני כתיבת שטרי גיטין וכתובּות שחייבים להִכָּתב באופן מדוקדק. אך לא רק לשם כך חשובה הבחנה זו לפסיקת הלכה. כך מוסר הרב נתן קמנצקי בשם אביו</w:t>
      </w:r>
      <w:r>
        <w:rPr>
          <w:rStyle w:val="a6"/>
          <w:rtl/>
        </w:rPr>
        <w:footnoteReference w:id="4"/>
      </w:r>
      <w:r>
        <w:rPr>
          <w:rFonts w:hint="cs"/>
          <w:rtl/>
        </w:rPr>
        <w:t xml:space="preserve">: </w:t>
      </w:r>
    </w:p>
    <w:p w14:paraId="01DC295B" w14:textId="77777777" w:rsidR="008F2822" w:rsidRDefault="008F2822">
      <w:pPr>
        <w:pStyle w:val="ac"/>
        <w:rPr>
          <w:rFonts w:hint="cs"/>
          <w:rtl/>
        </w:rPr>
      </w:pPr>
      <w:r>
        <w:rPr>
          <w:rFonts w:hint="cs"/>
          <w:rtl/>
        </w:rPr>
        <w:t xml:space="preserve">"הגאון הרב יעקב קמנצקי ז"ל סבר שהוא [לימוד הדקדוק] נכלל במצוַת ת"ת, משום שידיעת חכמת הלשון נחוצה להגיע לפסק ההלכה הנכון. והוא הזכיר טעות בדקדוק שגרמה למחבר אחד, בעל כוונות רצויות, להציע לִבנות מקווה בכל בית יהודי. אבל עקב </w:t>
      </w:r>
      <w:r>
        <w:rPr>
          <w:rFonts w:hint="cs"/>
          <w:rtl/>
        </w:rPr>
        <w:lastRenderedPageBreak/>
        <w:t xml:space="preserve">חוסר ידיעתו שהמלה 'אצבע' מינהּ נקבה, היו המקוואות שהמליץ עליהם פחותים מכשיעור ופסולים, והשימוש בהם היה גורם לעבירות של איסור כרת למכביר, רח"ל. לפיכך </w:t>
      </w:r>
      <w:r>
        <w:rPr>
          <w:rFonts w:hint="cs"/>
          <w:b/>
          <w:bCs/>
          <w:rtl/>
        </w:rPr>
        <w:t>ידיעת דקדוק איננה רק אחת מ'פרפראות לחכמה'</w:t>
      </w:r>
      <w:r>
        <w:rPr>
          <w:rStyle w:val="a6"/>
          <w:rtl/>
        </w:rPr>
        <w:footnoteReference w:id="5"/>
      </w:r>
      <w:r>
        <w:rPr>
          <w:rFonts w:hint="cs"/>
          <w:b/>
          <w:bCs/>
          <w:rtl/>
        </w:rPr>
        <w:t>... אלא כגופי הלכות</w:t>
      </w:r>
      <w:r>
        <w:rPr>
          <w:rFonts w:hint="cs"/>
          <w:rtl/>
        </w:rPr>
        <w:t xml:space="preserve">, שנמשך מהם פסק הלכה". </w:t>
      </w:r>
    </w:p>
    <w:p w14:paraId="762B3E14" w14:textId="77777777" w:rsidR="008F2822" w:rsidRDefault="008F2822">
      <w:pPr>
        <w:ind w:firstLine="284"/>
        <w:rPr>
          <w:rFonts w:hint="cs"/>
          <w:rtl/>
        </w:rPr>
      </w:pPr>
      <w:r>
        <w:rPr>
          <w:rFonts w:hint="cs"/>
          <w:rtl/>
        </w:rPr>
        <w:t>בסוגיות רשויות השבת שבמסכתנו מוזכרים שיעורי מידות שונים, בעיקר ביחידות המדידה "טֶפַח"</w:t>
      </w:r>
      <w:r>
        <w:rPr>
          <w:rStyle w:val="a6"/>
          <w:rtl/>
        </w:rPr>
        <w:footnoteReference w:id="6"/>
      </w:r>
      <w:r>
        <w:rPr>
          <w:rFonts w:hint="cs"/>
          <w:rtl/>
        </w:rPr>
        <w:t xml:space="preserve"> (-מין זכר), ו"אַמָּה"</w:t>
      </w:r>
      <w:r>
        <w:rPr>
          <w:rStyle w:val="a6"/>
          <w:rtl/>
        </w:rPr>
        <w:footnoteReference w:id="7"/>
      </w:r>
      <w:r>
        <w:rPr>
          <w:rFonts w:hint="cs"/>
          <w:rtl/>
        </w:rPr>
        <w:t xml:space="preserve"> (-מין נקבה). חשוב מאוד לדייק בהבנה ובקריאה הנכונה של המספרים: דרך משל, "רוחב ארבעה" מכוון ליחידת אורך ממין זכר, דהיינו: ארבעה טפחים; ואילו "רוחב ארבע" מכוון לארבע אמות, בלשון נקבה. </w:t>
      </w:r>
      <w:r>
        <w:rPr>
          <w:rFonts w:hint="cs"/>
          <w:rtl/>
        </w:rPr>
        <w:lastRenderedPageBreak/>
        <w:t xml:space="preserve">לפעמים הועתק בקיצור "רוחב ד'", וצריך לפענח מן ההֶקשר אם מדובר בארבעה (טפחים) או בארבע (אמות). את דברי </w:t>
      </w:r>
      <w:r>
        <w:rPr>
          <w:rtl/>
        </w:rPr>
        <w:t>אביי</w:t>
      </w:r>
      <w:r>
        <w:rPr>
          <w:rFonts w:hint="cs"/>
          <w:rtl/>
        </w:rPr>
        <w:t xml:space="preserve"> המודפסים בקיצור ("חקק בו </w:t>
      </w:r>
      <w:r>
        <w:rPr>
          <w:rFonts w:hint="cs"/>
          <w:b/>
          <w:bCs/>
          <w:rtl/>
        </w:rPr>
        <w:t xml:space="preserve">ד' </w:t>
      </w:r>
      <w:r>
        <w:rPr>
          <w:rFonts w:hint="cs"/>
          <w:rtl/>
        </w:rPr>
        <w:t xml:space="preserve">על </w:t>
      </w:r>
      <w:r>
        <w:rPr>
          <w:rFonts w:hint="cs"/>
          <w:b/>
          <w:bCs/>
          <w:rtl/>
        </w:rPr>
        <w:t xml:space="preserve">ד' </w:t>
      </w:r>
      <w:r>
        <w:rPr>
          <w:rFonts w:hint="cs"/>
          <w:rtl/>
        </w:rPr>
        <w:t>והשלימו ל</w:t>
      </w:r>
      <w:r>
        <w:rPr>
          <w:rFonts w:hint="cs"/>
          <w:b/>
          <w:bCs/>
          <w:rtl/>
        </w:rPr>
        <w:t xml:space="preserve">י') </w:t>
      </w:r>
      <w:r>
        <w:rPr>
          <w:rFonts w:hint="cs"/>
          <w:rtl/>
        </w:rPr>
        <w:t>יש לפענח כך: "</w:t>
      </w:r>
      <w:r>
        <w:rPr>
          <w:rtl/>
        </w:rPr>
        <w:t>חקק בו ארבע</w:t>
      </w:r>
      <w:r>
        <w:rPr>
          <w:b/>
          <w:bCs/>
          <w:rtl/>
        </w:rPr>
        <w:t>ה</w:t>
      </w:r>
      <w:r>
        <w:rPr>
          <w:rtl/>
        </w:rPr>
        <w:t xml:space="preserve"> על ארבע</w:t>
      </w:r>
      <w:r>
        <w:rPr>
          <w:b/>
          <w:bCs/>
          <w:rtl/>
        </w:rPr>
        <w:t>ה</w:t>
      </w:r>
      <w:r>
        <w:rPr>
          <w:rtl/>
        </w:rPr>
        <w:t xml:space="preserve"> והשלימו לעשר</w:t>
      </w:r>
      <w:r>
        <w:rPr>
          <w:b/>
          <w:bCs/>
          <w:rtl/>
        </w:rPr>
        <w:t>ה</w:t>
      </w:r>
      <w:r>
        <w:rPr>
          <w:rFonts w:hint="cs"/>
          <w:rtl/>
        </w:rPr>
        <w:t xml:space="preserve">, </w:t>
      </w:r>
      <w:r>
        <w:rPr>
          <w:rtl/>
        </w:rPr>
        <w:t>מותר לטלטל בכולו</w:t>
      </w:r>
      <w:r>
        <w:rPr>
          <w:rFonts w:hint="cs"/>
          <w:rtl/>
        </w:rPr>
        <w:t>", בהתאם ליחידת האורך "טפח" (לשון זכר).</w:t>
      </w:r>
    </w:p>
    <w:p w14:paraId="73F9840B" w14:textId="77777777" w:rsidR="008F2822" w:rsidRDefault="008F2822">
      <w:pPr>
        <w:ind w:firstLine="284"/>
        <w:rPr>
          <w:rFonts w:hint="cs"/>
          <w:rtl/>
        </w:rPr>
      </w:pPr>
      <w:r>
        <w:rPr>
          <w:rFonts w:hint="cs"/>
          <w:rtl/>
        </w:rPr>
        <w:t>לצערנו, נפלו פה ושם שיבושים בדפוסי התלמוד וספרי ההלכה, כתוצאה מפִענוח מוטעה של הגימטריה, וחשוב לדייק (</w:t>
      </w:r>
      <w:r>
        <w:rPr>
          <w:rFonts w:hint="cs"/>
          <w:szCs w:val="20"/>
          <w:rtl/>
        </w:rPr>
        <w:t>ולתקן</w:t>
      </w:r>
      <w:r>
        <w:rPr>
          <w:rFonts w:hint="cs"/>
          <w:rtl/>
        </w:rPr>
        <w:t>) בכל מקום באיזה מִספָּר מדובר</w:t>
      </w:r>
      <w:r>
        <w:rPr>
          <w:rStyle w:val="a6"/>
          <w:rtl/>
        </w:rPr>
        <w:footnoteReference w:id="8"/>
      </w:r>
      <w:r>
        <w:rPr>
          <w:rFonts w:hint="cs"/>
          <w:rtl/>
        </w:rPr>
        <w:t xml:space="preserve">. אף אם קשה להקפיד בלשון הדיבור על </w:t>
      </w:r>
      <w:r>
        <w:rPr>
          <w:rFonts w:hint="cs"/>
          <w:rtl/>
        </w:rPr>
        <w:lastRenderedPageBreak/>
        <w:t xml:space="preserve">התאמת המספרים מהמין הנכון לפי הדקדוק, יש לשאוף לדקדק בכך, עכ"פ בכתיבה ובלימוד תורה, בתפילה ובקריאת התורה. </w:t>
      </w:r>
    </w:p>
    <w:p w14:paraId="464B97CD" w14:textId="77777777" w:rsidR="008F2822" w:rsidRDefault="008F2822">
      <w:pPr>
        <w:pStyle w:val="3"/>
        <w:rPr>
          <w:rFonts w:hint="cs"/>
          <w:rtl/>
        </w:rPr>
      </w:pPr>
      <w:r>
        <w:rPr>
          <w:rFonts w:hint="cs"/>
          <w:rtl/>
        </w:rPr>
        <w:t>סייג להבנה - דקדוק</w:t>
      </w:r>
    </w:p>
    <w:p w14:paraId="5D0B6C69" w14:textId="77777777" w:rsidR="008F2822" w:rsidRDefault="008F2822">
      <w:pPr>
        <w:ind w:firstLine="284"/>
        <w:rPr>
          <w:rFonts w:hint="cs"/>
          <w:rtl/>
        </w:rPr>
      </w:pPr>
      <w:r>
        <w:rPr>
          <w:rFonts w:hint="cs"/>
          <w:rtl/>
        </w:rPr>
        <w:t>פעמים ששימת לב להתאמת המין הדקדוקי שופכת אור על ההבנה הנכונה והמדויקת של המשפט. להלן שתי דוגמות:</w:t>
      </w:r>
    </w:p>
    <w:p w14:paraId="1A4AE94A" w14:textId="77777777" w:rsidR="008F2822" w:rsidRDefault="008F2822">
      <w:pPr>
        <w:ind w:firstLine="284"/>
        <w:rPr>
          <w:rFonts w:hint="cs"/>
          <w:rtl/>
        </w:rPr>
      </w:pPr>
      <w:r>
        <w:rPr>
          <w:rFonts w:hint="cs"/>
          <w:rtl/>
        </w:rPr>
        <w:t>דוגמה ראשונה מן התורה (</w:t>
      </w:r>
      <w:r>
        <w:rPr>
          <w:sz w:val="18"/>
          <w:szCs w:val="20"/>
          <w:rtl/>
        </w:rPr>
        <w:t>שמות כז, טו</w:t>
      </w:r>
      <w:r>
        <w:rPr>
          <w:rFonts w:hint="cs"/>
          <w:rtl/>
        </w:rPr>
        <w:t>): "</w:t>
      </w:r>
      <w:r>
        <w:rPr>
          <w:rtl/>
        </w:rPr>
        <w:t>חֲמֵשׁ עֶשְׂרֵה קְלָעִים</w:t>
      </w:r>
      <w:r>
        <w:rPr>
          <w:rFonts w:hint="cs"/>
          <w:rtl/>
        </w:rPr>
        <w:t>". המספר "</w:t>
      </w:r>
      <w:r>
        <w:rPr>
          <w:rtl/>
        </w:rPr>
        <w:t>חֲמֵשׁ עֶשְׂרֵה</w:t>
      </w:r>
      <w:r>
        <w:rPr>
          <w:rFonts w:hint="cs"/>
          <w:rtl/>
        </w:rPr>
        <w:t>" מתאים לנקבה, אך ה"</w:t>
      </w:r>
      <w:r>
        <w:rPr>
          <w:rtl/>
        </w:rPr>
        <w:t>קְלָעִים</w:t>
      </w:r>
      <w:r>
        <w:rPr>
          <w:rFonts w:hint="cs"/>
          <w:rtl/>
        </w:rPr>
        <w:t>" הם שֵם ממין זכר</w:t>
      </w:r>
      <w:r>
        <w:rPr>
          <w:rStyle w:val="a6"/>
          <w:rtl/>
        </w:rPr>
        <w:footnoteReference w:id="9"/>
      </w:r>
      <w:r>
        <w:rPr>
          <w:rFonts w:hint="cs"/>
          <w:rtl/>
        </w:rPr>
        <w:t>, ואם רצה הכתוב לציין את מספרם היה לו לכתוב: "</w:t>
      </w:r>
      <w:r>
        <w:rPr>
          <w:rtl/>
        </w:rPr>
        <w:t>חֲמִשָּׁה עָשָׂר</w:t>
      </w:r>
      <w:r>
        <w:rPr>
          <w:rFonts w:hint="cs"/>
          <w:rtl/>
        </w:rPr>
        <w:t xml:space="preserve"> </w:t>
      </w:r>
      <w:r>
        <w:rPr>
          <w:rtl/>
        </w:rPr>
        <w:t>קְלָעִים</w:t>
      </w:r>
      <w:r>
        <w:rPr>
          <w:rFonts w:hint="cs"/>
          <w:rtl/>
        </w:rPr>
        <w:t xml:space="preserve">"! ברם, </w:t>
      </w:r>
      <w:r>
        <w:rPr>
          <w:rFonts w:ascii="Arial" w:hAnsi="Arial" w:hint="cs"/>
          <w:rtl/>
        </w:rPr>
        <w:t xml:space="preserve">לאמִתו של דבר, אין בתורה מניין לקלעי החצר, ואין היא מציינת אלא את </w:t>
      </w:r>
      <w:r>
        <w:rPr>
          <w:rFonts w:hint="cs"/>
          <w:rtl/>
        </w:rPr>
        <w:t>מידת אורכם ב</w:t>
      </w:r>
      <w:r>
        <w:rPr>
          <w:rFonts w:ascii="Arial" w:hAnsi="Arial" w:hint="cs"/>
          <w:rtl/>
        </w:rPr>
        <w:t>אַמּ</w:t>
      </w:r>
      <w:r>
        <w:rPr>
          <w:rFonts w:hint="cs"/>
          <w:rtl/>
        </w:rPr>
        <w:t>ות</w:t>
      </w:r>
      <w:r>
        <w:rPr>
          <w:rFonts w:ascii="Arial" w:hAnsi="Arial" w:hint="cs"/>
          <w:rtl/>
        </w:rPr>
        <w:t xml:space="preserve">, וזהו </w:t>
      </w:r>
      <w:r>
        <w:rPr>
          <w:rFonts w:ascii="Arial" w:hAnsi="Arial"/>
          <w:rtl/>
        </w:rPr>
        <w:t>שיעור</w:t>
      </w:r>
      <w:r>
        <w:rPr>
          <w:rFonts w:ascii="Arial" w:hAnsi="Arial" w:hint="cs"/>
          <w:rtl/>
        </w:rPr>
        <w:t xml:space="preserve"> </w:t>
      </w:r>
      <w:r>
        <w:rPr>
          <w:rFonts w:ascii="Arial" w:hAnsi="Arial"/>
          <w:rtl/>
        </w:rPr>
        <w:t>הכתוב</w:t>
      </w:r>
      <w:r>
        <w:rPr>
          <w:rFonts w:ascii="Arial" w:hAnsi="Arial" w:hint="cs"/>
          <w:rtl/>
        </w:rPr>
        <w:t>: "</w:t>
      </w:r>
      <w:r>
        <w:rPr>
          <w:rFonts w:ascii="Arial" w:hAnsi="Arial"/>
          <w:rtl/>
        </w:rPr>
        <w:t xml:space="preserve">חֲמֵשׁ עֶשְׂרֵה </w:t>
      </w:r>
      <w:r>
        <w:rPr>
          <w:rFonts w:ascii="Arial" w:hAnsi="Arial" w:hint="cs"/>
          <w:rtl/>
        </w:rPr>
        <w:t>[אַמָּה]</w:t>
      </w:r>
      <w:r>
        <w:rPr>
          <w:rFonts w:ascii="Arial" w:hAnsi="Arial"/>
          <w:rtl/>
        </w:rPr>
        <w:t xml:space="preserve"> קְלָעִים</w:t>
      </w:r>
      <w:r>
        <w:rPr>
          <w:rFonts w:ascii="Arial" w:hAnsi="Arial" w:hint="cs"/>
          <w:rtl/>
        </w:rPr>
        <w:t xml:space="preserve">", והמספר מתאים ל"אַמָּה" </w:t>
      </w:r>
      <w:r>
        <w:rPr>
          <w:rFonts w:hint="cs"/>
          <w:rtl/>
        </w:rPr>
        <w:t xml:space="preserve">(שם ממין נקבה). כך מוכח </w:t>
      </w:r>
      <w:r>
        <w:rPr>
          <w:rFonts w:ascii="Arial" w:hAnsi="Arial" w:hint="cs"/>
          <w:rtl/>
        </w:rPr>
        <w:t>מן ה</w:t>
      </w:r>
      <w:r>
        <w:rPr>
          <w:rFonts w:ascii="Arial" w:hAnsi="Arial"/>
          <w:rtl/>
        </w:rPr>
        <w:t>פסוק שלפניו וכ</w:t>
      </w:r>
      <w:r>
        <w:rPr>
          <w:rFonts w:ascii="Arial" w:hAnsi="Arial" w:hint="cs"/>
          <w:rtl/>
        </w:rPr>
        <w:t xml:space="preserve">ן מתיאור ביצוע הציווי בפרשת ויקהל </w:t>
      </w:r>
      <w:r>
        <w:rPr>
          <w:rFonts w:hint="cs"/>
          <w:rtl/>
        </w:rPr>
        <w:t>(</w:t>
      </w:r>
      <w:r>
        <w:rPr>
          <w:sz w:val="18"/>
          <w:szCs w:val="20"/>
          <w:rtl/>
        </w:rPr>
        <w:t xml:space="preserve">שם לח, </w:t>
      </w:r>
      <w:r>
        <w:rPr>
          <w:rFonts w:hint="cs"/>
          <w:sz w:val="18"/>
          <w:szCs w:val="20"/>
          <w:rtl/>
        </w:rPr>
        <w:t>יד-</w:t>
      </w:r>
      <w:r>
        <w:rPr>
          <w:sz w:val="18"/>
          <w:szCs w:val="20"/>
          <w:rtl/>
        </w:rPr>
        <w:t>טו</w:t>
      </w:r>
      <w:r>
        <w:rPr>
          <w:rFonts w:hint="cs"/>
          <w:rtl/>
        </w:rPr>
        <w:t>): "</w:t>
      </w:r>
      <w:r>
        <w:rPr>
          <w:rtl/>
        </w:rPr>
        <w:t>קְלָעִים חֲמֵשׁ עֶשְׂרֵה אַמָּה</w:t>
      </w:r>
      <w:r>
        <w:rPr>
          <w:rFonts w:hint="cs"/>
          <w:rtl/>
        </w:rPr>
        <w:t>"</w:t>
      </w:r>
      <w:r>
        <w:rPr>
          <w:rStyle w:val="a6"/>
          <w:rtl/>
        </w:rPr>
        <w:footnoteReference w:id="10"/>
      </w:r>
      <w:r>
        <w:rPr>
          <w:rFonts w:hint="cs"/>
          <w:rtl/>
        </w:rPr>
        <w:t>.</w:t>
      </w:r>
    </w:p>
    <w:p w14:paraId="46E47A00" w14:textId="77777777" w:rsidR="008F2822" w:rsidRDefault="008F2822">
      <w:pPr>
        <w:pStyle w:val="3"/>
        <w:rPr>
          <w:rFonts w:hint="cs"/>
          <w:b/>
          <w:rtl/>
        </w:rPr>
      </w:pPr>
      <w:r>
        <w:rPr>
          <w:b/>
          <w:rtl/>
        </w:rPr>
        <w:t>אחת מכל סממניה</w:t>
      </w:r>
    </w:p>
    <w:p w14:paraId="46291BBB" w14:textId="77777777" w:rsidR="008F2822" w:rsidRDefault="008F2822">
      <w:pPr>
        <w:ind w:firstLine="284"/>
        <w:rPr>
          <w:rtl/>
        </w:rPr>
      </w:pPr>
      <w:r>
        <w:rPr>
          <w:rFonts w:hint="cs"/>
          <w:rtl/>
        </w:rPr>
        <w:t>דוגמה שניה לכך מהלכה שאמרו חז"ל בנוגע לקטורת הסמים, שאותה אנו מזכירים במהלך התפילה: "</w:t>
      </w:r>
      <w:r>
        <w:rPr>
          <w:rtl/>
        </w:rPr>
        <w:t xml:space="preserve">חיסר </w:t>
      </w:r>
      <w:r>
        <w:rPr>
          <w:b/>
          <w:bCs/>
          <w:rtl/>
        </w:rPr>
        <w:t xml:space="preserve">אחת </w:t>
      </w:r>
      <w:r>
        <w:rPr>
          <w:rtl/>
        </w:rPr>
        <w:t>מכל סממניה</w:t>
      </w:r>
      <w:r>
        <w:rPr>
          <w:rFonts w:hint="cs"/>
          <w:rtl/>
        </w:rPr>
        <w:t xml:space="preserve"> -</w:t>
      </w:r>
      <w:r>
        <w:rPr>
          <w:rtl/>
        </w:rPr>
        <w:t xml:space="preserve"> חייב מיתה</w:t>
      </w:r>
      <w:r>
        <w:rPr>
          <w:rFonts w:hint="cs"/>
          <w:rtl/>
        </w:rPr>
        <w:t>". משפט זה מופיע פעם אחת במדרש התנאים (</w:t>
      </w:r>
      <w:r>
        <w:rPr>
          <w:rtl/>
        </w:rPr>
        <w:t>ספרא</w:t>
      </w:r>
      <w:r>
        <w:rPr>
          <w:rFonts w:hint="cs"/>
          <w:rtl/>
        </w:rPr>
        <w:t xml:space="preserve"> </w:t>
      </w:r>
      <w:r>
        <w:rPr>
          <w:sz w:val="18"/>
          <w:szCs w:val="20"/>
          <w:rtl/>
        </w:rPr>
        <w:t>אחרי מות</w:t>
      </w:r>
      <w:r>
        <w:rPr>
          <w:rFonts w:hint="cs"/>
          <w:sz w:val="18"/>
          <w:szCs w:val="20"/>
          <w:rtl/>
        </w:rPr>
        <w:t>,</w:t>
      </w:r>
      <w:r>
        <w:rPr>
          <w:sz w:val="18"/>
          <w:szCs w:val="20"/>
          <w:rtl/>
        </w:rPr>
        <w:t xml:space="preserve"> פרשה ב</w:t>
      </w:r>
      <w:r>
        <w:rPr>
          <w:rFonts w:hint="cs"/>
          <w:sz w:val="18"/>
          <w:szCs w:val="20"/>
          <w:rtl/>
        </w:rPr>
        <w:t xml:space="preserve">, </w:t>
      </w:r>
      <w:r>
        <w:rPr>
          <w:sz w:val="18"/>
          <w:szCs w:val="20"/>
          <w:rtl/>
        </w:rPr>
        <w:t>פרק ג</w:t>
      </w:r>
      <w:r>
        <w:rPr>
          <w:rFonts w:hint="cs"/>
          <w:rtl/>
        </w:rPr>
        <w:t>), פעמיים בתלמוד ה</w:t>
      </w:r>
      <w:r>
        <w:rPr>
          <w:rtl/>
        </w:rPr>
        <w:t>בבלי</w:t>
      </w:r>
      <w:r>
        <w:rPr>
          <w:rFonts w:hint="cs"/>
          <w:rtl/>
        </w:rPr>
        <w:t xml:space="preserve"> (</w:t>
      </w:r>
      <w:r>
        <w:rPr>
          <w:sz w:val="18"/>
          <w:szCs w:val="20"/>
          <w:rtl/>
        </w:rPr>
        <w:t>כריתות ו</w:t>
      </w:r>
      <w:r>
        <w:rPr>
          <w:rFonts w:hint="cs"/>
          <w:sz w:val="18"/>
          <w:szCs w:val="20"/>
          <w:rtl/>
        </w:rPr>
        <w:t xml:space="preserve">, </w:t>
      </w:r>
      <w:r>
        <w:rPr>
          <w:sz w:val="18"/>
          <w:szCs w:val="20"/>
          <w:rtl/>
        </w:rPr>
        <w:t>א</w:t>
      </w:r>
      <w:r>
        <w:rPr>
          <w:rFonts w:hint="cs"/>
          <w:sz w:val="18"/>
          <w:szCs w:val="20"/>
          <w:rtl/>
        </w:rPr>
        <w:t>;</w:t>
      </w:r>
      <w:r>
        <w:rPr>
          <w:sz w:val="18"/>
          <w:szCs w:val="20"/>
          <w:rtl/>
        </w:rPr>
        <w:t xml:space="preserve"> יומא </w:t>
      </w:r>
      <w:r>
        <w:rPr>
          <w:sz w:val="18"/>
          <w:szCs w:val="20"/>
          <w:rtl/>
        </w:rPr>
        <w:lastRenderedPageBreak/>
        <w:t>נג</w:t>
      </w:r>
      <w:r>
        <w:rPr>
          <w:rFonts w:hint="cs"/>
          <w:sz w:val="18"/>
          <w:szCs w:val="20"/>
          <w:rtl/>
        </w:rPr>
        <w:t xml:space="preserve">, </w:t>
      </w:r>
      <w:r>
        <w:rPr>
          <w:sz w:val="18"/>
          <w:szCs w:val="20"/>
          <w:rtl/>
        </w:rPr>
        <w:t>א</w:t>
      </w:r>
      <w:r>
        <w:rPr>
          <w:rFonts w:hint="cs"/>
          <w:rtl/>
        </w:rPr>
        <w:t>), ארבע פעמים בירושלמי</w:t>
      </w:r>
      <w:r>
        <w:rPr>
          <w:rStyle w:val="a6"/>
          <w:rtl/>
        </w:rPr>
        <w:footnoteReference w:id="11"/>
      </w:r>
      <w:r>
        <w:rPr>
          <w:rFonts w:hint="cs"/>
          <w:rtl/>
        </w:rPr>
        <w:t>, ומודפס בסידורי כל עדות ישראל</w:t>
      </w:r>
      <w:r>
        <w:rPr>
          <w:rStyle w:val="a6"/>
          <w:rtl/>
        </w:rPr>
        <w:footnoteReference w:id="12"/>
      </w:r>
      <w:r>
        <w:rPr>
          <w:rFonts w:hint="cs"/>
          <w:rtl/>
        </w:rPr>
        <w:t xml:space="preserve">. לכאורה, משמעות המשפט היא שמי שחִסר סממן אחד מתוך כל </w:t>
      </w:r>
      <w:r>
        <w:rPr>
          <w:rFonts w:hint="cs"/>
          <w:rtl/>
        </w:rPr>
        <w:lastRenderedPageBreak/>
        <w:t>אֶחד מאַחד עשר סממני הקטורת, כגון שהקטיר רק עשרה סממנים, חייב מיתה (בידי שמים). הואיל והמין הדקדוקי של "סממן" הוא זכר</w:t>
      </w:r>
      <w:r>
        <w:rPr>
          <w:rStyle w:val="a6"/>
          <w:rtl/>
        </w:rPr>
        <w:footnoteReference w:id="13"/>
      </w:r>
      <w:r>
        <w:rPr>
          <w:rFonts w:hint="cs"/>
          <w:rtl/>
        </w:rPr>
        <w:t xml:space="preserve">, מתבקש שנוסח הלכה זו יהיה כלשון </w:t>
      </w:r>
      <w:r>
        <w:rPr>
          <w:rtl/>
        </w:rPr>
        <w:t>הרמב"ם</w:t>
      </w:r>
      <w:r>
        <w:rPr>
          <w:rFonts w:hint="cs"/>
          <w:rtl/>
        </w:rPr>
        <w:t xml:space="preserve">: </w:t>
      </w:r>
      <w:r>
        <w:rPr>
          <w:rtl/>
        </w:rPr>
        <w:t xml:space="preserve">"חיסר </w:t>
      </w:r>
      <w:r>
        <w:rPr>
          <w:b/>
          <w:bCs/>
          <w:rtl/>
        </w:rPr>
        <w:t xml:space="preserve">אחד </w:t>
      </w:r>
      <w:r>
        <w:rPr>
          <w:rtl/>
        </w:rPr>
        <w:t>מסממניה - חייב מיתה"</w:t>
      </w:r>
      <w:r>
        <w:rPr>
          <w:rFonts w:hint="cs"/>
          <w:rtl/>
        </w:rPr>
        <w:t xml:space="preserve"> </w:t>
      </w:r>
      <w:r>
        <w:rPr>
          <w:rFonts w:hint="cs"/>
          <w:sz w:val="18"/>
          <w:rtl/>
        </w:rPr>
        <w:t>(</w:t>
      </w:r>
      <w:r>
        <w:rPr>
          <w:sz w:val="18"/>
          <w:szCs w:val="20"/>
          <w:rtl/>
        </w:rPr>
        <w:t>הלכות כלי</w:t>
      </w:r>
      <w:r>
        <w:rPr>
          <w:sz w:val="14"/>
          <w:szCs w:val="20"/>
        </w:rPr>
        <w:t xml:space="preserve"> </w:t>
      </w:r>
      <w:r>
        <w:rPr>
          <w:sz w:val="18"/>
          <w:szCs w:val="20"/>
          <w:rtl/>
        </w:rPr>
        <w:t xml:space="preserve">המקדש </w:t>
      </w:r>
      <w:r>
        <w:rPr>
          <w:rFonts w:hint="cs"/>
          <w:sz w:val="18"/>
          <w:szCs w:val="20"/>
          <w:rtl/>
        </w:rPr>
        <w:t>פ"</w:t>
      </w:r>
      <w:r>
        <w:rPr>
          <w:sz w:val="18"/>
          <w:szCs w:val="20"/>
          <w:rtl/>
        </w:rPr>
        <w:t xml:space="preserve">ב, </w:t>
      </w:r>
      <w:r>
        <w:rPr>
          <w:rFonts w:hint="cs"/>
          <w:sz w:val="18"/>
          <w:szCs w:val="20"/>
          <w:rtl/>
        </w:rPr>
        <w:t>ה"</w:t>
      </w:r>
      <w:r>
        <w:rPr>
          <w:sz w:val="18"/>
          <w:szCs w:val="20"/>
          <w:rtl/>
        </w:rPr>
        <w:t>ח</w:t>
      </w:r>
      <w:r>
        <w:rPr>
          <w:rStyle w:val="a6"/>
          <w:szCs w:val="20"/>
          <w:rtl/>
        </w:rPr>
        <w:footnoteReference w:id="14"/>
      </w:r>
      <w:r>
        <w:rPr>
          <w:rFonts w:hint="cs"/>
          <w:sz w:val="18"/>
          <w:rtl/>
        </w:rPr>
        <w:t>),</w:t>
      </w:r>
      <w:r>
        <w:rPr>
          <w:rFonts w:hint="cs"/>
          <w:rtl/>
        </w:rPr>
        <w:t xml:space="preserve"> אך ברוב הספרים והסידורים</w:t>
      </w:r>
      <w:r>
        <w:rPr>
          <w:rStyle w:val="a6"/>
          <w:rtl/>
        </w:rPr>
        <w:footnoteReference w:id="15"/>
      </w:r>
      <w:r>
        <w:rPr>
          <w:rFonts w:hint="cs"/>
          <w:rtl/>
        </w:rPr>
        <w:t xml:space="preserve"> הנוסח הוא "</w:t>
      </w:r>
      <w:r>
        <w:rPr>
          <w:rtl/>
        </w:rPr>
        <w:t xml:space="preserve">חיסר </w:t>
      </w:r>
      <w:r>
        <w:rPr>
          <w:b/>
          <w:bCs/>
          <w:rtl/>
        </w:rPr>
        <w:t>אחת</w:t>
      </w:r>
      <w:r>
        <w:rPr>
          <w:rFonts w:hint="cs"/>
          <w:rtl/>
        </w:rPr>
        <w:t>", ולא "</w:t>
      </w:r>
      <w:r>
        <w:rPr>
          <w:rtl/>
        </w:rPr>
        <w:t>אח</w:t>
      </w:r>
      <w:r>
        <w:rPr>
          <w:rFonts w:hint="cs"/>
          <w:b/>
          <w:bCs/>
          <w:rtl/>
        </w:rPr>
        <w:t>ד</w:t>
      </w:r>
      <w:r>
        <w:rPr>
          <w:rFonts w:hint="cs"/>
          <w:rtl/>
        </w:rPr>
        <w:t>"!</w:t>
      </w:r>
    </w:p>
    <w:p w14:paraId="3219A495" w14:textId="77777777" w:rsidR="008F2822" w:rsidRDefault="008F2822">
      <w:pPr>
        <w:ind w:firstLine="284"/>
        <w:rPr>
          <w:rFonts w:hint="cs"/>
          <w:rtl/>
        </w:rPr>
      </w:pPr>
      <w:r>
        <w:rPr>
          <w:rFonts w:hint="cs"/>
          <w:rtl/>
        </w:rPr>
        <w:t>בדומה לדוגמה הקודמת שהדבר הנִספר לא פורש בפסוק, ניתן להציע גם כאן כי הדבר הנספר איננו "סממן אחד", אלא "</w:t>
      </w:r>
      <w:r>
        <w:rPr>
          <w:rtl/>
        </w:rPr>
        <w:t>מ</w:t>
      </w:r>
      <w:r>
        <w:rPr>
          <w:rFonts w:hint="cs"/>
          <w:rtl/>
        </w:rPr>
        <w:t>ִד</w:t>
      </w:r>
      <w:r>
        <w:rPr>
          <w:rtl/>
        </w:rPr>
        <w:t>ָה</w:t>
      </w:r>
      <w:r>
        <w:rPr>
          <w:rFonts w:hint="cs"/>
          <w:rtl/>
        </w:rPr>
        <w:t xml:space="preserve"> </w:t>
      </w:r>
      <w:r>
        <w:rPr>
          <w:rtl/>
        </w:rPr>
        <w:t>אחת</w:t>
      </w:r>
      <w:r>
        <w:rPr>
          <w:rFonts w:hint="cs"/>
          <w:rtl/>
        </w:rPr>
        <w:t>" או "כַמוּת אחת" או "</w:t>
      </w:r>
      <w:r>
        <w:rPr>
          <w:rtl/>
        </w:rPr>
        <w:t>מָנָה</w:t>
      </w:r>
      <w:r>
        <w:rPr>
          <w:rFonts w:hint="cs"/>
          <w:rtl/>
        </w:rPr>
        <w:t xml:space="preserve"> </w:t>
      </w:r>
      <w:r>
        <w:rPr>
          <w:rtl/>
        </w:rPr>
        <w:t>אחת</w:t>
      </w:r>
      <w:r>
        <w:rPr>
          <w:rFonts w:hint="cs"/>
          <w:rtl/>
        </w:rPr>
        <w:t>" של אחד הסממנים</w:t>
      </w:r>
      <w:r>
        <w:rPr>
          <w:rStyle w:val="a6"/>
          <w:rtl/>
        </w:rPr>
        <w:footnoteReference w:id="16"/>
      </w:r>
      <w:r>
        <w:rPr>
          <w:rFonts w:hint="cs"/>
          <w:rtl/>
        </w:rPr>
        <w:t>. לפי זה, מי שמ</w:t>
      </w:r>
      <w:r>
        <w:rPr>
          <w:rtl/>
        </w:rPr>
        <w:t>חסר</w:t>
      </w:r>
      <w:r>
        <w:rPr>
          <w:rFonts w:hint="cs"/>
          <w:rtl/>
        </w:rPr>
        <w:t xml:space="preserve"> "</w:t>
      </w:r>
      <w:r>
        <w:rPr>
          <w:rtl/>
        </w:rPr>
        <w:t>אח</w:t>
      </w:r>
      <w:r>
        <w:rPr>
          <w:b/>
          <w:bCs/>
          <w:rtl/>
        </w:rPr>
        <w:t>ת</w:t>
      </w:r>
      <w:r>
        <w:rPr>
          <w:rFonts w:hint="cs"/>
          <w:rtl/>
        </w:rPr>
        <w:t xml:space="preserve"> מסממניה</w:t>
      </w:r>
      <w:r>
        <w:rPr>
          <w:rtl/>
        </w:rPr>
        <w:t>"</w:t>
      </w:r>
      <w:r>
        <w:rPr>
          <w:rFonts w:hint="cs"/>
          <w:rtl/>
        </w:rPr>
        <w:t xml:space="preserve"> - איננו המשמיט לחלוטין את אחד </w:t>
      </w:r>
      <w:r>
        <w:rPr>
          <w:rFonts w:hint="cs"/>
          <w:rtl/>
        </w:rPr>
        <w:lastRenderedPageBreak/>
        <w:t>הסממנים, אלא המפחית את כמות אחד הסממנים, יחסית לשאר הסממנים</w:t>
      </w:r>
      <w:r>
        <w:rPr>
          <w:rStyle w:val="a6"/>
          <w:rtl/>
        </w:rPr>
        <w:footnoteReference w:id="17"/>
      </w:r>
      <w:r>
        <w:rPr>
          <w:rFonts w:hint="cs"/>
          <w:rtl/>
        </w:rPr>
        <w:t xml:space="preserve"> (שהרי שורש חס"ר משמש גם להֶעדר והשְמָטָה</w:t>
      </w:r>
      <w:r>
        <w:rPr>
          <w:rStyle w:val="a6"/>
          <w:rtl/>
        </w:rPr>
        <w:footnoteReference w:id="18"/>
      </w:r>
      <w:r>
        <w:rPr>
          <w:rFonts w:hint="cs"/>
          <w:rtl/>
        </w:rPr>
        <w:t>, וגם למיעוט והפחתה</w:t>
      </w:r>
      <w:r>
        <w:rPr>
          <w:rStyle w:val="a6"/>
          <w:rtl/>
        </w:rPr>
        <w:footnoteReference w:id="19"/>
      </w:r>
      <w:r>
        <w:rPr>
          <w:rFonts w:hint="cs"/>
          <w:rtl/>
        </w:rPr>
        <w:t xml:space="preserve">). </w:t>
      </w:r>
    </w:p>
    <w:p w14:paraId="1CCBC531" w14:textId="77777777" w:rsidR="008F2822" w:rsidRDefault="008F2822">
      <w:pPr>
        <w:ind w:firstLine="284"/>
        <w:rPr>
          <w:rFonts w:hint="cs"/>
          <w:rtl/>
        </w:rPr>
      </w:pPr>
      <w:r>
        <w:rPr>
          <w:rFonts w:hint="cs"/>
          <w:rtl/>
        </w:rPr>
        <w:t xml:space="preserve">הסבר אחר לחריגה דקדוקית זו ניתן להציע על פי הערת </w:t>
      </w:r>
      <w:r>
        <w:rPr>
          <w:rtl/>
        </w:rPr>
        <w:t xml:space="preserve">רש"י </w:t>
      </w:r>
      <w:r>
        <w:rPr>
          <w:rFonts w:hint="cs"/>
          <w:rtl/>
        </w:rPr>
        <w:t>בפרשת נגעי צרעת (</w:t>
      </w:r>
      <w:r>
        <w:rPr>
          <w:sz w:val="18"/>
          <w:szCs w:val="20"/>
          <w:rtl/>
        </w:rPr>
        <w:t>ויקרא יג</w:t>
      </w:r>
      <w:r>
        <w:rPr>
          <w:rFonts w:hint="cs"/>
          <w:sz w:val="18"/>
          <w:szCs w:val="20"/>
          <w:rtl/>
        </w:rPr>
        <w:t xml:space="preserve">, </w:t>
      </w:r>
      <w:r>
        <w:rPr>
          <w:sz w:val="18"/>
          <w:szCs w:val="20"/>
          <w:rtl/>
        </w:rPr>
        <w:t>ח</w:t>
      </w:r>
      <w:r>
        <w:rPr>
          <w:rFonts w:hint="cs"/>
          <w:rtl/>
        </w:rPr>
        <w:t>):</w:t>
      </w:r>
      <w:r>
        <w:rPr>
          <w:rtl/>
        </w:rPr>
        <w:t xml:space="preserve"> </w:t>
      </w:r>
      <w:r>
        <w:rPr>
          <w:rFonts w:hint="cs"/>
          <w:rtl/>
        </w:rPr>
        <w:t>"</w:t>
      </w:r>
      <w:r>
        <w:rPr>
          <w:rtl/>
        </w:rPr>
        <w:t>צָרַעַת - לשון נקבה</w:t>
      </w:r>
      <w:r>
        <w:rPr>
          <w:rFonts w:hint="cs"/>
          <w:rtl/>
        </w:rPr>
        <w:t xml:space="preserve">. </w:t>
      </w:r>
      <w:r>
        <w:rPr>
          <w:rtl/>
        </w:rPr>
        <w:t>נֶגַע - לשון זכר</w:t>
      </w:r>
      <w:r>
        <w:rPr>
          <w:rFonts w:hint="cs"/>
          <w:rtl/>
        </w:rPr>
        <w:t xml:space="preserve">". כמבואר ברא"ם </w:t>
      </w:r>
      <w:r>
        <w:rPr>
          <w:rFonts w:hint="cs"/>
          <w:sz w:val="26"/>
          <w:rtl/>
        </w:rPr>
        <w:t>ובשאר מפרשי רש"י</w:t>
      </w:r>
      <w:r>
        <w:rPr>
          <w:rFonts w:hint="cs"/>
          <w:rtl/>
        </w:rPr>
        <w:t>, בהערה זו רצה רש"י ליישב את דקדוק לשון התורה: מחד גיסא כתוב "</w:t>
      </w:r>
      <w:r>
        <w:rPr>
          <w:rtl/>
        </w:rPr>
        <w:t xml:space="preserve">וְהִנֵּה הַנֶּגַע </w:t>
      </w:r>
      <w:r>
        <w:rPr>
          <w:b/>
          <w:bCs/>
          <w:rtl/>
        </w:rPr>
        <w:t xml:space="preserve">עָמַד </w:t>
      </w:r>
      <w:r>
        <w:rPr>
          <w:b/>
          <w:bCs/>
          <w:rtl/>
        </w:rPr>
        <w:lastRenderedPageBreak/>
        <w:t>בְּעֵינָיו</w:t>
      </w:r>
      <w:r>
        <w:rPr>
          <w:rFonts w:hint="cs"/>
          <w:rtl/>
        </w:rPr>
        <w:t>" (</w:t>
      </w:r>
      <w:r>
        <w:rPr>
          <w:sz w:val="18"/>
          <w:szCs w:val="20"/>
          <w:rtl/>
        </w:rPr>
        <w:t>ויקרא יג</w:t>
      </w:r>
      <w:r>
        <w:rPr>
          <w:rFonts w:hint="cs"/>
          <w:sz w:val="18"/>
          <w:szCs w:val="20"/>
          <w:rtl/>
        </w:rPr>
        <w:t>,</w:t>
      </w:r>
      <w:r>
        <w:rPr>
          <w:sz w:val="18"/>
          <w:szCs w:val="20"/>
          <w:rtl/>
        </w:rPr>
        <w:t xml:space="preserve"> </w:t>
      </w:r>
      <w:r>
        <w:rPr>
          <w:rFonts w:hint="cs"/>
          <w:sz w:val="18"/>
          <w:szCs w:val="20"/>
          <w:rtl/>
        </w:rPr>
        <w:t>ה</w:t>
      </w:r>
      <w:r>
        <w:rPr>
          <w:rFonts w:hint="cs"/>
          <w:rtl/>
        </w:rPr>
        <w:t>) בלשון זכר, ומאידך גיסא כתוב "</w:t>
      </w:r>
      <w:r>
        <w:rPr>
          <w:rtl/>
        </w:rPr>
        <w:t xml:space="preserve">נֶגַע צָרַעַת כִּי </w:t>
      </w:r>
      <w:r>
        <w:rPr>
          <w:b/>
          <w:bCs/>
          <w:rtl/>
        </w:rPr>
        <w:t>תִ</w:t>
      </w:r>
      <w:r>
        <w:rPr>
          <w:rtl/>
        </w:rPr>
        <w:t>הְיֶה</w:t>
      </w:r>
      <w:r>
        <w:rPr>
          <w:rFonts w:hint="cs"/>
          <w:rtl/>
        </w:rPr>
        <w:t>" (</w:t>
      </w:r>
      <w:r>
        <w:rPr>
          <w:rFonts w:hint="cs"/>
          <w:sz w:val="18"/>
          <w:szCs w:val="20"/>
          <w:rtl/>
        </w:rPr>
        <w:t xml:space="preserve">שם </w:t>
      </w:r>
      <w:r>
        <w:rPr>
          <w:sz w:val="18"/>
          <w:szCs w:val="20"/>
          <w:rtl/>
        </w:rPr>
        <w:t>ט</w:t>
      </w:r>
      <w:r>
        <w:rPr>
          <w:rFonts w:hint="cs"/>
          <w:rtl/>
        </w:rPr>
        <w:t>) בלשון נקבה. הגם שמנהג הלשון הוא שהפֹעל יתאים למין הדקדוקי של</w:t>
      </w:r>
      <w:r>
        <w:rPr>
          <w:rtl/>
        </w:rPr>
        <w:t xml:space="preserve"> </w:t>
      </w:r>
      <w:r>
        <w:rPr>
          <w:rFonts w:hint="cs"/>
          <w:rtl/>
        </w:rPr>
        <w:t>עיקר ("גרעין") הצירוף השמני (דהיינו "</w:t>
      </w:r>
      <w:r>
        <w:rPr>
          <w:rtl/>
        </w:rPr>
        <w:t>נֶגַע</w:t>
      </w:r>
      <w:r>
        <w:rPr>
          <w:rFonts w:hint="cs"/>
          <w:rtl/>
        </w:rPr>
        <w:t>", שהוא ה"נסמך" בצירוף הסמיכות "</w:t>
      </w:r>
      <w:r>
        <w:rPr>
          <w:rtl/>
        </w:rPr>
        <w:t>נֶגַע צָרַעַת</w:t>
      </w:r>
      <w:r>
        <w:rPr>
          <w:rFonts w:hint="cs"/>
          <w:rtl/>
        </w:rPr>
        <w:t>") ולכן היה מתבקש לכתוב "</w:t>
      </w:r>
      <w:r>
        <w:rPr>
          <w:rtl/>
        </w:rPr>
        <w:t xml:space="preserve">נֶגַע צָרַעַת כִּי </w:t>
      </w:r>
      <w:r>
        <w:rPr>
          <w:rFonts w:hint="cs"/>
          <w:b/>
          <w:bCs/>
          <w:rtl/>
        </w:rPr>
        <w:t>י</w:t>
      </w:r>
      <w:r>
        <w:rPr>
          <w:b/>
          <w:bCs/>
          <w:rtl/>
        </w:rPr>
        <w:t>ִ</w:t>
      </w:r>
      <w:r>
        <w:rPr>
          <w:rtl/>
        </w:rPr>
        <w:t>הְיֶה</w:t>
      </w:r>
      <w:r>
        <w:rPr>
          <w:rFonts w:hint="cs"/>
          <w:rtl/>
        </w:rPr>
        <w:t>" -- לפעמים ההתאמה היא למִלה ("לוואי") הנלווית והנספחת אליו (דהיינו "</w:t>
      </w:r>
      <w:r>
        <w:rPr>
          <w:rtl/>
        </w:rPr>
        <w:t>צָרַעַת</w:t>
      </w:r>
      <w:r>
        <w:rPr>
          <w:rFonts w:hint="cs"/>
          <w:rtl/>
        </w:rPr>
        <w:t>", שהיא ה"סומך" בצירוף זה), ובפרט ש"</w:t>
      </w:r>
      <w:r>
        <w:rPr>
          <w:rtl/>
        </w:rPr>
        <w:t>צָרַעַת</w:t>
      </w:r>
      <w:r>
        <w:rPr>
          <w:rFonts w:hint="cs"/>
          <w:rtl/>
        </w:rPr>
        <w:t>" סמוכה יותר אל הפֹעל</w:t>
      </w:r>
      <w:r>
        <w:rPr>
          <w:rStyle w:val="a6"/>
          <w:rtl/>
        </w:rPr>
        <w:footnoteReference w:id="20"/>
      </w:r>
      <w:r>
        <w:rPr>
          <w:rFonts w:hint="cs"/>
          <w:rtl/>
        </w:rPr>
        <w:t>.</w:t>
      </w:r>
    </w:p>
    <w:p w14:paraId="5058B334" w14:textId="77777777" w:rsidR="008F2822" w:rsidRDefault="008F2822">
      <w:pPr>
        <w:ind w:firstLine="284"/>
        <w:rPr>
          <w:rFonts w:hint="cs"/>
          <w:rtl/>
        </w:rPr>
      </w:pPr>
      <w:r>
        <w:rPr>
          <w:rFonts w:hint="cs"/>
          <w:rtl/>
        </w:rPr>
        <w:t xml:space="preserve">עיקרון זה מבואר בפירוש </w:t>
      </w:r>
      <w:r>
        <w:rPr>
          <w:rtl/>
        </w:rPr>
        <w:t xml:space="preserve">רד"ק </w:t>
      </w:r>
      <w:r>
        <w:rPr>
          <w:rFonts w:hint="cs"/>
          <w:rtl/>
        </w:rPr>
        <w:t>ל</w:t>
      </w:r>
      <w:r>
        <w:rPr>
          <w:rtl/>
        </w:rPr>
        <w:t xml:space="preserve">מלכים </w:t>
      </w:r>
      <w:r>
        <w:rPr>
          <w:rFonts w:hint="cs"/>
          <w:rtl/>
        </w:rPr>
        <w:t>(</w:t>
      </w:r>
      <w:r>
        <w:rPr>
          <w:sz w:val="18"/>
          <w:szCs w:val="20"/>
          <w:rtl/>
        </w:rPr>
        <w:t>א</w:t>
      </w:r>
      <w:r>
        <w:rPr>
          <w:rFonts w:hint="cs"/>
          <w:sz w:val="18"/>
          <w:szCs w:val="20"/>
          <w:rtl/>
        </w:rPr>
        <w:t>'</w:t>
      </w:r>
      <w:r>
        <w:rPr>
          <w:sz w:val="18"/>
          <w:szCs w:val="20"/>
          <w:rtl/>
        </w:rPr>
        <w:t xml:space="preserve"> </w:t>
      </w:r>
      <w:r>
        <w:rPr>
          <w:rFonts w:hint="cs"/>
          <w:sz w:val="18"/>
          <w:szCs w:val="20"/>
          <w:rtl/>
        </w:rPr>
        <w:t xml:space="preserve">פרק </w:t>
      </w:r>
      <w:r>
        <w:rPr>
          <w:sz w:val="18"/>
          <w:szCs w:val="20"/>
          <w:rtl/>
        </w:rPr>
        <w:t>יז</w:t>
      </w:r>
      <w:r>
        <w:rPr>
          <w:rFonts w:hint="cs"/>
          <w:rtl/>
        </w:rPr>
        <w:t>). אליהו מבטיח לאשה מִצָרפת "</w:t>
      </w:r>
      <w:r>
        <w:rPr>
          <w:rtl/>
        </w:rPr>
        <w:t xml:space="preserve">כַּד הַקֶּמַח לֹא תִכְלָה וְצַפַּחַת הַשֶּׁמֶן לֹא </w:t>
      </w:r>
      <w:r>
        <w:rPr>
          <w:b/>
          <w:bCs/>
          <w:rtl/>
        </w:rPr>
        <w:t>תֶחְסָר</w:t>
      </w:r>
      <w:r>
        <w:rPr>
          <w:rFonts w:hint="cs"/>
          <w:rtl/>
        </w:rPr>
        <w:t>" (</w:t>
      </w:r>
      <w:r>
        <w:rPr>
          <w:rFonts w:hint="cs"/>
          <w:sz w:val="18"/>
          <w:szCs w:val="20"/>
          <w:rtl/>
        </w:rPr>
        <w:t>פסוק יד</w:t>
      </w:r>
      <w:r>
        <w:rPr>
          <w:rFonts w:hint="cs"/>
          <w:rtl/>
        </w:rPr>
        <w:t>), אך בתיאור התקיימות נבואתו לא נאמר "</w:t>
      </w:r>
      <w:r>
        <w:rPr>
          <w:rtl/>
        </w:rPr>
        <w:t>לֹא חָס</w:t>
      </w:r>
      <w:r>
        <w:rPr>
          <w:rFonts w:hint="cs"/>
          <w:rtl/>
        </w:rPr>
        <w:t>ְ</w:t>
      </w:r>
      <w:r>
        <w:rPr>
          <w:rtl/>
        </w:rPr>
        <w:t>ר</w:t>
      </w:r>
      <w:r>
        <w:rPr>
          <w:rFonts w:hint="cs"/>
          <w:rtl/>
        </w:rPr>
        <w:t>ָה" בלשון נקבה אלא בלשון זכר: "</w:t>
      </w:r>
      <w:r>
        <w:rPr>
          <w:rtl/>
        </w:rPr>
        <w:t>צַפַּחַת הַשֶּׁמֶן לֹא חָסֵר</w:t>
      </w:r>
      <w:r>
        <w:rPr>
          <w:rFonts w:hint="cs"/>
          <w:rtl/>
        </w:rPr>
        <w:t>" (</w:t>
      </w:r>
      <w:r>
        <w:rPr>
          <w:rFonts w:hint="cs"/>
          <w:sz w:val="18"/>
          <w:szCs w:val="20"/>
          <w:rtl/>
        </w:rPr>
        <w:t xml:space="preserve">פסוק </w:t>
      </w:r>
      <w:r>
        <w:rPr>
          <w:sz w:val="18"/>
          <w:szCs w:val="20"/>
          <w:rtl/>
        </w:rPr>
        <w:t>טז</w:t>
      </w:r>
      <w:r>
        <w:rPr>
          <w:rFonts w:hint="cs"/>
          <w:rtl/>
        </w:rPr>
        <w:t>), אע"פ שה"</w:t>
      </w:r>
      <w:r>
        <w:rPr>
          <w:rtl/>
        </w:rPr>
        <w:t>צַפַּחַת</w:t>
      </w:r>
      <w:r>
        <w:rPr>
          <w:rFonts w:hint="cs"/>
          <w:rtl/>
        </w:rPr>
        <w:t xml:space="preserve">", שהיא גרעין הצירוף השמני, ממין נקבה! וכך כותב רד"ק: </w:t>
      </w:r>
    </w:p>
    <w:p w14:paraId="75DFB9E3" w14:textId="77777777" w:rsidR="008F2822" w:rsidRDefault="008F2822">
      <w:pPr>
        <w:pStyle w:val="ac"/>
        <w:rPr>
          <w:rtl/>
        </w:rPr>
      </w:pPr>
      <w:r>
        <w:rPr>
          <w:rFonts w:hint="cs"/>
          <w:rtl/>
        </w:rPr>
        <w:t>"</w:t>
      </w:r>
      <w:r>
        <w:rPr>
          <w:rtl/>
        </w:rPr>
        <w:t>ואמר חָסֵר לשון זכר</w:t>
      </w:r>
      <w:r>
        <w:rPr>
          <w:rFonts w:hint="cs"/>
          <w:rtl/>
        </w:rPr>
        <w:t>,</w:t>
      </w:r>
      <w:r>
        <w:rPr>
          <w:rtl/>
        </w:rPr>
        <w:t xml:space="preserve"> כי טעמו אל הַשֶּׁמֶן</w:t>
      </w:r>
      <w:r>
        <w:rPr>
          <w:rFonts w:hint="cs"/>
          <w:rtl/>
        </w:rPr>
        <w:t xml:space="preserve">; </w:t>
      </w:r>
      <w:r>
        <w:rPr>
          <w:rtl/>
        </w:rPr>
        <w:t>ולמעלה אמר לֹא תֶחְסָר לשון נקבה</w:t>
      </w:r>
      <w:r>
        <w:rPr>
          <w:rFonts w:hint="cs"/>
          <w:rtl/>
        </w:rPr>
        <w:t xml:space="preserve">, </w:t>
      </w:r>
      <w:r>
        <w:rPr>
          <w:rtl/>
        </w:rPr>
        <w:t>טעמו על הצַפַּחַת</w:t>
      </w:r>
      <w:r>
        <w:rPr>
          <w:rFonts w:hint="cs"/>
          <w:rtl/>
        </w:rPr>
        <w:t>; והעניי</w:t>
      </w:r>
      <w:r>
        <w:rPr>
          <w:rFonts w:hint="eastAsia"/>
          <w:rtl/>
        </w:rPr>
        <w:t>ן</w:t>
      </w:r>
      <w:r>
        <w:rPr>
          <w:rFonts w:hint="cs"/>
          <w:rtl/>
        </w:rPr>
        <w:t xml:space="preserve"> </w:t>
      </w:r>
      <w:r>
        <w:rPr>
          <w:rtl/>
        </w:rPr>
        <w:t>אחד</w:t>
      </w:r>
      <w:r>
        <w:rPr>
          <w:rFonts w:hint="cs"/>
          <w:rtl/>
        </w:rPr>
        <w:t>.</w:t>
      </w:r>
      <w:r>
        <w:rPr>
          <w:rtl/>
        </w:rPr>
        <w:t xml:space="preserve"> כמו שאמר למעלה </w:t>
      </w:r>
      <w:r>
        <w:rPr>
          <w:rFonts w:hint="cs"/>
          <w:rtl/>
        </w:rPr>
        <w:t>(</w:t>
      </w:r>
      <w:r>
        <w:rPr>
          <w:rFonts w:hint="cs"/>
          <w:sz w:val="18"/>
          <w:szCs w:val="20"/>
          <w:rtl/>
        </w:rPr>
        <w:t>פסוק יד</w:t>
      </w:r>
      <w:r>
        <w:rPr>
          <w:rFonts w:hint="cs"/>
          <w:rtl/>
        </w:rPr>
        <w:t xml:space="preserve">) </w:t>
      </w:r>
      <w:r>
        <w:rPr>
          <w:rtl/>
        </w:rPr>
        <w:t>הוא מנהג הלשון ברוב</w:t>
      </w:r>
      <w:r>
        <w:rPr>
          <w:rFonts w:hint="cs"/>
          <w:rtl/>
        </w:rPr>
        <w:t>:</w:t>
      </w:r>
      <w:r>
        <w:rPr>
          <w:rtl/>
        </w:rPr>
        <w:t xml:space="preserve"> להיות טעם הפ</w:t>
      </w:r>
      <w:r>
        <w:rPr>
          <w:rFonts w:hint="cs"/>
          <w:rtl/>
        </w:rPr>
        <w:t>ֹ</w:t>
      </w:r>
      <w:r>
        <w:rPr>
          <w:rtl/>
        </w:rPr>
        <w:t>על אל הדבק</w:t>
      </w:r>
      <w:r>
        <w:rPr>
          <w:rFonts w:hint="cs"/>
          <w:rtl/>
        </w:rPr>
        <w:t xml:space="preserve">, </w:t>
      </w:r>
      <w:r>
        <w:rPr>
          <w:rtl/>
        </w:rPr>
        <w:t>ו</w:t>
      </w:r>
      <w:r>
        <w:rPr>
          <w:rFonts w:hint="cs"/>
          <w:rtl/>
        </w:rPr>
        <w:t>ב</w:t>
      </w:r>
      <w:r>
        <w:rPr>
          <w:rtl/>
        </w:rPr>
        <w:t>מעט</w:t>
      </w:r>
      <w:r>
        <w:rPr>
          <w:rStyle w:val="a6"/>
          <w:rtl/>
        </w:rPr>
        <w:footnoteReference w:id="21"/>
      </w:r>
      <w:r>
        <w:rPr>
          <w:rFonts w:hint="cs"/>
          <w:rtl/>
        </w:rPr>
        <w:t>:</w:t>
      </w:r>
      <w:r>
        <w:rPr>
          <w:rtl/>
        </w:rPr>
        <w:t xml:space="preserve"> יהיה הפ</w:t>
      </w:r>
      <w:r>
        <w:rPr>
          <w:rFonts w:hint="cs"/>
          <w:rtl/>
        </w:rPr>
        <w:t>ֹ</w:t>
      </w:r>
      <w:r>
        <w:rPr>
          <w:rtl/>
        </w:rPr>
        <w:t>על אל הנדבק</w:t>
      </w:r>
      <w:r>
        <w:rPr>
          <w:rFonts w:hint="cs"/>
          <w:rtl/>
        </w:rPr>
        <w:t>,</w:t>
      </w:r>
      <w:r>
        <w:rPr>
          <w:rtl/>
        </w:rPr>
        <w:t xml:space="preserve"> כמו</w:t>
      </w:r>
      <w:r>
        <w:rPr>
          <w:rFonts w:hint="cs"/>
          <w:rtl/>
        </w:rPr>
        <w:t>:</w:t>
      </w:r>
      <w:r>
        <w:rPr>
          <w:rtl/>
        </w:rPr>
        <w:t xml:space="preserve"> כִּי הָיְתָה אֵלָיו פְּנֵי הַמִּלְחָמָה </w:t>
      </w:r>
      <w:r>
        <w:rPr>
          <w:rFonts w:hint="cs"/>
          <w:rtl/>
        </w:rPr>
        <w:t>(</w:t>
      </w:r>
      <w:r>
        <w:rPr>
          <w:sz w:val="18"/>
          <w:szCs w:val="20"/>
          <w:rtl/>
        </w:rPr>
        <w:t>שמואל ב</w:t>
      </w:r>
      <w:r>
        <w:rPr>
          <w:rFonts w:hint="cs"/>
          <w:sz w:val="18"/>
          <w:szCs w:val="20"/>
          <w:rtl/>
        </w:rPr>
        <w:t>'</w:t>
      </w:r>
      <w:r>
        <w:rPr>
          <w:sz w:val="18"/>
          <w:szCs w:val="20"/>
          <w:rtl/>
        </w:rPr>
        <w:t xml:space="preserve"> י</w:t>
      </w:r>
      <w:r>
        <w:rPr>
          <w:rFonts w:hint="cs"/>
          <w:sz w:val="18"/>
          <w:szCs w:val="20"/>
          <w:rtl/>
        </w:rPr>
        <w:t xml:space="preserve">, </w:t>
      </w:r>
      <w:r>
        <w:rPr>
          <w:sz w:val="18"/>
          <w:szCs w:val="20"/>
          <w:rtl/>
        </w:rPr>
        <w:t>ט</w:t>
      </w:r>
      <w:r>
        <w:rPr>
          <w:rFonts w:hint="cs"/>
          <w:sz w:val="18"/>
          <w:szCs w:val="20"/>
          <w:rtl/>
        </w:rPr>
        <w:t>; במקום "כי היו"</w:t>
      </w:r>
      <w:r>
        <w:rPr>
          <w:rFonts w:hint="cs"/>
          <w:rtl/>
        </w:rPr>
        <w:t xml:space="preserve">), </w:t>
      </w:r>
      <w:r>
        <w:rPr>
          <w:rtl/>
        </w:rPr>
        <w:t xml:space="preserve">קוֹל נְגִידִים נֶחְבָּאוּ </w:t>
      </w:r>
      <w:r>
        <w:rPr>
          <w:rFonts w:hint="cs"/>
          <w:rtl/>
        </w:rPr>
        <w:t>(</w:t>
      </w:r>
      <w:r>
        <w:rPr>
          <w:sz w:val="18"/>
          <w:szCs w:val="20"/>
          <w:rtl/>
        </w:rPr>
        <w:t>איוב כט</w:t>
      </w:r>
      <w:r>
        <w:rPr>
          <w:rFonts w:hint="cs"/>
          <w:sz w:val="18"/>
          <w:szCs w:val="20"/>
          <w:rtl/>
        </w:rPr>
        <w:t xml:space="preserve">, </w:t>
      </w:r>
      <w:r>
        <w:rPr>
          <w:sz w:val="18"/>
          <w:szCs w:val="20"/>
          <w:rtl/>
        </w:rPr>
        <w:t>י</w:t>
      </w:r>
      <w:r>
        <w:rPr>
          <w:rFonts w:hint="cs"/>
          <w:sz w:val="18"/>
          <w:szCs w:val="20"/>
          <w:rtl/>
        </w:rPr>
        <w:t>; במקום "נחבא"</w:t>
      </w:r>
      <w:r>
        <w:rPr>
          <w:rFonts w:hint="cs"/>
          <w:rtl/>
        </w:rPr>
        <w:t>), "</w:t>
      </w:r>
      <w:r>
        <w:rPr>
          <w:rtl/>
        </w:rPr>
        <w:t>קֶשֶׁת</w:t>
      </w:r>
      <w:r>
        <w:rPr>
          <w:rFonts w:hint="cs"/>
          <w:rtl/>
        </w:rPr>
        <w:t xml:space="preserve"> </w:t>
      </w:r>
      <w:r>
        <w:rPr>
          <w:rtl/>
        </w:rPr>
        <w:t>גִּבֹּרִים חַתִּים</w:t>
      </w:r>
      <w:r>
        <w:rPr>
          <w:rFonts w:hint="cs"/>
          <w:rtl/>
        </w:rPr>
        <w:t>" (</w:t>
      </w:r>
      <w:r>
        <w:rPr>
          <w:sz w:val="18"/>
          <w:szCs w:val="20"/>
          <w:rtl/>
        </w:rPr>
        <w:t xml:space="preserve">שמואל </w:t>
      </w:r>
      <w:r>
        <w:rPr>
          <w:szCs w:val="20"/>
          <w:rtl/>
        </w:rPr>
        <w:t>א</w:t>
      </w:r>
      <w:r>
        <w:rPr>
          <w:rFonts w:hint="cs"/>
          <w:szCs w:val="20"/>
          <w:rtl/>
        </w:rPr>
        <w:t>'</w:t>
      </w:r>
      <w:r>
        <w:rPr>
          <w:szCs w:val="20"/>
          <w:rtl/>
        </w:rPr>
        <w:t xml:space="preserve"> ב</w:t>
      </w:r>
      <w:r>
        <w:rPr>
          <w:rFonts w:hint="cs"/>
          <w:szCs w:val="20"/>
          <w:rtl/>
        </w:rPr>
        <w:t xml:space="preserve">, </w:t>
      </w:r>
      <w:r>
        <w:rPr>
          <w:szCs w:val="20"/>
          <w:rtl/>
        </w:rPr>
        <w:t>ד</w:t>
      </w:r>
      <w:r>
        <w:rPr>
          <w:rFonts w:hint="cs"/>
          <w:sz w:val="18"/>
          <w:szCs w:val="20"/>
          <w:rtl/>
        </w:rPr>
        <w:t>; במקום "חתה"</w:t>
      </w:r>
      <w:r>
        <w:rPr>
          <w:rStyle w:val="a6"/>
          <w:szCs w:val="20"/>
          <w:rtl/>
        </w:rPr>
        <w:footnoteReference w:id="22"/>
      </w:r>
      <w:r>
        <w:rPr>
          <w:rFonts w:hint="cs"/>
          <w:rtl/>
        </w:rPr>
        <w:t>)".</w:t>
      </w:r>
      <w:r>
        <w:rPr>
          <w:rtl/>
        </w:rPr>
        <w:t xml:space="preserve"> </w:t>
      </w:r>
    </w:p>
    <w:p w14:paraId="22EB3E2A" w14:textId="77777777" w:rsidR="008F2822" w:rsidRDefault="008F2822">
      <w:pPr>
        <w:ind w:firstLine="284"/>
        <w:rPr>
          <w:rFonts w:hint="cs"/>
          <w:rtl/>
        </w:rPr>
      </w:pPr>
      <w:r>
        <w:rPr>
          <w:rFonts w:hint="cs"/>
          <w:rtl/>
        </w:rPr>
        <w:lastRenderedPageBreak/>
        <w:t>מהדוגמה "</w:t>
      </w:r>
      <w:r>
        <w:rPr>
          <w:rtl/>
        </w:rPr>
        <w:t>כִּי הָיְתָה אֵלָיו פְּנֵי הַמִּלְחָמָה</w:t>
      </w:r>
      <w:r>
        <w:rPr>
          <w:rFonts w:hint="cs"/>
          <w:rtl/>
        </w:rPr>
        <w:t xml:space="preserve">" נוכל להסיק שגם כשהפֹעל לפני צירוף הסמיכות, ניתן להתאים את מינו למין השם השני ("הסומך") אף שהוא מרוחק יותר! </w:t>
      </w:r>
    </w:p>
    <w:p w14:paraId="35BC9F1C" w14:textId="77777777" w:rsidR="008F2822" w:rsidRDefault="008F2822">
      <w:pPr>
        <w:ind w:firstLine="284"/>
        <w:rPr>
          <w:rFonts w:hint="cs"/>
          <w:rtl/>
        </w:rPr>
      </w:pPr>
      <w:r>
        <w:rPr>
          <w:rFonts w:hint="cs"/>
          <w:rtl/>
        </w:rPr>
        <w:t>מכאן נלמד לעניי</w:t>
      </w:r>
      <w:r>
        <w:rPr>
          <w:rFonts w:hint="eastAsia"/>
          <w:rtl/>
        </w:rPr>
        <w:t>ן</w:t>
      </w:r>
      <w:r>
        <w:rPr>
          <w:rFonts w:hint="cs"/>
          <w:rtl/>
        </w:rPr>
        <w:t xml:space="preserve"> הצירוף השמני "</w:t>
      </w:r>
      <w:r>
        <w:rPr>
          <w:rtl/>
        </w:rPr>
        <w:t>סממ</w:t>
      </w:r>
      <w:r>
        <w:rPr>
          <w:rFonts w:hint="cs"/>
          <w:rtl/>
        </w:rPr>
        <w:t>ניה", המקוצר מהצירוף "סממנים שלה" (של הקטורת), ובו "סממני" הוא העיקר (ה"גרעין"), והסיומת הנקבית "-ה" היא הטפלה והנלווית אל השֵם ("כינוי שייכות חבור"). לפי האמור, ניתן ליישב את הנוסח "אחת", אע"פ שכאן מדובר בלשון חכמים ולא בלשון מקרא, ואף בלשון המקרא אין זו דרך המלך.</w:t>
      </w:r>
    </w:p>
    <w:p w14:paraId="2030C473" w14:textId="77777777" w:rsidR="008F2822" w:rsidRDefault="008F2822">
      <w:pPr>
        <w:ind w:firstLine="284"/>
        <w:rPr>
          <w:rFonts w:hint="cs"/>
          <w:rtl/>
        </w:rPr>
      </w:pPr>
      <w:r>
        <w:rPr>
          <w:rFonts w:hint="cs"/>
          <w:rtl/>
        </w:rPr>
        <w:t>כמו כן, ניתן להצדיק את הנוסח "אחת" בטענה שלא תמיד ישנה התאמה דקדוקית</w:t>
      </w:r>
      <w:r>
        <w:rPr>
          <w:rStyle w:val="a6"/>
          <w:rtl/>
        </w:rPr>
        <w:footnoteReference w:id="23"/>
      </w:r>
      <w:r>
        <w:rPr>
          <w:rFonts w:hint="cs"/>
          <w:rtl/>
        </w:rPr>
        <w:t>.</w:t>
      </w:r>
    </w:p>
    <w:p w14:paraId="09ED2A00" w14:textId="77777777" w:rsidR="008F2822" w:rsidRDefault="008F2822">
      <w:pPr>
        <w:ind w:firstLine="284"/>
        <w:rPr>
          <w:rFonts w:hint="cs"/>
          <w:rtl/>
        </w:rPr>
      </w:pPr>
      <w:r>
        <w:rPr>
          <w:rFonts w:hint="cs"/>
          <w:rtl/>
        </w:rPr>
        <w:t>הרוצה לדבוק בנוסח הנפוץ "</w:t>
      </w:r>
      <w:r>
        <w:rPr>
          <w:rtl/>
        </w:rPr>
        <w:t xml:space="preserve">חיסר </w:t>
      </w:r>
      <w:r>
        <w:rPr>
          <w:rFonts w:hint="cs"/>
          <w:rtl/>
        </w:rPr>
        <w:t>אחת", יוכל להצדיק זאת באחד משלושה תירוצים אלו.</w:t>
      </w:r>
    </w:p>
    <w:p w14:paraId="6A70FAA5" w14:textId="77777777" w:rsidR="008F2822" w:rsidRDefault="008F2822">
      <w:pPr>
        <w:ind w:firstLine="284"/>
        <w:rPr>
          <w:rFonts w:hint="cs"/>
          <w:rtl/>
        </w:rPr>
      </w:pPr>
      <w:r>
        <w:rPr>
          <w:rFonts w:hint="cs"/>
          <w:rtl/>
        </w:rPr>
        <w:t>ברם, ישנה דרך רביעית מרווחת הרבה יותר, ולפיה אין קושיה ואין תמיהה וממילא אין צורך לפתוח שערי תירוצים: יתכן שהנוסח "אחת" לא יצא כלל מפי חז"ל, אלא הוא פרי שיבוש העתקה: הקיצור של א'[ח</w:t>
      </w:r>
      <w:r>
        <w:rPr>
          <w:rFonts w:hint="cs"/>
          <w:b/>
          <w:bCs/>
          <w:rtl/>
        </w:rPr>
        <w:t>ד</w:t>
      </w:r>
      <w:r>
        <w:rPr>
          <w:rFonts w:hint="cs"/>
          <w:rtl/>
        </w:rPr>
        <w:t>] פוענח בטעות המעתיקים לא'[ח</w:t>
      </w:r>
      <w:r>
        <w:rPr>
          <w:rFonts w:hint="cs"/>
          <w:b/>
          <w:bCs/>
          <w:rtl/>
        </w:rPr>
        <w:t>ת</w:t>
      </w:r>
      <w:r>
        <w:rPr>
          <w:rFonts w:hint="cs"/>
          <w:rtl/>
        </w:rPr>
        <w:t>] (</w:t>
      </w:r>
      <w:r>
        <w:rPr>
          <w:rFonts w:hint="cs"/>
          <w:sz w:val="18"/>
          <w:szCs w:val="20"/>
          <w:rtl/>
        </w:rPr>
        <w:t>כמודגם לעיל בהערה 8 וראה המחשה לכך בהערה 25</w:t>
      </w:r>
      <w:r>
        <w:rPr>
          <w:rFonts w:hint="cs"/>
          <w:rtl/>
        </w:rPr>
        <w:t>). הנוסח "אחד" מופיע בכתבי יד של הספרא</w:t>
      </w:r>
      <w:r>
        <w:rPr>
          <w:rStyle w:val="a6"/>
          <w:rtl/>
        </w:rPr>
        <w:footnoteReference w:id="24"/>
      </w:r>
      <w:r>
        <w:rPr>
          <w:rFonts w:hint="cs"/>
          <w:rtl/>
        </w:rPr>
        <w:t xml:space="preserve"> ושל הבבלי</w:t>
      </w:r>
      <w:r>
        <w:rPr>
          <w:rStyle w:val="a6"/>
          <w:rtl/>
        </w:rPr>
        <w:footnoteReference w:id="25"/>
      </w:r>
      <w:r>
        <w:rPr>
          <w:rFonts w:hint="cs"/>
          <w:rtl/>
        </w:rPr>
        <w:t>, ובספר אבודרהם (</w:t>
      </w:r>
      <w:r>
        <w:rPr>
          <w:sz w:val="18"/>
          <w:szCs w:val="20"/>
          <w:rtl/>
        </w:rPr>
        <w:t>פיטום הקטורת ד"ה ואומר</w:t>
      </w:r>
      <w:r>
        <w:rPr>
          <w:rFonts w:hint="cs"/>
          <w:rtl/>
        </w:rPr>
        <w:t xml:space="preserve">). </w:t>
      </w:r>
      <w:r>
        <w:rPr>
          <w:rFonts w:hint="cs"/>
          <w:rtl/>
        </w:rPr>
        <w:lastRenderedPageBreak/>
        <w:t>כך ה</w:t>
      </w:r>
      <w:r>
        <w:rPr>
          <w:rtl/>
        </w:rPr>
        <w:t>גיה ריעב"ץ</w:t>
      </w:r>
      <w:r>
        <w:rPr>
          <w:rFonts w:hint="cs"/>
          <w:rtl/>
        </w:rPr>
        <w:t xml:space="preserve"> את נוסח התלמוד</w:t>
      </w:r>
      <w:r>
        <w:rPr>
          <w:rStyle w:val="a6"/>
          <w:rtl/>
        </w:rPr>
        <w:footnoteReference w:id="26"/>
      </w:r>
      <w:r>
        <w:rPr>
          <w:rFonts w:hint="cs"/>
          <w:rtl/>
        </w:rPr>
        <w:t>, וכך תיקנו כמה מגדולי האחרונים את הנוסח בסידור, הלכה למעשה</w:t>
      </w:r>
      <w:r>
        <w:rPr>
          <w:rStyle w:val="a6"/>
          <w:rtl/>
        </w:rPr>
        <w:footnoteReference w:id="27"/>
      </w:r>
      <w:r>
        <w:rPr>
          <w:rFonts w:hint="cs"/>
          <w:rtl/>
        </w:rPr>
        <w:t>. כאמור, זוהי גם לשון ה</w:t>
      </w:r>
      <w:r>
        <w:rPr>
          <w:rtl/>
        </w:rPr>
        <w:t>רמב"ם</w:t>
      </w:r>
      <w:r>
        <w:rPr>
          <w:rFonts w:hint="cs"/>
          <w:rtl/>
        </w:rPr>
        <w:t>,</w:t>
      </w:r>
      <w:r>
        <w:rPr>
          <w:rFonts w:hint="cs"/>
          <w:sz w:val="26"/>
          <w:rtl/>
        </w:rPr>
        <w:t xml:space="preserve"> ר' יוסף קארו</w:t>
      </w:r>
      <w:r>
        <w:rPr>
          <w:rFonts w:hint="cs"/>
          <w:sz w:val="18"/>
          <w:rtl/>
        </w:rPr>
        <w:t xml:space="preserve"> </w:t>
      </w:r>
      <w:r>
        <w:rPr>
          <w:rFonts w:hint="cs"/>
          <w:sz w:val="26"/>
          <w:rtl/>
        </w:rPr>
        <w:t>ו</w:t>
      </w:r>
      <w:r>
        <w:rPr>
          <w:rFonts w:hint="cs"/>
          <w:sz w:val="18"/>
          <w:rtl/>
        </w:rPr>
        <w:t>רמ"א.</w:t>
      </w:r>
    </w:p>
    <w:p w14:paraId="0B4C7212" w14:textId="77777777" w:rsidR="008F2822" w:rsidRDefault="008F2822">
      <w:pPr>
        <w:ind w:firstLine="284"/>
        <w:rPr>
          <w:rFonts w:hint="cs"/>
          <w:rtl/>
        </w:rPr>
      </w:pPr>
      <w:r>
        <w:rPr>
          <w:rFonts w:hint="cs"/>
          <w:rtl/>
        </w:rPr>
        <w:lastRenderedPageBreak/>
        <w:t>עכ"פ, בין אם נמשיך לדבוק בנוסח התמוה וניישבו, ובין אם נחזיר ליושנו את עטרת הנוסח העולה בקנה אחד עם כללי הדקדוק, בזכות תשומת הלב לדקדוק זה נִתן להתבונן ולעיין ולכוון כראוי.</w:t>
      </w:r>
    </w:p>
    <w:sectPr w:rsidR="008F2822">
      <w:footerReference w:type="even" r:id="rId10"/>
      <w:footerReference w:type="default" r:id="rId11"/>
      <w:pgSz w:w="11340" w:h="14175"/>
      <w:pgMar w:top="1134" w:right="1361" w:bottom="1134" w:left="1361" w:header="709" w:footer="709" w:gutter="0"/>
      <w:cols w:space="708"/>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E921B" w14:textId="77777777" w:rsidR="008F2822" w:rsidRDefault="008F2822">
      <w:pPr>
        <w:spacing w:line="240" w:lineRule="auto"/>
      </w:pPr>
      <w:r>
        <w:separator/>
      </w:r>
    </w:p>
  </w:endnote>
  <w:endnote w:type="continuationSeparator" w:id="0">
    <w:p w14:paraId="3502BE0D" w14:textId="77777777" w:rsidR="008F2822" w:rsidRDefault="008F28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ttman Drogolin">
    <w:panose1 w:val="02010401010101010101"/>
    <w:charset w:val="B1"/>
    <w:family w:val="auto"/>
    <w:pitch w:val="variable"/>
    <w:sig w:usb0="00000801" w:usb1="40000000" w:usb2="00000000" w:usb3="00000000" w:csb0="00000020" w:csb1="00000000"/>
  </w:font>
  <w:font w:name="Miriam Transparent">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opType Toledo">
    <w:charset w:val="B1"/>
    <w:family w:val="auto"/>
    <w:pitch w:val="variable"/>
    <w:sig w:usb0="00001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Arial Unicode MS">
    <w:altName w:val="Arial"/>
    <w:panose1 w:val="020B0604020202020204"/>
    <w:charset w:val="00"/>
    <w:family w:val="roman"/>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Ezra SIL">
    <w:altName w:val="Courier New"/>
    <w:charset w:val="00"/>
    <w:family w:val="auto"/>
    <w:pitch w:val="variable"/>
    <w:sig w:usb0="00000000"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Vilna">
    <w:charset w:val="B1"/>
    <w:family w:val="auto"/>
    <w:pitch w:val="variable"/>
    <w:sig w:usb0="00001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AE6E1" w14:textId="77777777" w:rsidR="008F2822" w:rsidRDefault="008F2822">
    <w:pPr>
      <w:pStyle w:val="a7"/>
      <w:rPr>
        <w:rFonts w:hint="cs"/>
        <w:rtl/>
      </w:rPr>
    </w:pPr>
    <w:r>
      <w:rPr>
        <w:rFonts w:hint="cs"/>
        <w:b/>
        <w:bCs/>
        <w:rtl/>
      </w:rPr>
      <w:t>ליגין</w:t>
    </w:r>
    <w:r>
      <w:rPr>
        <w:rFonts w:hint="cs"/>
        <w:rtl/>
      </w:rPr>
      <w:t>".</w:t>
    </w:r>
  </w:p>
  <w:p w14:paraId="79B7F949" w14:textId="77777777" w:rsidR="008F2822" w:rsidRDefault="008F2822"/>
  <w:p w14:paraId="21E36486" w14:textId="77777777" w:rsidR="008F2822" w:rsidRDefault="008F2822">
    <w:pPr>
      <w:pStyle w:val="a5"/>
      <w:framePr w:wrap="around" w:vAnchor="text" w:hAnchor="margin" w:xAlign="center" w:y="1"/>
      <w:rPr>
        <w:rStyle w:val="a8"/>
        <w:rtl/>
      </w:rPr>
    </w:pPr>
    <w:r>
      <w:rPr>
        <w:rStyle w:val="a8"/>
        <w:rtl/>
      </w:rPr>
      <w:fldChar w:fldCharType="begin"/>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36486" w14:textId="77777777" w:rsidR="008F2822" w:rsidRDefault="008F2822">
    <w:pPr>
      <w:pStyle w:val="a5"/>
      <w:framePr w:wrap="around" w:vAnchor="text" w:hAnchor="margin" w:xAlign="center" w:y="1"/>
      <w:rPr>
        <w:rStyle w:val="a8"/>
        <w:rtl/>
      </w:rPr>
    </w:pPr>
    <w:r>
      <w:rPr>
        <w:rStyle w:val="a8"/>
        <w:szCs w:val="22"/>
      </w:rPr>
      <w:t xml:space="preserve">AGE  </w:t>
    </w:r>
  </w:p>
  <w:p w14:paraId="2B943E06" w14:textId="77777777" w:rsidR="008F2822" w:rsidRDefault="008F2822">
    <w:pPr>
      <w:pStyle w:val="a5"/>
      <w:rPr>
        <w:rtl/>
      </w:rPr>
    </w:pPr>
  </w:p>
  <w:p w14:paraId="711C41BF" w14:textId="30C81D9F" w:rsidR="008F2822" w:rsidRDefault="00EA68EB">
    <w:r>
      <w:rPr>
        <w:rStyle w:val="a8"/>
        <w:noProof/>
        <w:szCs w:val="22"/>
        <w:rtl/>
      </w:rPr>
      <w:t>1</w:t>
    </w:r>
    <w:r w:rsidR="008F2822">
      <w:rPr>
        <w:rStyle w:val="a8"/>
        <w:szCs w:val="22"/>
      </w:rPr>
      <w:t>PAG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8F4FA" w14:textId="77777777" w:rsidR="008F2822" w:rsidRDefault="008F2822">
      <w:pPr>
        <w:spacing w:line="240" w:lineRule="auto"/>
      </w:pPr>
      <w:r>
        <w:separator/>
      </w:r>
    </w:p>
  </w:footnote>
  <w:footnote w:type="continuationSeparator" w:id="0">
    <w:p w14:paraId="32B0D77F" w14:textId="77777777" w:rsidR="008F2822" w:rsidRDefault="008F2822">
      <w:pPr>
        <w:spacing w:line="240" w:lineRule="auto"/>
      </w:pPr>
      <w:r>
        <w:continuationSeparator/>
      </w:r>
    </w:p>
  </w:footnote>
  <w:footnote w:id="1">
    <w:p w14:paraId="641326DC" w14:textId="77777777" w:rsidR="008F2822" w:rsidRDefault="008F2822">
      <w:pPr>
        <w:pStyle w:val="a7"/>
        <w:rPr>
          <w:rFonts w:hint="cs"/>
          <w:rtl/>
        </w:rPr>
      </w:pPr>
      <w:r>
        <w:rPr>
          <w:rStyle w:val="a6"/>
          <w:rtl/>
        </w:rPr>
        <w:footnoteRef/>
      </w:r>
      <w:r>
        <w:t xml:space="preserve"> </w:t>
      </w:r>
      <w:r>
        <w:rPr>
          <w:rFonts w:hint="cs"/>
          <w:rtl/>
        </w:rPr>
        <w:t>ע"פ דברי רשב"י (</w:t>
      </w:r>
      <w:r>
        <w:rPr>
          <w:rtl/>
        </w:rPr>
        <w:t xml:space="preserve">ברכות </w:t>
      </w:r>
      <w:r>
        <w:rPr>
          <w:sz w:val="18"/>
          <w:szCs w:val="20"/>
          <w:rtl/>
        </w:rPr>
        <w:t>נה</w:t>
      </w:r>
      <w:r>
        <w:rPr>
          <w:rFonts w:hint="cs"/>
          <w:sz w:val="18"/>
          <w:szCs w:val="20"/>
          <w:rtl/>
        </w:rPr>
        <w:t xml:space="preserve">, </w:t>
      </w:r>
      <w:r>
        <w:rPr>
          <w:sz w:val="18"/>
          <w:szCs w:val="20"/>
          <w:rtl/>
        </w:rPr>
        <w:t>א</w:t>
      </w:r>
      <w:r>
        <w:rPr>
          <w:rFonts w:hint="cs"/>
          <w:rtl/>
        </w:rPr>
        <w:t xml:space="preserve">) ע"פ </w:t>
      </w:r>
      <w:r>
        <w:rPr>
          <w:rtl/>
        </w:rPr>
        <w:t xml:space="preserve">ירמיה </w:t>
      </w:r>
      <w:r>
        <w:rPr>
          <w:sz w:val="18"/>
          <w:szCs w:val="20"/>
          <w:rtl/>
        </w:rPr>
        <w:t>כג</w:t>
      </w:r>
      <w:r>
        <w:rPr>
          <w:rFonts w:hint="cs"/>
          <w:sz w:val="18"/>
          <w:szCs w:val="20"/>
          <w:rtl/>
        </w:rPr>
        <w:t>,</w:t>
      </w:r>
      <w:r>
        <w:rPr>
          <w:sz w:val="18"/>
          <w:szCs w:val="20"/>
          <w:rtl/>
        </w:rPr>
        <w:t xml:space="preserve"> כח</w:t>
      </w:r>
      <w:r>
        <w:rPr>
          <w:rFonts w:hint="cs"/>
          <w:rtl/>
        </w:rPr>
        <w:t>.</w:t>
      </w:r>
    </w:p>
  </w:footnote>
  <w:footnote w:id="2">
    <w:p w14:paraId="4DC6A41B" w14:textId="77777777" w:rsidR="008F2822" w:rsidRDefault="008F2822">
      <w:pPr>
        <w:pStyle w:val="a7"/>
        <w:rPr>
          <w:rFonts w:hint="cs"/>
          <w:rtl/>
        </w:rPr>
      </w:pPr>
      <w:r>
        <w:rPr>
          <w:rStyle w:val="a6"/>
        </w:rPr>
        <w:footnoteRef/>
      </w:r>
      <w:r>
        <w:rPr>
          <w:rFonts w:hint="cs"/>
          <w:rtl/>
        </w:rPr>
        <w:t xml:space="preserve"> וכמאמר הליצנים הטועים במין המספר ועונים למתקניהם הדווקניים: "</w:t>
      </w:r>
      <w:r>
        <w:rPr>
          <w:rFonts w:hint="cs"/>
          <w:b/>
          <w:bCs/>
          <w:rtl/>
        </w:rPr>
        <w:t>אני</w:t>
      </w:r>
      <w:r>
        <w:rPr>
          <w:rFonts w:hint="cs"/>
          <w:rtl/>
        </w:rPr>
        <w:t xml:space="preserve"> ספרתי!"...</w:t>
      </w:r>
    </w:p>
    <w:p w14:paraId="58928602" w14:textId="77777777" w:rsidR="008F2822" w:rsidRDefault="008F2822">
      <w:pPr>
        <w:pStyle w:val="a7"/>
        <w:rPr>
          <w:rFonts w:hint="cs"/>
          <w:rtl/>
        </w:rPr>
      </w:pPr>
      <w:r>
        <w:rPr>
          <w:rFonts w:hint="cs"/>
          <w:rtl/>
        </w:rPr>
        <w:t>יתכן שחוסר הקפדה זה עתיק הוא, משחר ימיה של הלשון העברית. לפעמים מצאנו חילופי קרי וכתיב במין שמות המספר: "</w:t>
      </w:r>
      <w:r>
        <w:rPr>
          <w:rtl/>
        </w:rPr>
        <w:t xml:space="preserve">וּבָאנוּ אֵלָיו </w:t>
      </w:r>
      <w:r>
        <w:rPr>
          <w:rFonts w:hint="cs"/>
          <w:rtl/>
        </w:rPr>
        <w:t>[</w:t>
      </w:r>
      <w:r>
        <w:rPr>
          <w:rtl/>
        </w:rPr>
        <w:t xml:space="preserve">באחת </w:t>
      </w:r>
      <w:r>
        <w:rPr>
          <w:rFonts w:hint="cs"/>
          <w:rtl/>
        </w:rPr>
        <w:t xml:space="preserve">כתיב, וקרי:] </w:t>
      </w:r>
      <w:r>
        <w:rPr>
          <w:rtl/>
        </w:rPr>
        <w:t>בְּאַחַד הַמְּקוֹמֹת</w:t>
      </w:r>
      <w:r>
        <w:rPr>
          <w:rFonts w:hint="cs"/>
          <w:rtl/>
        </w:rPr>
        <w:t>" (</w:t>
      </w:r>
      <w:r>
        <w:rPr>
          <w:sz w:val="18"/>
          <w:szCs w:val="20"/>
          <w:rtl/>
        </w:rPr>
        <w:t>שמואל ב</w:t>
      </w:r>
      <w:r>
        <w:rPr>
          <w:rFonts w:hint="cs"/>
          <w:sz w:val="18"/>
          <w:szCs w:val="20"/>
          <w:rtl/>
        </w:rPr>
        <w:t xml:space="preserve">' </w:t>
      </w:r>
      <w:r>
        <w:rPr>
          <w:sz w:val="18"/>
          <w:szCs w:val="20"/>
          <w:rtl/>
        </w:rPr>
        <w:t>יז</w:t>
      </w:r>
      <w:r>
        <w:rPr>
          <w:rFonts w:hint="cs"/>
          <w:sz w:val="18"/>
          <w:szCs w:val="20"/>
          <w:rtl/>
        </w:rPr>
        <w:t xml:space="preserve">, </w:t>
      </w:r>
      <w:r>
        <w:rPr>
          <w:sz w:val="18"/>
          <w:szCs w:val="20"/>
          <w:rtl/>
        </w:rPr>
        <w:t>יב</w:t>
      </w:r>
      <w:r>
        <w:rPr>
          <w:rFonts w:hint="cs"/>
          <w:sz w:val="18"/>
          <w:szCs w:val="20"/>
          <w:rtl/>
        </w:rPr>
        <w:t>; עי"ש בפירוש דעת מקרא</w:t>
      </w:r>
      <w:r>
        <w:rPr>
          <w:rFonts w:hint="cs"/>
          <w:rtl/>
        </w:rPr>
        <w:t>); "</w:t>
      </w:r>
      <w:r>
        <w:rPr>
          <w:rtl/>
        </w:rPr>
        <w:t xml:space="preserve">בְּפַעַם </w:t>
      </w:r>
      <w:r>
        <w:rPr>
          <w:rFonts w:hint="cs"/>
          <w:rtl/>
        </w:rPr>
        <w:t>[</w:t>
      </w:r>
      <w:r>
        <w:rPr>
          <w:rtl/>
        </w:rPr>
        <w:t>אחד</w:t>
      </w:r>
      <w:r>
        <w:rPr>
          <w:rFonts w:hint="cs"/>
          <w:rtl/>
        </w:rPr>
        <w:t xml:space="preserve"> כתיב, וקרי:] </w:t>
      </w:r>
      <w:r>
        <w:rPr>
          <w:rtl/>
        </w:rPr>
        <w:t>אֶחָת</w:t>
      </w:r>
      <w:r>
        <w:rPr>
          <w:rFonts w:hint="cs"/>
          <w:rtl/>
        </w:rPr>
        <w:t xml:space="preserve">" (שם </w:t>
      </w:r>
      <w:r>
        <w:rPr>
          <w:rtl/>
        </w:rPr>
        <w:t>כג</w:t>
      </w:r>
      <w:r>
        <w:rPr>
          <w:rFonts w:hint="cs"/>
          <w:rtl/>
        </w:rPr>
        <w:t xml:space="preserve">, </w:t>
      </w:r>
      <w:r>
        <w:rPr>
          <w:rtl/>
        </w:rPr>
        <w:t>ח</w:t>
      </w:r>
      <w:r>
        <w:rPr>
          <w:rFonts w:hint="cs"/>
          <w:sz w:val="18"/>
          <w:szCs w:val="20"/>
          <w:rtl/>
        </w:rPr>
        <w:t>; עי"ש בפירוש ר"י</w:t>
      </w:r>
      <w:r>
        <w:rPr>
          <w:sz w:val="18"/>
          <w:szCs w:val="20"/>
          <w:rtl/>
        </w:rPr>
        <w:t xml:space="preserve"> </w:t>
      </w:r>
      <w:r>
        <w:rPr>
          <w:rFonts w:hint="cs"/>
          <w:sz w:val="18"/>
          <w:szCs w:val="20"/>
          <w:rtl/>
        </w:rPr>
        <w:t>ן' כספי ובדעת מקרא</w:t>
      </w:r>
      <w:r>
        <w:rPr>
          <w:rFonts w:hint="cs"/>
          <w:rtl/>
        </w:rPr>
        <w:t>); "</w:t>
      </w:r>
      <w:r>
        <w:rPr>
          <w:rtl/>
        </w:rPr>
        <w:t xml:space="preserve">וַיֵּשֶׁב תַּחַת רֹתֶם </w:t>
      </w:r>
      <w:r>
        <w:rPr>
          <w:rFonts w:hint="cs"/>
          <w:rtl/>
        </w:rPr>
        <w:t>[</w:t>
      </w:r>
      <w:r>
        <w:rPr>
          <w:rtl/>
        </w:rPr>
        <w:t>אחת</w:t>
      </w:r>
      <w:r>
        <w:rPr>
          <w:rFonts w:hint="cs"/>
          <w:rtl/>
        </w:rPr>
        <w:t xml:space="preserve"> כתיב, וקרי:] </w:t>
      </w:r>
      <w:r>
        <w:rPr>
          <w:rtl/>
        </w:rPr>
        <w:t>אֶחָד</w:t>
      </w:r>
      <w:r>
        <w:rPr>
          <w:rFonts w:hint="cs"/>
          <w:rtl/>
        </w:rPr>
        <w:t>" (</w:t>
      </w:r>
      <w:r>
        <w:rPr>
          <w:sz w:val="18"/>
          <w:szCs w:val="20"/>
          <w:rtl/>
        </w:rPr>
        <w:t>מלכים א</w:t>
      </w:r>
      <w:r>
        <w:rPr>
          <w:rFonts w:hint="cs"/>
          <w:sz w:val="18"/>
          <w:szCs w:val="20"/>
          <w:rtl/>
        </w:rPr>
        <w:t>'</w:t>
      </w:r>
      <w:r>
        <w:rPr>
          <w:sz w:val="18"/>
          <w:szCs w:val="20"/>
          <w:rtl/>
        </w:rPr>
        <w:t xml:space="preserve"> יט</w:t>
      </w:r>
      <w:r>
        <w:rPr>
          <w:rFonts w:hint="cs"/>
          <w:sz w:val="18"/>
          <w:szCs w:val="20"/>
          <w:rtl/>
        </w:rPr>
        <w:t xml:space="preserve">, </w:t>
      </w:r>
      <w:r>
        <w:rPr>
          <w:sz w:val="18"/>
          <w:szCs w:val="20"/>
          <w:rtl/>
        </w:rPr>
        <w:t>ד</w:t>
      </w:r>
      <w:r>
        <w:rPr>
          <w:rFonts w:hint="cs"/>
          <w:sz w:val="20"/>
          <w:szCs w:val="20"/>
          <w:rtl/>
        </w:rPr>
        <w:t xml:space="preserve">; </w:t>
      </w:r>
      <w:r>
        <w:rPr>
          <w:rFonts w:hint="cs"/>
          <w:sz w:val="18"/>
          <w:szCs w:val="20"/>
          <w:rtl/>
        </w:rPr>
        <w:t xml:space="preserve">עי"ש </w:t>
      </w:r>
      <w:r>
        <w:rPr>
          <w:sz w:val="18"/>
          <w:szCs w:val="20"/>
          <w:rtl/>
        </w:rPr>
        <w:t>רד"ק</w:t>
      </w:r>
      <w:r>
        <w:rPr>
          <w:rFonts w:hint="cs"/>
          <w:rtl/>
        </w:rPr>
        <w:t>); "</w:t>
      </w:r>
      <w:r>
        <w:rPr>
          <w:rtl/>
        </w:rPr>
        <w:t xml:space="preserve">אַחַר </w:t>
      </w:r>
      <w:r>
        <w:rPr>
          <w:rFonts w:hint="cs"/>
          <w:rtl/>
        </w:rPr>
        <w:t>[</w:t>
      </w:r>
      <w:r>
        <w:rPr>
          <w:rtl/>
        </w:rPr>
        <w:t>אחד</w:t>
      </w:r>
      <w:r>
        <w:rPr>
          <w:rFonts w:hint="cs"/>
          <w:rtl/>
        </w:rPr>
        <w:t xml:space="preserve"> כתיב, וקרי:] </w:t>
      </w:r>
      <w:r>
        <w:rPr>
          <w:rtl/>
        </w:rPr>
        <w:t>אַחַת בַּתָּוֶךְ</w:t>
      </w:r>
      <w:r>
        <w:rPr>
          <w:rFonts w:hint="cs"/>
          <w:rtl/>
        </w:rPr>
        <w:t>"</w:t>
      </w:r>
      <w:r>
        <w:rPr>
          <w:rtl/>
        </w:rPr>
        <w:t xml:space="preserve"> </w:t>
      </w:r>
      <w:r>
        <w:rPr>
          <w:rFonts w:hint="cs"/>
          <w:rtl/>
        </w:rPr>
        <w:t>(</w:t>
      </w:r>
      <w:r>
        <w:rPr>
          <w:rtl/>
        </w:rPr>
        <w:t>ישעיה</w:t>
      </w:r>
      <w:r>
        <w:rPr>
          <w:rFonts w:hint="cs"/>
          <w:rtl/>
        </w:rPr>
        <w:t xml:space="preserve"> </w:t>
      </w:r>
      <w:r>
        <w:rPr>
          <w:rtl/>
        </w:rPr>
        <w:t>סו</w:t>
      </w:r>
      <w:r>
        <w:rPr>
          <w:rFonts w:hint="cs"/>
          <w:rtl/>
        </w:rPr>
        <w:t xml:space="preserve">, </w:t>
      </w:r>
      <w:r>
        <w:rPr>
          <w:rtl/>
        </w:rPr>
        <w:t>יז</w:t>
      </w:r>
      <w:r>
        <w:rPr>
          <w:rFonts w:hint="cs"/>
          <w:sz w:val="20"/>
          <w:szCs w:val="20"/>
          <w:rtl/>
        </w:rPr>
        <w:t xml:space="preserve">; </w:t>
      </w:r>
      <w:r>
        <w:rPr>
          <w:rFonts w:hint="cs"/>
          <w:sz w:val="18"/>
          <w:szCs w:val="20"/>
          <w:rtl/>
        </w:rPr>
        <w:t>עי"ש בפירוש ר"י</w:t>
      </w:r>
      <w:r>
        <w:rPr>
          <w:sz w:val="18"/>
          <w:szCs w:val="20"/>
          <w:rtl/>
        </w:rPr>
        <w:t xml:space="preserve"> </w:t>
      </w:r>
      <w:r>
        <w:rPr>
          <w:rFonts w:hint="cs"/>
          <w:sz w:val="18"/>
          <w:szCs w:val="20"/>
          <w:rtl/>
        </w:rPr>
        <w:t>ן' כספי</w:t>
      </w:r>
      <w:r>
        <w:rPr>
          <w:sz w:val="18"/>
          <w:szCs w:val="20"/>
          <w:rtl/>
        </w:rPr>
        <w:t xml:space="preserve"> </w:t>
      </w:r>
      <w:r>
        <w:rPr>
          <w:rFonts w:hint="cs"/>
          <w:sz w:val="18"/>
          <w:szCs w:val="20"/>
          <w:rtl/>
        </w:rPr>
        <w:t>החולק על מו"נ</w:t>
      </w:r>
      <w:r>
        <w:rPr>
          <w:rFonts w:hint="cs"/>
          <w:rtl/>
        </w:rPr>
        <w:t>); "</w:t>
      </w:r>
      <w:r>
        <w:rPr>
          <w:rtl/>
        </w:rPr>
        <w:t xml:space="preserve">לִבַּבְתִּנִי </w:t>
      </w:r>
      <w:r>
        <w:rPr>
          <w:rFonts w:hint="cs"/>
          <w:rtl/>
        </w:rPr>
        <w:t>[</w:t>
      </w:r>
      <w:r>
        <w:rPr>
          <w:rtl/>
        </w:rPr>
        <w:t>באחד</w:t>
      </w:r>
      <w:r>
        <w:rPr>
          <w:rFonts w:hint="cs"/>
          <w:rtl/>
        </w:rPr>
        <w:t xml:space="preserve"> כתיב, וקרי:] </w:t>
      </w:r>
      <w:r>
        <w:rPr>
          <w:rtl/>
        </w:rPr>
        <w:t>בְּאַחַת מֵעֵינַיִךְ בְּאַחַד עֲנָק מִצַּוְּרֹנָיִךְ</w:t>
      </w:r>
      <w:r>
        <w:rPr>
          <w:rFonts w:hint="cs"/>
          <w:rtl/>
        </w:rPr>
        <w:t>" (</w:t>
      </w:r>
      <w:r>
        <w:rPr>
          <w:sz w:val="18"/>
          <w:szCs w:val="20"/>
          <w:rtl/>
        </w:rPr>
        <w:t>שיר השירים ד</w:t>
      </w:r>
      <w:r>
        <w:rPr>
          <w:rFonts w:hint="cs"/>
          <w:sz w:val="18"/>
          <w:szCs w:val="20"/>
          <w:rtl/>
        </w:rPr>
        <w:t xml:space="preserve">, </w:t>
      </w:r>
      <w:r>
        <w:rPr>
          <w:sz w:val="18"/>
          <w:szCs w:val="20"/>
          <w:rtl/>
        </w:rPr>
        <w:t>ט</w:t>
      </w:r>
      <w:r>
        <w:rPr>
          <w:rFonts w:hint="cs"/>
          <w:sz w:val="18"/>
          <w:szCs w:val="20"/>
          <w:rtl/>
        </w:rPr>
        <w:t>; עי"ש בפירוש דעת מקרא</w:t>
      </w:r>
      <w:r>
        <w:rPr>
          <w:rFonts w:hint="cs"/>
          <w:rtl/>
        </w:rPr>
        <w:t>); "</w:t>
      </w:r>
      <w:r>
        <w:rPr>
          <w:rtl/>
        </w:rPr>
        <w:t xml:space="preserve">בָּא הַקֵּץ עַל </w:t>
      </w:r>
      <w:r>
        <w:rPr>
          <w:rFonts w:hint="cs"/>
          <w:rtl/>
        </w:rPr>
        <w:t>[</w:t>
      </w:r>
      <w:r>
        <w:rPr>
          <w:rtl/>
        </w:rPr>
        <w:t>ארבעת</w:t>
      </w:r>
      <w:r>
        <w:rPr>
          <w:rFonts w:hint="cs"/>
          <w:rtl/>
        </w:rPr>
        <w:t xml:space="preserve"> כתיב, וקרי:] </w:t>
      </w:r>
      <w:r>
        <w:rPr>
          <w:rtl/>
        </w:rPr>
        <w:t>אַרְבַּע כַּנְפוֹת הָאָרֶץ</w:t>
      </w:r>
      <w:r>
        <w:rPr>
          <w:rFonts w:hint="cs"/>
          <w:rtl/>
        </w:rPr>
        <w:t>" (</w:t>
      </w:r>
      <w:r>
        <w:rPr>
          <w:sz w:val="20"/>
          <w:szCs w:val="20"/>
          <w:rtl/>
        </w:rPr>
        <w:t>יחזקאל</w:t>
      </w:r>
      <w:r>
        <w:rPr>
          <w:rFonts w:hint="cs"/>
          <w:sz w:val="20"/>
          <w:szCs w:val="20"/>
          <w:rtl/>
        </w:rPr>
        <w:t xml:space="preserve"> </w:t>
      </w:r>
      <w:r>
        <w:rPr>
          <w:sz w:val="20"/>
          <w:szCs w:val="20"/>
          <w:rtl/>
        </w:rPr>
        <w:t>ז</w:t>
      </w:r>
      <w:r>
        <w:rPr>
          <w:rFonts w:hint="cs"/>
          <w:sz w:val="20"/>
          <w:szCs w:val="20"/>
          <w:rtl/>
        </w:rPr>
        <w:t xml:space="preserve">, </w:t>
      </w:r>
      <w:r>
        <w:rPr>
          <w:sz w:val="20"/>
          <w:szCs w:val="20"/>
          <w:rtl/>
        </w:rPr>
        <w:t>ב</w:t>
      </w:r>
      <w:r>
        <w:rPr>
          <w:rFonts w:hint="cs"/>
          <w:sz w:val="20"/>
          <w:szCs w:val="20"/>
          <w:rtl/>
        </w:rPr>
        <w:t xml:space="preserve">; </w:t>
      </w:r>
      <w:r>
        <w:rPr>
          <w:rFonts w:hint="cs"/>
          <w:sz w:val="18"/>
          <w:szCs w:val="20"/>
          <w:rtl/>
        </w:rPr>
        <w:t xml:space="preserve">עי"ש </w:t>
      </w:r>
      <w:r>
        <w:rPr>
          <w:sz w:val="18"/>
          <w:szCs w:val="20"/>
          <w:rtl/>
        </w:rPr>
        <w:t>רד"ק</w:t>
      </w:r>
      <w:r>
        <w:rPr>
          <w:rFonts w:hint="cs"/>
          <w:rtl/>
        </w:rPr>
        <w:t>); "[</w:t>
      </w:r>
      <w:r>
        <w:rPr>
          <w:rtl/>
        </w:rPr>
        <w:t>חמש</w:t>
      </w:r>
      <w:r>
        <w:rPr>
          <w:rFonts w:hint="cs"/>
          <w:rtl/>
        </w:rPr>
        <w:t xml:space="preserve"> כתיב, וקרי:] </w:t>
      </w:r>
      <w:r>
        <w:rPr>
          <w:rtl/>
        </w:rPr>
        <w:t>חֲמִשָּׁה</w:t>
      </w:r>
      <w:r>
        <w:rPr>
          <w:rFonts w:hint="cs"/>
          <w:rtl/>
        </w:rPr>
        <w:t>" (</w:t>
      </w:r>
      <w:r>
        <w:rPr>
          <w:rFonts w:hint="cs"/>
          <w:sz w:val="20"/>
          <w:szCs w:val="20"/>
          <w:rtl/>
        </w:rPr>
        <w:t xml:space="preserve">שם מה, ג; </w:t>
      </w:r>
      <w:r>
        <w:rPr>
          <w:rFonts w:hint="cs"/>
          <w:sz w:val="18"/>
          <w:szCs w:val="20"/>
          <w:rtl/>
        </w:rPr>
        <w:t xml:space="preserve">עי"ש </w:t>
      </w:r>
      <w:r>
        <w:rPr>
          <w:sz w:val="18"/>
          <w:szCs w:val="20"/>
          <w:rtl/>
        </w:rPr>
        <w:t>רד"ק</w:t>
      </w:r>
      <w:r>
        <w:rPr>
          <w:rFonts w:hint="cs"/>
          <w:rtl/>
        </w:rPr>
        <w:t>); "[</w:t>
      </w:r>
      <w:r>
        <w:rPr>
          <w:rtl/>
        </w:rPr>
        <w:t>וארבע</w:t>
      </w:r>
      <w:r>
        <w:rPr>
          <w:rFonts w:hint="cs"/>
          <w:rtl/>
        </w:rPr>
        <w:t xml:space="preserve"> כתיב, וקרי:] </w:t>
      </w:r>
      <w:r>
        <w:rPr>
          <w:rtl/>
        </w:rPr>
        <w:t>וְאַרְבָּעָה</w:t>
      </w:r>
      <w:r>
        <w:rPr>
          <w:rFonts w:hint="cs"/>
          <w:rtl/>
        </w:rPr>
        <w:t>" (</w:t>
      </w:r>
      <w:r>
        <w:rPr>
          <w:sz w:val="18"/>
          <w:szCs w:val="20"/>
          <w:rtl/>
        </w:rPr>
        <w:t>משלי ל</w:t>
      </w:r>
      <w:r>
        <w:rPr>
          <w:rFonts w:hint="cs"/>
          <w:sz w:val="18"/>
          <w:szCs w:val="20"/>
          <w:rtl/>
        </w:rPr>
        <w:t xml:space="preserve">, </w:t>
      </w:r>
      <w:r>
        <w:rPr>
          <w:sz w:val="18"/>
          <w:szCs w:val="20"/>
          <w:rtl/>
        </w:rPr>
        <w:t>יח</w:t>
      </w:r>
      <w:r>
        <w:rPr>
          <w:rFonts w:hint="cs"/>
          <w:rtl/>
        </w:rPr>
        <w:t>). עכ"פ, באופן כללי נהוג להקפיד בכך הן בלשון המקרא והן בלשון חז"ל (</w:t>
      </w:r>
      <w:r>
        <w:rPr>
          <w:rFonts w:hint="cs"/>
          <w:sz w:val="18"/>
          <w:szCs w:val="20"/>
          <w:rtl/>
        </w:rPr>
        <w:t>כנ"ל בדף ב, ב "</w:t>
      </w:r>
      <w:r>
        <w:rPr>
          <w:sz w:val="18"/>
          <w:szCs w:val="20"/>
          <w:rtl/>
        </w:rPr>
        <w:t xml:space="preserve">מראות </w:t>
      </w:r>
      <w:r>
        <w:rPr>
          <w:rFonts w:cs="TopType Toledo" w:hint="cs"/>
          <w:sz w:val="18"/>
          <w:szCs w:val="20"/>
          <w:rtl/>
        </w:rPr>
        <w:t>-</w:t>
      </w:r>
      <w:r>
        <w:rPr>
          <w:rFonts w:hint="cs"/>
          <w:sz w:val="18"/>
          <w:szCs w:val="20"/>
          <w:rtl/>
        </w:rPr>
        <w:t xml:space="preserve"> זכר או נקבה", הערה 4</w:t>
      </w:r>
      <w:r>
        <w:rPr>
          <w:rFonts w:hint="cs"/>
          <w:rtl/>
        </w:rPr>
        <w:t>).</w:t>
      </w:r>
    </w:p>
  </w:footnote>
  <w:footnote w:id="3">
    <w:p w14:paraId="082BF1A4" w14:textId="77777777" w:rsidR="008F2822" w:rsidRDefault="008F2822">
      <w:pPr>
        <w:pStyle w:val="a7"/>
        <w:rPr>
          <w:rtl/>
        </w:rPr>
      </w:pPr>
      <w:r>
        <w:rPr>
          <w:rStyle w:val="a6"/>
        </w:rPr>
        <w:footnoteRef/>
      </w:r>
      <w:r>
        <w:rPr>
          <w:rFonts w:hint="cs"/>
          <w:rtl/>
        </w:rPr>
        <w:t xml:space="preserve"> כגון: "</w:t>
      </w:r>
      <w:r>
        <w:rPr>
          <w:rtl/>
        </w:rPr>
        <w:t xml:space="preserve">עַם </w:t>
      </w:r>
      <w:r>
        <w:rPr>
          <w:b/>
          <w:bCs/>
          <w:rtl/>
        </w:rPr>
        <w:t>אֶחָד</w:t>
      </w:r>
      <w:r>
        <w:rPr>
          <w:rtl/>
        </w:rPr>
        <w:t xml:space="preserve"> וְשָׂפָה </w:t>
      </w:r>
      <w:r>
        <w:rPr>
          <w:b/>
          <w:bCs/>
          <w:rtl/>
        </w:rPr>
        <w:t>אַחַת</w:t>
      </w:r>
      <w:r>
        <w:rPr>
          <w:rFonts w:hint="cs"/>
          <w:rtl/>
        </w:rPr>
        <w:t>"</w:t>
      </w:r>
      <w:r>
        <w:rPr>
          <w:rtl/>
        </w:rPr>
        <w:t xml:space="preserve"> </w:t>
      </w:r>
      <w:r>
        <w:rPr>
          <w:rFonts w:hint="cs"/>
          <w:rtl/>
        </w:rPr>
        <w:t>(</w:t>
      </w:r>
      <w:r>
        <w:rPr>
          <w:sz w:val="18"/>
          <w:szCs w:val="20"/>
          <w:rtl/>
        </w:rPr>
        <w:t>בראשית יא</w:t>
      </w:r>
      <w:r>
        <w:rPr>
          <w:rFonts w:hint="cs"/>
          <w:sz w:val="18"/>
          <w:szCs w:val="20"/>
          <w:rtl/>
        </w:rPr>
        <w:t xml:space="preserve">, </w:t>
      </w:r>
      <w:r>
        <w:rPr>
          <w:sz w:val="18"/>
          <w:szCs w:val="20"/>
          <w:rtl/>
        </w:rPr>
        <w:t>ו</w:t>
      </w:r>
      <w:r>
        <w:rPr>
          <w:rFonts w:hint="cs"/>
          <w:rtl/>
        </w:rPr>
        <w:t>); "</w:t>
      </w:r>
      <w:r>
        <w:rPr>
          <w:rtl/>
        </w:rPr>
        <w:t xml:space="preserve">תּוֹרָה </w:t>
      </w:r>
      <w:r>
        <w:rPr>
          <w:b/>
          <w:bCs/>
          <w:rtl/>
        </w:rPr>
        <w:t>אַחַת</w:t>
      </w:r>
      <w:r>
        <w:rPr>
          <w:rtl/>
        </w:rPr>
        <w:t xml:space="preserve"> וּמִשְׁפָּט </w:t>
      </w:r>
      <w:r>
        <w:rPr>
          <w:b/>
          <w:bCs/>
          <w:rtl/>
        </w:rPr>
        <w:t>אֶחָד</w:t>
      </w:r>
      <w:r>
        <w:rPr>
          <w:rFonts w:hint="cs"/>
          <w:rtl/>
        </w:rPr>
        <w:t>" (</w:t>
      </w:r>
      <w:r>
        <w:rPr>
          <w:sz w:val="18"/>
          <w:szCs w:val="20"/>
          <w:rtl/>
        </w:rPr>
        <w:t>במדבר טו</w:t>
      </w:r>
      <w:r>
        <w:rPr>
          <w:rFonts w:hint="cs"/>
          <w:sz w:val="18"/>
          <w:szCs w:val="20"/>
          <w:rtl/>
        </w:rPr>
        <w:t xml:space="preserve">, </w:t>
      </w:r>
      <w:r>
        <w:rPr>
          <w:sz w:val="18"/>
          <w:szCs w:val="20"/>
          <w:rtl/>
        </w:rPr>
        <w:t>טז</w:t>
      </w:r>
      <w:r>
        <w:rPr>
          <w:rFonts w:hint="cs"/>
          <w:rtl/>
        </w:rPr>
        <w:t>); "</w:t>
      </w:r>
      <w:r>
        <w:rPr>
          <w:rtl/>
        </w:rPr>
        <w:t>זֹאת חֲנֻכַּת הַמִּזְבֵּחַ</w:t>
      </w:r>
      <w:r>
        <w:rPr>
          <w:rFonts w:hint="cs"/>
          <w:rtl/>
        </w:rPr>
        <w:t xml:space="preserve">... </w:t>
      </w:r>
      <w:r>
        <w:rPr>
          <w:rtl/>
        </w:rPr>
        <w:t xml:space="preserve">קַעֲרֹת כֶּסֶף </w:t>
      </w:r>
      <w:r>
        <w:rPr>
          <w:b/>
          <w:bCs/>
          <w:rtl/>
        </w:rPr>
        <w:t>שְׁתֵּים</w:t>
      </w:r>
      <w:r>
        <w:rPr>
          <w:rtl/>
        </w:rPr>
        <w:t xml:space="preserve"> עֶשְׂרֵה</w:t>
      </w:r>
      <w:r>
        <w:rPr>
          <w:rFonts w:hint="cs"/>
          <w:rtl/>
        </w:rPr>
        <w:t>,</w:t>
      </w:r>
      <w:r>
        <w:rPr>
          <w:rtl/>
        </w:rPr>
        <w:t xml:space="preserve"> מִזְרְקֵי כֶסֶף </w:t>
      </w:r>
      <w:r>
        <w:rPr>
          <w:rFonts w:hint="cs"/>
          <w:rtl/>
        </w:rPr>
        <w:t xml:space="preserve">- </w:t>
      </w:r>
      <w:r>
        <w:rPr>
          <w:b/>
          <w:bCs/>
          <w:rtl/>
        </w:rPr>
        <w:t>שְׁנֵים</w:t>
      </w:r>
      <w:r>
        <w:rPr>
          <w:rtl/>
        </w:rPr>
        <w:t xml:space="preserve"> עָשָׂר</w:t>
      </w:r>
      <w:r>
        <w:rPr>
          <w:rFonts w:hint="cs"/>
          <w:rtl/>
        </w:rPr>
        <w:t>" (</w:t>
      </w:r>
      <w:r>
        <w:rPr>
          <w:rFonts w:hint="cs"/>
          <w:sz w:val="18"/>
          <w:szCs w:val="20"/>
          <w:rtl/>
        </w:rPr>
        <w:t xml:space="preserve">שם </w:t>
      </w:r>
      <w:r>
        <w:rPr>
          <w:sz w:val="18"/>
          <w:szCs w:val="20"/>
          <w:rtl/>
        </w:rPr>
        <w:t>ז</w:t>
      </w:r>
      <w:r>
        <w:rPr>
          <w:rFonts w:hint="cs"/>
          <w:sz w:val="18"/>
          <w:szCs w:val="20"/>
          <w:rtl/>
        </w:rPr>
        <w:t xml:space="preserve">, </w:t>
      </w:r>
      <w:r>
        <w:rPr>
          <w:sz w:val="18"/>
          <w:szCs w:val="20"/>
          <w:rtl/>
        </w:rPr>
        <w:t>פד</w:t>
      </w:r>
      <w:r>
        <w:rPr>
          <w:rtl/>
        </w:rPr>
        <w:t>)</w:t>
      </w:r>
      <w:r>
        <w:rPr>
          <w:rFonts w:hint="cs"/>
          <w:rtl/>
        </w:rPr>
        <w:t>;</w:t>
      </w:r>
      <w:r>
        <w:rPr>
          <w:rtl/>
        </w:rPr>
        <w:t xml:space="preserve"> </w:t>
      </w:r>
      <w:r>
        <w:rPr>
          <w:rFonts w:hint="cs"/>
          <w:rtl/>
        </w:rPr>
        <w:t>"</w:t>
      </w:r>
      <w:r>
        <w:rPr>
          <w:b/>
          <w:bCs/>
          <w:rtl/>
        </w:rPr>
        <w:t>שְׁנֵי</w:t>
      </w:r>
      <w:r>
        <w:rPr>
          <w:rtl/>
        </w:rPr>
        <w:t xml:space="preserve"> אֲנָשִׁים הָיוּ בְּעִיר </w:t>
      </w:r>
      <w:r>
        <w:rPr>
          <w:b/>
          <w:bCs/>
          <w:rtl/>
        </w:rPr>
        <w:t>אֶחָת</w:t>
      </w:r>
      <w:r>
        <w:rPr>
          <w:rFonts w:hint="cs"/>
          <w:rtl/>
        </w:rPr>
        <w:t xml:space="preserve">, </w:t>
      </w:r>
      <w:r>
        <w:rPr>
          <w:b/>
          <w:bCs/>
          <w:rtl/>
        </w:rPr>
        <w:t>אֶחָד</w:t>
      </w:r>
      <w:r>
        <w:rPr>
          <w:rtl/>
        </w:rPr>
        <w:t xml:space="preserve"> עָשִׁיר </w:t>
      </w:r>
      <w:r>
        <w:rPr>
          <w:b/>
          <w:bCs/>
          <w:rtl/>
        </w:rPr>
        <w:t>וְאֶחָד</w:t>
      </w:r>
      <w:r>
        <w:rPr>
          <w:rtl/>
        </w:rPr>
        <w:t xml:space="preserve"> רָאשׁ</w:t>
      </w:r>
      <w:r>
        <w:rPr>
          <w:rFonts w:hint="cs"/>
          <w:rtl/>
        </w:rPr>
        <w:t>"</w:t>
      </w:r>
      <w:r>
        <w:rPr>
          <w:rtl/>
        </w:rPr>
        <w:t xml:space="preserve"> </w:t>
      </w:r>
      <w:r>
        <w:rPr>
          <w:rFonts w:hint="cs"/>
          <w:rtl/>
        </w:rPr>
        <w:t>(</w:t>
      </w:r>
      <w:r>
        <w:rPr>
          <w:sz w:val="18"/>
          <w:szCs w:val="20"/>
          <w:rtl/>
        </w:rPr>
        <w:t>שמואל ב</w:t>
      </w:r>
      <w:r>
        <w:rPr>
          <w:rFonts w:hint="cs"/>
          <w:sz w:val="18"/>
          <w:szCs w:val="20"/>
          <w:rtl/>
        </w:rPr>
        <w:t>'</w:t>
      </w:r>
      <w:r>
        <w:rPr>
          <w:sz w:val="18"/>
          <w:szCs w:val="20"/>
          <w:rtl/>
        </w:rPr>
        <w:t xml:space="preserve"> יב</w:t>
      </w:r>
      <w:r>
        <w:rPr>
          <w:rFonts w:hint="cs"/>
          <w:sz w:val="18"/>
          <w:szCs w:val="20"/>
          <w:rtl/>
        </w:rPr>
        <w:t xml:space="preserve">, </w:t>
      </w:r>
      <w:r>
        <w:rPr>
          <w:sz w:val="18"/>
          <w:szCs w:val="20"/>
          <w:rtl/>
        </w:rPr>
        <w:t>א</w:t>
      </w:r>
      <w:r>
        <w:rPr>
          <w:rFonts w:hint="cs"/>
          <w:rtl/>
        </w:rPr>
        <w:t>).</w:t>
      </w:r>
    </w:p>
  </w:footnote>
  <w:footnote w:id="4">
    <w:p w14:paraId="18E1DE2C" w14:textId="77777777" w:rsidR="008F2822" w:rsidRDefault="008F2822">
      <w:pPr>
        <w:pStyle w:val="a7"/>
        <w:rPr>
          <w:rFonts w:hint="cs"/>
          <w:rtl/>
        </w:rPr>
      </w:pPr>
      <w:r>
        <w:rPr>
          <w:rStyle w:val="a6"/>
        </w:rPr>
        <w:footnoteRef/>
      </w:r>
      <w:r>
        <w:rPr>
          <w:rFonts w:hint="cs"/>
          <w:rtl/>
        </w:rPr>
        <w:t xml:space="preserve"> מובא בהסכמתו לספר "דיקא נמי - דקדוק לתלמוד בבלי ולתרגום אונקלוס" מאת אמו"ר, הרב יצחק פרנק.</w:t>
      </w:r>
    </w:p>
  </w:footnote>
  <w:footnote w:id="5">
    <w:p w14:paraId="2C14FD4D" w14:textId="77777777" w:rsidR="008F2822" w:rsidRDefault="008F2822">
      <w:pPr>
        <w:pStyle w:val="a7"/>
        <w:rPr>
          <w:rFonts w:hint="cs"/>
          <w:rtl/>
        </w:rPr>
      </w:pPr>
      <w:r>
        <w:rPr>
          <w:rStyle w:val="a6"/>
        </w:rPr>
        <w:footnoteRef/>
      </w:r>
      <w:r>
        <w:rPr>
          <w:rFonts w:hint="cs"/>
          <w:rtl/>
        </w:rPr>
        <w:t xml:space="preserve"> דבריו מכוונים ללשון </w:t>
      </w:r>
      <w:r>
        <w:rPr>
          <w:rtl/>
        </w:rPr>
        <w:t>רבי אליעזר בן חסמא</w:t>
      </w:r>
      <w:r>
        <w:rPr>
          <w:rFonts w:hint="cs"/>
          <w:rtl/>
        </w:rPr>
        <w:t xml:space="preserve"> (</w:t>
      </w:r>
      <w:r>
        <w:rPr>
          <w:sz w:val="18"/>
          <w:szCs w:val="20"/>
          <w:rtl/>
        </w:rPr>
        <w:t xml:space="preserve">אבות </w:t>
      </w:r>
      <w:r>
        <w:rPr>
          <w:rFonts w:hint="cs"/>
          <w:sz w:val="18"/>
          <w:szCs w:val="20"/>
          <w:rtl/>
        </w:rPr>
        <w:t xml:space="preserve">סוף </w:t>
      </w:r>
      <w:r>
        <w:rPr>
          <w:sz w:val="18"/>
          <w:szCs w:val="20"/>
          <w:rtl/>
        </w:rPr>
        <w:t>פ</w:t>
      </w:r>
      <w:r>
        <w:rPr>
          <w:rFonts w:hint="cs"/>
          <w:sz w:val="18"/>
          <w:szCs w:val="20"/>
          <w:rtl/>
        </w:rPr>
        <w:t>"</w:t>
      </w:r>
      <w:r>
        <w:rPr>
          <w:sz w:val="18"/>
          <w:szCs w:val="20"/>
          <w:rtl/>
        </w:rPr>
        <w:t>ג</w:t>
      </w:r>
      <w:r>
        <w:rPr>
          <w:rFonts w:hint="cs"/>
          <w:rtl/>
        </w:rPr>
        <w:t>): "</w:t>
      </w:r>
      <w:r>
        <w:rPr>
          <w:rtl/>
        </w:rPr>
        <w:t>קינין ופתחי נדה הן הן גופי הלכות</w:t>
      </w:r>
      <w:r>
        <w:rPr>
          <w:rFonts w:hint="cs"/>
          <w:rtl/>
        </w:rPr>
        <w:t>;</w:t>
      </w:r>
      <w:r>
        <w:rPr>
          <w:rtl/>
        </w:rPr>
        <w:t xml:space="preserve"> תקופות וגמטריאות</w:t>
      </w:r>
      <w:r>
        <w:rPr>
          <w:rFonts w:hint="cs"/>
          <w:rtl/>
        </w:rPr>
        <w:t xml:space="preserve"> - </w:t>
      </w:r>
      <w:r>
        <w:rPr>
          <w:rtl/>
        </w:rPr>
        <w:t>פרפראות לחכמה</w:t>
      </w:r>
      <w:r>
        <w:rPr>
          <w:rFonts w:hint="cs"/>
          <w:rtl/>
        </w:rPr>
        <w:t>". מדבריו נלמד שלימוד דקדוק והסברים לשוניים לתורה (</w:t>
      </w:r>
      <w:r>
        <w:rPr>
          <w:rFonts w:hint="cs"/>
          <w:sz w:val="18"/>
          <w:szCs w:val="20"/>
          <w:rtl/>
        </w:rPr>
        <w:t>כגון הנמצאים בספר זה</w:t>
      </w:r>
      <w:r>
        <w:rPr>
          <w:rFonts w:hint="cs"/>
          <w:rtl/>
        </w:rPr>
        <w:t xml:space="preserve">) אינם - כפי שסבורים חלק מבני התורה - </w:t>
      </w:r>
      <w:r>
        <w:rPr>
          <w:rtl/>
        </w:rPr>
        <w:t xml:space="preserve">פרפראות </w:t>
      </w:r>
      <w:r>
        <w:rPr>
          <w:rFonts w:hint="cs"/>
          <w:rtl/>
        </w:rPr>
        <w:t>ומוֹתרות בלבד. ידיעת דקדוק איננה כ"גימטריאות" ושאר רמזים ה"דרושים לכל חפציהם", שכל דרשן ובעל רמז וסוד יכול לדרוש כרצונו וכחפצו, אלא היא הכרחית להבנה נכונה של התורה שבכתב ושעל פה, וממילא יש ללומדה ברצינות ובשיטתיות. יש לציין שהגר"י קמנצקי נאה דרש ואף נאה קיים, כפי שאפשר להיווכח למשל מספר עיוניו במקרא, "אמת ליעקב".</w:t>
      </w:r>
    </w:p>
  </w:footnote>
  <w:footnote w:id="6">
    <w:p w14:paraId="3C46391B" w14:textId="77777777" w:rsidR="008F2822" w:rsidRDefault="008F2822">
      <w:pPr>
        <w:pStyle w:val="a7"/>
        <w:rPr>
          <w:rFonts w:hint="cs"/>
          <w:rtl/>
        </w:rPr>
      </w:pPr>
      <w:r>
        <w:rPr>
          <w:rStyle w:val="a6"/>
        </w:rPr>
        <w:footnoteRef/>
      </w:r>
      <w:r>
        <w:rPr>
          <w:rFonts w:hint="cs"/>
          <w:rtl/>
        </w:rPr>
        <w:t xml:space="preserve"> מִדָּה זו מנוקדת כך פעמיים במקרא (</w:t>
      </w:r>
      <w:r>
        <w:rPr>
          <w:rFonts w:hint="cs"/>
          <w:sz w:val="18"/>
          <w:szCs w:val="20"/>
          <w:rtl/>
        </w:rPr>
        <w:t xml:space="preserve">מלכים א' ז, כו; </w:t>
      </w:r>
      <w:r>
        <w:rPr>
          <w:sz w:val="18"/>
          <w:szCs w:val="20"/>
          <w:rtl/>
        </w:rPr>
        <w:t>דברי הימים ב</w:t>
      </w:r>
      <w:r>
        <w:rPr>
          <w:rFonts w:hint="cs"/>
          <w:sz w:val="18"/>
          <w:szCs w:val="20"/>
          <w:rtl/>
        </w:rPr>
        <w:t>'</w:t>
      </w:r>
      <w:r>
        <w:rPr>
          <w:sz w:val="18"/>
          <w:szCs w:val="20"/>
          <w:rtl/>
        </w:rPr>
        <w:t xml:space="preserve"> ד</w:t>
      </w:r>
      <w:r>
        <w:rPr>
          <w:rFonts w:hint="cs"/>
          <w:sz w:val="18"/>
          <w:szCs w:val="20"/>
          <w:rtl/>
        </w:rPr>
        <w:t xml:space="preserve">, </w:t>
      </w:r>
      <w:r>
        <w:rPr>
          <w:sz w:val="18"/>
          <w:szCs w:val="20"/>
          <w:rtl/>
        </w:rPr>
        <w:t>ה</w:t>
      </w:r>
      <w:r>
        <w:rPr>
          <w:rFonts w:hint="cs"/>
          <w:rtl/>
        </w:rPr>
        <w:t>).</w:t>
      </w:r>
      <w:r>
        <w:rPr>
          <w:rtl/>
        </w:rPr>
        <w:t xml:space="preserve"> </w:t>
      </w:r>
      <w:r>
        <w:rPr>
          <w:rFonts w:hint="cs"/>
          <w:rtl/>
        </w:rPr>
        <w:t>בניקוד "טֹפַח" מופיעה מִדָּה זו חמש פעמים נוספות: בחומש שמות (</w:t>
      </w:r>
      <w:r>
        <w:rPr>
          <w:rFonts w:hint="cs"/>
          <w:sz w:val="18"/>
          <w:szCs w:val="20"/>
          <w:rtl/>
        </w:rPr>
        <w:t xml:space="preserve">כה, כה; </w:t>
      </w:r>
      <w:r>
        <w:rPr>
          <w:sz w:val="18"/>
          <w:szCs w:val="20"/>
          <w:rtl/>
        </w:rPr>
        <w:t>לז</w:t>
      </w:r>
      <w:r>
        <w:rPr>
          <w:rFonts w:hint="cs"/>
          <w:sz w:val="18"/>
          <w:szCs w:val="20"/>
          <w:rtl/>
        </w:rPr>
        <w:t xml:space="preserve">, </w:t>
      </w:r>
      <w:r>
        <w:rPr>
          <w:sz w:val="18"/>
          <w:szCs w:val="20"/>
          <w:rtl/>
        </w:rPr>
        <w:t>יב</w:t>
      </w:r>
      <w:r>
        <w:rPr>
          <w:rFonts w:hint="cs"/>
          <w:rtl/>
        </w:rPr>
        <w:t>)</w:t>
      </w:r>
      <w:r>
        <w:rPr>
          <w:rtl/>
        </w:rPr>
        <w:t xml:space="preserve"> </w:t>
      </w:r>
      <w:r>
        <w:rPr>
          <w:rFonts w:hint="cs"/>
          <w:rtl/>
        </w:rPr>
        <w:t>ובספר</w:t>
      </w:r>
      <w:r>
        <w:rPr>
          <w:rtl/>
        </w:rPr>
        <w:t xml:space="preserve"> יחזקאל</w:t>
      </w:r>
      <w:r>
        <w:rPr>
          <w:rFonts w:hint="cs"/>
          <w:rtl/>
        </w:rPr>
        <w:t>, כגון: "</w:t>
      </w:r>
      <w:r>
        <w:rPr>
          <w:rtl/>
        </w:rPr>
        <w:t xml:space="preserve">טֹפַח </w:t>
      </w:r>
      <w:r>
        <w:rPr>
          <w:b/>
          <w:bCs/>
          <w:rtl/>
        </w:rPr>
        <w:t>אֶחָד</w:t>
      </w:r>
      <w:r>
        <w:rPr>
          <w:rFonts w:hint="cs"/>
          <w:rtl/>
        </w:rPr>
        <w:t>" (</w:t>
      </w:r>
      <w:r>
        <w:rPr>
          <w:sz w:val="18"/>
          <w:szCs w:val="20"/>
          <w:rtl/>
        </w:rPr>
        <w:t>מ</w:t>
      </w:r>
      <w:r>
        <w:rPr>
          <w:rFonts w:hint="cs"/>
          <w:sz w:val="18"/>
          <w:szCs w:val="20"/>
          <w:rtl/>
        </w:rPr>
        <w:t xml:space="preserve">, </w:t>
      </w:r>
      <w:r>
        <w:rPr>
          <w:sz w:val="18"/>
          <w:szCs w:val="20"/>
          <w:rtl/>
        </w:rPr>
        <w:t>מג</w:t>
      </w:r>
      <w:r>
        <w:rPr>
          <w:rFonts w:hint="cs"/>
          <w:rtl/>
        </w:rPr>
        <w:t>).</w:t>
      </w:r>
    </w:p>
  </w:footnote>
  <w:footnote w:id="7">
    <w:p w14:paraId="6D099B3F" w14:textId="77777777" w:rsidR="008F2822" w:rsidRDefault="008F2822">
      <w:pPr>
        <w:pStyle w:val="a7"/>
        <w:rPr>
          <w:rFonts w:hint="cs"/>
          <w:rtl/>
        </w:rPr>
      </w:pPr>
      <w:r>
        <w:rPr>
          <w:rStyle w:val="a6"/>
        </w:rPr>
        <w:footnoteRef/>
      </w:r>
      <w:r>
        <w:rPr>
          <w:rFonts w:hint="cs"/>
          <w:rtl/>
        </w:rPr>
        <w:t xml:space="preserve"> השוה: "</w:t>
      </w:r>
      <w:r>
        <w:rPr>
          <w:b/>
          <w:bCs/>
          <w:rtl/>
        </w:rPr>
        <w:t xml:space="preserve">חֲמֵשׁ עֶשְׂרֵה </w:t>
      </w:r>
      <w:r>
        <w:rPr>
          <w:rtl/>
        </w:rPr>
        <w:t>אַמָּה מִלְמַעְלָה גָּבְרוּ הַמָּיִם</w:t>
      </w:r>
      <w:r>
        <w:rPr>
          <w:rFonts w:hint="cs"/>
          <w:rtl/>
        </w:rPr>
        <w:t>"</w:t>
      </w:r>
      <w:r>
        <w:rPr>
          <w:rtl/>
        </w:rPr>
        <w:t xml:space="preserve"> </w:t>
      </w:r>
      <w:r>
        <w:rPr>
          <w:rFonts w:hint="cs"/>
          <w:rtl/>
        </w:rPr>
        <w:t>(</w:t>
      </w:r>
      <w:r>
        <w:rPr>
          <w:sz w:val="18"/>
          <w:szCs w:val="20"/>
          <w:rtl/>
        </w:rPr>
        <w:t>בראשית ז</w:t>
      </w:r>
      <w:r>
        <w:rPr>
          <w:rFonts w:hint="cs"/>
          <w:sz w:val="18"/>
          <w:szCs w:val="20"/>
          <w:rtl/>
        </w:rPr>
        <w:t xml:space="preserve">, </w:t>
      </w:r>
      <w:r>
        <w:rPr>
          <w:sz w:val="18"/>
          <w:szCs w:val="20"/>
          <w:rtl/>
        </w:rPr>
        <w:t>כ</w:t>
      </w:r>
      <w:r>
        <w:rPr>
          <w:rFonts w:hint="cs"/>
          <w:rtl/>
        </w:rPr>
        <w:t>). יש להקפיד להדגיש את האות מ', שהרי ל"</w:t>
      </w:r>
      <w:r>
        <w:rPr>
          <w:rtl/>
        </w:rPr>
        <w:t>אָמָה</w:t>
      </w:r>
      <w:r>
        <w:rPr>
          <w:rFonts w:hint="cs"/>
          <w:rtl/>
        </w:rPr>
        <w:t>" משמעות אחרת: שִׁפחה (</w:t>
      </w:r>
      <w:r>
        <w:rPr>
          <w:rFonts w:hint="cs"/>
          <w:sz w:val="18"/>
          <w:szCs w:val="20"/>
          <w:rtl/>
        </w:rPr>
        <w:t>ראה רש"י</w:t>
      </w:r>
      <w:r>
        <w:rPr>
          <w:sz w:val="18"/>
          <w:szCs w:val="20"/>
          <w:rtl/>
        </w:rPr>
        <w:t xml:space="preserve"> </w:t>
      </w:r>
      <w:r>
        <w:rPr>
          <w:rFonts w:hint="cs"/>
          <w:sz w:val="18"/>
          <w:szCs w:val="20"/>
          <w:rtl/>
        </w:rPr>
        <w:t>ל</w:t>
      </w:r>
      <w:r>
        <w:rPr>
          <w:sz w:val="18"/>
          <w:szCs w:val="20"/>
          <w:rtl/>
        </w:rPr>
        <w:t>שמות ב</w:t>
      </w:r>
      <w:r>
        <w:rPr>
          <w:rFonts w:hint="cs"/>
          <w:sz w:val="18"/>
          <w:szCs w:val="20"/>
          <w:rtl/>
        </w:rPr>
        <w:t xml:space="preserve">, </w:t>
      </w:r>
      <w:r>
        <w:rPr>
          <w:sz w:val="18"/>
          <w:szCs w:val="20"/>
          <w:rtl/>
        </w:rPr>
        <w:t>ה</w:t>
      </w:r>
      <w:r>
        <w:rPr>
          <w:rFonts w:hint="cs"/>
          <w:rtl/>
        </w:rPr>
        <w:t>).</w:t>
      </w:r>
    </w:p>
  </w:footnote>
  <w:footnote w:id="8">
    <w:p w14:paraId="2495A2F2" w14:textId="77777777" w:rsidR="008F2822" w:rsidRDefault="008F2822">
      <w:pPr>
        <w:pStyle w:val="a7"/>
        <w:rPr>
          <w:rFonts w:hint="cs"/>
          <w:rtl/>
        </w:rPr>
      </w:pPr>
      <w:r>
        <w:rPr>
          <w:rStyle w:val="a6"/>
        </w:rPr>
        <w:footnoteRef/>
      </w:r>
      <w:r>
        <w:rPr>
          <w:rFonts w:hint="cs"/>
          <w:rtl/>
        </w:rPr>
        <w:t xml:space="preserve"> בנוסף לתיקונים בנוסח המודפס של פירוש רש"י שנזכר לעיל (</w:t>
      </w:r>
      <w:r>
        <w:rPr>
          <w:rFonts w:hint="cs"/>
          <w:sz w:val="18"/>
          <w:szCs w:val="20"/>
          <w:rtl/>
        </w:rPr>
        <w:t>דף ב, ב, הערה 9</w:t>
      </w:r>
      <w:r>
        <w:rPr>
          <w:rFonts w:hint="cs"/>
          <w:rtl/>
        </w:rPr>
        <w:t xml:space="preserve">), נציין </w:t>
      </w:r>
      <w:r>
        <w:rPr>
          <w:rFonts w:hint="cs"/>
          <w:sz w:val="26"/>
          <w:rtl/>
        </w:rPr>
        <w:t>לדברי ר' ראובן מרגליות בנושא זה (מחקרים בדרכי התלמוד וחידותיו</w:t>
      </w:r>
      <w:r>
        <w:rPr>
          <w:rFonts w:hint="cs"/>
          <w:sz w:val="18"/>
          <w:szCs w:val="20"/>
          <w:rtl/>
        </w:rPr>
        <w:t>, פרק י, עמ' ס'</w:t>
      </w:r>
      <w:r>
        <w:rPr>
          <w:rFonts w:hint="cs"/>
          <w:sz w:val="26"/>
          <w:rtl/>
        </w:rPr>
        <w:t>), ו</w:t>
      </w:r>
      <w:r>
        <w:rPr>
          <w:rFonts w:hint="cs"/>
          <w:rtl/>
        </w:rPr>
        <w:t xml:space="preserve">כאן נציין שלוש דוגמות:  </w:t>
      </w:r>
      <w:r>
        <w:rPr>
          <w:rFonts w:hint="cs"/>
          <w:b/>
          <w:bCs/>
          <w:rtl/>
        </w:rPr>
        <w:t>א.</w:t>
      </w:r>
      <w:r>
        <w:rPr>
          <w:rFonts w:hint="cs"/>
          <w:rtl/>
        </w:rPr>
        <w:t xml:space="preserve"> להלן </w:t>
      </w:r>
      <w:r>
        <w:rPr>
          <w:rtl/>
        </w:rPr>
        <w:t>דף צט</w:t>
      </w:r>
      <w:r>
        <w:rPr>
          <w:rFonts w:hint="cs"/>
          <w:rtl/>
        </w:rPr>
        <w:t xml:space="preserve">, </w:t>
      </w:r>
      <w:r>
        <w:rPr>
          <w:rtl/>
        </w:rPr>
        <w:t>ב</w:t>
      </w:r>
      <w:r>
        <w:rPr>
          <w:rFonts w:hint="cs"/>
          <w:rtl/>
        </w:rPr>
        <w:t xml:space="preserve"> מדובר על טפחים, אך חלק מהקיצורים פוענחו בטעות בלשון נקבה: "</w:t>
      </w:r>
      <w:r>
        <w:rPr>
          <w:rtl/>
        </w:rPr>
        <w:t>בעא מיניה רב מרדכי מרבא</w:t>
      </w:r>
      <w:r>
        <w:rPr>
          <w:rFonts w:hint="cs"/>
          <w:rtl/>
        </w:rPr>
        <w:t xml:space="preserve">: </w:t>
      </w:r>
      <w:r>
        <w:rPr>
          <w:rtl/>
        </w:rPr>
        <w:t xml:space="preserve">עמוד ברשות הרבים גבוה י' </w:t>
      </w:r>
      <w:r>
        <w:rPr>
          <w:rFonts w:hint="cs"/>
          <w:rtl/>
        </w:rPr>
        <w:t>[=</w:t>
      </w:r>
      <w:r>
        <w:rPr>
          <w:rtl/>
        </w:rPr>
        <w:t>עשרה</w:t>
      </w:r>
      <w:r>
        <w:rPr>
          <w:rFonts w:hint="cs"/>
          <w:rtl/>
        </w:rPr>
        <w:t>]</w:t>
      </w:r>
      <w:r>
        <w:rPr>
          <w:rtl/>
        </w:rPr>
        <w:t xml:space="preserve"> ורחב ד'</w:t>
      </w:r>
      <w:r>
        <w:rPr>
          <w:rFonts w:hint="cs"/>
          <w:rtl/>
        </w:rPr>
        <w:t xml:space="preserve"> [=</w:t>
      </w:r>
      <w:r>
        <w:rPr>
          <w:rtl/>
        </w:rPr>
        <w:t>ארבעה</w:t>
      </w:r>
      <w:r>
        <w:rPr>
          <w:rFonts w:hint="cs"/>
          <w:rtl/>
        </w:rPr>
        <w:t xml:space="preserve">]... </w:t>
      </w:r>
      <w:r>
        <w:rPr>
          <w:rtl/>
        </w:rPr>
        <w:t>בעי רבי יוחנן: כותל ברשות הרבים גבוה י'</w:t>
      </w:r>
      <w:r>
        <w:rPr>
          <w:rFonts w:hint="cs"/>
          <w:rtl/>
        </w:rPr>
        <w:t xml:space="preserve"> [=</w:t>
      </w:r>
      <w:r>
        <w:rPr>
          <w:rtl/>
        </w:rPr>
        <w:t>עשרה</w:t>
      </w:r>
      <w:r>
        <w:rPr>
          <w:rFonts w:hint="cs"/>
          <w:rtl/>
        </w:rPr>
        <w:t>]</w:t>
      </w:r>
      <w:r>
        <w:rPr>
          <w:rtl/>
        </w:rPr>
        <w:t xml:space="preserve"> ואינו רחב ארבע</w:t>
      </w:r>
      <w:r>
        <w:rPr>
          <w:rFonts w:hint="cs"/>
          <w:rtl/>
        </w:rPr>
        <w:t xml:space="preserve"> [צ"ל:</w:t>
      </w:r>
      <w:r>
        <w:rPr>
          <w:rtl/>
        </w:rPr>
        <w:t xml:space="preserve"> ארבע</w:t>
      </w:r>
      <w:r>
        <w:rPr>
          <w:rFonts w:hint="cs"/>
          <w:rtl/>
        </w:rPr>
        <w:t xml:space="preserve">ה!]... </w:t>
      </w:r>
      <w:r>
        <w:rPr>
          <w:rtl/>
        </w:rPr>
        <w:t>דאינו רחב ד'</w:t>
      </w:r>
      <w:r>
        <w:rPr>
          <w:rFonts w:hint="cs"/>
          <w:rtl/>
        </w:rPr>
        <w:t xml:space="preserve"> [=</w:t>
      </w:r>
      <w:r>
        <w:rPr>
          <w:rtl/>
        </w:rPr>
        <w:t>ארבע</w:t>
      </w:r>
      <w:r>
        <w:rPr>
          <w:rFonts w:hint="cs"/>
          <w:rtl/>
        </w:rPr>
        <w:t xml:space="preserve">ה]... </w:t>
      </w:r>
      <w:r>
        <w:rPr>
          <w:rtl/>
        </w:rPr>
        <w:t>אמר רבי יוחנן</w:t>
      </w:r>
      <w:r>
        <w:rPr>
          <w:rFonts w:hint="cs"/>
          <w:rtl/>
        </w:rPr>
        <w:t xml:space="preserve">: </w:t>
      </w:r>
      <w:r>
        <w:rPr>
          <w:rtl/>
        </w:rPr>
        <w:t>כותל ברשות הרבים גבוה י'</w:t>
      </w:r>
      <w:r>
        <w:rPr>
          <w:rFonts w:hint="cs"/>
          <w:rtl/>
        </w:rPr>
        <w:t xml:space="preserve"> [=</w:t>
      </w:r>
      <w:r>
        <w:rPr>
          <w:rtl/>
        </w:rPr>
        <w:t>עשרה</w:t>
      </w:r>
      <w:r>
        <w:rPr>
          <w:rFonts w:hint="cs"/>
          <w:rtl/>
        </w:rPr>
        <w:t>]</w:t>
      </w:r>
      <w:r>
        <w:rPr>
          <w:rtl/>
        </w:rPr>
        <w:t xml:space="preserve"> ואינו רחב ארבע</w:t>
      </w:r>
      <w:r>
        <w:rPr>
          <w:rFonts w:hint="cs"/>
          <w:rtl/>
        </w:rPr>
        <w:t xml:space="preserve"> [צ"ל:</w:t>
      </w:r>
      <w:r>
        <w:rPr>
          <w:rtl/>
        </w:rPr>
        <w:t xml:space="preserve"> ארבע</w:t>
      </w:r>
      <w:r>
        <w:rPr>
          <w:rFonts w:hint="cs"/>
          <w:rtl/>
        </w:rPr>
        <w:t xml:space="preserve">ה!]"... </w:t>
      </w:r>
      <w:r>
        <w:rPr>
          <w:rtl/>
        </w:rPr>
        <w:t>במהדור</w:t>
      </w:r>
      <w:r>
        <w:rPr>
          <w:rFonts w:hint="cs"/>
          <w:rtl/>
        </w:rPr>
        <w:t>ו</w:t>
      </w:r>
      <w:r>
        <w:rPr>
          <w:rtl/>
        </w:rPr>
        <w:t xml:space="preserve">ת שטיינזלץ </w:t>
      </w:r>
      <w:r>
        <w:rPr>
          <w:rFonts w:hint="cs"/>
          <w:rtl/>
        </w:rPr>
        <w:t>ו</w:t>
      </w:r>
      <w:r>
        <w:rPr>
          <w:rtl/>
        </w:rPr>
        <w:t>ארט</w:t>
      </w:r>
      <w:r>
        <w:rPr>
          <w:rFonts w:hint="cs"/>
          <w:rtl/>
        </w:rPr>
        <w:t>-</w:t>
      </w:r>
      <w:r>
        <w:rPr>
          <w:rtl/>
        </w:rPr>
        <w:t>סקרול</w:t>
      </w:r>
      <w:r>
        <w:rPr>
          <w:rFonts w:hint="cs"/>
          <w:rtl/>
        </w:rPr>
        <w:t xml:space="preserve"> לא תוקן כראוי. </w:t>
      </w:r>
      <w:r>
        <w:rPr>
          <w:rFonts w:hint="cs"/>
          <w:b/>
          <w:bCs/>
          <w:rtl/>
        </w:rPr>
        <w:t xml:space="preserve"> ב. </w:t>
      </w:r>
      <w:r>
        <w:rPr>
          <w:rFonts w:hint="cs"/>
          <w:rtl/>
        </w:rPr>
        <w:t xml:space="preserve">מקרה הפוך במסכת ערובין דף ה, ב שם הודפס מספר זכר במקום נקבה: "אבל במבוי שבעה", מכיון שמדובר באַמּוֹת הגיה הרב יעב"ץ "שבע"! כיו"ב יש להגיה ברש"י שם </w:t>
      </w:r>
      <w:r>
        <w:rPr>
          <w:rFonts w:hint="eastAsia"/>
          <w:rtl/>
        </w:rPr>
        <w:t>ד</w:t>
      </w:r>
      <w:r>
        <w:rPr>
          <w:rtl/>
        </w:rPr>
        <w:t xml:space="preserve">"ה "אבל </w:t>
      </w:r>
      <w:r>
        <w:rPr>
          <w:rFonts w:hint="eastAsia"/>
          <w:rtl/>
        </w:rPr>
        <w:t>במבוי</w:t>
      </w:r>
      <w:r>
        <w:rPr>
          <w:rtl/>
        </w:rPr>
        <w:t xml:space="preserve"> שבע</w:t>
      </w:r>
      <w:r>
        <w:rPr>
          <w:rFonts w:hint="cs"/>
          <w:rtl/>
        </w:rPr>
        <w:t>(</w:t>
      </w:r>
      <w:r>
        <w:rPr>
          <w:rtl/>
        </w:rPr>
        <w:t>ה</w:t>
      </w:r>
      <w:r>
        <w:rPr>
          <w:rFonts w:hint="cs"/>
          <w:rtl/>
        </w:rPr>
        <w:t>)</w:t>
      </w:r>
      <w:r>
        <w:rPr>
          <w:rtl/>
        </w:rPr>
        <w:t>"</w:t>
      </w:r>
      <w:r>
        <w:rPr>
          <w:rFonts w:hint="cs"/>
          <w:rtl/>
        </w:rPr>
        <w:t xml:space="preserve"> ו</w:t>
      </w:r>
      <w:r>
        <w:rPr>
          <w:rtl/>
        </w:rPr>
        <w:t>ד"ה טעמא דנפשיה קאמר</w:t>
      </w:r>
      <w:r>
        <w:rPr>
          <w:rFonts w:hint="cs"/>
          <w:rtl/>
        </w:rPr>
        <w:t xml:space="preserve">, ושם יב, א בנוסח התלמוד "שפירצתו ביותר מעשר(ה), אבל עשר(ה) וכו'", וכן ברש"י שם ג"פ צ"ל: עשר(ה). בכל הדוגמות הללו מתועדת הגרסה הנכונה בכתבי יד. לפעמים מקור השיבוש בחלק מכתבי היד, אך בד"כ מקורו בדפוסים, ובעיקר </w:t>
      </w:r>
      <w:r>
        <w:rPr>
          <w:rtl/>
        </w:rPr>
        <w:t>בדפוס וילנ</w:t>
      </w:r>
      <w:r>
        <w:rPr>
          <w:rFonts w:hint="cs"/>
          <w:rtl/>
        </w:rPr>
        <w:t>ה (</w:t>
      </w:r>
      <w:r>
        <w:rPr>
          <w:rFonts w:hint="cs"/>
          <w:sz w:val="18"/>
          <w:szCs w:val="20"/>
          <w:rtl/>
        </w:rPr>
        <w:t xml:space="preserve">ע"פ בדיקת ר' </w:t>
      </w:r>
      <w:r>
        <w:rPr>
          <w:sz w:val="18"/>
          <w:szCs w:val="20"/>
          <w:rtl/>
        </w:rPr>
        <w:t>דוד ארונובסקי</w:t>
      </w:r>
      <w:r>
        <w:rPr>
          <w:rFonts w:hint="cs"/>
          <w:sz w:val="18"/>
          <w:szCs w:val="20"/>
          <w:rtl/>
        </w:rPr>
        <w:t xml:space="preserve"> מ</w:t>
      </w:r>
      <w:r>
        <w:rPr>
          <w:sz w:val="18"/>
          <w:szCs w:val="20"/>
          <w:rtl/>
        </w:rPr>
        <w:t>מכון התלמוד, יד הרב הרצוג</w:t>
      </w:r>
      <w:r>
        <w:rPr>
          <w:rFonts w:hint="cs"/>
          <w:rtl/>
        </w:rPr>
        <w:t xml:space="preserve">).  </w:t>
      </w:r>
      <w:r>
        <w:rPr>
          <w:rFonts w:hint="cs"/>
          <w:b/>
          <w:bCs/>
          <w:rtl/>
        </w:rPr>
        <w:t>ג.</w:t>
      </w:r>
      <w:r>
        <w:rPr>
          <w:rFonts w:hint="cs"/>
          <w:rtl/>
        </w:rPr>
        <w:t xml:space="preserve"> דוגמה אחרונה מנוסח השו"ע, או"ח סי' שמ"ה, י': "רחב ארבע על ארבע", וצ"ל "ארבעה" כי מדובר על טפחים!</w:t>
      </w:r>
    </w:p>
  </w:footnote>
  <w:footnote w:id="9">
    <w:p w14:paraId="1B98D67D" w14:textId="77777777" w:rsidR="008F2822" w:rsidRDefault="008F2822">
      <w:pPr>
        <w:pStyle w:val="a7"/>
        <w:rPr>
          <w:rFonts w:hint="cs"/>
          <w:rtl/>
        </w:rPr>
      </w:pPr>
      <w:r>
        <w:rPr>
          <w:rStyle w:val="a6"/>
        </w:rPr>
        <w:footnoteRef/>
      </w:r>
      <w:r>
        <w:rPr>
          <w:rFonts w:hint="cs"/>
          <w:rtl/>
        </w:rPr>
        <w:t xml:space="preserve"> כמוכח מהמשך פסוק זה: "</w:t>
      </w:r>
      <w:r>
        <w:rPr>
          <w:rtl/>
        </w:rPr>
        <w:t>עַמֻּדֵיהֶם</w:t>
      </w:r>
      <w:r>
        <w:rPr>
          <w:rFonts w:hint="cs"/>
          <w:rtl/>
        </w:rPr>
        <w:t xml:space="preserve">.. </w:t>
      </w:r>
      <w:r>
        <w:rPr>
          <w:rtl/>
        </w:rPr>
        <w:t>וְאַדְנֵיהֶם</w:t>
      </w:r>
      <w:r>
        <w:rPr>
          <w:rFonts w:hint="cs"/>
          <w:rtl/>
        </w:rPr>
        <w:t>", ולא</w:t>
      </w:r>
      <w:r>
        <w:rPr>
          <w:rtl/>
        </w:rPr>
        <w:t xml:space="preserve"> </w:t>
      </w:r>
      <w:r>
        <w:rPr>
          <w:rFonts w:hint="cs"/>
          <w:rtl/>
        </w:rPr>
        <w:t>"</w:t>
      </w:r>
      <w:r>
        <w:rPr>
          <w:rtl/>
        </w:rPr>
        <w:t>עַמֻּדֵיהֶ</w:t>
      </w:r>
      <w:r>
        <w:rPr>
          <w:rFonts w:hint="cs"/>
          <w:rtl/>
        </w:rPr>
        <w:t xml:space="preserve">ן.. </w:t>
      </w:r>
      <w:r>
        <w:rPr>
          <w:rtl/>
        </w:rPr>
        <w:t>וְאַדְנֵיהֶ</w:t>
      </w:r>
      <w:r>
        <w:rPr>
          <w:rFonts w:hint="cs"/>
          <w:rtl/>
        </w:rPr>
        <w:t xml:space="preserve">ן", וכן מוכח מספר </w:t>
      </w:r>
      <w:r>
        <w:rPr>
          <w:rFonts w:ascii="Arial" w:hAnsi="Arial"/>
          <w:sz w:val="26"/>
          <w:rtl/>
        </w:rPr>
        <w:t xml:space="preserve">מלכים </w:t>
      </w:r>
      <w:r>
        <w:rPr>
          <w:rFonts w:ascii="Arial" w:hAnsi="Arial"/>
          <w:sz w:val="18"/>
          <w:szCs w:val="20"/>
          <w:rtl/>
        </w:rPr>
        <w:t>א</w:t>
      </w:r>
      <w:r>
        <w:rPr>
          <w:rFonts w:ascii="Arial" w:hAnsi="Arial" w:hint="cs"/>
          <w:sz w:val="18"/>
          <w:szCs w:val="20"/>
          <w:rtl/>
        </w:rPr>
        <w:t>'</w:t>
      </w:r>
      <w:r>
        <w:rPr>
          <w:rFonts w:ascii="Arial" w:hAnsi="Arial"/>
          <w:sz w:val="18"/>
          <w:szCs w:val="20"/>
          <w:rtl/>
        </w:rPr>
        <w:t xml:space="preserve"> ו</w:t>
      </w:r>
      <w:r>
        <w:rPr>
          <w:rFonts w:ascii="Arial" w:hAnsi="Arial" w:hint="cs"/>
          <w:sz w:val="18"/>
          <w:szCs w:val="20"/>
          <w:rtl/>
        </w:rPr>
        <w:t xml:space="preserve">, </w:t>
      </w:r>
      <w:r>
        <w:rPr>
          <w:rFonts w:ascii="Arial" w:hAnsi="Arial"/>
          <w:sz w:val="18"/>
          <w:szCs w:val="20"/>
          <w:rtl/>
        </w:rPr>
        <w:t>לד</w:t>
      </w:r>
      <w:r>
        <w:rPr>
          <w:rFonts w:ascii="Arial" w:hAnsi="Arial" w:hint="cs"/>
          <w:sz w:val="18"/>
          <w:szCs w:val="20"/>
          <w:rtl/>
        </w:rPr>
        <w:t>.</w:t>
      </w:r>
    </w:p>
  </w:footnote>
  <w:footnote w:id="10">
    <w:p w14:paraId="51693234" w14:textId="77777777" w:rsidR="008F2822" w:rsidRDefault="008F2822">
      <w:pPr>
        <w:pStyle w:val="a7"/>
        <w:rPr>
          <w:rFonts w:hint="cs"/>
          <w:rtl/>
        </w:rPr>
      </w:pPr>
      <w:r>
        <w:rPr>
          <w:rStyle w:val="a6"/>
        </w:rPr>
        <w:footnoteRef/>
      </w:r>
      <w:r>
        <w:rPr>
          <w:rFonts w:hint="cs"/>
          <w:rtl/>
        </w:rPr>
        <w:t xml:space="preserve"> תודה לשכֵני הרב יצחק סמואל שהפנה את תשומת לבי לכך, ולרב</w:t>
      </w:r>
      <w:r>
        <w:rPr>
          <w:rtl/>
        </w:rPr>
        <w:t xml:space="preserve"> יהושע בוך</w:t>
      </w:r>
      <w:r>
        <w:rPr>
          <w:rFonts w:hint="cs"/>
          <w:rtl/>
        </w:rPr>
        <w:t xml:space="preserve"> שהאיר את עינינו. כיו"ב מצאנו לפעמים ש"לֶחֶם" נספר בלשון נקבה (</w:t>
      </w:r>
      <w:r>
        <w:rPr>
          <w:rFonts w:hint="cs"/>
          <w:sz w:val="18"/>
          <w:szCs w:val="20"/>
          <w:rtl/>
        </w:rPr>
        <w:t xml:space="preserve">כגון: </w:t>
      </w:r>
      <w:r>
        <w:rPr>
          <w:sz w:val="18"/>
          <w:szCs w:val="20"/>
          <w:rtl/>
        </w:rPr>
        <w:t>שמואל א</w:t>
      </w:r>
      <w:r>
        <w:rPr>
          <w:rFonts w:hint="cs"/>
          <w:sz w:val="18"/>
          <w:szCs w:val="20"/>
          <w:rtl/>
        </w:rPr>
        <w:t xml:space="preserve">' </w:t>
      </w:r>
      <w:r>
        <w:rPr>
          <w:sz w:val="18"/>
          <w:szCs w:val="20"/>
          <w:rtl/>
        </w:rPr>
        <w:t>י</w:t>
      </w:r>
      <w:r>
        <w:rPr>
          <w:rFonts w:hint="cs"/>
          <w:sz w:val="18"/>
          <w:szCs w:val="20"/>
          <w:rtl/>
        </w:rPr>
        <w:t xml:space="preserve">, </w:t>
      </w:r>
      <w:r>
        <w:rPr>
          <w:sz w:val="18"/>
          <w:szCs w:val="20"/>
          <w:rtl/>
        </w:rPr>
        <w:t>ג</w:t>
      </w:r>
      <w:r>
        <w:rPr>
          <w:rFonts w:hint="cs"/>
          <w:sz w:val="18"/>
          <w:szCs w:val="20"/>
          <w:rtl/>
        </w:rPr>
        <w:t>-ד</w:t>
      </w:r>
      <w:r>
        <w:rPr>
          <w:rFonts w:hint="cs"/>
          <w:rtl/>
        </w:rPr>
        <w:t xml:space="preserve">), כי המספר מתייחס ל"כִכר". </w:t>
      </w:r>
      <w:r>
        <w:rPr>
          <w:rFonts w:hint="cs"/>
          <w:sz w:val="26"/>
          <w:rtl/>
        </w:rPr>
        <w:t>ראה: ר' מרדכי הכהן, "עניני לשון בתוספות יום טוב</w:t>
      </w:r>
      <w:r>
        <w:rPr>
          <w:rFonts w:hint="cs"/>
          <w:sz w:val="18"/>
          <w:szCs w:val="20"/>
          <w:rtl/>
        </w:rPr>
        <w:t>", בתוך: אישים ותקופות, תשל"ז, עמ' 236</w:t>
      </w:r>
      <w:r>
        <w:rPr>
          <w:rFonts w:hint="cs"/>
          <w:rtl/>
        </w:rPr>
        <w:t>.</w:t>
      </w:r>
    </w:p>
  </w:footnote>
  <w:footnote w:id="11">
    <w:p w14:paraId="4BB7E8F4" w14:textId="77777777" w:rsidR="008F2822" w:rsidRDefault="008F2822">
      <w:pPr>
        <w:pStyle w:val="a7"/>
        <w:rPr>
          <w:rFonts w:hint="cs"/>
          <w:rtl/>
        </w:rPr>
      </w:pPr>
      <w:r>
        <w:rPr>
          <w:rStyle w:val="a6"/>
        </w:rPr>
        <w:footnoteRef/>
      </w:r>
      <w:r>
        <w:rPr>
          <w:rFonts w:hint="cs"/>
          <w:rtl/>
        </w:rPr>
        <w:t xml:space="preserve"> כן הוא גם ב</w:t>
      </w:r>
      <w:r>
        <w:rPr>
          <w:rtl/>
        </w:rPr>
        <w:t>דפוס ו</w:t>
      </w:r>
      <w:r>
        <w:rPr>
          <w:rFonts w:hint="cs"/>
          <w:rtl/>
        </w:rPr>
        <w:t>נ</w:t>
      </w:r>
      <w:r>
        <w:rPr>
          <w:rtl/>
        </w:rPr>
        <w:t xml:space="preserve">ציה </w:t>
      </w:r>
      <w:r>
        <w:rPr>
          <w:rFonts w:hint="cs"/>
          <w:rtl/>
        </w:rPr>
        <w:t xml:space="preserve">ובכתב </w:t>
      </w:r>
      <w:r>
        <w:rPr>
          <w:rtl/>
        </w:rPr>
        <w:t>י</w:t>
      </w:r>
      <w:r>
        <w:rPr>
          <w:rFonts w:hint="cs"/>
          <w:rtl/>
        </w:rPr>
        <w:t>ד</w:t>
      </w:r>
      <w:r>
        <w:rPr>
          <w:rtl/>
        </w:rPr>
        <w:t xml:space="preserve"> ליידן</w:t>
      </w:r>
      <w:r>
        <w:rPr>
          <w:rFonts w:hint="cs"/>
          <w:rtl/>
        </w:rPr>
        <w:t xml:space="preserve">: </w:t>
      </w:r>
      <w:r>
        <w:rPr>
          <w:rtl/>
        </w:rPr>
        <w:t xml:space="preserve">פעמיים ביומא פ"ד ה"ה; </w:t>
      </w:r>
      <w:r>
        <w:rPr>
          <w:rFonts w:hint="cs"/>
          <w:rtl/>
        </w:rPr>
        <w:t xml:space="preserve">שם </w:t>
      </w:r>
      <w:r>
        <w:rPr>
          <w:rtl/>
        </w:rPr>
        <w:t>פ"א ה"ה; מגילה פ"א הי"א</w:t>
      </w:r>
      <w:r>
        <w:rPr>
          <w:rFonts w:hint="cs"/>
          <w:rtl/>
        </w:rPr>
        <w:t>.</w:t>
      </w:r>
    </w:p>
  </w:footnote>
  <w:footnote w:id="12">
    <w:p w14:paraId="6970C057" w14:textId="77777777" w:rsidR="008F2822" w:rsidRDefault="008F2822">
      <w:pPr>
        <w:pStyle w:val="a7"/>
        <w:rPr>
          <w:sz w:val="18"/>
          <w:rtl/>
        </w:rPr>
      </w:pPr>
      <w:r>
        <w:rPr>
          <w:rStyle w:val="a6"/>
        </w:rPr>
        <w:footnoteRef/>
      </w:r>
      <w:r>
        <w:rPr>
          <w:rFonts w:hint="cs"/>
          <w:rtl/>
        </w:rPr>
        <w:t xml:space="preserve"> לא נאריך כאן במגוון מנהגי העדות. רק נעיר כי לסדר פיטום הקטורת יש גרסה קצרה וארוכה: </w:t>
      </w:r>
      <w:r>
        <w:rPr>
          <w:rFonts w:hint="cs"/>
          <w:sz w:val="18"/>
          <w:rtl/>
        </w:rPr>
        <w:t xml:space="preserve">יש נוהגים לומר תמיד את הארוכה, ויש נוהגים לאומרה רק בחלק מן התפילות. </w:t>
      </w:r>
      <w:r>
        <w:rPr>
          <w:rFonts w:hint="cs"/>
          <w:rtl/>
        </w:rPr>
        <w:t>הקצרה כוללת רק את הברייתא התלמודית (</w:t>
      </w:r>
      <w:r>
        <w:rPr>
          <w:sz w:val="18"/>
          <w:szCs w:val="20"/>
          <w:rtl/>
        </w:rPr>
        <w:t>כריתות</w:t>
      </w:r>
      <w:r>
        <w:rPr>
          <w:rFonts w:hint="cs"/>
          <w:sz w:val="18"/>
          <w:szCs w:val="20"/>
          <w:rtl/>
        </w:rPr>
        <w:t xml:space="preserve"> ו, א</w:t>
      </w:r>
      <w:r>
        <w:rPr>
          <w:rFonts w:hint="cs"/>
          <w:rtl/>
        </w:rPr>
        <w:t xml:space="preserve">) </w:t>
      </w:r>
      <w:r>
        <w:rPr>
          <w:rFonts w:hint="cs"/>
          <w:sz w:val="18"/>
          <w:rtl/>
        </w:rPr>
        <w:t>שמפרטת מהם רכִיבֵי הקטורת (</w:t>
      </w:r>
      <w:r>
        <w:rPr>
          <w:rFonts w:hint="cs"/>
          <w:sz w:val="18"/>
          <w:szCs w:val="20"/>
          <w:rtl/>
        </w:rPr>
        <w:t xml:space="preserve">"[תנו רבנן] </w:t>
      </w:r>
      <w:r>
        <w:rPr>
          <w:sz w:val="18"/>
          <w:szCs w:val="20"/>
          <w:rtl/>
        </w:rPr>
        <w:t>פִּטּוּם הַקְּטֹרֶת</w:t>
      </w:r>
      <w:r>
        <w:rPr>
          <w:rFonts w:hint="cs"/>
          <w:sz w:val="18"/>
          <w:szCs w:val="20"/>
          <w:rtl/>
        </w:rPr>
        <w:t xml:space="preserve">... </w:t>
      </w:r>
      <w:r>
        <w:rPr>
          <w:sz w:val="18"/>
          <w:szCs w:val="20"/>
          <w:rtl/>
        </w:rPr>
        <w:t>מִפְּנֵי הַכָּבוֹד</w:t>
      </w:r>
      <w:r>
        <w:rPr>
          <w:rFonts w:hint="cs"/>
          <w:sz w:val="18"/>
          <w:szCs w:val="20"/>
          <w:rtl/>
        </w:rPr>
        <w:t>"</w:t>
      </w:r>
      <w:r>
        <w:rPr>
          <w:rFonts w:hint="cs"/>
          <w:sz w:val="18"/>
          <w:rtl/>
        </w:rPr>
        <w:t>); ה</w:t>
      </w:r>
      <w:r>
        <w:rPr>
          <w:rFonts w:hint="cs"/>
          <w:rtl/>
        </w:rPr>
        <w:t>גרסה ה</w:t>
      </w:r>
      <w:r>
        <w:rPr>
          <w:rFonts w:hint="cs"/>
          <w:sz w:val="18"/>
          <w:rtl/>
        </w:rPr>
        <w:t>ארוכה מוסיפה עוד ששה משפטים המלוקטים משני התלמודים (</w:t>
      </w:r>
      <w:r>
        <w:rPr>
          <w:rFonts w:hint="cs"/>
          <w:sz w:val="18"/>
          <w:szCs w:val="20"/>
          <w:rtl/>
        </w:rPr>
        <w:t>"</w:t>
      </w:r>
      <w:r>
        <w:rPr>
          <w:sz w:val="18"/>
          <w:szCs w:val="20"/>
          <w:rtl/>
        </w:rPr>
        <w:t>תַּנְיָא</w:t>
      </w:r>
      <w:r>
        <w:rPr>
          <w:rFonts w:hint="cs"/>
          <w:sz w:val="18"/>
          <w:szCs w:val="20"/>
          <w:rtl/>
        </w:rPr>
        <w:t>...</w:t>
      </w:r>
      <w:r>
        <w:rPr>
          <w:sz w:val="18"/>
          <w:szCs w:val="20"/>
          <w:rtl/>
        </w:rPr>
        <w:t xml:space="preserve"> כְּשֶׁהוּא שׁוֹחֵק</w:t>
      </w:r>
      <w:r>
        <w:rPr>
          <w:rFonts w:hint="cs"/>
          <w:sz w:val="18"/>
          <w:szCs w:val="20"/>
          <w:rtl/>
        </w:rPr>
        <w:t>...</w:t>
      </w:r>
      <w:r>
        <w:rPr>
          <w:sz w:val="18"/>
          <w:szCs w:val="20"/>
          <w:rtl/>
        </w:rPr>
        <w:t xml:space="preserve"> תַקְטִירוּ מִמֶּנּוּ אִשֶּׁה לַ</w:t>
      </w:r>
      <w:r>
        <w:rPr>
          <w:rFonts w:hint="cs"/>
          <w:sz w:val="18"/>
          <w:szCs w:val="20"/>
          <w:rtl/>
        </w:rPr>
        <w:t>ה'"</w:t>
      </w:r>
      <w:r>
        <w:rPr>
          <w:rFonts w:hint="cs"/>
          <w:sz w:val="18"/>
          <w:rtl/>
        </w:rPr>
        <w:t>) ועליה כתב מרן ה</w:t>
      </w:r>
      <w:r>
        <w:rPr>
          <w:sz w:val="18"/>
          <w:rtl/>
        </w:rPr>
        <w:t>בית יוסף</w:t>
      </w:r>
      <w:r>
        <w:rPr>
          <w:rFonts w:hint="cs"/>
          <w:sz w:val="18"/>
          <w:rtl/>
        </w:rPr>
        <w:t xml:space="preserve">, </w:t>
      </w:r>
      <w:r>
        <w:rPr>
          <w:sz w:val="18"/>
          <w:szCs w:val="20"/>
          <w:rtl/>
        </w:rPr>
        <w:t>או</w:t>
      </w:r>
      <w:r>
        <w:rPr>
          <w:rFonts w:hint="cs"/>
          <w:sz w:val="18"/>
          <w:szCs w:val="20"/>
          <w:rtl/>
        </w:rPr>
        <w:t>"</w:t>
      </w:r>
      <w:r>
        <w:rPr>
          <w:sz w:val="18"/>
          <w:szCs w:val="20"/>
          <w:rtl/>
        </w:rPr>
        <w:t>ח</w:t>
      </w:r>
      <w:r>
        <w:rPr>
          <w:rFonts w:hint="cs"/>
          <w:sz w:val="18"/>
          <w:szCs w:val="20"/>
          <w:rtl/>
        </w:rPr>
        <w:t>,</w:t>
      </w:r>
      <w:r>
        <w:rPr>
          <w:sz w:val="18"/>
          <w:szCs w:val="20"/>
          <w:rtl/>
        </w:rPr>
        <w:t xml:space="preserve"> </w:t>
      </w:r>
      <w:r>
        <w:rPr>
          <w:rFonts w:hint="cs"/>
          <w:sz w:val="18"/>
          <w:szCs w:val="20"/>
          <w:rtl/>
        </w:rPr>
        <w:t xml:space="preserve">סי' </w:t>
      </w:r>
      <w:r>
        <w:rPr>
          <w:sz w:val="18"/>
          <w:szCs w:val="20"/>
          <w:rtl/>
        </w:rPr>
        <w:t>קל</w:t>
      </w:r>
      <w:r>
        <w:rPr>
          <w:rFonts w:hint="cs"/>
          <w:sz w:val="18"/>
          <w:szCs w:val="20"/>
          <w:rtl/>
        </w:rPr>
        <w:t>"</w:t>
      </w:r>
      <w:r>
        <w:rPr>
          <w:sz w:val="18"/>
          <w:szCs w:val="20"/>
          <w:rtl/>
        </w:rPr>
        <w:t>ג</w:t>
      </w:r>
      <w:r>
        <w:rPr>
          <w:rFonts w:hint="cs"/>
          <w:sz w:val="18"/>
          <w:rtl/>
        </w:rPr>
        <w:t>: "</w:t>
      </w:r>
      <w:r>
        <w:rPr>
          <w:sz w:val="18"/>
          <w:rtl/>
        </w:rPr>
        <w:t>ובנוסחת קצת סידורים יש תוספת בסוף ברייתא זו</w:t>
      </w:r>
      <w:r>
        <w:rPr>
          <w:rFonts w:hint="cs"/>
          <w:sz w:val="18"/>
          <w:rtl/>
        </w:rPr>
        <w:t xml:space="preserve">... </w:t>
      </w:r>
      <w:r>
        <w:rPr>
          <w:sz w:val="18"/>
          <w:rtl/>
        </w:rPr>
        <w:t>והתוספת הזה כתבו</w:t>
      </w:r>
      <w:r>
        <w:rPr>
          <w:rFonts w:hint="cs"/>
          <w:sz w:val="18"/>
          <w:rtl/>
        </w:rPr>
        <w:t>ֹ</w:t>
      </w:r>
      <w:r>
        <w:rPr>
          <w:sz w:val="18"/>
          <w:rtl/>
        </w:rPr>
        <w:t xml:space="preserve"> הכל</w:t>
      </w:r>
      <w:r>
        <w:rPr>
          <w:rFonts w:hint="cs"/>
          <w:sz w:val="18"/>
          <w:rtl/>
        </w:rPr>
        <w:t>-</w:t>
      </w:r>
      <w:r>
        <w:rPr>
          <w:sz w:val="18"/>
          <w:rtl/>
        </w:rPr>
        <w:t>בו ופירשו</w:t>
      </w:r>
      <w:r>
        <w:rPr>
          <w:rFonts w:hint="cs"/>
          <w:sz w:val="18"/>
          <w:rtl/>
        </w:rPr>
        <w:t>ֹ (</w:t>
      </w:r>
      <w:r>
        <w:rPr>
          <w:sz w:val="18"/>
          <w:szCs w:val="20"/>
          <w:rtl/>
        </w:rPr>
        <w:t>סי</w:t>
      </w:r>
      <w:r>
        <w:rPr>
          <w:rFonts w:hint="cs"/>
          <w:sz w:val="18"/>
          <w:szCs w:val="20"/>
          <w:rtl/>
        </w:rPr>
        <w:t>' ל"ח</w:t>
      </w:r>
      <w:r>
        <w:rPr>
          <w:rFonts w:hint="cs"/>
          <w:sz w:val="18"/>
          <w:rtl/>
        </w:rPr>
        <w:t>),</w:t>
      </w:r>
      <w:r>
        <w:rPr>
          <w:sz w:val="18"/>
          <w:rtl/>
        </w:rPr>
        <w:t xml:space="preserve"> אכן ה"ר דוד אבודרהם לא כתבו</w:t>
      </w:r>
      <w:r>
        <w:rPr>
          <w:rFonts w:hint="cs"/>
          <w:sz w:val="18"/>
          <w:rtl/>
        </w:rPr>
        <w:t>,</w:t>
      </w:r>
      <w:r>
        <w:rPr>
          <w:sz w:val="18"/>
          <w:rtl/>
        </w:rPr>
        <w:t xml:space="preserve"> וגם רוב העולם לא נהגו לאמרו</w:t>
      </w:r>
      <w:r>
        <w:rPr>
          <w:rFonts w:hint="cs"/>
          <w:sz w:val="18"/>
          <w:rtl/>
        </w:rPr>
        <w:t>". מעניין היפוך מנהגים שחל כאן: כפי שעולה מדבריו, מנהג ספרד היה לומר את הקצרה; ה</w:t>
      </w:r>
      <w:r>
        <w:rPr>
          <w:rFonts w:hint="cs"/>
          <w:rtl/>
        </w:rPr>
        <w:t>גרסה ה</w:t>
      </w:r>
      <w:r>
        <w:rPr>
          <w:rFonts w:hint="cs"/>
          <w:sz w:val="18"/>
          <w:rtl/>
        </w:rPr>
        <w:t>ארוכה המוזכרת במקורות אשכנזיים (</w:t>
      </w:r>
      <w:r>
        <w:rPr>
          <w:rFonts w:hint="cs"/>
          <w:sz w:val="18"/>
          <w:szCs w:val="20"/>
          <w:rtl/>
        </w:rPr>
        <w:t>כגון במחזור ויטרי וב</w:t>
      </w:r>
      <w:r>
        <w:rPr>
          <w:sz w:val="18"/>
          <w:szCs w:val="20"/>
          <w:rtl/>
        </w:rPr>
        <w:t>תוספות שבועות י</w:t>
      </w:r>
      <w:r>
        <w:rPr>
          <w:rFonts w:hint="cs"/>
          <w:sz w:val="18"/>
          <w:szCs w:val="20"/>
          <w:rtl/>
        </w:rPr>
        <w:t>,</w:t>
      </w:r>
      <w:r>
        <w:rPr>
          <w:sz w:val="18"/>
          <w:szCs w:val="20"/>
          <w:rtl/>
        </w:rPr>
        <w:t xml:space="preserve"> ב ד"ה מותר</w:t>
      </w:r>
      <w:r>
        <w:rPr>
          <w:rFonts w:hint="cs"/>
          <w:sz w:val="18"/>
          <w:szCs w:val="20"/>
          <w:rtl/>
        </w:rPr>
        <w:t>; בנוסף לכל-בו הפרובנסלי</w:t>
      </w:r>
      <w:r>
        <w:rPr>
          <w:rFonts w:hint="cs"/>
          <w:sz w:val="18"/>
          <w:rtl/>
        </w:rPr>
        <w:t>) היתה כנראה מנהג בני אשכנז. דומני כי כיום שגורה ה</w:t>
      </w:r>
      <w:r>
        <w:rPr>
          <w:rFonts w:hint="cs"/>
          <w:rtl/>
        </w:rPr>
        <w:t xml:space="preserve">גרסה </w:t>
      </w:r>
      <w:r>
        <w:rPr>
          <w:rFonts w:hint="cs"/>
          <w:sz w:val="18"/>
          <w:rtl/>
        </w:rPr>
        <w:t>הארוכה בפיות צאצאי יהודי ספרד יותר מאשר צאצאי יהודי אשכנז (חותני אף הראני סידור אשכנזי, כמנהג אנגליה, שהגרסה הארוכה איננה מופיעה בו כלל). ה</w:t>
      </w:r>
      <w:r>
        <w:rPr>
          <w:sz w:val="18"/>
          <w:rtl/>
        </w:rPr>
        <w:t>רדב"ז</w:t>
      </w:r>
      <w:r>
        <w:rPr>
          <w:rFonts w:hint="cs"/>
          <w:sz w:val="18"/>
          <w:rtl/>
        </w:rPr>
        <w:t xml:space="preserve"> שנשאל כמה קושיות על נוסח הגרסה הארוכה הִבהיר: "</w:t>
      </w:r>
      <w:r>
        <w:rPr>
          <w:sz w:val="18"/>
          <w:rtl/>
        </w:rPr>
        <w:t>צריכין אתם לדעת כי ברייתא זו אינה שנויה בשום מקום בלשון זה</w:t>
      </w:r>
      <w:r>
        <w:rPr>
          <w:rFonts w:hint="cs"/>
          <w:sz w:val="18"/>
          <w:rtl/>
        </w:rPr>
        <w:t>,</w:t>
      </w:r>
      <w:r>
        <w:rPr>
          <w:sz w:val="18"/>
          <w:rtl/>
        </w:rPr>
        <w:t xml:space="preserve"> אלא מ</w:t>
      </w:r>
      <w:r>
        <w:rPr>
          <w:rFonts w:hint="cs"/>
          <w:sz w:val="18"/>
          <w:rtl/>
        </w:rPr>
        <w:t>ְ</w:t>
      </w:r>
      <w:r>
        <w:rPr>
          <w:sz w:val="18"/>
          <w:rtl/>
        </w:rPr>
        <w:t>ס</w:t>
      </w:r>
      <w:r>
        <w:rPr>
          <w:rFonts w:hint="cs"/>
          <w:sz w:val="18"/>
          <w:rtl/>
        </w:rPr>
        <w:t>ַ</w:t>
      </w:r>
      <w:r>
        <w:rPr>
          <w:sz w:val="18"/>
          <w:rtl/>
        </w:rPr>
        <w:t>דר</w:t>
      </w:r>
      <w:r>
        <w:rPr>
          <w:rFonts w:hint="cs"/>
          <w:sz w:val="18"/>
          <w:rtl/>
        </w:rPr>
        <w:t>ֵ</w:t>
      </w:r>
      <w:r>
        <w:rPr>
          <w:sz w:val="18"/>
          <w:rtl/>
        </w:rPr>
        <w:t>י התפלות ח</w:t>
      </w:r>
      <w:r>
        <w:rPr>
          <w:rFonts w:hint="cs"/>
          <w:sz w:val="18"/>
          <w:rtl/>
        </w:rPr>
        <w:t>ִ</w:t>
      </w:r>
      <w:r>
        <w:rPr>
          <w:sz w:val="18"/>
          <w:rtl/>
        </w:rPr>
        <w:t>ברוה מפסקי ברייתות שנויות בכריתות</w:t>
      </w:r>
      <w:r>
        <w:rPr>
          <w:rFonts w:hint="cs"/>
          <w:sz w:val="18"/>
          <w:rtl/>
        </w:rPr>
        <w:t>,</w:t>
      </w:r>
      <w:r>
        <w:rPr>
          <w:sz w:val="18"/>
          <w:rtl/>
        </w:rPr>
        <w:t xml:space="preserve"> והתם לא קשיא כלל</w:t>
      </w:r>
      <w:r>
        <w:rPr>
          <w:rFonts w:hint="cs"/>
          <w:sz w:val="18"/>
          <w:rtl/>
        </w:rPr>
        <w:t>,</w:t>
      </w:r>
      <w:r>
        <w:rPr>
          <w:sz w:val="18"/>
          <w:rtl/>
        </w:rPr>
        <w:t xml:space="preserve"> תעיינו שם</w:t>
      </w:r>
      <w:r>
        <w:rPr>
          <w:rFonts w:hint="cs"/>
          <w:sz w:val="18"/>
          <w:rtl/>
        </w:rPr>
        <w:t>" (</w:t>
      </w:r>
      <w:r>
        <w:rPr>
          <w:sz w:val="18"/>
          <w:szCs w:val="20"/>
          <w:rtl/>
        </w:rPr>
        <w:t>שו"ת ח</w:t>
      </w:r>
      <w:r>
        <w:rPr>
          <w:rFonts w:hint="cs"/>
          <w:sz w:val="18"/>
          <w:szCs w:val="20"/>
          <w:rtl/>
        </w:rPr>
        <w:t>"</w:t>
      </w:r>
      <w:r>
        <w:rPr>
          <w:sz w:val="18"/>
          <w:szCs w:val="20"/>
          <w:rtl/>
        </w:rPr>
        <w:t>ד סי</w:t>
      </w:r>
      <w:r>
        <w:rPr>
          <w:rFonts w:hint="cs"/>
          <w:sz w:val="18"/>
          <w:szCs w:val="20"/>
          <w:rtl/>
        </w:rPr>
        <w:t>'</w:t>
      </w:r>
      <w:r>
        <w:rPr>
          <w:sz w:val="18"/>
          <w:szCs w:val="20"/>
          <w:rtl/>
        </w:rPr>
        <w:t xml:space="preserve"> ל</w:t>
      </w:r>
      <w:r>
        <w:rPr>
          <w:rFonts w:hint="cs"/>
          <w:sz w:val="18"/>
          <w:szCs w:val="20"/>
          <w:rtl/>
        </w:rPr>
        <w:t>"</w:t>
      </w:r>
      <w:r>
        <w:rPr>
          <w:sz w:val="18"/>
          <w:szCs w:val="20"/>
          <w:rtl/>
        </w:rPr>
        <w:t>ה</w:t>
      </w:r>
      <w:r>
        <w:rPr>
          <w:rFonts w:hint="cs"/>
          <w:sz w:val="18"/>
          <w:rtl/>
        </w:rPr>
        <w:t>), "</w:t>
      </w:r>
      <w:r>
        <w:rPr>
          <w:sz w:val="18"/>
          <w:rtl/>
        </w:rPr>
        <w:t>ולכן אל תתמה אם באו שלא על סדר נכון</w:t>
      </w:r>
      <w:r>
        <w:rPr>
          <w:rFonts w:hint="cs"/>
          <w:sz w:val="18"/>
          <w:rtl/>
        </w:rPr>
        <w:t>" (</w:t>
      </w:r>
      <w:r>
        <w:rPr>
          <w:sz w:val="18"/>
          <w:szCs w:val="20"/>
          <w:rtl/>
        </w:rPr>
        <w:t>ח</w:t>
      </w:r>
      <w:r>
        <w:rPr>
          <w:rFonts w:hint="cs"/>
          <w:sz w:val="18"/>
          <w:szCs w:val="20"/>
          <w:rtl/>
        </w:rPr>
        <w:t>"</w:t>
      </w:r>
      <w:r>
        <w:rPr>
          <w:sz w:val="18"/>
          <w:szCs w:val="20"/>
          <w:rtl/>
        </w:rPr>
        <w:t>ב סי</w:t>
      </w:r>
      <w:r>
        <w:rPr>
          <w:rFonts w:hint="cs"/>
          <w:sz w:val="18"/>
          <w:szCs w:val="20"/>
          <w:rtl/>
        </w:rPr>
        <w:t>'</w:t>
      </w:r>
      <w:r>
        <w:rPr>
          <w:sz w:val="18"/>
          <w:szCs w:val="20"/>
          <w:rtl/>
        </w:rPr>
        <w:t xml:space="preserve"> תרנ</w:t>
      </w:r>
      <w:r>
        <w:rPr>
          <w:rFonts w:hint="cs"/>
          <w:sz w:val="18"/>
          <w:szCs w:val="20"/>
          <w:rtl/>
        </w:rPr>
        <w:t>"</w:t>
      </w:r>
      <w:r>
        <w:rPr>
          <w:sz w:val="18"/>
          <w:szCs w:val="20"/>
          <w:rtl/>
        </w:rPr>
        <w:t>ג</w:t>
      </w:r>
      <w:r>
        <w:rPr>
          <w:rFonts w:hint="cs"/>
          <w:sz w:val="18"/>
          <w:rtl/>
        </w:rPr>
        <w:t>).</w:t>
      </w:r>
    </w:p>
    <w:p w14:paraId="258FB26F" w14:textId="77777777" w:rsidR="008F2822" w:rsidRDefault="008F2822">
      <w:pPr>
        <w:pStyle w:val="a7"/>
        <w:rPr>
          <w:rFonts w:hint="cs"/>
          <w:rtl/>
        </w:rPr>
      </w:pPr>
      <w:r>
        <w:rPr>
          <w:rFonts w:hint="cs"/>
          <w:sz w:val="18"/>
          <w:rtl/>
        </w:rPr>
        <w:t>ה</w:t>
      </w:r>
      <w:r>
        <w:rPr>
          <w:rFonts w:hint="cs"/>
          <w:rtl/>
        </w:rPr>
        <w:t xml:space="preserve">הלכה שאנו דנים בה מופיעה פעמיים: גם </w:t>
      </w:r>
      <w:r>
        <w:rPr>
          <w:rFonts w:hint="cs"/>
          <w:sz w:val="18"/>
          <w:rtl/>
        </w:rPr>
        <w:t>ב</w:t>
      </w:r>
      <w:r>
        <w:rPr>
          <w:rFonts w:hint="cs"/>
          <w:rtl/>
        </w:rPr>
        <w:t xml:space="preserve">גרסה </w:t>
      </w:r>
      <w:r>
        <w:rPr>
          <w:rFonts w:hint="cs"/>
          <w:sz w:val="18"/>
          <w:rtl/>
        </w:rPr>
        <w:t>הקצרה</w:t>
      </w:r>
      <w:r>
        <w:rPr>
          <w:rFonts w:hint="cs"/>
          <w:rtl/>
        </w:rPr>
        <w:t xml:space="preserve"> וגם בתוספת המלוקטת: הפעם הראשונה בדברי </w:t>
      </w:r>
      <w:r>
        <w:rPr>
          <w:rtl/>
        </w:rPr>
        <w:t>ר</w:t>
      </w:r>
      <w:r>
        <w:rPr>
          <w:rFonts w:hint="cs"/>
          <w:rtl/>
        </w:rPr>
        <w:t>בי</w:t>
      </w:r>
      <w:r>
        <w:rPr>
          <w:rtl/>
        </w:rPr>
        <w:t xml:space="preserve"> נתן</w:t>
      </w:r>
      <w:r>
        <w:rPr>
          <w:rFonts w:hint="cs"/>
          <w:rtl/>
        </w:rPr>
        <w:t xml:space="preserve"> (הבבלי) האומר: "</w:t>
      </w:r>
      <w:r>
        <w:rPr>
          <w:rtl/>
        </w:rPr>
        <w:t>אף כיפת הירדן כל שהוא</w:t>
      </w:r>
      <w:r>
        <w:rPr>
          <w:rFonts w:hint="cs"/>
          <w:rtl/>
        </w:rPr>
        <w:t>;</w:t>
      </w:r>
      <w:r>
        <w:rPr>
          <w:rtl/>
        </w:rPr>
        <w:t xml:space="preserve"> ואם נתן בה דבש - פסלה</w:t>
      </w:r>
      <w:r>
        <w:rPr>
          <w:rFonts w:hint="cs"/>
          <w:rtl/>
        </w:rPr>
        <w:t xml:space="preserve">; </w:t>
      </w:r>
      <w:r>
        <w:rPr>
          <w:rtl/>
        </w:rPr>
        <w:t>חיסר אחת מכל סממניה - חייב מיתה</w:t>
      </w:r>
      <w:r>
        <w:rPr>
          <w:rFonts w:hint="cs"/>
          <w:rtl/>
        </w:rPr>
        <w:t>" (</w:t>
      </w:r>
      <w:r>
        <w:rPr>
          <w:rFonts w:hint="cs"/>
          <w:sz w:val="18"/>
          <w:szCs w:val="20"/>
          <w:rtl/>
        </w:rPr>
        <w:t>כך הנוסח הנדפס ב</w:t>
      </w:r>
      <w:r>
        <w:rPr>
          <w:sz w:val="18"/>
          <w:szCs w:val="20"/>
          <w:rtl/>
        </w:rPr>
        <w:t>כריתות</w:t>
      </w:r>
      <w:r>
        <w:rPr>
          <w:rFonts w:hint="cs"/>
          <w:rtl/>
        </w:rPr>
        <w:t>)</w:t>
      </w:r>
      <w:r>
        <w:rPr>
          <w:rtl/>
        </w:rPr>
        <w:t xml:space="preserve">. </w:t>
      </w:r>
      <w:r>
        <w:rPr>
          <w:rFonts w:hint="cs"/>
          <w:rtl/>
        </w:rPr>
        <w:t>הפעם השניה (</w:t>
      </w:r>
      <w:r>
        <w:rPr>
          <w:rFonts w:hint="cs"/>
          <w:sz w:val="18"/>
          <w:szCs w:val="20"/>
          <w:rtl/>
        </w:rPr>
        <w:t>בברייתא המלוקטת מתוך דברי הירושלמי</w:t>
      </w:r>
      <w:r>
        <w:rPr>
          <w:rFonts w:hint="cs"/>
          <w:rtl/>
        </w:rPr>
        <w:t xml:space="preserve">) בדברי </w:t>
      </w:r>
      <w:r>
        <w:rPr>
          <w:rtl/>
        </w:rPr>
        <w:t>ר</w:t>
      </w:r>
      <w:r>
        <w:rPr>
          <w:rFonts w:hint="cs"/>
          <w:rtl/>
        </w:rPr>
        <w:t>בי</w:t>
      </w:r>
      <w:r>
        <w:rPr>
          <w:rtl/>
        </w:rPr>
        <w:t xml:space="preserve"> </w:t>
      </w:r>
      <w:r>
        <w:rPr>
          <w:rFonts w:hint="cs"/>
          <w:rtl/>
        </w:rPr>
        <w:t>יהודה: "</w:t>
      </w:r>
      <w:r>
        <w:rPr>
          <w:rtl/>
        </w:rPr>
        <w:t>אִם כְּמִדָּתָהּ</w:t>
      </w:r>
      <w:r>
        <w:rPr>
          <w:rFonts w:hint="cs"/>
          <w:rtl/>
        </w:rPr>
        <w:t xml:space="preserve"> -</w:t>
      </w:r>
      <w:r>
        <w:rPr>
          <w:rtl/>
        </w:rPr>
        <w:t xml:space="preserve"> כְּשֵׁרָה לַחֲצָאִין</w:t>
      </w:r>
      <w:r>
        <w:rPr>
          <w:rFonts w:hint="cs"/>
          <w:rtl/>
        </w:rPr>
        <w:t xml:space="preserve">; </w:t>
      </w:r>
      <w:r>
        <w:rPr>
          <w:rtl/>
        </w:rPr>
        <w:t>וְאִם חיסר אחת</w:t>
      </w:r>
      <w:r>
        <w:rPr>
          <w:rFonts w:hint="cs"/>
          <w:rtl/>
        </w:rPr>
        <w:t xml:space="preserve"> </w:t>
      </w:r>
      <w:r>
        <w:rPr>
          <w:rtl/>
        </w:rPr>
        <w:t>מכל סמ</w:t>
      </w:r>
      <w:r>
        <w:rPr>
          <w:rFonts w:hint="cs"/>
          <w:rtl/>
        </w:rPr>
        <w:t>(</w:t>
      </w:r>
      <w:r>
        <w:rPr>
          <w:rtl/>
        </w:rPr>
        <w:t>מ</w:t>
      </w:r>
      <w:r>
        <w:rPr>
          <w:rFonts w:hint="cs"/>
          <w:rtl/>
        </w:rPr>
        <w:t>)</w:t>
      </w:r>
      <w:r>
        <w:rPr>
          <w:rtl/>
        </w:rPr>
        <w:t>ניה</w:t>
      </w:r>
      <w:r>
        <w:rPr>
          <w:rFonts w:hint="cs"/>
          <w:rtl/>
        </w:rPr>
        <w:t xml:space="preserve"> - </w:t>
      </w:r>
      <w:r>
        <w:rPr>
          <w:rtl/>
        </w:rPr>
        <w:t>חייב מיתה</w:t>
      </w:r>
      <w:r>
        <w:rPr>
          <w:rFonts w:hint="cs"/>
          <w:rtl/>
        </w:rPr>
        <w:t>" (</w:t>
      </w:r>
      <w:r>
        <w:rPr>
          <w:rFonts w:hint="cs"/>
          <w:sz w:val="18"/>
          <w:szCs w:val="20"/>
          <w:rtl/>
        </w:rPr>
        <w:t>כך היא "</w:t>
      </w:r>
      <w:r>
        <w:rPr>
          <w:sz w:val="18"/>
          <w:szCs w:val="20"/>
          <w:rtl/>
        </w:rPr>
        <w:t>הגירסא המדוייקת</w:t>
      </w:r>
      <w:r>
        <w:rPr>
          <w:rFonts w:hint="cs"/>
          <w:sz w:val="18"/>
          <w:szCs w:val="20"/>
          <w:rtl/>
        </w:rPr>
        <w:t xml:space="preserve">", לדעת החיד"א, </w:t>
      </w:r>
      <w:r>
        <w:rPr>
          <w:sz w:val="18"/>
          <w:szCs w:val="20"/>
          <w:rtl/>
        </w:rPr>
        <w:t>ברכי יוסף או</w:t>
      </w:r>
      <w:r>
        <w:rPr>
          <w:rFonts w:hint="cs"/>
          <w:sz w:val="18"/>
          <w:szCs w:val="20"/>
          <w:rtl/>
        </w:rPr>
        <w:t>"</w:t>
      </w:r>
      <w:r>
        <w:rPr>
          <w:sz w:val="18"/>
          <w:szCs w:val="20"/>
          <w:rtl/>
        </w:rPr>
        <w:t>ח</w:t>
      </w:r>
      <w:r>
        <w:rPr>
          <w:rFonts w:hint="cs"/>
          <w:sz w:val="18"/>
          <w:szCs w:val="20"/>
          <w:rtl/>
        </w:rPr>
        <w:t xml:space="preserve"> </w:t>
      </w:r>
      <w:r>
        <w:rPr>
          <w:sz w:val="18"/>
          <w:szCs w:val="20"/>
          <w:rtl/>
        </w:rPr>
        <w:t>קל</w:t>
      </w:r>
      <w:r>
        <w:rPr>
          <w:rFonts w:hint="cs"/>
          <w:sz w:val="18"/>
          <w:szCs w:val="20"/>
          <w:rtl/>
        </w:rPr>
        <w:t>"</w:t>
      </w:r>
      <w:r>
        <w:rPr>
          <w:sz w:val="18"/>
          <w:szCs w:val="20"/>
          <w:rtl/>
        </w:rPr>
        <w:t>ב סק</w:t>
      </w:r>
      <w:r>
        <w:rPr>
          <w:rFonts w:hint="cs"/>
          <w:sz w:val="18"/>
          <w:szCs w:val="20"/>
          <w:rtl/>
        </w:rPr>
        <w:t>"</w:t>
      </w:r>
      <w:r>
        <w:rPr>
          <w:sz w:val="18"/>
          <w:szCs w:val="20"/>
          <w:rtl/>
        </w:rPr>
        <w:t>ט</w:t>
      </w:r>
      <w:r>
        <w:rPr>
          <w:rFonts w:hint="cs"/>
          <w:rtl/>
        </w:rPr>
        <w:t>).</w:t>
      </w:r>
    </w:p>
  </w:footnote>
  <w:footnote w:id="13">
    <w:p w14:paraId="14BD0439" w14:textId="77777777" w:rsidR="008F2822" w:rsidRDefault="008F2822">
      <w:pPr>
        <w:pStyle w:val="a7"/>
        <w:rPr>
          <w:rFonts w:hint="cs"/>
          <w:rtl/>
        </w:rPr>
      </w:pPr>
      <w:r>
        <w:rPr>
          <w:rStyle w:val="a6"/>
        </w:rPr>
        <w:footnoteRef/>
      </w:r>
      <w:r>
        <w:rPr>
          <w:rFonts w:hint="cs"/>
          <w:rtl/>
        </w:rPr>
        <w:t xml:space="preserve"> </w:t>
      </w:r>
      <w:r>
        <w:rPr>
          <w:rFonts w:hint="cs"/>
          <w:sz w:val="24"/>
          <w:rtl/>
        </w:rPr>
        <w:t>כמוכח מ</w:t>
      </w:r>
      <w:r>
        <w:rPr>
          <w:sz w:val="24"/>
          <w:rtl/>
        </w:rPr>
        <w:t xml:space="preserve">נדה </w:t>
      </w:r>
      <w:r>
        <w:rPr>
          <w:sz w:val="18"/>
          <w:szCs w:val="20"/>
          <w:rtl/>
        </w:rPr>
        <w:t>פ</w:t>
      </w:r>
      <w:r>
        <w:rPr>
          <w:rFonts w:hint="cs"/>
          <w:sz w:val="18"/>
          <w:szCs w:val="20"/>
          <w:rtl/>
        </w:rPr>
        <w:t>"</w:t>
      </w:r>
      <w:r>
        <w:rPr>
          <w:sz w:val="18"/>
          <w:szCs w:val="20"/>
          <w:rtl/>
        </w:rPr>
        <w:t>ט מ</w:t>
      </w:r>
      <w:r>
        <w:rPr>
          <w:rFonts w:hint="cs"/>
          <w:sz w:val="18"/>
          <w:szCs w:val="20"/>
          <w:rtl/>
        </w:rPr>
        <w:t>"</w:t>
      </w:r>
      <w:r>
        <w:rPr>
          <w:sz w:val="18"/>
          <w:szCs w:val="20"/>
          <w:rtl/>
        </w:rPr>
        <w:t>ז</w:t>
      </w:r>
      <w:r>
        <w:rPr>
          <w:rFonts w:hint="cs"/>
          <w:sz w:val="18"/>
          <w:szCs w:val="20"/>
          <w:rtl/>
        </w:rPr>
        <w:t xml:space="preserve"> </w:t>
      </w:r>
      <w:r>
        <w:rPr>
          <w:rFonts w:hint="cs"/>
          <w:sz w:val="24"/>
          <w:rtl/>
        </w:rPr>
        <w:t>"</w:t>
      </w:r>
      <w:r>
        <w:rPr>
          <w:sz w:val="24"/>
          <w:rtl/>
        </w:rPr>
        <w:t>שבע</w:t>
      </w:r>
      <w:r>
        <w:rPr>
          <w:b/>
          <w:bCs/>
          <w:sz w:val="24"/>
          <w:rtl/>
        </w:rPr>
        <w:t>ה</w:t>
      </w:r>
      <w:r>
        <w:rPr>
          <w:sz w:val="24"/>
          <w:rtl/>
        </w:rPr>
        <w:t xml:space="preserve"> סממנין</w:t>
      </w:r>
      <w:r>
        <w:rPr>
          <w:rFonts w:hint="cs"/>
          <w:sz w:val="24"/>
          <w:rtl/>
        </w:rPr>
        <w:t xml:space="preserve">", ומדברי </w:t>
      </w:r>
      <w:r>
        <w:rPr>
          <w:sz w:val="24"/>
          <w:rtl/>
        </w:rPr>
        <w:t>רב יוסף</w:t>
      </w:r>
      <w:r>
        <w:rPr>
          <w:rFonts w:hint="cs"/>
          <w:sz w:val="24"/>
          <w:rtl/>
        </w:rPr>
        <w:t xml:space="preserve"> ב</w:t>
      </w:r>
      <w:r>
        <w:rPr>
          <w:sz w:val="24"/>
          <w:rtl/>
        </w:rPr>
        <w:t xml:space="preserve">כריתות </w:t>
      </w:r>
      <w:r>
        <w:rPr>
          <w:rFonts w:hint="cs"/>
          <w:sz w:val="24"/>
          <w:rtl/>
        </w:rPr>
        <w:t>שם: "</w:t>
      </w:r>
      <w:r>
        <w:rPr>
          <w:sz w:val="24"/>
          <w:rtl/>
        </w:rPr>
        <w:t>ב</w:t>
      </w:r>
      <w:r>
        <w:rPr>
          <w:rFonts w:hint="eastAsia"/>
          <w:b/>
          <w:bCs/>
          <w:sz w:val="24"/>
          <w:rtl/>
        </w:rPr>
        <w:t>אחד</w:t>
      </w:r>
      <w:r>
        <w:rPr>
          <w:sz w:val="24"/>
          <w:rtl/>
        </w:rPr>
        <w:t xml:space="preserve"> </w:t>
      </w:r>
      <w:r>
        <w:rPr>
          <w:rFonts w:hint="eastAsia"/>
          <w:sz w:val="24"/>
          <w:rtl/>
        </w:rPr>
        <w:t>מסממני</w:t>
      </w:r>
      <w:r>
        <w:rPr>
          <w:sz w:val="24"/>
          <w:rtl/>
        </w:rPr>
        <w:t xml:space="preserve"> </w:t>
      </w:r>
      <w:r>
        <w:rPr>
          <w:rFonts w:hint="eastAsia"/>
          <w:sz w:val="24"/>
          <w:rtl/>
        </w:rPr>
        <w:t>הקטרת</w:t>
      </w:r>
      <w:r>
        <w:rPr>
          <w:rFonts w:hint="cs"/>
          <w:sz w:val="24"/>
          <w:rtl/>
        </w:rPr>
        <w:t>", ובצדק פותחת ברייתא זו במספר זכר: "</w:t>
      </w:r>
      <w:r>
        <w:rPr>
          <w:sz w:val="24"/>
          <w:rtl/>
        </w:rPr>
        <w:t>ו</w:t>
      </w:r>
      <w:r>
        <w:rPr>
          <w:b/>
          <w:bCs/>
          <w:sz w:val="24"/>
          <w:rtl/>
        </w:rPr>
        <w:t>אחד עשר</w:t>
      </w:r>
      <w:r>
        <w:rPr>
          <w:sz w:val="24"/>
          <w:rtl/>
        </w:rPr>
        <w:t xml:space="preserve"> סממנים</w:t>
      </w:r>
      <w:r>
        <w:rPr>
          <w:rFonts w:hint="cs"/>
          <w:sz w:val="24"/>
          <w:rtl/>
        </w:rPr>
        <w:t xml:space="preserve"> היו בה".</w:t>
      </w:r>
    </w:p>
  </w:footnote>
  <w:footnote w:id="14">
    <w:p w14:paraId="3257C584" w14:textId="77777777" w:rsidR="008F2822" w:rsidRDefault="008F2822">
      <w:pPr>
        <w:pStyle w:val="a7"/>
        <w:rPr>
          <w:rFonts w:hint="cs"/>
          <w:rtl/>
        </w:rPr>
      </w:pPr>
      <w:r>
        <w:rPr>
          <w:rStyle w:val="a6"/>
          <w:rtl/>
        </w:rPr>
        <w:footnoteRef/>
      </w:r>
      <w:r>
        <w:t xml:space="preserve"> </w:t>
      </w:r>
      <w:r>
        <w:rPr>
          <w:rFonts w:hint="cs"/>
          <w:rtl/>
        </w:rPr>
        <w:t xml:space="preserve">וכן הוא בלשון פוסקים נוספים, כגון </w:t>
      </w:r>
      <w:r>
        <w:rPr>
          <w:sz w:val="18"/>
          <w:rtl/>
        </w:rPr>
        <w:t>הכל</w:t>
      </w:r>
      <w:r>
        <w:rPr>
          <w:rFonts w:hint="cs"/>
          <w:sz w:val="18"/>
          <w:rtl/>
        </w:rPr>
        <w:t>-</w:t>
      </w:r>
      <w:r>
        <w:rPr>
          <w:sz w:val="18"/>
          <w:rtl/>
        </w:rPr>
        <w:t>בו</w:t>
      </w:r>
      <w:r>
        <w:rPr>
          <w:sz w:val="18"/>
          <w:szCs w:val="20"/>
          <w:rtl/>
        </w:rPr>
        <w:t xml:space="preserve"> סימן ל</w:t>
      </w:r>
      <w:r>
        <w:rPr>
          <w:rFonts w:hint="cs"/>
          <w:sz w:val="18"/>
          <w:szCs w:val="20"/>
          <w:rtl/>
        </w:rPr>
        <w:t>"</w:t>
      </w:r>
      <w:r>
        <w:rPr>
          <w:sz w:val="18"/>
          <w:szCs w:val="20"/>
          <w:rtl/>
        </w:rPr>
        <w:t>ח</w:t>
      </w:r>
      <w:r>
        <w:rPr>
          <w:rFonts w:hint="cs"/>
          <w:sz w:val="18"/>
          <w:szCs w:val="20"/>
          <w:rtl/>
        </w:rPr>
        <w:t xml:space="preserve">, </w:t>
      </w:r>
      <w:r>
        <w:rPr>
          <w:rFonts w:hint="cs"/>
          <w:sz w:val="26"/>
          <w:rtl/>
        </w:rPr>
        <w:t>ר' יוסף קארו</w:t>
      </w:r>
      <w:r>
        <w:rPr>
          <w:rFonts w:hint="cs"/>
          <w:sz w:val="18"/>
          <w:rtl/>
        </w:rPr>
        <w:t xml:space="preserve"> </w:t>
      </w:r>
      <w:r>
        <w:rPr>
          <w:rFonts w:hint="cs"/>
          <w:sz w:val="18"/>
          <w:szCs w:val="20"/>
          <w:rtl/>
        </w:rPr>
        <w:t>ב</w:t>
      </w:r>
      <w:r>
        <w:rPr>
          <w:sz w:val="18"/>
          <w:szCs w:val="20"/>
          <w:rtl/>
        </w:rPr>
        <w:t>בית יוסף</w:t>
      </w:r>
      <w:r>
        <w:rPr>
          <w:rFonts w:hint="cs"/>
          <w:sz w:val="18"/>
          <w:szCs w:val="20"/>
          <w:rtl/>
        </w:rPr>
        <w:t xml:space="preserve">, </w:t>
      </w:r>
      <w:r>
        <w:rPr>
          <w:rFonts w:hint="cs"/>
          <w:sz w:val="26"/>
          <w:rtl/>
        </w:rPr>
        <w:t>ו</w:t>
      </w:r>
      <w:r>
        <w:rPr>
          <w:rFonts w:hint="cs"/>
          <w:sz w:val="18"/>
          <w:rtl/>
        </w:rPr>
        <w:t xml:space="preserve">הרמ"א </w:t>
      </w:r>
      <w:r>
        <w:rPr>
          <w:rFonts w:hint="cs"/>
          <w:sz w:val="18"/>
          <w:szCs w:val="20"/>
          <w:rtl/>
        </w:rPr>
        <w:t>ב</w:t>
      </w:r>
      <w:r>
        <w:rPr>
          <w:sz w:val="18"/>
          <w:szCs w:val="20"/>
          <w:rtl/>
        </w:rPr>
        <w:t>דרכי מ</w:t>
      </w:r>
      <w:r>
        <w:rPr>
          <w:rFonts w:hint="cs"/>
          <w:sz w:val="18"/>
          <w:szCs w:val="20"/>
          <w:rtl/>
        </w:rPr>
        <w:t>שה</w:t>
      </w:r>
      <w:r>
        <w:rPr>
          <w:rFonts w:hint="cs"/>
          <w:sz w:val="18"/>
          <w:rtl/>
        </w:rPr>
        <w:t xml:space="preserve">, </w:t>
      </w:r>
      <w:r>
        <w:rPr>
          <w:sz w:val="18"/>
          <w:szCs w:val="20"/>
          <w:rtl/>
        </w:rPr>
        <w:t>או</w:t>
      </w:r>
      <w:r>
        <w:rPr>
          <w:rFonts w:hint="cs"/>
          <w:sz w:val="18"/>
          <w:szCs w:val="20"/>
          <w:rtl/>
        </w:rPr>
        <w:t>"</w:t>
      </w:r>
      <w:r>
        <w:rPr>
          <w:sz w:val="18"/>
          <w:szCs w:val="20"/>
          <w:rtl/>
        </w:rPr>
        <w:t>ח</w:t>
      </w:r>
      <w:r>
        <w:rPr>
          <w:rFonts w:hint="cs"/>
          <w:sz w:val="18"/>
          <w:szCs w:val="20"/>
          <w:rtl/>
        </w:rPr>
        <w:t>,</w:t>
      </w:r>
      <w:r>
        <w:rPr>
          <w:sz w:val="18"/>
          <w:szCs w:val="20"/>
          <w:rtl/>
        </w:rPr>
        <w:t xml:space="preserve"> </w:t>
      </w:r>
      <w:r>
        <w:rPr>
          <w:rFonts w:hint="cs"/>
          <w:sz w:val="18"/>
          <w:szCs w:val="20"/>
          <w:rtl/>
        </w:rPr>
        <w:t xml:space="preserve">סי' </w:t>
      </w:r>
      <w:r>
        <w:rPr>
          <w:sz w:val="18"/>
          <w:szCs w:val="20"/>
          <w:rtl/>
        </w:rPr>
        <w:t>קל</w:t>
      </w:r>
      <w:r>
        <w:rPr>
          <w:rFonts w:hint="cs"/>
          <w:sz w:val="18"/>
          <w:szCs w:val="20"/>
          <w:rtl/>
        </w:rPr>
        <w:t>"</w:t>
      </w:r>
      <w:r>
        <w:rPr>
          <w:sz w:val="18"/>
          <w:szCs w:val="20"/>
          <w:rtl/>
        </w:rPr>
        <w:t>ג</w:t>
      </w:r>
      <w:r>
        <w:rPr>
          <w:rFonts w:hint="cs"/>
          <w:sz w:val="18"/>
          <w:rtl/>
        </w:rPr>
        <w:t>.</w:t>
      </w:r>
    </w:p>
  </w:footnote>
  <w:footnote w:id="15">
    <w:p w14:paraId="6C412561" w14:textId="77777777" w:rsidR="008F2822" w:rsidRDefault="008F2822">
      <w:pPr>
        <w:pStyle w:val="a7"/>
        <w:rPr>
          <w:rFonts w:hint="cs"/>
          <w:rtl/>
        </w:rPr>
      </w:pPr>
      <w:r>
        <w:rPr>
          <w:rStyle w:val="a6"/>
        </w:rPr>
        <w:footnoteRef/>
      </w:r>
      <w:r>
        <w:rPr>
          <w:rFonts w:hint="cs"/>
          <w:rtl/>
        </w:rPr>
        <w:t xml:space="preserve"> כן מודפס בספרא ובתלמודים (</w:t>
      </w:r>
      <w:r>
        <w:rPr>
          <w:rFonts w:hint="cs"/>
          <w:sz w:val="18"/>
          <w:szCs w:val="20"/>
          <w:rtl/>
        </w:rPr>
        <w:t>כנ"ל</w:t>
      </w:r>
      <w:r>
        <w:rPr>
          <w:rFonts w:hint="cs"/>
          <w:rtl/>
        </w:rPr>
        <w:t xml:space="preserve">), במחזור ויטרי, בסידור </w:t>
      </w:r>
      <w:r>
        <w:rPr>
          <w:rtl/>
        </w:rPr>
        <w:t>התפילה לרוקח</w:t>
      </w:r>
      <w:r>
        <w:rPr>
          <w:rFonts w:hint="cs"/>
          <w:rtl/>
        </w:rPr>
        <w:t>, וב</w:t>
      </w:r>
      <w:r>
        <w:rPr>
          <w:rtl/>
        </w:rPr>
        <w:t xml:space="preserve">טור </w:t>
      </w:r>
      <w:r>
        <w:rPr>
          <w:sz w:val="18"/>
          <w:szCs w:val="20"/>
          <w:rtl/>
        </w:rPr>
        <w:t>או</w:t>
      </w:r>
      <w:r>
        <w:rPr>
          <w:rFonts w:hint="cs"/>
          <w:sz w:val="18"/>
          <w:szCs w:val="20"/>
          <w:rtl/>
        </w:rPr>
        <w:t>"</w:t>
      </w:r>
      <w:r>
        <w:rPr>
          <w:sz w:val="18"/>
          <w:szCs w:val="20"/>
          <w:rtl/>
        </w:rPr>
        <w:t>ח</w:t>
      </w:r>
      <w:r>
        <w:rPr>
          <w:rFonts w:hint="cs"/>
          <w:sz w:val="18"/>
          <w:szCs w:val="20"/>
          <w:rtl/>
        </w:rPr>
        <w:t xml:space="preserve"> </w:t>
      </w:r>
      <w:r>
        <w:rPr>
          <w:sz w:val="18"/>
          <w:szCs w:val="20"/>
          <w:rtl/>
        </w:rPr>
        <w:t>קל</w:t>
      </w:r>
      <w:r>
        <w:rPr>
          <w:rFonts w:hint="cs"/>
          <w:sz w:val="18"/>
          <w:szCs w:val="20"/>
          <w:rtl/>
        </w:rPr>
        <w:t>"</w:t>
      </w:r>
      <w:r>
        <w:rPr>
          <w:sz w:val="18"/>
          <w:szCs w:val="20"/>
          <w:rtl/>
        </w:rPr>
        <w:t>ג</w:t>
      </w:r>
      <w:r>
        <w:rPr>
          <w:rFonts w:hint="cs"/>
          <w:rtl/>
        </w:rPr>
        <w:t>, ובמרבית סידורי כל העדות בימינו.</w:t>
      </w:r>
    </w:p>
  </w:footnote>
  <w:footnote w:id="16">
    <w:p w14:paraId="1A43DE92" w14:textId="77777777" w:rsidR="008F2822" w:rsidRDefault="008F2822">
      <w:pPr>
        <w:pStyle w:val="a7"/>
        <w:rPr>
          <w:rFonts w:hint="cs"/>
          <w:rtl/>
        </w:rPr>
      </w:pPr>
      <w:r>
        <w:rPr>
          <w:rStyle w:val="a6"/>
        </w:rPr>
        <w:footnoteRef/>
      </w:r>
      <w:r>
        <w:rPr>
          <w:rFonts w:hint="cs"/>
          <w:rtl/>
        </w:rPr>
        <w:t xml:space="preserve"> ע"פ פירוש הסידור של </w:t>
      </w:r>
      <w:r>
        <w:rPr>
          <w:rtl/>
        </w:rPr>
        <w:t>הריעב"ץ</w:t>
      </w:r>
      <w:r>
        <w:rPr>
          <w:rFonts w:hint="cs"/>
          <w:sz w:val="18"/>
          <w:szCs w:val="20"/>
          <w:rtl/>
        </w:rPr>
        <w:t>,</w:t>
      </w:r>
      <w:r>
        <w:rPr>
          <w:sz w:val="18"/>
          <w:szCs w:val="20"/>
          <w:rtl/>
        </w:rPr>
        <w:t xml:space="preserve"> עמ' ק</w:t>
      </w:r>
      <w:r>
        <w:rPr>
          <w:rFonts w:hint="cs"/>
          <w:sz w:val="18"/>
          <w:szCs w:val="20"/>
          <w:rtl/>
        </w:rPr>
        <w:t xml:space="preserve">"ן במהדורת </w:t>
      </w:r>
      <w:r>
        <w:rPr>
          <w:sz w:val="18"/>
          <w:szCs w:val="20"/>
          <w:rtl/>
        </w:rPr>
        <w:t>אשכול</w:t>
      </w:r>
      <w:r>
        <w:rPr>
          <w:rFonts w:hint="cs"/>
          <w:sz w:val="18"/>
          <w:szCs w:val="20"/>
          <w:rtl/>
        </w:rPr>
        <w:t>,</w:t>
      </w:r>
      <w:r>
        <w:rPr>
          <w:sz w:val="18"/>
          <w:szCs w:val="20"/>
          <w:rtl/>
        </w:rPr>
        <w:t xml:space="preserve"> </w:t>
      </w:r>
      <w:r>
        <w:rPr>
          <w:rFonts w:hint="cs"/>
          <w:rtl/>
        </w:rPr>
        <w:t>ופירוש עץ יוסף שבסידור אוצר התפילות. והשוה לנוסח שב</w:t>
      </w:r>
      <w:r>
        <w:rPr>
          <w:rtl/>
        </w:rPr>
        <w:t>סדר רב עמרם גאון</w:t>
      </w:r>
      <w:r>
        <w:rPr>
          <w:rFonts w:hint="cs"/>
          <w:rtl/>
        </w:rPr>
        <w:t xml:space="preserve"> </w:t>
      </w:r>
      <w:r>
        <w:rPr>
          <w:sz w:val="18"/>
          <w:szCs w:val="20"/>
          <w:rtl/>
        </w:rPr>
        <w:t>סדר מעמדות</w:t>
      </w:r>
      <w:r>
        <w:rPr>
          <w:rFonts w:hint="cs"/>
          <w:rtl/>
        </w:rPr>
        <w:t>: "</w:t>
      </w:r>
      <w:r>
        <w:rPr>
          <w:rtl/>
        </w:rPr>
        <w:t>אמר ר' יהודה</w:t>
      </w:r>
      <w:r>
        <w:rPr>
          <w:rFonts w:hint="cs"/>
          <w:rtl/>
        </w:rPr>
        <w:t>:</w:t>
      </w:r>
      <w:r>
        <w:rPr>
          <w:rtl/>
        </w:rPr>
        <w:t xml:space="preserve"> זה הכלל כל כמדתה כשרה חצאין</w:t>
      </w:r>
      <w:r>
        <w:rPr>
          <w:rFonts w:hint="cs"/>
          <w:rtl/>
        </w:rPr>
        <w:t>;</w:t>
      </w:r>
      <w:r>
        <w:rPr>
          <w:rtl/>
        </w:rPr>
        <w:t xml:space="preserve"> </w:t>
      </w:r>
      <w:r>
        <w:rPr>
          <w:rFonts w:hint="cs"/>
          <w:rtl/>
        </w:rPr>
        <w:t>(</w:t>
      </w:r>
      <w:r>
        <w:rPr>
          <w:rtl/>
        </w:rPr>
        <w:t>ש</w:t>
      </w:r>
      <w:r>
        <w:rPr>
          <w:rFonts w:hint="cs"/>
          <w:rtl/>
        </w:rPr>
        <w:t>)</w:t>
      </w:r>
      <w:r>
        <w:rPr>
          <w:rtl/>
        </w:rPr>
        <w:t xml:space="preserve">חסר בה מכל סימן וסימן או שחסר אחת מכל סמניה או שלא נתן בתוכה מעלה עשן </w:t>
      </w:r>
      <w:r>
        <w:rPr>
          <w:rFonts w:hint="cs"/>
          <w:rtl/>
        </w:rPr>
        <w:t xml:space="preserve">- </w:t>
      </w:r>
      <w:r>
        <w:rPr>
          <w:rtl/>
        </w:rPr>
        <w:t>חייב מיתה</w:t>
      </w:r>
      <w:r>
        <w:rPr>
          <w:rFonts w:hint="cs"/>
          <w:rtl/>
        </w:rPr>
        <w:t xml:space="preserve">" (את האות ש' הקפתי </w:t>
      </w:r>
      <w:r>
        <w:rPr>
          <w:rFonts w:hint="cs"/>
          <w:sz w:val="18"/>
          <w:szCs w:val="20"/>
          <w:rtl/>
        </w:rPr>
        <w:t>מסברא, וכך הנוסח ב</w:t>
      </w:r>
      <w:r>
        <w:rPr>
          <w:sz w:val="18"/>
          <w:szCs w:val="20"/>
          <w:rtl/>
        </w:rPr>
        <w:t>מחזור ויטרי סימן ק</w:t>
      </w:r>
      <w:r>
        <w:rPr>
          <w:rFonts w:hint="cs"/>
          <w:sz w:val="18"/>
          <w:szCs w:val="20"/>
          <w:rtl/>
        </w:rPr>
        <w:t>"</w:t>
      </w:r>
      <w:r>
        <w:rPr>
          <w:sz w:val="18"/>
          <w:szCs w:val="20"/>
          <w:rtl/>
        </w:rPr>
        <w:t>א</w:t>
      </w:r>
      <w:r>
        <w:rPr>
          <w:rFonts w:hint="cs"/>
          <w:rtl/>
        </w:rPr>
        <w:t>). ופירוש "</w:t>
      </w:r>
      <w:r>
        <w:rPr>
          <w:rtl/>
        </w:rPr>
        <w:t>חיסר בה מכל סימן וסימן</w:t>
      </w:r>
      <w:r>
        <w:rPr>
          <w:rFonts w:hint="cs"/>
          <w:rtl/>
        </w:rPr>
        <w:t>": "</w:t>
      </w:r>
      <w:r>
        <w:rPr>
          <w:rtl/>
        </w:rPr>
        <w:t>מאותן אחד עשר סממנים שאמרנו למעלה</w:t>
      </w:r>
      <w:r>
        <w:rPr>
          <w:rFonts w:hint="cs"/>
          <w:rtl/>
        </w:rPr>
        <w:t>,</w:t>
      </w:r>
      <w:r>
        <w:rPr>
          <w:rtl/>
        </w:rPr>
        <w:t xml:space="preserve"> שלא נתן בה מכל אחד כמשקלו</w:t>
      </w:r>
      <w:r>
        <w:rPr>
          <w:rFonts w:hint="cs"/>
          <w:rtl/>
        </w:rPr>
        <w:t xml:space="preserve"> </w:t>
      </w:r>
      <w:r>
        <w:rPr>
          <w:rtl/>
        </w:rPr>
        <w:t>המפורש למעלה</w:t>
      </w:r>
      <w:r>
        <w:rPr>
          <w:rFonts w:hint="cs"/>
          <w:rtl/>
        </w:rPr>
        <w:t>" (</w:t>
      </w:r>
      <w:r>
        <w:rPr>
          <w:rtl/>
        </w:rPr>
        <w:t xml:space="preserve">מחזור ויטרי </w:t>
      </w:r>
      <w:r>
        <w:rPr>
          <w:sz w:val="18"/>
          <w:szCs w:val="20"/>
          <w:rtl/>
        </w:rPr>
        <w:t>סימן ע</w:t>
      </w:r>
      <w:r>
        <w:rPr>
          <w:rFonts w:hint="cs"/>
          <w:sz w:val="18"/>
          <w:szCs w:val="20"/>
          <w:rtl/>
        </w:rPr>
        <w:t>"</w:t>
      </w:r>
      <w:r>
        <w:rPr>
          <w:sz w:val="18"/>
          <w:szCs w:val="20"/>
          <w:rtl/>
        </w:rPr>
        <w:t>ז ד"ה פיטום</w:t>
      </w:r>
      <w:r>
        <w:rPr>
          <w:rFonts w:hint="cs"/>
          <w:sz w:val="18"/>
          <w:szCs w:val="20"/>
          <w:rtl/>
        </w:rPr>
        <w:t>,</w:t>
      </w:r>
      <w:r>
        <w:rPr>
          <w:rFonts w:hint="cs"/>
          <w:rtl/>
        </w:rPr>
        <w:t xml:space="preserve"> </w:t>
      </w:r>
      <w:r>
        <w:rPr>
          <w:rtl/>
        </w:rPr>
        <w:t xml:space="preserve">סידור רש"י </w:t>
      </w:r>
      <w:r>
        <w:rPr>
          <w:sz w:val="18"/>
          <w:szCs w:val="20"/>
          <w:rtl/>
        </w:rPr>
        <w:t>סימן תל</w:t>
      </w:r>
      <w:r>
        <w:rPr>
          <w:rFonts w:hint="cs"/>
          <w:sz w:val="18"/>
          <w:szCs w:val="20"/>
          <w:rtl/>
        </w:rPr>
        <w:t>"</w:t>
      </w:r>
      <w:r>
        <w:rPr>
          <w:sz w:val="18"/>
          <w:szCs w:val="20"/>
          <w:rtl/>
        </w:rPr>
        <w:t>ג</w:t>
      </w:r>
      <w:r>
        <w:rPr>
          <w:rFonts w:hint="cs"/>
          <w:sz w:val="18"/>
          <w:szCs w:val="20"/>
          <w:rtl/>
        </w:rPr>
        <w:t xml:space="preserve">, </w:t>
      </w:r>
      <w:r>
        <w:rPr>
          <w:rFonts w:hint="cs"/>
          <w:rtl/>
        </w:rPr>
        <w:t>ו</w:t>
      </w:r>
      <w:r>
        <w:rPr>
          <w:rtl/>
        </w:rPr>
        <w:t>ספר כל</w:t>
      </w:r>
      <w:r>
        <w:rPr>
          <w:rFonts w:hint="cs"/>
          <w:rtl/>
        </w:rPr>
        <w:t>-</w:t>
      </w:r>
      <w:r>
        <w:rPr>
          <w:rtl/>
        </w:rPr>
        <w:t xml:space="preserve">בו </w:t>
      </w:r>
      <w:r>
        <w:rPr>
          <w:sz w:val="18"/>
          <w:szCs w:val="20"/>
          <w:rtl/>
        </w:rPr>
        <w:t>סימן ל</w:t>
      </w:r>
      <w:r>
        <w:rPr>
          <w:rFonts w:hint="cs"/>
          <w:sz w:val="18"/>
          <w:szCs w:val="20"/>
          <w:rtl/>
        </w:rPr>
        <w:t>"</w:t>
      </w:r>
      <w:r>
        <w:rPr>
          <w:sz w:val="18"/>
          <w:szCs w:val="20"/>
          <w:rtl/>
        </w:rPr>
        <w:t>ח</w:t>
      </w:r>
      <w:r>
        <w:rPr>
          <w:rFonts w:hint="cs"/>
          <w:rtl/>
        </w:rPr>
        <w:t>). נראה שבנוסח זה כללו את שתי האפשרויות: השמטת סממן וגם הפחתתו.</w:t>
      </w:r>
    </w:p>
  </w:footnote>
  <w:footnote w:id="17">
    <w:p w14:paraId="38BE42E8" w14:textId="77777777" w:rsidR="008F2822" w:rsidRDefault="008F2822">
      <w:pPr>
        <w:pStyle w:val="a7"/>
        <w:rPr>
          <w:rFonts w:hint="cs"/>
          <w:rtl/>
        </w:rPr>
      </w:pPr>
      <w:r>
        <w:rPr>
          <w:rStyle w:val="a6"/>
        </w:rPr>
        <w:footnoteRef/>
      </w:r>
      <w:r>
        <w:rPr>
          <w:rFonts w:hint="cs"/>
          <w:rtl/>
        </w:rPr>
        <w:t xml:space="preserve"> יתכן שמשפט זה, המופיע פעמיים בסדר פיטום הקטורת (</w:t>
      </w:r>
      <w:r>
        <w:rPr>
          <w:rFonts w:hint="cs"/>
          <w:sz w:val="18"/>
          <w:szCs w:val="20"/>
          <w:rtl/>
        </w:rPr>
        <w:t>כנ"ל בהערה 12</w:t>
      </w:r>
      <w:r>
        <w:rPr>
          <w:rFonts w:hint="cs"/>
          <w:rtl/>
        </w:rPr>
        <w:t>), סובל שני פירושים: בפסקה הראשונה בהֶקשר של "</w:t>
      </w:r>
      <w:r>
        <w:rPr>
          <w:rtl/>
        </w:rPr>
        <w:t>לא נתן בה מעלה עשן</w:t>
      </w:r>
      <w:r>
        <w:rPr>
          <w:rFonts w:hint="cs"/>
          <w:rtl/>
        </w:rPr>
        <w:t>" או "</w:t>
      </w:r>
      <w:r>
        <w:rPr>
          <w:rtl/>
        </w:rPr>
        <w:t>אם נתן בה דבש</w:t>
      </w:r>
      <w:r>
        <w:rPr>
          <w:rFonts w:hint="cs"/>
          <w:rtl/>
        </w:rPr>
        <w:t>" - מסתבר ש"</w:t>
      </w:r>
      <w:r>
        <w:rPr>
          <w:rtl/>
        </w:rPr>
        <w:t>חיסר אחת</w:t>
      </w:r>
      <w:r>
        <w:rPr>
          <w:rFonts w:hint="cs"/>
          <w:rtl/>
        </w:rPr>
        <w:t xml:space="preserve"> </w:t>
      </w:r>
      <w:r>
        <w:rPr>
          <w:rtl/>
        </w:rPr>
        <w:t>מכל סממניה</w:t>
      </w:r>
      <w:r>
        <w:rPr>
          <w:rFonts w:hint="cs"/>
          <w:rtl/>
        </w:rPr>
        <w:t>" הוא השמטת אחד הסממנים (וא"כ מסתבר מאוד לגרוס כאן "אחד"); אך בפסקה השניה מסתבר ש"</w:t>
      </w:r>
      <w:r>
        <w:rPr>
          <w:rtl/>
        </w:rPr>
        <w:t>חיסר אחת</w:t>
      </w:r>
      <w:r>
        <w:rPr>
          <w:rFonts w:hint="cs"/>
          <w:rtl/>
        </w:rPr>
        <w:t xml:space="preserve"> </w:t>
      </w:r>
      <w:r>
        <w:rPr>
          <w:rtl/>
        </w:rPr>
        <w:t>מכל סממניה</w:t>
      </w:r>
      <w:r>
        <w:rPr>
          <w:rFonts w:hint="cs"/>
          <w:rtl/>
        </w:rPr>
        <w:t>" הוא הניגוד של תחילת המשפט: "</w:t>
      </w:r>
      <w:r>
        <w:rPr>
          <w:rtl/>
        </w:rPr>
        <w:t xml:space="preserve">כמדתה </w:t>
      </w:r>
      <w:r>
        <w:rPr>
          <w:rFonts w:hint="cs"/>
          <w:rtl/>
        </w:rPr>
        <w:t xml:space="preserve">- </w:t>
      </w:r>
      <w:r>
        <w:rPr>
          <w:rtl/>
        </w:rPr>
        <w:t>כשרה חצאין</w:t>
      </w:r>
      <w:r>
        <w:rPr>
          <w:rFonts w:hint="cs"/>
          <w:rtl/>
        </w:rPr>
        <w:t xml:space="preserve">", דהיינו, מדובר במי שנתן מאחד הסממנים </w:t>
      </w:r>
      <w:r>
        <w:rPr>
          <w:rtl/>
        </w:rPr>
        <w:t>מ</w:t>
      </w:r>
      <w:r>
        <w:rPr>
          <w:rFonts w:hint="cs"/>
          <w:rtl/>
        </w:rPr>
        <w:t>ִד</w:t>
      </w:r>
      <w:r>
        <w:rPr>
          <w:rtl/>
        </w:rPr>
        <w:t>ָה</w:t>
      </w:r>
      <w:r>
        <w:rPr>
          <w:rFonts w:hint="cs"/>
          <w:rtl/>
        </w:rPr>
        <w:t xml:space="preserve"> פחותה שאינו "</w:t>
      </w:r>
      <w:r>
        <w:rPr>
          <w:rtl/>
        </w:rPr>
        <w:t>כמדתה</w:t>
      </w:r>
      <w:r>
        <w:rPr>
          <w:rFonts w:hint="cs"/>
          <w:rtl/>
        </w:rPr>
        <w:t>", באופן לא פרופורציונאלי (וכאן ניתן להצדיק את הנוסח המקובל "אחת"!).</w:t>
      </w:r>
    </w:p>
    <w:p w14:paraId="76199D23" w14:textId="77777777" w:rsidR="008F2822" w:rsidRDefault="008F2822">
      <w:pPr>
        <w:pStyle w:val="a7"/>
        <w:rPr>
          <w:rFonts w:hint="cs"/>
          <w:rtl/>
        </w:rPr>
      </w:pPr>
      <w:r>
        <w:rPr>
          <w:rFonts w:hint="cs"/>
          <w:rtl/>
        </w:rPr>
        <w:t>שמא ניתן לשער כי הנוסח המקורי של הלכה זו היה "אחת" (</w:t>
      </w:r>
      <w:r>
        <w:rPr>
          <w:rFonts w:hint="cs"/>
          <w:sz w:val="18"/>
          <w:szCs w:val="20"/>
          <w:rtl/>
        </w:rPr>
        <w:t>במובן של הפחתת מדה אחת של אחד הסממנים</w:t>
      </w:r>
      <w:r>
        <w:rPr>
          <w:rFonts w:hint="cs"/>
          <w:rtl/>
        </w:rPr>
        <w:t>), וגם כששובצה לשון זו בהקשר אחר (</w:t>
      </w:r>
      <w:r>
        <w:rPr>
          <w:rFonts w:hint="cs"/>
          <w:sz w:val="18"/>
          <w:szCs w:val="20"/>
          <w:rtl/>
        </w:rPr>
        <w:t>במובן של השמטת אחד הסממנים</w:t>
      </w:r>
      <w:r>
        <w:rPr>
          <w:rFonts w:hint="cs"/>
          <w:rtl/>
        </w:rPr>
        <w:t>) לא שינו הלשון שהיתה כבר שגורה.</w:t>
      </w:r>
    </w:p>
  </w:footnote>
  <w:footnote w:id="18">
    <w:p w14:paraId="4FAE4645" w14:textId="77777777" w:rsidR="008F2822" w:rsidRDefault="008F2822">
      <w:pPr>
        <w:pStyle w:val="a7"/>
        <w:rPr>
          <w:rFonts w:hint="cs"/>
          <w:rtl/>
        </w:rPr>
      </w:pPr>
      <w:r>
        <w:rPr>
          <w:rStyle w:val="a6"/>
        </w:rPr>
        <w:footnoteRef/>
      </w:r>
      <w:r>
        <w:rPr>
          <w:rFonts w:hint="cs"/>
          <w:rtl/>
        </w:rPr>
        <w:t xml:space="preserve"> כמו בביטוי "</w:t>
      </w:r>
      <w:r>
        <w:rPr>
          <w:rtl/>
        </w:rPr>
        <w:t>מחוסר</w:t>
      </w:r>
      <w:r>
        <w:rPr>
          <w:rFonts w:hint="cs"/>
          <w:rtl/>
        </w:rPr>
        <w:t xml:space="preserve"> </w:t>
      </w:r>
      <w:r>
        <w:rPr>
          <w:rtl/>
        </w:rPr>
        <w:t>בגדים</w:t>
      </w:r>
      <w:r>
        <w:rPr>
          <w:rFonts w:hint="cs"/>
          <w:rtl/>
        </w:rPr>
        <w:t xml:space="preserve">", שאינו מי שלובש בגדי כהונה חלקיים, אלא מי שלובש חלק מבגדי הכהונה: </w:t>
      </w:r>
      <w:r>
        <w:rPr>
          <w:rtl/>
        </w:rPr>
        <w:t xml:space="preserve">כהן הדיוט </w:t>
      </w:r>
      <w:r>
        <w:rPr>
          <w:rFonts w:hint="cs"/>
          <w:rtl/>
        </w:rPr>
        <w:t xml:space="preserve">הלובש </w:t>
      </w:r>
      <w:r>
        <w:rPr>
          <w:rtl/>
        </w:rPr>
        <w:t>פחות מארבע</w:t>
      </w:r>
      <w:r>
        <w:rPr>
          <w:rFonts w:hint="cs"/>
          <w:rtl/>
        </w:rPr>
        <w:t>ת</w:t>
      </w:r>
      <w:r>
        <w:rPr>
          <w:rtl/>
        </w:rPr>
        <w:t xml:space="preserve"> בגדי</w:t>
      </w:r>
      <w:r>
        <w:rPr>
          <w:rFonts w:hint="cs"/>
          <w:rtl/>
        </w:rPr>
        <w:t>ו,</w:t>
      </w:r>
      <w:r>
        <w:rPr>
          <w:rtl/>
        </w:rPr>
        <w:t xml:space="preserve"> וכהן גדול פחות משמונה</w:t>
      </w:r>
      <w:r>
        <w:rPr>
          <w:rFonts w:hint="cs"/>
          <w:rtl/>
        </w:rPr>
        <w:t>. גם הביטוי "</w:t>
      </w:r>
      <w:r>
        <w:rPr>
          <w:rtl/>
        </w:rPr>
        <w:t>מחוסר כ</w:t>
      </w:r>
      <w:r>
        <w:rPr>
          <w:rFonts w:hint="cs"/>
          <w:rtl/>
        </w:rPr>
        <w:t>ִ</w:t>
      </w:r>
      <w:r>
        <w:rPr>
          <w:rtl/>
        </w:rPr>
        <w:t>פורים</w:t>
      </w:r>
      <w:r>
        <w:rPr>
          <w:rFonts w:hint="cs"/>
          <w:rtl/>
        </w:rPr>
        <w:t xml:space="preserve">" איננו מי שכִּפֵּר באופן חלקי, אלא מי </w:t>
      </w:r>
      <w:r>
        <w:rPr>
          <w:rtl/>
        </w:rPr>
        <w:t>ש</w:t>
      </w:r>
      <w:r>
        <w:rPr>
          <w:rFonts w:hint="cs"/>
          <w:rtl/>
        </w:rPr>
        <w:t xml:space="preserve">טֶּרם </w:t>
      </w:r>
      <w:r>
        <w:rPr>
          <w:rtl/>
        </w:rPr>
        <w:t>הביא</w:t>
      </w:r>
      <w:r>
        <w:rPr>
          <w:rFonts w:hint="cs"/>
          <w:rtl/>
        </w:rPr>
        <w:t xml:space="preserve"> </w:t>
      </w:r>
      <w:r>
        <w:rPr>
          <w:rtl/>
        </w:rPr>
        <w:t>קרב</w:t>
      </w:r>
      <w:r>
        <w:rPr>
          <w:rFonts w:hint="cs"/>
          <w:rtl/>
        </w:rPr>
        <w:t>ן לכפרה לאחר ש</w:t>
      </w:r>
      <w:r>
        <w:rPr>
          <w:rtl/>
        </w:rPr>
        <w:t>נגמרה טהרת</w:t>
      </w:r>
      <w:r>
        <w:rPr>
          <w:rFonts w:hint="cs"/>
          <w:rtl/>
        </w:rPr>
        <w:t>ו</w:t>
      </w:r>
      <w:r>
        <w:rPr>
          <w:rtl/>
        </w:rPr>
        <w:t xml:space="preserve"> </w:t>
      </w:r>
      <w:r>
        <w:rPr>
          <w:rFonts w:hint="cs"/>
          <w:rtl/>
        </w:rPr>
        <w:t>(</w:t>
      </w:r>
      <w:r>
        <w:rPr>
          <w:sz w:val="18"/>
          <w:szCs w:val="20"/>
          <w:rtl/>
        </w:rPr>
        <w:t>זבחים פ</w:t>
      </w:r>
      <w:r>
        <w:rPr>
          <w:rFonts w:hint="cs"/>
          <w:sz w:val="18"/>
          <w:szCs w:val="20"/>
          <w:rtl/>
        </w:rPr>
        <w:t>"</w:t>
      </w:r>
      <w:r>
        <w:rPr>
          <w:sz w:val="18"/>
          <w:szCs w:val="20"/>
          <w:rtl/>
        </w:rPr>
        <w:t>ב מ</w:t>
      </w:r>
      <w:r>
        <w:rPr>
          <w:rFonts w:hint="cs"/>
          <w:sz w:val="18"/>
          <w:szCs w:val="20"/>
          <w:rtl/>
        </w:rPr>
        <w:t>"</w:t>
      </w:r>
      <w:r>
        <w:rPr>
          <w:sz w:val="18"/>
          <w:szCs w:val="20"/>
          <w:rtl/>
        </w:rPr>
        <w:t>א</w:t>
      </w:r>
      <w:r>
        <w:rPr>
          <w:rFonts w:hint="cs"/>
          <w:rtl/>
        </w:rPr>
        <w:t>).</w:t>
      </w:r>
    </w:p>
  </w:footnote>
  <w:footnote w:id="19">
    <w:p w14:paraId="6BCA96F6" w14:textId="77777777" w:rsidR="008F2822" w:rsidRDefault="008F2822">
      <w:pPr>
        <w:pStyle w:val="a7"/>
        <w:rPr>
          <w:rFonts w:hint="cs"/>
          <w:rtl/>
        </w:rPr>
      </w:pPr>
      <w:r>
        <w:rPr>
          <w:rStyle w:val="a6"/>
        </w:rPr>
        <w:footnoteRef/>
      </w:r>
      <w:r>
        <w:rPr>
          <w:rFonts w:hint="cs"/>
          <w:rtl/>
        </w:rPr>
        <w:t xml:space="preserve"> כגון: "</w:t>
      </w:r>
      <w:r>
        <w:rPr>
          <w:rtl/>
        </w:rPr>
        <w:t>וְהַמַּיִם הָיוּ הָלוֹךְ וְ</w:t>
      </w:r>
      <w:r>
        <w:rPr>
          <w:b/>
          <w:bCs/>
          <w:rtl/>
        </w:rPr>
        <w:t>חָסוֹר</w:t>
      </w:r>
      <w:r>
        <w:rPr>
          <w:rFonts w:hint="cs"/>
          <w:rtl/>
        </w:rPr>
        <w:t>" (</w:t>
      </w:r>
      <w:r>
        <w:rPr>
          <w:sz w:val="18"/>
          <w:szCs w:val="20"/>
          <w:rtl/>
        </w:rPr>
        <w:t>בראשית ח</w:t>
      </w:r>
      <w:r>
        <w:rPr>
          <w:rFonts w:hint="cs"/>
          <w:sz w:val="18"/>
          <w:szCs w:val="20"/>
          <w:rtl/>
        </w:rPr>
        <w:t xml:space="preserve">, </w:t>
      </w:r>
      <w:r>
        <w:rPr>
          <w:sz w:val="18"/>
          <w:szCs w:val="20"/>
          <w:rtl/>
        </w:rPr>
        <w:t>ה</w:t>
      </w:r>
      <w:r>
        <w:rPr>
          <w:rFonts w:hint="cs"/>
          <w:rtl/>
        </w:rPr>
        <w:t>);</w:t>
      </w:r>
      <w:r>
        <w:rPr>
          <w:rtl/>
        </w:rPr>
        <w:t xml:space="preserve"> </w:t>
      </w:r>
      <w:r>
        <w:rPr>
          <w:rFonts w:hint="cs"/>
          <w:rtl/>
        </w:rPr>
        <w:t>"</w:t>
      </w:r>
      <w:r>
        <w:rPr>
          <w:rtl/>
        </w:rPr>
        <w:t>וַיָּמֹדּוּ בָעֹמֶר</w:t>
      </w:r>
      <w:r>
        <w:rPr>
          <w:rFonts w:hint="cs"/>
          <w:rtl/>
        </w:rPr>
        <w:t>,</w:t>
      </w:r>
      <w:r>
        <w:rPr>
          <w:rtl/>
        </w:rPr>
        <w:t xml:space="preserve"> וְלֹא הֶעְדִּיף הַמַּרְבֶּה</w:t>
      </w:r>
      <w:r>
        <w:rPr>
          <w:rFonts w:hint="cs"/>
          <w:rtl/>
        </w:rPr>
        <w:t>,</w:t>
      </w:r>
      <w:r>
        <w:rPr>
          <w:rtl/>
        </w:rPr>
        <w:t xml:space="preserve"> וְהַמַּמְעִיט</w:t>
      </w:r>
      <w:r>
        <w:rPr>
          <w:rFonts w:hint="cs"/>
          <w:rtl/>
        </w:rPr>
        <w:t xml:space="preserve"> </w:t>
      </w:r>
      <w:r>
        <w:rPr>
          <w:rtl/>
        </w:rPr>
        <w:t xml:space="preserve">לֹא </w:t>
      </w:r>
      <w:r>
        <w:rPr>
          <w:b/>
          <w:bCs/>
          <w:rtl/>
        </w:rPr>
        <w:t>הֶחְסִיר</w:t>
      </w:r>
      <w:r>
        <w:rPr>
          <w:rFonts w:hint="cs"/>
          <w:rtl/>
        </w:rPr>
        <w:t>" (</w:t>
      </w:r>
      <w:r>
        <w:rPr>
          <w:sz w:val="18"/>
          <w:szCs w:val="20"/>
          <w:rtl/>
        </w:rPr>
        <w:t>שמות טז</w:t>
      </w:r>
      <w:r>
        <w:rPr>
          <w:rFonts w:hint="cs"/>
          <w:sz w:val="18"/>
          <w:szCs w:val="20"/>
          <w:rtl/>
        </w:rPr>
        <w:t xml:space="preserve">, </w:t>
      </w:r>
      <w:r>
        <w:rPr>
          <w:sz w:val="18"/>
          <w:szCs w:val="20"/>
          <w:rtl/>
        </w:rPr>
        <w:t>יח</w:t>
      </w:r>
      <w:r>
        <w:rPr>
          <w:rFonts w:hint="cs"/>
          <w:rtl/>
        </w:rPr>
        <w:t>). בשני פסוקים אלו מדובר על הפחתת כמות החומר (מים/מן). צ"ע אם מי ש"</w:t>
      </w:r>
      <w:r>
        <w:rPr>
          <w:rtl/>
        </w:rPr>
        <w:t>לִבּוֹ חָסֵר</w:t>
      </w:r>
      <w:r>
        <w:rPr>
          <w:rFonts w:hint="cs"/>
          <w:rtl/>
        </w:rPr>
        <w:t xml:space="preserve">, </w:t>
      </w:r>
      <w:r>
        <w:rPr>
          <w:rtl/>
        </w:rPr>
        <w:t>וְאָמַר לַכֹּל סָכָל הוּא</w:t>
      </w:r>
      <w:r>
        <w:rPr>
          <w:rFonts w:hint="cs"/>
          <w:rtl/>
        </w:rPr>
        <w:t>" (</w:t>
      </w:r>
      <w:r>
        <w:rPr>
          <w:sz w:val="18"/>
          <w:szCs w:val="20"/>
          <w:rtl/>
        </w:rPr>
        <w:t>קהלת י</w:t>
      </w:r>
      <w:r>
        <w:rPr>
          <w:rFonts w:hint="cs"/>
          <w:sz w:val="18"/>
          <w:szCs w:val="20"/>
          <w:rtl/>
        </w:rPr>
        <w:t xml:space="preserve">, </w:t>
      </w:r>
      <w:r>
        <w:rPr>
          <w:sz w:val="18"/>
          <w:szCs w:val="20"/>
          <w:rtl/>
        </w:rPr>
        <w:t>ג</w:t>
      </w:r>
      <w:r>
        <w:rPr>
          <w:rFonts w:hint="cs"/>
          <w:rtl/>
        </w:rPr>
        <w:t>) וכן ה"</w:t>
      </w:r>
      <w:r>
        <w:rPr>
          <w:rtl/>
        </w:rPr>
        <w:t>חֲסַר לֵב</w:t>
      </w:r>
      <w:r>
        <w:rPr>
          <w:rFonts w:hint="cs"/>
          <w:rtl/>
        </w:rPr>
        <w:t>" (</w:t>
      </w:r>
      <w:r>
        <w:rPr>
          <w:sz w:val="18"/>
          <w:szCs w:val="20"/>
          <w:rtl/>
        </w:rPr>
        <w:t>משלי ו</w:t>
      </w:r>
      <w:r>
        <w:rPr>
          <w:rFonts w:hint="cs"/>
          <w:sz w:val="18"/>
          <w:szCs w:val="20"/>
          <w:rtl/>
        </w:rPr>
        <w:t xml:space="preserve">, </w:t>
      </w:r>
      <w:r>
        <w:rPr>
          <w:sz w:val="18"/>
          <w:szCs w:val="20"/>
          <w:rtl/>
        </w:rPr>
        <w:t>לב</w:t>
      </w:r>
      <w:r>
        <w:rPr>
          <w:rFonts w:hint="cs"/>
          <w:sz w:val="18"/>
          <w:szCs w:val="20"/>
          <w:rtl/>
        </w:rPr>
        <w:t xml:space="preserve"> ועוד</w:t>
      </w:r>
      <w:r>
        <w:rPr>
          <w:rFonts w:hint="cs"/>
          <w:rtl/>
        </w:rPr>
        <w:t>) - האם מדובר על מי שיש לו לב ודעת חלקיים, או על מי שלגמרי "אין לו לב".</w:t>
      </w:r>
    </w:p>
  </w:footnote>
  <w:footnote w:id="20">
    <w:p w14:paraId="560E49A9" w14:textId="77777777" w:rsidR="008F2822" w:rsidRDefault="008F2822">
      <w:pPr>
        <w:pStyle w:val="a7"/>
        <w:rPr>
          <w:rFonts w:hint="cs"/>
          <w:rtl/>
        </w:rPr>
      </w:pPr>
      <w:r>
        <w:rPr>
          <w:rStyle w:val="a6"/>
        </w:rPr>
        <w:footnoteRef/>
      </w:r>
      <w:r>
        <w:rPr>
          <w:rFonts w:hint="cs"/>
          <w:rtl/>
        </w:rPr>
        <w:t xml:space="preserve"> ר' מנחם בולה, דעת מקרא לויקרא יג, ט.</w:t>
      </w:r>
    </w:p>
  </w:footnote>
  <w:footnote w:id="21">
    <w:p w14:paraId="7D2CC09E" w14:textId="77777777" w:rsidR="008F2822" w:rsidRDefault="008F2822">
      <w:pPr>
        <w:pStyle w:val="a7"/>
        <w:rPr>
          <w:rFonts w:hint="cs"/>
          <w:rtl/>
        </w:rPr>
      </w:pPr>
      <w:r>
        <w:rPr>
          <w:rStyle w:val="a6"/>
        </w:rPr>
        <w:footnoteRef/>
      </w:r>
      <w:r>
        <w:rPr>
          <w:rFonts w:hint="cs"/>
          <w:rtl/>
        </w:rPr>
        <w:t xml:space="preserve"> כן נראה לי להגיה, במקום "</w:t>
      </w:r>
      <w:r>
        <w:rPr>
          <w:rtl/>
        </w:rPr>
        <w:t>ו</w:t>
      </w:r>
      <w:r>
        <w:rPr>
          <w:rFonts w:hint="cs"/>
          <w:rtl/>
        </w:rPr>
        <w:t>כ</w:t>
      </w:r>
      <w:r>
        <w:rPr>
          <w:rtl/>
        </w:rPr>
        <w:t>מעט</w:t>
      </w:r>
      <w:r>
        <w:rPr>
          <w:rFonts w:hint="cs"/>
          <w:rtl/>
        </w:rPr>
        <w:t>".</w:t>
      </w:r>
    </w:p>
  </w:footnote>
  <w:footnote w:id="22">
    <w:p w14:paraId="38E660A4" w14:textId="77777777" w:rsidR="008F2822" w:rsidRDefault="008F2822">
      <w:pPr>
        <w:pStyle w:val="a7"/>
        <w:rPr>
          <w:rFonts w:hint="cs"/>
          <w:rtl/>
        </w:rPr>
      </w:pPr>
      <w:r>
        <w:rPr>
          <w:rStyle w:val="a6"/>
          <w:rtl/>
        </w:rPr>
        <w:footnoteRef/>
      </w:r>
      <w:r>
        <w:t xml:space="preserve"> </w:t>
      </w:r>
      <w:r>
        <w:rPr>
          <w:rFonts w:hint="cs"/>
          <w:rtl/>
        </w:rPr>
        <w:t>מעניין שלא כך פֵרש על אתר, בשירת חנה: "</w:t>
      </w:r>
      <w:r>
        <w:rPr>
          <w:rtl/>
        </w:rPr>
        <w:t>טעם חַתִּים על גִּבּ</w:t>
      </w:r>
      <w:r>
        <w:rPr>
          <w:rFonts w:hint="cs"/>
          <w:rtl/>
        </w:rPr>
        <w:t>ו</w:t>
      </w:r>
      <w:r>
        <w:rPr>
          <w:rtl/>
        </w:rPr>
        <w:t>ֹרִים</w:t>
      </w:r>
      <w:r>
        <w:rPr>
          <w:rFonts w:hint="cs"/>
          <w:rtl/>
        </w:rPr>
        <w:t>,</w:t>
      </w:r>
      <w:r>
        <w:rPr>
          <w:rtl/>
        </w:rPr>
        <w:t xml:space="preserve"> לא על קֶשֶׁת</w:t>
      </w:r>
      <w:r>
        <w:rPr>
          <w:rFonts w:hint="cs"/>
          <w:rtl/>
        </w:rPr>
        <w:t xml:space="preserve">, </w:t>
      </w:r>
      <w:r>
        <w:rPr>
          <w:rtl/>
        </w:rPr>
        <w:t>כי היה לו לומר חַתָּה</w:t>
      </w:r>
      <w:r>
        <w:rPr>
          <w:rFonts w:hint="cs"/>
          <w:rtl/>
        </w:rPr>
        <w:t>!"</w:t>
      </w:r>
      <w:r>
        <w:rPr>
          <w:rFonts w:hint="cs"/>
          <w:sz w:val="18"/>
          <w:szCs w:val="20"/>
          <w:rtl/>
        </w:rPr>
        <w:t xml:space="preserve"> </w:t>
      </w:r>
      <w:r>
        <w:rPr>
          <w:rFonts w:hint="cs"/>
          <w:sz w:val="26"/>
          <w:rtl/>
        </w:rPr>
        <w:t>(</w:t>
      </w:r>
      <w:r>
        <w:rPr>
          <w:rFonts w:hint="cs"/>
          <w:sz w:val="18"/>
          <w:szCs w:val="20"/>
          <w:rtl/>
        </w:rPr>
        <w:t>ועי"ש בפירוש רא"מ פיורקא, דרך הקֹדש</w:t>
      </w:r>
      <w:r>
        <w:rPr>
          <w:rFonts w:hint="cs"/>
          <w:rtl/>
        </w:rPr>
        <w:t>).</w:t>
      </w:r>
    </w:p>
  </w:footnote>
  <w:footnote w:id="23">
    <w:p w14:paraId="79163523" w14:textId="77777777" w:rsidR="008F2822" w:rsidRDefault="008F2822">
      <w:pPr>
        <w:pStyle w:val="a7"/>
        <w:rPr>
          <w:rtl/>
        </w:rPr>
      </w:pPr>
      <w:r>
        <w:rPr>
          <w:rStyle w:val="a6"/>
          <w:rtl/>
        </w:rPr>
        <w:footnoteRef/>
      </w:r>
      <w:r>
        <w:t xml:space="preserve"> </w:t>
      </w:r>
      <w:r>
        <w:rPr>
          <w:rFonts w:hint="cs"/>
          <w:rtl/>
        </w:rPr>
        <w:t xml:space="preserve">כעין דברי ריעב"ץ בסידורו, </w:t>
      </w:r>
      <w:r>
        <w:rPr>
          <w:rFonts w:hint="cs"/>
          <w:sz w:val="18"/>
          <w:szCs w:val="20"/>
          <w:rtl/>
        </w:rPr>
        <w:t>עמ' קמט</w:t>
      </w:r>
      <w:r>
        <w:rPr>
          <w:rFonts w:hint="cs"/>
          <w:rtl/>
        </w:rPr>
        <w:t xml:space="preserve">: "מפני שהיא עזה... ואין לחוש אם הוא לשון נקבה, אחר </w:t>
      </w:r>
      <w:r>
        <w:rPr>
          <w:rFonts w:hint="cs"/>
          <w:sz w:val="24"/>
          <w:rtl/>
        </w:rPr>
        <w:t>שאין בו רוח חיים", וכנ"ל בהערה 2.</w:t>
      </w:r>
    </w:p>
  </w:footnote>
  <w:footnote w:id="24">
    <w:p w14:paraId="64017D71" w14:textId="77777777" w:rsidR="008F2822" w:rsidRDefault="008F2822">
      <w:pPr>
        <w:pStyle w:val="a7"/>
        <w:rPr>
          <w:rFonts w:hint="cs"/>
          <w:rtl/>
        </w:rPr>
      </w:pPr>
      <w:r>
        <w:rPr>
          <w:rStyle w:val="a6"/>
        </w:rPr>
        <w:footnoteRef/>
      </w:r>
      <w:r>
        <w:rPr>
          <w:rFonts w:hint="cs"/>
          <w:rtl/>
        </w:rPr>
        <w:t xml:space="preserve"> בכתב יד רומי (</w:t>
      </w:r>
      <w:r>
        <w:rPr>
          <w:rFonts w:hint="cs"/>
          <w:sz w:val="18"/>
          <w:szCs w:val="20"/>
          <w:rtl/>
        </w:rPr>
        <w:t>אסִּמאני 66</w:t>
      </w:r>
      <w:r>
        <w:rPr>
          <w:rFonts w:hint="cs"/>
          <w:rtl/>
        </w:rPr>
        <w:t>) של הספרא, שנכתב ונוקד (בניקוד בבלי) בתקופת הגאונים (</w:t>
      </w:r>
      <w:r>
        <w:rPr>
          <w:rFonts w:hint="cs"/>
          <w:sz w:val="18"/>
          <w:szCs w:val="20"/>
          <w:rtl/>
        </w:rPr>
        <w:t>נחלקו החוקרים אם הוא מהמאה הששית או העשירית למניינם</w:t>
      </w:r>
      <w:r>
        <w:rPr>
          <w:rFonts w:hint="cs"/>
          <w:rtl/>
        </w:rPr>
        <w:t>) הנוסח הוא: "</w:t>
      </w:r>
      <w:r>
        <w:rPr>
          <w:rtl/>
        </w:rPr>
        <w:t>או שח</w:t>
      </w:r>
      <w:r>
        <w:rPr>
          <w:rFonts w:hint="cs"/>
          <w:rtl/>
        </w:rPr>
        <w:t>ִ</w:t>
      </w:r>
      <w:r>
        <w:rPr>
          <w:rtl/>
        </w:rPr>
        <w:t>ס</w:t>
      </w:r>
      <w:r>
        <w:rPr>
          <w:rFonts w:hint="cs"/>
          <w:rtl/>
        </w:rPr>
        <w:t>ַ</w:t>
      </w:r>
      <w:r>
        <w:rPr>
          <w:rtl/>
        </w:rPr>
        <w:t>ר א</w:t>
      </w:r>
      <w:r>
        <w:rPr>
          <w:rFonts w:hint="cs"/>
          <w:rtl/>
        </w:rPr>
        <w:t>ֶ</w:t>
      </w:r>
      <w:r>
        <w:rPr>
          <w:rtl/>
        </w:rPr>
        <w:t>ח</w:t>
      </w:r>
      <w:r>
        <w:rPr>
          <w:rFonts w:hint="cs"/>
          <w:rtl/>
        </w:rPr>
        <w:t>ָ</w:t>
      </w:r>
      <w:r>
        <w:rPr>
          <w:rFonts w:hint="cs"/>
          <w:b/>
          <w:bCs/>
          <w:rtl/>
        </w:rPr>
        <w:t>ד</w:t>
      </w:r>
      <w:r>
        <w:rPr>
          <w:rtl/>
        </w:rPr>
        <w:t xml:space="preserve"> מכל סמ</w:t>
      </w:r>
      <w:r>
        <w:rPr>
          <w:rFonts w:hint="cs"/>
          <w:rtl/>
        </w:rPr>
        <w:t>ְ</w:t>
      </w:r>
      <w:r>
        <w:rPr>
          <w:rtl/>
        </w:rPr>
        <w:t>מניה</w:t>
      </w:r>
      <w:r>
        <w:rPr>
          <w:rFonts w:hint="cs"/>
          <w:rtl/>
        </w:rPr>
        <w:t>".</w:t>
      </w:r>
    </w:p>
  </w:footnote>
  <w:footnote w:id="25">
    <w:p w14:paraId="28365076" w14:textId="77777777" w:rsidR="008F2822" w:rsidRDefault="008F2822">
      <w:pPr>
        <w:pStyle w:val="a7"/>
        <w:rPr>
          <w:rFonts w:hint="cs"/>
          <w:rtl/>
        </w:rPr>
      </w:pPr>
      <w:r>
        <w:rPr>
          <w:rStyle w:val="a6"/>
        </w:rPr>
        <w:footnoteRef/>
      </w:r>
      <w:r>
        <w:rPr>
          <w:rFonts w:hint="cs"/>
          <w:rtl/>
        </w:rPr>
        <w:t xml:space="preserve"> כך גורסים ארבעה כתבי יד ודפוס ונציה במסכת יומא. בכריתות בדפוס ונציה</w:t>
      </w:r>
      <w:r>
        <w:rPr>
          <w:rtl/>
        </w:rPr>
        <w:t xml:space="preserve"> </w:t>
      </w:r>
      <w:r>
        <w:rPr>
          <w:rFonts w:hint="cs"/>
          <w:rtl/>
        </w:rPr>
        <w:t>מקוצר</w:t>
      </w:r>
      <w:r>
        <w:rPr>
          <w:rtl/>
        </w:rPr>
        <w:t xml:space="preserve">: </w:t>
      </w:r>
      <w:r>
        <w:rPr>
          <w:rFonts w:hint="cs"/>
          <w:rtl/>
        </w:rPr>
        <w:t>"</w:t>
      </w:r>
      <w:r>
        <w:rPr>
          <w:b/>
          <w:bCs/>
          <w:rtl/>
        </w:rPr>
        <w:t>אח'</w:t>
      </w:r>
      <w:r>
        <w:rPr>
          <w:rFonts w:hint="cs"/>
          <w:rtl/>
        </w:rPr>
        <w:t>".</w:t>
      </w:r>
    </w:p>
  </w:footnote>
  <w:footnote w:id="26">
    <w:p w14:paraId="46B994BC" w14:textId="77777777" w:rsidR="008F2822" w:rsidRDefault="008F2822">
      <w:pPr>
        <w:pStyle w:val="a7"/>
        <w:rPr>
          <w:rFonts w:hint="cs"/>
          <w:rtl/>
        </w:rPr>
      </w:pPr>
      <w:r>
        <w:rPr>
          <w:rStyle w:val="a6"/>
        </w:rPr>
        <w:footnoteRef/>
      </w:r>
      <w:r>
        <w:rPr>
          <w:rFonts w:hint="cs"/>
          <w:rtl/>
        </w:rPr>
        <w:t xml:space="preserve"> </w:t>
      </w:r>
      <w:r>
        <w:rPr>
          <w:rtl/>
        </w:rPr>
        <w:t>ב</w:t>
      </w:r>
      <w:r>
        <w:rPr>
          <w:rFonts w:hint="cs"/>
          <w:rtl/>
        </w:rPr>
        <w:t>הגהותיו ל</w:t>
      </w:r>
      <w:r>
        <w:rPr>
          <w:rtl/>
        </w:rPr>
        <w:t>כריתות</w:t>
      </w:r>
      <w:r>
        <w:rPr>
          <w:rFonts w:hint="cs"/>
          <w:rtl/>
        </w:rPr>
        <w:t xml:space="preserve">; </w:t>
      </w:r>
      <w:r>
        <w:rPr>
          <w:rtl/>
        </w:rPr>
        <w:t xml:space="preserve">אך ביומא </w:t>
      </w:r>
      <w:r>
        <w:rPr>
          <w:rFonts w:hint="cs"/>
          <w:rtl/>
        </w:rPr>
        <w:t>שתק. יש לציין כי בסידורו הדפיס את הנוסח המקובל, "אחת" (</w:t>
      </w:r>
      <w:r>
        <w:rPr>
          <w:sz w:val="18"/>
          <w:szCs w:val="20"/>
          <w:rtl/>
        </w:rPr>
        <w:t>עמ' תשכ"ב</w:t>
      </w:r>
      <w:r>
        <w:rPr>
          <w:rFonts w:hint="cs"/>
          <w:sz w:val="18"/>
          <w:szCs w:val="20"/>
          <w:rtl/>
        </w:rPr>
        <w:t xml:space="preserve"> במהדורת </w:t>
      </w:r>
      <w:r>
        <w:rPr>
          <w:sz w:val="18"/>
          <w:szCs w:val="20"/>
          <w:rtl/>
        </w:rPr>
        <w:t>אשכול</w:t>
      </w:r>
      <w:r>
        <w:rPr>
          <w:rFonts w:hint="cs"/>
          <w:rtl/>
        </w:rPr>
        <w:t>).</w:t>
      </w:r>
    </w:p>
  </w:footnote>
  <w:footnote w:id="27">
    <w:p w14:paraId="588BD047" w14:textId="77777777" w:rsidR="008F2822" w:rsidRDefault="008F2822">
      <w:pPr>
        <w:pStyle w:val="a7"/>
        <w:rPr>
          <w:rFonts w:hint="cs"/>
          <w:rtl/>
        </w:rPr>
      </w:pPr>
      <w:r>
        <w:rPr>
          <w:rStyle w:val="a6"/>
          <w:rtl/>
        </w:rPr>
        <w:footnoteRef/>
      </w:r>
      <w:r>
        <w:t xml:space="preserve"> </w:t>
      </w:r>
      <w:r>
        <w:rPr>
          <w:rtl/>
        </w:rPr>
        <w:t xml:space="preserve">רבה של ירושלים לפני </w:t>
      </w:r>
      <w:r>
        <w:rPr>
          <w:rFonts w:hint="cs"/>
          <w:rtl/>
        </w:rPr>
        <w:t>כ</w:t>
      </w:r>
      <w:r>
        <w:rPr>
          <w:rtl/>
        </w:rPr>
        <w:t>שלוש מאות שנה</w:t>
      </w:r>
      <w:r>
        <w:rPr>
          <w:rFonts w:hint="cs"/>
          <w:rtl/>
        </w:rPr>
        <w:t>, רב</w:t>
      </w:r>
      <w:r>
        <w:rPr>
          <w:rtl/>
        </w:rPr>
        <w:t xml:space="preserve">י </w:t>
      </w:r>
      <w:r>
        <w:rPr>
          <w:rFonts w:hint="cs"/>
          <w:rtl/>
        </w:rPr>
        <w:t xml:space="preserve">ישראל יעקב </w:t>
      </w:r>
      <w:r>
        <w:rPr>
          <w:rtl/>
        </w:rPr>
        <w:t>אלג</w:t>
      </w:r>
      <w:r>
        <w:rPr>
          <w:rFonts w:hint="cs"/>
          <w:rtl/>
        </w:rPr>
        <w:t>א</w:t>
      </w:r>
      <w:r>
        <w:rPr>
          <w:rtl/>
        </w:rPr>
        <w:t>זי</w:t>
      </w:r>
      <w:r>
        <w:rPr>
          <w:rFonts w:hint="cs"/>
          <w:rtl/>
        </w:rPr>
        <w:t xml:space="preserve"> (בספרו </w:t>
      </w:r>
      <w:r>
        <w:rPr>
          <w:rtl/>
        </w:rPr>
        <w:t>שלמי ציבור</w:t>
      </w:r>
      <w:r>
        <w:rPr>
          <w:rFonts w:hint="cs"/>
          <w:rtl/>
        </w:rPr>
        <w:t xml:space="preserve">, </w:t>
      </w:r>
      <w:r>
        <w:rPr>
          <w:sz w:val="18"/>
          <w:szCs w:val="20"/>
          <w:rtl/>
        </w:rPr>
        <w:t xml:space="preserve">עמ' </w:t>
      </w:r>
      <w:r>
        <w:rPr>
          <w:rFonts w:hint="cs"/>
          <w:sz w:val="18"/>
          <w:szCs w:val="20"/>
          <w:rtl/>
        </w:rPr>
        <w:t>קמ"ט במהדורת תשמ"ז</w:t>
      </w:r>
      <w:r>
        <w:rPr>
          <w:rFonts w:hint="cs"/>
          <w:rtl/>
        </w:rPr>
        <w:t xml:space="preserve">), כתב רשימת </w:t>
      </w:r>
      <w:r>
        <w:rPr>
          <w:rtl/>
        </w:rPr>
        <w:t>דקדוקי תיבות בסדר פ</w:t>
      </w:r>
      <w:r>
        <w:rPr>
          <w:rFonts w:hint="cs"/>
          <w:rtl/>
        </w:rPr>
        <w:t>י</w:t>
      </w:r>
      <w:r>
        <w:rPr>
          <w:rtl/>
        </w:rPr>
        <w:t>טום הקטורת</w:t>
      </w:r>
      <w:r>
        <w:rPr>
          <w:rFonts w:hint="cs"/>
          <w:rtl/>
        </w:rPr>
        <w:t>, ובה נאמר: "</w:t>
      </w:r>
      <w:r>
        <w:rPr>
          <w:rtl/>
        </w:rPr>
        <w:t>וצ</w:t>
      </w:r>
      <w:r>
        <w:rPr>
          <w:rFonts w:hint="cs"/>
          <w:rtl/>
        </w:rPr>
        <w:t xml:space="preserve">ריך </w:t>
      </w:r>
      <w:r>
        <w:rPr>
          <w:rtl/>
        </w:rPr>
        <w:t>ל</w:t>
      </w:r>
      <w:r>
        <w:rPr>
          <w:rFonts w:hint="cs"/>
          <w:rtl/>
        </w:rPr>
        <w:t>ומר: '[</w:t>
      </w:r>
      <w:r>
        <w:rPr>
          <w:rtl/>
        </w:rPr>
        <w:t>כִּפַּת הַיַּרְדֵּן</w:t>
      </w:r>
      <w:r>
        <w:rPr>
          <w:rFonts w:hint="cs"/>
          <w:rtl/>
        </w:rPr>
        <w:t xml:space="preserve">] </w:t>
      </w:r>
      <w:r>
        <w:rPr>
          <w:rtl/>
        </w:rPr>
        <w:t>כל שה</w:t>
      </w:r>
      <w:r>
        <w:rPr>
          <w:rFonts w:hint="cs"/>
          <w:rtl/>
        </w:rPr>
        <w:t>ִי</w:t>
      </w:r>
      <w:r>
        <w:rPr>
          <w:rtl/>
        </w:rPr>
        <w:t>א</w:t>
      </w:r>
      <w:r>
        <w:rPr>
          <w:rFonts w:hint="cs"/>
          <w:rtl/>
        </w:rPr>
        <w:t>'</w:t>
      </w:r>
      <w:r>
        <w:rPr>
          <w:rtl/>
        </w:rPr>
        <w:t xml:space="preserve"> ולא </w:t>
      </w:r>
      <w:r>
        <w:rPr>
          <w:rFonts w:hint="cs"/>
          <w:rtl/>
        </w:rPr>
        <w:t>'</w:t>
      </w:r>
      <w:r>
        <w:rPr>
          <w:rtl/>
        </w:rPr>
        <w:t>שהו</w:t>
      </w:r>
      <w:r>
        <w:rPr>
          <w:rFonts w:hint="cs"/>
          <w:rtl/>
        </w:rPr>
        <w:t>ּ</w:t>
      </w:r>
      <w:r>
        <w:rPr>
          <w:rtl/>
        </w:rPr>
        <w:t>א</w:t>
      </w:r>
      <w:r>
        <w:rPr>
          <w:rFonts w:hint="cs"/>
          <w:rtl/>
        </w:rPr>
        <w:t>',</w:t>
      </w:r>
      <w:r>
        <w:rPr>
          <w:rtl/>
        </w:rPr>
        <w:t xml:space="preserve"> כ</w:t>
      </w:r>
      <w:r>
        <w:rPr>
          <w:rFonts w:hint="cs"/>
          <w:rtl/>
        </w:rPr>
        <w:t>ן כתב</w:t>
      </w:r>
      <w:r>
        <w:rPr>
          <w:rtl/>
        </w:rPr>
        <w:t xml:space="preserve"> האר"י ז"ל</w:t>
      </w:r>
      <w:r>
        <w:rPr>
          <w:rFonts w:hint="cs"/>
          <w:rtl/>
        </w:rPr>
        <w:t>.</w:t>
      </w:r>
      <w:r>
        <w:rPr>
          <w:rtl/>
        </w:rPr>
        <w:t xml:space="preserve"> </w:t>
      </w:r>
      <w:r>
        <w:rPr>
          <w:rFonts w:hint="cs"/>
          <w:sz w:val="18"/>
          <w:szCs w:val="20"/>
          <w:rtl/>
        </w:rPr>
        <w:t>'</w:t>
      </w:r>
      <w:r>
        <w:rPr>
          <w:sz w:val="18"/>
          <w:szCs w:val="20"/>
          <w:rtl/>
        </w:rPr>
        <w:t>כדי לשפות בה את הצפורן</w:t>
      </w:r>
      <w:r>
        <w:rPr>
          <w:rFonts w:hint="cs"/>
          <w:sz w:val="18"/>
          <w:szCs w:val="20"/>
          <w:rtl/>
        </w:rPr>
        <w:t>'</w:t>
      </w:r>
      <w:r>
        <w:rPr>
          <w:sz w:val="18"/>
          <w:szCs w:val="20"/>
          <w:rtl/>
        </w:rPr>
        <w:t xml:space="preserve"> כ</w:t>
      </w:r>
      <w:r>
        <w:rPr>
          <w:rFonts w:hint="cs"/>
          <w:sz w:val="18"/>
          <w:szCs w:val="20"/>
          <w:rtl/>
        </w:rPr>
        <w:t xml:space="preserve">ן </w:t>
      </w:r>
      <w:r>
        <w:rPr>
          <w:sz w:val="18"/>
          <w:szCs w:val="20"/>
          <w:rtl/>
        </w:rPr>
        <w:t>צ</w:t>
      </w:r>
      <w:r>
        <w:rPr>
          <w:rFonts w:hint="cs"/>
          <w:sz w:val="18"/>
          <w:szCs w:val="20"/>
          <w:rtl/>
        </w:rPr>
        <w:t xml:space="preserve">ריך </w:t>
      </w:r>
      <w:r>
        <w:rPr>
          <w:sz w:val="18"/>
          <w:szCs w:val="20"/>
          <w:rtl/>
        </w:rPr>
        <w:t>ל</w:t>
      </w:r>
      <w:r>
        <w:rPr>
          <w:rFonts w:hint="cs"/>
          <w:sz w:val="18"/>
          <w:szCs w:val="20"/>
          <w:rtl/>
        </w:rPr>
        <w:t>ומר,</w:t>
      </w:r>
      <w:r>
        <w:rPr>
          <w:sz w:val="18"/>
          <w:szCs w:val="20"/>
          <w:rtl/>
        </w:rPr>
        <w:t xml:space="preserve"> וא</w:t>
      </w:r>
      <w:r>
        <w:rPr>
          <w:rFonts w:hint="cs"/>
          <w:sz w:val="18"/>
          <w:szCs w:val="20"/>
          <w:rtl/>
        </w:rPr>
        <w:t>ין לומר</w:t>
      </w:r>
      <w:r>
        <w:rPr>
          <w:sz w:val="18"/>
          <w:szCs w:val="20"/>
          <w:rtl/>
        </w:rPr>
        <w:t xml:space="preserve"> </w:t>
      </w:r>
      <w:r>
        <w:rPr>
          <w:rFonts w:hint="cs"/>
          <w:sz w:val="18"/>
          <w:szCs w:val="20"/>
          <w:rtl/>
        </w:rPr>
        <w:t>'</w:t>
      </w:r>
      <w:r>
        <w:rPr>
          <w:sz w:val="18"/>
          <w:szCs w:val="20"/>
          <w:rtl/>
        </w:rPr>
        <w:t>ליפות</w:t>
      </w:r>
      <w:r>
        <w:rPr>
          <w:rFonts w:hint="cs"/>
          <w:sz w:val="18"/>
          <w:szCs w:val="20"/>
          <w:rtl/>
        </w:rPr>
        <w:t>'</w:t>
      </w:r>
      <w:r>
        <w:rPr>
          <w:sz w:val="18"/>
          <w:szCs w:val="20"/>
          <w:rtl/>
        </w:rPr>
        <w:t xml:space="preserve"> כמ</w:t>
      </w:r>
      <w:r>
        <w:rPr>
          <w:rFonts w:hint="cs"/>
          <w:sz w:val="18"/>
          <w:szCs w:val="20"/>
          <w:rtl/>
        </w:rPr>
        <w:t xml:space="preserve">ו </w:t>
      </w:r>
      <w:r>
        <w:rPr>
          <w:sz w:val="18"/>
          <w:szCs w:val="20"/>
          <w:rtl/>
        </w:rPr>
        <w:t>ש</w:t>
      </w:r>
      <w:r>
        <w:rPr>
          <w:rFonts w:hint="cs"/>
          <w:sz w:val="18"/>
          <w:szCs w:val="20"/>
          <w:rtl/>
        </w:rPr>
        <w:t>כתוב</w:t>
      </w:r>
      <w:r>
        <w:rPr>
          <w:sz w:val="18"/>
          <w:szCs w:val="20"/>
          <w:rtl/>
        </w:rPr>
        <w:t xml:space="preserve"> בספרים</w:t>
      </w:r>
      <w:r>
        <w:rPr>
          <w:rFonts w:hint="cs"/>
          <w:sz w:val="18"/>
          <w:szCs w:val="20"/>
          <w:rtl/>
        </w:rPr>
        <w:t xml:space="preserve">. </w:t>
      </w:r>
      <w:r>
        <w:rPr>
          <w:rtl/>
        </w:rPr>
        <w:t>וצ</w:t>
      </w:r>
      <w:r>
        <w:rPr>
          <w:rFonts w:hint="cs"/>
          <w:rtl/>
        </w:rPr>
        <w:t xml:space="preserve">ריך </w:t>
      </w:r>
      <w:r>
        <w:rPr>
          <w:rtl/>
        </w:rPr>
        <w:t>ל</w:t>
      </w:r>
      <w:r>
        <w:rPr>
          <w:rFonts w:hint="cs"/>
          <w:rtl/>
        </w:rPr>
        <w:t>ומר:</w:t>
      </w:r>
      <w:r>
        <w:rPr>
          <w:rtl/>
        </w:rPr>
        <w:t xml:space="preserve"> </w:t>
      </w:r>
      <w:r>
        <w:rPr>
          <w:rFonts w:hint="cs"/>
          <w:rtl/>
        </w:rPr>
        <w:t>'</w:t>
      </w:r>
      <w:r>
        <w:rPr>
          <w:rtl/>
        </w:rPr>
        <w:t>זה הכלל אם כמדתה כשרה לחצאין ואם חיסר אח</w:t>
      </w:r>
      <w:r>
        <w:rPr>
          <w:b/>
          <w:bCs/>
          <w:rtl/>
        </w:rPr>
        <w:t>ד</w:t>
      </w:r>
      <w:r>
        <w:rPr>
          <w:rFonts w:hint="cs"/>
          <w:rtl/>
        </w:rPr>
        <w:t>'</w:t>
      </w:r>
      <w:r>
        <w:rPr>
          <w:rtl/>
        </w:rPr>
        <w:t xml:space="preserve"> כו'</w:t>
      </w:r>
      <w:r>
        <w:rPr>
          <w:rFonts w:hint="cs"/>
          <w:rtl/>
        </w:rPr>
        <w:t>,</w:t>
      </w:r>
      <w:r>
        <w:rPr>
          <w:rtl/>
        </w:rPr>
        <w:t xml:space="preserve"> כ</w:t>
      </w:r>
      <w:r>
        <w:rPr>
          <w:rFonts w:hint="cs"/>
          <w:rtl/>
        </w:rPr>
        <w:t>ן כתב</w:t>
      </w:r>
      <w:r>
        <w:rPr>
          <w:rtl/>
        </w:rPr>
        <w:t xml:space="preserve"> ה</w:t>
      </w:r>
      <w:r>
        <w:rPr>
          <w:rFonts w:hint="cs"/>
          <w:rtl/>
        </w:rPr>
        <w:t>א</w:t>
      </w:r>
      <w:r>
        <w:rPr>
          <w:rtl/>
        </w:rPr>
        <w:t>ר"י סרוק ז"ל</w:t>
      </w:r>
      <w:r>
        <w:rPr>
          <w:rFonts w:hint="cs"/>
          <w:rtl/>
        </w:rPr>
        <w:t>". משמע מרשימה זו (שהובאה גם ב</w:t>
      </w:r>
      <w:r>
        <w:rPr>
          <w:rtl/>
        </w:rPr>
        <w:t xml:space="preserve">שערי תשובה </w:t>
      </w:r>
      <w:r>
        <w:rPr>
          <w:sz w:val="18"/>
          <w:szCs w:val="20"/>
          <w:rtl/>
        </w:rPr>
        <w:t>או</w:t>
      </w:r>
      <w:r>
        <w:rPr>
          <w:rFonts w:hint="cs"/>
          <w:sz w:val="18"/>
          <w:szCs w:val="20"/>
          <w:rtl/>
        </w:rPr>
        <w:t>"</w:t>
      </w:r>
      <w:r>
        <w:rPr>
          <w:sz w:val="18"/>
          <w:szCs w:val="20"/>
          <w:rtl/>
        </w:rPr>
        <w:t xml:space="preserve">ח </w:t>
      </w:r>
      <w:r>
        <w:rPr>
          <w:rFonts w:hint="cs"/>
          <w:sz w:val="18"/>
          <w:szCs w:val="20"/>
          <w:rtl/>
        </w:rPr>
        <w:t xml:space="preserve">סי' </w:t>
      </w:r>
      <w:r>
        <w:rPr>
          <w:sz w:val="18"/>
          <w:szCs w:val="20"/>
          <w:rtl/>
        </w:rPr>
        <w:t>מ</w:t>
      </w:r>
      <w:r>
        <w:rPr>
          <w:rFonts w:hint="cs"/>
          <w:sz w:val="18"/>
          <w:szCs w:val="20"/>
          <w:rtl/>
        </w:rPr>
        <w:t>"</w:t>
      </w:r>
      <w:r>
        <w:rPr>
          <w:sz w:val="18"/>
          <w:szCs w:val="20"/>
          <w:rtl/>
        </w:rPr>
        <w:t>ח</w:t>
      </w:r>
      <w:r>
        <w:rPr>
          <w:rFonts w:hint="cs"/>
          <w:sz w:val="18"/>
          <w:szCs w:val="20"/>
          <w:rtl/>
        </w:rPr>
        <w:t>,</w:t>
      </w:r>
      <w:r>
        <w:rPr>
          <w:sz w:val="18"/>
          <w:szCs w:val="20"/>
          <w:rtl/>
        </w:rPr>
        <w:t xml:space="preserve"> </w:t>
      </w:r>
      <w:r>
        <w:rPr>
          <w:rFonts w:hint="cs"/>
          <w:sz w:val="18"/>
          <w:szCs w:val="20"/>
          <w:rtl/>
        </w:rPr>
        <w:t>סק"</w:t>
      </w:r>
      <w:r>
        <w:rPr>
          <w:sz w:val="18"/>
          <w:szCs w:val="20"/>
          <w:rtl/>
        </w:rPr>
        <w:t>ב</w:t>
      </w:r>
      <w:r>
        <w:rPr>
          <w:rFonts w:hint="cs"/>
          <w:sz w:val="18"/>
          <w:szCs w:val="20"/>
          <w:rtl/>
        </w:rPr>
        <w:t xml:space="preserve"> וב</w:t>
      </w:r>
      <w:r>
        <w:rPr>
          <w:rFonts w:hint="cs"/>
          <w:rtl/>
        </w:rPr>
        <w:t>שערי תפלה לר' יעקב רקח</w:t>
      </w:r>
      <w:r>
        <w:rPr>
          <w:rFonts w:hint="cs"/>
          <w:sz w:val="18"/>
          <w:szCs w:val="20"/>
          <w:rtl/>
        </w:rPr>
        <w:t>, מהדורת ירושלים תשד"ם, עמ' 35</w:t>
      </w:r>
      <w:r>
        <w:rPr>
          <w:rFonts w:hint="cs"/>
          <w:rtl/>
        </w:rPr>
        <w:t xml:space="preserve">) שהדיוק "אחד" ולא "אחת" מקורו בתלמיד האר"י, </w:t>
      </w:r>
      <w:r>
        <w:rPr>
          <w:color w:val="FF0000"/>
          <w:rtl/>
        </w:rPr>
        <w:t>ר"י סרוק</w:t>
      </w:r>
      <w:r>
        <w:rPr>
          <w:rFonts w:hint="cs"/>
          <w:rtl/>
        </w:rPr>
        <w:t>, אך בליקוטי</w:t>
      </w:r>
      <w:r>
        <w:rPr>
          <w:rtl/>
        </w:rPr>
        <w:t xml:space="preserve"> מהרי"ח</w:t>
      </w:r>
      <w:r>
        <w:rPr>
          <w:rFonts w:hint="cs"/>
          <w:rtl/>
        </w:rPr>
        <w:t xml:space="preserve"> (</w:t>
      </w:r>
      <w:r>
        <w:rPr>
          <w:rFonts w:hint="cs"/>
          <w:sz w:val="18"/>
          <w:szCs w:val="20"/>
          <w:rtl/>
        </w:rPr>
        <w:t>לר' ישראל חיים פרידמאן, מהדורת ירושלים תשס"ג, עמ' נ"ב</w:t>
      </w:r>
      <w:r>
        <w:rPr>
          <w:rFonts w:hint="cs"/>
          <w:rtl/>
        </w:rPr>
        <w:t xml:space="preserve">) מיוחס דיוק זה לאר"י. יש לציין כי ברשימת הדיוקים באמירת פיטום הקטורת שכתב ר' חיים ויטאל בשם </w:t>
      </w:r>
      <w:r>
        <w:rPr>
          <w:rtl/>
        </w:rPr>
        <w:t>האר"י</w:t>
      </w:r>
      <w:r>
        <w:rPr>
          <w:rFonts w:hint="cs"/>
          <w:rtl/>
        </w:rPr>
        <w:t xml:space="preserve"> (שער הכוונות, </w:t>
      </w:r>
      <w:r>
        <w:rPr>
          <w:rFonts w:hint="cs"/>
          <w:sz w:val="18"/>
          <w:szCs w:val="20"/>
          <w:rtl/>
        </w:rPr>
        <w:t>עניין נוסח התפילה, ירושלים תשמ"ח, עמ' שכ"ט</w:t>
      </w:r>
      <w:r>
        <w:rPr>
          <w:rFonts w:hint="cs"/>
          <w:rtl/>
        </w:rPr>
        <w:t>) נאמר לדייק בנוסח "</w:t>
      </w:r>
      <w:r>
        <w:rPr>
          <w:rtl/>
        </w:rPr>
        <w:t>כִּפַּת הַיַּרְדֵּן</w:t>
      </w:r>
      <w:r>
        <w:rPr>
          <w:rFonts w:hint="cs"/>
          <w:rtl/>
        </w:rPr>
        <w:t xml:space="preserve"> - </w:t>
      </w:r>
      <w:r>
        <w:rPr>
          <w:rtl/>
        </w:rPr>
        <w:t>כל שה</w:t>
      </w:r>
      <w:r>
        <w:rPr>
          <w:rFonts w:hint="cs"/>
          <w:rtl/>
        </w:rPr>
        <w:t>ִי</w:t>
      </w:r>
      <w:r>
        <w:rPr>
          <w:rtl/>
        </w:rPr>
        <w:t>א</w:t>
      </w:r>
      <w:r>
        <w:rPr>
          <w:rFonts w:hint="cs"/>
          <w:rtl/>
        </w:rPr>
        <w:t>"</w:t>
      </w:r>
      <w:r>
        <w:rPr>
          <w:rtl/>
        </w:rPr>
        <w:t xml:space="preserve"> ולא </w:t>
      </w:r>
      <w:r>
        <w:rPr>
          <w:rFonts w:hint="cs"/>
          <w:rtl/>
        </w:rPr>
        <w:t>"</w:t>
      </w:r>
      <w:r>
        <w:rPr>
          <w:rtl/>
        </w:rPr>
        <w:t>שהו</w:t>
      </w:r>
      <w:r>
        <w:rPr>
          <w:rFonts w:hint="cs"/>
          <w:rtl/>
        </w:rPr>
        <w:t>ּ</w:t>
      </w:r>
      <w:r>
        <w:rPr>
          <w:rtl/>
        </w:rPr>
        <w:t>א</w:t>
      </w:r>
      <w:r>
        <w:rPr>
          <w:rFonts w:hint="cs"/>
          <w:rtl/>
        </w:rPr>
        <w:t>", אך לא מוזכר שם אם יש לומר "אחד" או "אחת".</w:t>
      </w:r>
    </w:p>
    <w:p w14:paraId="06C227C9" w14:textId="77777777" w:rsidR="008F2822" w:rsidRDefault="008F2822">
      <w:pPr>
        <w:pStyle w:val="a7"/>
        <w:rPr>
          <w:rFonts w:hint="cs"/>
          <w:rtl/>
        </w:rPr>
      </w:pPr>
      <w:r>
        <w:rPr>
          <w:rFonts w:hint="cs"/>
          <w:rtl/>
        </w:rPr>
        <w:t>בנוסף, כך הוא נוסח</w:t>
      </w:r>
      <w:r>
        <w:rPr>
          <w:sz w:val="26"/>
          <w:rtl/>
        </w:rPr>
        <w:t xml:space="preserve"> הרש"ז</w:t>
      </w:r>
      <w:r>
        <w:rPr>
          <w:rFonts w:hint="cs"/>
          <w:rtl/>
        </w:rPr>
        <w:t xml:space="preserve"> בעל התניא</w:t>
      </w:r>
      <w:r>
        <w:rPr>
          <w:rtl/>
        </w:rPr>
        <w:t xml:space="preserve"> </w:t>
      </w:r>
      <w:r>
        <w:rPr>
          <w:rFonts w:hint="cs"/>
          <w:rtl/>
        </w:rPr>
        <w:t>ב</w:t>
      </w:r>
      <w:r>
        <w:rPr>
          <w:rtl/>
        </w:rPr>
        <w:t>סידור</w:t>
      </w:r>
      <w:r>
        <w:rPr>
          <w:rFonts w:hint="cs"/>
          <w:rtl/>
        </w:rPr>
        <w:t>ו, ואת נימוקו מסביר ר' אברהם דוד לאווֹט (</w:t>
      </w:r>
      <w:r>
        <w:rPr>
          <w:rFonts w:ascii="Arial" w:hAnsi="Arial"/>
          <w:sz w:val="18"/>
          <w:szCs w:val="20"/>
          <w:rtl/>
        </w:rPr>
        <w:t>נפטר בשנת ה</w:t>
      </w:r>
      <w:r>
        <w:rPr>
          <w:rFonts w:ascii="Arial" w:hAnsi="Arial" w:hint="cs"/>
          <w:sz w:val="18"/>
          <w:szCs w:val="20"/>
          <w:rtl/>
        </w:rPr>
        <w:t>'</w:t>
      </w:r>
      <w:r>
        <w:rPr>
          <w:rFonts w:ascii="Arial" w:hAnsi="Arial"/>
          <w:sz w:val="18"/>
          <w:szCs w:val="20"/>
          <w:rtl/>
        </w:rPr>
        <w:t>תר"</w:t>
      </w:r>
      <w:r>
        <w:rPr>
          <w:rFonts w:ascii="Arial" w:hAnsi="Arial" w:hint="cs"/>
          <w:sz w:val="18"/>
          <w:szCs w:val="20"/>
          <w:rtl/>
        </w:rPr>
        <w:t xml:space="preserve">ן, </w:t>
      </w:r>
      <w:r>
        <w:rPr>
          <w:rFonts w:ascii="Arial" w:hAnsi="Arial"/>
          <w:sz w:val="18"/>
          <w:szCs w:val="20"/>
          <w:rtl/>
        </w:rPr>
        <w:t>1</w:t>
      </w:r>
      <w:r>
        <w:rPr>
          <w:rFonts w:ascii="Arial" w:hAnsi="Arial" w:hint="cs"/>
          <w:sz w:val="18"/>
          <w:szCs w:val="20"/>
          <w:rtl/>
        </w:rPr>
        <w:t>890</w:t>
      </w:r>
      <w:r>
        <w:rPr>
          <w:rFonts w:hint="cs"/>
          <w:rtl/>
        </w:rPr>
        <w:t xml:space="preserve">) בספר </w:t>
      </w:r>
      <w:r>
        <w:rPr>
          <w:rtl/>
        </w:rPr>
        <w:t>שער</w:t>
      </w:r>
      <w:r>
        <w:rPr>
          <w:rFonts w:hint="cs"/>
          <w:rtl/>
        </w:rPr>
        <w:t xml:space="preserve"> </w:t>
      </w:r>
      <w:r>
        <w:rPr>
          <w:rtl/>
        </w:rPr>
        <w:t xml:space="preserve">הכולל </w:t>
      </w:r>
      <w:r>
        <w:rPr>
          <w:sz w:val="18"/>
          <w:szCs w:val="20"/>
          <w:rtl/>
        </w:rPr>
        <w:t>פ"ג סט"ז</w:t>
      </w:r>
      <w:r>
        <w:rPr>
          <w:rFonts w:hint="cs"/>
          <w:sz w:val="18"/>
          <w:szCs w:val="20"/>
          <w:rtl/>
        </w:rPr>
        <w:t xml:space="preserve">, </w:t>
      </w:r>
      <w:r>
        <w:rPr>
          <w:rFonts w:hint="cs"/>
          <w:sz w:val="26"/>
          <w:rtl/>
        </w:rPr>
        <w:t>ה</w:t>
      </w:r>
      <w:r>
        <w:rPr>
          <w:sz w:val="26"/>
          <w:rtl/>
        </w:rPr>
        <w:t>מודפס בסוף שו"ע הרש"ז</w:t>
      </w:r>
      <w:r>
        <w:rPr>
          <w:rFonts w:hint="cs"/>
          <w:rtl/>
        </w:rPr>
        <w:t>: "</w:t>
      </w:r>
      <w:r>
        <w:rPr>
          <w:rtl/>
        </w:rPr>
        <w:t>כצ"ל אחד בד' ולא אחת בתי"ו</w:t>
      </w:r>
      <w:r>
        <w:rPr>
          <w:rFonts w:hint="cs"/>
          <w:rtl/>
        </w:rPr>
        <w:t>,</w:t>
      </w:r>
      <w:r>
        <w:rPr>
          <w:rtl/>
        </w:rPr>
        <w:t xml:space="preserve"> כי סמים הוא לשון זכר</w:t>
      </w:r>
      <w:r>
        <w:rPr>
          <w:rFonts w:hint="cs"/>
          <w:rtl/>
        </w:rPr>
        <w:t>,</w:t>
      </w:r>
      <w:r>
        <w:rPr>
          <w:rtl/>
        </w:rPr>
        <w:t xml:space="preserve"> וקטורת לשון נקבה</w:t>
      </w:r>
      <w:r>
        <w:rPr>
          <w:rFonts w:hint="cs"/>
          <w:rtl/>
        </w:rPr>
        <w:t>".</w:t>
      </w:r>
    </w:p>
    <w:p w14:paraId="617D0463" w14:textId="77777777" w:rsidR="008F2822" w:rsidRDefault="008F2822">
      <w:pPr>
        <w:pStyle w:val="a7"/>
        <w:rPr>
          <w:rFonts w:hint="cs"/>
          <w:rtl/>
        </w:rPr>
      </w:pPr>
      <w:r>
        <w:rPr>
          <w:rFonts w:hint="cs"/>
          <w:rtl/>
        </w:rPr>
        <w:t>בחיפושיי בסידורים בני דורנו מצאתי שנים שהלכו בדרך זו (מלבד סידור חב"ד):</w:t>
      </w:r>
    </w:p>
    <w:p w14:paraId="141E36EA" w14:textId="77777777" w:rsidR="008F2822" w:rsidRDefault="008F2822">
      <w:pPr>
        <w:pStyle w:val="a7"/>
        <w:rPr>
          <w:rFonts w:hint="cs"/>
          <w:sz w:val="30"/>
          <w:szCs w:val="28"/>
          <w:rtl/>
        </w:rPr>
      </w:pPr>
      <w:r>
        <w:rPr>
          <w:rFonts w:hint="cs"/>
          <w:rtl/>
        </w:rPr>
        <w:t xml:space="preserve">כך הדפיס </w:t>
      </w:r>
      <w:r>
        <w:rPr>
          <w:sz w:val="26"/>
          <w:rtl/>
        </w:rPr>
        <w:t>הר"י קאפח</w:t>
      </w:r>
      <w:r>
        <w:rPr>
          <w:rFonts w:hint="cs"/>
          <w:sz w:val="26"/>
          <w:rtl/>
        </w:rPr>
        <w:t xml:space="preserve"> </w:t>
      </w:r>
      <w:r>
        <w:rPr>
          <w:rFonts w:hint="cs"/>
          <w:rtl/>
        </w:rPr>
        <w:t>ב</w:t>
      </w:r>
      <w:r>
        <w:rPr>
          <w:rtl/>
        </w:rPr>
        <w:t xml:space="preserve">סידור שיח ירושלים </w:t>
      </w:r>
      <w:r>
        <w:rPr>
          <w:rFonts w:hint="cs"/>
          <w:rtl/>
        </w:rPr>
        <w:t xml:space="preserve">כמנהג יהודי תימן (בלדי); </w:t>
      </w:r>
      <w:r>
        <w:rPr>
          <w:rFonts w:hint="cs"/>
          <w:sz w:val="26"/>
          <w:rtl/>
        </w:rPr>
        <w:t>בהערת שוליים מוצג הנוסח הנפוץ, "אחת".</w:t>
      </w:r>
    </w:p>
    <w:p w14:paraId="662D6687" w14:textId="77777777" w:rsidR="008F2822" w:rsidRDefault="008F2822">
      <w:pPr>
        <w:pStyle w:val="a7"/>
        <w:rPr>
          <w:rFonts w:hint="cs"/>
          <w:rtl/>
        </w:rPr>
      </w:pPr>
      <w:r>
        <w:rPr>
          <w:rFonts w:hint="cs"/>
          <w:rtl/>
        </w:rPr>
        <w:t>כך תוקן ב</w:t>
      </w:r>
      <w:r>
        <w:rPr>
          <w:rtl/>
        </w:rPr>
        <w:t>סידור</w:t>
      </w:r>
      <w:r>
        <w:rPr>
          <w:rFonts w:hint="cs"/>
          <w:rtl/>
        </w:rPr>
        <w:t>ים ובמחזורים האשכנזיים בהוצאת</w:t>
      </w:r>
      <w:r>
        <w:rPr>
          <w:rtl/>
        </w:rPr>
        <w:t xml:space="preserve"> קורן</w:t>
      </w:r>
      <w:r>
        <w:rPr>
          <w:rFonts w:hint="cs"/>
          <w:rtl/>
        </w:rPr>
        <w:t>.</w:t>
      </w:r>
    </w:p>
    <w:p w14:paraId="76C339BB" w14:textId="77777777" w:rsidR="008F2822" w:rsidRDefault="008F2822">
      <w:pPr>
        <w:pStyle w:val="a7"/>
        <w:rPr>
          <w:rFonts w:hint="cs"/>
          <w:rtl/>
        </w:rPr>
      </w:pPr>
      <w:r>
        <w:rPr>
          <w:rFonts w:hint="cs"/>
          <w:rtl/>
        </w:rPr>
        <w:t>צ"ע האם כל אחד ממתקנים אלה חִדֵּש זאת על פי סברתו, או ע"פ מסורת חיה או כתובה.</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12F49"/>
    <w:multiLevelType w:val="hybridMultilevel"/>
    <w:tmpl w:val="9ABE0C7C"/>
    <w:lvl w:ilvl="0" w:tplc="8146ED2C">
      <w:start w:val="1"/>
      <w:numFmt w:val="decimal"/>
      <w:pStyle w:val="5"/>
      <w:lvlText w:val="%1."/>
      <w:lvlJc w:val="left"/>
      <w:pPr>
        <w:tabs>
          <w:tab w:val="num" w:pos="720"/>
        </w:tabs>
        <w:ind w:left="720" w:right="720" w:hanging="360"/>
      </w:pPr>
      <w:rPr>
        <w:rFonts w:hint="default"/>
        <w:color w:val="0000FF"/>
        <w:sz w:val="16"/>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C6"/>
    <w:rsid w:val="008F2822"/>
    <w:rsid w:val="00DB2CC6"/>
    <w:rsid w:val="00EA68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71E7BA"/>
  <w15:chartTrackingRefBased/>
  <w15:docId w15:val="{58E9042B-D041-4488-B416-8F0C1032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line="360" w:lineRule="auto"/>
      <w:jc w:val="both"/>
    </w:pPr>
    <w:rPr>
      <w:rFonts w:cs="Guttman Drogolin"/>
      <w:sz w:val="22"/>
      <w:szCs w:val="24"/>
    </w:rPr>
  </w:style>
  <w:style w:type="paragraph" w:styleId="1">
    <w:name w:val="heading 1"/>
    <w:basedOn w:val="a"/>
    <w:next w:val="a"/>
    <w:qFormat/>
    <w:pPr>
      <w:keepNext/>
      <w:spacing w:before="240" w:after="60"/>
      <w:outlineLvl w:val="0"/>
    </w:pPr>
    <w:rPr>
      <w:rFonts w:cs="Miriam Transparent"/>
      <w:kern w:val="32"/>
    </w:rPr>
  </w:style>
  <w:style w:type="paragraph" w:styleId="2">
    <w:name w:val="heading 2"/>
    <w:basedOn w:val="a"/>
    <w:next w:val="a"/>
    <w:qFormat/>
    <w:pPr>
      <w:keepNext/>
      <w:jc w:val="center"/>
      <w:outlineLvl w:val="1"/>
    </w:pPr>
    <w:rPr>
      <w:rFonts w:ascii="Arial" w:hAnsi="Arial" w:cs="TopType Toledo"/>
      <w:sz w:val="48"/>
      <w:szCs w:val="50"/>
    </w:rPr>
  </w:style>
  <w:style w:type="paragraph" w:styleId="3">
    <w:name w:val="heading 3"/>
    <w:basedOn w:val="a"/>
    <w:next w:val="a"/>
    <w:qFormat/>
    <w:pPr>
      <w:keepNext/>
      <w:tabs>
        <w:tab w:val="left" w:pos="4109"/>
        <w:tab w:val="left" w:pos="6072"/>
      </w:tabs>
      <w:autoSpaceDE w:val="0"/>
      <w:autoSpaceDN w:val="0"/>
      <w:spacing w:before="120"/>
      <w:outlineLvl w:val="2"/>
    </w:pPr>
    <w:rPr>
      <w:bCs/>
      <w:sz w:val="32"/>
      <w:szCs w:val="30"/>
    </w:rPr>
  </w:style>
  <w:style w:type="paragraph" w:styleId="4">
    <w:name w:val="heading 4"/>
    <w:basedOn w:val="a"/>
    <w:next w:val="a"/>
    <w:qFormat/>
    <w:pPr>
      <w:keepNext/>
      <w:autoSpaceDE w:val="0"/>
      <w:autoSpaceDN w:val="0"/>
      <w:adjustRightInd w:val="0"/>
      <w:spacing w:before="120"/>
      <w:outlineLvl w:val="3"/>
    </w:pPr>
    <w:rPr>
      <w:color w:val="000000"/>
      <w:szCs w:val="26"/>
      <w:u w:val="single"/>
    </w:rPr>
  </w:style>
  <w:style w:type="paragraph" w:styleId="5">
    <w:name w:val="heading 5"/>
    <w:basedOn w:val="a"/>
    <w:next w:val="a"/>
    <w:qFormat/>
    <w:pPr>
      <w:keepNext/>
      <w:numPr>
        <w:numId w:val="1"/>
      </w:numPr>
      <w:autoSpaceDE w:val="0"/>
      <w:autoSpaceDN w:val="0"/>
      <w:adjustRightInd w:val="0"/>
      <w:ind w:right="0"/>
      <w:outlineLvl w:val="4"/>
    </w:pPr>
    <w:rPr>
      <w:b/>
      <w:bCs/>
      <w:color w:val="000000"/>
      <w:sz w:val="18"/>
      <w:szCs w:val="20"/>
    </w:rPr>
  </w:style>
  <w:style w:type="paragraph" w:styleId="6">
    <w:name w:val="heading 6"/>
    <w:basedOn w:val="a"/>
    <w:next w:val="a"/>
    <w:qFormat/>
    <w:pPr>
      <w:keepNext/>
      <w:tabs>
        <w:tab w:val="left" w:pos="4109"/>
        <w:tab w:val="left" w:pos="6072"/>
      </w:tabs>
      <w:autoSpaceDE w:val="0"/>
      <w:autoSpaceDN w:val="0"/>
      <w:spacing w:after="240"/>
      <w:outlineLvl w:val="5"/>
    </w:pPr>
    <w:rPr>
      <w:rFonts w:cs="David"/>
      <w:sz w:val="30"/>
      <w:szCs w:val="28"/>
    </w:rPr>
  </w:style>
  <w:style w:type="paragraph" w:styleId="7">
    <w:name w:val="heading 7"/>
    <w:basedOn w:val="a"/>
    <w:next w:val="a"/>
    <w:qFormat/>
    <w:pPr>
      <w:keepNext/>
      <w:autoSpaceDE w:val="0"/>
      <w:autoSpaceDN w:val="0"/>
      <w:adjustRightInd w:val="0"/>
      <w:outlineLvl w:val="6"/>
    </w:pPr>
    <w:rPr>
      <w:b/>
      <w:bCs/>
      <w:sz w:val="12"/>
      <w:szCs w:val="14"/>
      <w:u w:val="single"/>
    </w:rPr>
  </w:style>
  <w:style w:type="paragraph" w:styleId="8">
    <w:name w:val="heading 8"/>
    <w:basedOn w:val="a"/>
    <w:qFormat/>
    <w:pPr>
      <w:bidi w:val="0"/>
      <w:spacing w:before="100" w:beforeAutospacing="1" w:after="100" w:afterAutospacing="1"/>
      <w:outlineLvl w:val="7"/>
    </w:pPr>
    <w:rPr>
      <w:rFonts w:ascii="Arial Unicode MS" w:hAnsi="Arial Unicode MS"/>
    </w:rPr>
  </w:style>
  <w:style w:type="paragraph" w:styleId="9">
    <w:name w:val="heading 9"/>
    <w:basedOn w:val="a"/>
    <w:next w:val="a"/>
    <w:qFormat/>
    <w:pPr>
      <w:keepNext/>
      <w:autoSpaceDE w:val="0"/>
      <w:autoSpaceDN w:val="0"/>
      <w:adjustRightInd w:val="0"/>
      <w:ind w:left="720"/>
      <w:outlineLvl w:val="8"/>
    </w:pPr>
    <w:rPr>
      <w:b/>
      <w:bCs/>
      <w:color w:val="000000"/>
      <w:sz w:val="16"/>
      <w:szCs w:val="18"/>
      <w:u w:val="single"/>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ndnote reference"/>
    <w:basedOn w:val="a0"/>
    <w:semiHidden/>
    <w:rPr>
      <w:rFonts w:ascii="Times New Roman" w:hAnsi="Times New Roman" w:cs="Times New Roman"/>
      <w:vertAlign w:val="superscript"/>
      <w:lang w:bidi="he-IL"/>
    </w:rPr>
  </w:style>
  <w:style w:type="paragraph" w:styleId="a4">
    <w:name w:val="endnote text"/>
    <w:basedOn w:val="a"/>
    <w:semiHidden/>
    <w:rPr>
      <w:rFonts w:cs="Levenim MT"/>
      <w:szCs w:val="22"/>
    </w:rPr>
  </w:style>
  <w:style w:type="paragraph" w:styleId="a5">
    <w:name w:val="footer"/>
    <w:basedOn w:val="a"/>
    <w:semiHidden/>
    <w:pPr>
      <w:tabs>
        <w:tab w:val="center" w:pos="4153"/>
        <w:tab w:val="right" w:pos="8306"/>
      </w:tabs>
    </w:pPr>
  </w:style>
  <w:style w:type="character" w:styleId="a6">
    <w:name w:val="footnote reference"/>
    <w:basedOn w:val="a0"/>
    <w:semiHidden/>
    <w:rPr>
      <w:rFonts w:ascii="Arial" w:hAnsi="Arial" w:cs="Arial"/>
      <w:sz w:val="26"/>
      <w:vertAlign w:val="superscript"/>
      <w:lang w:eastAsia="he-IL"/>
    </w:rPr>
  </w:style>
  <w:style w:type="paragraph" w:styleId="a7">
    <w:name w:val="footnote text"/>
    <w:basedOn w:val="a"/>
    <w:semiHidden/>
    <w:pPr>
      <w:tabs>
        <w:tab w:val="left" w:pos="4109"/>
        <w:tab w:val="left" w:pos="6072"/>
      </w:tabs>
      <w:autoSpaceDE w:val="0"/>
      <w:autoSpaceDN w:val="0"/>
    </w:pPr>
    <w:rPr>
      <w:rFonts w:ascii="Ezra SIL" w:hAnsi="Ezra SIL" w:cs="Arial"/>
    </w:rPr>
  </w:style>
  <w:style w:type="character" w:styleId="Hyperlink">
    <w:name w:val="Hyperlink"/>
    <w:basedOn w:val="a0"/>
    <w:semiHidden/>
    <w:rPr>
      <w:rFonts w:ascii="Times New Roman" w:hAnsi="Times New Roman" w:cs="Times New Roman"/>
      <w:color w:val="0000FF"/>
      <w:u w:val="single"/>
      <w:lang w:bidi="he-IL"/>
    </w:rPr>
  </w:style>
  <w:style w:type="paragraph" w:styleId="NormalWeb">
    <w:name w:val="Normal (Web)‎"/>
    <w:basedOn w:val="a"/>
    <w:semiHidden/>
    <w:pPr>
      <w:bidi w:val="0"/>
      <w:spacing w:before="100" w:beforeAutospacing="1" w:after="100" w:afterAutospacing="1"/>
    </w:pPr>
  </w:style>
  <w:style w:type="paragraph" w:customStyle="1" w:styleId="NormalPar">
    <w:name w:val="NormalPar"/>
    <w:pPr>
      <w:bidi/>
    </w:pPr>
    <w:rPr>
      <w:rFonts w:cs="David"/>
      <w:sz w:val="24"/>
      <w:szCs w:val="24"/>
      <w:lang w:eastAsia="he-IL"/>
    </w:rPr>
  </w:style>
  <w:style w:type="paragraph" w:customStyle="1" w:styleId="NormalParL">
    <w:name w:val="NormalParL"/>
    <w:rPr>
      <w:rFonts w:cs="Miriam"/>
      <w:sz w:val="24"/>
      <w:szCs w:val="24"/>
      <w:lang w:val="en-GB" w:eastAsia="he-IL"/>
    </w:rPr>
  </w:style>
  <w:style w:type="character" w:styleId="a8">
    <w:name w:val="page number"/>
    <w:basedOn w:val="a0"/>
    <w:semiHidden/>
  </w:style>
  <w:style w:type="paragraph" w:styleId="a9">
    <w:name w:val="תואר"/>
    <w:basedOn w:val="a"/>
    <w:qFormat/>
    <w:pPr>
      <w:spacing w:before="240" w:after="60"/>
      <w:jc w:val="center"/>
      <w:outlineLvl w:val="0"/>
    </w:pPr>
    <w:rPr>
      <w:rFonts w:ascii="Arial" w:hAnsi="Arial" w:cs="Vilna"/>
      <w:b/>
      <w:bCs/>
      <w:kern w:val="28"/>
      <w:sz w:val="32"/>
      <w:szCs w:val="52"/>
    </w:rPr>
  </w:style>
  <w:style w:type="paragraph" w:customStyle="1" w:styleId="annotationsubject">
    <w:name w:val="annotation subject"/>
    <w:basedOn w:val="aa"/>
    <w:next w:val="aa"/>
    <w:rPr>
      <w:b/>
      <w:bCs/>
    </w:rPr>
  </w:style>
  <w:style w:type="paragraph" w:styleId="aa">
    <w:name w:val="annotation text"/>
    <w:basedOn w:val="a"/>
    <w:semiHidden/>
    <w:pPr>
      <w:tabs>
        <w:tab w:val="left" w:pos="4109"/>
        <w:tab w:val="left" w:pos="6072"/>
      </w:tabs>
      <w:autoSpaceDE w:val="0"/>
      <w:autoSpaceDN w:val="0"/>
      <w:spacing w:after="240"/>
    </w:pPr>
    <w:rPr>
      <w:rFonts w:cs="David"/>
      <w:sz w:val="20"/>
      <w:szCs w:val="20"/>
    </w:rPr>
  </w:style>
  <w:style w:type="paragraph" w:customStyle="1" w:styleId="BalloonText">
    <w:name w:val="Balloon Text"/>
    <w:basedOn w:val="a"/>
    <w:pPr>
      <w:tabs>
        <w:tab w:val="left" w:pos="4109"/>
        <w:tab w:val="left" w:pos="6072"/>
      </w:tabs>
      <w:autoSpaceDE w:val="0"/>
      <w:autoSpaceDN w:val="0"/>
      <w:spacing w:after="240"/>
    </w:pPr>
    <w:rPr>
      <w:rFonts w:ascii="Tahoma" w:hAnsi="Tahoma" w:cs="Tahoma"/>
      <w:sz w:val="16"/>
      <w:szCs w:val="16"/>
    </w:rPr>
  </w:style>
  <w:style w:type="paragraph" w:customStyle="1" w:styleId="ab">
    <w:name w:val="מקור"/>
    <w:basedOn w:val="a"/>
    <w:next w:val="a"/>
    <w:autoRedefine/>
    <w:pPr>
      <w:tabs>
        <w:tab w:val="left" w:pos="6072"/>
      </w:tabs>
      <w:autoSpaceDE w:val="0"/>
      <w:autoSpaceDN w:val="0"/>
      <w:spacing w:before="40" w:after="40"/>
      <w:ind w:left="794"/>
    </w:pPr>
    <w:rPr>
      <w:rFonts w:cs="FrankRuehl"/>
      <w:szCs w:val="26"/>
    </w:rPr>
  </w:style>
  <w:style w:type="character" w:customStyle="1" w:styleId="10">
    <w:name w:val="ציטוט1"/>
    <w:basedOn w:val="a0"/>
    <w:rPr>
      <w:bCs/>
    </w:rPr>
  </w:style>
  <w:style w:type="character" w:customStyle="1" w:styleId="postbody">
    <w:name w:val="postbody"/>
    <w:basedOn w:val="a0"/>
  </w:style>
  <w:style w:type="character" w:customStyle="1" w:styleId="apple-style-span">
    <w:name w:val="apple-style-span"/>
    <w:basedOn w:val="a0"/>
  </w:style>
  <w:style w:type="character" w:customStyle="1" w:styleId="q">
    <w:name w:val="q"/>
    <w:basedOn w:val="a0"/>
  </w:style>
  <w:style w:type="character" w:customStyle="1" w:styleId="toctoggle">
    <w:name w:val="toctoggle"/>
    <w:basedOn w:val="a0"/>
  </w:style>
  <w:style w:type="character" w:customStyle="1" w:styleId="tocnumber">
    <w:name w:val="tocnumber"/>
    <w:basedOn w:val="a0"/>
  </w:style>
  <w:style w:type="character" w:customStyle="1" w:styleId="toctext">
    <w:name w:val="toctext"/>
    <w:basedOn w:val="a0"/>
  </w:style>
  <w:style w:type="character" w:customStyle="1" w:styleId="editsection">
    <w:name w:val="editsection"/>
    <w:basedOn w:val="a0"/>
  </w:style>
  <w:style w:type="character" w:customStyle="1" w:styleId="mw-headline">
    <w:name w:val="mw-headline"/>
    <w:basedOn w:val="a0"/>
  </w:style>
  <w:style w:type="paragraph" w:customStyle="1" w:styleId="NormalParH">
    <w:name w:val="NormalParH"/>
    <w:pPr>
      <w:autoSpaceDE w:val="0"/>
      <w:autoSpaceDN w:val="0"/>
      <w:bidi/>
      <w:adjustRightInd w:val="0"/>
      <w:jc w:val="right"/>
    </w:pPr>
    <w:rPr>
      <w:rFonts w:cs="David"/>
      <w:sz w:val="24"/>
      <w:szCs w:val="24"/>
      <w:lang w:eastAsia="he-IL"/>
    </w:rPr>
  </w:style>
  <w:style w:type="paragraph" w:styleId="ac">
    <w:name w:val="Body Text"/>
    <w:basedOn w:val="a"/>
    <w:semiHidden/>
    <w:pPr>
      <w:spacing w:after="120"/>
      <w:ind w:left="1238"/>
    </w:pPr>
  </w:style>
  <w:style w:type="character" w:styleId="FollowedHyperlink">
    <w:name w:val="FollowedHyperlink"/>
    <w:basedOn w:val="a0"/>
    <w:semiHidden/>
    <w:rPr>
      <w:color w:val="800080"/>
      <w:u w:val="single"/>
    </w:rPr>
  </w:style>
  <w:style w:type="character" w:styleId="ad">
    <w:name w:val="Strong"/>
    <w:basedOn w:val="a0"/>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26BF58F1D3E534198274CAD27C9364B" ma:contentTypeVersion="15" ma:contentTypeDescription="צור מסמך חדש." ma:contentTypeScope="" ma:versionID="404f4c90b1dd83b821518da62684989d">
  <xsd:schema xmlns:xsd="http://www.w3.org/2001/XMLSchema" xmlns:xs="http://www.w3.org/2001/XMLSchema" xmlns:p="http://schemas.microsoft.com/office/2006/metadata/properties" xmlns:ns3="8893e021-340b-47fb-be7c-94ed5d83ed0a" targetNamespace="http://schemas.microsoft.com/office/2006/metadata/properties" ma:root="true" ma:fieldsID="13b81221d6f1d584edafc68ff58ba301" ns3:_="">
    <xsd:import namespace="8893e021-340b-47fb-be7c-94ed5d83ed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3e021-340b-47fb-be7c-94ed5d83e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93e021-340b-47fb-be7c-94ed5d83ed0a" xsi:nil="true"/>
  </documentManagement>
</p:properties>
</file>

<file path=customXml/itemProps1.xml><?xml version="1.0" encoding="utf-8"?>
<ds:datastoreItem xmlns:ds="http://schemas.openxmlformats.org/officeDocument/2006/customXml" ds:itemID="{326FA73E-2B07-4D74-ADBE-7292B87A8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3e021-340b-47fb-be7c-94ed5d83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9A9889-CD98-4DAA-8110-488F011A158D}">
  <ds:schemaRefs>
    <ds:schemaRef ds:uri="http://schemas.microsoft.com/sharepoint/v3/contenttype/forms"/>
  </ds:schemaRefs>
</ds:datastoreItem>
</file>

<file path=customXml/itemProps3.xml><?xml version="1.0" encoding="utf-8"?>
<ds:datastoreItem xmlns:ds="http://schemas.openxmlformats.org/officeDocument/2006/customXml" ds:itemID="{91243A4D-CFBF-4C19-A7DE-2275B879A073}">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8893e021-340b-47fb-be7c-94ed5d83ed0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1136</Words>
  <Characters>5681</Characters>
  <Application>Microsoft Office Word</Application>
  <DocSecurity>4</DocSecurity>
  <Lines>47</Lines>
  <Paragraphs>13</Paragraphs>
  <ScaleCrop>false</ScaleCrop>
  <HeadingPairs>
    <vt:vector size="2" baseType="variant">
      <vt:variant>
        <vt:lpstr>שם</vt:lpstr>
      </vt:variant>
      <vt:variant>
        <vt:i4>1</vt:i4>
      </vt:variant>
    </vt:vector>
  </HeadingPairs>
  <TitlesOfParts>
    <vt:vector size="1" baseType="lpstr">
      <vt:lpstr>מסכת שבת</vt:lpstr>
    </vt:vector>
  </TitlesOfParts>
  <Company>מצפה יריחו</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שבת</dc:title>
  <dc:subject/>
  <dc:creator>אוריאל פרנק</dc:creator>
  <cp:keywords/>
  <dc:description/>
  <cp:lastModifiedBy>אוריאל פרנק</cp:lastModifiedBy>
  <cp:revision>2</cp:revision>
  <dcterms:created xsi:type="dcterms:W3CDTF">2026-10-19T14:09:00Z</dcterms:created>
  <dcterms:modified xsi:type="dcterms:W3CDTF">2026-10-19T14:09:00Z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0x010100126BF58F1D3E534198274CAD27C9364B</vt:lpwstr>
  </property>
</Properties>
</file>