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CDBB" w14:textId="5C3981F4" w:rsidR="00A53323" w:rsidRPr="00A53323" w:rsidRDefault="00A53323" w:rsidP="00662CC6">
      <w:pPr>
        <w:rPr>
          <w:rFonts w:asciiTheme="majorBidi" w:hAnsiTheme="majorBidi" w:cstheme="majorBidi"/>
          <w:sz w:val="24"/>
          <w:szCs w:val="24"/>
          <w:rtl/>
        </w:rPr>
      </w:pPr>
      <w:bookmarkStart w:id="0" w:name="_Hlk96372164"/>
      <w:bookmarkEnd w:id="0"/>
      <w:r w:rsidRPr="00A53323">
        <w:rPr>
          <w:rFonts w:asciiTheme="majorBidi" w:hAnsiTheme="majorBidi" w:cstheme="majorBidi"/>
          <w:sz w:val="24"/>
          <w:szCs w:val="24"/>
          <w:rtl/>
        </w:rPr>
        <w:t>משנה מסכת חגיגה פרק ג משנה א</w:t>
      </w:r>
      <w:r w:rsidR="00662CC6">
        <w:rPr>
          <w:rFonts w:asciiTheme="majorBidi" w:hAnsiTheme="majorBidi" w:cstheme="majorBidi" w:hint="cs"/>
          <w:sz w:val="24"/>
          <w:szCs w:val="24"/>
          <w:rtl/>
        </w:rPr>
        <w:t xml:space="preserve">    </w:t>
      </w:r>
      <w:r w:rsidR="00662CC6" w:rsidRPr="00662CC6">
        <w:rPr>
          <w:rFonts w:asciiTheme="majorBidi" w:hAnsiTheme="majorBidi" w:cstheme="majorBidi" w:hint="cs"/>
          <w:sz w:val="20"/>
          <w:szCs w:val="20"/>
          <w:rtl/>
        </w:rPr>
        <w:t xml:space="preserve">לתגובות: </w:t>
      </w:r>
      <w:hyperlink r:id="rId8" w:history="1">
        <w:r w:rsidR="00662CC6" w:rsidRPr="00662CC6">
          <w:rPr>
            <w:rStyle w:val="Hyperlink"/>
            <w:rFonts w:asciiTheme="majorBidi" w:hAnsiTheme="majorBidi" w:cstheme="majorBidi"/>
            <w:sz w:val="20"/>
            <w:szCs w:val="20"/>
          </w:rPr>
          <w:t>shnufi@gmail.com</w:t>
        </w:r>
      </w:hyperlink>
      <w:r w:rsidR="00662CC6" w:rsidRPr="00662CC6">
        <w:rPr>
          <w:rFonts w:asciiTheme="majorBidi" w:hAnsiTheme="majorBidi" w:cstheme="majorBidi" w:hint="cs"/>
          <w:sz w:val="20"/>
          <w:szCs w:val="20"/>
          <w:rtl/>
        </w:rPr>
        <w:t xml:space="preserve"> יעקב פלג</w:t>
      </w:r>
    </w:p>
    <w:p w14:paraId="7145DC83" w14:textId="093C7284" w:rsidR="00A82CF4" w:rsidRDefault="00A53323" w:rsidP="0018035B">
      <w:pPr>
        <w:spacing w:after="0" w:line="360" w:lineRule="auto"/>
        <w:rPr>
          <w:rFonts w:asciiTheme="majorBidi" w:hAnsiTheme="majorBidi" w:cstheme="majorBidi"/>
          <w:sz w:val="24"/>
          <w:szCs w:val="24"/>
          <w:rtl/>
        </w:rPr>
      </w:pPr>
      <w:r w:rsidRPr="00A53323">
        <w:rPr>
          <w:rFonts w:asciiTheme="majorBidi" w:hAnsiTheme="majorBidi" w:cstheme="majorBidi"/>
          <w:sz w:val="24"/>
          <w:szCs w:val="24"/>
          <w:rtl/>
        </w:rPr>
        <w:t>חומר בקודש מבתרומה שמטבילין כלים בתוך כלים לתרומה אבל לא לקדש</w:t>
      </w:r>
      <w:r>
        <w:rPr>
          <w:rFonts w:asciiTheme="majorBidi" w:hAnsiTheme="majorBidi" w:cstheme="majorBidi" w:hint="cs"/>
          <w:sz w:val="24"/>
          <w:szCs w:val="24"/>
          <w:rtl/>
        </w:rPr>
        <w:t>...</w:t>
      </w:r>
      <w:r w:rsidRPr="00A53323">
        <w:rPr>
          <w:rFonts w:asciiTheme="majorBidi" w:hAnsiTheme="majorBidi" w:cstheme="majorBidi"/>
          <w:sz w:val="24"/>
          <w:szCs w:val="24"/>
          <w:rtl/>
        </w:rPr>
        <w:t>לא כמדת הקדש מדת התרומה שבקדש מתיר ומנגב ומטביל ואחר כך קושר</w:t>
      </w:r>
      <w:r w:rsidR="00AC263E">
        <w:rPr>
          <w:rFonts w:asciiTheme="majorBidi" w:hAnsiTheme="majorBidi" w:cstheme="majorBidi" w:hint="cs"/>
          <w:sz w:val="24"/>
          <w:szCs w:val="24"/>
          <w:rtl/>
        </w:rPr>
        <w:t>,</w:t>
      </w:r>
      <w:r w:rsidRPr="00A53323">
        <w:rPr>
          <w:rFonts w:asciiTheme="majorBidi" w:hAnsiTheme="majorBidi" w:cstheme="majorBidi"/>
          <w:sz w:val="24"/>
          <w:szCs w:val="24"/>
          <w:rtl/>
        </w:rPr>
        <w:t xml:space="preserve"> ובתרומה קושר ואחר כך מטביל</w:t>
      </w:r>
    </w:p>
    <w:p w14:paraId="0332D21A" w14:textId="1AFABD75" w:rsidR="00A53323" w:rsidRPr="00A53323" w:rsidRDefault="00A53323" w:rsidP="0018035B">
      <w:pPr>
        <w:spacing w:after="0" w:line="360" w:lineRule="auto"/>
        <w:rPr>
          <w:rFonts w:asciiTheme="majorBidi" w:hAnsiTheme="majorBidi" w:cstheme="majorBidi"/>
          <w:sz w:val="24"/>
          <w:szCs w:val="24"/>
          <w:rtl/>
        </w:rPr>
      </w:pPr>
      <w:r w:rsidRPr="00A53323">
        <w:rPr>
          <w:rFonts w:asciiTheme="majorBidi" w:hAnsiTheme="majorBidi" w:cs="Times New Roman"/>
          <w:sz w:val="24"/>
          <w:szCs w:val="24"/>
          <w:rtl/>
        </w:rPr>
        <w:t>מסכת חגיגה דף כא עמוד א</w:t>
      </w:r>
    </w:p>
    <w:p w14:paraId="6BF21D55" w14:textId="77777777" w:rsidR="00A53323" w:rsidRDefault="00A53323" w:rsidP="0018035B">
      <w:pPr>
        <w:spacing w:after="0" w:line="360" w:lineRule="auto"/>
        <w:rPr>
          <w:rFonts w:asciiTheme="majorBidi" w:hAnsiTheme="majorBidi" w:cs="Times New Roman"/>
          <w:sz w:val="24"/>
          <w:szCs w:val="24"/>
          <w:rtl/>
        </w:rPr>
      </w:pPr>
      <w:r w:rsidRPr="00A53323">
        <w:rPr>
          <w:rFonts w:asciiTheme="majorBidi" w:hAnsiTheme="majorBidi" w:cs="Times New Roman"/>
          <w:sz w:val="24"/>
          <w:szCs w:val="24"/>
          <w:rtl/>
        </w:rPr>
        <w:t>בקדש מאי טעמא לא? - אמר רבי אילא: מפני שכבידו של כלי חוצץ. - והא מדסיפא משום חציצה, רישא לאו משום חציצה, דקתני סיפא: ולא כמדת הקדש מדת התרומה, שבקדש מתיר ומנגיב ומטביל ואחר כך קושר, ובתרומה קושר ואחר כך מטביל! - רישא וסיפא משום חציצה, וצריכא: דאי אשמעינן רישא, הוה אמינא: היינו טעמא דלקדש לא, משום כבידו של כלי דאיכא, אבל סיפא, דליכא כבידו של כלי - אימא לקדש נמי לא הוי חציצה. ואי אשמעינן סיפא, הוה אמינא: היינו טעמא דלקדש לא, משום</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p>
    <w:p w14:paraId="43C86F88" w14:textId="497D4884" w:rsidR="00A53323" w:rsidRDefault="00A53323" w:rsidP="0018035B">
      <w:pPr>
        <w:spacing w:after="0" w:line="360" w:lineRule="auto"/>
        <w:rPr>
          <w:rFonts w:asciiTheme="majorBidi" w:hAnsiTheme="majorBidi" w:cstheme="majorBidi"/>
          <w:sz w:val="24"/>
          <w:szCs w:val="24"/>
          <w:rtl/>
        </w:rPr>
      </w:pPr>
      <w:r w:rsidRPr="00A53323">
        <w:rPr>
          <w:rFonts w:asciiTheme="majorBidi" w:hAnsiTheme="majorBidi" w:cs="Times New Roman"/>
          <w:sz w:val="24"/>
          <w:szCs w:val="24"/>
          <w:rtl/>
        </w:rPr>
        <w:t xml:space="preserve"> דף כא עמוד ב</w:t>
      </w:r>
      <w:r>
        <w:rPr>
          <w:rFonts w:asciiTheme="majorBidi" w:hAnsiTheme="majorBidi" w:cstheme="majorBidi" w:hint="cs"/>
          <w:sz w:val="24"/>
          <w:szCs w:val="24"/>
          <w:rtl/>
        </w:rPr>
        <w:t xml:space="preserve">     </w:t>
      </w:r>
      <w:r w:rsidRPr="00A53323">
        <w:rPr>
          <w:rFonts w:asciiTheme="majorBidi" w:hAnsiTheme="majorBidi" w:cs="Times New Roman"/>
          <w:sz w:val="24"/>
          <w:szCs w:val="24"/>
          <w:rtl/>
        </w:rPr>
        <w:t>דקיטרא במיא אהדוקי מיהדק. אבל רישא, דמיא אקפויי מקפו ליה למנא - לא הויא חציצה, צריכא. רבי אילא לטעמיה, דאמר רבי אילא אמר רבי חנינא בר פפא: עשר מעלות שנו כאן</w:t>
      </w:r>
      <w:r>
        <w:rPr>
          <w:rFonts w:asciiTheme="majorBidi" w:hAnsiTheme="majorBidi" w:cs="Times New Roman" w:hint="cs"/>
          <w:sz w:val="24"/>
          <w:szCs w:val="24"/>
          <w:rtl/>
        </w:rPr>
        <w:t>...</w:t>
      </w:r>
      <w:r w:rsidRPr="00A53323">
        <w:rPr>
          <w:rFonts w:asciiTheme="majorBidi" w:hAnsiTheme="majorBidi" w:cs="Times New Roman"/>
          <w:sz w:val="24"/>
          <w:szCs w:val="24"/>
          <w:rtl/>
        </w:rPr>
        <w:t xml:space="preserve"> רבא אמר: מדסיפא הוי משום חציצה - רישא לאו משום חציצה. ורישא היינו טעמא: גזירה שלא יטביל מחטין וצינורות בכלי שאין בפיו כשפופרת הנוד.</w:t>
      </w:r>
    </w:p>
    <w:p w14:paraId="6653DDA5" w14:textId="7923C0AE" w:rsidR="00A53323" w:rsidRDefault="00255A75" w:rsidP="0018035B">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 xml:space="preserve">בין </w:t>
      </w:r>
      <w:r w:rsidR="00A53323" w:rsidRPr="00A53323">
        <w:rPr>
          <w:rFonts w:asciiTheme="majorBidi" w:hAnsiTheme="majorBidi" w:cstheme="majorBidi" w:hint="cs"/>
          <w:b/>
          <w:bCs/>
          <w:sz w:val="28"/>
          <w:szCs w:val="28"/>
          <w:u w:val="single"/>
          <w:rtl/>
        </w:rPr>
        <w:t xml:space="preserve">קודש  </w:t>
      </w:r>
      <w:r>
        <w:rPr>
          <w:rFonts w:asciiTheme="majorBidi" w:hAnsiTheme="majorBidi" w:cstheme="majorBidi" w:hint="cs"/>
          <w:b/>
          <w:bCs/>
          <w:sz w:val="28"/>
          <w:szCs w:val="28"/>
          <w:u w:val="single"/>
          <w:rtl/>
        </w:rPr>
        <w:t xml:space="preserve">לבין </w:t>
      </w:r>
      <w:r w:rsidR="00A53323" w:rsidRPr="00A53323">
        <w:rPr>
          <w:rFonts w:asciiTheme="majorBidi" w:hAnsiTheme="majorBidi" w:cstheme="majorBidi" w:hint="cs"/>
          <w:b/>
          <w:bCs/>
          <w:sz w:val="28"/>
          <w:szCs w:val="28"/>
          <w:u w:val="single"/>
          <w:rtl/>
        </w:rPr>
        <w:t>תרומה</w:t>
      </w:r>
    </w:p>
    <w:p w14:paraId="00F05095" w14:textId="12A14D09" w:rsidR="00FD74B9" w:rsidRPr="00FD74B9" w:rsidRDefault="00FD74B9" w:rsidP="00FD74B9">
      <w:pPr>
        <w:pStyle w:val="aa"/>
        <w:numPr>
          <w:ilvl w:val="0"/>
          <w:numId w:val="1"/>
        </w:numPr>
        <w:spacing w:after="0" w:line="360" w:lineRule="auto"/>
        <w:rPr>
          <w:rFonts w:asciiTheme="majorBidi" w:hAnsiTheme="majorBidi" w:cstheme="majorBidi"/>
          <w:b/>
          <w:bCs/>
          <w:sz w:val="24"/>
          <w:szCs w:val="24"/>
          <w:rtl/>
        </w:rPr>
      </w:pPr>
      <w:r w:rsidRPr="00FD74B9">
        <w:rPr>
          <w:rFonts w:asciiTheme="majorBidi" w:hAnsiTheme="majorBidi" w:cstheme="majorBidi" w:hint="cs"/>
          <w:b/>
          <w:bCs/>
          <w:sz w:val="24"/>
          <w:szCs w:val="24"/>
          <w:rtl/>
        </w:rPr>
        <w:t>מחלוקת האמוראים בכלי בתוך כלי</w:t>
      </w:r>
    </w:p>
    <w:p w14:paraId="4914FE7A" w14:textId="569D740A" w:rsidR="00C36404" w:rsidRDefault="00A53323" w:rsidP="00AC263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הגמרא משווה שתי הלכות במשנה בהן קודש חמור מתרומה. ברישא שנינו של</w:t>
      </w:r>
      <w:r w:rsidR="0031630A">
        <w:rPr>
          <w:rFonts w:asciiTheme="majorBidi" w:hAnsiTheme="majorBidi" w:cstheme="majorBidi" w:hint="cs"/>
          <w:sz w:val="24"/>
          <w:szCs w:val="24"/>
          <w:rtl/>
        </w:rPr>
        <w:t>תרומה</w:t>
      </w:r>
      <w:r>
        <w:rPr>
          <w:rFonts w:asciiTheme="majorBidi" w:hAnsiTheme="majorBidi" w:cstheme="majorBidi" w:hint="cs"/>
          <w:sz w:val="24"/>
          <w:szCs w:val="24"/>
          <w:rtl/>
        </w:rPr>
        <w:t xml:space="preserve"> מטבילים כלי בתוך כלי</w:t>
      </w:r>
      <w:r w:rsidR="00AC263E">
        <w:rPr>
          <w:rFonts w:asciiTheme="majorBidi" w:hAnsiTheme="majorBidi" w:cstheme="majorBidi" w:hint="cs"/>
          <w:sz w:val="24"/>
          <w:szCs w:val="24"/>
          <w:rtl/>
        </w:rPr>
        <w:t>,</w:t>
      </w:r>
      <w:r>
        <w:rPr>
          <w:rFonts w:asciiTheme="majorBidi" w:hAnsiTheme="majorBidi" w:cstheme="majorBidi" w:hint="cs"/>
          <w:sz w:val="24"/>
          <w:szCs w:val="24"/>
          <w:rtl/>
        </w:rPr>
        <w:t xml:space="preserve"> אבל לא לקודש. בסיפא שנינו שבהטבלת בגד טמא, ל</w:t>
      </w:r>
      <w:r w:rsidR="0031630A">
        <w:rPr>
          <w:rFonts w:asciiTheme="majorBidi" w:hAnsiTheme="majorBidi" w:cstheme="majorBidi" w:hint="cs"/>
          <w:sz w:val="24"/>
          <w:szCs w:val="24"/>
          <w:rtl/>
        </w:rPr>
        <w:t>קודש</w:t>
      </w:r>
      <w:r>
        <w:rPr>
          <w:rFonts w:asciiTheme="majorBidi" w:hAnsiTheme="majorBidi" w:cstheme="majorBidi" w:hint="cs"/>
          <w:sz w:val="24"/>
          <w:szCs w:val="24"/>
          <w:rtl/>
        </w:rPr>
        <w:t xml:space="preserve"> יש לפתוח תחילה את קשריו ולנגב אותו, ול</w:t>
      </w:r>
      <w:r w:rsidR="0031630A">
        <w:rPr>
          <w:rFonts w:asciiTheme="majorBidi" w:hAnsiTheme="majorBidi" w:cstheme="majorBidi" w:hint="cs"/>
          <w:sz w:val="24"/>
          <w:szCs w:val="24"/>
          <w:rtl/>
        </w:rPr>
        <w:t>תרומה</w:t>
      </w:r>
      <w:r>
        <w:rPr>
          <w:rFonts w:asciiTheme="majorBidi" w:hAnsiTheme="majorBidi" w:cstheme="majorBidi" w:hint="cs"/>
          <w:sz w:val="24"/>
          <w:szCs w:val="24"/>
          <w:rtl/>
        </w:rPr>
        <w:t xml:space="preserve"> לא. רבי אילא מסביר ששתי ההלכות יסודן </w:t>
      </w:r>
      <w:r w:rsidR="00AC263E">
        <w:rPr>
          <w:rFonts w:asciiTheme="majorBidi" w:hAnsiTheme="majorBidi" w:cstheme="majorBidi" w:hint="cs"/>
          <w:sz w:val="24"/>
          <w:szCs w:val="24"/>
          <w:rtl/>
        </w:rPr>
        <w:t>ב</w:t>
      </w:r>
      <w:r>
        <w:rPr>
          <w:rFonts w:asciiTheme="majorBidi" w:hAnsiTheme="majorBidi" w:cstheme="majorBidi" w:hint="cs"/>
          <w:sz w:val="24"/>
          <w:szCs w:val="24"/>
          <w:rtl/>
        </w:rPr>
        <w:t>בעיה של חציצה.</w:t>
      </w:r>
      <w:r w:rsidR="002323A0">
        <w:rPr>
          <w:rFonts w:asciiTheme="majorBidi" w:hAnsiTheme="majorBidi" w:cstheme="majorBidi" w:hint="cs"/>
          <w:sz w:val="24"/>
          <w:szCs w:val="24"/>
          <w:rtl/>
        </w:rPr>
        <w:t xml:space="preserve"> </w:t>
      </w:r>
      <w:r w:rsidR="009B2F36">
        <w:rPr>
          <w:rFonts w:asciiTheme="majorBidi" w:hAnsiTheme="majorBidi" w:cstheme="majorBidi" w:hint="cs"/>
          <w:sz w:val="24"/>
          <w:szCs w:val="24"/>
          <w:rtl/>
        </w:rPr>
        <w:t>ב</w:t>
      </w:r>
      <w:r w:rsidR="00FD74B9">
        <w:rPr>
          <w:rFonts w:asciiTheme="majorBidi" w:hAnsiTheme="majorBidi" w:cstheme="majorBidi" w:hint="cs"/>
          <w:sz w:val="24"/>
          <w:szCs w:val="24"/>
          <w:rtl/>
        </w:rPr>
        <w:t>ר</w:t>
      </w:r>
      <w:r w:rsidR="009B2F36">
        <w:rPr>
          <w:rFonts w:asciiTheme="majorBidi" w:hAnsiTheme="majorBidi" w:cstheme="majorBidi" w:hint="cs"/>
          <w:sz w:val="24"/>
          <w:szCs w:val="24"/>
          <w:rtl/>
        </w:rPr>
        <w:t xml:space="preserve">ישא </w:t>
      </w:r>
      <w:r w:rsidR="00FD74B9">
        <w:rPr>
          <w:rFonts w:asciiTheme="majorBidi" w:hAnsiTheme="majorBidi" w:cstheme="majorBidi" w:hint="cs"/>
          <w:sz w:val="24"/>
          <w:szCs w:val="24"/>
          <w:rtl/>
        </w:rPr>
        <w:t>ההסבר הוא</w:t>
      </w:r>
      <w:r w:rsidR="009B2F36">
        <w:rPr>
          <w:rFonts w:asciiTheme="majorBidi" w:hAnsiTheme="majorBidi" w:cstheme="majorBidi" w:hint="cs"/>
          <w:sz w:val="24"/>
          <w:szCs w:val="24"/>
          <w:rtl/>
        </w:rPr>
        <w:t xml:space="preserve"> ש</w:t>
      </w:r>
      <w:r w:rsidR="002323A0">
        <w:rPr>
          <w:rFonts w:asciiTheme="majorBidi" w:hAnsiTheme="majorBidi" w:cstheme="majorBidi" w:hint="cs"/>
          <w:sz w:val="24"/>
          <w:szCs w:val="24"/>
          <w:rtl/>
        </w:rPr>
        <w:t>כשכלי מצוי בתוך כלי, משקלו של החיצון מכביד על הפנימי ויוצר חציצה</w:t>
      </w:r>
      <w:r w:rsidR="00FD74B9">
        <w:rPr>
          <w:rFonts w:asciiTheme="majorBidi" w:hAnsiTheme="majorBidi" w:cstheme="majorBidi" w:hint="cs"/>
          <w:sz w:val="24"/>
          <w:szCs w:val="24"/>
          <w:rtl/>
        </w:rPr>
        <w:t xml:space="preserve">. </w:t>
      </w:r>
      <w:r w:rsidR="00255A75">
        <w:rPr>
          <w:rFonts w:asciiTheme="majorBidi" w:hAnsiTheme="majorBidi" w:cstheme="majorBidi" w:hint="cs"/>
          <w:sz w:val="24"/>
          <w:szCs w:val="24"/>
          <w:rtl/>
        </w:rPr>
        <w:t xml:space="preserve"> </w:t>
      </w:r>
      <w:r w:rsidR="00AC263E">
        <w:rPr>
          <w:rFonts w:asciiTheme="majorBidi" w:hAnsiTheme="majorBidi" w:cstheme="majorBidi" w:hint="cs"/>
          <w:sz w:val="24"/>
          <w:szCs w:val="24"/>
          <w:rtl/>
        </w:rPr>
        <w:t xml:space="preserve">  </w:t>
      </w:r>
      <w:r w:rsidR="00255A75">
        <w:rPr>
          <w:rFonts w:asciiTheme="majorBidi" w:hAnsiTheme="majorBidi" w:cstheme="majorBidi" w:hint="cs"/>
          <w:sz w:val="24"/>
          <w:szCs w:val="24"/>
          <w:rtl/>
        </w:rPr>
        <w:t xml:space="preserve">אולם דעת רבא היא שמאחר שהסבר ההלכה בסיפא הוא משום חציצה, קשה להסביר כך </w:t>
      </w:r>
      <w:r w:rsidR="00AC263E">
        <w:rPr>
          <w:rFonts w:asciiTheme="majorBidi" w:hAnsiTheme="majorBidi" w:cstheme="majorBidi" w:hint="cs"/>
          <w:sz w:val="24"/>
          <w:szCs w:val="24"/>
          <w:rtl/>
        </w:rPr>
        <w:t xml:space="preserve">גם </w:t>
      </w:r>
      <w:r w:rsidR="00255A75">
        <w:rPr>
          <w:rFonts w:asciiTheme="majorBidi" w:hAnsiTheme="majorBidi" w:cstheme="majorBidi" w:hint="cs"/>
          <w:sz w:val="24"/>
          <w:szCs w:val="24"/>
          <w:rtl/>
        </w:rPr>
        <w:t xml:space="preserve">את הרישא. לדעתו </w:t>
      </w:r>
      <w:r w:rsidR="00174B11">
        <w:rPr>
          <w:rFonts w:asciiTheme="majorBidi" w:hAnsiTheme="majorBidi" w:cstheme="majorBidi" w:hint="cs"/>
          <w:sz w:val="24"/>
          <w:szCs w:val="24"/>
          <w:rtl/>
        </w:rPr>
        <w:t>איסור הטבלת כלי בתוך כלי, הוא מחשש שיטבילו מחטים וצינורות בתוך כלי, שפתחו צר יותר משפופרת הנאד, כך שאין חיבור למקווה.</w:t>
      </w:r>
      <w:r w:rsidR="00AC263E">
        <w:rPr>
          <w:rFonts w:asciiTheme="majorBidi" w:hAnsiTheme="majorBidi" w:cstheme="majorBidi" w:hint="cs"/>
          <w:sz w:val="24"/>
          <w:szCs w:val="24"/>
          <w:rtl/>
        </w:rPr>
        <w:t xml:space="preserve">  </w:t>
      </w:r>
      <w:r w:rsidR="00174B11">
        <w:rPr>
          <w:rFonts w:asciiTheme="majorBidi" w:hAnsiTheme="majorBidi" w:cstheme="majorBidi" w:hint="cs"/>
          <w:sz w:val="24"/>
          <w:szCs w:val="24"/>
          <w:rtl/>
        </w:rPr>
        <w:t>הגמרא מזהה את דעת רבא עם תנא קמא</w:t>
      </w:r>
      <w:r w:rsidR="00C36404">
        <w:rPr>
          <w:rFonts w:asciiTheme="majorBidi" w:hAnsiTheme="majorBidi" w:cstheme="majorBidi" w:hint="cs"/>
          <w:sz w:val="24"/>
          <w:szCs w:val="24"/>
          <w:rtl/>
        </w:rPr>
        <w:t xml:space="preserve"> בת</w:t>
      </w:r>
      <w:r w:rsidR="00AC263E">
        <w:rPr>
          <w:rFonts w:asciiTheme="majorBidi" w:hAnsiTheme="majorBidi" w:cstheme="majorBidi" w:hint="cs"/>
          <w:sz w:val="24"/>
          <w:szCs w:val="24"/>
          <w:rtl/>
        </w:rPr>
        <w:t>ו</w:t>
      </w:r>
      <w:r w:rsidR="00C36404">
        <w:rPr>
          <w:rFonts w:asciiTheme="majorBidi" w:hAnsiTheme="majorBidi" w:cstheme="majorBidi" w:hint="cs"/>
          <w:sz w:val="24"/>
          <w:szCs w:val="24"/>
          <w:rtl/>
        </w:rPr>
        <w:t>ספתא</w:t>
      </w:r>
      <w:r w:rsidR="00F93D31">
        <w:rPr>
          <w:rFonts w:asciiTheme="majorBidi" w:hAnsiTheme="majorBidi" w:cstheme="majorBidi" w:hint="cs"/>
          <w:sz w:val="24"/>
          <w:szCs w:val="24"/>
          <w:rtl/>
        </w:rPr>
        <w:t xml:space="preserve">, </w:t>
      </w:r>
      <w:r w:rsidR="0001716A">
        <w:rPr>
          <w:rFonts w:asciiTheme="majorBidi" w:hAnsiTheme="majorBidi" w:cstheme="majorBidi" w:hint="cs"/>
          <w:sz w:val="24"/>
          <w:szCs w:val="24"/>
          <w:rtl/>
        </w:rPr>
        <w:t xml:space="preserve">ואת דעת </w:t>
      </w:r>
      <w:r w:rsidR="00C36404">
        <w:rPr>
          <w:rFonts w:asciiTheme="majorBidi" w:hAnsiTheme="majorBidi" w:cstheme="majorBidi" w:hint="cs"/>
          <w:sz w:val="24"/>
          <w:szCs w:val="24"/>
          <w:rtl/>
        </w:rPr>
        <w:t>רבי אילא עם אבא שאול.</w:t>
      </w:r>
    </w:p>
    <w:p w14:paraId="63E112FF" w14:textId="48C3A9F1" w:rsidR="00A53574" w:rsidRDefault="00A53574" w:rsidP="0018035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הגמרא שואלת מדוע שיהיה הבדל בין </w:t>
      </w:r>
      <w:r w:rsidR="0031630A">
        <w:rPr>
          <w:rFonts w:asciiTheme="majorBidi" w:hAnsiTheme="majorBidi" w:cstheme="majorBidi" w:hint="cs"/>
          <w:sz w:val="24"/>
          <w:szCs w:val="24"/>
          <w:rtl/>
        </w:rPr>
        <w:t>תרומה</w:t>
      </w:r>
      <w:r>
        <w:rPr>
          <w:rFonts w:asciiTheme="majorBidi" w:hAnsiTheme="majorBidi" w:cstheme="majorBidi" w:hint="cs"/>
          <w:sz w:val="24"/>
          <w:szCs w:val="24"/>
          <w:rtl/>
        </w:rPr>
        <w:t xml:space="preserve"> ל</w:t>
      </w:r>
      <w:r w:rsidR="0031630A">
        <w:rPr>
          <w:rFonts w:asciiTheme="majorBidi" w:hAnsiTheme="majorBidi" w:cstheme="majorBidi" w:hint="cs"/>
          <w:sz w:val="24"/>
          <w:szCs w:val="24"/>
          <w:rtl/>
        </w:rPr>
        <w:t>קודש</w:t>
      </w:r>
      <w:r>
        <w:rPr>
          <w:rFonts w:asciiTheme="majorBidi" w:hAnsiTheme="majorBidi" w:cstheme="majorBidi" w:hint="cs"/>
          <w:sz w:val="24"/>
          <w:szCs w:val="24"/>
          <w:rtl/>
        </w:rPr>
        <w:t>:</w:t>
      </w:r>
    </w:p>
    <w:p w14:paraId="19069E37" w14:textId="58E4C013" w:rsidR="00A53574" w:rsidRDefault="0018035B" w:rsidP="0018035B">
      <w:pPr>
        <w:spacing w:after="0" w:line="360" w:lineRule="auto"/>
        <w:rPr>
          <w:rFonts w:ascii="David" w:hAnsi="David" w:cs="David"/>
          <w:sz w:val="24"/>
          <w:szCs w:val="24"/>
          <w:rtl/>
        </w:rPr>
      </w:pPr>
      <w:r>
        <w:rPr>
          <w:rFonts w:ascii="David" w:hAnsi="David" w:cs="David" w:hint="cs"/>
          <w:sz w:val="24"/>
          <w:szCs w:val="24"/>
          <w:rtl/>
        </w:rPr>
        <w:t>"</w:t>
      </w:r>
      <w:r w:rsidR="00A53574" w:rsidRPr="009B2F36">
        <w:rPr>
          <w:rFonts w:ascii="David" w:hAnsi="David" w:cs="David"/>
          <w:sz w:val="24"/>
          <w:szCs w:val="24"/>
          <w:rtl/>
        </w:rPr>
        <w:t>אי הכי תרומה נמי, - למאן קאמרינן - חברים, חברים מידע ידעי! - אי הכי קודש נמי, חזי ליה עם הארץ ואזיל מטביל, תרומה נמי חזי ליה עם הארץ ואזיל מטביל! - לא מקבלינן מינייהו. - קודש נמי לא נקביל מינייהו! - הויא ליה איבה. - תרומה נמי הויא ליה איבה! - לא איכפת ליה. דאזיל יהיב ליה לכהן עם הארץ חבריה. ומאן תנא דחייש לאיבה - רבי יוסי היא</w:t>
      </w:r>
      <w:r>
        <w:rPr>
          <w:rStyle w:val="a5"/>
          <w:rFonts w:ascii="David" w:hAnsi="David" w:cs="David"/>
          <w:sz w:val="24"/>
          <w:szCs w:val="24"/>
          <w:rtl/>
        </w:rPr>
        <w:footnoteReference w:id="1"/>
      </w:r>
      <w:r>
        <w:rPr>
          <w:rFonts w:ascii="David" w:hAnsi="David" w:cs="David" w:hint="cs"/>
          <w:sz w:val="24"/>
          <w:szCs w:val="24"/>
          <w:rtl/>
        </w:rPr>
        <w:t>".</w:t>
      </w:r>
    </w:p>
    <w:p w14:paraId="7F2F647A" w14:textId="05B40C30" w:rsidR="00E370AF" w:rsidRDefault="00A53574" w:rsidP="00B9100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כלומר: אנו סומכים על חברים. מי שיודע את המשנה </w:t>
      </w:r>
      <w:r>
        <w:rPr>
          <w:rFonts w:asciiTheme="majorBidi" w:hAnsiTheme="majorBidi" w:cstheme="majorBidi"/>
          <w:sz w:val="24"/>
          <w:szCs w:val="24"/>
          <w:rtl/>
        </w:rPr>
        <w:t>–</w:t>
      </w:r>
      <w:r>
        <w:rPr>
          <w:rFonts w:asciiTheme="majorBidi" w:hAnsiTheme="majorBidi" w:cstheme="majorBidi" w:hint="cs"/>
          <w:sz w:val="24"/>
          <w:szCs w:val="24"/>
          <w:rtl/>
        </w:rPr>
        <w:t xml:space="preserve"> ידע גם להזהר שלא יצמד כלי לכלי ותיווצר חציצה. החשש הוא שעם הארץ יראה חבר מטביל כלי בתוך כלי, ויעשה כמותו ללא אבחנה. ב</w:t>
      </w:r>
      <w:r w:rsidR="0031630A">
        <w:rPr>
          <w:rFonts w:asciiTheme="majorBidi" w:hAnsiTheme="majorBidi" w:cstheme="majorBidi" w:hint="cs"/>
          <w:sz w:val="24"/>
          <w:szCs w:val="24"/>
          <w:rtl/>
        </w:rPr>
        <w:t>תרומה</w:t>
      </w:r>
      <w:r>
        <w:rPr>
          <w:rFonts w:asciiTheme="majorBidi" w:hAnsiTheme="majorBidi" w:cstheme="majorBidi" w:hint="cs"/>
          <w:sz w:val="24"/>
          <w:szCs w:val="24"/>
          <w:rtl/>
        </w:rPr>
        <w:t xml:space="preserve"> אין לחשוש, כי לא מקבלים תרומה מעם הארץ, (אלא בזמנים מיוחדים). עם הארץ לא ייפגע, כי יתן את ה</w:t>
      </w:r>
      <w:r w:rsidR="0031630A">
        <w:rPr>
          <w:rFonts w:asciiTheme="majorBidi" w:hAnsiTheme="majorBidi" w:cstheme="majorBidi" w:hint="cs"/>
          <w:sz w:val="24"/>
          <w:szCs w:val="24"/>
          <w:rtl/>
        </w:rPr>
        <w:t>תרומה</w:t>
      </w:r>
      <w:r>
        <w:rPr>
          <w:rFonts w:asciiTheme="majorBidi" w:hAnsiTheme="majorBidi" w:cstheme="majorBidi" w:hint="cs"/>
          <w:sz w:val="24"/>
          <w:szCs w:val="24"/>
          <w:rtl/>
        </w:rPr>
        <w:t xml:space="preserve"> לעם הארץ כהן. ב</w:t>
      </w:r>
      <w:r w:rsidR="0031630A">
        <w:rPr>
          <w:rFonts w:asciiTheme="majorBidi" w:hAnsiTheme="majorBidi" w:cstheme="majorBidi" w:hint="cs"/>
          <w:sz w:val="24"/>
          <w:szCs w:val="24"/>
          <w:rtl/>
        </w:rPr>
        <w:t>קודש</w:t>
      </w:r>
      <w:r>
        <w:rPr>
          <w:rFonts w:asciiTheme="majorBidi" w:hAnsiTheme="majorBidi" w:cstheme="majorBidi" w:hint="cs"/>
          <w:sz w:val="24"/>
          <w:szCs w:val="24"/>
          <w:rtl/>
        </w:rPr>
        <w:t xml:space="preserve"> גוזרים, כדי שעם הארץ יטביל כשורה. על כרחנו נקבל </w:t>
      </w:r>
      <w:r w:rsidR="0031630A">
        <w:rPr>
          <w:rFonts w:asciiTheme="majorBidi" w:hAnsiTheme="majorBidi" w:cstheme="majorBidi" w:hint="cs"/>
          <w:sz w:val="24"/>
          <w:szCs w:val="24"/>
          <w:rtl/>
        </w:rPr>
        <w:t>קודש</w:t>
      </w:r>
      <w:r>
        <w:rPr>
          <w:rFonts w:asciiTheme="majorBidi" w:hAnsiTheme="majorBidi" w:cstheme="majorBidi" w:hint="cs"/>
          <w:sz w:val="24"/>
          <w:szCs w:val="24"/>
          <w:rtl/>
        </w:rPr>
        <w:t xml:space="preserve"> מידו, כדי לא ליצור איבה.</w:t>
      </w:r>
      <w:r w:rsidR="00B91008">
        <w:rPr>
          <w:rFonts w:asciiTheme="majorBidi" w:hAnsiTheme="majorBidi" w:cstheme="majorBidi" w:hint="cs"/>
          <w:sz w:val="24"/>
          <w:szCs w:val="24"/>
          <w:rtl/>
        </w:rPr>
        <w:t xml:space="preserve"> </w:t>
      </w:r>
      <w:r>
        <w:rPr>
          <w:rFonts w:asciiTheme="majorBidi" w:hAnsiTheme="majorBidi" w:cstheme="majorBidi" w:hint="cs"/>
          <w:sz w:val="24"/>
          <w:szCs w:val="24"/>
          <w:rtl/>
        </w:rPr>
        <w:t>לדעת רש"י</w:t>
      </w:r>
      <w:r w:rsidR="00F71938">
        <w:rPr>
          <w:rStyle w:val="a5"/>
          <w:rFonts w:asciiTheme="majorBidi" w:hAnsiTheme="majorBidi" w:cstheme="majorBidi"/>
          <w:sz w:val="24"/>
          <w:szCs w:val="24"/>
          <w:rtl/>
        </w:rPr>
        <w:footnoteReference w:id="2"/>
      </w:r>
      <w:r>
        <w:rPr>
          <w:rFonts w:asciiTheme="majorBidi" w:hAnsiTheme="majorBidi" w:cstheme="majorBidi" w:hint="cs"/>
          <w:sz w:val="24"/>
          <w:szCs w:val="24"/>
          <w:rtl/>
        </w:rPr>
        <w:t xml:space="preserve"> דיון זה תקף הן לרבי אילא הן לרבא. </w:t>
      </w:r>
      <w:r w:rsidR="00A2217B">
        <w:rPr>
          <w:rFonts w:asciiTheme="majorBidi" w:hAnsiTheme="majorBidi" w:cstheme="majorBidi" w:hint="cs"/>
          <w:sz w:val="24"/>
          <w:szCs w:val="24"/>
          <w:rtl/>
        </w:rPr>
        <w:t xml:space="preserve">לעומת זאת המאירי </w:t>
      </w:r>
      <w:r w:rsidR="00F71938">
        <w:rPr>
          <w:rFonts w:asciiTheme="majorBidi" w:hAnsiTheme="majorBidi" w:cstheme="majorBidi" w:hint="cs"/>
          <w:sz w:val="24"/>
          <w:szCs w:val="24"/>
          <w:rtl/>
        </w:rPr>
        <w:t>הסביר</w:t>
      </w:r>
      <w:r w:rsidR="00A2217B">
        <w:rPr>
          <w:rFonts w:asciiTheme="majorBidi" w:hAnsiTheme="majorBidi" w:cstheme="majorBidi" w:hint="cs"/>
          <w:sz w:val="24"/>
          <w:szCs w:val="24"/>
          <w:rtl/>
        </w:rPr>
        <w:t xml:space="preserve">: </w:t>
      </w:r>
      <w:r w:rsidR="00A2217B" w:rsidRPr="00F71938">
        <w:rPr>
          <w:rFonts w:ascii="David" w:hAnsi="David" w:cs="David"/>
          <w:sz w:val="24"/>
          <w:szCs w:val="24"/>
          <w:rtl/>
        </w:rPr>
        <w:t>"שמא תאמר</w:t>
      </w:r>
      <w:r w:rsidR="00F71938">
        <w:rPr>
          <w:rFonts w:ascii="David" w:hAnsi="David" w:cs="David" w:hint="cs"/>
          <w:sz w:val="24"/>
          <w:szCs w:val="24"/>
          <w:rtl/>
        </w:rPr>
        <w:t>:</w:t>
      </w:r>
      <w:r w:rsidR="00A2217B" w:rsidRPr="00F71938">
        <w:rPr>
          <w:rFonts w:ascii="David" w:hAnsi="David" w:cs="David"/>
          <w:sz w:val="24"/>
          <w:szCs w:val="24"/>
          <w:rtl/>
        </w:rPr>
        <w:t xml:space="preserve"> אחר שטעם מעלה ראשונה הוא מגזרת שמא יטביל כלי בתוך כלי שאין בפיו כשפופרת הנאד</w:t>
      </w:r>
      <w:r w:rsidR="00F71938">
        <w:rPr>
          <w:rFonts w:ascii="David" w:hAnsi="David" w:cs="David" w:hint="cs"/>
          <w:sz w:val="24"/>
          <w:szCs w:val="24"/>
          <w:rtl/>
        </w:rPr>
        <w:t>,</w:t>
      </w:r>
      <w:r w:rsidR="00A2217B" w:rsidRPr="00F71938">
        <w:rPr>
          <w:rFonts w:ascii="David" w:hAnsi="David" w:cs="David"/>
          <w:sz w:val="24"/>
          <w:szCs w:val="24"/>
          <w:rtl/>
        </w:rPr>
        <w:t xml:space="preserve"> וטבילה בכלי שאין בפיו וכו' אינה טבילה אף לתרומה</w:t>
      </w:r>
      <w:r w:rsidR="00F71938">
        <w:rPr>
          <w:rFonts w:ascii="David" w:hAnsi="David" w:cs="David" w:hint="cs"/>
          <w:sz w:val="24"/>
          <w:szCs w:val="24"/>
          <w:rtl/>
        </w:rPr>
        <w:t>-</w:t>
      </w:r>
      <w:r w:rsidR="00A2217B" w:rsidRPr="00F71938">
        <w:rPr>
          <w:rFonts w:ascii="David" w:hAnsi="David" w:cs="David"/>
          <w:sz w:val="24"/>
          <w:szCs w:val="24"/>
          <w:rtl/>
        </w:rPr>
        <w:t xml:space="preserve"> מפני מה לא נגזרה גזרה זו אף לתרומה</w:t>
      </w:r>
      <w:r w:rsidR="00F71938">
        <w:rPr>
          <w:rFonts w:ascii="David" w:hAnsi="David" w:cs="David" w:hint="cs"/>
          <w:sz w:val="24"/>
          <w:szCs w:val="24"/>
          <w:rtl/>
        </w:rPr>
        <w:t>?</w:t>
      </w:r>
      <w:r w:rsidR="00A2217B" w:rsidRPr="00F71938">
        <w:rPr>
          <w:rFonts w:ascii="David" w:hAnsi="David" w:cs="David"/>
          <w:sz w:val="24"/>
          <w:szCs w:val="24"/>
          <w:rtl/>
        </w:rPr>
        <w:t>".</w:t>
      </w:r>
      <w:r w:rsidR="00F71938">
        <w:rPr>
          <w:rFonts w:ascii="David" w:hAnsi="David" w:cs="David" w:hint="cs"/>
          <w:sz w:val="24"/>
          <w:szCs w:val="24"/>
          <w:rtl/>
        </w:rPr>
        <w:t xml:space="preserve"> </w:t>
      </w:r>
      <w:r w:rsidR="0018035B">
        <w:rPr>
          <w:rFonts w:ascii="David" w:hAnsi="David" w:cs="David" w:hint="cs"/>
          <w:sz w:val="24"/>
          <w:szCs w:val="24"/>
          <w:rtl/>
        </w:rPr>
        <w:t xml:space="preserve"> </w:t>
      </w:r>
      <w:r w:rsidR="0018035B">
        <w:rPr>
          <w:rFonts w:asciiTheme="majorBidi" w:hAnsiTheme="majorBidi" w:cstheme="majorBidi" w:hint="cs"/>
          <w:sz w:val="24"/>
          <w:szCs w:val="24"/>
          <w:rtl/>
        </w:rPr>
        <w:lastRenderedPageBreak/>
        <w:t xml:space="preserve">לדעתו </w:t>
      </w:r>
      <w:r w:rsidR="00AC263E">
        <w:rPr>
          <w:rFonts w:asciiTheme="majorBidi" w:hAnsiTheme="majorBidi" w:cstheme="majorBidi" w:hint="cs"/>
          <w:sz w:val="24"/>
          <w:szCs w:val="24"/>
          <w:rtl/>
        </w:rPr>
        <w:t xml:space="preserve">השאלה היא רק לפי רבא. </w:t>
      </w:r>
      <w:r w:rsidR="0018035B">
        <w:rPr>
          <w:rFonts w:asciiTheme="majorBidi" w:hAnsiTheme="majorBidi" w:cstheme="majorBidi" w:hint="cs"/>
          <w:sz w:val="24"/>
          <w:szCs w:val="24"/>
          <w:rtl/>
        </w:rPr>
        <w:t>לרבי אילא ניחא, ש"</w:t>
      </w:r>
      <w:r w:rsidR="0018035B" w:rsidRPr="0018035B">
        <w:rPr>
          <w:rFonts w:ascii="David" w:hAnsi="David" w:cs="David"/>
          <w:sz w:val="24"/>
          <w:szCs w:val="24"/>
          <w:rtl/>
        </w:rPr>
        <w:t>לתרומה</w:t>
      </w:r>
      <w:r w:rsidR="00AC263E">
        <w:rPr>
          <w:rFonts w:ascii="David" w:hAnsi="David" w:cs="David" w:hint="cs"/>
          <w:sz w:val="24"/>
          <w:szCs w:val="24"/>
          <w:rtl/>
        </w:rPr>
        <w:t>,</w:t>
      </w:r>
      <w:r w:rsidR="0018035B" w:rsidRPr="0018035B">
        <w:rPr>
          <w:rFonts w:ascii="David" w:hAnsi="David" w:cs="David"/>
          <w:sz w:val="24"/>
          <w:szCs w:val="24"/>
          <w:rtl/>
        </w:rPr>
        <w:t xml:space="preserve"> אף על פי שחציצה פוסלת בה</w:t>
      </w:r>
      <w:r w:rsidR="0018035B">
        <w:rPr>
          <w:rFonts w:ascii="David" w:hAnsi="David" w:cs="David" w:hint="cs"/>
          <w:sz w:val="24"/>
          <w:szCs w:val="24"/>
          <w:rtl/>
        </w:rPr>
        <w:t>,</w:t>
      </w:r>
      <w:r w:rsidR="0018035B" w:rsidRPr="0018035B">
        <w:rPr>
          <w:rFonts w:ascii="David" w:hAnsi="David" w:cs="David"/>
          <w:sz w:val="24"/>
          <w:szCs w:val="24"/>
          <w:rtl/>
        </w:rPr>
        <w:t xml:space="preserve"> אבק חציצה כזו אינה פוסלת</w:t>
      </w:r>
      <w:r w:rsidR="0018035B">
        <w:rPr>
          <w:rFonts w:ascii="David" w:hAnsi="David" w:cs="David" w:hint="cs"/>
          <w:sz w:val="24"/>
          <w:szCs w:val="24"/>
          <w:rtl/>
        </w:rPr>
        <w:t>,</w:t>
      </w:r>
      <w:r w:rsidR="0018035B" w:rsidRPr="0018035B">
        <w:rPr>
          <w:rFonts w:ascii="David" w:hAnsi="David" w:cs="David"/>
          <w:sz w:val="24"/>
          <w:szCs w:val="24"/>
          <w:rtl/>
        </w:rPr>
        <w:t xml:space="preserve"> שהרי מ"מ נכנסות הם על צד הדחק</w:t>
      </w:r>
      <w:r w:rsidR="0018035B">
        <w:rPr>
          <w:rStyle w:val="a5"/>
          <w:rFonts w:ascii="David" w:hAnsi="David" w:cs="David"/>
          <w:sz w:val="24"/>
          <w:szCs w:val="24"/>
          <w:rtl/>
        </w:rPr>
        <w:footnoteReference w:id="3"/>
      </w:r>
      <w:r w:rsidR="0018035B">
        <w:rPr>
          <w:rFonts w:ascii="David" w:hAnsi="David" w:cs="David" w:hint="cs"/>
          <w:sz w:val="24"/>
          <w:szCs w:val="24"/>
          <w:rtl/>
        </w:rPr>
        <w:t>".</w:t>
      </w:r>
      <w:r w:rsidR="00FD74B9">
        <w:rPr>
          <w:rFonts w:asciiTheme="majorBidi" w:hAnsiTheme="majorBidi" w:cstheme="majorBidi" w:hint="cs"/>
          <w:sz w:val="24"/>
          <w:szCs w:val="24"/>
          <w:rtl/>
        </w:rPr>
        <w:t xml:space="preserve"> </w:t>
      </w:r>
    </w:p>
    <w:p w14:paraId="0D20EA7C" w14:textId="3C5BF1E4" w:rsidR="00E370AF" w:rsidRPr="00130446" w:rsidRDefault="00E370AF" w:rsidP="0013044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למרות שהלכה זו גזירה היא, נראה בגמרא וברמב"ם שגם בדיעבד </w:t>
      </w:r>
      <w:r w:rsidRPr="00E370AF">
        <w:rPr>
          <w:rFonts w:ascii="David" w:hAnsi="David" w:cs="David"/>
          <w:sz w:val="24"/>
          <w:szCs w:val="24"/>
          <w:rtl/>
        </w:rPr>
        <w:t>"לא עלתה להן טבילה</w:t>
      </w:r>
      <w:r>
        <w:rPr>
          <w:rStyle w:val="a5"/>
          <w:rFonts w:ascii="David" w:hAnsi="David" w:cs="David"/>
          <w:sz w:val="24"/>
          <w:szCs w:val="24"/>
          <w:rtl/>
        </w:rPr>
        <w:footnoteReference w:id="4"/>
      </w:r>
      <w:r w:rsidRPr="00E370AF">
        <w:rPr>
          <w:rFonts w:ascii="David" w:hAnsi="David" w:cs="David"/>
          <w:sz w:val="24"/>
          <w:szCs w:val="24"/>
          <w:rtl/>
        </w:rPr>
        <w:t xml:space="preserve">". </w:t>
      </w:r>
      <w:r>
        <w:rPr>
          <w:rFonts w:asciiTheme="majorBidi" w:hAnsiTheme="majorBidi" w:cstheme="majorBidi" w:hint="cs"/>
          <w:sz w:val="24"/>
          <w:szCs w:val="24"/>
          <w:rtl/>
        </w:rPr>
        <w:t>ותמהו על כך בעלי התוספות</w:t>
      </w:r>
      <w:r w:rsidR="00130446">
        <w:rPr>
          <w:rStyle w:val="a5"/>
          <w:rFonts w:asciiTheme="majorBidi" w:hAnsiTheme="majorBidi" w:cstheme="majorBidi"/>
          <w:sz w:val="24"/>
          <w:szCs w:val="24"/>
          <w:rtl/>
        </w:rPr>
        <w:footnoteReference w:id="5"/>
      </w:r>
      <w:r>
        <w:rPr>
          <w:rFonts w:asciiTheme="majorBidi" w:hAnsiTheme="majorBidi" w:cstheme="majorBidi" w:hint="cs"/>
          <w:sz w:val="24"/>
          <w:szCs w:val="24"/>
          <w:rtl/>
        </w:rPr>
        <w:t xml:space="preserve">: </w:t>
      </w:r>
      <w:r w:rsidR="00130446">
        <w:rPr>
          <w:rFonts w:asciiTheme="majorBidi" w:hAnsiTheme="majorBidi" w:cs="Times New Roman" w:hint="cs"/>
          <w:sz w:val="24"/>
          <w:szCs w:val="24"/>
          <w:rtl/>
        </w:rPr>
        <w:t xml:space="preserve"> </w:t>
      </w:r>
      <w:r w:rsidR="00130446" w:rsidRPr="00130446">
        <w:rPr>
          <w:rFonts w:ascii="David" w:hAnsi="David" w:cs="David"/>
          <w:sz w:val="24"/>
          <w:szCs w:val="24"/>
          <w:rtl/>
        </w:rPr>
        <w:t xml:space="preserve"> </w:t>
      </w:r>
      <w:r w:rsidR="00130446">
        <w:rPr>
          <w:rFonts w:ascii="David" w:hAnsi="David" w:cs="David" w:hint="cs"/>
          <w:sz w:val="24"/>
          <w:szCs w:val="24"/>
          <w:rtl/>
        </w:rPr>
        <w:t>"</w:t>
      </w:r>
      <w:r w:rsidR="00130446" w:rsidRPr="00130446">
        <w:rPr>
          <w:rFonts w:ascii="David" w:hAnsi="David" w:cs="David"/>
          <w:sz w:val="24"/>
          <w:szCs w:val="24"/>
          <w:rtl/>
        </w:rPr>
        <w:t>צ"ע אמאי לא שרינן בעבר והטביל</w:t>
      </w:r>
      <w:r w:rsidR="00F9337D">
        <w:rPr>
          <w:rFonts w:ascii="David" w:hAnsi="David" w:cs="David" w:hint="cs"/>
          <w:sz w:val="24"/>
          <w:szCs w:val="24"/>
          <w:rtl/>
        </w:rPr>
        <w:t>?</w:t>
      </w:r>
      <w:r w:rsidR="00130446" w:rsidRPr="00130446">
        <w:rPr>
          <w:rFonts w:ascii="David" w:hAnsi="David" w:cs="David"/>
          <w:sz w:val="24"/>
          <w:szCs w:val="24"/>
          <w:rtl/>
        </w:rPr>
        <w:t xml:space="preserve"> </w:t>
      </w:r>
      <w:r w:rsidR="00AC263E" w:rsidRPr="00AC263E">
        <w:rPr>
          <w:rFonts w:asciiTheme="majorBidi" w:hAnsiTheme="majorBidi" w:cstheme="majorBidi"/>
          <w:sz w:val="20"/>
          <w:szCs w:val="20"/>
          <w:rtl/>
        </w:rPr>
        <w:t>(שהרי)</w:t>
      </w:r>
      <w:r w:rsidR="00AC263E">
        <w:rPr>
          <w:rFonts w:ascii="David" w:hAnsi="David" w:cs="David" w:hint="cs"/>
          <w:sz w:val="24"/>
          <w:szCs w:val="24"/>
          <w:rtl/>
        </w:rPr>
        <w:t xml:space="preserve"> </w:t>
      </w:r>
      <w:r w:rsidR="00130446" w:rsidRPr="00130446">
        <w:rPr>
          <w:rFonts w:ascii="David" w:hAnsi="David" w:cs="David"/>
          <w:sz w:val="24"/>
          <w:szCs w:val="24"/>
          <w:rtl/>
        </w:rPr>
        <w:t>והטבילן קאמר</w:t>
      </w:r>
      <w:r w:rsidR="00130446">
        <w:rPr>
          <w:rFonts w:ascii="David" w:hAnsi="David" w:cs="David" w:hint="cs"/>
          <w:sz w:val="24"/>
          <w:szCs w:val="24"/>
          <w:rtl/>
        </w:rPr>
        <w:t>,</w:t>
      </w:r>
      <w:r w:rsidR="00130446" w:rsidRPr="00130446">
        <w:rPr>
          <w:rFonts w:ascii="David" w:hAnsi="David" w:cs="David"/>
          <w:sz w:val="24"/>
          <w:szCs w:val="24"/>
          <w:rtl/>
        </w:rPr>
        <w:t xml:space="preserve"> בעבר</w:t>
      </w:r>
      <w:r w:rsidR="00130446">
        <w:rPr>
          <w:rFonts w:ascii="David" w:hAnsi="David" w:cs="David" w:hint="cs"/>
          <w:sz w:val="24"/>
          <w:szCs w:val="24"/>
          <w:rtl/>
        </w:rPr>
        <w:t>".</w:t>
      </w:r>
    </w:p>
    <w:p w14:paraId="36C7A398" w14:textId="4625E575" w:rsidR="00EA0613" w:rsidRPr="00E512FA" w:rsidRDefault="00EA0613" w:rsidP="00E512FA">
      <w:pPr>
        <w:pStyle w:val="aa"/>
        <w:numPr>
          <w:ilvl w:val="0"/>
          <w:numId w:val="1"/>
        </w:numPr>
        <w:spacing w:after="0" w:line="360" w:lineRule="auto"/>
        <w:rPr>
          <w:rFonts w:asciiTheme="majorBidi" w:hAnsiTheme="majorBidi" w:cstheme="majorBidi"/>
          <w:b/>
          <w:bCs/>
          <w:sz w:val="24"/>
          <w:szCs w:val="24"/>
          <w:rtl/>
        </w:rPr>
      </w:pPr>
      <w:r w:rsidRPr="00E512FA">
        <w:rPr>
          <w:rFonts w:asciiTheme="majorBidi" w:hAnsiTheme="majorBidi" w:cstheme="majorBidi" w:hint="cs"/>
          <w:b/>
          <w:bCs/>
          <w:sz w:val="24"/>
          <w:szCs w:val="24"/>
          <w:rtl/>
        </w:rPr>
        <w:t xml:space="preserve">נפקא מינות בין </w:t>
      </w:r>
      <w:r w:rsidR="00FD74B9" w:rsidRPr="00E512FA">
        <w:rPr>
          <w:rFonts w:asciiTheme="majorBidi" w:hAnsiTheme="majorBidi" w:cstheme="majorBidi" w:hint="cs"/>
          <w:b/>
          <w:bCs/>
          <w:sz w:val="24"/>
          <w:szCs w:val="24"/>
          <w:rtl/>
        </w:rPr>
        <w:t xml:space="preserve">שיטות </w:t>
      </w:r>
      <w:r w:rsidRPr="00E512FA">
        <w:rPr>
          <w:rFonts w:asciiTheme="majorBidi" w:hAnsiTheme="majorBidi" w:cstheme="majorBidi" w:hint="cs"/>
          <w:b/>
          <w:bCs/>
          <w:sz w:val="24"/>
          <w:szCs w:val="24"/>
          <w:rtl/>
        </w:rPr>
        <w:t>האמוראים</w:t>
      </w:r>
    </w:p>
    <w:p w14:paraId="0B0775B0" w14:textId="6A877E4C" w:rsidR="00EA0613" w:rsidRDefault="00EA0613" w:rsidP="0018035B">
      <w:pPr>
        <w:spacing w:after="0" w:line="360" w:lineRule="auto"/>
        <w:rPr>
          <w:rFonts w:asciiTheme="majorBidi" w:hAnsiTheme="majorBidi" w:cstheme="majorBidi"/>
          <w:sz w:val="24"/>
          <w:szCs w:val="24"/>
          <w:rtl/>
        </w:rPr>
      </w:pPr>
      <w:r w:rsidRPr="00EA0613">
        <w:rPr>
          <w:rFonts w:asciiTheme="majorBidi" w:hAnsiTheme="majorBidi" w:cstheme="majorBidi" w:hint="cs"/>
          <w:sz w:val="24"/>
          <w:szCs w:val="24"/>
          <w:rtl/>
        </w:rPr>
        <w:t>הגמרא מבארת</w:t>
      </w:r>
      <w:r>
        <w:rPr>
          <w:rFonts w:asciiTheme="majorBidi" w:hAnsiTheme="majorBidi" w:cstheme="majorBidi" w:hint="cs"/>
          <w:sz w:val="24"/>
          <w:szCs w:val="24"/>
          <w:rtl/>
        </w:rPr>
        <w:t xml:space="preserve"> שבסל וגרגותני יש חשש לחציצה, אך אין לגזור משום פתח צר</w:t>
      </w:r>
      <w:r w:rsidR="00FD74B9">
        <w:rPr>
          <w:rFonts w:asciiTheme="majorBidi" w:hAnsiTheme="majorBidi" w:cstheme="majorBidi" w:hint="cs"/>
          <w:sz w:val="24"/>
          <w:szCs w:val="24"/>
          <w:rtl/>
        </w:rPr>
        <w:t>,</w:t>
      </w:r>
      <w:r>
        <w:rPr>
          <w:rFonts w:asciiTheme="majorBidi" w:hAnsiTheme="majorBidi" w:cstheme="majorBidi" w:hint="cs"/>
          <w:sz w:val="24"/>
          <w:szCs w:val="24"/>
          <w:rtl/>
        </w:rPr>
        <w:t xml:space="preserve"> ולפיכך רבא יקל. </w:t>
      </w:r>
    </w:p>
    <w:p w14:paraId="6961AE13" w14:textId="6F45A1C0" w:rsidR="00EA63EF" w:rsidRPr="00EA63EF" w:rsidRDefault="00EA0613" w:rsidP="00EA63E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רבינו חננאל מסביר: </w:t>
      </w:r>
      <w:r w:rsidRPr="00EA0613">
        <w:rPr>
          <w:rFonts w:ascii="David" w:hAnsi="David" w:cs="David"/>
          <w:sz w:val="24"/>
          <w:szCs w:val="24"/>
          <w:rtl/>
        </w:rPr>
        <w:t>"סל וגרגותני פומייהו רויחן טובא</w:t>
      </w:r>
      <w:r w:rsidR="00EA63EF">
        <w:rPr>
          <w:rFonts w:ascii="David" w:hAnsi="David" w:cs="David" w:hint="cs"/>
          <w:sz w:val="24"/>
          <w:szCs w:val="24"/>
          <w:rtl/>
        </w:rPr>
        <w:t>,</w:t>
      </w:r>
      <w:r w:rsidRPr="00EA0613">
        <w:rPr>
          <w:rFonts w:ascii="David" w:hAnsi="David" w:cs="David"/>
          <w:sz w:val="24"/>
          <w:szCs w:val="24"/>
          <w:rtl/>
        </w:rPr>
        <w:t xml:space="preserve"> לא חיישינן דהא ליכא סל וגרגותני פחות פומייהו מב' אצבעות".</w:t>
      </w:r>
      <w:r w:rsidR="00EA63EF">
        <w:rPr>
          <w:rFonts w:asciiTheme="majorBidi" w:hAnsiTheme="majorBidi" w:cstheme="majorBidi" w:hint="cs"/>
          <w:sz w:val="24"/>
          <w:szCs w:val="24"/>
          <w:rtl/>
        </w:rPr>
        <w:t xml:space="preserve"> </w:t>
      </w:r>
      <w:r w:rsidR="00EA63EF">
        <w:rPr>
          <w:rFonts w:asciiTheme="majorBidi" w:hAnsiTheme="majorBidi" w:cs="Times New Roman" w:hint="cs"/>
          <w:sz w:val="24"/>
          <w:szCs w:val="24"/>
          <w:rtl/>
        </w:rPr>
        <w:t>בדומה לכך כתב ב</w:t>
      </w:r>
      <w:r w:rsidR="00EA63EF" w:rsidRPr="00EA63EF">
        <w:rPr>
          <w:rFonts w:asciiTheme="majorBidi" w:hAnsiTheme="majorBidi" w:cs="Times New Roman"/>
          <w:sz w:val="24"/>
          <w:szCs w:val="24"/>
          <w:rtl/>
        </w:rPr>
        <w:t>תוספות רי"ד</w:t>
      </w:r>
      <w:r w:rsidR="00EA63EF">
        <w:rPr>
          <w:rFonts w:asciiTheme="majorBidi" w:hAnsiTheme="majorBidi" w:cs="Times New Roman" w:hint="cs"/>
          <w:sz w:val="24"/>
          <w:szCs w:val="24"/>
          <w:rtl/>
        </w:rPr>
        <w:t>:</w:t>
      </w:r>
    </w:p>
    <w:p w14:paraId="2DD6CB34" w14:textId="043D7567" w:rsidR="00EA0613" w:rsidRDefault="00EA63EF" w:rsidP="00EA63EF">
      <w:pPr>
        <w:spacing w:after="0" w:line="360" w:lineRule="auto"/>
        <w:rPr>
          <w:rFonts w:ascii="David" w:hAnsi="David" w:cs="David"/>
          <w:sz w:val="24"/>
          <w:szCs w:val="24"/>
          <w:rtl/>
        </w:rPr>
      </w:pPr>
      <w:r>
        <w:rPr>
          <w:rFonts w:ascii="David" w:hAnsi="David" w:cs="David" w:hint="cs"/>
          <w:sz w:val="24"/>
          <w:szCs w:val="24"/>
          <w:rtl/>
        </w:rPr>
        <w:t>"</w:t>
      </w:r>
      <w:r w:rsidRPr="00EA63EF">
        <w:rPr>
          <w:rFonts w:ascii="David" w:hAnsi="David" w:cs="David"/>
          <w:sz w:val="24"/>
          <w:szCs w:val="24"/>
          <w:rtl/>
        </w:rPr>
        <w:t>הסל והגרגותני כך הן רחבים בפיהם כמו שהן רחבים בשוליהן והילכך ליכא למיגזר בהן</w:t>
      </w:r>
      <w:r>
        <w:rPr>
          <w:rFonts w:ascii="David" w:hAnsi="David" w:cs="David" w:hint="cs"/>
          <w:sz w:val="24"/>
          <w:szCs w:val="24"/>
          <w:rtl/>
        </w:rPr>
        <w:t>".</w:t>
      </w:r>
    </w:p>
    <w:p w14:paraId="69717197" w14:textId="401F9C86" w:rsidR="00AC263E" w:rsidRDefault="00EA63EF" w:rsidP="00AC263E">
      <w:pPr>
        <w:spacing w:after="0" w:line="360" w:lineRule="auto"/>
        <w:rPr>
          <w:rFonts w:asciiTheme="majorBidi" w:hAnsiTheme="majorBidi" w:cstheme="majorBidi"/>
          <w:sz w:val="24"/>
          <w:szCs w:val="24"/>
          <w:rtl/>
        </w:rPr>
      </w:pPr>
      <w:r w:rsidRPr="00EA63EF">
        <w:rPr>
          <w:rFonts w:asciiTheme="majorBidi" w:hAnsiTheme="majorBidi" w:cstheme="majorBidi"/>
          <w:sz w:val="24"/>
          <w:szCs w:val="24"/>
          <w:rtl/>
        </w:rPr>
        <w:t xml:space="preserve">אולם דעת הר"ש שרבא מקל </w:t>
      </w:r>
      <w:r w:rsidR="00F9351E">
        <w:rPr>
          <w:rFonts w:asciiTheme="majorBidi" w:hAnsiTheme="majorBidi" w:cstheme="majorBidi" w:hint="cs"/>
          <w:sz w:val="24"/>
          <w:szCs w:val="24"/>
          <w:rtl/>
        </w:rPr>
        <w:t xml:space="preserve">בסל </w:t>
      </w:r>
      <w:r w:rsidRPr="00EA63EF">
        <w:rPr>
          <w:rFonts w:asciiTheme="majorBidi" w:hAnsiTheme="majorBidi" w:cstheme="majorBidi"/>
          <w:sz w:val="24"/>
          <w:szCs w:val="24"/>
          <w:rtl/>
        </w:rPr>
        <w:t>בכל גודל</w:t>
      </w:r>
      <w:r>
        <w:rPr>
          <w:rFonts w:ascii="David" w:hAnsi="David" w:cs="David" w:hint="cs"/>
          <w:sz w:val="24"/>
          <w:szCs w:val="24"/>
          <w:rtl/>
        </w:rPr>
        <w:t xml:space="preserve"> </w:t>
      </w:r>
      <w:r w:rsidR="00F9351E">
        <w:rPr>
          <w:rFonts w:asciiTheme="majorBidi" w:hAnsiTheme="majorBidi" w:cstheme="majorBidi" w:hint="cs"/>
          <w:sz w:val="24"/>
          <w:szCs w:val="24"/>
          <w:rtl/>
        </w:rPr>
        <w:t xml:space="preserve">שהוא, </w:t>
      </w:r>
      <w:r w:rsidRPr="00EA63EF">
        <w:rPr>
          <w:rFonts w:asciiTheme="majorBidi" w:hAnsiTheme="majorBidi" w:cstheme="majorBidi"/>
          <w:sz w:val="24"/>
          <w:szCs w:val="24"/>
          <w:rtl/>
        </w:rPr>
        <w:t>כיוון ש</w:t>
      </w:r>
      <w:r w:rsidR="003A049A">
        <w:rPr>
          <w:rFonts w:asciiTheme="majorBidi" w:hAnsiTheme="majorBidi" w:cstheme="majorBidi" w:hint="cs"/>
          <w:sz w:val="24"/>
          <w:szCs w:val="24"/>
          <w:rtl/>
        </w:rPr>
        <w:t>ההיתר</w:t>
      </w:r>
      <w:r w:rsidR="003A049A">
        <w:rPr>
          <w:rFonts w:ascii="David" w:hAnsi="David" w:cs="David" w:hint="cs"/>
          <w:sz w:val="24"/>
          <w:szCs w:val="24"/>
          <w:rtl/>
        </w:rPr>
        <w:t xml:space="preserve"> "</w:t>
      </w:r>
      <w:r w:rsidRPr="00EA63EF">
        <w:rPr>
          <w:rFonts w:ascii="David" w:hAnsi="David" w:cs="David"/>
          <w:sz w:val="24"/>
          <w:szCs w:val="24"/>
          <w:rtl/>
        </w:rPr>
        <w:t>לאו משום דלבעי שיתערבו המים דרך פיו</w:t>
      </w:r>
      <w:r w:rsidR="003A049A">
        <w:rPr>
          <w:rFonts w:ascii="David" w:hAnsi="David" w:cs="David" w:hint="cs"/>
          <w:sz w:val="24"/>
          <w:szCs w:val="24"/>
          <w:rtl/>
        </w:rPr>
        <w:t>,</w:t>
      </w:r>
      <w:r w:rsidRPr="00EA63EF">
        <w:rPr>
          <w:rFonts w:ascii="David" w:hAnsi="David" w:cs="David"/>
          <w:sz w:val="24"/>
          <w:szCs w:val="24"/>
          <w:rtl/>
        </w:rPr>
        <w:t xml:space="preserve"> אלא אפי' אין מתערבין אלא דרך הנקבין שבתוכו</w:t>
      </w:r>
      <w:r w:rsidR="00AC263E">
        <w:rPr>
          <w:rFonts w:ascii="David" w:hAnsi="David" w:cs="David" w:hint="cs"/>
          <w:sz w:val="24"/>
          <w:szCs w:val="24"/>
          <w:rtl/>
        </w:rPr>
        <w:t>,</w:t>
      </w:r>
      <w:r w:rsidRPr="00EA63EF">
        <w:rPr>
          <w:rFonts w:ascii="David" w:hAnsi="David" w:cs="David"/>
          <w:sz w:val="24"/>
          <w:szCs w:val="24"/>
          <w:rtl/>
        </w:rPr>
        <w:t xml:space="preserve"> בטלין מים שבתוכו אגב מי מקוה</w:t>
      </w:r>
      <w:r w:rsidR="00AC263E">
        <w:rPr>
          <w:rFonts w:ascii="David" w:hAnsi="David" w:cs="David" w:hint="cs"/>
          <w:sz w:val="24"/>
          <w:szCs w:val="24"/>
          <w:rtl/>
        </w:rPr>
        <w:t>,</w:t>
      </w:r>
      <w:r w:rsidRPr="00EA63EF">
        <w:rPr>
          <w:rFonts w:ascii="David" w:hAnsi="David" w:cs="David"/>
          <w:sz w:val="24"/>
          <w:szCs w:val="24"/>
          <w:rtl/>
        </w:rPr>
        <w:t xml:space="preserve"> כיון דמלא נקבים ואין מחזיק מים כלל</w:t>
      </w:r>
      <w:r>
        <w:rPr>
          <w:rStyle w:val="a5"/>
          <w:rFonts w:ascii="David" w:hAnsi="David" w:cs="David"/>
          <w:sz w:val="24"/>
          <w:szCs w:val="24"/>
          <w:rtl/>
        </w:rPr>
        <w:footnoteReference w:id="6"/>
      </w:r>
      <w:r w:rsidR="003A049A">
        <w:rPr>
          <w:rFonts w:ascii="David" w:hAnsi="David" w:cs="David" w:hint="cs"/>
          <w:sz w:val="24"/>
          <w:szCs w:val="24"/>
          <w:rtl/>
        </w:rPr>
        <w:t xml:space="preserve">". </w:t>
      </w:r>
      <w:r w:rsidR="003A049A">
        <w:rPr>
          <w:rFonts w:asciiTheme="majorBidi" w:hAnsiTheme="majorBidi" w:cstheme="majorBidi" w:hint="cs"/>
          <w:sz w:val="24"/>
          <w:szCs w:val="24"/>
          <w:rtl/>
        </w:rPr>
        <w:t>הסבר זה מצריך פירוש גמיש בדברי הגמרא:</w:t>
      </w:r>
      <w:r w:rsidR="003A049A" w:rsidRPr="003A049A">
        <w:rPr>
          <w:rtl/>
        </w:rPr>
        <w:t xml:space="preserve"> </w:t>
      </w:r>
      <w:r w:rsidR="003A049A">
        <w:rPr>
          <w:rFonts w:asciiTheme="majorBidi" w:hAnsiTheme="majorBidi" w:cs="Times New Roman" w:hint="cs"/>
          <w:sz w:val="24"/>
          <w:szCs w:val="24"/>
          <w:rtl/>
        </w:rPr>
        <w:t xml:space="preserve"> </w:t>
      </w:r>
      <w:r w:rsidR="003A049A">
        <w:rPr>
          <w:rFonts w:ascii="David" w:hAnsi="David" w:cs="David" w:hint="cs"/>
          <w:sz w:val="24"/>
          <w:szCs w:val="24"/>
          <w:rtl/>
        </w:rPr>
        <w:t>"</w:t>
      </w:r>
      <w:r w:rsidR="003A049A" w:rsidRPr="003A049A">
        <w:rPr>
          <w:rFonts w:ascii="David" w:hAnsi="David" w:cs="David"/>
          <w:sz w:val="24"/>
          <w:szCs w:val="24"/>
          <w:rtl/>
        </w:rPr>
        <w:t>סל וגרגותני שאין בפיהן כשפופרת הנוד</w:t>
      </w:r>
      <w:r w:rsidR="00AC263E">
        <w:rPr>
          <w:rFonts w:ascii="David" w:hAnsi="David" w:cs="David" w:hint="cs"/>
          <w:sz w:val="24"/>
          <w:szCs w:val="24"/>
          <w:rtl/>
        </w:rPr>
        <w:t>-</w:t>
      </w:r>
      <w:r w:rsidR="003A049A" w:rsidRPr="003A049A">
        <w:rPr>
          <w:rFonts w:ascii="David" w:hAnsi="David" w:cs="David"/>
          <w:sz w:val="24"/>
          <w:szCs w:val="24"/>
          <w:rtl/>
        </w:rPr>
        <w:t xml:space="preserve"> ליכא</w:t>
      </w:r>
      <w:r w:rsidR="003A049A">
        <w:rPr>
          <w:rFonts w:ascii="David" w:hAnsi="David" w:cs="David" w:hint="cs"/>
          <w:sz w:val="24"/>
          <w:szCs w:val="24"/>
          <w:rtl/>
        </w:rPr>
        <w:t xml:space="preserve">", </w:t>
      </w:r>
    </w:p>
    <w:p w14:paraId="44CDA7B7" w14:textId="256D3405" w:rsidR="00EA63EF" w:rsidRDefault="003A049A" w:rsidP="00AC263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שלפי הר"ש יש לפרש: לא שאין, אלא שאין צורך</w:t>
      </w:r>
      <w:r w:rsidR="008B7BD5">
        <w:rPr>
          <w:rStyle w:val="a5"/>
          <w:rFonts w:asciiTheme="majorBidi" w:hAnsiTheme="majorBidi" w:cstheme="majorBidi"/>
          <w:sz w:val="24"/>
          <w:szCs w:val="24"/>
          <w:rtl/>
        </w:rPr>
        <w:footnoteReference w:id="7"/>
      </w:r>
      <w:r>
        <w:rPr>
          <w:rFonts w:asciiTheme="majorBidi" w:hAnsiTheme="majorBidi" w:cstheme="majorBidi" w:hint="cs"/>
          <w:sz w:val="24"/>
          <w:szCs w:val="24"/>
          <w:rtl/>
        </w:rPr>
        <w:t>.</w:t>
      </w:r>
    </w:p>
    <w:p w14:paraId="7A8236B1" w14:textId="3A14120D" w:rsidR="008B7BD5" w:rsidRDefault="008B7BD5" w:rsidP="003A049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או שנגרוס: </w:t>
      </w:r>
      <w:r w:rsidRPr="008B7BD5">
        <w:rPr>
          <w:rFonts w:ascii="David" w:hAnsi="David" w:cs="David"/>
          <w:b/>
          <w:bCs/>
          <w:sz w:val="24"/>
          <w:szCs w:val="24"/>
          <w:rtl/>
        </w:rPr>
        <w:t>"לרבא</w:t>
      </w:r>
      <w:r w:rsidRPr="008B7BD5">
        <w:rPr>
          <w:rFonts w:ascii="David" w:hAnsi="David" w:cs="David"/>
          <w:sz w:val="24"/>
          <w:szCs w:val="24"/>
          <w:rtl/>
        </w:rPr>
        <w:t xml:space="preserve"> ליכא</w:t>
      </w:r>
      <w:r>
        <w:rPr>
          <w:rStyle w:val="a5"/>
          <w:rFonts w:ascii="David" w:hAnsi="David" w:cs="David"/>
          <w:sz w:val="24"/>
          <w:szCs w:val="24"/>
          <w:rtl/>
        </w:rPr>
        <w:footnoteReference w:id="8"/>
      </w:r>
      <w:r w:rsidRPr="008B7BD5">
        <w:rPr>
          <w:rFonts w:ascii="David" w:hAnsi="David" w:cs="David"/>
          <w:sz w:val="24"/>
          <w:szCs w:val="24"/>
          <w:rtl/>
        </w:rPr>
        <w:t>".</w:t>
      </w:r>
      <w:r>
        <w:rPr>
          <w:rFonts w:asciiTheme="majorBidi" w:hAnsiTheme="majorBidi" w:cstheme="majorBidi" w:hint="cs"/>
          <w:sz w:val="24"/>
          <w:szCs w:val="24"/>
          <w:rtl/>
        </w:rPr>
        <w:t xml:space="preserve"> דהיינו, שלפיו אין חשש בכל שיעור</w:t>
      </w:r>
      <w:r w:rsidR="00F9351E">
        <w:rPr>
          <w:rFonts w:asciiTheme="majorBidi" w:hAnsiTheme="majorBidi" w:cstheme="majorBidi" w:hint="cs"/>
          <w:sz w:val="24"/>
          <w:szCs w:val="24"/>
          <w:rtl/>
        </w:rPr>
        <w:t xml:space="preserve"> שהוא</w:t>
      </w:r>
      <w:r>
        <w:rPr>
          <w:rFonts w:asciiTheme="majorBidi" w:hAnsiTheme="majorBidi" w:cstheme="majorBidi" w:hint="cs"/>
          <w:sz w:val="24"/>
          <w:szCs w:val="24"/>
          <w:rtl/>
        </w:rPr>
        <w:t>.</w:t>
      </w:r>
      <w:r w:rsidR="00F9351E">
        <w:rPr>
          <w:rFonts w:asciiTheme="majorBidi" w:hAnsiTheme="majorBidi" w:cstheme="majorBidi" w:hint="cs"/>
          <w:sz w:val="24"/>
          <w:szCs w:val="24"/>
          <w:rtl/>
        </w:rPr>
        <w:t xml:space="preserve"> החכם צבי חולק על קולא זו:</w:t>
      </w:r>
    </w:p>
    <w:p w14:paraId="08FDBAED" w14:textId="17C4A563" w:rsidR="004D5286" w:rsidRDefault="00F9351E" w:rsidP="004D5286">
      <w:pPr>
        <w:spacing w:after="0" w:line="360" w:lineRule="auto"/>
        <w:rPr>
          <w:rFonts w:asciiTheme="majorBidi" w:hAnsiTheme="majorBidi" w:cstheme="majorBidi"/>
          <w:sz w:val="24"/>
          <w:szCs w:val="24"/>
          <w:rtl/>
        </w:rPr>
      </w:pPr>
      <w:r>
        <w:rPr>
          <w:rFonts w:ascii="David" w:hAnsi="David" w:cs="David" w:hint="cs"/>
          <w:sz w:val="24"/>
          <w:szCs w:val="24"/>
          <w:rtl/>
        </w:rPr>
        <w:t>"</w:t>
      </w:r>
      <w:r w:rsidRPr="00F9351E">
        <w:rPr>
          <w:rFonts w:ascii="David" w:hAnsi="David" w:cs="David"/>
          <w:sz w:val="24"/>
          <w:szCs w:val="24"/>
          <w:rtl/>
        </w:rPr>
        <w:t>אי הוה סל וגרגותני שאין בפיהן כשפופרת הנוד ל"ה מטבלינן בהו</w:t>
      </w:r>
      <w:r>
        <w:rPr>
          <w:rFonts w:ascii="David" w:hAnsi="David" w:cs="David" w:hint="cs"/>
          <w:sz w:val="24"/>
          <w:szCs w:val="24"/>
          <w:rtl/>
        </w:rPr>
        <w:t>.</w:t>
      </w:r>
      <w:r w:rsidRPr="00F9351E">
        <w:rPr>
          <w:rFonts w:ascii="David" w:hAnsi="David" w:cs="David"/>
          <w:sz w:val="24"/>
          <w:szCs w:val="24"/>
          <w:rtl/>
        </w:rPr>
        <w:t xml:space="preserve"> ואין לומר דאכל הנקבים המצטרפין יחד קאמר דהנהו לאו </w:t>
      </w:r>
      <w:r w:rsidRPr="00F9351E">
        <w:rPr>
          <w:rFonts w:ascii="David" w:hAnsi="David" w:cs="David"/>
          <w:b/>
          <w:bCs/>
          <w:sz w:val="24"/>
          <w:szCs w:val="24"/>
          <w:rtl/>
        </w:rPr>
        <w:t>בפיהן</w:t>
      </w:r>
      <w:r w:rsidRPr="00F9351E">
        <w:rPr>
          <w:rFonts w:ascii="David" w:hAnsi="David" w:cs="David"/>
          <w:sz w:val="24"/>
          <w:szCs w:val="24"/>
          <w:rtl/>
        </w:rPr>
        <w:t xml:space="preserve"> לחוד נינהו אלא בשוליהם ובכל מקום</w:t>
      </w:r>
      <w:r>
        <w:rPr>
          <w:rFonts w:ascii="David" w:hAnsi="David" w:cs="David" w:hint="cs"/>
          <w:sz w:val="24"/>
          <w:szCs w:val="24"/>
          <w:rtl/>
        </w:rPr>
        <w:t xml:space="preserve">. </w:t>
      </w:r>
      <w:r w:rsidRPr="00F9351E">
        <w:rPr>
          <w:rFonts w:ascii="David" w:hAnsi="David" w:cs="David"/>
          <w:sz w:val="24"/>
          <w:szCs w:val="24"/>
          <w:rtl/>
        </w:rPr>
        <w:t xml:space="preserve"> א</w:t>
      </w:r>
      <w:r>
        <w:rPr>
          <w:rFonts w:ascii="David" w:hAnsi="David" w:cs="David" w:hint="cs"/>
          <w:sz w:val="24"/>
          <w:szCs w:val="24"/>
          <w:rtl/>
        </w:rPr>
        <w:t>לא וודאי</w:t>
      </w:r>
      <w:r w:rsidRPr="00F9351E">
        <w:rPr>
          <w:rFonts w:ascii="David" w:hAnsi="David" w:cs="David"/>
          <w:sz w:val="24"/>
          <w:szCs w:val="24"/>
          <w:rtl/>
        </w:rPr>
        <w:t xml:space="preserve"> </w:t>
      </w:r>
      <w:r w:rsidRPr="00F9351E">
        <w:rPr>
          <w:rFonts w:ascii="David" w:hAnsi="David" w:cs="David"/>
          <w:b/>
          <w:bCs/>
          <w:sz w:val="24"/>
          <w:szCs w:val="24"/>
          <w:rtl/>
        </w:rPr>
        <w:t>לא דמו סל וגרגותני לשק וקופה</w:t>
      </w:r>
      <w:r w:rsidR="00015D9F">
        <w:rPr>
          <w:rFonts w:ascii="David" w:hAnsi="David" w:cs="David" w:hint="cs"/>
          <w:b/>
          <w:bCs/>
          <w:sz w:val="24"/>
          <w:szCs w:val="24"/>
          <w:rtl/>
        </w:rPr>
        <w:t>,</w:t>
      </w:r>
      <w:r w:rsidRPr="00F9351E">
        <w:rPr>
          <w:rFonts w:ascii="David" w:hAnsi="David" w:cs="David"/>
          <w:sz w:val="24"/>
          <w:szCs w:val="24"/>
          <w:rtl/>
        </w:rPr>
        <w:t xml:space="preserve"> דשק וקופה דשל פשתן וצמר נינה</w:t>
      </w:r>
      <w:r w:rsidR="00015D9F">
        <w:rPr>
          <w:rFonts w:ascii="David" w:hAnsi="David" w:cs="David" w:hint="cs"/>
          <w:sz w:val="24"/>
          <w:szCs w:val="24"/>
          <w:rtl/>
        </w:rPr>
        <w:t>.</w:t>
      </w:r>
      <w:r w:rsidRPr="00F9351E">
        <w:rPr>
          <w:rFonts w:ascii="David" w:hAnsi="David" w:cs="David"/>
          <w:sz w:val="24"/>
          <w:szCs w:val="24"/>
          <w:rtl/>
        </w:rPr>
        <w:t>והמי</w:t>
      </w:r>
      <w:r w:rsidR="00015D9F">
        <w:rPr>
          <w:rFonts w:ascii="David" w:hAnsi="David" w:cs="David" w:hint="cs"/>
          <w:sz w:val="24"/>
          <w:szCs w:val="24"/>
          <w:rtl/>
        </w:rPr>
        <w:t xml:space="preserve">ם </w:t>
      </w:r>
      <w:r w:rsidRPr="00F9351E">
        <w:rPr>
          <w:rFonts w:ascii="David" w:hAnsi="David" w:cs="David"/>
          <w:sz w:val="24"/>
          <w:szCs w:val="24"/>
          <w:rtl/>
        </w:rPr>
        <w:t>מתחלחלין ועוברים לא לבד דרך נקבי השק</w:t>
      </w:r>
      <w:r>
        <w:rPr>
          <w:rFonts w:ascii="David" w:hAnsi="David" w:cs="David" w:hint="cs"/>
          <w:sz w:val="24"/>
          <w:szCs w:val="24"/>
          <w:rtl/>
        </w:rPr>
        <w:t>,</w:t>
      </w:r>
      <w:r w:rsidRPr="00F9351E">
        <w:rPr>
          <w:rFonts w:ascii="David" w:hAnsi="David" w:cs="David"/>
          <w:sz w:val="24"/>
          <w:szCs w:val="24"/>
          <w:rtl/>
        </w:rPr>
        <w:t xml:space="preserve"> אלא אפי' דרך חוטי הארוג עצמו נמי</w:t>
      </w:r>
      <w:r w:rsidR="00015D9F">
        <w:rPr>
          <w:rFonts w:ascii="David" w:hAnsi="David" w:cs="David" w:hint="cs"/>
          <w:sz w:val="24"/>
          <w:szCs w:val="24"/>
          <w:rtl/>
        </w:rPr>
        <w:t xml:space="preserve">. </w:t>
      </w:r>
      <w:r w:rsidRPr="00F9351E">
        <w:rPr>
          <w:rFonts w:ascii="David" w:hAnsi="David" w:cs="David"/>
          <w:sz w:val="24"/>
          <w:szCs w:val="24"/>
          <w:rtl/>
        </w:rPr>
        <w:t>ולכן קתני בהם</w:t>
      </w:r>
      <w:r w:rsidR="00015D9F">
        <w:rPr>
          <w:rFonts w:ascii="David" w:hAnsi="David" w:cs="David" w:hint="cs"/>
          <w:sz w:val="24"/>
          <w:szCs w:val="24"/>
          <w:rtl/>
        </w:rPr>
        <w:t>:</w:t>
      </w:r>
      <w:r w:rsidRPr="00F9351E">
        <w:rPr>
          <w:rFonts w:ascii="David" w:hAnsi="David" w:cs="David"/>
          <w:sz w:val="24"/>
          <w:szCs w:val="24"/>
          <w:rtl/>
        </w:rPr>
        <w:t xml:space="preserve"> </w:t>
      </w:r>
      <w:r w:rsidR="00015D9F">
        <w:rPr>
          <w:rFonts w:ascii="David" w:hAnsi="David" w:cs="David" w:hint="cs"/>
          <w:sz w:val="24"/>
          <w:szCs w:val="24"/>
          <w:rtl/>
        </w:rPr>
        <w:t>'</w:t>
      </w:r>
      <w:r w:rsidRPr="00F9351E">
        <w:rPr>
          <w:rFonts w:ascii="David" w:hAnsi="David" w:cs="David"/>
          <w:sz w:val="24"/>
          <w:szCs w:val="24"/>
          <w:rtl/>
        </w:rPr>
        <w:t>מטבילין בהם כמות שהם</w:t>
      </w:r>
      <w:r w:rsidR="00015D9F">
        <w:rPr>
          <w:rFonts w:ascii="David" w:hAnsi="David" w:cs="David" w:hint="cs"/>
          <w:sz w:val="24"/>
          <w:szCs w:val="24"/>
          <w:rtl/>
        </w:rPr>
        <w:t xml:space="preserve">' </w:t>
      </w:r>
      <w:r w:rsidRPr="00F9351E">
        <w:rPr>
          <w:rFonts w:ascii="David" w:hAnsi="David" w:cs="David"/>
          <w:sz w:val="24"/>
          <w:szCs w:val="24"/>
          <w:rtl/>
        </w:rPr>
        <w:t>ולא יהיב בהו שיעורא כלל</w:t>
      </w:r>
      <w:r>
        <w:rPr>
          <w:rFonts w:ascii="David" w:hAnsi="David" w:cs="David" w:hint="cs"/>
          <w:sz w:val="24"/>
          <w:szCs w:val="24"/>
          <w:rtl/>
        </w:rPr>
        <w:t>,</w:t>
      </w:r>
      <w:r w:rsidRPr="00F9351E">
        <w:rPr>
          <w:rFonts w:ascii="David" w:hAnsi="David" w:cs="David"/>
          <w:sz w:val="24"/>
          <w:szCs w:val="24"/>
          <w:rtl/>
        </w:rPr>
        <w:t xml:space="preserve"> דאין צורך בהם לצירוף כשפופרת הנוד</w:t>
      </w:r>
      <w:r w:rsidR="00015D9F">
        <w:rPr>
          <w:rFonts w:ascii="David" w:hAnsi="David" w:cs="David" w:hint="cs"/>
          <w:sz w:val="24"/>
          <w:szCs w:val="24"/>
          <w:rtl/>
        </w:rPr>
        <w:t xml:space="preserve">, </w:t>
      </w:r>
      <w:r w:rsidRPr="00F9351E">
        <w:rPr>
          <w:rFonts w:ascii="David" w:hAnsi="David" w:cs="David"/>
          <w:sz w:val="24"/>
          <w:szCs w:val="24"/>
          <w:rtl/>
        </w:rPr>
        <w:t>שהרי כל עצמן אינן חוצצין בפני המים</w:t>
      </w:r>
      <w:r>
        <w:rPr>
          <w:rFonts w:ascii="David" w:hAnsi="David" w:cs="David" w:hint="cs"/>
          <w:sz w:val="24"/>
          <w:szCs w:val="24"/>
          <w:rtl/>
        </w:rPr>
        <w:t>.</w:t>
      </w:r>
      <w:r w:rsidRPr="00F9351E">
        <w:rPr>
          <w:rFonts w:ascii="David" w:hAnsi="David" w:cs="David"/>
          <w:sz w:val="24"/>
          <w:szCs w:val="24"/>
          <w:rtl/>
        </w:rPr>
        <w:t xml:space="preserve"> לאפוקי סל של נצרים</w:t>
      </w:r>
      <w:r w:rsidR="00015D9F">
        <w:rPr>
          <w:rFonts w:ascii="David" w:hAnsi="David" w:cs="David" w:hint="cs"/>
          <w:sz w:val="24"/>
          <w:szCs w:val="24"/>
          <w:rtl/>
        </w:rPr>
        <w:t>,</w:t>
      </w:r>
      <w:r w:rsidRPr="00F9351E">
        <w:rPr>
          <w:rFonts w:ascii="David" w:hAnsi="David" w:cs="David"/>
          <w:sz w:val="24"/>
          <w:szCs w:val="24"/>
          <w:rtl/>
        </w:rPr>
        <w:t xml:space="preserve"> שע"כ הנצרים חוצצין בפני המים ולכך בעינן בפיהם כשפופרת הנוד</w:t>
      </w:r>
      <w:r>
        <w:rPr>
          <w:rStyle w:val="a5"/>
          <w:rFonts w:ascii="David" w:hAnsi="David" w:cs="David"/>
          <w:sz w:val="24"/>
          <w:szCs w:val="24"/>
          <w:rtl/>
        </w:rPr>
        <w:footnoteReference w:id="9"/>
      </w:r>
      <w:r>
        <w:rPr>
          <w:rFonts w:ascii="David" w:hAnsi="David" w:cs="David" w:hint="cs"/>
          <w:sz w:val="24"/>
          <w:szCs w:val="24"/>
          <w:rtl/>
        </w:rPr>
        <w:t>".</w:t>
      </w:r>
      <w:r w:rsidR="00A00AD4">
        <w:rPr>
          <w:rFonts w:ascii="David" w:hAnsi="David" w:cs="David" w:hint="cs"/>
          <w:sz w:val="24"/>
          <w:szCs w:val="24"/>
          <w:rtl/>
        </w:rPr>
        <w:t xml:space="preserve"> </w:t>
      </w:r>
      <w:r w:rsidR="004D5286">
        <w:rPr>
          <w:rFonts w:asciiTheme="majorBidi" w:hAnsiTheme="majorBidi" w:cstheme="majorBidi" w:hint="cs"/>
          <w:sz w:val="24"/>
          <w:szCs w:val="24"/>
          <w:rtl/>
        </w:rPr>
        <w:t xml:space="preserve">נראה שהרמ"א בכל זאת נקט כשיטה המקלה: </w:t>
      </w:r>
    </w:p>
    <w:p w14:paraId="08F8D078" w14:textId="77777777" w:rsidR="004D5286" w:rsidRDefault="004D5286" w:rsidP="004D5286">
      <w:pPr>
        <w:spacing w:after="0" w:line="360" w:lineRule="auto"/>
        <w:rPr>
          <w:rFonts w:asciiTheme="majorBidi" w:hAnsiTheme="majorBidi" w:cs="Guttman Yad-Brush"/>
          <w:sz w:val="18"/>
          <w:szCs w:val="18"/>
          <w:rtl/>
        </w:rPr>
      </w:pPr>
      <w:r w:rsidRPr="00AC263E">
        <w:rPr>
          <w:rFonts w:asciiTheme="majorBidi" w:hAnsiTheme="majorBidi" w:cs="Guttman Yad-Brush" w:hint="cs"/>
          <w:sz w:val="20"/>
          <w:szCs w:val="20"/>
          <w:rtl/>
        </w:rPr>
        <w:t>"</w:t>
      </w:r>
      <w:r w:rsidRPr="00AC263E">
        <w:rPr>
          <w:rFonts w:asciiTheme="majorBidi" w:hAnsiTheme="majorBidi" w:cs="Guttman Yad-Brush"/>
          <w:sz w:val="20"/>
          <w:szCs w:val="20"/>
          <w:rtl/>
        </w:rPr>
        <w:t>ומותר לטבול כלים בסל או בשק, דכיון דאינו מחזיק מים עדיף טפי מניקב כשפופרת הנוד</w:t>
      </w:r>
      <w:r w:rsidRPr="00FD74B9">
        <w:rPr>
          <w:rFonts w:asciiTheme="majorBidi" w:hAnsiTheme="majorBidi" w:cs="Guttman Yad-Brush"/>
          <w:sz w:val="18"/>
          <w:szCs w:val="18"/>
          <w:rtl/>
        </w:rPr>
        <w:t xml:space="preserve"> </w:t>
      </w:r>
      <w:r w:rsidRPr="00AC263E">
        <w:rPr>
          <w:rFonts w:asciiTheme="majorBidi" w:hAnsiTheme="majorBidi" w:cs="Guttman Yad-Brush"/>
          <w:sz w:val="16"/>
          <w:szCs w:val="16"/>
          <w:rtl/>
        </w:rPr>
        <w:t>(בית יוסף בשם משנה ופירש הר"ש פ"ו דמקואות ורמב"ם פ"ו)</w:t>
      </w:r>
      <w:r>
        <w:rPr>
          <w:rStyle w:val="a5"/>
          <w:rFonts w:asciiTheme="majorBidi" w:hAnsiTheme="majorBidi" w:cs="Guttman Yad-Brush"/>
          <w:sz w:val="18"/>
          <w:szCs w:val="18"/>
          <w:rtl/>
        </w:rPr>
        <w:footnoteReference w:id="10"/>
      </w:r>
      <w:r>
        <w:rPr>
          <w:rFonts w:asciiTheme="majorBidi" w:hAnsiTheme="majorBidi" w:cs="Guttman Yad-Brush" w:hint="cs"/>
          <w:sz w:val="18"/>
          <w:szCs w:val="18"/>
          <w:rtl/>
        </w:rPr>
        <w:t>"</w:t>
      </w:r>
      <w:r w:rsidRPr="00FD74B9">
        <w:rPr>
          <w:rFonts w:asciiTheme="majorBidi" w:hAnsiTheme="majorBidi" w:cs="Guttman Yad-Brush"/>
          <w:sz w:val="18"/>
          <w:szCs w:val="18"/>
          <w:rtl/>
        </w:rPr>
        <w:t>.</w:t>
      </w:r>
    </w:p>
    <w:p w14:paraId="7E412B76" w14:textId="120F9431" w:rsidR="00130446" w:rsidRDefault="00A00AD4" w:rsidP="004D5286">
      <w:pPr>
        <w:spacing w:after="0" w:line="360" w:lineRule="auto"/>
        <w:rPr>
          <w:rFonts w:asciiTheme="majorBidi" w:hAnsiTheme="majorBidi" w:cs="Guttman Yad-Brush"/>
          <w:sz w:val="18"/>
          <w:szCs w:val="18"/>
          <w:rtl/>
        </w:rPr>
      </w:pPr>
      <w:r>
        <w:rPr>
          <w:rFonts w:asciiTheme="majorBidi" w:hAnsiTheme="majorBidi" w:cstheme="majorBidi" w:hint="cs"/>
          <w:sz w:val="24"/>
          <w:szCs w:val="24"/>
          <w:rtl/>
        </w:rPr>
        <w:t>בעלי התוספות</w:t>
      </w:r>
      <w:r>
        <w:rPr>
          <w:rStyle w:val="a5"/>
          <w:rFonts w:asciiTheme="majorBidi" w:hAnsiTheme="majorBidi" w:cstheme="majorBidi"/>
          <w:sz w:val="24"/>
          <w:szCs w:val="24"/>
          <w:rtl/>
        </w:rPr>
        <w:footnoteReference w:id="11"/>
      </w:r>
      <w:r>
        <w:rPr>
          <w:rFonts w:asciiTheme="majorBidi" w:hAnsiTheme="majorBidi" w:cstheme="majorBidi" w:hint="cs"/>
          <w:sz w:val="24"/>
          <w:szCs w:val="24"/>
          <w:rtl/>
        </w:rPr>
        <w:t xml:space="preserve"> מציעים נפקא מינא נוספת למחלוקת האמוראים, והיא דין הכלי החיצוני: </w:t>
      </w:r>
      <w:r>
        <w:rPr>
          <w:rFonts w:asciiTheme="majorBidi" w:hAnsiTheme="majorBidi" w:cs="Times New Roman" w:hint="cs"/>
          <w:sz w:val="24"/>
          <w:szCs w:val="24"/>
          <w:rtl/>
        </w:rPr>
        <w:t xml:space="preserve"> </w:t>
      </w:r>
      <w:r w:rsidRPr="00A00AD4">
        <w:rPr>
          <w:rFonts w:asciiTheme="majorBidi" w:hAnsiTheme="majorBidi" w:cs="Times New Roman"/>
          <w:sz w:val="24"/>
          <w:szCs w:val="24"/>
          <w:rtl/>
        </w:rPr>
        <w:t xml:space="preserve"> </w:t>
      </w:r>
      <w:r w:rsidRPr="00A00AD4">
        <w:rPr>
          <w:rFonts w:ascii="David" w:hAnsi="David" w:cs="David"/>
          <w:sz w:val="24"/>
          <w:szCs w:val="24"/>
          <w:rtl/>
        </w:rPr>
        <w:t>"כלי חיצון כשהטביל כלי בתוך כלי: למאן דמוקי לה משום חציצה- שייך בין בחיצון בין בפנימי. ולמאן דמוקי משום גזרה שאין בפיו כשפופרת הנוד -ליכא למגזר, רק בפנימי, דבחיצון ליכא למגזר דבכל ענין טהור. והכי משמע לקמן: 'ה"מ בכלי טהור אבל בכלי טמא</w:t>
      </w:r>
      <w:r w:rsidR="00AC263E">
        <w:rPr>
          <w:rFonts w:ascii="David" w:hAnsi="David" w:cs="David" w:hint="cs"/>
          <w:sz w:val="24"/>
          <w:szCs w:val="24"/>
          <w:rtl/>
        </w:rPr>
        <w:t>,</w:t>
      </w:r>
      <w:r w:rsidRPr="00A00AD4">
        <w:rPr>
          <w:rFonts w:ascii="David" w:hAnsi="David" w:cs="David"/>
          <w:sz w:val="24"/>
          <w:szCs w:val="24"/>
          <w:rtl/>
        </w:rPr>
        <w:t xml:space="preserve"> מגו דמהניא טבילה לחיצון מהני לפנימי' ".</w:t>
      </w:r>
      <w:r w:rsidR="00130446">
        <w:rPr>
          <w:rFonts w:asciiTheme="majorBidi" w:hAnsiTheme="majorBidi" w:cstheme="majorBidi" w:hint="cs"/>
          <w:sz w:val="24"/>
          <w:szCs w:val="24"/>
          <w:rtl/>
        </w:rPr>
        <w:t xml:space="preserve"> </w:t>
      </w:r>
    </w:p>
    <w:p w14:paraId="72508D41" w14:textId="127DA8D5" w:rsidR="004D5286" w:rsidRPr="004D5286" w:rsidRDefault="004D5286" w:rsidP="004D5286">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ב</w:t>
      </w:r>
      <w:r w:rsidRPr="004D5286">
        <w:rPr>
          <w:rFonts w:asciiTheme="majorBidi" w:hAnsiTheme="majorBidi" w:cstheme="majorBidi"/>
          <w:sz w:val="24"/>
          <w:szCs w:val="24"/>
          <w:rtl/>
        </w:rPr>
        <w:t>טורי אבן</w:t>
      </w:r>
      <w:r>
        <w:rPr>
          <w:rStyle w:val="a5"/>
          <w:rFonts w:asciiTheme="majorBidi" w:hAnsiTheme="majorBidi" w:cstheme="majorBidi"/>
          <w:sz w:val="24"/>
          <w:szCs w:val="24"/>
          <w:rtl/>
        </w:rPr>
        <w:footnoteReference w:id="12"/>
      </w:r>
      <w:r w:rsidRPr="004D5286">
        <w:rPr>
          <w:rFonts w:asciiTheme="majorBidi" w:hAnsiTheme="majorBidi" w:cstheme="majorBidi"/>
          <w:sz w:val="24"/>
          <w:szCs w:val="24"/>
          <w:rtl/>
        </w:rPr>
        <w:t xml:space="preserve"> מ</w:t>
      </w:r>
      <w:r>
        <w:rPr>
          <w:rFonts w:asciiTheme="majorBidi" w:hAnsiTheme="majorBidi" w:cstheme="majorBidi" w:hint="cs"/>
          <w:sz w:val="24"/>
          <w:szCs w:val="24"/>
          <w:rtl/>
        </w:rPr>
        <w:t>ציע נפקא מינה הפוכה, שלפיה יש להחמיר דווקא לפי טעמו של רבא: "</w:t>
      </w:r>
      <w:r w:rsidRPr="004D5286">
        <w:rPr>
          <w:rFonts w:ascii="David" w:hAnsi="David" w:cs="David"/>
          <w:sz w:val="24"/>
          <w:szCs w:val="24"/>
          <w:rtl/>
        </w:rPr>
        <w:t>אי משום טעמ' דחציצה לחוד</w:t>
      </w:r>
      <w:r>
        <w:rPr>
          <w:rFonts w:ascii="David" w:hAnsi="David" w:cs="David" w:hint="cs"/>
          <w:sz w:val="24"/>
          <w:szCs w:val="24"/>
          <w:rtl/>
        </w:rPr>
        <w:t>-</w:t>
      </w:r>
      <w:r w:rsidRPr="004D5286">
        <w:rPr>
          <w:rFonts w:ascii="David" w:hAnsi="David" w:cs="David"/>
          <w:sz w:val="24"/>
          <w:szCs w:val="24"/>
          <w:rtl/>
        </w:rPr>
        <w:t xml:space="preserve"> הי' מותר להטביל מחטין וצינורות</w:t>
      </w:r>
      <w:r>
        <w:rPr>
          <w:rFonts w:ascii="David" w:hAnsi="David" w:cs="David" w:hint="cs"/>
          <w:sz w:val="24"/>
          <w:szCs w:val="24"/>
          <w:rtl/>
        </w:rPr>
        <w:t>,</w:t>
      </w:r>
      <w:r w:rsidRPr="004D5286">
        <w:rPr>
          <w:rFonts w:ascii="David" w:hAnsi="David" w:cs="David"/>
          <w:sz w:val="24"/>
          <w:szCs w:val="24"/>
          <w:rtl/>
        </w:rPr>
        <w:t xml:space="preserve"> שאין דרכן להיות כבידים לעולם</w:t>
      </w:r>
      <w:r>
        <w:rPr>
          <w:rFonts w:ascii="David" w:hAnsi="David" w:cs="David" w:hint="cs"/>
          <w:sz w:val="24"/>
          <w:szCs w:val="24"/>
          <w:rtl/>
        </w:rPr>
        <w:t>.</w:t>
      </w:r>
      <w:r w:rsidRPr="004D5286">
        <w:rPr>
          <w:rFonts w:ascii="David" w:hAnsi="David" w:cs="David"/>
          <w:sz w:val="24"/>
          <w:szCs w:val="24"/>
          <w:rtl/>
        </w:rPr>
        <w:t xml:space="preserve"> אבל משום גזיר</w:t>
      </w:r>
      <w:r w:rsidR="00AC263E">
        <w:rPr>
          <w:rFonts w:ascii="David" w:hAnsi="David" w:cs="David" w:hint="cs"/>
          <w:sz w:val="24"/>
          <w:szCs w:val="24"/>
          <w:rtl/>
        </w:rPr>
        <w:t>ה</w:t>
      </w:r>
      <w:r w:rsidRPr="004D5286">
        <w:rPr>
          <w:rFonts w:ascii="David" w:hAnsi="David" w:cs="David"/>
          <w:sz w:val="24"/>
          <w:szCs w:val="24"/>
          <w:rtl/>
        </w:rPr>
        <w:t xml:space="preserve"> שמא יטביל בכלי שאין בפיו כשפופרת הנוד</w:t>
      </w:r>
      <w:r>
        <w:rPr>
          <w:rFonts w:ascii="David" w:hAnsi="David" w:cs="David" w:hint="cs"/>
          <w:sz w:val="24"/>
          <w:szCs w:val="24"/>
          <w:rtl/>
        </w:rPr>
        <w:t>-</w:t>
      </w:r>
      <w:r w:rsidRPr="004D5286">
        <w:rPr>
          <w:rFonts w:ascii="David" w:hAnsi="David" w:cs="David"/>
          <w:sz w:val="24"/>
          <w:szCs w:val="24"/>
          <w:rtl/>
        </w:rPr>
        <w:t xml:space="preserve"> כ"ש דאיכא למיגזר בכלים כהני כיון שהן קטנים לעולם</w:t>
      </w:r>
      <w:r>
        <w:rPr>
          <w:rFonts w:ascii="David" w:hAnsi="David" w:cs="David" w:hint="cs"/>
          <w:sz w:val="24"/>
          <w:szCs w:val="24"/>
          <w:rtl/>
        </w:rPr>
        <w:t>,</w:t>
      </w:r>
      <w:r w:rsidRPr="004D5286">
        <w:rPr>
          <w:rFonts w:ascii="David" w:hAnsi="David" w:cs="David"/>
          <w:sz w:val="24"/>
          <w:szCs w:val="24"/>
          <w:rtl/>
        </w:rPr>
        <w:t xml:space="preserve"> ואפשר להטבילן בכלי שפיו קצר</w:t>
      </w:r>
      <w:r>
        <w:rPr>
          <w:rFonts w:ascii="David" w:hAnsi="David" w:cs="David" w:hint="cs"/>
          <w:sz w:val="24"/>
          <w:szCs w:val="24"/>
          <w:rtl/>
        </w:rPr>
        <w:t>"</w:t>
      </w:r>
      <w:r w:rsidRPr="004D5286">
        <w:rPr>
          <w:rFonts w:ascii="David" w:hAnsi="David" w:cs="David"/>
          <w:sz w:val="24"/>
          <w:szCs w:val="24"/>
          <w:rtl/>
        </w:rPr>
        <w:t>.</w:t>
      </w:r>
      <w:r w:rsidRPr="004D5286">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אלא שלדעתו רבי אילא מחמיר </w:t>
      </w:r>
      <w:r w:rsidRPr="004D5286">
        <w:rPr>
          <w:rFonts w:asciiTheme="majorBidi" w:hAnsiTheme="majorBidi" w:cstheme="majorBidi" w:hint="cs"/>
          <w:b/>
          <w:bCs/>
          <w:sz w:val="24"/>
          <w:szCs w:val="24"/>
          <w:rtl/>
        </w:rPr>
        <w:t>גם</w:t>
      </w:r>
      <w:r>
        <w:rPr>
          <w:rFonts w:asciiTheme="majorBidi" w:hAnsiTheme="majorBidi" w:cstheme="majorBidi" w:hint="cs"/>
          <w:sz w:val="24"/>
          <w:szCs w:val="24"/>
          <w:rtl/>
        </w:rPr>
        <w:t xml:space="preserve"> כטעמו של רבא, שמא יטביל.</w:t>
      </w:r>
    </w:p>
    <w:p w14:paraId="5693F868" w14:textId="1091666D" w:rsidR="00F9351E" w:rsidRDefault="00E512FA" w:rsidP="00E512FA">
      <w:pPr>
        <w:pStyle w:val="aa"/>
        <w:numPr>
          <w:ilvl w:val="0"/>
          <w:numId w:val="1"/>
        </w:numPr>
        <w:spacing w:after="0" w:line="360" w:lineRule="auto"/>
        <w:rPr>
          <w:rFonts w:asciiTheme="majorBidi" w:hAnsiTheme="majorBidi" w:cstheme="majorBidi"/>
          <w:b/>
          <w:bCs/>
          <w:sz w:val="24"/>
          <w:szCs w:val="24"/>
        </w:rPr>
      </w:pPr>
      <w:r w:rsidRPr="00E512FA">
        <w:rPr>
          <w:rFonts w:asciiTheme="majorBidi" w:hAnsiTheme="majorBidi" w:cstheme="majorBidi" w:hint="cs"/>
          <w:b/>
          <w:bCs/>
          <w:sz w:val="24"/>
          <w:szCs w:val="24"/>
          <w:rtl/>
        </w:rPr>
        <w:t>כלי טמא בתוך כלי טמא</w:t>
      </w:r>
    </w:p>
    <w:p w14:paraId="0A917589" w14:textId="0671B17E" w:rsidR="00304000" w:rsidRPr="00304000" w:rsidRDefault="00304000" w:rsidP="00304000">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בעזרת משנה, הגמרא מסייגת את הדין: </w:t>
      </w:r>
    </w:p>
    <w:p w14:paraId="2B1D4397" w14:textId="0AA33D00" w:rsidR="00B50B4E" w:rsidRPr="00B50B4E" w:rsidRDefault="00304000" w:rsidP="00B50B4E">
      <w:pPr>
        <w:spacing w:after="0" w:line="360" w:lineRule="auto"/>
        <w:ind w:left="360"/>
        <w:rPr>
          <w:rFonts w:asciiTheme="majorBidi" w:hAnsiTheme="majorBidi" w:cstheme="majorBidi"/>
          <w:sz w:val="24"/>
          <w:szCs w:val="24"/>
          <w:rtl/>
        </w:rPr>
      </w:pPr>
      <w:r w:rsidRPr="00304000">
        <w:rPr>
          <w:rFonts w:ascii="David" w:hAnsi="David" w:cs="David"/>
          <w:sz w:val="24"/>
          <w:szCs w:val="24"/>
          <w:rtl/>
        </w:rPr>
        <w:t>"הני מילי - בכלי טהור, אבל בכלי טמא - מיגו דסלקא טבילה לכוליה גופיה דמנא - סלקא להו נמי לכלים דאית ביה</w:t>
      </w:r>
      <w:r w:rsidRPr="00304000">
        <w:rPr>
          <w:rStyle w:val="a5"/>
          <w:rFonts w:ascii="David" w:hAnsi="David" w:cs="David"/>
          <w:sz w:val="24"/>
          <w:szCs w:val="24"/>
          <w:rtl/>
        </w:rPr>
        <w:footnoteReference w:id="13"/>
      </w:r>
      <w:r>
        <w:rPr>
          <w:rFonts w:ascii="David" w:hAnsi="David" w:cs="David" w:hint="cs"/>
          <w:sz w:val="24"/>
          <w:szCs w:val="24"/>
          <w:rtl/>
        </w:rPr>
        <w:t>"</w:t>
      </w:r>
      <w:r w:rsidRPr="00304000">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כלומר: אם היה </w:t>
      </w:r>
      <w:r>
        <w:rPr>
          <w:rFonts w:ascii="David" w:hAnsi="David" w:cs="David" w:hint="cs"/>
          <w:sz w:val="24"/>
          <w:szCs w:val="24"/>
          <w:rtl/>
        </w:rPr>
        <w:t>"</w:t>
      </w:r>
      <w:r w:rsidRPr="00304000">
        <w:rPr>
          <w:rFonts w:ascii="David" w:hAnsi="David" w:cs="David"/>
          <w:sz w:val="24"/>
          <w:szCs w:val="24"/>
          <w:rtl/>
        </w:rPr>
        <w:t>הכלי החיצון צריך להטביל.</w:t>
      </w:r>
      <w:r>
        <w:rPr>
          <w:rFonts w:asciiTheme="majorBidi" w:hAnsiTheme="majorBidi" w:cstheme="majorBidi" w:hint="cs"/>
          <w:sz w:val="24"/>
          <w:szCs w:val="24"/>
          <w:rtl/>
        </w:rPr>
        <w:t xml:space="preserve">.. </w:t>
      </w:r>
      <w:r w:rsidRPr="00304000">
        <w:rPr>
          <w:rFonts w:ascii="David" w:hAnsi="David" w:cs="David"/>
          <w:sz w:val="24"/>
          <w:szCs w:val="24"/>
          <w:rtl/>
        </w:rPr>
        <w:t>מיגו דסלקא טבילה לגופו של כלי - ליטהר תוכו על ידי מים הנכנסין דרך פיו, דכטומאתו כן טהרתו - סלקא נמי טבילה לכלים שבתוכו</w:t>
      </w:r>
      <w:r>
        <w:rPr>
          <w:rStyle w:val="a5"/>
          <w:rFonts w:ascii="David" w:hAnsi="David" w:cs="David"/>
          <w:sz w:val="24"/>
          <w:szCs w:val="24"/>
          <w:rtl/>
        </w:rPr>
        <w:footnoteReference w:id="14"/>
      </w:r>
      <w:r>
        <w:rPr>
          <w:rFonts w:ascii="David" w:hAnsi="David" w:cs="David" w:hint="cs"/>
          <w:sz w:val="24"/>
          <w:szCs w:val="24"/>
          <w:rtl/>
        </w:rPr>
        <w:t>"</w:t>
      </w:r>
      <w:r w:rsidRPr="00304000">
        <w:rPr>
          <w:rFonts w:ascii="David" w:hAnsi="David" w:cs="David"/>
          <w:sz w:val="24"/>
          <w:szCs w:val="24"/>
          <w:rtl/>
        </w:rPr>
        <w:t>.</w:t>
      </w:r>
      <w:r w:rsidR="00E64B2D">
        <w:rPr>
          <w:rFonts w:asciiTheme="majorBidi" w:hAnsiTheme="majorBidi" w:cstheme="majorBidi" w:hint="cs"/>
          <w:sz w:val="24"/>
          <w:szCs w:val="24"/>
          <w:rtl/>
        </w:rPr>
        <w:t xml:space="preserve"> בפשטות הכוונה שאז הטבילה מועילה הן ל</w:t>
      </w:r>
      <w:r w:rsidR="0031630A">
        <w:rPr>
          <w:rFonts w:asciiTheme="majorBidi" w:hAnsiTheme="majorBidi" w:cstheme="majorBidi" w:hint="cs"/>
          <w:sz w:val="24"/>
          <w:szCs w:val="24"/>
          <w:rtl/>
        </w:rPr>
        <w:t>תרומה</w:t>
      </w:r>
      <w:r w:rsidR="00E64B2D">
        <w:rPr>
          <w:rFonts w:asciiTheme="majorBidi" w:hAnsiTheme="majorBidi" w:cstheme="majorBidi" w:hint="cs"/>
          <w:sz w:val="24"/>
          <w:szCs w:val="24"/>
          <w:rtl/>
        </w:rPr>
        <w:t xml:space="preserve"> והן ל</w:t>
      </w:r>
      <w:r w:rsidR="0031630A">
        <w:rPr>
          <w:rFonts w:asciiTheme="majorBidi" w:hAnsiTheme="majorBidi" w:cstheme="majorBidi" w:hint="cs"/>
          <w:sz w:val="24"/>
          <w:szCs w:val="24"/>
          <w:rtl/>
        </w:rPr>
        <w:t>קודש</w:t>
      </w:r>
      <w:r w:rsidR="00E64B2D">
        <w:rPr>
          <w:rFonts w:asciiTheme="majorBidi" w:hAnsiTheme="majorBidi" w:cstheme="majorBidi" w:hint="cs"/>
          <w:sz w:val="24"/>
          <w:szCs w:val="24"/>
          <w:rtl/>
        </w:rPr>
        <w:t xml:space="preserve">. אולם רש"י עצמו כתב אחרת: </w:t>
      </w:r>
      <w:r w:rsidR="00E64B2D">
        <w:rPr>
          <w:rFonts w:asciiTheme="majorBidi" w:hAnsiTheme="majorBidi" w:cs="Times New Roman" w:hint="cs"/>
          <w:sz w:val="24"/>
          <w:szCs w:val="24"/>
          <w:rtl/>
        </w:rPr>
        <w:t xml:space="preserve"> </w:t>
      </w:r>
      <w:r w:rsidR="00962C81">
        <w:rPr>
          <w:rFonts w:ascii="David" w:hAnsi="David" w:cs="David" w:hint="cs"/>
          <w:sz w:val="24"/>
          <w:szCs w:val="24"/>
          <w:rtl/>
        </w:rPr>
        <w:t>"</w:t>
      </w:r>
      <w:r w:rsidR="00E64B2D" w:rsidRPr="00962C81">
        <w:rPr>
          <w:rFonts w:ascii="David" w:hAnsi="David" w:cs="David"/>
          <w:sz w:val="24"/>
          <w:szCs w:val="24"/>
          <w:rtl/>
        </w:rPr>
        <w:t xml:space="preserve">הרי אלו טהורין </w:t>
      </w:r>
      <w:r w:rsidR="00962C81" w:rsidRPr="00962C81">
        <w:rPr>
          <w:rFonts w:ascii="David" w:hAnsi="David" w:cs="David"/>
          <w:sz w:val="24"/>
          <w:szCs w:val="24"/>
          <w:rtl/>
        </w:rPr>
        <w:t>–</w:t>
      </w:r>
      <w:r w:rsidR="00E64B2D" w:rsidRPr="00962C81">
        <w:rPr>
          <w:rFonts w:ascii="David" w:hAnsi="David" w:cs="David"/>
          <w:sz w:val="24"/>
          <w:szCs w:val="24"/>
          <w:rtl/>
        </w:rPr>
        <w:t xml:space="preserve"> לתרומה</w:t>
      </w:r>
      <w:r w:rsidR="00962C81">
        <w:rPr>
          <w:rFonts w:ascii="David" w:hAnsi="David" w:cs="David" w:hint="cs"/>
          <w:sz w:val="24"/>
          <w:szCs w:val="24"/>
          <w:rtl/>
        </w:rPr>
        <w:t>"</w:t>
      </w:r>
      <w:r w:rsidR="00962C81">
        <w:rPr>
          <w:rFonts w:asciiTheme="majorBidi" w:hAnsiTheme="majorBidi" w:cstheme="majorBidi" w:hint="cs"/>
          <w:sz w:val="24"/>
          <w:szCs w:val="24"/>
          <w:rtl/>
        </w:rPr>
        <w:t xml:space="preserve"> </w:t>
      </w:r>
      <w:r w:rsidR="00962C81">
        <w:rPr>
          <w:rFonts w:asciiTheme="majorBidi" w:hAnsiTheme="majorBidi" w:cs="Times New Roman" w:hint="cs"/>
          <w:sz w:val="24"/>
          <w:szCs w:val="24"/>
          <w:rtl/>
        </w:rPr>
        <w:t xml:space="preserve">וכן בתחילת המשנה כתב: </w:t>
      </w:r>
      <w:r w:rsidR="00962C81">
        <w:rPr>
          <w:rFonts w:ascii="David" w:hAnsi="David" w:cs="David" w:hint="cs"/>
          <w:sz w:val="24"/>
          <w:szCs w:val="24"/>
          <w:rtl/>
        </w:rPr>
        <w:t>"</w:t>
      </w:r>
      <w:r w:rsidR="00962C81" w:rsidRPr="00962C81">
        <w:rPr>
          <w:rFonts w:ascii="David" w:hAnsi="David" w:cs="David"/>
          <w:sz w:val="24"/>
          <w:szCs w:val="24"/>
          <w:rtl/>
        </w:rPr>
        <w:t>ששניהם טמאים</w:t>
      </w:r>
      <w:r w:rsidR="00962C81">
        <w:rPr>
          <w:rFonts w:ascii="David" w:hAnsi="David" w:cs="David" w:hint="cs"/>
          <w:sz w:val="24"/>
          <w:szCs w:val="24"/>
          <w:rtl/>
        </w:rPr>
        <w:t>"</w:t>
      </w:r>
      <w:r w:rsidR="00962C81" w:rsidRPr="00962C81">
        <w:rPr>
          <w:rFonts w:ascii="David" w:hAnsi="David" w:cs="David"/>
          <w:sz w:val="24"/>
          <w:szCs w:val="24"/>
          <w:rtl/>
        </w:rPr>
        <w:t>.</w:t>
      </w:r>
      <w:r w:rsidR="007603F5">
        <w:rPr>
          <w:rFonts w:asciiTheme="majorBidi" w:hAnsiTheme="majorBidi" w:cstheme="majorBidi" w:hint="cs"/>
          <w:sz w:val="24"/>
          <w:szCs w:val="24"/>
          <w:rtl/>
        </w:rPr>
        <w:t xml:space="preserve"> המהרש"א מסביר שלדעת רש"י הקולא היא בוויתור על ע</w:t>
      </w:r>
      <w:r w:rsidR="00F9337D">
        <w:rPr>
          <w:rFonts w:asciiTheme="majorBidi" w:hAnsiTheme="majorBidi" w:cstheme="majorBidi" w:hint="cs"/>
          <w:sz w:val="24"/>
          <w:szCs w:val="24"/>
          <w:rtl/>
        </w:rPr>
        <w:t>ו</w:t>
      </w:r>
      <w:r w:rsidR="007603F5">
        <w:rPr>
          <w:rFonts w:asciiTheme="majorBidi" w:hAnsiTheme="majorBidi" w:cstheme="majorBidi" w:hint="cs"/>
          <w:sz w:val="24"/>
          <w:szCs w:val="24"/>
          <w:rtl/>
        </w:rPr>
        <w:t xml:space="preserve">בי כשפופרת הנאד, אבל </w:t>
      </w:r>
      <w:r w:rsidR="00F9337D">
        <w:rPr>
          <w:rFonts w:asciiTheme="majorBidi" w:hAnsiTheme="majorBidi" w:cstheme="majorBidi" w:hint="cs"/>
          <w:sz w:val="24"/>
          <w:szCs w:val="24"/>
          <w:rtl/>
        </w:rPr>
        <w:t>כלי בתוך כלי לא עלתה לו טבילה ב</w:t>
      </w:r>
      <w:r w:rsidR="0031630A">
        <w:rPr>
          <w:rFonts w:asciiTheme="majorBidi" w:hAnsiTheme="majorBidi" w:cstheme="majorBidi" w:hint="cs"/>
          <w:sz w:val="24"/>
          <w:szCs w:val="24"/>
          <w:rtl/>
        </w:rPr>
        <w:t>קודש</w:t>
      </w:r>
      <w:r w:rsidR="00F9337D">
        <w:rPr>
          <w:rFonts w:asciiTheme="majorBidi" w:hAnsiTheme="majorBidi" w:cstheme="majorBidi" w:hint="cs"/>
          <w:sz w:val="24"/>
          <w:szCs w:val="24"/>
          <w:rtl/>
        </w:rPr>
        <w:t xml:space="preserve"> אף כשהחיצון טמא. בעלי התוספות</w:t>
      </w:r>
      <w:r w:rsidR="00F9337D">
        <w:rPr>
          <w:rStyle w:val="a5"/>
          <w:rFonts w:asciiTheme="majorBidi" w:hAnsiTheme="majorBidi" w:cstheme="majorBidi"/>
          <w:sz w:val="24"/>
          <w:szCs w:val="24"/>
          <w:rtl/>
        </w:rPr>
        <w:footnoteReference w:id="15"/>
      </w:r>
      <w:r w:rsidR="00F9337D">
        <w:rPr>
          <w:rFonts w:asciiTheme="majorBidi" w:hAnsiTheme="majorBidi" w:cstheme="majorBidi" w:hint="cs"/>
          <w:sz w:val="24"/>
          <w:szCs w:val="24"/>
          <w:rtl/>
        </w:rPr>
        <w:t xml:space="preserve"> חולקים בזה. לדעתם </w:t>
      </w:r>
      <w:r w:rsidR="00B50B4E">
        <w:rPr>
          <w:rFonts w:asciiTheme="majorBidi" w:hAnsiTheme="majorBidi" w:cs="Times New Roman" w:hint="cs"/>
          <w:sz w:val="24"/>
          <w:szCs w:val="24"/>
          <w:rtl/>
        </w:rPr>
        <w:t xml:space="preserve"> </w:t>
      </w:r>
    </w:p>
    <w:p w14:paraId="23480824" w14:textId="59910EC3" w:rsidR="000863D5" w:rsidRPr="000863D5" w:rsidRDefault="00B50B4E" w:rsidP="000863D5">
      <w:pPr>
        <w:spacing w:after="0" w:line="360" w:lineRule="auto"/>
        <w:ind w:left="360"/>
        <w:rPr>
          <w:rFonts w:ascii="David" w:hAnsi="David" w:cs="David"/>
          <w:sz w:val="24"/>
          <w:szCs w:val="24"/>
          <w:rtl/>
        </w:rPr>
      </w:pPr>
      <w:r>
        <w:rPr>
          <w:rFonts w:ascii="David" w:hAnsi="David" w:cs="David" w:hint="cs"/>
          <w:sz w:val="24"/>
          <w:szCs w:val="24"/>
          <w:rtl/>
        </w:rPr>
        <w:t>"</w:t>
      </w:r>
      <w:r w:rsidRPr="00B50B4E">
        <w:rPr>
          <w:rFonts w:ascii="David" w:hAnsi="David" w:cs="David"/>
          <w:sz w:val="24"/>
          <w:szCs w:val="24"/>
          <w:rtl/>
        </w:rPr>
        <w:t>אפי' בכלי שאין בפיו כשפופרת הנוד</w:t>
      </w:r>
      <w:r w:rsidR="000863D5">
        <w:rPr>
          <w:rFonts w:ascii="David" w:hAnsi="David" w:cs="David" w:hint="cs"/>
          <w:sz w:val="24"/>
          <w:szCs w:val="24"/>
          <w:rtl/>
        </w:rPr>
        <w:t xml:space="preserve">, </w:t>
      </w:r>
      <w:r w:rsidRPr="00B50B4E">
        <w:rPr>
          <w:rFonts w:ascii="David" w:hAnsi="David" w:cs="David"/>
          <w:sz w:val="24"/>
          <w:szCs w:val="24"/>
          <w:rtl/>
        </w:rPr>
        <w:t>אם היו שניהם טמאים מהני שפיר</w:t>
      </w:r>
      <w:r>
        <w:rPr>
          <w:rFonts w:ascii="David" w:hAnsi="David" w:cs="David" w:hint="cs"/>
          <w:sz w:val="24"/>
          <w:szCs w:val="24"/>
          <w:rtl/>
        </w:rPr>
        <w:t>,</w:t>
      </w:r>
      <w:r w:rsidRPr="00B50B4E">
        <w:rPr>
          <w:rFonts w:ascii="David" w:hAnsi="David" w:cs="David"/>
          <w:sz w:val="24"/>
          <w:szCs w:val="24"/>
          <w:rtl/>
        </w:rPr>
        <w:t xml:space="preserve"> דמגו דסלקא לחיצון</w:t>
      </w:r>
      <w:r>
        <w:rPr>
          <w:rFonts w:ascii="David" w:hAnsi="David" w:cs="David" w:hint="cs"/>
          <w:sz w:val="24"/>
          <w:szCs w:val="24"/>
          <w:rtl/>
        </w:rPr>
        <w:t>".</w:t>
      </w:r>
      <w:r w:rsidR="000863D5">
        <w:rPr>
          <w:rFonts w:ascii="David" w:hAnsi="David" w:cs="David" w:hint="cs"/>
          <w:sz w:val="24"/>
          <w:szCs w:val="24"/>
          <w:rtl/>
        </w:rPr>
        <w:t xml:space="preserve"> </w:t>
      </w:r>
      <w:r w:rsidR="000863D5" w:rsidRPr="000863D5">
        <w:rPr>
          <w:rFonts w:asciiTheme="majorBidi" w:hAnsiTheme="majorBidi" w:cstheme="majorBidi"/>
          <w:sz w:val="24"/>
          <w:szCs w:val="24"/>
          <w:rtl/>
        </w:rPr>
        <w:t>המאירי</w:t>
      </w:r>
      <w:r w:rsidR="000863D5" w:rsidRPr="000863D5">
        <w:rPr>
          <w:rStyle w:val="a5"/>
          <w:rFonts w:asciiTheme="majorBidi" w:hAnsiTheme="majorBidi" w:cstheme="majorBidi"/>
          <w:sz w:val="24"/>
          <w:szCs w:val="24"/>
          <w:rtl/>
        </w:rPr>
        <w:footnoteReference w:id="16"/>
      </w:r>
      <w:r w:rsidR="000863D5" w:rsidRPr="000863D5">
        <w:rPr>
          <w:rFonts w:asciiTheme="majorBidi" w:hAnsiTheme="majorBidi" w:cstheme="majorBidi"/>
          <w:sz w:val="24"/>
          <w:szCs w:val="24"/>
          <w:rtl/>
        </w:rPr>
        <w:t xml:space="preserve"> מביא פירוש, שניתן לוותר רק על תנאי אחד</w:t>
      </w:r>
      <w:r w:rsidR="000863D5">
        <w:rPr>
          <w:rFonts w:asciiTheme="majorBidi" w:hAnsiTheme="majorBidi" w:cstheme="majorBidi" w:hint="cs"/>
          <w:sz w:val="24"/>
          <w:szCs w:val="24"/>
          <w:rtl/>
        </w:rPr>
        <w:t>, ומתירים כלי בתוך כלי</w:t>
      </w:r>
      <w:r w:rsidR="000863D5" w:rsidRPr="000863D5">
        <w:rPr>
          <w:rFonts w:asciiTheme="majorBidi" w:hAnsiTheme="majorBidi" w:cstheme="majorBidi"/>
          <w:sz w:val="24"/>
          <w:szCs w:val="24"/>
          <w:rtl/>
        </w:rPr>
        <w:t>:</w:t>
      </w:r>
      <w:r w:rsidR="000863D5">
        <w:rPr>
          <w:rFonts w:ascii="David" w:hAnsi="David" w:cs="David" w:hint="cs"/>
          <w:sz w:val="24"/>
          <w:szCs w:val="24"/>
          <w:rtl/>
        </w:rPr>
        <w:t xml:space="preserve">  </w:t>
      </w:r>
    </w:p>
    <w:p w14:paraId="71522265" w14:textId="480B2DA8" w:rsidR="00020824" w:rsidRPr="00020824" w:rsidRDefault="000863D5" w:rsidP="00020824">
      <w:pPr>
        <w:spacing w:after="0" w:line="360" w:lineRule="auto"/>
        <w:ind w:left="360"/>
        <w:rPr>
          <w:rFonts w:asciiTheme="majorBidi" w:hAnsiTheme="majorBidi" w:cstheme="majorBidi"/>
          <w:sz w:val="24"/>
          <w:szCs w:val="24"/>
          <w:rtl/>
        </w:rPr>
      </w:pPr>
      <w:r>
        <w:rPr>
          <w:rFonts w:ascii="David" w:hAnsi="David" w:cs="David" w:hint="cs"/>
          <w:sz w:val="24"/>
          <w:szCs w:val="24"/>
          <w:rtl/>
        </w:rPr>
        <w:t>"</w:t>
      </w:r>
      <w:r w:rsidRPr="000863D5">
        <w:rPr>
          <w:rFonts w:ascii="David" w:hAnsi="David" w:cs="David"/>
          <w:sz w:val="24"/>
          <w:szCs w:val="24"/>
          <w:rtl/>
        </w:rPr>
        <w:t>הני מילי דלא סלקא טבילה בכלי בתוך כלי אף כשהחיצון רחב</w:t>
      </w:r>
      <w:r>
        <w:rPr>
          <w:rFonts w:ascii="David" w:hAnsi="David" w:cs="David" w:hint="cs"/>
          <w:sz w:val="24"/>
          <w:szCs w:val="24"/>
          <w:rtl/>
        </w:rPr>
        <w:t>,</w:t>
      </w:r>
      <w:r w:rsidRPr="000863D5">
        <w:rPr>
          <w:rFonts w:ascii="David" w:hAnsi="David" w:cs="David"/>
          <w:sz w:val="24"/>
          <w:szCs w:val="24"/>
          <w:rtl/>
        </w:rPr>
        <w:t xml:space="preserve"> דוקא חיצון טהור</w:t>
      </w:r>
      <w:r>
        <w:rPr>
          <w:rFonts w:ascii="David" w:hAnsi="David" w:cs="David" w:hint="cs"/>
          <w:sz w:val="24"/>
          <w:szCs w:val="24"/>
          <w:rtl/>
        </w:rPr>
        <w:t>.</w:t>
      </w:r>
      <w:r w:rsidRPr="000863D5">
        <w:rPr>
          <w:rFonts w:ascii="David" w:hAnsi="David" w:cs="David"/>
          <w:sz w:val="24"/>
          <w:szCs w:val="24"/>
          <w:rtl/>
        </w:rPr>
        <w:t xml:space="preserve"> הא נטמא</w:t>
      </w:r>
      <w:r>
        <w:rPr>
          <w:rFonts w:ascii="David" w:hAnsi="David" w:cs="David" w:hint="cs"/>
          <w:sz w:val="24"/>
          <w:szCs w:val="24"/>
          <w:rtl/>
        </w:rPr>
        <w:t>-</w:t>
      </w:r>
      <w:r w:rsidRPr="000863D5">
        <w:rPr>
          <w:rFonts w:ascii="David" w:hAnsi="David" w:cs="David"/>
          <w:sz w:val="24"/>
          <w:szCs w:val="24"/>
          <w:rtl/>
        </w:rPr>
        <w:t xml:space="preserve"> מותר ואין גוזרי'</w:t>
      </w:r>
      <w:r>
        <w:rPr>
          <w:rFonts w:ascii="David" w:hAnsi="David" w:cs="David" w:hint="cs"/>
          <w:sz w:val="24"/>
          <w:szCs w:val="24"/>
          <w:rtl/>
        </w:rPr>
        <w:t>.</w:t>
      </w:r>
      <w:r w:rsidRPr="000863D5">
        <w:rPr>
          <w:rFonts w:ascii="David" w:hAnsi="David" w:cs="David"/>
          <w:sz w:val="24"/>
          <w:szCs w:val="24"/>
          <w:rtl/>
        </w:rPr>
        <w:t xml:space="preserve"> הא כל שאין שם כשפופרת הנאד</w:t>
      </w:r>
      <w:r>
        <w:rPr>
          <w:rFonts w:ascii="David" w:hAnsi="David" w:cs="David" w:hint="cs"/>
          <w:sz w:val="24"/>
          <w:szCs w:val="24"/>
          <w:rtl/>
        </w:rPr>
        <w:t>-</w:t>
      </w:r>
      <w:r w:rsidRPr="000863D5">
        <w:rPr>
          <w:rFonts w:ascii="David" w:hAnsi="David" w:cs="David"/>
          <w:sz w:val="24"/>
          <w:szCs w:val="24"/>
          <w:rtl/>
        </w:rPr>
        <w:t xml:space="preserve"> אף בחיצון טמא לא עלתה טבילה למה שבתוכו</w:t>
      </w:r>
      <w:r w:rsidR="00112B75">
        <w:rPr>
          <w:rFonts w:ascii="David" w:hAnsi="David" w:cs="David" w:hint="cs"/>
          <w:sz w:val="24"/>
          <w:szCs w:val="24"/>
          <w:rtl/>
        </w:rPr>
        <w:t xml:space="preserve">". </w:t>
      </w:r>
      <w:r w:rsidR="00112B75">
        <w:rPr>
          <w:rFonts w:asciiTheme="majorBidi" w:hAnsiTheme="majorBidi" w:cstheme="majorBidi" w:hint="cs"/>
          <w:sz w:val="24"/>
          <w:szCs w:val="24"/>
          <w:rtl/>
        </w:rPr>
        <w:t xml:space="preserve"> </w:t>
      </w:r>
      <w:r w:rsidR="00112B75" w:rsidRPr="00112B75">
        <w:rPr>
          <w:rFonts w:asciiTheme="majorBidi" w:hAnsiTheme="majorBidi" w:cstheme="majorBidi"/>
          <w:sz w:val="24"/>
          <w:szCs w:val="24"/>
          <w:rtl/>
        </w:rPr>
        <w:t xml:space="preserve"> </w:t>
      </w:r>
      <w:r w:rsidR="00020824">
        <w:rPr>
          <w:rFonts w:asciiTheme="majorBidi" w:hAnsiTheme="majorBidi" w:cstheme="majorBidi" w:hint="cs"/>
          <w:sz w:val="24"/>
          <w:szCs w:val="24"/>
          <w:rtl/>
        </w:rPr>
        <w:t xml:space="preserve">יתכן שזו גם דעת </w:t>
      </w:r>
      <w:r w:rsidR="00112B75">
        <w:rPr>
          <w:rFonts w:asciiTheme="majorBidi" w:hAnsiTheme="majorBidi" w:cstheme="majorBidi" w:hint="cs"/>
          <w:sz w:val="24"/>
          <w:szCs w:val="24"/>
          <w:rtl/>
        </w:rPr>
        <w:t xml:space="preserve">הרמב"ם </w:t>
      </w:r>
      <w:r w:rsidR="00020824">
        <w:rPr>
          <w:rFonts w:asciiTheme="majorBidi" w:hAnsiTheme="majorBidi" w:cstheme="majorBidi" w:hint="cs"/>
          <w:sz w:val="24"/>
          <w:szCs w:val="24"/>
          <w:rtl/>
        </w:rPr>
        <w:t>ש</w:t>
      </w:r>
      <w:r w:rsidR="00112B75">
        <w:rPr>
          <w:rFonts w:asciiTheme="majorBidi" w:hAnsiTheme="majorBidi" w:cstheme="majorBidi" w:hint="cs"/>
          <w:sz w:val="24"/>
          <w:szCs w:val="24"/>
          <w:rtl/>
        </w:rPr>
        <w:t xml:space="preserve">פסק: </w:t>
      </w:r>
      <w:r w:rsidR="00112B75">
        <w:rPr>
          <w:rFonts w:ascii="David" w:hAnsi="David" w:cs="David" w:hint="cs"/>
          <w:sz w:val="24"/>
          <w:szCs w:val="24"/>
          <w:rtl/>
        </w:rPr>
        <w:t>"</w:t>
      </w:r>
      <w:r w:rsidR="00112B75" w:rsidRPr="00112B75">
        <w:rPr>
          <w:rFonts w:ascii="David" w:hAnsi="David" w:cs="David"/>
          <w:sz w:val="24"/>
          <w:szCs w:val="24"/>
          <w:rtl/>
        </w:rPr>
        <w:t>אם היה טמא</w:t>
      </w:r>
      <w:r w:rsidR="00020824">
        <w:rPr>
          <w:rFonts w:ascii="David" w:hAnsi="David" w:cs="David" w:hint="cs"/>
          <w:sz w:val="24"/>
          <w:szCs w:val="24"/>
          <w:rtl/>
        </w:rPr>
        <w:t>,</w:t>
      </w:r>
      <w:r w:rsidR="00112B75" w:rsidRPr="00112B75">
        <w:rPr>
          <w:rFonts w:ascii="David" w:hAnsi="David" w:cs="David"/>
          <w:sz w:val="24"/>
          <w:szCs w:val="24"/>
          <w:rtl/>
        </w:rPr>
        <w:t xml:space="preserve"> מתוך שעלתה לו טבילה עלתה טבילה לכלים שבתוכו אפילו להשתמש בהן בקדש</w:t>
      </w:r>
      <w:r w:rsidR="00112B75">
        <w:rPr>
          <w:rStyle w:val="a5"/>
          <w:rFonts w:ascii="David" w:hAnsi="David" w:cs="David"/>
          <w:sz w:val="24"/>
          <w:szCs w:val="24"/>
          <w:rtl/>
        </w:rPr>
        <w:footnoteReference w:id="17"/>
      </w:r>
      <w:r w:rsidR="00112B75">
        <w:rPr>
          <w:rFonts w:ascii="David" w:hAnsi="David" w:cs="David" w:hint="cs"/>
          <w:sz w:val="24"/>
          <w:szCs w:val="24"/>
          <w:rtl/>
        </w:rPr>
        <w:t>"</w:t>
      </w:r>
      <w:r w:rsidR="00112B75" w:rsidRPr="00112B75">
        <w:rPr>
          <w:rFonts w:ascii="David" w:hAnsi="David" w:cs="David"/>
          <w:sz w:val="24"/>
          <w:szCs w:val="24"/>
          <w:rtl/>
        </w:rPr>
        <w:t>.</w:t>
      </w:r>
      <w:r w:rsidR="00112B75">
        <w:rPr>
          <w:rFonts w:ascii="David" w:hAnsi="David" w:cs="David" w:hint="cs"/>
          <w:sz w:val="24"/>
          <w:szCs w:val="24"/>
          <w:rtl/>
        </w:rPr>
        <w:t xml:space="preserve"> </w:t>
      </w:r>
      <w:r w:rsidR="00020824">
        <w:rPr>
          <w:rFonts w:asciiTheme="majorBidi" w:hAnsiTheme="majorBidi" w:cstheme="majorBidi" w:hint="cs"/>
          <w:sz w:val="24"/>
          <w:szCs w:val="24"/>
          <w:rtl/>
        </w:rPr>
        <w:t>אולם בהלכות מקוואות סייג זאת:</w:t>
      </w:r>
    </w:p>
    <w:p w14:paraId="5BFE0D41" w14:textId="0FF71893" w:rsidR="00112B75" w:rsidRDefault="00020824" w:rsidP="00020824">
      <w:pPr>
        <w:spacing w:after="0" w:line="360" w:lineRule="auto"/>
        <w:ind w:left="360"/>
        <w:rPr>
          <w:rFonts w:ascii="David" w:hAnsi="David" w:cs="David"/>
          <w:sz w:val="24"/>
          <w:szCs w:val="24"/>
          <w:rtl/>
        </w:rPr>
      </w:pPr>
      <w:r>
        <w:rPr>
          <w:rFonts w:ascii="David" w:hAnsi="David" w:cs="David" w:hint="cs"/>
          <w:sz w:val="24"/>
          <w:szCs w:val="24"/>
          <w:rtl/>
        </w:rPr>
        <w:t>"</w:t>
      </w:r>
      <w:r w:rsidRPr="00020824">
        <w:rPr>
          <w:rFonts w:ascii="David" w:hAnsi="David" w:cs="David"/>
          <w:sz w:val="24"/>
          <w:szCs w:val="24"/>
          <w:rtl/>
        </w:rPr>
        <w:t>כלי טמא שנתן בתוכו כלים אחרים והטביל הכל</w:t>
      </w:r>
      <w:r w:rsidR="00AC263E">
        <w:rPr>
          <w:rFonts w:ascii="David" w:hAnsi="David" w:cs="David" w:hint="cs"/>
          <w:sz w:val="24"/>
          <w:szCs w:val="24"/>
          <w:rtl/>
        </w:rPr>
        <w:t>-</w:t>
      </w:r>
      <w:r w:rsidRPr="00020824">
        <w:rPr>
          <w:rFonts w:ascii="David" w:hAnsi="David" w:cs="David"/>
          <w:sz w:val="24"/>
          <w:szCs w:val="24"/>
          <w:rtl/>
        </w:rPr>
        <w:t xml:space="preserve"> עלתה להן טבילה</w:t>
      </w:r>
      <w:r w:rsidR="00636E44">
        <w:rPr>
          <w:rFonts w:ascii="David" w:hAnsi="David" w:cs="David" w:hint="cs"/>
          <w:sz w:val="24"/>
          <w:szCs w:val="24"/>
          <w:rtl/>
        </w:rPr>
        <w:t>,</w:t>
      </w:r>
      <w:r w:rsidRPr="00020824">
        <w:rPr>
          <w:rFonts w:ascii="David" w:hAnsi="David" w:cs="David"/>
          <w:sz w:val="24"/>
          <w:szCs w:val="24"/>
          <w:rtl/>
        </w:rPr>
        <w:t xml:space="preserve"> אף על פי שפי הכלי צר ביותר</w:t>
      </w:r>
      <w:r w:rsidR="00636E44">
        <w:rPr>
          <w:rFonts w:ascii="David" w:hAnsi="David" w:cs="David" w:hint="cs"/>
          <w:sz w:val="24"/>
          <w:szCs w:val="24"/>
          <w:rtl/>
        </w:rPr>
        <w:t>.</w:t>
      </w:r>
      <w:r w:rsidRPr="00020824">
        <w:rPr>
          <w:rFonts w:ascii="David" w:hAnsi="David" w:cs="David"/>
          <w:sz w:val="24"/>
          <w:szCs w:val="24"/>
          <w:rtl/>
        </w:rPr>
        <w:t xml:space="preserve"> שהרי המים נכנסין לו</w:t>
      </w:r>
      <w:r w:rsidR="00636E44">
        <w:rPr>
          <w:rFonts w:ascii="David" w:hAnsi="David" w:cs="David" w:hint="cs"/>
          <w:sz w:val="24"/>
          <w:szCs w:val="24"/>
          <w:rtl/>
        </w:rPr>
        <w:t>,</w:t>
      </w:r>
      <w:r w:rsidRPr="00020824">
        <w:rPr>
          <w:rFonts w:ascii="David" w:hAnsi="David" w:cs="David"/>
          <w:sz w:val="24"/>
          <w:szCs w:val="24"/>
          <w:rtl/>
        </w:rPr>
        <w:t xml:space="preserve"> ומתוך שעלתה טבילה לכלי הגדול</w:t>
      </w:r>
      <w:r w:rsidR="00636E44">
        <w:rPr>
          <w:rFonts w:ascii="David" w:hAnsi="David" w:cs="David" w:hint="cs"/>
          <w:sz w:val="24"/>
          <w:szCs w:val="24"/>
          <w:rtl/>
        </w:rPr>
        <w:t>,</w:t>
      </w:r>
      <w:r w:rsidRPr="00020824">
        <w:rPr>
          <w:rFonts w:ascii="David" w:hAnsi="David" w:cs="David"/>
          <w:sz w:val="24"/>
          <w:szCs w:val="24"/>
          <w:rtl/>
        </w:rPr>
        <w:t xml:space="preserve"> עלתה טבילה לכלים שבתוכו</w:t>
      </w:r>
      <w:r>
        <w:rPr>
          <w:rFonts w:ascii="David" w:hAnsi="David" w:cs="David" w:hint="cs"/>
          <w:sz w:val="24"/>
          <w:szCs w:val="24"/>
          <w:rtl/>
        </w:rPr>
        <w:t xml:space="preserve">.. </w:t>
      </w:r>
      <w:r w:rsidRPr="00020824">
        <w:rPr>
          <w:rFonts w:ascii="David" w:hAnsi="David" w:cs="David"/>
          <w:sz w:val="24"/>
          <w:szCs w:val="24"/>
          <w:rtl/>
        </w:rPr>
        <w:t>היה הכלי טהור ונתן לתוכו כלים טמאים והטבילן</w:t>
      </w:r>
      <w:r w:rsidR="00636E44">
        <w:rPr>
          <w:rFonts w:ascii="David" w:hAnsi="David" w:cs="David" w:hint="cs"/>
          <w:sz w:val="24"/>
          <w:szCs w:val="24"/>
          <w:rtl/>
        </w:rPr>
        <w:t>-</w:t>
      </w:r>
      <w:r w:rsidRPr="00020824">
        <w:rPr>
          <w:rFonts w:ascii="David" w:hAnsi="David" w:cs="David"/>
          <w:sz w:val="24"/>
          <w:szCs w:val="24"/>
          <w:rtl/>
        </w:rPr>
        <w:t xml:space="preserve"> לא עלתה להן טבילה</w:t>
      </w:r>
      <w:r w:rsidR="00636E44">
        <w:rPr>
          <w:rFonts w:ascii="David" w:hAnsi="David" w:cs="David" w:hint="cs"/>
          <w:sz w:val="24"/>
          <w:szCs w:val="24"/>
          <w:rtl/>
        </w:rPr>
        <w:t>,</w:t>
      </w:r>
      <w:r w:rsidRPr="00020824">
        <w:rPr>
          <w:rFonts w:ascii="David" w:hAnsi="David" w:cs="David"/>
          <w:sz w:val="24"/>
          <w:szCs w:val="24"/>
          <w:rtl/>
        </w:rPr>
        <w:t xml:space="preserve"> עד שיהיה פיו רחב כשפופרת הנוד</w:t>
      </w:r>
      <w:r w:rsidR="00636E44">
        <w:rPr>
          <w:rFonts w:ascii="David" w:hAnsi="David" w:cs="David" w:hint="cs"/>
          <w:sz w:val="24"/>
          <w:szCs w:val="24"/>
          <w:rtl/>
        </w:rPr>
        <w:t>.</w:t>
      </w:r>
      <w:r w:rsidRPr="00020824">
        <w:rPr>
          <w:rFonts w:ascii="David" w:hAnsi="David" w:cs="David"/>
          <w:sz w:val="24"/>
          <w:szCs w:val="24"/>
          <w:rtl/>
        </w:rPr>
        <w:t xml:space="preserve"> בד"א לתרומה</w:t>
      </w:r>
      <w:r w:rsidR="00636E44">
        <w:rPr>
          <w:rFonts w:ascii="David" w:hAnsi="David" w:cs="David" w:hint="cs"/>
          <w:sz w:val="24"/>
          <w:szCs w:val="24"/>
          <w:rtl/>
        </w:rPr>
        <w:t>,</w:t>
      </w:r>
      <w:r w:rsidRPr="00020824">
        <w:rPr>
          <w:rFonts w:ascii="David" w:hAnsi="David" w:cs="David"/>
          <w:sz w:val="24"/>
          <w:szCs w:val="24"/>
          <w:rtl/>
        </w:rPr>
        <w:t xml:space="preserve"> אבל לקדש אין מטבילין כלים לתוך כלים טהורין כלל</w:t>
      </w:r>
      <w:r w:rsidR="00636E44">
        <w:rPr>
          <w:rFonts w:ascii="David" w:hAnsi="David" w:cs="David" w:hint="cs"/>
          <w:sz w:val="24"/>
          <w:szCs w:val="24"/>
          <w:rtl/>
        </w:rPr>
        <w:t>,</w:t>
      </w:r>
      <w:r w:rsidRPr="00020824">
        <w:rPr>
          <w:rFonts w:ascii="David" w:hAnsi="David" w:cs="David"/>
          <w:sz w:val="24"/>
          <w:szCs w:val="24"/>
          <w:rtl/>
        </w:rPr>
        <w:t xml:space="preserve"> ואפילו היו בסל או בקופה כמו שביארנו למעלה במקומו</w:t>
      </w:r>
      <w:r>
        <w:rPr>
          <w:rStyle w:val="a5"/>
          <w:rFonts w:ascii="David" w:hAnsi="David" w:cs="David"/>
          <w:sz w:val="24"/>
          <w:szCs w:val="24"/>
          <w:rtl/>
        </w:rPr>
        <w:footnoteReference w:id="18"/>
      </w:r>
      <w:r>
        <w:rPr>
          <w:rFonts w:ascii="David" w:hAnsi="David" w:cs="David" w:hint="cs"/>
          <w:sz w:val="24"/>
          <w:szCs w:val="24"/>
          <w:rtl/>
        </w:rPr>
        <w:t>"</w:t>
      </w:r>
      <w:r w:rsidRPr="00020824">
        <w:rPr>
          <w:rFonts w:ascii="David" w:hAnsi="David" w:cs="David"/>
          <w:sz w:val="24"/>
          <w:szCs w:val="24"/>
          <w:rtl/>
        </w:rPr>
        <w:t>.</w:t>
      </w:r>
      <w:r>
        <w:rPr>
          <w:rFonts w:ascii="David" w:hAnsi="David" w:cs="David" w:hint="cs"/>
          <w:sz w:val="24"/>
          <w:szCs w:val="24"/>
          <w:rtl/>
        </w:rPr>
        <w:t xml:space="preserve"> "שיטה זו סוברת כרש"י </w:t>
      </w:r>
      <w:r w:rsidR="00E642FA">
        <w:rPr>
          <w:rFonts w:ascii="David" w:hAnsi="David" w:cs="David" w:hint="cs"/>
          <w:sz w:val="24"/>
          <w:szCs w:val="24"/>
          <w:rtl/>
        </w:rPr>
        <w:t>שיש לחוש לגזירת הרואה</w:t>
      </w:r>
      <w:r w:rsidR="00636E44">
        <w:rPr>
          <w:rFonts w:ascii="David" w:hAnsi="David" w:cs="David" w:hint="cs"/>
          <w:sz w:val="24"/>
          <w:szCs w:val="24"/>
          <w:rtl/>
        </w:rPr>
        <w:t>,</w:t>
      </w:r>
      <w:r w:rsidR="00E642FA">
        <w:rPr>
          <w:rFonts w:ascii="David" w:hAnsi="David" w:cs="David" w:hint="cs"/>
          <w:sz w:val="24"/>
          <w:szCs w:val="24"/>
          <w:rtl/>
        </w:rPr>
        <w:t xml:space="preserve"> שלא יבחין בין כלי חיצון טמא לבין כלי חיצון טהור, אולם כשפי החיצון רחב כשפופרת הנוד </w:t>
      </w:r>
      <w:r w:rsidR="00E642FA">
        <w:rPr>
          <w:rFonts w:ascii="David" w:hAnsi="David" w:cs="David"/>
          <w:sz w:val="24"/>
          <w:szCs w:val="24"/>
          <w:rtl/>
        </w:rPr>
        <w:t>–</w:t>
      </w:r>
      <w:r w:rsidR="00E642FA">
        <w:rPr>
          <w:rFonts w:ascii="David" w:hAnsi="David" w:cs="David" w:hint="cs"/>
          <w:sz w:val="24"/>
          <w:szCs w:val="24"/>
          <w:rtl/>
        </w:rPr>
        <w:t xml:space="preserve"> אין לחושש..אין גוזרים גזירה לגזירה</w:t>
      </w:r>
      <w:r w:rsidR="00E642FA">
        <w:rPr>
          <w:rStyle w:val="a5"/>
          <w:rFonts w:ascii="David" w:hAnsi="David" w:cs="David"/>
          <w:sz w:val="24"/>
          <w:szCs w:val="24"/>
          <w:rtl/>
        </w:rPr>
        <w:footnoteReference w:id="19"/>
      </w:r>
      <w:r w:rsidR="00E642FA">
        <w:rPr>
          <w:rFonts w:ascii="David" w:hAnsi="David" w:cs="David" w:hint="cs"/>
          <w:sz w:val="24"/>
          <w:szCs w:val="24"/>
          <w:rtl/>
        </w:rPr>
        <w:t>".</w:t>
      </w:r>
    </w:p>
    <w:p w14:paraId="58E1C895" w14:textId="044497A7" w:rsidR="00E642FA" w:rsidRDefault="00E642FA" w:rsidP="00E642FA">
      <w:pPr>
        <w:pStyle w:val="aa"/>
        <w:numPr>
          <w:ilvl w:val="0"/>
          <w:numId w:val="1"/>
        </w:numPr>
        <w:spacing w:after="0" w:line="360" w:lineRule="auto"/>
        <w:rPr>
          <w:rFonts w:asciiTheme="majorBidi" w:hAnsiTheme="majorBidi" w:cstheme="majorBidi"/>
          <w:b/>
          <w:bCs/>
          <w:sz w:val="24"/>
          <w:szCs w:val="24"/>
        </w:rPr>
      </w:pPr>
      <w:r w:rsidRPr="00E642FA">
        <w:rPr>
          <w:rFonts w:asciiTheme="majorBidi" w:hAnsiTheme="majorBidi" w:cstheme="majorBidi"/>
          <w:b/>
          <w:bCs/>
          <w:sz w:val="24"/>
          <w:szCs w:val="24"/>
          <w:rtl/>
        </w:rPr>
        <w:t>הפסיקה במחלוקת האמוראים</w:t>
      </w:r>
    </w:p>
    <w:p w14:paraId="26A2408B" w14:textId="49450D9E" w:rsidR="002C4FB0" w:rsidRPr="002C4FB0" w:rsidRDefault="002C4FB0" w:rsidP="002C4FB0">
      <w:pPr>
        <w:pStyle w:val="aa"/>
        <w:spacing w:after="0" w:line="360" w:lineRule="auto"/>
        <w:rPr>
          <w:rFonts w:ascii="David" w:hAnsi="David" w:cs="David"/>
          <w:sz w:val="24"/>
          <w:szCs w:val="24"/>
          <w:rtl/>
        </w:rPr>
      </w:pPr>
      <w:r>
        <w:rPr>
          <w:rFonts w:asciiTheme="majorBidi" w:hAnsiTheme="majorBidi" w:cstheme="majorBidi" w:hint="cs"/>
          <w:sz w:val="24"/>
          <w:szCs w:val="24"/>
          <w:rtl/>
        </w:rPr>
        <w:t>הירושלמי פוסק כאבא שאול, ש</w:t>
      </w:r>
      <w:r w:rsidR="00662CC6">
        <w:rPr>
          <w:rFonts w:asciiTheme="majorBidi" w:hAnsiTheme="majorBidi" w:cstheme="majorBidi" w:hint="cs"/>
          <w:sz w:val="24"/>
          <w:szCs w:val="24"/>
          <w:rtl/>
        </w:rPr>
        <w:t xml:space="preserve">דבריו </w:t>
      </w:r>
      <w:r>
        <w:rPr>
          <w:rFonts w:asciiTheme="majorBidi" w:hAnsiTheme="majorBidi" w:cstheme="majorBidi" w:hint="cs"/>
          <w:sz w:val="24"/>
          <w:szCs w:val="24"/>
          <w:rtl/>
        </w:rPr>
        <w:t>זוה</w:t>
      </w:r>
      <w:r w:rsidR="00662CC6">
        <w:rPr>
          <w:rFonts w:asciiTheme="majorBidi" w:hAnsiTheme="majorBidi" w:cstheme="majorBidi" w:hint="cs"/>
          <w:sz w:val="24"/>
          <w:szCs w:val="24"/>
          <w:rtl/>
        </w:rPr>
        <w:t>ו</w:t>
      </w:r>
      <w:r>
        <w:rPr>
          <w:rFonts w:asciiTheme="majorBidi" w:hAnsiTheme="majorBidi" w:cstheme="majorBidi" w:hint="cs"/>
          <w:sz w:val="24"/>
          <w:szCs w:val="24"/>
          <w:rtl/>
        </w:rPr>
        <w:t xml:space="preserve"> עם דעת רבי אילא: </w:t>
      </w:r>
    </w:p>
    <w:p w14:paraId="6ED8FC8B" w14:textId="15768BFB" w:rsidR="000838E3" w:rsidRPr="000838E3" w:rsidRDefault="002C4FB0" w:rsidP="002C4FB0">
      <w:pPr>
        <w:pStyle w:val="aa"/>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2C4FB0">
        <w:rPr>
          <w:rFonts w:ascii="David" w:hAnsi="David" w:cs="David"/>
          <w:sz w:val="24"/>
          <w:szCs w:val="24"/>
          <w:rtl/>
        </w:rPr>
        <w:t>אבא שאול אומר אף בתרומה אין מטבילין אותו אלא סל וגרגותני בלבד</w:t>
      </w:r>
      <w:r>
        <w:rPr>
          <w:rFonts w:ascii="David" w:hAnsi="David" w:cs="David" w:hint="cs"/>
          <w:sz w:val="24"/>
          <w:szCs w:val="24"/>
          <w:rtl/>
        </w:rPr>
        <w:t>..</w:t>
      </w:r>
      <w:r w:rsidRPr="002C4FB0">
        <w:rPr>
          <w:rFonts w:ascii="David" w:hAnsi="David" w:cs="David"/>
          <w:sz w:val="24"/>
          <w:szCs w:val="24"/>
          <w:rtl/>
        </w:rPr>
        <w:t xml:space="preserve"> רבנן דקיסרין בשם ר' יוחנן הלכה כאבא שאול</w:t>
      </w:r>
      <w:r w:rsidR="00636E44">
        <w:rPr>
          <w:rFonts w:ascii="David" w:hAnsi="David" w:cs="David" w:hint="cs"/>
          <w:sz w:val="24"/>
          <w:szCs w:val="24"/>
          <w:rtl/>
        </w:rPr>
        <w:t>.</w:t>
      </w:r>
      <w:r w:rsidRPr="002C4FB0">
        <w:rPr>
          <w:rFonts w:ascii="David" w:hAnsi="David" w:cs="David"/>
          <w:sz w:val="24"/>
          <w:szCs w:val="24"/>
          <w:rtl/>
        </w:rPr>
        <w:t xml:space="preserve"> ותני כן הלכה כדבריו</w:t>
      </w:r>
      <w:r>
        <w:rPr>
          <w:rStyle w:val="a5"/>
          <w:rFonts w:ascii="David" w:hAnsi="David" w:cs="David"/>
          <w:sz w:val="24"/>
          <w:szCs w:val="24"/>
          <w:rtl/>
        </w:rPr>
        <w:footnoteReference w:id="20"/>
      </w:r>
      <w:r>
        <w:rPr>
          <w:rFonts w:asciiTheme="majorBidi" w:hAnsiTheme="majorBidi" w:cstheme="majorBidi" w:hint="cs"/>
          <w:sz w:val="24"/>
          <w:szCs w:val="24"/>
          <w:rtl/>
        </w:rPr>
        <w:t>"</w:t>
      </w:r>
      <w:r w:rsidRPr="002C4FB0">
        <w:rPr>
          <w:rFonts w:asciiTheme="majorBidi" w:hAnsiTheme="majorBidi" w:cstheme="majorBidi"/>
          <w:sz w:val="24"/>
          <w:szCs w:val="24"/>
          <w:rtl/>
        </w:rPr>
        <w:t xml:space="preserve"> </w:t>
      </w:r>
      <w:r w:rsidR="000838E3">
        <w:rPr>
          <w:rFonts w:asciiTheme="majorBidi" w:hAnsiTheme="majorBidi" w:cstheme="majorBidi" w:hint="cs"/>
          <w:sz w:val="24"/>
          <w:szCs w:val="24"/>
          <w:rtl/>
        </w:rPr>
        <w:t>הרמב"ם מביא את טעמו של רבא:</w:t>
      </w:r>
    </w:p>
    <w:p w14:paraId="0A591B20" w14:textId="406F8D69" w:rsidR="000838E3" w:rsidRPr="00B91008" w:rsidRDefault="000838E3" w:rsidP="00B91008">
      <w:pPr>
        <w:pStyle w:val="aa"/>
        <w:spacing w:after="0" w:line="360" w:lineRule="auto"/>
        <w:rPr>
          <w:rFonts w:asciiTheme="majorBidi" w:hAnsiTheme="majorBidi" w:cstheme="majorBidi"/>
          <w:sz w:val="24"/>
          <w:szCs w:val="24"/>
          <w:rtl/>
        </w:rPr>
      </w:pPr>
      <w:r>
        <w:rPr>
          <w:rFonts w:ascii="David" w:hAnsi="David" w:cs="David" w:hint="cs"/>
          <w:sz w:val="24"/>
          <w:szCs w:val="24"/>
          <w:rtl/>
        </w:rPr>
        <w:t>"</w:t>
      </w:r>
      <w:r w:rsidRPr="000838E3">
        <w:rPr>
          <w:rFonts w:ascii="David" w:hAnsi="David" w:cs="David"/>
          <w:sz w:val="24"/>
          <w:szCs w:val="24"/>
          <w:rtl/>
        </w:rPr>
        <w:t>אחת עשרה מעלות עשו חכמים לקדש על התרומה ואלו הן: יש לאדם להטביל כלים בתוך כלים לתרומה אבל לא לקדש, גזירה שמא יהיה פי הכלי צר ולא יהיה בו כשפופרת הנוד ונמצאו הכלים שבתוכו כאלו טבלו במים שבכלי לא במקוה</w:t>
      </w:r>
      <w:r w:rsidRPr="000838E3">
        <w:rPr>
          <w:rStyle w:val="a5"/>
          <w:rFonts w:ascii="David" w:hAnsi="David" w:cs="David"/>
          <w:sz w:val="24"/>
          <w:szCs w:val="24"/>
        </w:rPr>
        <w:footnoteReference w:id="21"/>
      </w:r>
      <w:r>
        <w:rPr>
          <w:rFonts w:ascii="David" w:hAnsi="David" w:cs="David" w:hint="cs"/>
          <w:sz w:val="24"/>
          <w:szCs w:val="24"/>
          <w:rtl/>
        </w:rPr>
        <w:t xml:space="preserve">". </w:t>
      </w:r>
      <w:r>
        <w:rPr>
          <w:rFonts w:asciiTheme="majorBidi" w:hAnsiTheme="majorBidi" w:cstheme="majorBidi" w:hint="cs"/>
          <w:sz w:val="24"/>
          <w:szCs w:val="24"/>
          <w:rtl/>
        </w:rPr>
        <w:t>לפי זה היה ניתן לצפות שיפסוק גם את הקולא של רבא, שבסל לא גוזרים. אולם בזה הרמב"ם החמיר:</w:t>
      </w:r>
      <w:r w:rsidR="00B91008">
        <w:rPr>
          <w:rFonts w:asciiTheme="majorBidi" w:hAnsiTheme="majorBidi" w:cstheme="majorBidi" w:hint="cs"/>
          <w:sz w:val="24"/>
          <w:szCs w:val="24"/>
          <w:rtl/>
        </w:rPr>
        <w:t xml:space="preserve">  </w:t>
      </w:r>
      <w:r w:rsidRPr="00B91008">
        <w:rPr>
          <w:rFonts w:ascii="David" w:hAnsi="David" w:cs="David" w:hint="cs"/>
          <w:sz w:val="24"/>
          <w:szCs w:val="24"/>
          <w:rtl/>
        </w:rPr>
        <w:t>"</w:t>
      </w:r>
      <w:r w:rsidRPr="00B91008">
        <w:rPr>
          <w:rFonts w:ascii="David" w:hAnsi="David" w:cs="David"/>
          <w:sz w:val="24"/>
          <w:szCs w:val="24"/>
          <w:rtl/>
        </w:rPr>
        <w:t>כלי טמא שנתן בתוכו כלים אחרים והטביל הכל</w:t>
      </w:r>
      <w:r w:rsidR="00636E44" w:rsidRPr="00B91008">
        <w:rPr>
          <w:rFonts w:ascii="David" w:hAnsi="David" w:cs="David" w:hint="cs"/>
          <w:sz w:val="24"/>
          <w:szCs w:val="24"/>
          <w:rtl/>
        </w:rPr>
        <w:t>,</w:t>
      </w:r>
      <w:r w:rsidRPr="00B91008">
        <w:rPr>
          <w:rFonts w:ascii="David" w:hAnsi="David" w:cs="David"/>
          <w:sz w:val="24"/>
          <w:szCs w:val="24"/>
          <w:rtl/>
        </w:rPr>
        <w:t xml:space="preserve"> עלתה להן טבילה אף על פי שפי הכלי צר ביותר שהרי המים נכנסין לו</w:t>
      </w:r>
      <w:r w:rsidR="00636E44" w:rsidRPr="00B91008">
        <w:rPr>
          <w:rFonts w:ascii="David" w:hAnsi="David" w:cs="David" w:hint="cs"/>
          <w:sz w:val="24"/>
          <w:szCs w:val="24"/>
          <w:rtl/>
        </w:rPr>
        <w:t>.</w:t>
      </w:r>
      <w:r w:rsidRPr="00B91008">
        <w:rPr>
          <w:rFonts w:ascii="David" w:hAnsi="David" w:cs="David"/>
          <w:sz w:val="24"/>
          <w:szCs w:val="24"/>
          <w:rtl/>
        </w:rPr>
        <w:t xml:space="preserve"> ומתוך שעלתה טבילה לכלי הגדול עלתה טבילה לכלים שבתוכו</w:t>
      </w:r>
      <w:r w:rsidRPr="00B91008">
        <w:rPr>
          <w:rFonts w:ascii="David" w:hAnsi="David" w:cs="David" w:hint="cs"/>
          <w:sz w:val="24"/>
          <w:szCs w:val="24"/>
          <w:rtl/>
        </w:rPr>
        <w:t>...</w:t>
      </w:r>
      <w:r w:rsidRPr="00B91008">
        <w:rPr>
          <w:rFonts w:ascii="David" w:hAnsi="David" w:cs="David"/>
          <w:sz w:val="24"/>
          <w:szCs w:val="24"/>
          <w:rtl/>
        </w:rPr>
        <w:t xml:space="preserve"> בד"א לתרומה אבל לקדש אין מטבילין כלים לתוך כלים טהורין כלל ואפילו היו בסל או בקופה</w:t>
      </w:r>
      <w:r>
        <w:rPr>
          <w:rStyle w:val="a5"/>
          <w:rFonts w:ascii="David" w:hAnsi="David" w:cs="David"/>
          <w:sz w:val="24"/>
          <w:szCs w:val="24"/>
          <w:rtl/>
        </w:rPr>
        <w:footnoteReference w:id="22"/>
      </w:r>
      <w:r w:rsidRPr="00B91008">
        <w:rPr>
          <w:rFonts w:ascii="David" w:hAnsi="David" w:cs="David" w:hint="cs"/>
          <w:sz w:val="24"/>
          <w:szCs w:val="24"/>
          <w:rtl/>
        </w:rPr>
        <w:t>".</w:t>
      </w:r>
      <w:r w:rsidR="00CA708F" w:rsidRPr="00B91008">
        <w:rPr>
          <w:rFonts w:ascii="David" w:hAnsi="David" w:cs="David" w:hint="cs"/>
          <w:sz w:val="24"/>
          <w:szCs w:val="24"/>
          <w:rtl/>
        </w:rPr>
        <w:t xml:space="preserve"> </w:t>
      </w:r>
      <w:r w:rsidR="00CA708F" w:rsidRPr="00B91008">
        <w:rPr>
          <w:rFonts w:asciiTheme="majorBidi" w:hAnsiTheme="majorBidi" w:cstheme="majorBidi" w:hint="cs"/>
          <w:sz w:val="24"/>
          <w:szCs w:val="24"/>
          <w:rtl/>
        </w:rPr>
        <w:t>במאירי תמה על כך</w:t>
      </w:r>
      <w:r w:rsidR="00CA708F">
        <w:rPr>
          <w:rStyle w:val="a5"/>
          <w:rFonts w:asciiTheme="majorBidi" w:hAnsiTheme="majorBidi" w:cstheme="majorBidi"/>
          <w:sz w:val="24"/>
          <w:szCs w:val="24"/>
          <w:rtl/>
        </w:rPr>
        <w:footnoteReference w:id="23"/>
      </w:r>
      <w:r w:rsidR="00CA708F" w:rsidRPr="00B91008">
        <w:rPr>
          <w:rFonts w:asciiTheme="majorBidi" w:hAnsiTheme="majorBidi" w:cstheme="majorBidi" w:hint="cs"/>
          <w:sz w:val="24"/>
          <w:szCs w:val="24"/>
          <w:rtl/>
        </w:rPr>
        <w:t xml:space="preserve">. בבירור הלכה מציעים </w:t>
      </w:r>
      <w:r w:rsidR="001E18D7" w:rsidRPr="00B91008">
        <w:rPr>
          <w:rFonts w:asciiTheme="majorBidi" w:hAnsiTheme="majorBidi" w:cstheme="majorBidi" w:hint="cs"/>
          <w:sz w:val="24"/>
          <w:szCs w:val="24"/>
          <w:rtl/>
        </w:rPr>
        <w:t>כמ</w:t>
      </w:r>
      <w:r w:rsidR="00CA708F" w:rsidRPr="00B91008">
        <w:rPr>
          <w:rFonts w:asciiTheme="majorBidi" w:hAnsiTheme="majorBidi" w:cstheme="majorBidi" w:hint="cs"/>
          <w:sz w:val="24"/>
          <w:szCs w:val="24"/>
          <w:rtl/>
        </w:rPr>
        <w:t>ה תירוצים:</w:t>
      </w:r>
    </w:p>
    <w:p w14:paraId="35F9682D" w14:textId="3CBED959" w:rsidR="00CA708F" w:rsidRPr="00B91008" w:rsidRDefault="00B91008" w:rsidP="00B91008">
      <w:pPr>
        <w:spacing w:after="0" w:line="360" w:lineRule="auto"/>
        <w:rPr>
          <w:rFonts w:asciiTheme="majorBidi" w:hAnsiTheme="majorBidi" w:cstheme="majorBidi"/>
          <w:sz w:val="24"/>
          <w:szCs w:val="24"/>
        </w:rPr>
      </w:pPr>
      <w:r>
        <w:rPr>
          <w:rFonts w:asciiTheme="majorBidi" w:hAnsiTheme="majorBidi" w:cstheme="majorBidi" w:hint="cs"/>
          <w:sz w:val="24"/>
          <w:szCs w:val="24"/>
          <w:rtl/>
        </w:rPr>
        <w:t>1.</w:t>
      </w:r>
      <w:r w:rsidR="00971AF2" w:rsidRPr="00B91008">
        <w:rPr>
          <w:rFonts w:asciiTheme="majorBidi" w:hAnsiTheme="majorBidi" w:cstheme="majorBidi" w:hint="cs"/>
          <w:sz w:val="24"/>
          <w:szCs w:val="24"/>
          <w:rtl/>
        </w:rPr>
        <w:t>מאחר שלמסקנה ניתן לפי רבא להטביל כלי בתוך כלי כששניהם טמאים, מפרשים מחדש שבזה נחלקו האמוראים. לרבי אילא חוששים לחציצה ולרבא הטבילה מועילה. רבא מודה שאין מטבילים לקודש בתוך סל, גזירה משום כלי שפיו צר. אמנם רבא אמר במפורש שמטביל בסל טהור, אך ניתן לבאר שכוונתו רק לחולין ול</w:t>
      </w:r>
      <w:r w:rsidR="0031630A" w:rsidRPr="00B91008">
        <w:rPr>
          <w:rFonts w:asciiTheme="majorBidi" w:hAnsiTheme="majorBidi" w:cstheme="majorBidi" w:hint="cs"/>
          <w:sz w:val="24"/>
          <w:szCs w:val="24"/>
          <w:rtl/>
        </w:rPr>
        <w:t>תרומה</w:t>
      </w:r>
      <w:r w:rsidR="00971AF2" w:rsidRPr="00B91008">
        <w:rPr>
          <w:rFonts w:asciiTheme="majorBidi" w:hAnsiTheme="majorBidi" w:cstheme="majorBidi" w:hint="cs"/>
          <w:sz w:val="24"/>
          <w:szCs w:val="24"/>
          <w:rtl/>
        </w:rPr>
        <w:t xml:space="preserve"> ולא ל</w:t>
      </w:r>
      <w:r w:rsidR="0031630A" w:rsidRPr="00B91008">
        <w:rPr>
          <w:rFonts w:asciiTheme="majorBidi" w:hAnsiTheme="majorBidi" w:cstheme="majorBidi" w:hint="cs"/>
          <w:sz w:val="24"/>
          <w:szCs w:val="24"/>
          <w:rtl/>
        </w:rPr>
        <w:t>קודש</w:t>
      </w:r>
      <w:r w:rsidR="00971AF2" w:rsidRPr="00B91008">
        <w:rPr>
          <w:rFonts w:asciiTheme="majorBidi" w:hAnsiTheme="majorBidi" w:cstheme="majorBidi" w:hint="cs"/>
          <w:sz w:val="24"/>
          <w:szCs w:val="24"/>
          <w:rtl/>
        </w:rPr>
        <w:t>. עיקר חידושו הוא בסיום הדברים, לפסול טבילה של אדם במקווה שחילקו בסל. גם האמירה 'כתנאי' , היא רק לפי ההוא אמינא</w:t>
      </w:r>
      <w:r w:rsidR="00971AF2">
        <w:rPr>
          <w:rStyle w:val="a5"/>
          <w:rFonts w:asciiTheme="majorBidi" w:hAnsiTheme="majorBidi" w:cstheme="majorBidi"/>
          <w:sz w:val="24"/>
          <w:szCs w:val="24"/>
          <w:rtl/>
        </w:rPr>
        <w:footnoteReference w:id="24"/>
      </w:r>
      <w:r w:rsidR="00971AF2" w:rsidRPr="00B91008">
        <w:rPr>
          <w:rFonts w:asciiTheme="majorBidi" w:hAnsiTheme="majorBidi" w:cstheme="majorBidi" w:hint="cs"/>
          <w:sz w:val="24"/>
          <w:szCs w:val="24"/>
          <w:rtl/>
        </w:rPr>
        <w:t>. כך גם יתאימו דברי רבא לדעת אבא שאול ולפסק הירושלמי</w:t>
      </w:r>
      <w:r w:rsidR="00971AF2">
        <w:rPr>
          <w:rStyle w:val="a5"/>
          <w:rFonts w:asciiTheme="majorBidi" w:hAnsiTheme="majorBidi" w:cstheme="majorBidi"/>
          <w:sz w:val="24"/>
          <w:szCs w:val="24"/>
          <w:rtl/>
        </w:rPr>
        <w:footnoteReference w:id="25"/>
      </w:r>
      <w:r w:rsidR="001E18D7" w:rsidRPr="00B91008">
        <w:rPr>
          <w:rFonts w:asciiTheme="majorBidi" w:hAnsiTheme="majorBidi" w:cstheme="majorBidi" w:hint="cs"/>
          <w:sz w:val="24"/>
          <w:szCs w:val="24"/>
          <w:rtl/>
        </w:rPr>
        <w:t>.</w:t>
      </w:r>
    </w:p>
    <w:p w14:paraId="5B0DFDED" w14:textId="34526F63" w:rsidR="001E18D7" w:rsidRPr="00B91008" w:rsidRDefault="001E18D7" w:rsidP="00B91008">
      <w:pPr>
        <w:pStyle w:val="aa"/>
        <w:numPr>
          <w:ilvl w:val="0"/>
          <w:numId w:val="4"/>
        </w:numPr>
        <w:spacing w:after="0" w:line="360" w:lineRule="auto"/>
        <w:rPr>
          <w:rFonts w:ascii="David" w:hAnsi="David" w:cs="David"/>
          <w:sz w:val="24"/>
          <w:szCs w:val="24"/>
        </w:rPr>
      </w:pPr>
      <w:r w:rsidRPr="00B91008">
        <w:rPr>
          <w:rFonts w:ascii="David" w:hAnsi="David" w:cs="David"/>
          <w:sz w:val="24"/>
          <w:szCs w:val="24"/>
          <w:rtl/>
        </w:rPr>
        <w:t>"הרמב"ם היה גורס איפכא</w:t>
      </w:r>
      <w:r w:rsidR="00636E44" w:rsidRPr="00B91008">
        <w:rPr>
          <w:rFonts w:ascii="David" w:hAnsi="David" w:cs="David" w:hint="cs"/>
          <w:sz w:val="24"/>
          <w:szCs w:val="24"/>
          <w:rtl/>
        </w:rPr>
        <w:t>:</w:t>
      </w:r>
      <w:r w:rsidRPr="00B91008">
        <w:rPr>
          <w:rFonts w:ascii="David" w:hAnsi="David" w:cs="David"/>
          <w:sz w:val="24"/>
          <w:szCs w:val="24"/>
          <w:rtl/>
        </w:rPr>
        <w:t xml:space="preserve"> </w:t>
      </w:r>
      <w:r w:rsidR="00636E44" w:rsidRPr="00B91008">
        <w:rPr>
          <w:rFonts w:ascii="David" w:hAnsi="David" w:cs="David" w:hint="cs"/>
          <w:sz w:val="24"/>
          <w:szCs w:val="24"/>
          <w:rtl/>
        </w:rPr>
        <w:t>'</w:t>
      </w:r>
      <w:r w:rsidRPr="00B91008">
        <w:rPr>
          <w:rFonts w:ascii="David" w:hAnsi="David" w:cs="David"/>
          <w:sz w:val="24"/>
          <w:szCs w:val="24"/>
          <w:rtl/>
        </w:rPr>
        <w:t xml:space="preserve">למ"ד משום חציצה </w:t>
      </w:r>
      <w:r w:rsidRPr="00B91008">
        <w:rPr>
          <w:rFonts w:ascii="David" w:hAnsi="David" w:cs="David"/>
          <w:b/>
          <w:bCs/>
          <w:sz w:val="24"/>
          <w:szCs w:val="24"/>
          <w:rtl/>
        </w:rPr>
        <w:t>ליכא</w:t>
      </w:r>
      <w:r w:rsidRPr="00B91008">
        <w:rPr>
          <w:rFonts w:ascii="David" w:hAnsi="David" w:cs="David"/>
          <w:sz w:val="24"/>
          <w:szCs w:val="24"/>
          <w:rtl/>
        </w:rPr>
        <w:t xml:space="preserve"> ומשום גזירה </w:t>
      </w:r>
      <w:r w:rsidRPr="00B91008">
        <w:rPr>
          <w:rFonts w:ascii="David" w:hAnsi="David" w:cs="David"/>
          <w:b/>
          <w:bCs/>
          <w:sz w:val="24"/>
          <w:szCs w:val="24"/>
          <w:rtl/>
        </w:rPr>
        <w:t>איכא</w:t>
      </w:r>
      <w:r w:rsidR="00636E44" w:rsidRPr="00B91008">
        <w:rPr>
          <w:rFonts w:ascii="David" w:hAnsi="David" w:cs="David" w:hint="cs"/>
          <w:b/>
          <w:bCs/>
          <w:sz w:val="24"/>
          <w:szCs w:val="24"/>
          <w:rtl/>
        </w:rPr>
        <w:t>'</w:t>
      </w:r>
      <w:r w:rsidRPr="00B91008">
        <w:rPr>
          <w:rFonts w:ascii="David" w:hAnsi="David" w:cs="David"/>
          <w:b/>
          <w:bCs/>
          <w:sz w:val="24"/>
          <w:szCs w:val="24"/>
          <w:rtl/>
        </w:rPr>
        <w:t xml:space="preserve">. </w:t>
      </w:r>
      <w:r w:rsidRPr="00B91008">
        <w:rPr>
          <w:rFonts w:ascii="David" w:hAnsi="David" w:cs="David"/>
          <w:sz w:val="24"/>
          <w:szCs w:val="24"/>
          <w:rtl/>
        </w:rPr>
        <w:t xml:space="preserve">ובדרבא גריס סל וגורגותני שמלאן כלים והטבילן </w:t>
      </w:r>
      <w:r w:rsidRPr="00B91008">
        <w:rPr>
          <w:rFonts w:ascii="David" w:hAnsi="David" w:cs="David"/>
          <w:b/>
          <w:bCs/>
          <w:sz w:val="24"/>
          <w:szCs w:val="24"/>
          <w:rtl/>
        </w:rPr>
        <w:t xml:space="preserve">טמאין </w:t>
      </w:r>
      <w:r w:rsidRPr="00B91008">
        <w:rPr>
          <w:rFonts w:ascii="David" w:hAnsi="David" w:cs="David"/>
          <w:sz w:val="24"/>
          <w:szCs w:val="24"/>
          <w:rtl/>
        </w:rPr>
        <w:t xml:space="preserve">ובקדש מיירי (וכדפרש"י לגרסתו).. ולהכי פסק שם בהל' אה"ט דבשניהם טמאין אף בקדש מטבילין. ולפ"ז אתא רבא כאבא שאול </w:t>
      </w:r>
      <w:r w:rsidRPr="001E18D7">
        <w:rPr>
          <w:rStyle w:val="a5"/>
          <w:rFonts w:ascii="David" w:hAnsi="David" w:cs="David"/>
          <w:sz w:val="24"/>
          <w:szCs w:val="24"/>
        </w:rPr>
        <w:footnoteReference w:id="26"/>
      </w:r>
      <w:r w:rsidRPr="00B91008">
        <w:rPr>
          <w:rFonts w:ascii="David" w:hAnsi="David" w:cs="David"/>
          <w:sz w:val="24"/>
          <w:szCs w:val="24"/>
          <w:rtl/>
        </w:rPr>
        <w:t>".</w:t>
      </w:r>
    </w:p>
    <w:p w14:paraId="0698F80B" w14:textId="5C450E3C" w:rsidR="0031630A" w:rsidRPr="00B91008" w:rsidRDefault="001E18D7" w:rsidP="00B91008">
      <w:pPr>
        <w:pStyle w:val="aa"/>
        <w:numPr>
          <w:ilvl w:val="0"/>
          <w:numId w:val="4"/>
        </w:numPr>
        <w:spacing w:after="0" w:line="360" w:lineRule="auto"/>
        <w:rPr>
          <w:rFonts w:ascii="David" w:hAnsi="David" w:cs="David"/>
          <w:sz w:val="24"/>
          <w:szCs w:val="24"/>
        </w:rPr>
      </w:pPr>
      <w:r w:rsidRPr="00B91008">
        <w:rPr>
          <w:rFonts w:asciiTheme="majorBidi" w:hAnsiTheme="majorBidi" w:cstheme="majorBidi" w:hint="cs"/>
          <w:sz w:val="24"/>
          <w:szCs w:val="24"/>
          <w:rtl/>
        </w:rPr>
        <w:t>הרמב"ם מבין שהיתר סל וגרגותני מותנה בשילוב</w:t>
      </w:r>
      <w:r w:rsidR="00A54966" w:rsidRPr="00B91008">
        <w:rPr>
          <w:rFonts w:asciiTheme="majorBidi" w:hAnsiTheme="majorBidi" w:cstheme="majorBidi" w:hint="cs"/>
          <w:sz w:val="24"/>
          <w:szCs w:val="24"/>
          <w:rtl/>
        </w:rPr>
        <w:t xml:space="preserve"> התנאי השני להקל: שיהא כלי טמא בתוך כלי טמא</w:t>
      </w:r>
      <w:r w:rsidR="00A54966">
        <w:rPr>
          <w:rStyle w:val="a5"/>
          <w:rFonts w:asciiTheme="majorBidi" w:hAnsiTheme="majorBidi" w:cstheme="majorBidi"/>
          <w:sz w:val="24"/>
          <w:szCs w:val="24"/>
          <w:rtl/>
        </w:rPr>
        <w:footnoteReference w:id="27"/>
      </w:r>
      <w:r w:rsidR="00A54966" w:rsidRPr="00B91008">
        <w:rPr>
          <w:rFonts w:asciiTheme="majorBidi" w:hAnsiTheme="majorBidi" w:cstheme="majorBidi" w:hint="cs"/>
          <w:sz w:val="24"/>
          <w:szCs w:val="24"/>
          <w:rtl/>
        </w:rPr>
        <w:t xml:space="preserve">. </w:t>
      </w:r>
    </w:p>
    <w:p w14:paraId="38096BE8" w14:textId="6594723D" w:rsidR="00A54966" w:rsidRDefault="00A54966" w:rsidP="00A54966">
      <w:pPr>
        <w:pStyle w:val="aa"/>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 xml:space="preserve">בין </w:t>
      </w:r>
      <w:r w:rsidR="0031630A">
        <w:rPr>
          <w:rFonts w:asciiTheme="majorBidi" w:hAnsiTheme="majorBidi" w:cstheme="majorBidi" w:hint="cs"/>
          <w:b/>
          <w:bCs/>
          <w:sz w:val="24"/>
          <w:szCs w:val="24"/>
          <w:rtl/>
        </w:rPr>
        <w:t>קודש</w:t>
      </w:r>
      <w:r>
        <w:rPr>
          <w:rFonts w:asciiTheme="majorBidi" w:hAnsiTheme="majorBidi" w:cstheme="majorBidi" w:hint="cs"/>
          <w:b/>
          <w:bCs/>
          <w:sz w:val="24"/>
          <w:szCs w:val="24"/>
          <w:rtl/>
        </w:rPr>
        <w:t xml:space="preserve"> ל</w:t>
      </w:r>
      <w:r w:rsidR="0031630A">
        <w:rPr>
          <w:rFonts w:asciiTheme="majorBidi" w:hAnsiTheme="majorBidi" w:cstheme="majorBidi" w:hint="cs"/>
          <w:b/>
          <w:bCs/>
          <w:sz w:val="24"/>
          <w:szCs w:val="24"/>
          <w:rtl/>
        </w:rPr>
        <w:t>תרומה</w:t>
      </w:r>
      <w:r>
        <w:rPr>
          <w:rFonts w:asciiTheme="majorBidi" w:hAnsiTheme="majorBidi" w:cstheme="majorBidi" w:hint="cs"/>
          <w:b/>
          <w:bCs/>
          <w:sz w:val="24"/>
          <w:szCs w:val="24"/>
          <w:rtl/>
        </w:rPr>
        <w:t xml:space="preserve"> בהתרה ובניגוב</w:t>
      </w:r>
    </w:p>
    <w:p w14:paraId="75B55C2D" w14:textId="35AAEB4D" w:rsidR="009F4E57" w:rsidRDefault="009F4E57" w:rsidP="009F4E57">
      <w:pPr>
        <w:pStyle w:val="aa"/>
        <w:spacing w:after="0" w:line="360" w:lineRule="auto"/>
        <w:rPr>
          <w:rFonts w:ascii="David" w:hAnsi="David" w:cs="David"/>
          <w:sz w:val="24"/>
          <w:szCs w:val="24"/>
          <w:rtl/>
        </w:rPr>
      </w:pPr>
      <w:r>
        <w:rPr>
          <w:rFonts w:asciiTheme="majorBidi" w:hAnsiTheme="majorBidi" w:cstheme="majorBidi" w:hint="cs"/>
          <w:sz w:val="24"/>
          <w:szCs w:val="24"/>
          <w:rtl/>
        </w:rPr>
        <w:t xml:space="preserve">רש"י על המשנה מבאר: </w:t>
      </w:r>
      <w:r>
        <w:rPr>
          <w:rFonts w:asciiTheme="majorBidi" w:hAnsiTheme="majorBidi" w:cs="Times New Roman" w:hint="cs"/>
          <w:sz w:val="24"/>
          <w:szCs w:val="24"/>
          <w:rtl/>
        </w:rPr>
        <w:t xml:space="preserve"> "</w:t>
      </w:r>
      <w:r w:rsidRPr="009F4E57">
        <w:rPr>
          <w:rFonts w:ascii="David" w:hAnsi="David" w:cs="David"/>
          <w:sz w:val="24"/>
          <w:szCs w:val="24"/>
          <w:rtl/>
        </w:rPr>
        <w:t>אם יש בגד טמא ובא להטבילו, אם קשור הוא, מתיר את קשרו... ומנגב - אם לח הוא מנגבו תחלה ואחר כך מטבילו, וכל זה משום דדמי לחציצה הוא</w:t>
      </w:r>
      <w:r>
        <w:rPr>
          <w:rFonts w:ascii="David" w:hAnsi="David" w:cs="David" w:hint="cs"/>
          <w:sz w:val="24"/>
          <w:szCs w:val="24"/>
          <w:rtl/>
        </w:rPr>
        <w:t>"</w:t>
      </w:r>
      <w:r w:rsidRPr="009F4E57">
        <w:rPr>
          <w:rFonts w:ascii="David" w:hAnsi="David" w:cs="David"/>
          <w:sz w:val="24"/>
          <w:szCs w:val="24"/>
          <w:rtl/>
        </w:rPr>
        <w:t>.</w:t>
      </w:r>
      <w:r>
        <w:rPr>
          <w:rFonts w:asciiTheme="majorBidi" w:hAnsiTheme="majorBidi" w:cstheme="majorBidi" w:hint="cs"/>
          <w:sz w:val="24"/>
          <w:szCs w:val="24"/>
          <w:rtl/>
        </w:rPr>
        <w:t xml:space="preserve"> המאירי תמה על </w:t>
      </w:r>
      <w:r w:rsidR="00636E44">
        <w:rPr>
          <w:rFonts w:asciiTheme="majorBidi" w:hAnsiTheme="majorBidi" w:cstheme="majorBidi" w:hint="cs"/>
          <w:sz w:val="24"/>
          <w:szCs w:val="24"/>
          <w:rtl/>
        </w:rPr>
        <w:t xml:space="preserve">חשש </w:t>
      </w:r>
      <w:r>
        <w:rPr>
          <w:rFonts w:asciiTheme="majorBidi" w:hAnsiTheme="majorBidi" w:cstheme="majorBidi" w:hint="cs"/>
          <w:sz w:val="24"/>
          <w:szCs w:val="24"/>
          <w:rtl/>
        </w:rPr>
        <w:t xml:space="preserve">חציצה במים, ומציע שהניגוב אינו מהלכות טהרה: </w:t>
      </w:r>
      <w:r>
        <w:rPr>
          <w:rFonts w:asciiTheme="majorBidi" w:hAnsiTheme="majorBidi" w:cs="Times New Roman" w:hint="cs"/>
          <w:sz w:val="24"/>
          <w:szCs w:val="24"/>
          <w:rtl/>
        </w:rPr>
        <w:t xml:space="preserve"> </w:t>
      </w:r>
      <w:r w:rsidRPr="009F4E57">
        <w:rPr>
          <w:rFonts w:ascii="David" w:hAnsi="David" w:cs="David"/>
          <w:sz w:val="24"/>
          <w:szCs w:val="24"/>
          <w:rtl/>
        </w:rPr>
        <w:t>"לא מצינו סרך בזה כלל</w:t>
      </w:r>
      <w:r w:rsidR="00636E44">
        <w:rPr>
          <w:rFonts w:ascii="David" w:hAnsi="David" w:cs="David" w:hint="cs"/>
          <w:sz w:val="24"/>
          <w:szCs w:val="24"/>
          <w:rtl/>
        </w:rPr>
        <w:t>.</w:t>
      </w:r>
      <w:r w:rsidRPr="009F4E57">
        <w:rPr>
          <w:rFonts w:ascii="David" w:hAnsi="David" w:cs="David"/>
          <w:sz w:val="24"/>
          <w:szCs w:val="24"/>
          <w:rtl/>
        </w:rPr>
        <w:t xml:space="preserve"> ומ"מ בתלמוד המערב ראיתי שהזכיר מנגב </w:t>
      </w:r>
      <w:r w:rsidRPr="009F4E57">
        <w:rPr>
          <w:rFonts w:ascii="David" w:hAnsi="David" w:cs="David"/>
          <w:b/>
          <w:bCs/>
          <w:sz w:val="24"/>
          <w:szCs w:val="24"/>
          <w:rtl/>
        </w:rPr>
        <w:t>אחר</w:t>
      </w:r>
      <w:r w:rsidRPr="009F4E57">
        <w:rPr>
          <w:rFonts w:ascii="David" w:hAnsi="David" w:cs="David"/>
          <w:sz w:val="24"/>
          <w:szCs w:val="24"/>
          <w:rtl/>
        </w:rPr>
        <w:t xml:space="preserve"> ההטבלה</w:t>
      </w:r>
      <w:r w:rsidR="00636E44">
        <w:rPr>
          <w:rFonts w:ascii="David" w:hAnsi="David" w:cs="David" w:hint="cs"/>
          <w:sz w:val="24"/>
          <w:szCs w:val="24"/>
          <w:rtl/>
        </w:rPr>
        <w:t>,</w:t>
      </w:r>
      <w:r w:rsidRPr="009F4E57">
        <w:rPr>
          <w:rFonts w:ascii="David" w:hAnsi="David" w:cs="David"/>
          <w:sz w:val="24"/>
          <w:szCs w:val="24"/>
          <w:rtl/>
        </w:rPr>
        <w:t xml:space="preserve"> ר"ל מתיר ומטביל ומנגב</w:t>
      </w:r>
      <w:r w:rsidR="00636E44">
        <w:rPr>
          <w:rFonts w:ascii="David" w:hAnsi="David" w:cs="David" w:hint="cs"/>
          <w:sz w:val="24"/>
          <w:szCs w:val="24"/>
          <w:rtl/>
        </w:rPr>
        <w:t>.</w:t>
      </w:r>
      <w:r w:rsidRPr="009F4E57">
        <w:rPr>
          <w:rFonts w:ascii="David" w:hAnsi="David" w:cs="David"/>
          <w:sz w:val="24"/>
          <w:szCs w:val="24"/>
          <w:rtl/>
        </w:rPr>
        <w:t xml:space="preserve"> ואני מפרש שהיא שנויה </w:t>
      </w:r>
      <w:r w:rsidRPr="009F4E57">
        <w:rPr>
          <w:rFonts w:ascii="David" w:hAnsi="David" w:cs="David"/>
          <w:b/>
          <w:bCs/>
          <w:sz w:val="24"/>
          <w:szCs w:val="24"/>
          <w:rtl/>
        </w:rPr>
        <w:t>בדבר שצריך קשירה</w:t>
      </w:r>
      <w:r w:rsidRPr="009F4E57">
        <w:rPr>
          <w:rFonts w:ascii="David" w:hAnsi="David" w:cs="David"/>
          <w:sz w:val="24"/>
          <w:szCs w:val="24"/>
          <w:rtl/>
        </w:rPr>
        <w:t xml:space="preserve"> כגון טלית של ציצית</w:t>
      </w:r>
      <w:r w:rsidR="00636E44">
        <w:rPr>
          <w:rFonts w:ascii="David" w:hAnsi="David" w:cs="David" w:hint="cs"/>
          <w:sz w:val="24"/>
          <w:szCs w:val="24"/>
          <w:rtl/>
        </w:rPr>
        <w:t>,</w:t>
      </w:r>
      <w:r w:rsidRPr="009F4E57">
        <w:rPr>
          <w:rFonts w:ascii="David" w:hAnsi="David" w:cs="David"/>
          <w:sz w:val="24"/>
          <w:szCs w:val="24"/>
          <w:rtl/>
        </w:rPr>
        <w:t xml:space="preserve"> שצריך להתיר הקשרים ולהטביל ואחר כך מנגב כדי לקשרו יפה</w:t>
      </w:r>
      <w:r w:rsidR="00636E44">
        <w:rPr>
          <w:rFonts w:ascii="David" w:hAnsi="David" w:cs="David" w:hint="cs"/>
          <w:sz w:val="24"/>
          <w:szCs w:val="24"/>
          <w:rtl/>
        </w:rPr>
        <w:t>.</w:t>
      </w:r>
      <w:r w:rsidRPr="009F4E57">
        <w:rPr>
          <w:rFonts w:ascii="David" w:hAnsi="David" w:cs="David"/>
          <w:sz w:val="24"/>
          <w:szCs w:val="24"/>
          <w:rtl/>
        </w:rPr>
        <w:t xml:space="preserve"> שכל שהוא לח אינו מתקשר יפה".</w:t>
      </w:r>
    </w:p>
    <w:p w14:paraId="665AD3F7" w14:textId="22BD595B" w:rsidR="0031049D" w:rsidRPr="00897E1C" w:rsidRDefault="0031049D" w:rsidP="00897E1C">
      <w:pPr>
        <w:pStyle w:val="aa"/>
        <w:spacing w:after="0" w:line="360" w:lineRule="auto"/>
        <w:rPr>
          <w:rFonts w:ascii="David" w:hAnsi="David" w:cs="David"/>
          <w:sz w:val="24"/>
          <w:szCs w:val="24"/>
          <w:rtl/>
        </w:rPr>
      </w:pPr>
      <w:r>
        <w:rPr>
          <w:rFonts w:asciiTheme="majorBidi" w:hAnsiTheme="majorBidi" w:cstheme="majorBidi" w:hint="cs"/>
          <w:sz w:val="24"/>
          <w:szCs w:val="24"/>
          <w:rtl/>
        </w:rPr>
        <w:t xml:space="preserve">בעלי התוספות מציעים: </w:t>
      </w:r>
      <w:r w:rsidRPr="0031049D">
        <w:rPr>
          <w:rFonts w:ascii="David" w:hAnsi="David" w:cs="David"/>
          <w:sz w:val="24"/>
          <w:szCs w:val="24"/>
          <w:rtl/>
        </w:rPr>
        <w:t>"משום שהמים חוזרים ומטמאין ליה ולא סלקא להו השקה</w:t>
      </w:r>
      <w:r>
        <w:rPr>
          <w:rFonts w:ascii="David" w:hAnsi="David" w:cs="David" w:hint="cs"/>
          <w:sz w:val="24"/>
          <w:szCs w:val="24"/>
          <w:rtl/>
        </w:rPr>
        <w:t>,</w:t>
      </w:r>
      <w:r w:rsidRPr="0031049D">
        <w:rPr>
          <w:rFonts w:ascii="David" w:hAnsi="David" w:cs="David"/>
          <w:sz w:val="24"/>
          <w:szCs w:val="24"/>
          <w:rtl/>
        </w:rPr>
        <w:t xml:space="preserve"> משום מעלה דקדש</w:t>
      </w:r>
      <w:r>
        <w:rPr>
          <w:rStyle w:val="a5"/>
          <w:rFonts w:ascii="David" w:hAnsi="David" w:cs="David"/>
          <w:sz w:val="24"/>
          <w:szCs w:val="24"/>
          <w:rtl/>
        </w:rPr>
        <w:footnoteReference w:id="28"/>
      </w:r>
      <w:r w:rsidRPr="0031049D">
        <w:rPr>
          <w:rFonts w:ascii="David" w:hAnsi="David" w:cs="David"/>
          <w:sz w:val="24"/>
          <w:szCs w:val="24"/>
          <w:rtl/>
        </w:rPr>
        <w:t>".</w:t>
      </w:r>
      <w:r>
        <w:rPr>
          <w:rFonts w:ascii="David" w:hAnsi="David" w:cs="David" w:hint="cs"/>
          <w:sz w:val="24"/>
          <w:szCs w:val="24"/>
          <w:rtl/>
        </w:rPr>
        <w:t xml:space="preserve"> </w:t>
      </w:r>
      <w:r w:rsidR="00897E1C">
        <w:rPr>
          <w:rFonts w:ascii="David" w:hAnsi="David" w:cs="David" w:hint="cs"/>
          <w:sz w:val="24"/>
          <w:szCs w:val="24"/>
          <w:rtl/>
        </w:rPr>
        <w:t xml:space="preserve"> </w:t>
      </w:r>
      <w:r w:rsidRPr="00897E1C">
        <w:rPr>
          <w:rFonts w:asciiTheme="majorBidi" w:hAnsiTheme="majorBidi" w:cstheme="majorBidi"/>
          <w:sz w:val="24"/>
          <w:szCs w:val="24"/>
          <w:rtl/>
        </w:rPr>
        <w:t xml:space="preserve">לדעת הרמב"ם תהליך אחד לפנינו, למנוע חציצה </w:t>
      </w:r>
      <w:r w:rsidR="00B74195" w:rsidRPr="00897E1C">
        <w:rPr>
          <w:rFonts w:asciiTheme="majorBidi" w:hAnsiTheme="majorBidi" w:cstheme="majorBidi" w:hint="cs"/>
          <w:sz w:val="24"/>
          <w:szCs w:val="24"/>
          <w:rtl/>
        </w:rPr>
        <w:t xml:space="preserve">של אבק למשל, </w:t>
      </w:r>
      <w:r w:rsidRPr="00897E1C">
        <w:rPr>
          <w:rFonts w:asciiTheme="majorBidi" w:hAnsiTheme="majorBidi" w:cstheme="majorBidi"/>
          <w:sz w:val="24"/>
          <w:szCs w:val="24"/>
          <w:rtl/>
        </w:rPr>
        <w:t xml:space="preserve">בלי קשר למים: </w:t>
      </w:r>
    </w:p>
    <w:p w14:paraId="072654D5" w14:textId="254105DE" w:rsidR="0031049D" w:rsidRDefault="00636E44" w:rsidP="0031049D">
      <w:pPr>
        <w:pStyle w:val="aa"/>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0031049D" w:rsidRPr="0031049D">
        <w:rPr>
          <w:rFonts w:ascii="David" w:hAnsi="David" w:cs="David"/>
          <w:sz w:val="24"/>
          <w:szCs w:val="24"/>
          <w:rtl/>
        </w:rPr>
        <w:t>כלי שהוא מפוצל ולוחותיו וקורותיו מקושרות</w:t>
      </w:r>
      <w:r>
        <w:rPr>
          <w:rFonts w:ascii="David" w:hAnsi="David" w:cs="David" w:hint="cs"/>
          <w:sz w:val="24"/>
          <w:szCs w:val="24"/>
          <w:rtl/>
        </w:rPr>
        <w:t>,</w:t>
      </w:r>
      <w:r w:rsidR="0031049D" w:rsidRPr="0031049D">
        <w:rPr>
          <w:rFonts w:ascii="David" w:hAnsi="David" w:cs="David"/>
          <w:sz w:val="24"/>
          <w:szCs w:val="24"/>
          <w:rtl/>
        </w:rPr>
        <w:t xml:space="preserve"> כגון מטה וכיוצא בה, אם נטמא וצריך להטבילו לתרומה יש לו להטבילו כולו כאחד כשהוא מקושר, אבל לקדש מתיר ומנגב</w:t>
      </w:r>
      <w:r>
        <w:rPr>
          <w:rFonts w:ascii="David" w:hAnsi="David" w:cs="David" w:hint="cs"/>
          <w:sz w:val="24"/>
          <w:szCs w:val="24"/>
          <w:rtl/>
        </w:rPr>
        <w:t>,</w:t>
      </w:r>
      <w:r w:rsidR="0031049D" w:rsidRPr="0031049D">
        <w:rPr>
          <w:rFonts w:ascii="David" w:hAnsi="David" w:cs="David"/>
          <w:sz w:val="24"/>
          <w:szCs w:val="24"/>
          <w:rtl/>
        </w:rPr>
        <w:t xml:space="preserve"> שמא יש שם דבר החוצץ ומטביל ואחר כך קושר</w:t>
      </w:r>
      <w:r w:rsidR="0031049D">
        <w:rPr>
          <w:rStyle w:val="a5"/>
          <w:rFonts w:ascii="David" w:hAnsi="David" w:cs="David"/>
          <w:sz w:val="24"/>
          <w:szCs w:val="24"/>
          <w:rtl/>
        </w:rPr>
        <w:footnoteReference w:id="29"/>
      </w:r>
      <w:r w:rsidR="0031049D">
        <w:rPr>
          <w:rFonts w:ascii="David" w:hAnsi="David" w:cs="David" w:hint="cs"/>
          <w:sz w:val="24"/>
          <w:szCs w:val="24"/>
          <w:rtl/>
        </w:rPr>
        <w:t>"</w:t>
      </w:r>
      <w:r w:rsidR="0031049D" w:rsidRPr="0031049D">
        <w:rPr>
          <w:rFonts w:ascii="David" w:hAnsi="David" w:cs="David"/>
          <w:sz w:val="24"/>
          <w:szCs w:val="24"/>
          <w:rtl/>
        </w:rPr>
        <w:t>.</w:t>
      </w:r>
      <w:r w:rsidR="0031049D">
        <w:rPr>
          <w:rFonts w:ascii="David" w:hAnsi="David" w:cs="David" w:hint="cs"/>
          <w:sz w:val="24"/>
          <w:szCs w:val="24"/>
          <w:rtl/>
        </w:rPr>
        <w:t xml:space="preserve"> </w:t>
      </w:r>
      <w:r w:rsidR="0031049D" w:rsidRPr="0031049D">
        <w:rPr>
          <w:rFonts w:asciiTheme="majorBidi" w:hAnsiTheme="majorBidi" w:cstheme="majorBidi"/>
          <w:sz w:val="24"/>
          <w:szCs w:val="24"/>
          <w:rtl/>
        </w:rPr>
        <w:t>המאירי מוסיף, שגם</w:t>
      </w:r>
      <w:r w:rsidR="0031049D">
        <w:rPr>
          <w:rFonts w:asciiTheme="majorBidi" w:hAnsiTheme="majorBidi" w:cstheme="majorBidi" w:hint="cs"/>
          <w:sz w:val="24"/>
          <w:szCs w:val="24"/>
          <w:rtl/>
        </w:rPr>
        <w:t xml:space="preserve"> בבגד מדובר בניגוב טיט.</w:t>
      </w:r>
      <w:r w:rsidR="00B74195">
        <w:rPr>
          <w:rFonts w:asciiTheme="majorBidi" w:hAnsiTheme="majorBidi" w:cstheme="majorBidi" w:hint="cs"/>
          <w:sz w:val="24"/>
          <w:szCs w:val="24"/>
          <w:rtl/>
        </w:rPr>
        <w:t xml:space="preserve"> הנצי"ב ביאר כן גם בדעת רש"י</w:t>
      </w:r>
      <w:r w:rsidR="00B74195">
        <w:rPr>
          <w:rStyle w:val="a5"/>
          <w:rFonts w:asciiTheme="majorBidi" w:hAnsiTheme="majorBidi" w:cstheme="majorBidi"/>
          <w:sz w:val="24"/>
          <w:szCs w:val="24"/>
          <w:rtl/>
        </w:rPr>
        <w:footnoteReference w:id="30"/>
      </w:r>
      <w:r w:rsidR="00B74195">
        <w:rPr>
          <w:rFonts w:asciiTheme="majorBidi" w:hAnsiTheme="majorBidi" w:cstheme="majorBidi" w:hint="cs"/>
          <w:sz w:val="24"/>
          <w:szCs w:val="24"/>
          <w:rtl/>
        </w:rPr>
        <w:t>.</w:t>
      </w:r>
    </w:p>
    <w:p w14:paraId="0D8B8102" w14:textId="20A33EAA" w:rsidR="00897E1C" w:rsidRDefault="00444345" w:rsidP="00444345">
      <w:pPr>
        <w:pStyle w:val="aa"/>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לא כמידת..</w:t>
      </w:r>
    </w:p>
    <w:p w14:paraId="4A7EFF98" w14:textId="2A6328AB" w:rsidR="00444345" w:rsidRPr="00636E44" w:rsidRDefault="00444345" w:rsidP="00636E44">
      <w:pPr>
        <w:pStyle w:val="aa"/>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הלכה זו של מתיר ומנגב, מצוינת במיוחד </w:t>
      </w:r>
      <w:r w:rsidR="00636E44">
        <w:rPr>
          <w:rFonts w:asciiTheme="majorBidi" w:hAnsiTheme="majorBidi" w:cstheme="majorBidi" w:hint="cs"/>
          <w:sz w:val="24"/>
          <w:szCs w:val="24"/>
          <w:rtl/>
        </w:rPr>
        <w:t xml:space="preserve">פעם נוספת </w:t>
      </w:r>
      <w:r>
        <w:rPr>
          <w:rFonts w:asciiTheme="majorBidi" w:hAnsiTheme="majorBidi" w:cstheme="majorBidi" w:hint="cs"/>
          <w:sz w:val="24"/>
          <w:szCs w:val="24"/>
          <w:rtl/>
        </w:rPr>
        <w:t xml:space="preserve">במשנה כהבדל בין </w:t>
      </w:r>
      <w:r w:rsidR="0031630A">
        <w:rPr>
          <w:rFonts w:asciiTheme="majorBidi" w:hAnsiTheme="majorBidi" w:cstheme="majorBidi" w:hint="cs"/>
          <w:sz w:val="24"/>
          <w:szCs w:val="24"/>
          <w:rtl/>
        </w:rPr>
        <w:t>קודש</w:t>
      </w:r>
      <w:r>
        <w:rPr>
          <w:rFonts w:asciiTheme="majorBidi" w:hAnsiTheme="majorBidi" w:cstheme="majorBidi" w:hint="cs"/>
          <w:sz w:val="24"/>
          <w:szCs w:val="24"/>
          <w:rtl/>
        </w:rPr>
        <w:t xml:space="preserve"> לבין </w:t>
      </w:r>
      <w:r w:rsidR="0031630A">
        <w:rPr>
          <w:rFonts w:asciiTheme="majorBidi" w:hAnsiTheme="majorBidi" w:cstheme="majorBidi" w:hint="cs"/>
          <w:sz w:val="24"/>
          <w:szCs w:val="24"/>
          <w:rtl/>
        </w:rPr>
        <w:t>תרומה</w:t>
      </w:r>
      <w:r>
        <w:rPr>
          <w:rFonts w:asciiTheme="majorBidi" w:hAnsiTheme="majorBidi" w:cstheme="majorBidi" w:hint="cs"/>
          <w:sz w:val="24"/>
          <w:szCs w:val="24"/>
          <w:rtl/>
        </w:rPr>
        <w:t>. עמדו על כך בעלי התוספות</w:t>
      </w:r>
      <w:r>
        <w:rPr>
          <w:rStyle w:val="a5"/>
          <w:rFonts w:asciiTheme="majorBidi" w:hAnsiTheme="majorBidi" w:cstheme="majorBidi"/>
          <w:sz w:val="24"/>
          <w:szCs w:val="24"/>
          <w:rtl/>
        </w:rPr>
        <w:footnoteReference w:id="31"/>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sidRPr="00444345">
        <w:rPr>
          <w:rFonts w:asciiTheme="majorBidi" w:hAnsiTheme="majorBidi" w:cs="Times New Roman"/>
          <w:sz w:val="24"/>
          <w:szCs w:val="24"/>
          <w:rtl/>
        </w:rPr>
        <w:t xml:space="preserve"> </w:t>
      </w:r>
      <w:r w:rsidRPr="00636E44">
        <w:rPr>
          <w:rFonts w:ascii="David" w:hAnsi="David" w:cs="David" w:hint="cs"/>
          <w:sz w:val="24"/>
          <w:szCs w:val="24"/>
          <w:rtl/>
        </w:rPr>
        <w:t>"</w:t>
      </w:r>
      <w:r w:rsidRPr="00636E44">
        <w:rPr>
          <w:rFonts w:ascii="David" w:hAnsi="David" w:cs="David"/>
          <w:sz w:val="24"/>
          <w:szCs w:val="24"/>
          <w:rtl/>
        </w:rPr>
        <w:t>לא כמדת התרומה מדת הקדש - לפי שמפרש בו הרבה דינים ביניהם נקט האי לישנא</w:t>
      </w:r>
      <w:r w:rsidRPr="00636E44">
        <w:rPr>
          <w:rFonts w:ascii="David" w:hAnsi="David" w:cs="David" w:hint="cs"/>
          <w:sz w:val="24"/>
          <w:szCs w:val="24"/>
          <w:rtl/>
        </w:rPr>
        <w:t>"</w:t>
      </w:r>
      <w:r w:rsidRPr="00636E44">
        <w:rPr>
          <w:rFonts w:ascii="David" w:hAnsi="David" w:cs="David"/>
          <w:sz w:val="24"/>
          <w:szCs w:val="24"/>
          <w:rtl/>
        </w:rPr>
        <w:t>.</w:t>
      </w:r>
      <w:r w:rsidRPr="00636E44">
        <w:rPr>
          <w:rFonts w:ascii="David" w:hAnsi="David" w:cs="David" w:hint="cs"/>
          <w:sz w:val="24"/>
          <w:szCs w:val="24"/>
          <w:rtl/>
        </w:rPr>
        <w:t xml:space="preserve"> </w:t>
      </w:r>
    </w:p>
    <w:p w14:paraId="31A7B8DB" w14:textId="4D468898" w:rsidR="00444345" w:rsidRDefault="00444345" w:rsidP="00444345">
      <w:pPr>
        <w:pStyle w:val="aa"/>
        <w:spacing w:after="0" w:line="360" w:lineRule="auto"/>
        <w:rPr>
          <w:rFonts w:asciiTheme="majorBidi" w:hAnsiTheme="majorBidi" w:cstheme="majorBidi"/>
          <w:sz w:val="24"/>
          <w:szCs w:val="24"/>
          <w:rtl/>
        </w:rPr>
      </w:pPr>
      <w:r>
        <w:rPr>
          <w:rFonts w:asciiTheme="majorBidi" w:hAnsiTheme="majorBidi" w:cstheme="majorBidi" w:hint="cs"/>
          <w:sz w:val="24"/>
          <w:szCs w:val="24"/>
          <w:rtl/>
        </w:rPr>
        <w:t>ב</w:t>
      </w:r>
      <w:r w:rsidRPr="00444345">
        <w:rPr>
          <w:rFonts w:asciiTheme="majorBidi" w:hAnsiTheme="majorBidi" w:cstheme="majorBidi"/>
          <w:sz w:val="24"/>
          <w:szCs w:val="24"/>
          <w:rtl/>
        </w:rPr>
        <w:t>תפארת ישראל</w:t>
      </w:r>
      <w:r>
        <w:rPr>
          <w:rFonts w:asciiTheme="majorBidi" w:hAnsiTheme="majorBidi" w:cstheme="majorBidi" w:hint="cs"/>
          <w:sz w:val="24"/>
          <w:szCs w:val="24"/>
          <w:rtl/>
        </w:rPr>
        <w:t xml:space="preserve"> הציע:</w:t>
      </w:r>
      <w:r w:rsidRPr="00444345">
        <w:rPr>
          <w:rFonts w:asciiTheme="majorBidi" w:hAnsiTheme="majorBidi" w:cstheme="majorBidi"/>
          <w:sz w:val="24"/>
          <w:szCs w:val="24"/>
          <w:rtl/>
        </w:rPr>
        <w:t xml:space="preserve"> </w:t>
      </w:r>
      <w:r w:rsidRPr="00444345">
        <w:rPr>
          <w:rFonts w:ascii="David" w:hAnsi="David" w:cs="David" w:hint="cs"/>
          <w:sz w:val="24"/>
          <w:szCs w:val="24"/>
          <w:rtl/>
        </w:rPr>
        <w:t>"</w:t>
      </w:r>
      <w:r w:rsidRPr="00444345">
        <w:rPr>
          <w:rFonts w:ascii="David" w:hAnsi="David" w:cs="David"/>
          <w:sz w:val="24"/>
          <w:szCs w:val="24"/>
          <w:rtl/>
        </w:rPr>
        <w:t xml:space="preserve">דכל הנך מעלות דנקט מעתה מקלינן בכל א' </w:t>
      </w:r>
      <w:r w:rsidRPr="00444345">
        <w:rPr>
          <w:rFonts w:ascii="David" w:hAnsi="David" w:cs="David" w:hint="cs"/>
          <w:sz w:val="24"/>
          <w:szCs w:val="24"/>
          <w:rtl/>
        </w:rPr>
        <w:t xml:space="preserve">, </w:t>
      </w:r>
      <w:r w:rsidRPr="00444345">
        <w:rPr>
          <w:rFonts w:ascii="David" w:hAnsi="David" w:cs="David"/>
          <w:b/>
          <w:bCs/>
          <w:sz w:val="24"/>
          <w:szCs w:val="24"/>
          <w:rtl/>
        </w:rPr>
        <w:t xml:space="preserve">ב' </w:t>
      </w:r>
      <w:r w:rsidRPr="00444345">
        <w:rPr>
          <w:rFonts w:ascii="David" w:hAnsi="David" w:cs="David"/>
          <w:sz w:val="24"/>
          <w:szCs w:val="24"/>
          <w:rtl/>
        </w:rPr>
        <w:t>קולות בתרומה נגד קודש</w:t>
      </w:r>
      <w:r>
        <w:rPr>
          <w:rStyle w:val="a5"/>
          <w:rFonts w:ascii="David" w:hAnsi="David" w:cs="David"/>
          <w:sz w:val="24"/>
          <w:szCs w:val="24"/>
          <w:rtl/>
        </w:rPr>
        <w:footnoteReference w:id="32"/>
      </w:r>
      <w:r w:rsidRPr="00444345">
        <w:rPr>
          <w:rFonts w:ascii="David" w:hAnsi="David" w:cs="David" w:hint="cs"/>
          <w:sz w:val="24"/>
          <w:szCs w:val="24"/>
          <w:rtl/>
        </w:rPr>
        <w:t>".</w:t>
      </w:r>
    </w:p>
    <w:p w14:paraId="25F3144D" w14:textId="169F28F8" w:rsidR="00AA77F5" w:rsidRDefault="00AA77F5" w:rsidP="00444345">
      <w:pPr>
        <w:pStyle w:val="aa"/>
        <w:spacing w:after="0" w:line="360" w:lineRule="auto"/>
        <w:rPr>
          <w:rFonts w:asciiTheme="majorBidi" w:hAnsiTheme="majorBidi" w:cstheme="majorBidi"/>
          <w:sz w:val="24"/>
          <w:szCs w:val="24"/>
          <w:rtl/>
        </w:rPr>
      </w:pPr>
      <w:r>
        <w:rPr>
          <w:rFonts w:asciiTheme="majorBidi" w:hAnsiTheme="majorBidi" w:cstheme="majorBidi" w:hint="cs"/>
          <w:sz w:val="24"/>
          <w:szCs w:val="24"/>
          <w:rtl/>
        </w:rPr>
        <w:t>בעל אור שמח נוקט כדרכם של התוספות, שהשקה היא הנושא ומציע ביאור מחודש:</w:t>
      </w:r>
    </w:p>
    <w:p w14:paraId="34411627" w14:textId="31CE6A35" w:rsidR="00E57A6F" w:rsidRPr="00B91008" w:rsidRDefault="00AA77F5" w:rsidP="00B91008">
      <w:pPr>
        <w:pStyle w:val="aa"/>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שנינו בפסחים: </w:t>
      </w:r>
      <w:r>
        <w:rPr>
          <w:rFonts w:asciiTheme="majorBidi" w:hAnsiTheme="majorBidi" w:cs="Times New Roman" w:hint="cs"/>
          <w:sz w:val="24"/>
          <w:szCs w:val="24"/>
          <w:rtl/>
        </w:rPr>
        <w:t xml:space="preserve"> </w:t>
      </w:r>
      <w:r w:rsidRPr="00AA77F5">
        <w:rPr>
          <w:rFonts w:asciiTheme="majorBidi" w:hAnsiTheme="majorBidi" w:cs="Times New Roman"/>
          <w:sz w:val="24"/>
          <w:szCs w:val="24"/>
          <w:rtl/>
        </w:rPr>
        <w:t xml:space="preserve"> </w:t>
      </w:r>
      <w:r w:rsidR="00E57A6F" w:rsidRPr="00B91008">
        <w:rPr>
          <w:rFonts w:ascii="David" w:hAnsi="David" w:cs="David" w:hint="cs"/>
          <w:sz w:val="24"/>
          <w:szCs w:val="24"/>
          <w:rtl/>
        </w:rPr>
        <w:t>"</w:t>
      </w:r>
      <w:r w:rsidRPr="00B91008">
        <w:rPr>
          <w:rFonts w:ascii="David" w:hAnsi="David" w:cs="David"/>
          <w:sz w:val="24"/>
          <w:szCs w:val="24"/>
          <w:rtl/>
        </w:rPr>
        <w:t>תנן, שתילי תרומות שנטמאו ושתלן - טהורים מלטמא ואסורין מלאכול (בתרומה). וכי מאחר דטהורין מלטמא אמאי אסורין מלאכול? ... אמר רב ששת: מאי אסורין - אסורין לכהנים, הואיל ואיפסילו להו בהיסח הדעת...</w:t>
      </w:r>
      <w:r w:rsidRPr="00B91008">
        <w:rPr>
          <w:rFonts w:ascii="David" w:hAnsi="David" w:cs="David"/>
          <w:rtl/>
        </w:rPr>
        <w:t xml:space="preserve"> </w:t>
      </w:r>
      <w:r w:rsidRPr="00B91008">
        <w:rPr>
          <w:rFonts w:ascii="David" w:hAnsi="David" w:cs="David" w:hint="cs"/>
          <w:rtl/>
        </w:rPr>
        <w:t xml:space="preserve"> </w:t>
      </w:r>
      <w:r w:rsidRPr="00B91008">
        <w:rPr>
          <w:rFonts w:ascii="David" w:hAnsi="David" w:cs="David"/>
          <w:sz w:val="24"/>
          <w:szCs w:val="24"/>
          <w:rtl/>
        </w:rPr>
        <w:t>כי סליק רבין אמרה לשמעתיה קמיה דרבי ירמיה, ואמר: בבלאי טפשאי, משום דיתבי בארעא דחשוכא אמריתון שמעתתא דמחשכו! לא שמיע לכו הא דרבי שמעון בן לקיש משמיה דרבי אושעיא: מי החג שנטמאו, השיקן ואחר כך הקדישן - טהורין, הקדישן ואחר כך השיקן - טמאים. מכדי, זריעה נינהו - מה לי השיקן ואחר כך הקדישן, מה לי הקדישן ואחר כך השיקן? אלמא: אין זריעה להקדש. הכא נמי: אין זריעה לתרומה</w:t>
      </w:r>
      <w:r w:rsidRPr="00AA77F5">
        <w:rPr>
          <w:rStyle w:val="a5"/>
          <w:rFonts w:ascii="David" w:hAnsi="David" w:cs="David"/>
          <w:sz w:val="24"/>
          <w:szCs w:val="24"/>
          <w:rtl/>
        </w:rPr>
        <w:footnoteReference w:id="33"/>
      </w:r>
      <w:r w:rsidR="00E57A6F" w:rsidRPr="00B91008">
        <w:rPr>
          <w:rFonts w:ascii="David" w:hAnsi="David" w:cs="David" w:hint="cs"/>
          <w:sz w:val="24"/>
          <w:szCs w:val="24"/>
          <w:rtl/>
        </w:rPr>
        <w:t>"</w:t>
      </w:r>
      <w:r w:rsidRPr="00B91008">
        <w:rPr>
          <w:rFonts w:ascii="David" w:hAnsi="David" w:cs="David"/>
          <w:sz w:val="24"/>
          <w:szCs w:val="24"/>
          <w:rtl/>
        </w:rPr>
        <w:t>.</w:t>
      </w:r>
      <w:r w:rsidR="00E57A6F" w:rsidRPr="00B91008">
        <w:rPr>
          <w:rFonts w:ascii="David" w:hAnsi="David" w:cs="David" w:hint="cs"/>
          <w:sz w:val="24"/>
          <w:szCs w:val="24"/>
          <w:rtl/>
        </w:rPr>
        <w:t xml:space="preserve"> </w:t>
      </w:r>
      <w:r w:rsidR="00E57A6F" w:rsidRPr="00B91008">
        <w:rPr>
          <w:rFonts w:asciiTheme="majorBidi" w:hAnsiTheme="majorBidi" w:cstheme="majorBidi" w:hint="cs"/>
          <w:sz w:val="24"/>
          <w:szCs w:val="24"/>
          <w:rtl/>
        </w:rPr>
        <w:t>כלומר, "</w:t>
      </w:r>
      <w:r w:rsidR="00E57A6F" w:rsidRPr="00B91008">
        <w:rPr>
          <w:rFonts w:ascii="David" w:hAnsi="David" w:cs="David" w:hint="cs"/>
          <w:sz w:val="24"/>
          <w:szCs w:val="24"/>
          <w:rtl/>
        </w:rPr>
        <w:t>כשם שאין זריעה ל</w:t>
      </w:r>
      <w:r w:rsidR="0031630A" w:rsidRPr="00B91008">
        <w:rPr>
          <w:rFonts w:ascii="David" w:hAnsi="David" w:cs="David" w:hint="cs"/>
          <w:sz w:val="24"/>
          <w:szCs w:val="24"/>
          <w:rtl/>
        </w:rPr>
        <w:t>קודש</w:t>
      </w:r>
      <w:r w:rsidR="00E57A6F" w:rsidRPr="00B91008">
        <w:rPr>
          <w:rFonts w:ascii="David" w:hAnsi="David" w:cs="David" w:hint="cs"/>
          <w:sz w:val="24"/>
          <w:szCs w:val="24"/>
          <w:rtl/>
        </w:rPr>
        <w:t xml:space="preserve"> כך אין זריעה ל</w:t>
      </w:r>
      <w:r w:rsidR="0031630A" w:rsidRPr="00B91008">
        <w:rPr>
          <w:rFonts w:ascii="David" w:hAnsi="David" w:cs="David" w:hint="cs"/>
          <w:sz w:val="24"/>
          <w:szCs w:val="24"/>
          <w:rtl/>
        </w:rPr>
        <w:t>תרומה</w:t>
      </w:r>
      <w:r w:rsidR="00E57A6F" w:rsidRPr="00B91008">
        <w:rPr>
          <w:rFonts w:ascii="David" w:hAnsi="David" w:cs="David" w:hint="cs"/>
          <w:sz w:val="24"/>
          <w:szCs w:val="24"/>
          <w:rtl/>
        </w:rPr>
        <w:t>. ואין זריעה ל</w:t>
      </w:r>
      <w:r w:rsidR="0031630A" w:rsidRPr="00B91008">
        <w:rPr>
          <w:rFonts w:ascii="David" w:hAnsi="David" w:cs="David" w:hint="cs"/>
          <w:sz w:val="24"/>
          <w:szCs w:val="24"/>
          <w:rtl/>
        </w:rPr>
        <w:t>קודש</w:t>
      </w:r>
      <w:r w:rsidR="00E57A6F" w:rsidRPr="00B91008">
        <w:rPr>
          <w:rFonts w:ascii="David" w:hAnsi="David" w:cs="David" w:hint="cs"/>
          <w:sz w:val="24"/>
          <w:szCs w:val="24"/>
          <w:rtl/>
        </w:rPr>
        <w:t xml:space="preserve"> למדו מהשקה.. הרי שגם ב</w:t>
      </w:r>
      <w:r w:rsidR="0031630A" w:rsidRPr="00B91008">
        <w:rPr>
          <w:rFonts w:ascii="David" w:hAnsi="David" w:cs="David" w:hint="cs"/>
          <w:sz w:val="24"/>
          <w:szCs w:val="24"/>
          <w:rtl/>
        </w:rPr>
        <w:t>תרומה</w:t>
      </w:r>
      <w:r w:rsidR="00E57A6F" w:rsidRPr="00B91008">
        <w:rPr>
          <w:rFonts w:ascii="David" w:hAnsi="David" w:cs="David" w:hint="cs"/>
          <w:sz w:val="24"/>
          <w:szCs w:val="24"/>
          <w:rtl/>
        </w:rPr>
        <w:t xml:space="preserve"> השקה לא מועילה, ואיך זה אמרו כאן שזהו חומר ב</w:t>
      </w:r>
      <w:r w:rsidR="0031630A" w:rsidRPr="00B91008">
        <w:rPr>
          <w:rFonts w:ascii="David" w:hAnsi="David" w:cs="David" w:hint="cs"/>
          <w:sz w:val="24"/>
          <w:szCs w:val="24"/>
          <w:rtl/>
        </w:rPr>
        <w:t>קודש</w:t>
      </w:r>
      <w:r w:rsidR="00E57A6F" w:rsidRPr="00B91008">
        <w:rPr>
          <w:rFonts w:ascii="David" w:hAnsi="David" w:cs="David" w:hint="cs"/>
          <w:sz w:val="24"/>
          <w:szCs w:val="24"/>
          <w:rtl/>
        </w:rPr>
        <w:t xml:space="preserve"> מב</w:t>
      </w:r>
      <w:r w:rsidR="0031630A" w:rsidRPr="00B91008">
        <w:rPr>
          <w:rFonts w:ascii="David" w:hAnsi="David" w:cs="David" w:hint="cs"/>
          <w:sz w:val="24"/>
          <w:szCs w:val="24"/>
          <w:rtl/>
        </w:rPr>
        <w:t>תרומה</w:t>
      </w:r>
      <w:r w:rsidR="00E57A6F" w:rsidRPr="00B91008">
        <w:rPr>
          <w:rFonts w:ascii="David" w:hAnsi="David" w:cs="David" w:hint="cs"/>
          <w:sz w:val="24"/>
          <w:szCs w:val="24"/>
          <w:rtl/>
        </w:rPr>
        <w:t>?</w:t>
      </w:r>
      <w:r w:rsidR="00E57A6F">
        <w:rPr>
          <w:rStyle w:val="a5"/>
          <w:rFonts w:ascii="David" w:hAnsi="David" w:cs="David"/>
          <w:sz w:val="24"/>
          <w:szCs w:val="24"/>
          <w:rtl/>
        </w:rPr>
        <w:footnoteReference w:id="34"/>
      </w:r>
      <w:r w:rsidR="00E57A6F" w:rsidRPr="00B91008">
        <w:rPr>
          <w:rFonts w:ascii="David" w:hAnsi="David" w:cs="David" w:hint="cs"/>
          <w:sz w:val="24"/>
          <w:szCs w:val="24"/>
          <w:rtl/>
        </w:rPr>
        <w:t xml:space="preserve">". </w:t>
      </w:r>
      <w:r w:rsidR="00E57A6F" w:rsidRPr="00B91008">
        <w:rPr>
          <w:rFonts w:asciiTheme="majorBidi" w:hAnsiTheme="majorBidi" w:cstheme="majorBidi" w:hint="cs"/>
          <w:sz w:val="24"/>
          <w:szCs w:val="24"/>
          <w:rtl/>
        </w:rPr>
        <w:t xml:space="preserve">על כן באה הדגשה מיוחדת במשנה, שאף על פי שמידת </w:t>
      </w:r>
      <w:r w:rsidR="0031630A" w:rsidRPr="00B91008">
        <w:rPr>
          <w:rFonts w:asciiTheme="majorBidi" w:hAnsiTheme="majorBidi" w:cstheme="majorBidi" w:hint="cs"/>
          <w:sz w:val="24"/>
          <w:szCs w:val="24"/>
          <w:rtl/>
        </w:rPr>
        <w:t xml:space="preserve">פסול השקה נוהגת בתרומה </w:t>
      </w:r>
      <w:r w:rsidR="0031630A" w:rsidRPr="00B91008">
        <w:rPr>
          <w:rFonts w:asciiTheme="majorBidi" w:hAnsiTheme="majorBidi" w:cstheme="majorBidi"/>
          <w:sz w:val="24"/>
          <w:szCs w:val="24"/>
          <w:rtl/>
        </w:rPr>
        <w:t>–</w:t>
      </w:r>
      <w:r w:rsidR="0031630A" w:rsidRPr="00B91008">
        <w:rPr>
          <w:rFonts w:asciiTheme="majorBidi" w:hAnsiTheme="majorBidi" w:cstheme="majorBidi" w:hint="cs"/>
          <w:sz w:val="24"/>
          <w:szCs w:val="24"/>
          <w:rtl/>
        </w:rPr>
        <w:t xml:space="preserve"> אין זה כמידת הקודש:</w:t>
      </w:r>
      <w:r w:rsidR="00B91008" w:rsidRPr="00B91008">
        <w:rPr>
          <w:rFonts w:asciiTheme="majorBidi" w:hAnsiTheme="majorBidi" w:cstheme="majorBidi" w:hint="cs"/>
          <w:sz w:val="24"/>
          <w:szCs w:val="24"/>
          <w:rtl/>
        </w:rPr>
        <w:t xml:space="preserve"> </w:t>
      </w:r>
      <w:r w:rsidR="00E57A6F" w:rsidRPr="00B91008">
        <w:rPr>
          <w:rFonts w:ascii="David" w:hAnsi="David" w:cs="David" w:hint="cs"/>
          <w:sz w:val="24"/>
          <w:szCs w:val="24"/>
          <w:rtl/>
        </w:rPr>
        <w:t>"</w:t>
      </w:r>
      <w:r w:rsidR="00E57A6F" w:rsidRPr="00B91008">
        <w:rPr>
          <w:rFonts w:ascii="David" w:hAnsi="David" w:cs="David"/>
          <w:sz w:val="24"/>
          <w:szCs w:val="24"/>
          <w:rtl/>
        </w:rPr>
        <w:t>וזה שאמר</w:t>
      </w:r>
      <w:r w:rsidR="00E57A6F" w:rsidRPr="00B91008">
        <w:rPr>
          <w:rFonts w:ascii="David" w:hAnsi="David" w:cs="David" w:hint="cs"/>
          <w:sz w:val="24"/>
          <w:szCs w:val="24"/>
          <w:rtl/>
        </w:rPr>
        <w:t>:</w:t>
      </w:r>
      <w:r w:rsidR="00E57A6F" w:rsidRPr="00B91008">
        <w:rPr>
          <w:rFonts w:ascii="David" w:hAnsi="David" w:cs="David"/>
          <w:sz w:val="24"/>
          <w:szCs w:val="24"/>
          <w:rtl/>
        </w:rPr>
        <w:t xml:space="preserve"> אעפ"י שמעלה זו דהשקה אינו מועיל לתרומה ג"כ, דלתרומה גופא לא מהני זריעה, זהו דוקא בתרומה וקודש ששניהן שוין, אבל </w:t>
      </w:r>
      <w:r w:rsidR="00E57A6F" w:rsidRPr="00B91008">
        <w:rPr>
          <w:rFonts w:ascii="David" w:hAnsi="David" w:cs="David"/>
          <w:b/>
          <w:bCs/>
          <w:sz w:val="24"/>
          <w:szCs w:val="24"/>
          <w:rtl/>
        </w:rPr>
        <w:t>בכלים</w:t>
      </w:r>
      <w:r w:rsidR="00E57A6F" w:rsidRPr="00B91008">
        <w:rPr>
          <w:rFonts w:ascii="David" w:hAnsi="David" w:cs="David"/>
          <w:sz w:val="24"/>
          <w:szCs w:val="24"/>
          <w:rtl/>
        </w:rPr>
        <w:t xml:space="preserve"> שמשתמשין בהן תרומה וקודש אינם שוים, דלזה לא עביד מעלה בתרומה דלא מהני השקה, וזה שאמר לא כמדת הקודש מדת התרומה, שאעפ"י שיש לה מעלה זו דאינו מועיל זריעה, בכ"ז לא כאשר בקודש כן בתרומה</w:t>
      </w:r>
      <w:r w:rsidR="00E57A6F">
        <w:rPr>
          <w:rStyle w:val="a5"/>
          <w:rFonts w:ascii="David" w:hAnsi="David" w:cs="David"/>
          <w:sz w:val="24"/>
          <w:szCs w:val="24"/>
          <w:rtl/>
        </w:rPr>
        <w:footnoteReference w:id="35"/>
      </w:r>
      <w:r w:rsidR="0031630A" w:rsidRPr="00B91008">
        <w:rPr>
          <w:rFonts w:ascii="David" w:hAnsi="David" w:cs="David" w:hint="cs"/>
          <w:sz w:val="24"/>
          <w:szCs w:val="24"/>
          <w:rtl/>
        </w:rPr>
        <w:t>".</w:t>
      </w:r>
    </w:p>
    <w:p w14:paraId="71CC8D3F" w14:textId="674432C0" w:rsidR="00B91008" w:rsidRDefault="00B91008" w:rsidP="00B91008">
      <w:pPr>
        <w:rPr>
          <w:rFonts w:asciiTheme="majorBidi" w:hAnsiTheme="majorBidi" w:cstheme="majorBidi"/>
          <w:sz w:val="24"/>
          <w:szCs w:val="24"/>
          <w:rtl/>
        </w:rPr>
      </w:pPr>
      <w:bookmarkStart w:id="1" w:name="_Hlk90387931"/>
      <w:bookmarkStart w:id="2" w:name="_Hlk92795457"/>
      <w:bookmarkStart w:id="3" w:name="_Hlk91012277"/>
      <w:r>
        <w:rPr>
          <w:rFonts w:asciiTheme="majorBidi" w:hAnsiTheme="majorBidi" w:cstheme="majorBidi" w:hint="cs"/>
          <w:sz w:val="24"/>
          <w:szCs w:val="24"/>
          <w:rtl/>
        </w:rPr>
        <w:t>שיעור זה נכתב לראשונה עבור מגידי השיעור של מעלה</w:t>
      </w:r>
      <w:bookmarkEnd w:id="1"/>
      <w:bookmarkEnd w:id="3"/>
      <w:r>
        <w:rPr>
          <w:rFonts w:asciiTheme="majorBidi" w:hAnsiTheme="majorBidi" w:cstheme="majorBidi" w:hint="cs"/>
          <w:sz w:val="24"/>
          <w:szCs w:val="24"/>
          <w:rtl/>
        </w:rPr>
        <w:t xml:space="preserve">   </w:t>
      </w:r>
      <w:r>
        <w:drawing>
          <wp:inline distT="0" distB="0" distL="0" distR="0" wp14:anchorId="38DD3855" wp14:editId="19C6DF83">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p>
    <w:bookmarkEnd w:id="2"/>
    <w:p w14:paraId="5A6A748B" w14:textId="77777777" w:rsidR="00B91008" w:rsidRPr="00E57A6F" w:rsidRDefault="00B91008" w:rsidP="00E57A6F">
      <w:pPr>
        <w:pStyle w:val="aa"/>
        <w:spacing w:after="0" w:line="360" w:lineRule="auto"/>
        <w:rPr>
          <w:rFonts w:ascii="David" w:hAnsi="David" w:cs="David"/>
          <w:sz w:val="24"/>
          <w:szCs w:val="24"/>
          <w:rtl/>
        </w:rPr>
      </w:pPr>
    </w:p>
    <w:p w14:paraId="72E24ABD" w14:textId="77777777" w:rsidR="00AA77F5" w:rsidRPr="00444345" w:rsidRDefault="00AA77F5" w:rsidP="00444345">
      <w:pPr>
        <w:pStyle w:val="aa"/>
        <w:spacing w:after="0" w:line="360" w:lineRule="auto"/>
        <w:rPr>
          <w:rFonts w:asciiTheme="majorBidi" w:hAnsiTheme="majorBidi" w:cstheme="majorBidi"/>
          <w:sz w:val="24"/>
          <w:szCs w:val="24"/>
          <w:rtl/>
        </w:rPr>
      </w:pPr>
    </w:p>
    <w:sectPr w:rsidR="00AA77F5" w:rsidRPr="00444345" w:rsidSect="00CA708F">
      <w:headerReference w:type="default" r:id="rId10"/>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7D96" w14:textId="77777777" w:rsidR="005053EA" w:rsidRDefault="005053EA" w:rsidP="00F71938">
      <w:pPr>
        <w:spacing w:after="0" w:line="240" w:lineRule="auto"/>
      </w:pPr>
      <w:r>
        <w:separator/>
      </w:r>
    </w:p>
  </w:endnote>
  <w:endnote w:type="continuationSeparator" w:id="0">
    <w:p w14:paraId="7AD540DC" w14:textId="77777777" w:rsidR="005053EA" w:rsidRDefault="005053EA" w:rsidP="00F7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B7A69" w14:textId="77777777" w:rsidR="005053EA" w:rsidRDefault="005053EA" w:rsidP="00F71938">
      <w:pPr>
        <w:spacing w:after="0" w:line="240" w:lineRule="auto"/>
      </w:pPr>
      <w:r>
        <w:separator/>
      </w:r>
    </w:p>
  </w:footnote>
  <w:footnote w:type="continuationSeparator" w:id="0">
    <w:p w14:paraId="59616B5B" w14:textId="77777777" w:rsidR="005053EA" w:rsidRDefault="005053EA" w:rsidP="00F71938">
      <w:pPr>
        <w:spacing w:after="0" w:line="240" w:lineRule="auto"/>
      </w:pPr>
      <w:r>
        <w:continuationSeparator/>
      </w:r>
    </w:p>
  </w:footnote>
  <w:footnote w:id="1">
    <w:p w14:paraId="5AA974C3" w14:textId="71797EF8" w:rsidR="0018035B" w:rsidRPr="00AC263E" w:rsidRDefault="0018035B" w:rsidP="00AC263E">
      <w:pPr>
        <w:spacing w:after="0" w:line="360" w:lineRule="auto"/>
        <w:rPr>
          <w:rFonts w:asciiTheme="majorBidi" w:hAnsiTheme="majorBidi" w:cstheme="majorBidi"/>
          <w:sz w:val="20"/>
          <w:szCs w:val="20"/>
        </w:rPr>
      </w:pPr>
      <w:r w:rsidRPr="009817A7">
        <w:rPr>
          <w:rStyle w:val="a5"/>
          <w:sz w:val="20"/>
          <w:szCs w:val="20"/>
        </w:rPr>
        <w:footnoteRef/>
      </w:r>
      <w:r w:rsidRPr="009817A7">
        <w:rPr>
          <w:sz w:val="20"/>
          <w:szCs w:val="20"/>
          <w:rtl/>
        </w:rPr>
        <w:t xml:space="preserve"> </w:t>
      </w:r>
      <w:r w:rsidRPr="009817A7">
        <w:rPr>
          <w:rFonts w:asciiTheme="majorBidi" w:hAnsiTheme="majorBidi" w:cs="Times New Roman" w:hint="cs"/>
          <w:sz w:val="20"/>
          <w:szCs w:val="20"/>
          <w:rtl/>
        </w:rPr>
        <w:t xml:space="preserve"> </w:t>
      </w:r>
      <w:r w:rsidRPr="009817A7">
        <w:rPr>
          <w:rFonts w:asciiTheme="majorBidi" w:hAnsiTheme="majorBidi" w:cs="Times New Roman"/>
          <w:sz w:val="20"/>
          <w:szCs w:val="20"/>
          <w:rtl/>
        </w:rPr>
        <w:t xml:space="preserve"> דף כב עמוד א</w:t>
      </w:r>
      <w:r w:rsidRPr="009817A7">
        <w:rPr>
          <w:rFonts w:asciiTheme="majorBidi" w:hAnsiTheme="majorBidi" w:cstheme="majorBidi" w:hint="cs"/>
          <w:sz w:val="20"/>
          <w:szCs w:val="20"/>
          <w:rtl/>
        </w:rPr>
        <w:t>.</w:t>
      </w:r>
    </w:p>
  </w:footnote>
  <w:footnote w:id="2">
    <w:p w14:paraId="0C3E6FB8" w14:textId="32A7BBAE" w:rsidR="00F71938" w:rsidRPr="009817A7" w:rsidRDefault="00F71938" w:rsidP="00AC263E">
      <w:pPr>
        <w:pStyle w:val="a3"/>
        <w:spacing w:line="360" w:lineRule="auto"/>
      </w:pPr>
      <w:r w:rsidRPr="009817A7">
        <w:rPr>
          <w:rStyle w:val="a5"/>
        </w:rPr>
        <w:footnoteRef/>
      </w:r>
      <w:r w:rsidRPr="009817A7">
        <w:rPr>
          <w:rtl/>
        </w:rPr>
        <w:t xml:space="preserve"> </w:t>
      </w:r>
      <w:r w:rsidRPr="009817A7">
        <w:rPr>
          <w:rFonts w:asciiTheme="majorBidi" w:hAnsiTheme="majorBidi" w:cstheme="majorBidi" w:hint="cs"/>
          <w:rtl/>
        </w:rPr>
        <w:t>כב עמוד א ד"ה למאן.</w:t>
      </w:r>
    </w:p>
  </w:footnote>
  <w:footnote w:id="3">
    <w:p w14:paraId="0E391174" w14:textId="2EB22BBC" w:rsidR="0018035B" w:rsidRPr="009817A7" w:rsidRDefault="0018035B" w:rsidP="009817A7">
      <w:pPr>
        <w:pStyle w:val="a3"/>
        <w:spacing w:line="360" w:lineRule="auto"/>
      </w:pPr>
      <w:r w:rsidRPr="009817A7">
        <w:rPr>
          <w:rStyle w:val="a5"/>
        </w:rPr>
        <w:footnoteRef/>
      </w:r>
      <w:r w:rsidRPr="009817A7">
        <w:rPr>
          <w:rtl/>
        </w:rPr>
        <w:t xml:space="preserve"> </w:t>
      </w:r>
      <w:r w:rsidRPr="009817A7">
        <w:rPr>
          <w:rFonts w:asciiTheme="majorBidi" w:hAnsiTheme="majorBidi" w:cstheme="majorBidi" w:hint="cs"/>
          <w:rtl/>
        </w:rPr>
        <w:t xml:space="preserve">ממשיך המאירי: </w:t>
      </w:r>
      <w:r w:rsidRPr="009817A7">
        <w:rPr>
          <w:rFonts w:hint="cs"/>
          <w:rtl/>
        </w:rPr>
        <w:t>"</w:t>
      </w:r>
      <w:r w:rsidRPr="009817A7">
        <w:rPr>
          <w:rFonts w:ascii="David" w:hAnsi="David" w:cs="David"/>
          <w:rtl/>
        </w:rPr>
        <w:t>ומצאנו בנימוקי הגאונים שאם היה כבד כליטרא</w:t>
      </w:r>
      <w:r w:rsidR="009817A7">
        <w:rPr>
          <w:rFonts w:ascii="David" w:hAnsi="David" w:cs="David" w:hint="cs"/>
          <w:rtl/>
        </w:rPr>
        <w:t xml:space="preserve">, </w:t>
      </w:r>
      <w:r w:rsidRPr="009817A7">
        <w:rPr>
          <w:rFonts w:ascii="David" w:hAnsi="David" w:cs="David"/>
          <w:rtl/>
        </w:rPr>
        <w:t>חוצץ אף לתרומה</w:t>
      </w:r>
      <w:r w:rsidR="009817A7">
        <w:rPr>
          <w:rFonts w:ascii="David" w:hAnsi="David" w:cs="David" w:hint="cs"/>
          <w:rtl/>
        </w:rPr>
        <w:t>.</w:t>
      </w:r>
      <w:r w:rsidRPr="009817A7">
        <w:rPr>
          <w:rFonts w:ascii="David" w:hAnsi="David" w:cs="David"/>
          <w:rtl/>
        </w:rPr>
        <w:t xml:space="preserve"> וכן מצאתיה אחרי כן בתלמוד המערב</w:t>
      </w:r>
      <w:r w:rsidRPr="009817A7">
        <w:rPr>
          <w:rFonts w:ascii="David" w:hAnsi="David" w:cs="David" w:hint="cs"/>
          <w:rtl/>
        </w:rPr>
        <w:t>".</w:t>
      </w:r>
    </w:p>
  </w:footnote>
  <w:footnote w:id="4">
    <w:p w14:paraId="0C3A7715" w14:textId="4DEEFAAE" w:rsidR="00E370AF" w:rsidRPr="009817A7" w:rsidRDefault="00E370AF" w:rsidP="009817A7">
      <w:pPr>
        <w:pStyle w:val="a3"/>
        <w:spacing w:line="360" w:lineRule="auto"/>
        <w:rPr>
          <w:rFonts w:asciiTheme="majorBidi" w:hAnsiTheme="majorBidi" w:cstheme="majorBidi"/>
        </w:rPr>
      </w:pPr>
      <w:r w:rsidRPr="009817A7">
        <w:rPr>
          <w:rStyle w:val="a5"/>
          <w:rFonts w:asciiTheme="majorBidi" w:hAnsiTheme="majorBidi" w:cstheme="majorBidi"/>
        </w:rPr>
        <w:footnoteRef/>
      </w:r>
      <w:r w:rsidRPr="009817A7">
        <w:rPr>
          <w:rFonts w:asciiTheme="majorBidi" w:hAnsiTheme="majorBidi" w:cstheme="majorBidi"/>
          <w:rtl/>
        </w:rPr>
        <w:t xml:space="preserve"> לשון הרמב"ם הלכות מקוואות פרק ג </w:t>
      </w:r>
      <w:r w:rsidR="00130446" w:rsidRPr="009817A7">
        <w:rPr>
          <w:rFonts w:asciiTheme="majorBidi" w:hAnsiTheme="majorBidi" w:cstheme="majorBidi"/>
          <w:rtl/>
        </w:rPr>
        <w:t>הלכה</w:t>
      </w:r>
      <w:r w:rsidRPr="009817A7">
        <w:rPr>
          <w:rFonts w:asciiTheme="majorBidi" w:hAnsiTheme="majorBidi" w:cstheme="majorBidi"/>
          <w:rtl/>
        </w:rPr>
        <w:t xml:space="preserve"> כו.</w:t>
      </w:r>
    </w:p>
  </w:footnote>
  <w:footnote w:id="5">
    <w:p w14:paraId="07C52305" w14:textId="6443ADC0" w:rsidR="00130446" w:rsidRPr="009817A7" w:rsidRDefault="00130446" w:rsidP="009817A7">
      <w:pPr>
        <w:pStyle w:val="a3"/>
        <w:spacing w:line="360" w:lineRule="auto"/>
        <w:rPr>
          <w:rFonts w:asciiTheme="majorBidi" w:hAnsiTheme="majorBidi" w:cstheme="majorBidi"/>
        </w:rPr>
      </w:pPr>
      <w:r w:rsidRPr="009817A7">
        <w:rPr>
          <w:rStyle w:val="a5"/>
          <w:rFonts w:asciiTheme="majorBidi" w:hAnsiTheme="majorBidi" w:cstheme="majorBidi"/>
        </w:rPr>
        <w:footnoteRef/>
      </w:r>
      <w:r w:rsidRPr="009817A7">
        <w:rPr>
          <w:rFonts w:asciiTheme="majorBidi" w:hAnsiTheme="majorBidi" w:cstheme="majorBidi"/>
          <w:rtl/>
        </w:rPr>
        <w:t xml:space="preserve"> ד"ה אבא שאול.</w:t>
      </w:r>
    </w:p>
  </w:footnote>
  <w:footnote w:id="6">
    <w:p w14:paraId="186F1D84" w14:textId="4053BD5E" w:rsidR="00EA63EF" w:rsidRPr="009817A7" w:rsidRDefault="00EA63EF" w:rsidP="009817A7">
      <w:pPr>
        <w:pStyle w:val="a3"/>
        <w:spacing w:line="360" w:lineRule="auto"/>
        <w:rPr>
          <w:rFonts w:asciiTheme="majorBidi" w:hAnsiTheme="majorBidi" w:cstheme="majorBidi"/>
        </w:rPr>
      </w:pPr>
      <w:r w:rsidRPr="009817A7">
        <w:rPr>
          <w:rStyle w:val="a5"/>
          <w:rFonts w:asciiTheme="majorBidi" w:hAnsiTheme="majorBidi" w:cstheme="majorBidi"/>
        </w:rPr>
        <w:footnoteRef/>
      </w:r>
      <w:r w:rsidRPr="009817A7">
        <w:rPr>
          <w:rFonts w:asciiTheme="majorBidi" w:hAnsiTheme="majorBidi" w:cstheme="majorBidi"/>
          <w:rtl/>
        </w:rPr>
        <w:t xml:space="preserve"> ר"ש מסכת מקוואות פרק ו משנה ה</w:t>
      </w:r>
      <w:r w:rsidR="003A049A" w:rsidRPr="009817A7">
        <w:rPr>
          <w:rFonts w:asciiTheme="majorBidi" w:hAnsiTheme="majorBidi" w:cstheme="majorBidi"/>
          <w:rtl/>
        </w:rPr>
        <w:t>.</w:t>
      </w:r>
    </w:p>
  </w:footnote>
  <w:footnote w:id="7">
    <w:p w14:paraId="450DAE4C" w14:textId="27859AF9" w:rsidR="008B7BD5" w:rsidRPr="009817A7" w:rsidRDefault="008B7BD5" w:rsidP="009817A7">
      <w:pPr>
        <w:pStyle w:val="a3"/>
        <w:spacing w:line="360" w:lineRule="auto"/>
        <w:rPr>
          <w:rFonts w:asciiTheme="majorBidi" w:hAnsiTheme="majorBidi" w:cstheme="majorBidi"/>
        </w:rPr>
      </w:pPr>
      <w:r w:rsidRPr="009817A7">
        <w:rPr>
          <w:rStyle w:val="a5"/>
          <w:rFonts w:asciiTheme="majorBidi" w:hAnsiTheme="majorBidi" w:cstheme="majorBidi"/>
        </w:rPr>
        <w:footnoteRef/>
      </w:r>
      <w:r w:rsidRPr="009817A7">
        <w:rPr>
          <w:rFonts w:asciiTheme="majorBidi" w:hAnsiTheme="majorBidi" w:cstheme="majorBidi"/>
          <w:rtl/>
        </w:rPr>
        <w:t xml:space="preserve"> ראשון לציון.</w:t>
      </w:r>
    </w:p>
  </w:footnote>
  <w:footnote w:id="8">
    <w:p w14:paraId="19610C58" w14:textId="324BC6C3" w:rsidR="008B7BD5" w:rsidRPr="009817A7" w:rsidRDefault="008B7BD5" w:rsidP="009817A7">
      <w:pPr>
        <w:pStyle w:val="a3"/>
        <w:spacing w:line="360" w:lineRule="auto"/>
        <w:rPr>
          <w:rFonts w:asciiTheme="majorBidi" w:hAnsiTheme="majorBidi" w:cstheme="majorBidi"/>
          <w:rtl/>
        </w:rPr>
      </w:pPr>
      <w:r w:rsidRPr="009817A7">
        <w:rPr>
          <w:rStyle w:val="a5"/>
          <w:rFonts w:asciiTheme="majorBidi" w:hAnsiTheme="majorBidi" w:cstheme="majorBidi"/>
        </w:rPr>
        <w:footnoteRef/>
      </w:r>
      <w:r w:rsidRPr="009817A7">
        <w:rPr>
          <w:rFonts w:asciiTheme="majorBidi" w:hAnsiTheme="majorBidi" w:cstheme="majorBidi"/>
          <w:rtl/>
        </w:rPr>
        <w:t xml:space="preserve"> ראבי"ה סימן תתקפח.</w:t>
      </w:r>
    </w:p>
  </w:footnote>
  <w:footnote w:id="9">
    <w:p w14:paraId="0A05E3FB" w14:textId="3184B004" w:rsidR="00F9351E" w:rsidRPr="009817A7" w:rsidRDefault="00F9351E" w:rsidP="009817A7">
      <w:pPr>
        <w:spacing w:after="0" w:line="360" w:lineRule="auto"/>
        <w:rPr>
          <w:rFonts w:asciiTheme="majorBidi" w:hAnsiTheme="majorBidi" w:cstheme="majorBidi"/>
          <w:sz w:val="20"/>
          <w:szCs w:val="20"/>
        </w:rPr>
      </w:pPr>
      <w:r w:rsidRPr="009817A7">
        <w:rPr>
          <w:rStyle w:val="a5"/>
          <w:rFonts w:asciiTheme="majorBidi" w:hAnsiTheme="majorBidi" w:cstheme="majorBidi"/>
          <w:sz w:val="20"/>
          <w:szCs w:val="20"/>
        </w:rPr>
        <w:footnoteRef/>
      </w:r>
      <w:r w:rsidRPr="009817A7">
        <w:rPr>
          <w:rFonts w:asciiTheme="majorBidi" w:hAnsiTheme="majorBidi" w:cstheme="majorBidi"/>
          <w:sz w:val="20"/>
          <w:szCs w:val="20"/>
          <w:rtl/>
        </w:rPr>
        <w:t xml:space="preserve"> שו"ת חכם צבי סימן מ.</w:t>
      </w:r>
    </w:p>
  </w:footnote>
  <w:footnote w:id="10">
    <w:p w14:paraId="72F7663B" w14:textId="77777777" w:rsidR="004D5286" w:rsidRPr="009817A7" w:rsidRDefault="004D5286" w:rsidP="004D5286">
      <w:pPr>
        <w:spacing w:after="0" w:line="360" w:lineRule="auto"/>
        <w:rPr>
          <w:rFonts w:asciiTheme="majorBidi" w:hAnsiTheme="majorBidi" w:cstheme="majorBidi"/>
          <w:sz w:val="20"/>
          <w:szCs w:val="20"/>
        </w:rPr>
      </w:pPr>
      <w:r w:rsidRPr="009817A7">
        <w:rPr>
          <w:rStyle w:val="a5"/>
          <w:rFonts w:asciiTheme="majorBidi" w:hAnsiTheme="majorBidi" w:cstheme="majorBidi"/>
          <w:sz w:val="20"/>
          <w:szCs w:val="20"/>
        </w:rPr>
        <w:footnoteRef/>
      </w:r>
      <w:r w:rsidRPr="009817A7">
        <w:rPr>
          <w:rFonts w:asciiTheme="majorBidi" w:hAnsiTheme="majorBidi" w:cstheme="majorBidi"/>
          <w:sz w:val="20"/>
          <w:szCs w:val="20"/>
          <w:rtl/>
        </w:rPr>
        <w:t xml:space="preserve"> שולחן ערוך יורה דעה הלכות מקואות סימן רא סעיף ט.</w:t>
      </w:r>
    </w:p>
  </w:footnote>
  <w:footnote w:id="11">
    <w:p w14:paraId="16B5CA50" w14:textId="2D110237" w:rsidR="00A00AD4" w:rsidRPr="009817A7" w:rsidRDefault="00A00AD4" w:rsidP="009817A7">
      <w:pPr>
        <w:pStyle w:val="a3"/>
        <w:spacing w:line="360" w:lineRule="auto"/>
        <w:rPr>
          <w:rFonts w:asciiTheme="majorBidi" w:hAnsiTheme="majorBidi" w:cstheme="majorBidi"/>
        </w:rPr>
      </w:pPr>
      <w:r w:rsidRPr="009817A7">
        <w:rPr>
          <w:rStyle w:val="a5"/>
          <w:rFonts w:asciiTheme="majorBidi" w:hAnsiTheme="majorBidi" w:cstheme="majorBidi"/>
        </w:rPr>
        <w:footnoteRef/>
      </w:r>
      <w:r w:rsidRPr="009817A7">
        <w:rPr>
          <w:rFonts w:asciiTheme="majorBidi" w:hAnsiTheme="majorBidi" w:cstheme="majorBidi"/>
          <w:rtl/>
        </w:rPr>
        <w:t xml:space="preserve"> דף כב עמוד א ד"ה מאי איכא.</w:t>
      </w:r>
    </w:p>
  </w:footnote>
  <w:footnote w:id="12">
    <w:p w14:paraId="777CF6F2" w14:textId="5967AFD1" w:rsidR="004D5286" w:rsidRPr="00662CC6" w:rsidRDefault="004D5286">
      <w:pPr>
        <w:pStyle w:val="a3"/>
      </w:pPr>
      <w:r w:rsidRPr="00662CC6">
        <w:rPr>
          <w:rStyle w:val="a5"/>
        </w:rPr>
        <w:footnoteRef/>
      </w:r>
      <w:r w:rsidRPr="00662CC6">
        <w:rPr>
          <w:rtl/>
        </w:rPr>
        <w:t xml:space="preserve"> </w:t>
      </w:r>
      <w:r w:rsidRPr="00662CC6">
        <w:rPr>
          <w:rFonts w:asciiTheme="majorBidi" w:hAnsiTheme="majorBidi" w:cstheme="majorBidi"/>
          <w:rtl/>
        </w:rPr>
        <w:t>דף כא עמוד א</w:t>
      </w:r>
      <w:r w:rsidRPr="00662CC6">
        <w:rPr>
          <w:rFonts w:asciiTheme="majorBidi" w:hAnsiTheme="majorBidi" w:cstheme="majorBidi" w:hint="cs"/>
          <w:rtl/>
        </w:rPr>
        <w:t>.</w:t>
      </w:r>
    </w:p>
  </w:footnote>
  <w:footnote w:id="13">
    <w:p w14:paraId="0FDEDDBC" w14:textId="6F937162" w:rsidR="00304000" w:rsidRPr="009817A7" w:rsidRDefault="00304000" w:rsidP="009817A7">
      <w:pPr>
        <w:pStyle w:val="a3"/>
        <w:spacing w:line="360" w:lineRule="auto"/>
        <w:rPr>
          <w:rFonts w:asciiTheme="majorBidi" w:hAnsiTheme="majorBidi" w:cstheme="majorBidi"/>
          <w:rtl/>
        </w:rPr>
      </w:pPr>
      <w:r w:rsidRPr="009817A7">
        <w:rPr>
          <w:rStyle w:val="a5"/>
          <w:rFonts w:asciiTheme="majorBidi" w:hAnsiTheme="majorBidi" w:cstheme="majorBidi"/>
        </w:rPr>
        <w:footnoteRef/>
      </w:r>
      <w:r w:rsidRPr="009817A7">
        <w:rPr>
          <w:rFonts w:asciiTheme="majorBidi" w:hAnsiTheme="majorBidi" w:cstheme="majorBidi"/>
          <w:rtl/>
        </w:rPr>
        <w:t xml:space="preserve"> </w:t>
      </w:r>
      <w:r w:rsidRPr="009817A7">
        <w:rPr>
          <w:rFonts w:asciiTheme="majorBidi" w:hAnsiTheme="majorBidi" w:cstheme="majorBidi"/>
          <w:rtl/>
        </w:rPr>
        <w:t>דף כב עמוד א.</w:t>
      </w:r>
    </w:p>
  </w:footnote>
  <w:footnote w:id="14">
    <w:p w14:paraId="453DA63F" w14:textId="1778A18E" w:rsidR="00304000" w:rsidRPr="009817A7" w:rsidRDefault="00304000" w:rsidP="009817A7">
      <w:pPr>
        <w:pStyle w:val="a3"/>
        <w:spacing w:line="360" w:lineRule="auto"/>
        <w:rPr>
          <w:rFonts w:asciiTheme="majorBidi" w:hAnsiTheme="majorBidi" w:cstheme="majorBidi"/>
        </w:rPr>
      </w:pPr>
      <w:r w:rsidRPr="009817A7">
        <w:rPr>
          <w:rStyle w:val="a5"/>
          <w:rFonts w:asciiTheme="majorBidi" w:hAnsiTheme="majorBidi" w:cstheme="majorBidi"/>
        </w:rPr>
        <w:footnoteRef/>
      </w:r>
      <w:r w:rsidRPr="009817A7">
        <w:rPr>
          <w:rFonts w:asciiTheme="majorBidi" w:hAnsiTheme="majorBidi" w:cstheme="majorBidi"/>
          <w:rtl/>
        </w:rPr>
        <w:t xml:space="preserve"> רש"י בכמה ד"ה.</w:t>
      </w:r>
    </w:p>
  </w:footnote>
  <w:footnote w:id="15">
    <w:p w14:paraId="55636590" w14:textId="290097CE" w:rsidR="00F9337D" w:rsidRPr="009817A7" w:rsidRDefault="00F9337D" w:rsidP="009817A7">
      <w:pPr>
        <w:pStyle w:val="a3"/>
        <w:spacing w:line="360" w:lineRule="auto"/>
        <w:rPr>
          <w:rFonts w:asciiTheme="majorBidi" w:hAnsiTheme="majorBidi" w:cstheme="majorBidi"/>
        </w:rPr>
      </w:pPr>
      <w:r w:rsidRPr="009817A7">
        <w:rPr>
          <w:rStyle w:val="a5"/>
          <w:rFonts w:asciiTheme="majorBidi" w:hAnsiTheme="majorBidi" w:cstheme="majorBidi"/>
        </w:rPr>
        <w:footnoteRef/>
      </w:r>
      <w:r w:rsidRPr="009817A7">
        <w:rPr>
          <w:rFonts w:asciiTheme="majorBidi" w:hAnsiTheme="majorBidi" w:cstheme="majorBidi"/>
          <w:rtl/>
        </w:rPr>
        <w:t xml:space="preserve"> ד"ה מאי.</w:t>
      </w:r>
    </w:p>
  </w:footnote>
  <w:footnote w:id="16">
    <w:p w14:paraId="798826AC" w14:textId="7B642C14" w:rsidR="000863D5" w:rsidRPr="009817A7" w:rsidRDefault="000863D5" w:rsidP="009817A7">
      <w:pPr>
        <w:pStyle w:val="a3"/>
        <w:spacing w:line="360" w:lineRule="auto"/>
        <w:rPr>
          <w:rFonts w:asciiTheme="majorBidi" w:hAnsiTheme="majorBidi" w:cstheme="majorBidi"/>
        </w:rPr>
      </w:pPr>
      <w:r w:rsidRPr="009817A7">
        <w:rPr>
          <w:rStyle w:val="a5"/>
          <w:rFonts w:asciiTheme="majorBidi" w:hAnsiTheme="majorBidi" w:cstheme="majorBidi"/>
        </w:rPr>
        <w:footnoteRef/>
      </w:r>
      <w:r w:rsidRPr="009817A7">
        <w:rPr>
          <w:rFonts w:asciiTheme="majorBidi" w:hAnsiTheme="majorBidi" w:cstheme="majorBidi"/>
          <w:rtl/>
        </w:rPr>
        <w:t xml:space="preserve"> כ עמוד ב על המשנה.</w:t>
      </w:r>
    </w:p>
  </w:footnote>
  <w:footnote w:id="17">
    <w:p w14:paraId="7BF9078E" w14:textId="0BF307F8" w:rsidR="00112B75" w:rsidRPr="009817A7" w:rsidRDefault="00112B75" w:rsidP="009817A7">
      <w:pPr>
        <w:pStyle w:val="a3"/>
        <w:spacing w:line="360" w:lineRule="auto"/>
        <w:rPr>
          <w:rFonts w:asciiTheme="majorBidi" w:hAnsiTheme="majorBidi" w:cstheme="majorBidi"/>
        </w:rPr>
      </w:pPr>
      <w:r w:rsidRPr="009817A7">
        <w:rPr>
          <w:rStyle w:val="a5"/>
          <w:rFonts w:asciiTheme="majorBidi" w:hAnsiTheme="majorBidi" w:cstheme="majorBidi"/>
        </w:rPr>
        <w:footnoteRef/>
      </w:r>
      <w:r w:rsidRPr="009817A7">
        <w:rPr>
          <w:rFonts w:asciiTheme="majorBidi" w:hAnsiTheme="majorBidi" w:cstheme="majorBidi"/>
          <w:rtl/>
        </w:rPr>
        <w:t xml:space="preserve"> הלכות שאר אבות הטומאה פרק יב הלכה א.</w:t>
      </w:r>
    </w:p>
  </w:footnote>
  <w:footnote w:id="18">
    <w:p w14:paraId="6013F93C" w14:textId="72105313" w:rsidR="00020824" w:rsidRPr="009817A7" w:rsidRDefault="00020824" w:rsidP="009817A7">
      <w:pPr>
        <w:pStyle w:val="a3"/>
        <w:spacing w:line="360" w:lineRule="auto"/>
      </w:pPr>
      <w:r w:rsidRPr="009817A7">
        <w:rPr>
          <w:rStyle w:val="a5"/>
        </w:rPr>
        <w:footnoteRef/>
      </w:r>
      <w:r w:rsidRPr="009817A7">
        <w:rPr>
          <w:rtl/>
        </w:rPr>
        <w:t xml:space="preserve"> </w:t>
      </w:r>
      <w:r w:rsidRPr="009817A7">
        <w:rPr>
          <w:rFonts w:asciiTheme="majorBidi" w:hAnsiTheme="majorBidi" w:cstheme="majorBidi"/>
          <w:rtl/>
        </w:rPr>
        <w:t>רמב"ם הלכות מקוואות פרק ג הלכה כו</w:t>
      </w:r>
      <w:r w:rsidRPr="009817A7">
        <w:rPr>
          <w:rFonts w:asciiTheme="majorBidi" w:hAnsiTheme="majorBidi" w:cstheme="majorBidi" w:hint="cs"/>
          <w:rtl/>
        </w:rPr>
        <w:t>.</w:t>
      </w:r>
    </w:p>
  </w:footnote>
  <w:footnote w:id="19">
    <w:p w14:paraId="246B6138" w14:textId="31588D09" w:rsidR="00E642FA" w:rsidRPr="00A54966" w:rsidRDefault="00E642FA">
      <w:pPr>
        <w:pStyle w:val="a3"/>
        <w:rPr>
          <w:rFonts w:asciiTheme="majorBidi" w:hAnsiTheme="majorBidi" w:cstheme="majorBidi"/>
          <w:rtl/>
        </w:rPr>
      </w:pPr>
      <w:r w:rsidRPr="00A54966">
        <w:rPr>
          <w:rStyle w:val="a5"/>
          <w:rFonts w:asciiTheme="majorBidi" w:hAnsiTheme="majorBidi" w:cstheme="majorBidi"/>
        </w:rPr>
        <w:footnoteRef/>
      </w:r>
      <w:r w:rsidRPr="00A54966">
        <w:rPr>
          <w:rFonts w:asciiTheme="majorBidi" w:hAnsiTheme="majorBidi" w:cstheme="majorBidi"/>
          <w:rtl/>
        </w:rPr>
        <w:t xml:space="preserve"> בירור הלכה, ציון ראשון בפרק שלישי אות ג בשם גידולי טהרה.</w:t>
      </w:r>
    </w:p>
  </w:footnote>
  <w:footnote w:id="20">
    <w:p w14:paraId="78C033AB" w14:textId="02907635" w:rsidR="002C4FB0" w:rsidRPr="00A54966" w:rsidRDefault="002C4FB0" w:rsidP="00A54966">
      <w:pPr>
        <w:spacing w:after="0" w:line="360" w:lineRule="auto"/>
        <w:rPr>
          <w:rFonts w:asciiTheme="majorBidi" w:hAnsiTheme="majorBidi" w:cstheme="majorBidi"/>
          <w:sz w:val="20"/>
          <w:szCs w:val="20"/>
        </w:rPr>
      </w:pPr>
      <w:r w:rsidRPr="00A54966">
        <w:rPr>
          <w:rStyle w:val="a5"/>
          <w:rFonts w:asciiTheme="majorBidi" w:hAnsiTheme="majorBidi" w:cstheme="majorBidi"/>
          <w:sz w:val="20"/>
          <w:szCs w:val="20"/>
        </w:rPr>
        <w:footnoteRef/>
      </w:r>
      <w:r w:rsidRPr="00A54966">
        <w:rPr>
          <w:rFonts w:asciiTheme="majorBidi" w:hAnsiTheme="majorBidi" w:cstheme="majorBidi"/>
          <w:sz w:val="20"/>
          <w:szCs w:val="20"/>
          <w:rtl/>
        </w:rPr>
        <w:t xml:space="preserve"> תלמוד ירושלמי מסכת חגיגה פרק ג הלכה א.</w:t>
      </w:r>
    </w:p>
  </w:footnote>
  <w:footnote w:id="21">
    <w:p w14:paraId="7351811A" w14:textId="59925691" w:rsidR="000838E3" w:rsidRPr="00A54966" w:rsidRDefault="000838E3" w:rsidP="00A54966">
      <w:pPr>
        <w:pStyle w:val="a3"/>
        <w:spacing w:line="360" w:lineRule="auto"/>
        <w:rPr>
          <w:rFonts w:asciiTheme="majorBidi" w:hAnsiTheme="majorBidi" w:cstheme="majorBidi"/>
          <w:rtl/>
        </w:rPr>
      </w:pPr>
      <w:r w:rsidRPr="00A54966">
        <w:rPr>
          <w:rStyle w:val="a5"/>
          <w:rFonts w:asciiTheme="majorBidi" w:hAnsiTheme="majorBidi" w:cstheme="majorBidi"/>
        </w:rPr>
        <w:footnoteRef/>
      </w:r>
      <w:r w:rsidRPr="00A54966">
        <w:rPr>
          <w:rFonts w:asciiTheme="majorBidi" w:hAnsiTheme="majorBidi" w:cstheme="majorBidi"/>
          <w:rtl/>
        </w:rPr>
        <w:t xml:space="preserve"> רמב"ם הלכות שאר אבות הטומאה פרק יב הלכה א.</w:t>
      </w:r>
    </w:p>
  </w:footnote>
  <w:footnote w:id="22">
    <w:p w14:paraId="1F2BD906" w14:textId="512B6682" w:rsidR="000838E3" w:rsidRPr="00A54966" w:rsidRDefault="000838E3" w:rsidP="00A54966">
      <w:pPr>
        <w:spacing w:after="0" w:line="360" w:lineRule="auto"/>
        <w:rPr>
          <w:rFonts w:asciiTheme="majorBidi" w:hAnsiTheme="majorBidi" w:cstheme="majorBidi"/>
          <w:sz w:val="20"/>
          <w:szCs w:val="20"/>
        </w:rPr>
      </w:pPr>
      <w:r w:rsidRPr="00A54966">
        <w:rPr>
          <w:rStyle w:val="a5"/>
          <w:rFonts w:asciiTheme="majorBidi" w:hAnsiTheme="majorBidi" w:cstheme="majorBidi"/>
          <w:sz w:val="20"/>
          <w:szCs w:val="20"/>
        </w:rPr>
        <w:footnoteRef/>
      </w:r>
      <w:r w:rsidRPr="00A54966">
        <w:rPr>
          <w:rFonts w:asciiTheme="majorBidi" w:hAnsiTheme="majorBidi" w:cstheme="majorBidi"/>
          <w:sz w:val="20"/>
          <w:szCs w:val="20"/>
          <w:rtl/>
        </w:rPr>
        <w:t xml:space="preserve"> רמב"ם הלכות מקוואות פרק ג הלכה כו.</w:t>
      </w:r>
    </w:p>
  </w:footnote>
  <w:footnote w:id="23">
    <w:p w14:paraId="02B96ED9" w14:textId="475CE0DD" w:rsidR="00CA708F" w:rsidRPr="00A54966" w:rsidRDefault="00CA708F" w:rsidP="00A54966">
      <w:pPr>
        <w:pStyle w:val="a3"/>
        <w:rPr>
          <w:rFonts w:asciiTheme="majorBidi" w:hAnsiTheme="majorBidi" w:cstheme="majorBidi"/>
        </w:rPr>
      </w:pPr>
      <w:r w:rsidRPr="00A54966">
        <w:rPr>
          <w:rStyle w:val="a5"/>
          <w:rFonts w:ascii="David" w:hAnsi="David" w:cs="David"/>
        </w:rPr>
        <w:footnoteRef/>
      </w:r>
      <w:r w:rsidRPr="00A54966">
        <w:rPr>
          <w:rFonts w:ascii="David" w:hAnsi="David" w:cs="David"/>
          <w:rtl/>
        </w:rPr>
        <w:t xml:space="preserve"> "גדולי המחברים פסקו כדעת שניה ואעפ"כ לא הביאו דין זה בהיתר סל וקערה אלא שאף בזו אסרו ולא נראו הדברים" </w:t>
      </w:r>
      <w:r w:rsidRPr="00A54966">
        <w:rPr>
          <w:rFonts w:asciiTheme="majorBidi" w:hAnsiTheme="majorBidi" w:cstheme="majorBidi"/>
          <w:rtl/>
        </w:rPr>
        <w:t>מאירי דף כ עמוד ב.</w:t>
      </w:r>
    </w:p>
  </w:footnote>
  <w:footnote w:id="24">
    <w:p w14:paraId="7D5A6D4D" w14:textId="755447B2" w:rsidR="00971AF2" w:rsidRPr="00A54966" w:rsidRDefault="00971AF2" w:rsidP="00A54966">
      <w:pPr>
        <w:pStyle w:val="a3"/>
        <w:spacing w:line="360" w:lineRule="auto"/>
        <w:rPr>
          <w:rFonts w:asciiTheme="majorBidi" w:hAnsiTheme="majorBidi" w:cstheme="majorBidi"/>
        </w:rPr>
      </w:pPr>
      <w:r w:rsidRPr="00A54966">
        <w:rPr>
          <w:rStyle w:val="a5"/>
          <w:rFonts w:asciiTheme="majorBidi" w:hAnsiTheme="majorBidi" w:cstheme="majorBidi"/>
        </w:rPr>
        <w:footnoteRef/>
      </w:r>
      <w:r w:rsidRPr="00A54966">
        <w:rPr>
          <w:rFonts w:asciiTheme="majorBidi" w:hAnsiTheme="majorBidi" w:cstheme="majorBidi"/>
          <w:rtl/>
        </w:rPr>
        <w:t xml:space="preserve"> ראשון לציון.</w:t>
      </w:r>
    </w:p>
  </w:footnote>
  <w:footnote w:id="25">
    <w:p w14:paraId="25EE3357" w14:textId="573A2632" w:rsidR="00971AF2" w:rsidRPr="00A54966" w:rsidRDefault="00971AF2" w:rsidP="00A54966">
      <w:pPr>
        <w:pStyle w:val="a3"/>
        <w:spacing w:line="360" w:lineRule="auto"/>
        <w:rPr>
          <w:rFonts w:asciiTheme="majorBidi" w:hAnsiTheme="majorBidi" w:cstheme="majorBidi"/>
        </w:rPr>
      </w:pPr>
      <w:r w:rsidRPr="00A54966">
        <w:rPr>
          <w:rStyle w:val="a5"/>
          <w:rFonts w:asciiTheme="majorBidi" w:hAnsiTheme="majorBidi" w:cstheme="majorBidi"/>
        </w:rPr>
        <w:footnoteRef/>
      </w:r>
      <w:r w:rsidRPr="00A54966">
        <w:rPr>
          <w:rFonts w:asciiTheme="majorBidi" w:hAnsiTheme="majorBidi" w:cstheme="majorBidi"/>
          <w:rtl/>
        </w:rPr>
        <w:t xml:space="preserve"> שיח יצחק. לדעתו </w:t>
      </w:r>
      <w:r w:rsidR="001E18D7" w:rsidRPr="00A54966">
        <w:rPr>
          <w:rFonts w:asciiTheme="majorBidi" w:hAnsiTheme="majorBidi" w:cstheme="majorBidi"/>
          <w:rtl/>
        </w:rPr>
        <w:t>ניתן גם לומר שהרמב"ם גוזר משום עמי ארצות שאינם מבדילים בין כלים מכלים שונים.</w:t>
      </w:r>
    </w:p>
  </w:footnote>
  <w:footnote w:id="26">
    <w:p w14:paraId="1A979AF4" w14:textId="0153AFEB" w:rsidR="001E18D7" w:rsidRPr="00A54966" w:rsidRDefault="001E18D7" w:rsidP="00A54966">
      <w:pPr>
        <w:spacing w:after="0" w:line="360" w:lineRule="auto"/>
        <w:rPr>
          <w:rFonts w:asciiTheme="majorBidi" w:hAnsiTheme="majorBidi" w:cstheme="majorBidi"/>
          <w:sz w:val="20"/>
          <w:szCs w:val="20"/>
          <w:rtl/>
        </w:rPr>
      </w:pPr>
      <w:r w:rsidRPr="00A54966">
        <w:rPr>
          <w:rStyle w:val="a5"/>
          <w:rFonts w:asciiTheme="majorBidi" w:hAnsiTheme="majorBidi" w:cstheme="majorBidi"/>
          <w:sz w:val="20"/>
          <w:szCs w:val="20"/>
        </w:rPr>
        <w:footnoteRef/>
      </w:r>
      <w:r w:rsidRPr="00A54966">
        <w:rPr>
          <w:rFonts w:asciiTheme="majorBidi" w:hAnsiTheme="majorBidi" w:cstheme="majorBidi"/>
          <w:sz w:val="20"/>
          <w:szCs w:val="20"/>
          <w:rtl/>
        </w:rPr>
        <w:t xml:space="preserve"> רש"ש  דף כ עמוד ב במשנה.</w:t>
      </w:r>
    </w:p>
  </w:footnote>
  <w:footnote w:id="27">
    <w:p w14:paraId="3C25E80A" w14:textId="7605CD07" w:rsidR="00A54966" w:rsidRPr="00A54966" w:rsidRDefault="00A54966" w:rsidP="00A54966">
      <w:pPr>
        <w:pStyle w:val="a3"/>
        <w:spacing w:line="360" w:lineRule="auto"/>
        <w:rPr>
          <w:rFonts w:asciiTheme="majorBidi" w:hAnsiTheme="majorBidi" w:cstheme="majorBidi"/>
        </w:rPr>
      </w:pPr>
      <w:r w:rsidRPr="00A54966">
        <w:rPr>
          <w:rStyle w:val="a5"/>
          <w:rFonts w:asciiTheme="majorBidi" w:hAnsiTheme="majorBidi" w:cstheme="majorBidi"/>
        </w:rPr>
        <w:footnoteRef/>
      </w:r>
      <w:r w:rsidRPr="00A54966">
        <w:rPr>
          <w:rFonts w:asciiTheme="majorBidi" w:hAnsiTheme="majorBidi" w:cstheme="majorBidi"/>
          <w:rtl/>
        </w:rPr>
        <w:t xml:space="preserve"> חפץ חיים בלקוטי הלכות. הוא דוחה את דברי הרש"ש.</w:t>
      </w:r>
    </w:p>
  </w:footnote>
  <w:footnote w:id="28">
    <w:p w14:paraId="1BAE7468" w14:textId="7911BB8A" w:rsidR="0031049D" w:rsidRPr="00B74195" w:rsidRDefault="0031049D" w:rsidP="00B74195">
      <w:pPr>
        <w:spacing w:after="0" w:line="360" w:lineRule="auto"/>
        <w:rPr>
          <w:rFonts w:asciiTheme="majorBidi" w:hAnsiTheme="majorBidi" w:cstheme="majorBidi"/>
          <w:sz w:val="20"/>
          <w:szCs w:val="20"/>
          <w:rtl/>
        </w:rPr>
      </w:pPr>
      <w:r w:rsidRPr="00B74195">
        <w:rPr>
          <w:rStyle w:val="a5"/>
          <w:sz w:val="20"/>
          <w:szCs w:val="20"/>
        </w:rPr>
        <w:footnoteRef/>
      </w:r>
      <w:r w:rsidRPr="00B74195">
        <w:rPr>
          <w:sz w:val="20"/>
          <w:szCs w:val="20"/>
          <w:rtl/>
        </w:rPr>
        <w:t xml:space="preserve"> </w:t>
      </w:r>
      <w:r w:rsidRPr="00B74195">
        <w:rPr>
          <w:rFonts w:asciiTheme="majorBidi" w:hAnsiTheme="majorBidi" w:cs="Times New Roman"/>
          <w:sz w:val="20"/>
          <w:szCs w:val="20"/>
          <w:rtl/>
        </w:rPr>
        <w:t xml:space="preserve">תוספות </w:t>
      </w:r>
      <w:r w:rsidRPr="00B74195">
        <w:rPr>
          <w:rFonts w:asciiTheme="majorBidi" w:hAnsiTheme="majorBidi" w:cs="Times New Roman" w:hint="cs"/>
          <w:sz w:val="20"/>
          <w:szCs w:val="20"/>
          <w:rtl/>
        </w:rPr>
        <w:t xml:space="preserve">תחילת </w:t>
      </w:r>
      <w:r w:rsidRPr="00B74195">
        <w:rPr>
          <w:rFonts w:asciiTheme="majorBidi" w:hAnsiTheme="majorBidi" w:cs="Times New Roman"/>
          <w:sz w:val="20"/>
          <w:szCs w:val="20"/>
          <w:rtl/>
        </w:rPr>
        <w:t>דף כא עמוד ב</w:t>
      </w:r>
      <w:r w:rsidRPr="00B74195">
        <w:rPr>
          <w:rFonts w:asciiTheme="majorBidi" w:hAnsiTheme="majorBidi" w:cstheme="majorBidi" w:hint="cs"/>
          <w:sz w:val="20"/>
          <w:szCs w:val="20"/>
          <w:rtl/>
        </w:rPr>
        <w:t>.</w:t>
      </w:r>
      <w:r w:rsidR="00897E1C">
        <w:rPr>
          <w:rFonts w:asciiTheme="majorBidi" w:hAnsiTheme="majorBidi" w:cstheme="majorBidi" w:hint="cs"/>
          <w:sz w:val="20"/>
          <w:szCs w:val="20"/>
          <w:rtl/>
        </w:rPr>
        <w:t xml:space="preserve"> השקה איננה מועילה ל</w:t>
      </w:r>
      <w:r w:rsidR="0031630A">
        <w:rPr>
          <w:rFonts w:asciiTheme="majorBidi" w:hAnsiTheme="majorBidi" w:cstheme="majorBidi" w:hint="cs"/>
          <w:sz w:val="20"/>
          <w:szCs w:val="20"/>
          <w:rtl/>
        </w:rPr>
        <w:t>קודש</w:t>
      </w:r>
      <w:r w:rsidR="00897E1C">
        <w:rPr>
          <w:rFonts w:asciiTheme="majorBidi" w:hAnsiTheme="majorBidi" w:cstheme="majorBidi" w:hint="cs"/>
          <w:sz w:val="20"/>
          <w:szCs w:val="20"/>
          <w:rtl/>
        </w:rPr>
        <w:t xml:space="preserve"> (מרומי שדה).</w:t>
      </w:r>
    </w:p>
  </w:footnote>
  <w:footnote w:id="29">
    <w:p w14:paraId="0C29FFA8" w14:textId="0CF20BD0" w:rsidR="0031049D" w:rsidRPr="00B74195" w:rsidRDefault="0031049D" w:rsidP="00B74195">
      <w:pPr>
        <w:spacing w:after="0" w:line="360" w:lineRule="auto"/>
        <w:rPr>
          <w:rFonts w:asciiTheme="majorBidi" w:hAnsiTheme="majorBidi" w:cstheme="majorBidi"/>
          <w:sz w:val="20"/>
          <w:szCs w:val="20"/>
        </w:rPr>
      </w:pPr>
      <w:r w:rsidRPr="00B74195">
        <w:rPr>
          <w:rStyle w:val="a5"/>
          <w:rFonts w:asciiTheme="majorBidi" w:hAnsiTheme="majorBidi" w:cstheme="majorBidi"/>
          <w:sz w:val="20"/>
          <w:szCs w:val="20"/>
        </w:rPr>
        <w:footnoteRef/>
      </w:r>
      <w:r w:rsidRPr="00B74195">
        <w:rPr>
          <w:rFonts w:asciiTheme="majorBidi" w:hAnsiTheme="majorBidi" w:cstheme="majorBidi"/>
          <w:sz w:val="20"/>
          <w:szCs w:val="20"/>
          <w:rtl/>
        </w:rPr>
        <w:t xml:space="preserve"> רמב"ם הלכות שאר אבות הטומאה פרק יב הלכה ה.</w:t>
      </w:r>
    </w:p>
  </w:footnote>
  <w:footnote w:id="30">
    <w:p w14:paraId="2E569001" w14:textId="6322E17D" w:rsidR="00B74195" w:rsidRDefault="00B74195" w:rsidP="00B74195">
      <w:pPr>
        <w:pStyle w:val="a3"/>
        <w:rPr>
          <w:rtl/>
        </w:rPr>
      </w:pPr>
      <w:r w:rsidRPr="00B74195">
        <w:rPr>
          <w:rStyle w:val="a5"/>
        </w:rPr>
        <w:footnoteRef/>
      </w:r>
      <w:r w:rsidRPr="00B74195">
        <w:rPr>
          <w:rtl/>
        </w:rPr>
        <w:t xml:space="preserve"> </w:t>
      </w:r>
      <w:r w:rsidRPr="00B74195">
        <w:rPr>
          <w:rFonts w:ascii="David" w:hAnsi="David" w:cs="David" w:hint="cs"/>
          <w:rtl/>
        </w:rPr>
        <w:t>"</w:t>
      </w:r>
      <w:r w:rsidRPr="00B74195">
        <w:rPr>
          <w:rFonts w:ascii="David" w:hAnsi="David" w:cs="David"/>
          <w:rtl/>
        </w:rPr>
        <w:t>מצוי להיות בבגד איזה דבר טינוף, ואי הוי יבש היה נופל, אבל משום שהבגד לח מונח הטינוף בליחות והוא חוצץ, משו"ה מנגיב והדבר נופל</w:t>
      </w:r>
      <w:r w:rsidRPr="00B74195">
        <w:rPr>
          <w:rFonts w:ascii="David" w:hAnsi="David" w:cs="David" w:hint="cs"/>
          <w:rtl/>
        </w:rPr>
        <w:t>"</w:t>
      </w:r>
      <w:r w:rsidRPr="00B74195">
        <w:rPr>
          <w:rFonts w:ascii="David" w:hAnsi="David" w:cs="David"/>
          <w:rtl/>
        </w:rPr>
        <w:t>.</w:t>
      </w:r>
      <w:r w:rsidRPr="00B74195">
        <w:rPr>
          <w:rFonts w:hint="cs"/>
          <w:rtl/>
        </w:rPr>
        <w:t xml:space="preserve"> </w:t>
      </w:r>
      <w:r w:rsidRPr="00B74195">
        <w:rPr>
          <w:rFonts w:ascii="David" w:hAnsi="David" w:cs="David"/>
          <w:rtl/>
        </w:rPr>
        <w:t>(</w:t>
      </w:r>
      <w:r w:rsidRPr="00B74195">
        <w:rPr>
          <w:rFonts w:asciiTheme="majorBidi" w:hAnsiTheme="majorBidi" w:cstheme="majorBidi"/>
          <w:rtl/>
        </w:rPr>
        <w:t>מרומי שדה דף כא עמוד ב).</w:t>
      </w:r>
    </w:p>
    <w:p w14:paraId="4C317577" w14:textId="77777777" w:rsidR="00E57A6F" w:rsidRPr="00B74195" w:rsidRDefault="00E57A6F" w:rsidP="00B74195">
      <w:pPr>
        <w:pStyle w:val="a3"/>
        <w:rPr>
          <w:rtl/>
        </w:rPr>
      </w:pPr>
    </w:p>
  </w:footnote>
  <w:footnote w:id="31">
    <w:p w14:paraId="53E3B0FA" w14:textId="2A5335F2" w:rsidR="00444345" w:rsidRPr="00E57A6F" w:rsidRDefault="00444345" w:rsidP="00E57A6F">
      <w:pPr>
        <w:pStyle w:val="a3"/>
        <w:spacing w:line="360" w:lineRule="auto"/>
      </w:pPr>
      <w:r w:rsidRPr="00E57A6F">
        <w:rPr>
          <w:rStyle w:val="a5"/>
        </w:rPr>
        <w:footnoteRef/>
      </w:r>
      <w:r w:rsidRPr="00E57A6F">
        <w:rPr>
          <w:rtl/>
        </w:rPr>
        <w:t xml:space="preserve"> </w:t>
      </w:r>
      <w:r w:rsidRPr="00E57A6F">
        <w:rPr>
          <w:rFonts w:asciiTheme="majorBidi" w:hAnsiTheme="majorBidi" w:cs="Times New Roman"/>
          <w:rtl/>
        </w:rPr>
        <w:t>דף כ עמוד ב</w:t>
      </w:r>
      <w:r w:rsidRPr="00E57A6F">
        <w:rPr>
          <w:rFonts w:asciiTheme="majorBidi" w:hAnsiTheme="majorBidi" w:cstheme="majorBidi" w:hint="cs"/>
          <w:rtl/>
        </w:rPr>
        <w:t xml:space="preserve"> ד"ה לא.</w:t>
      </w:r>
    </w:p>
  </w:footnote>
  <w:footnote w:id="32">
    <w:p w14:paraId="1CEAC9CF" w14:textId="13380A29" w:rsidR="00444345" w:rsidRPr="00E57A6F" w:rsidRDefault="00444345" w:rsidP="00E57A6F">
      <w:pPr>
        <w:pStyle w:val="a3"/>
        <w:spacing w:line="360" w:lineRule="auto"/>
      </w:pPr>
      <w:r w:rsidRPr="00E57A6F">
        <w:rPr>
          <w:rStyle w:val="a5"/>
        </w:rPr>
        <w:footnoteRef/>
      </w:r>
      <w:r w:rsidRPr="00E57A6F">
        <w:rPr>
          <w:rtl/>
        </w:rPr>
        <w:t xml:space="preserve"> </w:t>
      </w:r>
      <w:r w:rsidRPr="00E57A6F">
        <w:rPr>
          <w:rFonts w:asciiTheme="majorBidi" w:hAnsiTheme="majorBidi" w:cstheme="majorBidi"/>
          <w:rtl/>
        </w:rPr>
        <w:t xml:space="preserve">תפארת ישראל - יכין </w:t>
      </w:r>
      <w:r w:rsidRPr="00E57A6F">
        <w:rPr>
          <w:rFonts w:asciiTheme="majorBidi" w:hAnsiTheme="majorBidi" w:cstheme="majorBidi" w:hint="cs"/>
          <w:rtl/>
        </w:rPr>
        <w:t>.</w:t>
      </w:r>
    </w:p>
  </w:footnote>
  <w:footnote w:id="33">
    <w:p w14:paraId="7ADA13E8" w14:textId="378FDB64" w:rsidR="00AA77F5" w:rsidRPr="00E57A6F" w:rsidRDefault="00AA77F5" w:rsidP="00E57A6F">
      <w:pPr>
        <w:pStyle w:val="a3"/>
        <w:spacing w:line="360" w:lineRule="auto"/>
      </w:pPr>
      <w:r w:rsidRPr="00E57A6F">
        <w:rPr>
          <w:rStyle w:val="a5"/>
        </w:rPr>
        <w:footnoteRef/>
      </w:r>
      <w:r w:rsidRPr="00E57A6F">
        <w:rPr>
          <w:rtl/>
        </w:rPr>
        <w:t xml:space="preserve"> </w:t>
      </w:r>
      <w:r w:rsidRPr="00E57A6F">
        <w:rPr>
          <w:rFonts w:asciiTheme="majorBidi" w:hAnsiTheme="majorBidi" w:cs="Times New Roman"/>
          <w:rtl/>
        </w:rPr>
        <w:t>מסכת פסחים דף לד</w:t>
      </w:r>
      <w:r w:rsidRPr="00E57A6F">
        <w:rPr>
          <w:rFonts w:asciiTheme="majorBidi" w:hAnsiTheme="majorBidi" w:cs="Times New Roman" w:hint="cs"/>
          <w:rtl/>
        </w:rPr>
        <w:t>.</w:t>
      </w:r>
      <w:r w:rsidRPr="00E57A6F">
        <w:rPr>
          <w:rFonts w:asciiTheme="majorBidi" w:hAnsiTheme="majorBidi" w:cs="Times New Roman"/>
          <w:rtl/>
        </w:rPr>
        <w:t xml:space="preserve"> </w:t>
      </w:r>
    </w:p>
  </w:footnote>
  <w:footnote w:id="34">
    <w:p w14:paraId="52921C18" w14:textId="2DE13356" w:rsidR="00E57A6F" w:rsidRPr="00E57A6F" w:rsidRDefault="00E57A6F" w:rsidP="00E57A6F">
      <w:pPr>
        <w:pStyle w:val="a3"/>
        <w:spacing w:line="360" w:lineRule="auto"/>
        <w:rPr>
          <w:rFonts w:asciiTheme="majorBidi" w:hAnsiTheme="majorBidi" w:cstheme="majorBidi"/>
          <w:rtl/>
        </w:rPr>
      </w:pPr>
      <w:r w:rsidRPr="00E57A6F">
        <w:rPr>
          <w:rStyle w:val="a5"/>
          <w:rFonts w:asciiTheme="majorBidi" w:hAnsiTheme="majorBidi" w:cstheme="majorBidi"/>
        </w:rPr>
        <w:footnoteRef/>
      </w:r>
      <w:r w:rsidRPr="00E57A6F">
        <w:rPr>
          <w:rFonts w:asciiTheme="majorBidi" w:hAnsiTheme="majorBidi" w:cstheme="majorBidi"/>
          <w:rtl/>
        </w:rPr>
        <w:t xml:space="preserve"> אישים ושיטות, הרב זוין עמוד 164 במהדורת תשל"ח.</w:t>
      </w:r>
    </w:p>
  </w:footnote>
  <w:footnote w:id="35">
    <w:p w14:paraId="18817041" w14:textId="26004D80" w:rsidR="00E57A6F" w:rsidRPr="00636E44" w:rsidRDefault="00E57A6F" w:rsidP="00E57A6F">
      <w:pPr>
        <w:spacing w:after="0" w:line="360" w:lineRule="auto"/>
        <w:rPr>
          <w:rFonts w:asciiTheme="majorBidi" w:hAnsiTheme="majorBidi" w:cstheme="majorBidi"/>
          <w:sz w:val="20"/>
          <w:szCs w:val="20"/>
          <w:rtl/>
        </w:rPr>
      </w:pPr>
      <w:r w:rsidRPr="00E57A6F">
        <w:rPr>
          <w:rStyle w:val="a5"/>
          <w:sz w:val="20"/>
          <w:szCs w:val="20"/>
        </w:rPr>
        <w:footnoteRef/>
      </w:r>
      <w:r w:rsidRPr="00636E44">
        <w:rPr>
          <w:sz w:val="20"/>
          <w:szCs w:val="20"/>
          <w:rtl/>
        </w:rPr>
        <w:t xml:space="preserve"> </w:t>
      </w:r>
      <w:r w:rsidRPr="00636E44">
        <w:rPr>
          <w:rFonts w:asciiTheme="majorBidi" w:hAnsiTheme="majorBidi" w:cstheme="majorBidi"/>
          <w:sz w:val="20"/>
          <w:szCs w:val="20"/>
          <w:rtl/>
        </w:rPr>
        <w:t>אור שמח הלכות שאר אבות הטומאה פרק יב הלכה ה</w:t>
      </w:r>
      <w:r w:rsidRPr="00636E44">
        <w:rPr>
          <w:rFonts w:asciiTheme="majorBidi" w:hAnsiTheme="majorBidi" w:cstheme="majorBidi" w:hint="cs"/>
          <w:sz w:val="20"/>
          <w:szCs w:val="20"/>
          <w:rtl/>
        </w:rPr>
        <w:t>.</w:t>
      </w:r>
    </w:p>
    <w:p w14:paraId="2D71B1CF" w14:textId="38BC2C67" w:rsidR="00E57A6F" w:rsidRDefault="00E57A6F">
      <w:pPr>
        <w:pStyle w:val="a3"/>
        <w:rPr>
          <w:rFonts w:hint="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04526190"/>
      <w:docPartObj>
        <w:docPartGallery w:val="Page Numbers (Top of Page)"/>
        <w:docPartUnique/>
      </w:docPartObj>
    </w:sdtPr>
    <w:sdtEndPr/>
    <w:sdtContent>
      <w:p w14:paraId="76C246DD" w14:textId="3A0FA335" w:rsidR="00EA0613" w:rsidRDefault="00EA0613">
        <w:pPr>
          <w:pStyle w:val="a6"/>
        </w:pPr>
        <w:r>
          <w:fldChar w:fldCharType="begin"/>
        </w:r>
        <w:r>
          <w:instrText>PAGE   \* MERGEFORMAT</w:instrText>
        </w:r>
        <w:r>
          <w:fldChar w:fldCharType="separate"/>
        </w:r>
        <w:r>
          <w:rPr>
            <w:rtl/>
            <w:lang w:val="he-IL"/>
          </w:rPr>
          <w:t>2</w:t>
        </w:r>
        <w:r>
          <w:fldChar w:fldCharType="end"/>
        </w:r>
      </w:p>
    </w:sdtContent>
  </w:sdt>
  <w:p w14:paraId="20F4B754" w14:textId="77777777" w:rsidR="00EA0613" w:rsidRDefault="00EA061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80DEB"/>
    <w:multiLevelType w:val="hybridMultilevel"/>
    <w:tmpl w:val="B90A4B2C"/>
    <w:lvl w:ilvl="0" w:tplc="6D2E1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576808"/>
    <w:multiLevelType w:val="hybridMultilevel"/>
    <w:tmpl w:val="998E7728"/>
    <w:lvl w:ilvl="0" w:tplc="386AC0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9874E9E"/>
    <w:multiLevelType w:val="hybridMultilevel"/>
    <w:tmpl w:val="0016A9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84F18"/>
    <w:multiLevelType w:val="hybridMultilevel"/>
    <w:tmpl w:val="567C32B0"/>
    <w:lvl w:ilvl="0" w:tplc="1A4AC7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B9"/>
    <w:rsid w:val="00015D9F"/>
    <w:rsid w:val="0001716A"/>
    <w:rsid w:val="00020824"/>
    <w:rsid w:val="000838E3"/>
    <w:rsid w:val="000863D5"/>
    <w:rsid w:val="00112B75"/>
    <w:rsid w:val="00130446"/>
    <w:rsid w:val="00174B11"/>
    <w:rsid w:val="0018035B"/>
    <w:rsid w:val="001A7FF9"/>
    <w:rsid w:val="001E18D7"/>
    <w:rsid w:val="002323A0"/>
    <w:rsid w:val="00255A75"/>
    <w:rsid w:val="00293330"/>
    <w:rsid w:val="002C4FB0"/>
    <w:rsid w:val="00304000"/>
    <w:rsid w:val="0031049D"/>
    <w:rsid w:val="0031630A"/>
    <w:rsid w:val="003228CC"/>
    <w:rsid w:val="003A049A"/>
    <w:rsid w:val="00444345"/>
    <w:rsid w:val="004D5286"/>
    <w:rsid w:val="005053EA"/>
    <w:rsid w:val="00636E44"/>
    <w:rsid w:val="00662CC6"/>
    <w:rsid w:val="007010B9"/>
    <w:rsid w:val="007603F5"/>
    <w:rsid w:val="00790A03"/>
    <w:rsid w:val="007B570E"/>
    <w:rsid w:val="00897E1C"/>
    <w:rsid w:val="008B7BD5"/>
    <w:rsid w:val="00962C81"/>
    <w:rsid w:val="00971AF2"/>
    <w:rsid w:val="009817A7"/>
    <w:rsid w:val="009B2F36"/>
    <w:rsid w:val="009F4E57"/>
    <w:rsid w:val="00A00AD4"/>
    <w:rsid w:val="00A2217B"/>
    <w:rsid w:val="00A53323"/>
    <w:rsid w:val="00A53574"/>
    <w:rsid w:val="00A54966"/>
    <w:rsid w:val="00A82CF4"/>
    <w:rsid w:val="00AA77F5"/>
    <w:rsid w:val="00AC263E"/>
    <w:rsid w:val="00B50B4E"/>
    <w:rsid w:val="00B74195"/>
    <w:rsid w:val="00B91008"/>
    <w:rsid w:val="00C36404"/>
    <w:rsid w:val="00CA708F"/>
    <w:rsid w:val="00DB4437"/>
    <w:rsid w:val="00E370AF"/>
    <w:rsid w:val="00E512FA"/>
    <w:rsid w:val="00E57A6F"/>
    <w:rsid w:val="00E642FA"/>
    <w:rsid w:val="00E64B2D"/>
    <w:rsid w:val="00EA0613"/>
    <w:rsid w:val="00EA63EF"/>
    <w:rsid w:val="00F71938"/>
    <w:rsid w:val="00F9337D"/>
    <w:rsid w:val="00F9351E"/>
    <w:rsid w:val="00F93D31"/>
    <w:rsid w:val="00FD74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4CFE"/>
  <w15:chartTrackingRefBased/>
  <w15:docId w15:val="{7CA78091-071B-4BB4-B50B-A7CFE7AE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71938"/>
    <w:pPr>
      <w:spacing w:after="0" w:line="240" w:lineRule="auto"/>
    </w:pPr>
    <w:rPr>
      <w:sz w:val="20"/>
      <w:szCs w:val="20"/>
    </w:rPr>
  </w:style>
  <w:style w:type="character" w:customStyle="1" w:styleId="a4">
    <w:name w:val="טקסט הערת שוליים תו"/>
    <w:basedOn w:val="a0"/>
    <w:link w:val="a3"/>
    <w:uiPriority w:val="99"/>
    <w:semiHidden/>
    <w:rsid w:val="00F71938"/>
    <w:rPr>
      <w:noProof/>
      <w:sz w:val="20"/>
      <w:szCs w:val="20"/>
    </w:rPr>
  </w:style>
  <w:style w:type="character" w:styleId="a5">
    <w:name w:val="footnote reference"/>
    <w:basedOn w:val="a0"/>
    <w:uiPriority w:val="99"/>
    <w:semiHidden/>
    <w:unhideWhenUsed/>
    <w:rsid w:val="00F71938"/>
    <w:rPr>
      <w:vertAlign w:val="superscript"/>
    </w:rPr>
  </w:style>
  <w:style w:type="paragraph" w:styleId="a6">
    <w:name w:val="header"/>
    <w:basedOn w:val="a"/>
    <w:link w:val="a7"/>
    <w:uiPriority w:val="99"/>
    <w:unhideWhenUsed/>
    <w:rsid w:val="00EA0613"/>
    <w:pPr>
      <w:tabs>
        <w:tab w:val="center" w:pos="4153"/>
        <w:tab w:val="right" w:pos="8306"/>
      </w:tabs>
      <w:spacing w:after="0" w:line="240" w:lineRule="auto"/>
    </w:pPr>
  </w:style>
  <w:style w:type="character" w:customStyle="1" w:styleId="a7">
    <w:name w:val="כותרת עליונה תו"/>
    <w:basedOn w:val="a0"/>
    <w:link w:val="a6"/>
    <w:uiPriority w:val="99"/>
    <w:rsid w:val="00EA0613"/>
    <w:rPr>
      <w:noProof/>
    </w:rPr>
  </w:style>
  <w:style w:type="paragraph" w:styleId="a8">
    <w:name w:val="footer"/>
    <w:basedOn w:val="a"/>
    <w:link w:val="a9"/>
    <w:uiPriority w:val="99"/>
    <w:unhideWhenUsed/>
    <w:rsid w:val="00EA0613"/>
    <w:pPr>
      <w:tabs>
        <w:tab w:val="center" w:pos="4153"/>
        <w:tab w:val="right" w:pos="8306"/>
      </w:tabs>
      <w:spacing w:after="0" w:line="240" w:lineRule="auto"/>
    </w:pPr>
  </w:style>
  <w:style w:type="character" w:customStyle="1" w:styleId="a9">
    <w:name w:val="כותרת תחתונה תו"/>
    <w:basedOn w:val="a0"/>
    <w:link w:val="a8"/>
    <w:uiPriority w:val="99"/>
    <w:rsid w:val="00EA0613"/>
    <w:rPr>
      <w:noProof/>
    </w:rPr>
  </w:style>
  <w:style w:type="paragraph" w:styleId="aa">
    <w:name w:val="List Paragraph"/>
    <w:basedOn w:val="a"/>
    <w:uiPriority w:val="34"/>
    <w:qFormat/>
    <w:rsid w:val="00FD74B9"/>
    <w:pPr>
      <w:ind w:left="720"/>
      <w:contextualSpacing/>
    </w:pPr>
  </w:style>
  <w:style w:type="character" w:styleId="Hyperlink">
    <w:name w:val="Hyperlink"/>
    <w:basedOn w:val="a0"/>
    <w:uiPriority w:val="99"/>
    <w:unhideWhenUsed/>
    <w:rsid w:val="00662C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nuf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5BADB-4F9B-4403-B4A1-B8F289DD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1802</Words>
  <Characters>9013</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3</cp:revision>
  <dcterms:created xsi:type="dcterms:W3CDTF">2022-02-21T19:44:00Z</dcterms:created>
  <dcterms:modified xsi:type="dcterms:W3CDTF">2022-02-21T19:46:00Z</dcterms:modified>
</cp:coreProperties>
</file>