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5098" w14:textId="2EBEA51A" w:rsidR="00863716" w:rsidRPr="00C50C7F" w:rsidRDefault="00C50C7F" w:rsidP="00C50C7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863716" w:rsidRPr="00C50C7F">
        <w:rPr>
          <w:rFonts w:asciiTheme="majorBidi" w:hAnsiTheme="majorBidi" w:cstheme="majorBidi"/>
          <w:sz w:val="24"/>
          <w:szCs w:val="24"/>
          <w:rtl/>
        </w:rPr>
        <w:t>מסכת יבמות דף מט עמוד א</w:t>
      </w:r>
    </w:p>
    <w:p w14:paraId="12706528" w14:textId="03A374CF" w:rsidR="00A82CF4" w:rsidRPr="00C50C7F" w:rsidRDefault="00863716" w:rsidP="00C50C7F">
      <w:pPr>
        <w:spacing w:after="0" w:line="360" w:lineRule="auto"/>
        <w:rPr>
          <w:rFonts w:asciiTheme="majorBidi" w:hAnsiTheme="majorBidi" w:cstheme="majorBidi"/>
          <w:sz w:val="24"/>
          <w:szCs w:val="24"/>
          <w:rtl/>
        </w:rPr>
      </w:pPr>
      <w:r w:rsidRPr="00C50C7F">
        <w:rPr>
          <w:rFonts w:asciiTheme="majorBidi" w:hAnsiTheme="majorBidi" w:cstheme="majorBidi"/>
          <w:sz w:val="24"/>
          <w:szCs w:val="24"/>
          <w:rtl/>
        </w:rPr>
        <w:t>אמר אביי: הכל מודים, בבא על הנדה</w:t>
      </w:r>
    </w:p>
    <w:p w14:paraId="217364F1" w14:textId="1E69DD38" w:rsidR="00C50C7F" w:rsidRPr="00C50C7F" w:rsidRDefault="00C50C7F" w:rsidP="00C50C7F">
      <w:pPr>
        <w:spacing w:after="0" w:line="360" w:lineRule="auto"/>
        <w:rPr>
          <w:rFonts w:asciiTheme="majorBidi" w:hAnsiTheme="majorBidi" w:cstheme="majorBidi"/>
          <w:sz w:val="24"/>
          <w:szCs w:val="24"/>
          <w:rtl/>
        </w:rPr>
      </w:pPr>
      <w:r w:rsidRPr="00C50C7F">
        <w:rPr>
          <w:rFonts w:asciiTheme="majorBidi" w:hAnsiTheme="majorBidi" w:cstheme="majorBidi"/>
          <w:sz w:val="24"/>
          <w:szCs w:val="24"/>
          <w:rtl/>
        </w:rPr>
        <w:t>מסכת יבמות דף מט עמוד ב</w:t>
      </w:r>
    </w:p>
    <w:p w14:paraId="30C4EAB0" w14:textId="60635F5D" w:rsidR="00C50C7F" w:rsidRDefault="00C50C7F" w:rsidP="00C50C7F">
      <w:pPr>
        <w:spacing w:after="0" w:line="360" w:lineRule="auto"/>
        <w:rPr>
          <w:rFonts w:asciiTheme="majorBidi" w:hAnsiTheme="majorBidi" w:cstheme="majorBidi"/>
          <w:sz w:val="24"/>
          <w:szCs w:val="24"/>
          <w:rtl/>
        </w:rPr>
      </w:pPr>
      <w:r w:rsidRPr="00C50C7F">
        <w:rPr>
          <w:rFonts w:asciiTheme="majorBidi" w:hAnsiTheme="majorBidi" w:cstheme="majorBidi"/>
          <w:sz w:val="24"/>
          <w:szCs w:val="24"/>
          <w:rtl/>
        </w:rPr>
        <w:t>נדה - דהא תפסי בה קידושין, שנאמר: ותהי נדתה עליו, אפי' בשעת נדתה תפסי בה קידושין</w:t>
      </w:r>
      <w:r w:rsidR="00172FB0">
        <w:rPr>
          <w:rFonts w:asciiTheme="majorBidi" w:hAnsiTheme="majorBidi" w:cstheme="majorBidi" w:hint="cs"/>
          <w:sz w:val="24"/>
          <w:szCs w:val="24"/>
          <w:rtl/>
        </w:rPr>
        <w:t xml:space="preserve">.. </w:t>
      </w:r>
      <w:r w:rsidRPr="00C50C7F">
        <w:rPr>
          <w:rFonts w:asciiTheme="majorBidi" w:hAnsiTheme="majorBidi" w:cstheme="majorBidi"/>
          <w:sz w:val="24"/>
          <w:szCs w:val="24"/>
          <w:rtl/>
        </w:rPr>
        <w:t>תניא נמי הכי: הכל מודים, בבא על הנדה ועל הסוטה ועל שומרת יבם - שאין הולד ממזר.</w:t>
      </w:r>
    </w:p>
    <w:p w14:paraId="3E0BAC06" w14:textId="3B9942DE" w:rsidR="000B31FC" w:rsidRPr="001B1D5D" w:rsidRDefault="001B1D5D" w:rsidP="001B1D5D">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ייחודה של מצוות נדה</w:t>
      </w:r>
    </w:p>
    <w:p w14:paraId="22D4DBF0" w14:textId="7810F267" w:rsidR="000B31FC" w:rsidRPr="001B1D5D" w:rsidRDefault="000B31FC" w:rsidP="001B1D5D">
      <w:pPr>
        <w:pStyle w:val="a6"/>
        <w:numPr>
          <w:ilvl w:val="0"/>
          <w:numId w:val="2"/>
        </w:numPr>
        <w:spacing w:after="0" w:line="360" w:lineRule="auto"/>
        <w:rPr>
          <w:rFonts w:asciiTheme="majorBidi" w:hAnsiTheme="majorBidi" w:cstheme="majorBidi"/>
          <w:b/>
          <w:bCs/>
          <w:sz w:val="24"/>
          <w:szCs w:val="24"/>
          <w:rtl/>
        </w:rPr>
      </w:pPr>
      <w:r w:rsidRPr="001B1D5D">
        <w:rPr>
          <w:rFonts w:asciiTheme="majorBidi" w:hAnsiTheme="majorBidi" w:cstheme="majorBidi" w:hint="cs"/>
          <w:b/>
          <w:bCs/>
          <w:sz w:val="24"/>
          <w:szCs w:val="24"/>
          <w:rtl/>
        </w:rPr>
        <w:t>תפיסת קדושין</w:t>
      </w:r>
    </w:p>
    <w:p w14:paraId="7C17AB66" w14:textId="3167F076" w:rsidR="005F3998" w:rsidRPr="005F3998" w:rsidRDefault="000B31FC" w:rsidP="00021D88">
      <w:pPr>
        <w:spacing w:after="0" w:line="360" w:lineRule="auto"/>
        <w:rPr>
          <w:rFonts w:ascii="David" w:hAnsi="David" w:cs="David"/>
          <w:sz w:val="24"/>
          <w:szCs w:val="24"/>
          <w:rtl/>
        </w:rPr>
      </w:pPr>
      <w:r>
        <w:rPr>
          <w:rFonts w:asciiTheme="majorBidi" w:hAnsiTheme="majorBidi" w:cstheme="majorBidi" w:hint="cs"/>
          <w:sz w:val="24"/>
          <w:szCs w:val="24"/>
          <w:rtl/>
        </w:rPr>
        <w:t>אביי לומד מן הפסוק שקדושין ת</w:t>
      </w:r>
      <w:r w:rsidR="00C529AC">
        <w:rPr>
          <w:rFonts w:asciiTheme="majorBidi" w:hAnsiTheme="majorBidi" w:cstheme="majorBidi" w:hint="cs"/>
          <w:sz w:val="24"/>
          <w:szCs w:val="24"/>
          <w:rtl/>
        </w:rPr>
        <w:t>ו</w:t>
      </w:r>
      <w:r>
        <w:rPr>
          <w:rFonts w:asciiTheme="majorBidi" w:hAnsiTheme="majorBidi" w:cstheme="majorBidi" w:hint="cs"/>
          <w:sz w:val="24"/>
          <w:szCs w:val="24"/>
          <w:rtl/>
        </w:rPr>
        <w:t xml:space="preserve">פסים בנדה. </w:t>
      </w:r>
      <w:r w:rsidR="001B1D5D">
        <w:rPr>
          <w:rFonts w:asciiTheme="majorBidi" w:hAnsiTheme="majorBidi" w:cstheme="majorBidi" w:hint="cs"/>
          <w:sz w:val="24"/>
          <w:szCs w:val="24"/>
          <w:rtl/>
        </w:rPr>
        <w:t xml:space="preserve">לימוד זה </w:t>
      </w:r>
      <w:r w:rsidR="00C529AC">
        <w:rPr>
          <w:rFonts w:asciiTheme="majorBidi" w:hAnsiTheme="majorBidi" w:cstheme="majorBidi" w:hint="cs"/>
          <w:sz w:val="24"/>
          <w:szCs w:val="24"/>
          <w:rtl/>
        </w:rPr>
        <w:t>ה</w:t>
      </w:r>
      <w:r w:rsidR="001B1D5D">
        <w:rPr>
          <w:rFonts w:asciiTheme="majorBidi" w:hAnsiTheme="majorBidi" w:cstheme="majorBidi" w:hint="cs"/>
          <w:sz w:val="24"/>
          <w:szCs w:val="24"/>
          <w:rtl/>
        </w:rPr>
        <w:t>ו</w:t>
      </w:r>
      <w:r w:rsidR="00C529AC">
        <w:rPr>
          <w:rFonts w:asciiTheme="majorBidi" w:hAnsiTheme="majorBidi" w:cstheme="majorBidi" w:hint="cs"/>
          <w:sz w:val="24"/>
          <w:szCs w:val="24"/>
          <w:rtl/>
        </w:rPr>
        <w:t>א אסמכתא, ש</w:t>
      </w:r>
      <w:r w:rsidR="00DC0678">
        <w:rPr>
          <w:rFonts w:asciiTheme="majorBidi" w:hAnsiTheme="majorBidi" w:cstheme="majorBidi" w:hint="cs"/>
          <w:sz w:val="24"/>
          <w:szCs w:val="24"/>
          <w:rtl/>
        </w:rPr>
        <w:t xml:space="preserve">כן, </w:t>
      </w:r>
      <w:r w:rsidR="00C529AC">
        <w:rPr>
          <w:rFonts w:asciiTheme="majorBidi" w:hAnsiTheme="majorBidi" w:cstheme="majorBidi" w:hint="cs"/>
          <w:sz w:val="24"/>
          <w:szCs w:val="24"/>
          <w:rtl/>
        </w:rPr>
        <w:t xml:space="preserve">הפסוק מדבר על כך שהשוכב עם </w:t>
      </w:r>
      <w:r w:rsidR="001B1D5D">
        <w:rPr>
          <w:rFonts w:asciiTheme="majorBidi" w:hAnsiTheme="majorBidi" w:cstheme="majorBidi" w:hint="cs"/>
          <w:sz w:val="24"/>
          <w:szCs w:val="24"/>
          <w:rtl/>
        </w:rPr>
        <w:t>נדה,</w:t>
      </w:r>
      <w:r w:rsidR="00C529AC">
        <w:rPr>
          <w:rFonts w:asciiTheme="majorBidi" w:hAnsiTheme="majorBidi" w:cstheme="majorBidi" w:hint="cs"/>
          <w:sz w:val="24"/>
          <w:szCs w:val="24"/>
          <w:rtl/>
        </w:rPr>
        <w:t xml:space="preserve"> טומאתה עליו. </w:t>
      </w:r>
      <w:r w:rsidR="00C529AC">
        <w:rPr>
          <w:rFonts w:ascii="David" w:hAnsi="David" w:cs="David" w:hint="cs"/>
          <w:sz w:val="24"/>
          <w:szCs w:val="24"/>
          <w:rtl/>
        </w:rPr>
        <w:t>"עיקר הדבר נראה להו לחז"ל על פי הסברא</w:t>
      </w:r>
      <w:r w:rsidR="001B1D5D">
        <w:rPr>
          <w:rFonts w:ascii="David" w:hAnsi="David" w:cs="David" w:hint="cs"/>
          <w:sz w:val="24"/>
          <w:szCs w:val="24"/>
          <w:rtl/>
        </w:rPr>
        <w:t>.</w:t>
      </w:r>
      <w:r w:rsidR="00C529AC">
        <w:rPr>
          <w:rFonts w:ascii="David" w:hAnsi="David" w:cs="David" w:hint="cs"/>
          <w:sz w:val="24"/>
          <w:szCs w:val="24"/>
          <w:rtl/>
        </w:rPr>
        <w:t xml:space="preserve"> משום דבכלל היא מותרת לו, אלא איסור זמני רובץ עליה, ואין בכח איסור כזה להפקיע קדושין</w:t>
      </w:r>
      <w:r w:rsidR="00021D88">
        <w:rPr>
          <w:rFonts w:ascii="David" w:hAnsi="David" w:cs="David" w:hint="cs"/>
          <w:sz w:val="24"/>
          <w:szCs w:val="24"/>
          <w:rtl/>
        </w:rPr>
        <w:t>...</w:t>
      </w:r>
      <w:r w:rsidR="00021D88" w:rsidRPr="00021D88">
        <w:rPr>
          <w:rtl/>
        </w:rPr>
        <w:t xml:space="preserve"> </w:t>
      </w:r>
      <w:r w:rsidR="00021D88">
        <w:rPr>
          <w:rFonts w:ascii="David" w:hAnsi="David" w:cs="David" w:hint="cs"/>
          <w:sz w:val="24"/>
          <w:szCs w:val="24"/>
          <w:rtl/>
        </w:rPr>
        <w:t xml:space="preserve"> </w:t>
      </w:r>
      <w:r w:rsidR="00021D88" w:rsidRPr="00021D88">
        <w:rPr>
          <w:rFonts w:ascii="David" w:hAnsi="David" w:cs="David"/>
          <w:sz w:val="24"/>
          <w:szCs w:val="24"/>
          <w:rtl/>
        </w:rPr>
        <w:t xml:space="preserve">ועיין בשו"ת פני יהושע </w:t>
      </w:r>
      <w:r w:rsidR="00021D88" w:rsidRPr="00021D88">
        <w:rPr>
          <w:rFonts w:ascii="David" w:hAnsi="David" w:cs="David"/>
          <w:sz w:val="18"/>
          <w:szCs w:val="18"/>
          <w:rtl/>
        </w:rPr>
        <w:t>סי' ג'</w:t>
      </w:r>
      <w:r w:rsidR="00021D88" w:rsidRPr="00021D88">
        <w:rPr>
          <w:rFonts w:ascii="David" w:hAnsi="David" w:cs="David"/>
          <w:sz w:val="24"/>
          <w:szCs w:val="24"/>
          <w:rtl/>
        </w:rPr>
        <w:t xml:space="preserve"> שחקר אם הא דקדושין תופסין בנדה הוא דוקא אם קידשה בכסף ובשטר</w:t>
      </w:r>
      <w:r w:rsidR="00021D88">
        <w:rPr>
          <w:rFonts w:ascii="David" w:hAnsi="David" w:cs="David" w:hint="cs"/>
          <w:sz w:val="24"/>
          <w:szCs w:val="24"/>
          <w:rtl/>
        </w:rPr>
        <w:t>,</w:t>
      </w:r>
      <w:r w:rsidR="00021D88" w:rsidRPr="00021D88">
        <w:rPr>
          <w:rFonts w:ascii="David" w:hAnsi="David" w:cs="David"/>
          <w:sz w:val="24"/>
          <w:szCs w:val="24"/>
          <w:rtl/>
        </w:rPr>
        <w:t xml:space="preserve"> או גם אם קדשה בביאה. ולדעתי הדבר פשוט</w:t>
      </w:r>
      <w:r w:rsidR="00021D88">
        <w:rPr>
          <w:rFonts w:ascii="David" w:hAnsi="David" w:cs="David" w:hint="cs"/>
          <w:sz w:val="24"/>
          <w:szCs w:val="24"/>
          <w:rtl/>
        </w:rPr>
        <w:t>,</w:t>
      </w:r>
      <w:r w:rsidR="00021D88" w:rsidRPr="00021D88">
        <w:rPr>
          <w:rFonts w:ascii="David" w:hAnsi="David" w:cs="David"/>
          <w:sz w:val="24"/>
          <w:szCs w:val="24"/>
          <w:rtl/>
        </w:rPr>
        <w:t xml:space="preserve"> דכל עיקר החידוש כאן כשקדשה בביאה, והרבותא אף על פי שקדשה בביאה אסורה, בכ"ז אינו דומה לשאר חייבי כריתות</w:t>
      </w:r>
      <w:r w:rsidR="00C529AC">
        <w:rPr>
          <w:rStyle w:val="a5"/>
          <w:rFonts w:ascii="David" w:hAnsi="David" w:cs="David"/>
          <w:sz w:val="24"/>
          <w:szCs w:val="24"/>
          <w:rtl/>
        </w:rPr>
        <w:footnoteReference w:id="1"/>
      </w:r>
      <w:r w:rsidR="00C529AC">
        <w:rPr>
          <w:rFonts w:ascii="David" w:hAnsi="David" w:cs="David" w:hint="cs"/>
          <w:sz w:val="24"/>
          <w:szCs w:val="24"/>
          <w:rtl/>
        </w:rPr>
        <w:t xml:space="preserve">". </w:t>
      </w:r>
      <w:r w:rsidR="00C529AC">
        <w:rPr>
          <w:rFonts w:asciiTheme="majorBidi" w:hAnsiTheme="majorBidi" w:cstheme="majorBidi" w:hint="cs"/>
          <w:sz w:val="24"/>
          <w:szCs w:val="24"/>
          <w:rtl/>
        </w:rPr>
        <w:t xml:space="preserve">לפיכך יתכן שאין צורך לברר בקדושין אם האישה </w:t>
      </w:r>
      <w:r w:rsidR="001B1D5D">
        <w:rPr>
          <w:rFonts w:asciiTheme="majorBidi" w:hAnsiTheme="majorBidi" w:cstheme="majorBidi" w:hint="cs"/>
          <w:sz w:val="24"/>
          <w:szCs w:val="24"/>
          <w:rtl/>
        </w:rPr>
        <w:t>נדה</w:t>
      </w:r>
      <w:r w:rsidR="00C529AC">
        <w:rPr>
          <w:rStyle w:val="a5"/>
          <w:rFonts w:asciiTheme="majorBidi" w:hAnsiTheme="majorBidi" w:cstheme="majorBidi"/>
          <w:sz w:val="24"/>
          <w:szCs w:val="24"/>
          <w:rtl/>
        </w:rPr>
        <w:footnoteReference w:id="2"/>
      </w:r>
      <w:r w:rsidR="00C529AC">
        <w:rPr>
          <w:rFonts w:asciiTheme="majorBidi" w:hAnsiTheme="majorBidi" w:cstheme="majorBidi" w:hint="cs"/>
          <w:sz w:val="24"/>
          <w:szCs w:val="24"/>
          <w:rtl/>
        </w:rPr>
        <w:t xml:space="preserve">. </w:t>
      </w:r>
      <w:r w:rsidR="00C44CF6">
        <w:rPr>
          <w:rFonts w:asciiTheme="majorBidi" w:hAnsiTheme="majorBidi" w:cstheme="majorBidi" w:hint="cs"/>
          <w:sz w:val="24"/>
          <w:szCs w:val="24"/>
          <w:rtl/>
        </w:rPr>
        <w:t xml:space="preserve">אולם הרמב"ם ובעקבותיו השולחן ערוך פסקו: </w:t>
      </w:r>
    </w:p>
    <w:p w14:paraId="106D4B31" w14:textId="7B875B7B" w:rsidR="005F3998" w:rsidRPr="005F3998" w:rsidRDefault="005F3998" w:rsidP="005F3998">
      <w:pPr>
        <w:spacing w:after="0" w:line="360" w:lineRule="auto"/>
        <w:rPr>
          <w:rFonts w:ascii="David" w:hAnsi="David" w:cs="David"/>
          <w:sz w:val="24"/>
          <w:szCs w:val="24"/>
          <w:rtl/>
        </w:rPr>
      </w:pPr>
      <w:r>
        <w:rPr>
          <w:rFonts w:ascii="David" w:hAnsi="David" w:cs="David" w:hint="cs"/>
          <w:sz w:val="24"/>
          <w:szCs w:val="24"/>
          <w:rtl/>
        </w:rPr>
        <w:t>"</w:t>
      </w:r>
      <w:r w:rsidRPr="005F3998">
        <w:rPr>
          <w:rFonts w:ascii="David" w:hAnsi="David" w:cs="David"/>
          <w:sz w:val="24"/>
          <w:szCs w:val="24"/>
          <w:rtl/>
        </w:rPr>
        <w:t>המקדש אחת מן העריות לא עשה כלום</w:t>
      </w:r>
      <w:r>
        <w:rPr>
          <w:rFonts w:ascii="David" w:hAnsi="David" w:cs="David" w:hint="cs"/>
          <w:sz w:val="24"/>
          <w:szCs w:val="24"/>
          <w:rtl/>
        </w:rPr>
        <w:t>,</w:t>
      </w:r>
      <w:r w:rsidRPr="005F3998">
        <w:rPr>
          <w:rFonts w:ascii="David" w:hAnsi="David" w:cs="David"/>
          <w:sz w:val="24"/>
          <w:szCs w:val="24"/>
          <w:rtl/>
        </w:rPr>
        <w:t xml:space="preserve"> שאין קידושין תופסין בערוה</w:t>
      </w:r>
      <w:r>
        <w:rPr>
          <w:rFonts w:ascii="David" w:hAnsi="David" w:cs="David" w:hint="cs"/>
          <w:sz w:val="24"/>
          <w:szCs w:val="24"/>
          <w:rtl/>
        </w:rPr>
        <w:t>,</w:t>
      </w:r>
      <w:r w:rsidRPr="005F3998">
        <w:rPr>
          <w:rFonts w:ascii="David" w:hAnsi="David" w:cs="David"/>
          <w:sz w:val="24"/>
          <w:szCs w:val="24"/>
          <w:rtl/>
        </w:rPr>
        <w:t xml:space="preserve"> חוץ מן הנדה</w:t>
      </w:r>
      <w:r>
        <w:rPr>
          <w:rFonts w:ascii="David" w:hAnsi="David" w:cs="David" w:hint="cs"/>
          <w:sz w:val="24"/>
          <w:szCs w:val="24"/>
          <w:rtl/>
        </w:rPr>
        <w:t>.</w:t>
      </w:r>
      <w:r w:rsidRPr="005F3998">
        <w:rPr>
          <w:rFonts w:ascii="David" w:hAnsi="David" w:cs="David"/>
          <w:sz w:val="24"/>
          <w:szCs w:val="24"/>
          <w:rtl/>
        </w:rPr>
        <w:t xml:space="preserve"> שהמקדש את הנדה הרי זו מקודשת קידושין גמורין</w:t>
      </w:r>
      <w:r>
        <w:rPr>
          <w:rFonts w:ascii="David" w:hAnsi="David" w:cs="David" w:hint="cs"/>
          <w:sz w:val="24"/>
          <w:szCs w:val="24"/>
          <w:rtl/>
        </w:rPr>
        <w:t>,</w:t>
      </w:r>
      <w:r w:rsidRPr="005F3998">
        <w:rPr>
          <w:rFonts w:ascii="David" w:hAnsi="David" w:cs="David"/>
          <w:sz w:val="24"/>
          <w:szCs w:val="24"/>
          <w:rtl/>
        </w:rPr>
        <w:t xml:space="preserve"> </w:t>
      </w:r>
      <w:r w:rsidRPr="001B1D5D">
        <w:rPr>
          <w:rFonts w:ascii="David" w:hAnsi="David" w:cs="David"/>
          <w:b/>
          <w:bCs/>
          <w:sz w:val="24"/>
          <w:szCs w:val="24"/>
          <w:rtl/>
        </w:rPr>
        <w:t>ואין ראוי לעשות כן</w:t>
      </w:r>
      <w:r>
        <w:rPr>
          <w:rStyle w:val="a5"/>
          <w:rFonts w:ascii="David" w:hAnsi="David" w:cs="David"/>
          <w:sz w:val="24"/>
          <w:szCs w:val="24"/>
          <w:rtl/>
        </w:rPr>
        <w:footnoteReference w:id="3"/>
      </w:r>
      <w:r>
        <w:rPr>
          <w:rFonts w:ascii="David" w:hAnsi="David" w:cs="David" w:hint="cs"/>
          <w:sz w:val="24"/>
          <w:szCs w:val="24"/>
          <w:rtl/>
        </w:rPr>
        <w:t>"</w:t>
      </w:r>
      <w:r w:rsidRPr="005F3998">
        <w:rPr>
          <w:rFonts w:ascii="David" w:hAnsi="David" w:cs="David"/>
          <w:sz w:val="24"/>
          <w:szCs w:val="24"/>
          <w:rtl/>
        </w:rPr>
        <w:t>.</w:t>
      </w:r>
      <w:r>
        <w:rPr>
          <w:rFonts w:ascii="David" w:hAnsi="David" w:cs="David" w:hint="cs"/>
          <w:sz w:val="24"/>
          <w:szCs w:val="24"/>
          <w:rtl/>
        </w:rPr>
        <w:t xml:space="preserve"> </w:t>
      </w:r>
      <w:r w:rsidRPr="005F3998">
        <w:rPr>
          <w:rFonts w:asciiTheme="majorBidi" w:hAnsiTheme="majorBidi" w:cstheme="majorBidi"/>
          <w:sz w:val="24"/>
          <w:szCs w:val="24"/>
          <w:rtl/>
        </w:rPr>
        <w:t>מנמק המגיד משנה</w:t>
      </w:r>
      <w:r>
        <w:rPr>
          <w:rFonts w:ascii="David" w:hAnsi="David" w:cs="David" w:hint="cs"/>
          <w:sz w:val="24"/>
          <w:szCs w:val="24"/>
          <w:rtl/>
        </w:rPr>
        <w:t>:</w:t>
      </w:r>
    </w:p>
    <w:p w14:paraId="3D5ECB3A" w14:textId="1E3FA2A5" w:rsidR="00CE6A83" w:rsidRPr="00CE6A83" w:rsidRDefault="005F3998" w:rsidP="00CE6A83">
      <w:pPr>
        <w:spacing w:after="0" w:line="360" w:lineRule="auto"/>
        <w:rPr>
          <w:rFonts w:asciiTheme="majorBidi" w:hAnsiTheme="majorBidi" w:cstheme="majorBidi"/>
          <w:sz w:val="24"/>
          <w:szCs w:val="24"/>
          <w:rtl/>
        </w:rPr>
      </w:pPr>
      <w:r>
        <w:rPr>
          <w:rFonts w:ascii="David" w:hAnsi="David" w:cs="David" w:hint="cs"/>
          <w:sz w:val="24"/>
          <w:szCs w:val="24"/>
          <w:rtl/>
        </w:rPr>
        <w:t>"</w:t>
      </w:r>
      <w:r w:rsidRPr="005F3998">
        <w:rPr>
          <w:rFonts w:ascii="David" w:hAnsi="David" w:cs="David"/>
          <w:sz w:val="24"/>
          <w:szCs w:val="24"/>
          <w:rtl/>
        </w:rPr>
        <w:t xml:space="preserve">כיון שאינה ראויה לביאה ולא אף לחופה </w:t>
      </w:r>
      <w:r w:rsidRPr="005F3998">
        <w:rPr>
          <w:rFonts w:ascii="David" w:hAnsi="David" w:cs="David"/>
          <w:sz w:val="18"/>
          <w:szCs w:val="18"/>
          <w:rtl/>
        </w:rPr>
        <w:t>כמו שיתבאר פרק י'</w:t>
      </w:r>
      <w:r w:rsidRPr="005F3998">
        <w:rPr>
          <w:rFonts w:ascii="David" w:hAnsi="David" w:cs="David"/>
          <w:sz w:val="24"/>
          <w:szCs w:val="24"/>
          <w:rtl/>
        </w:rPr>
        <w:t xml:space="preserve"> אין ראוי לקדשה. ויש מי שכתב שטעם דברי רבינו כאן הוא שמא יגע בבשרה</w:t>
      </w:r>
      <w:r>
        <w:rPr>
          <w:rFonts w:ascii="David" w:hAnsi="David" w:cs="David" w:hint="cs"/>
          <w:sz w:val="24"/>
          <w:szCs w:val="24"/>
          <w:rtl/>
        </w:rPr>
        <w:t xml:space="preserve">". </w:t>
      </w:r>
      <w:r w:rsidR="00CE6A83">
        <w:rPr>
          <w:rFonts w:ascii="David" w:hAnsi="David" w:cs="David" w:hint="cs"/>
          <w:sz w:val="24"/>
          <w:szCs w:val="24"/>
          <w:rtl/>
        </w:rPr>
        <w:t xml:space="preserve">"לפי זה מסתבר שלדעת החולקים על הרמב"ם וסוברים שאין מניעה בחופת </w:t>
      </w:r>
      <w:r w:rsidR="001B1D5D">
        <w:rPr>
          <w:rFonts w:ascii="David" w:hAnsi="David" w:cs="David" w:hint="cs"/>
          <w:sz w:val="24"/>
          <w:szCs w:val="24"/>
          <w:rtl/>
        </w:rPr>
        <w:t>נדה</w:t>
      </w:r>
      <w:r w:rsidR="00CE6A83">
        <w:rPr>
          <w:rFonts w:ascii="David" w:hAnsi="David" w:cs="David" w:hint="cs"/>
          <w:sz w:val="24"/>
          <w:szCs w:val="24"/>
          <w:rtl/>
        </w:rPr>
        <w:t>.. הוא הדין שאין מניעה לקדשה</w:t>
      </w:r>
      <w:r w:rsidR="00CE6A83">
        <w:rPr>
          <w:rStyle w:val="a5"/>
          <w:rFonts w:ascii="David" w:hAnsi="David" w:cs="David"/>
          <w:sz w:val="24"/>
          <w:szCs w:val="24"/>
          <w:rtl/>
        </w:rPr>
        <w:footnoteReference w:id="4"/>
      </w:r>
      <w:r w:rsidR="00CE6A83">
        <w:rPr>
          <w:rFonts w:ascii="David" w:hAnsi="David" w:cs="David" w:hint="cs"/>
          <w:sz w:val="24"/>
          <w:szCs w:val="24"/>
          <w:rtl/>
        </w:rPr>
        <w:t xml:space="preserve">". </w:t>
      </w:r>
      <w:r w:rsidR="00CE6A83">
        <w:rPr>
          <w:rFonts w:asciiTheme="majorBidi" w:hAnsiTheme="majorBidi" w:cstheme="majorBidi" w:hint="cs"/>
          <w:sz w:val="24"/>
          <w:szCs w:val="24"/>
          <w:rtl/>
        </w:rPr>
        <w:t>הרמ"א, שלא העיר כאן דבר לגבי קדושין, לגבי נישואין</w:t>
      </w:r>
      <w:r w:rsidR="00CA3522">
        <w:rPr>
          <w:rFonts w:asciiTheme="majorBidi" w:hAnsiTheme="majorBidi" w:cstheme="majorBidi" w:hint="cs"/>
          <w:sz w:val="24"/>
          <w:szCs w:val="24"/>
          <w:rtl/>
        </w:rPr>
        <w:t xml:space="preserve"> חלק על השו"ע</w:t>
      </w:r>
      <w:r w:rsidR="00CE6A83">
        <w:rPr>
          <w:rFonts w:asciiTheme="majorBidi" w:hAnsiTheme="majorBidi" w:cstheme="majorBidi" w:hint="cs"/>
          <w:sz w:val="24"/>
          <w:szCs w:val="24"/>
          <w:rtl/>
        </w:rPr>
        <w:t xml:space="preserve">: </w:t>
      </w:r>
    </w:p>
    <w:p w14:paraId="2D6CD47E" w14:textId="0F94BEF8" w:rsidR="00EF5940" w:rsidRPr="00EF5940" w:rsidRDefault="00CE6A83" w:rsidP="00EF5940">
      <w:pPr>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r w:rsidRPr="00CE6A83">
        <w:rPr>
          <w:rFonts w:asciiTheme="majorBidi" w:hAnsiTheme="majorBidi" w:cs="Times New Roman"/>
          <w:sz w:val="24"/>
          <w:szCs w:val="24"/>
          <w:rtl/>
        </w:rPr>
        <w:t xml:space="preserve">כשר הדבר שלא תנשא עד שתטהר. </w:t>
      </w:r>
      <w:r>
        <w:rPr>
          <w:rFonts w:asciiTheme="majorBidi" w:hAnsiTheme="majorBidi" w:cs="Times New Roman" w:hint="cs"/>
          <w:sz w:val="24"/>
          <w:szCs w:val="24"/>
          <w:rtl/>
        </w:rPr>
        <w:t xml:space="preserve"> "</w:t>
      </w:r>
      <w:r w:rsidRPr="00CE6A83">
        <w:rPr>
          <w:rFonts w:asciiTheme="majorBidi" w:hAnsiTheme="majorBidi" w:cs="Guttman Yad-Brush"/>
          <w:sz w:val="18"/>
          <w:szCs w:val="18"/>
          <w:rtl/>
        </w:rPr>
        <w:t>ועכשיו המנהג שלא לדקדק, ואין ממתינין;</w:t>
      </w:r>
      <w:r>
        <w:rPr>
          <w:rFonts w:asciiTheme="majorBidi" w:hAnsiTheme="majorBidi" w:cs="Guttman Yad-Brush" w:hint="cs"/>
          <w:sz w:val="18"/>
          <w:szCs w:val="18"/>
          <w:rtl/>
        </w:rPr>
        <w:t xml:space="preserve"> </w:t>
      </w:r>
      <w:r w:rsidRPr="00CE6A83">
        <w:rPr>
          <w:rFonts w:asciiTheme="majorBidi" w:hAnsiTheme="majorBidi" w:cs="Guttman Yad-Brush"/>
          <w:sz w:val="18"/>
          <w:szCs w:val="18"/>
          <w:rtl/>
        </w:rPr>
        <w:t>ומכל מקום טוב להודיע לחתן תחלה שהיא נדה</w:t>
      </w:r>
      <w:r>
        <w:rPr>
          <w:rStyle w:val="a5"/>
          <w:rFonts w:asciiTheme="majorBidi" w:hAnsiTheme="majorBidi" w:cs="Guttman Yad-Brush"/>
          <w:sz w:val="18"/>
          <w:szCs w:val="18"/>
          <w:rtl/>
        </w:rPr>
        <w:footnoteReference w:id="5"/>
      </w:r>
      <w:r w:rsidRPr="00CE6A83">
        <w:rPr>
          <w:rFonts w:asciiTheme="majorBidi" w:hAnsiTheme="majorBidi" w:cs="Guttman Yad-Brush" w:hint="cs"/>
          <w:sz w:val="18"/>
          <w:szCs w:val="18"/>
          <w:rtl/>
        </w:rPr>
        <w:t>".</w:t>
      </w:r>
      <w:r w:rsidR="00CA3522">
        <w:rPr>
          <w:rFonts w:asciiTheme="majorBidi" w:hAnsiTheme="majorBidi" w:cs="Guttman Yad-Brush" w:hint="cs"/>
          <w:sz w:val="18"/>
          <w:szCs w:val="18"/>
          <w:rtl/>
        </w:rPr>
        <w:t xml:space="preserve"> </w:t>
      </w:r>
      <w:r w:rsidR="00EF5940">
        <w:rPr>
          <w:rFonts w:asciiTheme="majorBidi" w:hAnsiTheme="majorBidi" w:cstheme="majorBidi" w:hint="cs"/>
          <w:sz w:val="24"/>
          <w:szCs w:val="24"/>
          <w:rtl/>
        </w:rPr>
        <w:t>אולי חשש הרמ"א לנימוק השני, שהביא הרב המגיד: שמא יגע בה, אולם בבאר היטב</w:t>
      </w:r>
      <w:r w:rsidR="00EF5940">
        <w:rPr>
          <w:rStyle w:val="a5"/>
          <w:rFonts w:asciiTheme="majorBidi" w:hAnsiTheme="majorBidi" w:cstheme="majorBidi"/>
          <w:sz w:val="24"/>
          <w:szCs w:val="24"/>
          <w:rtl/>
        </w:rPr>
        <w:footnoteReference w:id="6"/>
      </w:r>
      <w:r w:rsidR="00EF5940">
        <w:rPr>
          <w:rFonts w:asciiTheme="majorBidi" w:hAnsiTheme="majorBidi" w:cstheme="majorBidi" w:hint="cs"/>
          <w:sz w:val="24"/>
          <w:szCs w:val="24"/>
          <w:rtl/>
        </w:rPr>
        <w:t>, שהביא נימוק זה בשם דרשות מהרי"ל טען, ש</w:t>
      </w:r>
      <w:r w:rsidR="001B1D5D">
        <w:rPr>
          <w:rFonts w:asciiTheme="majorBidi" w:hAnsiTheme="majorBidi" w:cstheme="majorBidi" w:hint="cs"/>
          <w:sz w:val="24"/>
          <w:szCs w:val="24"/>
          <w:rtl/>
        </w:rPr>
        <w:t>היות ש</w:t>
      </w:r>
      <w:r w:rsidR="00EF5940">
        <w:rPr>
          <w:rFonts w:asciiTheme="majorBidi" w:hAnsiTheme="majorBidi" w:cstheme="majorBidi" w:hint="cs"/>
          <w:sz w:val="24"/>
          <w:szCs w:val="24"/>
          <w:rtl/>
        </w:rPr>
        <w:t>אין היא אשתו עדיין</w:t>
      </w:r>
      <w:r w:rsidR="001B1D5D">
        <w:rPr>
          <w:rFonts w:asciiTheme="majorBidi" w:hAnsiTheme="majorBidi" w:cstheme="majorBidi" w:hint="cs"/>
          <w:sz w:val="24"/>
          <w:szCs w:val="24"/>
          <w:rtl/>
        </w:rPr>
        <w:t xml:space="preserve">, </w:t>
      </w:r>
      <w:r w:rsidR="00EF5940">
        <w:rPr>
          <w:rFonts w:asciiTheme="majorBidi" w:hAnsiTheme="majorBidi" w:cstheme="majorBidi" w:hint="cs"/>
          <w:sz w:val="24"/>
          <w:szCs w:val="24"/>
          <w:rtl/>
        </w:rPr>
        <w:t xml:space="preserve">אין חיוב הרחקה לגביה, ולפיכך אין לאסור מידו לידה שמא יגע בה. </w:t>
      </w:r>
      <w:r w:rsidR="008F3B2E">
        <w:rPr>
          <w:rFonts w:asciiTheme="majorBidi" w:hAnsiTheme="majorBidi" w:cstheme="majorBidi" w:hint="cs"/>
          <w:sz w:val="24"/>
          <w:szCs w:val="24"/>
          <w:rtl/>
        </w:rPr>
        <w:t xml:space="preserve">ההיתר נחוץ גם בשל ההפסד של סעודת הנישואין. </w:t>
      </w:r>
      <w:r w:rsidR="00CA3522">
        <w:rPr>
          <w:rFonts w:asciiTheme="majorBidi" w:hAnsiTheme="majorBidi" w:cstheme="majorBidi" w:hint="cs"/>
          <w:sz w:val="24"/>
          <w:szCs w:val="24"/>
          <w:rtl/>
        </w:rPr>
        <w:t>בטע</w:t>
      </w:r>
      <w:r w:rsidR="00A15139">
        <w:rPr>
          <w:rFonts w:asciiTheme="majorBidi" w:hAnsiTheme="majorBidi" w:cstheme="majorBidi" w:hint="cs"/>
          <w:sz w:val="24"/>
          <w:szCs w:val="24"/>
          <w:rtl/>
        </w:rPr>
        <w:t>ם</w:t>
      </w:r>
      <w:r w:rsidR="00CA3522">
        <w:rPr>
          <w:rFonts w:asciiTheme="majorBidi" w:hAnsiTheme="majorBidi" w:cstheme="majorBidi" w:hint="cs"/>
          <w:sz w:val="24"/>
          <w:szCs w:val="24"/>
          <w:rtl/>
        </w:rPr>
        <w:t xml:space="preserve"> ההיתר הוצע</w:t>
      </w:r>
      <w:r w:rsidR="00A15139">
        <w:rPr>
          <w:rFonts w:asciiTheme="majorBidi" w:hAnsiTheme="majorBidi" w:cstheme="majorBidi" w:hint="cs"/>
          <w:sz w:val="24"/>
          <w:szCs w:val="24"/>
          <w:rtl/>
        </w:rPr>
        <w:t xml:space="preserve">: </w:t>
      </w:r>
      <w:r w:rsidR="00CA3522">
        <w:rPr>
          <w:rFonts w:ascii="David" w:hAnsi="David" w:cs="David" w:hint="cs"/>
          <w:sz w:val="24"/>
          <w:szCs w:val="24"/>
          <w:rtl/>
        </w:rPr>
        <w:t>"</w:t>
      </w:r>
      <w:r w:rsidR="00CA3522" w:rsidRPr="00CA3522">
        <w:rPr>
          <w:rFonts w:ascii="David" w:hAnsi="David" w:cs="David"/>
          <w:sz w:val="24"/>
          <w:szCs w:val="24"/>
          <w:rtl/>
        </w:rPr>
        <w:t>שאנו מעט במקום א' ויש לחוש שמא יקדמנו אחר ברחמים</w:t>
      </w:r>
      <w:r w:rsidR="00CA3522">
        <w:rPr>
          <w:rStyle w:val="a5"/>
          <w:rFonts w:ascii="David" w:hAnsi="David" w:cs="David"/>
          <w:sz w:val="24"/>
          <w:szCs w:val="24"/>
          <w:rtl/>
        </w:rPr>
        <w:footnoteReference w:id="7"/>
      </w:r>
      <w:r w:rsidR="00CA3522">
        <w:rPr>
          <w:rFonts w:ascii="David" w:hAnsi="David" w:cs="David" w:hint="cs"/>
          <w:sz w:val="24"/>
          <w:szCs w:val="24"/>
          <w:rtl/>
        </w:rPr>
        <w:t>".</w:t>
      </w:r>
      <w:r w:rsidR="00A15139">
        <w:rPr>
          <w:rFonts w:asciiTheme="majorBidi" w:hAnsiTheme="majorBidi" w:cstheme="majorBidi" w:hint="cs"/>
          <w:sz w:val="24"/>
          <w:szCs w:val="24"/>
          <w:rtl/>
        </w:rPr>
        <w:t xml:space="preserve"> ההודעה מועילה </w:t>
      </w:r>
      <w:r w:rsidR="00A15139">
        <w:rPr>
          <w:rFonts w:ascii="David" w:hAnsi="David" w:cs="David" w:hint="cs"/>
          <w:sz w:val="24"/>
          <w:szCs w:val="24"/>
          <w:rtl/>
        </w:rPr>
        <w:t>"</w:t>
      </w:r>
      <w:r w:rsidR="00A15139" w:rsidRPr="00A15139">
        <w:rPr>
          <w:rFonts w:ascii="David" w:hAnsi="David" w:cs="David"/>
          <w:sz w:val="24"/>
          <w:szCs w:val="24"/>
          <w:rtl/>
        </w:rPr>
        <w:t>דעושה חופה כדי לבעול כשתהיה טהורה</w:t>
      </w:r>
      <w:r w:rsidR="00A15139">
        <w:rPr>
          <w:rStyle w:val="a5"/>
          <w:rFonts w:ascii="David" w:hAnsi="David" w:cs="David"/>
          <w:sz w:val="24"/>
          <w:szCs w:val="24"/>
          <w:rtl/>
        </w:rPr>
        <w:footnoteReference w:id="8"/>
      </w:r>
      <w:r w:rsidR="00A15139">
        <w:rPr>
          <w:rFonts w:ascii="David" w:hAnsi="David" w:cs="David" w:hint="cs"/>
          <w:sz w:val="24"/>
          <w:szCs w:val="24"/>
          <w:rtl/>
        </w:rPr>
        <w:t>"</w:t>
      </w:r>
      <w:r w:rsidR="00A15139">
        <w:rPr>
          <w:rFonts w:asciiTheme="majorBidi" w:hAnsiTheme="majorBidi" w:cstheme="majorBidi" w:hint="cs"/>
          <w:sz w:val="24"/>
          <w:szCs w:val="24"/>
          <w:rtl/>
        </w:rPr>
        <w:t>. ו</w:t>
      </w:r>
      <w:r w:rsidR="00A15139">
        <w:rPr>
          <w:rFonts w:ascii="David" w:hAnsi="David" w:cs="David" w:hint="cs"/>
          <w:sz w:val="24"/>
          <w:szCs w:val="24"/>
          <w:rtl/>
        </w:rPr>
        <w:t>"</w:t>
      </w:r>
      <w:r w:rsidR="00CA3522" w:rsidRPr="00CA3522">
        <w:rPr>
          <w:rFonts w:ascii="David" w:hAnsi="David" w:cs="David"/>
          <w:sz w:val="24"/>
          <w:szCs w:val="24"/>
          <w:rtl/>
        </w:rPr>
        <w:t>כשהוא א</w:t>
      </w:r>
      <w:r w:rsidR="00A15139">
        <w:rPr>
          <w:rFonts w:ascii="David" w:hAnsi="David" w:cs="David" w:hint="cs"/>
          <w:sz w:val="24"/>
          <w:szCs w:val="24"/>
          <w:rtl/>
        </w:rPr>
        <w:t xml:space="preserve">ינו יודע </w:t>
      </w:r>
      <w:r w:rsidR="00CA3522" w:rsidRPr="00CA3522">
        <w:rPr>
          <w:rFonts w:ascii="David" w:hAnsi="David" w:cs="David"/>
          <w:sz w:val="24"/>
          <w:szCs w:val="24"/>
          <w:rtl/>
        </w:rPr>
        <w:t>אף על פי שהיא יודעת</w:t>
      </w:r>
      <w:r w:rsidR="00DC0678">
        <w:rPr>
          <w:rFonts w:ascii="David" w:hAnsi="David" w:cs="David" w:hint="cs"/>
          <w:sz w:val="24"/>
          <w:szCs w:val="24"/>
          <w:rtl/>
        </w:rPr>
        <w:t>,</w:t>
      </w:r>
      <w:r w:rsidR="00CA3522" w:rsidRPr="00CA3522">
        <w:rPr>
          <w:rFonts w:ascii="David" w:hAnsi="David" w:cs="David"/>
          <w:sz w:val="24"/>
          <w:szCs w:val="24"/>
          <w:rtl/>
        </w:rPr>
        <w:t xml:space="preserve"> ליכא קנין</w:t>
      </w:r>
      <w:r w:rsidR="00A15139">
        <w:rPr>
          <w:rStyle w:val="a5"/>
          <w:rFonts w:ascii="David" w:hAnsi="David" w:cs="David"/>
          <w:sz w:val="24"/>
          <w:szCs w:val="24"/>
          <w:rtl/>
        </w:rPr>
        <w:footnoteReference w:id="9"/>
      </w:r>
      <w:r w:rsidR="00A15139">
        <w:rPr>
          <w:rFonts w:ascii="David" w:hAnsi="David" w:cs="David" w:hint="cs"/>
          <w:sz w:val="24"/>
          <w:szCs w:val="24"/>
          <w:rtl/>
        </w:rPr>
        <w:t xml:space="preserve">". </w:t>
      </w:r>
      <w:r w:rsidR="00A15139">
        <w:rPr>
          <w:rFonts w:asciiTheme="majorBidi" w:hAnsiTheme="majorBidi" w:cstheme="majorBidi" w:hint="cs"/>
          <w:sz w:val="24"/>
          <w:szCs w:val="24"/>
          <w:rtl/>
        </w:rPr>
        <w:t>מחלוקת אחרונים היא, האם הודעה מועילה גם לדעת הרמב"ם</w:t>
      </w:r>
      <w:r w:rsidR="00EC190E">
        <w:rPr>
          <w:rStyle w:val="a5"/>
          <w:rFonts w:asciiTheme="majorBidi" w:hAnsiTheme="majorBidi" w:cstheme="majorBidi"/>
          <w:sz w:val="24"/>
          <w:szCs w:val="24"/>
          <w:rtl/>
        </w:rPr>
        <w:footnoteReference w:id="10"/>
      </w:r>
      <w:r w:rsidR="00A15139">
        <w:rPr>
          <w:rFonts w:asciiTheme="majorBidi" w:hAnsiTheme="majorBidi" w:cstheme="majorBidi" w:hint="cs"/>
          <w:sz w:val="24"/>
          <w:szCs w:val="24"/>
          <w:rtl/>
        </w:rPr>
        <w:t>.</w:t>
      </w:r>
      <w:r w:rsidR="00EC190E">
        <w:rPr>
          <w:rFonts w:asciiTheme="majorBidi" w:hAnsiTheme="majorBidi" w:cstheme="majorBidi" w:hint="cs"/>
          <w:sz w:val="24"/>
          <w:szCs w:val="24"/>
          <w:rtl/>
        </w:rPr>
        <w:t xml:space="preserve"> </w:t>
      </w:r>
      <w:r w:rsidR="00FC1CDC">
        <w:rPr>
          <w:rFonts w:asciiTheme="majorBidi" w:hAnsiTheme="majorBidi" w:cstheme="majorBidi" w:hint="cs"/>
          <w:sz w:val="24"/>
          <w:szCs w:val="24"/>
          <w:rtl/>
        </w:rPr>
        <w:t xml:space="preserve">במנחת חינוך הציע  </w:t>
      </w:r>
    </w:p>
    <w:p w14:paraId="1A116CC5" w14:textId="586EF540" w:rsidR="00CA3522" w:rsidRPr="001B1D5D" w:rsidRDefault="00EF5940" w:rsidP="001B1D5D">
      <w:pPr>
        <w:spacing w:after="0" w:line="360" w:lineRule="auto"/>
        <w:rPr>
          <w:rFonts w:asciiTheme="majorBidi" w:hAnsiTheme="majorBidi" w:cstheme="majorBidi"/>
          <w:sz w:val="24"/>
          <w:szCs w:val="24"/>
          <w:rtl/>
        </w:rPr>
      </w:pPr>
      <w:r>
        <w:rPr>
          <w:rFonts w:asciiTheme="majorBidi" w:hAnsiTheme="majorBidi" w:cs="Times New Roman" w:hint="cs"/>
          <w:sz w:val="24"/>
          <w:szCs w:val="24"/>
          <w:rtl/>
        </w:rPr>
        <w:lastRenderedPageBreak/>
        <w:t>ש</w:t>
      </w:r>
      <w:r w:rsidRPr="00EF5940">
        <w:rPr>
          <w:rFonts w:ascii="David" w:hAnsi="David" w:cs="David"/>
          <w:sz w:val="24"/>
          <w:szCs w:val="24"/>
          <w:rtl/>
        </w:rPr>
        <w:t>"גם נדה הוא בהיקשא הנ"ל, דהתורה גילתה ו</w:t>
      </w:r>
      <w:r w:rsidRPr="00DC0678">
        <w:rPr>
          <w:rFonts w:ascii="David" w:hAnsi="David" w:cs="David"/>
          <w:b/>
          <w:bCs/>
          <w:sz w:val="24"/>
          <w:szCs w:val="24"/>
          <w:rtl/>
        </w:rPr>
        <w:t>תהי</w:t>
      </w:r>
      <w:r w:rsidRPr="00EF5940">
        <w:rPr>
          <w:rFonts w:ascii="David" w:hAnsi="David" w:cs="David"/>
          <w:sz w:val="24"/>
          <w:szCs w:val="24"/>
          <w:rtl/>
        </w:rPr>
        <w:t xml:space="preserve"> נדתה וגו' דתופסין הקידושין בנדה, אבל על לכתחילה</w:t>
      </w:r>
      <w:r w:rsidR="00DC0678">
        <w:rPr>
          <w:rFonts w:ascii="David" w:hAnsi="David" w:cs="David" w:hint="cs"/>
          <w:sz w:val="24"/>
          <w:szCs w:val="24"/>
          <w:rtl/>
        </w:rPr>
        <w:t>,</w:t>
      </w:r>
      <w:r w:rsidRPr="00EF5940">
        <w:rPr>
          <w:rFonts w:ascii="David" w:hAnsi="David" w:cs="David"/>
          <w:sz w:val="24"/>
          <w:szCs w:val="24"/>
          <w:rtl/>
        </w:rPr>
        <w:t xml:space="preserve"> קאי בהיקשא דאסור לכתחילה</w:t>
      </w:r>
      <w:r w:rsidRPr="00EF5940">
        <w:rPr>
          <w:rStyle w:val="a5"/>
          <w:rFonts w:ascii="David" w:hAnsi="David" w:cs="David"/>
          <w:sz w:val="24"/>
          <w:szCs w:val="24"/>
          <w:rtl/>
        </w:rPr>
        <w:footnoteReference w:id="11"/>
      </w:r>
      <w:r w:rsidRPr="00EF5940">
        <w:rPr>
          <w:rFonts w:ascii="David" w:hAnsi="David" w:cs="David"/>
          <w:sz w:val="24"/>
          <w:szCs w:val="24"/>
          <w:rtl/>
        </w:rPr>
        <w:t>".</w:t>
      </w:r>
      <w:r w:rsidRPr="00EF5940">
        <w:rPr>
          <w:rFonts w:asciiTheme="majorBidi" w:hAnsiTheme="majorBidi" w:cs="Times New Roman"/>
          <w:sz w:val="24"/>
          <w:szCs w:val="24"/>
          <w:rtl/>
        </w:rPr>
        <w:t xml:space="preserve"> </w:t>
      </w:r>
      <w:r w:rsidR="004B3DF7">
        <w:rPr>
          <w:rFonts w:asciiTheme="majorBidi" w:hAnsiTheme="majorBidi" w:cs="Times New Roman" w:hint="cs"/>
          <w:sz w:val="24"/>
          <w:szCs w:val="24"/>
          <w:rtl/>
        </w:rPr>
        <w:t>בעינים למשפט ד</w:t>
      </w:r>
      <w:r w:rsidR="00F77157">
        <w:rPr>
          <w:rFonts w:asciiTheme="majorBidi" w:hAnsiTheme="majorBidi" w:cs="Times New Roman" w:hint="cs"/>
          <w:sz w:val="24"/>
          <w:szCs w:val="24"/>
          <w:rtl/>
        </w:rPr>
        <w:t>ח</w:t>
      </w:r>
      <w:r w:rsidR="004B3DF7">
        <w:rPr>
          <w:rFonts w:asciiTheme="majorBidi" w:hAnsiTheme="majorBidi" w:cs="Times New Roman" w:hint="cs"/>
          <w:sz w:val="24"/>
          <w:szCs w:val="24"/>
          <w:rtl/>
        </w:rPr>
        <w:t xml:space="preserve">ה זאת: לא משמע ברמב"ם שנותר איסור תורה, ואין היקש למחצה. אם </w:t>
      </w:r>
      <w:r w:rsidR="001B1D5D">
        <w:rPr>
          <w:rFonts w:asciiTheme="majorBidi" w:hAnsiTheme="majorBidi" w:cs="Times New Roman" w:hint="cs"/>
          <w:sz w:val="24"/>
          <w:szCs w:val="24"/>
          <w:rtl/>
        </w:rPr>
        <w:t>נדה</w:t>
      </w:r>
      <w:r w:rsidR="004B3DF7">
        <w:rPr>
          <w:rFonts w:asciiTheme="majorBidi" w:hAnsiTheme="majorBidi" w:cs="Times New Roman" w:hint="cs"/>
          <w:sz w:val="24"/>
          <w:szCs w:val="24"/>
          <w:rtl/>
        </w:rPr>
        <w:t xml:space="preserve"> אינה כלולה בהיקש של כל העריות </w:t>
      </w:r>
      <w:r w:rsidR="004B3DF7">
        <w:rPr>
          <w:rFonts w:asciiTheme="majorBidi" w:hAnsiTheme="majorBidi" w:cs="Times New Roman"/>
          <w:sz w:val="24"/>
          <w:szCs w:val="24"/>
          <w:rtl/>
        </w:rPr>
        <w:t>–</w:t>
      </w:r>
      <w:r w:rsidR="004B3DF7">
        <w:rPr>
          <w:rFonts w:asciiTheme="majorBidi" w:hAnsiTheme="majorBidi" w:cs="Times New Roman" w:hint="cs"/>
          <w:sz w:val="24"/>
          <w:szCs w:val="24"/>
          <w:rtl/>
        </w:rPr>
        <w:t xml:space="preserve"> אין להותירה </w:t>
      </w:r>
      <w:r w:rsidR="001B1D5D">
        <w:rPr>
          <w:rFonts w:asciiTheme="majorBidi" w:hAnsiTheme="majorBidi" w:cs="Times New Roman" w:hint="cs"/>
          <w:sz w:val="24"/>
          <w:szCs w:val="24"/>
          <w:rtl/>
        </w:rPr>
        <w:t xml:space="preserve">בהיקש </w:t>
      </w:r>
      <w:r w:rsidR="004B3DF7">
        <w:rPr>
          <w:rFonts w:asciiTheme="majorBidi" w:hAnsiTheme="majorBidi" w:cs="Times New Roman" w:hint="cs"/>
          <w:sz w:val="24"/>
          <w:szCs w:val="24"/>
          <w:rtl/>
        </w:rPr>
        <w:t xml:space="preserve">חלקית. אכן, </w:t>
      </w:r>
      <w:r w:rsidR="00EC190E">
        <w:rPr>
          <w:rFonts w:asciiTheme="majorBidi" w:hAnsiTheme="majorBidi" w:cstheme="majorBidi" w:hint="cs"/>
          <w:sz w:val="24"/>
          <w:szCs w:val="24"/>
          <w:rtl/>
        </w:rPr>
        <w:t>ערוך השולחן</w:t>
      </w:r>
      <w:r w:rsidR="00EC190E">
        <w:rPr>
          <w:rStyle w:val="a5"/>
          <w:rFonts w:asciiTheme="majorBidi" w:hAnsiTheme="majorBidi" w:cstheme="majorBidi"/>
          <w:sz w:val="24"/>
          <w:szCs w:val="24"/>
          <w:rtl/>
        </w:rPr>
        <w:footnoteReference w:id="12"/>
      </w:r>
      <w:r w:rsidR="00EC190E">
        <w:rPr>
          <w:rFonts w:asciiTheme="majorBidi" w:hAnsiTheme="majorBidi" w:cstheme="majorBidi" w:hint="cs"/>
          <w:sz w:val="24"/>
          <w:szCs w:val="24"/>
          <w:rtl/>
        </w:rPr>
        <w:t xml:space="preserve"> סובר שגם לדעת הרמב"ם הבעיה היא זמנית: </w:t>
      </w:r>
      <w:r w:rsidR="00EC190E">
        <w:rPr>
          <w:rFonts w:asciiTheme="majorBidi" w:hAnsiTheme="majorBidi" w:cs="Times New Roman" w:hint="cs"/>
          <w:sz w:val="24"/>
          <w:szCs w:val="24"/>
          <w:rtl/>
        </w:rPr>
        <w:t xml:space="preserve"> </w:t>
      </w:r>
      <w:r w:rsidR="00EC190E">
        <w:rPr>
          <w:rFonts w:ascii="David" w:hAnsi="David" w:cs="David" w:hint="cs"/>
          <w:sz w:val="24"/>
          <w:szCs w:val="24"/>
          <w:rtl/>
        </w:rPr>
        <w:t>"</w:t>
      </w:r>
      <w:r w:rsidR="00EC190E" w:rsidRPr="00EC190E">
        <w:rPr>
          <w:rFonts w:ascii="David" w:hAnsi="David" w:cs="David"/>
          <w:sz w:val="24"/>
          <w:szCs w:val="24"/>
          <w:rtl/>
        </w:rPr>
        <w:t xml:space="preserve">אח"כ כשהכניסה לרשותו </w:t>
      </w:r>
      <w:r w:rsidR="00EC190E" w:rsidRPr="00EC190E">
        <w:rPr>
          <w:rFonts w:ascii="David" w:hAnsi="David" w:cs="David"/>
          <w:b/>
          <w:bCs/>
          <w:sz w:val="24"/>
          <w:szCs w:val="24"/>
          <w:rtl/>
        </w:rPr>
        <w:t>בע"כ היא נשואה</w:t>
      </w:r>
      <w:r w:rsidR="00EC190E" w:rsidRPr="00EC190E">
        <w:rPr>
          <w:rFonts w:ascii="David" w:hAnsi="David" w:cs="David" w:hint="cs"/>
          <w:b/>
          <w:bCs/>
          <w:sz w:val="24"/>
          <w:szCs w:val="24"/>
          <w:rtl/>
        </w:rPr>
        <w:t>.</w:t>
      </w:r>
      <w:r w:rsidR="00EC190E" w:rsidRPr="00EC190E">
        <w:rPr>
          <w:rFonts w:ascii="David" w:hAnsi="David" w:cs="David"/>
          <w:sz w:val="24"/>
          <w:szCs w:val="24"/>
          <w:rtl/>
        </w:rPr>
        <w:t xml:space="preserve"> ולפ"ז אין נ"מ לעניין ירושה אלא במקרה רחוק</w:t>
      </w:r>
      <w:r w:rsidR="00EC190E">
        <w:rPr>
          <w:rFonts w:ascii="David" w:hAnsi="David" w:cs="David" w:hint="cs"/>
          <w:sz w:val="24"/>
          <w:szCs w:val="24"/>
          <w:rtl/>
        </w:rPr>
        <w:t>,</w:t>
      </w:r>
      <w:r w:rsidR="00EC190E" w:rsidRPr="00EC190E">
        <w:rPr>
          <w:rFonts w:ascii="David" w:hAnsi="David" w:cs="David"/>
          <w:sz w:val="24"/>
          <w:szCs w:val="24"/>
          <w:rtl/>
        </w:rPr>
        <w:t xml:space="preserve"> כגון שברגע החופה מתה ודבר זה לא שכיח כלל</w:t>
      </w:r>
      <w:r w:rsidR="00EC190E">
        <w:rPr>
          <w:rFonts w:ascii="David" w:hAnsi="David" w:cs="David" w:hint="cs"/>
          <w:sz w:val="24"/>
          <w:szCs w:val="24"/>
          <w:rtl/>
        </w:rPr>
        <w:t>.</w:t>
      </w:r>
      <w:r w:rsidR="00EC190E" w:rsidRPr="00EC190E">
        <w:rPr>
          <w:rFonts w:ascii="David" w:hAnsi="David" w:cs="David"/>
          <w:sz w:val="24"/>
          <w:szCs w:val="24"/>
          <w:rtl/>
        </w:rPr>
        <w:t xml:space="preserve"> ולכן כתב הרמב"ם דחופת נדה אינה כלום</w:t>
      </w:r>
      <w:r w:rsidR="00EC190E">
        <w:rPr>
          <w:rFonts w:ascii="David" w:hAnsi="David" w:cs="David" w:hint="cs"/>
          <w:sz w:val="24"/>
          <w:szCs w:val="24"/>
          <w:rtl/>
        </w:rPr>
        <w:t>,</w:t>
      </w:r>
      <w:r w:rsidR="00EC190E" w:rsidRPr="00EC190E">
        <w:rPr>
          <w:rFonts w:ascii="David" w:hAnsi="David" w:cs="David"/>
          <w:sz w:val="24"/>
          <w:szCs w:val="24"/>
          <w:rtl/>
        </w:rPr>
        <w:t xml:space="preserve"> דבזה לא נגמרו הנשואין</w:t>
      </w:r>
      <w:r w:rsidR="00EC190E">
        <w:rPr>
          <w:rFonts w:ascii="David" w:hAnsi="David" w:cs="David" w:hint="cs"/>
          <w:sz w:val="24"/>
          <w:szCs w:val="24"/>
          <w:rtl/>
        </w:rPr>
        <w:t>,</w:t>
      </w:r>
      <w:r w:rsidR="00EC190E" w:rsidRPr="00EC190E">
        <w:rPr>
          <w:rFonts w:ascii="David" w:hAnsi="David" w:cs="David"/>
          <w:sz w:val="24"/>
          <w:szCs w:val="24"/>
          <w:rtl/>
        </w:rPr>
        <w:t xml:space="preserve"> וממילא ממ"נ</w:t>
      </w:r>
      <w:r w:rsidR="00EC190E">
        <w:rPr>
          <w:rFonts w:ascii="David" w:hAnsi="David" w:cs="David" w:hint="cs"/>
          <w:sz w:val="24"/>
          <w:szCs w:val="24"/>
          <w:rtl/>
        </w:rPr>
        <w:t>:</w:t>
      </w:r>
      <w:r w:rsidR="00EC190E" w:rsidRPr="00EC190E">
        <w:rPr>
          <w:rFonts w:ascii="David" w:hAnsi="David" w:cs="David"/>
          <w:sz w:val="24"/>
          <w:szCs w:val="24"/>
          <w:rtl/>
        </w:rPr>
        <w:t xml:space="preserve"> אם נפרדו זה מזו ברצונם</w:t>
      </w:r>
      <w:r w:rsidR="00EC190E">
        <w:rPr>
          <w:rFonts w:ascii="David" w:hAnsi="David" w:cs="David" w:hint="cs"/>
          <w:sz w:val="24"/>
          <w:szCs w:val="24"/>
          <w:rtl/>
        </w:rPr>
        <w:t>-</w:t>
      </w:r>
      <w:r w:rsidR="00EC190E" w:rsidRPr="00EC190E">
        <w:rPr>
          <w:rFonts w:ascii="David" w:hAnsi="David" w:cs="David"/>
          <w:sz w:val="24"/>
          <w:szCs w:val="24"/>
          <w:rtl/>
        </w:rPr>
        <w:t xml:space="preserve"> הרי גלו אדעתייהו שביטלו למה שדימו לעשות חופה</w:t>
      </w:r>
      <w:r w:rsidR="001B1D5D">
        <w:rPr>
          <w:rFonts w:ascii="David" w:hAnsi="David" w:cs="David" w:hint="cs"/>
          <w:sz w:val="24"/>
          <w:szCs w:val="24"/>
          <w:rtl/>
        </w:rPr>
        <w:t>.</w:t>
      </w:r>
      <w:r w:rsidR="00EC190E" w:rsidRPr="00EC190E">
        <w:rPr>
          <w:rFonts w:ascii="David" w:hAnsi="David" w:cs="David"/>
          <w:sz w:val="24"/>
          <w:szCs w:val="24"/>
          <w:rtl/>
        </w:rPr>
        <w:t xml:space="preserve"> וגם זה לא שכיח</w:t>
      </w:r>
      <w:r w:rsidR="00EC190E">
        <w:rPr>
          <w:rFonts w:ascii="David" w:hAnsi="David" w:cs="David" w:hint="cs"/>
          <w:sz w:val="24"/>
          <w:szCs w:val="24"/>
          <w:rtl/>
        </w:rPr>
        <w:t>.</w:t>
      </w:r>
      <w:r w:rsidR="00EC190E" w:rsidRPr="00EC190E">
        <w:rPr>
          <w:rFonts w:ascii="David" w:hAnsi="David" w:cs="David"/>
          <w:sz w:val="24"/>
          <w:szCs w:val="24"/>
          <w:rtl/>
        </w:rPr>
        <w:t xml:space="preserve"> ואם לקחה לרשותו ואח"כ מתה קודם שתטהר</w:t>
      </w:r>
      <w:r w:rsidR="00EC190E">
        <w:rPr>
          <w:rFonts w:ascii="David" w:hAnsi="David" w:cs="David" w:hint="cs"/>
          <w:sz w:val="24"/>
          <w:szCs w:val="24"/>
          <w:rtl/>
        </w:rPr>
        <w:t>-</w:t>
      </w:r>
      <w:r w:rsidR="00EC190E" w:rsidRPr="00EC190E">
        <w:rPr>
          <w:rFonts w:ascii="David" w:hAnsi="David" w:cs="David"/>
          <w:sz w:val="24"/>
          <w:szCs w:val="24"/>
          <w:rtl/>
        </w:rPr>
        <w:t xml:space="preserve"> פשיטא שיורשה מטעם נשואה</w:t>
      </w:r>
      <w:r w:rsidR="00EC190E">
        <w:rPr>
          <w:rFonts w:ascii="David" w:hAnsi="David" w:cs="David" w:hint="cs"/>
          <w:sz w:val="24"/>
          <w:szCs w:val="24"/>
          <w:rtl/>
        </w:rPr>
        <w:t>".</w:t>
      </w:r>
    </w:p>
    <w:p w14:paraId="1DD91909" w14:textId="619A7A49" w:rsidR="006C04F8" w:rsidRPr="001B1D5D" w:rsidRDefault="006C04F8" w:rsidP="001B1D5D">
      <w:pPr>
        <w:pStyle w:val="a6"/>
        <w:numPr>
          <w:ilvl w:val="0"/>
          <w:numId w:val="2"/>
        </w:numPr>
        <w:spacing w:after="0" w:line="360" w:lineRule="auto"/>
        <w:rPr>
          <w:rFonts w:asciiTheme="majorBidi" w:hAnsiTheme="majorBidi" w:cstheme="majorBidi"/>
          <w:b/>
          <w:bCs/>
          <w:sz w:val="24"/>
          <w:szCs w:val="24"/>
          <w:rtl/>
        </w:rPr>
      </w:pPr>
      <w:r w:rsidRPr="001B1D5D">
        <w:rPr>
          <w:rFonts w:asciiTheme="majorBidi" w:hAnsiTheme="majorBidi" w:cstheme="majorBidi" w:hint="cs"/>
          <w:b/>
          <w:bCs/>
          <w:sz w:val="24"/>
          <w:szCs w:val="24"/>
          <w:rtl/>
        </w:rPr>
        <w:t>האישה וילדיה</w:t>
      </w:r>
    </w:p>
    <w:p w14:paraId="4C5E2618" w14:textId="4144A909" w:rsidR="00172FB0" w:rsidRDefault="006C04F8" w:rsidP="00172FB0">
      <w:pPr>
        <w:spacing w:after="0" w:line="360" w:lineRule="auto"/>
        <w:rPr>
          <w:rFonts w:ascii="David" w:hAnsi="David" w:cs="David"/>
          <w:sz w:val="24"/>
          <w:szCs w:val="24"/>
          <w:rtl/>
        </w:rPr>
      </w:pPr>
      <w:r>
        <w:rPr>
          <w:rFonts w:asciiTheme="majorBidi" w:hAnsiTheme="majorBidi" w:cstheme="majorBidi" w:hint="cs"/>
          <w:sz w:val="24"/>
          <w:szCs w:val="24"/>
          <w:rtl/>
        </w:rPr>
        <w:t xml:space="preserve">שנינו בברייתא שוולד </w:t>
      </w:r>
      <w:r w:rsidR="001B1D5D">
        <w:rPr>
          <w:rFonts w:asciiTheme="majorBidi" w:hAnsiTheme="majorBidi" w:cstheme="majorBidi" w:hint="cs"/>
          <w:sz w:val="24"/>
          <w:szCs w:val="24"/>
          <w:rtl/>
        </w:rPr>
        <w:t>נדה</w:t>
      </w:r>
      <w:r>
        <w:rPr>
          <w:rFonts w:asciiTheme="majorBidi" w:hAnsiTheme="majorBidi" w:cstheme="majorBidi" w:hint="cs"/>
          <w:sz w:val="24"/>
          <w:szCs w:val="24"/>
          <w:rtl/>
        </w:rPr>
        <w:t xml:space="preserve"> איננו ממזר.</w:t>
      </w:r>
      <w:r w:rsidR="00172FB0">
        <w:rPr>
          <w:rFonts w:asciiTheme="majorBidi" w:hAnsiTheme="majorBidi" w:cstheme="majorBidi" w:hint="cs"/>
          <w:sz w:val="24"/>
          <w:szCs w:val="24"/>
          <w:rtl/>
        </w:rPr>
        <w:t xml:space="preserve"> כשרותו תלויה בתפישת הקדושין: "</w:t>
      </w:r>
      <w:r w:rsidR="00172FB0" w:rsidRPr="00BF2A7D">
        <w:rPr>
          <w:rFonts w:ascii="David" w:hAnsi="David" w:cs="David"/>
          <w:sz w:val="24"/>
          <w:szCs w:val="24"/>
          <w:rtl/>
        </w:rPr>
        <w:t>הבא על הנדה הולד כשר לדברי הכל אף על פי שהוא מחייבי כרת</w:t>
      </w:r>
      <w:r w:rsidR="00172FB0">
        <w:rPr>
          <w:rFonts w:ascii="David" w:hAnsi="David" w:cs="David" w:hint="cs"/>
          <w:sz w:val="24"/>
          <w:szCs w:val="24"/>
          <w:rtl/>
        </w:rPr>
        <w:t>,</w:t>
      </w:r>
      <w:r w:rsidR="00172FB0" w:rsidRPr="00BF2A7D">
        <w:rPr>
          <w:rFonts w:ascii="David" w:hAnsi="David" w:cs="David"/>
          <w:sz w:val="24"/>
          <w:szCs w:val="24"/>
          <w:rtl/>
        </w:rPr>
        <w:t xml:space="preserve"> שהרי קדושין תופסין בה</w:t>
      </w:r>
      <w:r w:rsidR="000F4E59">
        <w:rPr>
          <w:rFonts w:ascii="David" w:hAnsi="David" w:cs="David" w:hint="cs"/>
          <w:sz w:val="24"/>
          <w:szCs w:val="24"/>
          <w:rtl/>
        </w:rPr>
        <w:t>,</w:t>
      </w:r>
      <w:r w:rsidR="00172FB0" w:rsidRPr="00BF2A7D">
        <w:rPr>
          <w:rFonts w:ascii="David" w:hAnsi="David" w:cs="David"/>
          <w:sz w:val="24"/>
          <w:szCs w:val="24"/>
          <w:rtl/>
        </w:rPr>
        <w:t xml:space="preserve"> מדכתיב ותהי נדתה עליו אפילו בשעת נדתה תהא בה הויה</w:t>
      </w:r>
    </w:p>
    <w:p w14:paraId="10E82B62" w14:textId="7189061A" w:rsidR="006C04F8" w:rsidRDefault="006C04F8" w:rsidP="001B1D5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DC0678">
        <w:rPr>
          <w:rFonts w:asciiTheme="majorBidi" w:hAnsiTheme="majorBidi" w:cstheme="majorBidi" w:hint="cs"/>
          <w:sz w:val="24"/>
          <w:szCs w:val="24"/>
          <w:rtl/>
        </w:rPr>
        <w:t xml:space="preserve">גם </w:t>
      </w:r>
      <w:r>
        <w:rPr>
          <w:rFonts w:asciiTheme="majorBidi" w:hAnsiTheme="majorBidi" w:cstheme="majorBidi" w:hint="cs"/>
          <w:sz w:val="24"/>
          <w:szCs w:val="24"/>
          <w:rtl/>
        </w:rPr>
        <w:t>בנה איננו חלל</w:t>
      </w:r>
      <w:r w:rsidR="00F77157">
        <w:rPr>
          <w:rStyle w:val="a5"/>
          <w:rFonts w:asciiTheme="majorBidi" w:hAnsiTheme="majorBidi" w:cstheme="majorBidi"/>
          <w:sz w:val="24"/>
          <w:szCs w:val="24"/>
          <w:rtl/>
        </w:rPr>
        <w:footnoteReference w:id="13"/>
      </w:r>
      <w:r>
        <w:rPr>
          <w:rFonts w:asciiTheme="majorBidi" w:hAnsiTheme="majorBidi" w:cstheme="majorBidi" w:hint="cs"/>
          <w:sz w:val="24"/>
          <w:szCs w:val="24"/>
          <w:rtl/>
        </w:rPr>
        <w:t xml:space="preserve">: </w:t>
      </w:r>
      <w:r w:rsidRPr="006C04F8">
        <w:rPr>
          <w:rFonts w:asciiTheme="majorBidi" w:hAnsiTheme="majorBidi" w:cs="Times New Roman"/>
          <w:sz w:val="24"/>
          <w:szCs w:val="24"/>
          <w:rtl/>
        </w:rPr>
        <w:t xml:space="preserve"> </w:t>
      </w:r>
      <w:r w:rsidRPr="006C04F8">
        <w:rPr>
          <w:rFonts w:ascii="David" w:hAnsi="David" w:cs="David"/>
          <w:sz w:val="24"/>
          <w:szCs w:val="24"/>
          <w:rtl/>
        </w:rPr>
        <w:t>"אלמנה וגרושה וחללה זונה את אלה לא יקח.. ולא יחלל זרעו בעמיו אכולהו.. רבי אליעזר בן יעקב אמר: אלה - למעוטי נדה</w:t>
      </w:r>
      <w:r>
        <w:rPr>
          <w:rStyle w:val="a5"/>
          <w:rFonts w:ascii="David" w:hAnsi="David" w:cs="David"/>
          <w:sz w:val="24"/>
          <w:szCs w:val="24"/>
          <w:rtl/>
        </w:rPr>
        <w:footnoteReference w:id="14"/>
      </w:r>
      <w:r w:rsidRPr="006C04F8">
        <w:rPr>
          <w:rFonts w:ascii="David" w:hAnsi="David" w:cs="David"/>
          <w:sz w:val="24"/>
          <w:szCs w:val="24"/>
          <w:rtl/>
        </w:rPr>
        <w:t>".</w:t>
      </w:r>
      <w:r w:rsidR="002635AB">
        <w:rPr>
          <w:rFonts w:ascii="David" w:hAnsi="David" w:cs="David" w:hint="cs"/>
          <w:sz w:val="24"/>
          <w:szCs w:val="24"/>
          <w:rtl/>
        </w:rPr>
        <w:t xml:space="preserve"> </w:t>
      </w:r>
      <w:r w:rsidR="002635AB">
        <w:rPr>
          <w:rFonts w:asciiTheme="majorBidi" w:hAnsiTheme="majorBidi" w:cstheme="majorBidi" w:hint="cs"/>
          <w:sz w:val="24"/>
          <w:szCs w:val="24"/>
          <w:rtl/>
        </w:rPr>
        <w:t xml:space="preserve">בדעת חכמים ישנה הבנה </w:t>
      </w:r>
      <w:r w:rsidR="00BA1788">
        <w:rPr>
          <w:rFonts w:asciiTheme="majorBidi" w:hAnsiTheme="majorBidi" w:cstheme="majorBidi" w:hint="cs"/>
          <w:sz w:val="24"/>
          <w:szCs w:val="24"/>
          <w:rtl/>
        </w:rPr>
        <w:t>שלדעתם הוולד חלל</w:t>
      </w:r>
      <w:r w:rsidR="00BA1788">
        <w:rPr>
          <w:rStyle w:val="a5"/>
          <w:rFonts w:asciiTheme="majorBidi" w:hAnsiTheme="majorBidi" w:cstheme="majorBidi"/>
          <w:sz w:val="24"/>
          <w:szCs w:val="24"/>
          <w:rtl/>
        </w:rPr>
        <w:footnoteReference w:id="15"/>
      </w:r>
      <w:r w:rsidR="001B1D5D">
        <w:rPr>
          <w:rFonts w:asciiTheme="majorBidi" w:hAnsiTheme="majorBidi" w:cstheme="majorBidi" w:hint="cs"/>
          <w:sz w:val="24"/>
          <w:szCs w:val="24"/>
          <w:rtl/>
        </w:rPr>
        <w:t>:</w:t>
      </w:r>
    </w:p>
    <w:p w14:paraId="5E97D44D" w14:textId="4C6AEE02" w:rsidR="004B092C" w:rsidRDefault="004B092C" w:rsidP="001B1D5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כתב ה</w:t>
      </w:r>
      <w:r w:rsidR="00BA1788" w:rsidRPr="00BA1788">
        <w:rPr>
          <w:rFonts w:asciiTheme="majorBidi" w:hAnsiTheme="majorBidi" w:cstheme="majorBidi"/>
          <w:sz w:val="24"/>
          <w:szCs w:val="24"/>
          <w:rtl/>
        </w:rPr>
        <w:t>רמב"ן</w:t>
      </w:r>
      <w:r>
        <w:rPr>
          <w:rFonts w:asciiTheme="majorBidi" w:hAnsiTheme="majorBidi" w:cstheme="majorBidi" w:hint="cs"/>
          <w:sz w:val="24"/>
          <w:szCs w:val="24"/>
          <w:rtl/>
        </w:rPr>
        <w:t>:</w:t>
      </w:r>
      <w:r w:rsidR="00BA1788" w:rsidRPr="00BA1788">
        <w:rPr>
          <w:rFonts w:asciiTheme="majorBidi" w:hAnsiTheme="majorBidi" w:cstheme="majorBidi"/>
          <w:sz w:val="24"/>
          <w:szCs w:val="24"/>
          <w:rtl/>
        </w:rPr>
        <w:t xml:space="preserve"> </w:t>
      </w:r>
      <w:r w:rsidR="001B1D5D">
        <w:rPr>
          <w:rFonts w:asciiTheme="majorBidi" w:hAnsiTheme="majorBidi" w:cstheme="majorBidi" w:hint="cs"/>
          <w:sz w:val="24"/>
          <w:szCs w:val="24"/>
          <w:rtl/>
        </w:rPr>
        <w:t xml:space="preserve"> </w:t>
      </w:r>
      <w:r w:rsidR="00BA1788">
        <w:rPr>
          <w:rFonts w:ascii="David" w:hAnsi="David" w:cs="David" w:hint="cs"/>
          <w:sz w:val="24"/>
          <w:szCs w:val="24"/>
          <w:rtl/>
        </w:rPr>
        <w:t>"</w:t>
      </w:r>
      <w:r w:rsidR="00BA1788" w:rsidRPr="00BA1788">
        <w:rPr>
          <w:rFonts w:ascii="David" w:hAnsi="David" w:cs="David"/>
          <w:sz w:val="24"/>
          <w:szCs w:val="24"/>
          <w:rtl/>
        </w:rPr>
        <w:t>פירש הרב אב"ד ז"ל</w:t>
      </w:r>
      <w:r w:rsidR="00BA1788">
        <w:rPr>
          <w:rFonts w:ascii="David" w:hAnsi="David" w:cs="David" w:hint="cs"/>
          <w:sz w:val="24"/>
          <w:szCs w:val="24"/>
          <w:rtl/>
        </w:rPr>
        <w:t>:</w:t>
      </w:r>
      <w:r w:rsidR="00BA1788" w:rsidRPr="00BA1788">
        <w:rPr>
          <w:rFonts w:ascii="David" w:hAnsi="David" w:cs="David"/>
          <w:sz w:val="24"/>
          <w:szCs w:val="24"/>
          <w:rtl/>
        </w:rPr>
        <w:t xml:space="preserve"> </w:t>
      </w:r>
      <w:r w:rsidR="00BA1788" w:rsidRPr="00BA1788">
        <w:rPr>
          <w:rFonts w:ascii="David" w:hAnsi="David" w:cs="David"/>
          <w:b/>
          <w:bCs/>
          <w:sz w:val="24"/>
          <w:szCs w:val="24"/>
          <w:rtl/>
        </w:rPr>
        <w:t>דלרבנן הוי חלל</w:t>
      </w:r>
      <w:r w:rsidR="00BA1788" w:rsidRPr="00BA1788">
        <w:rPr>
          <w:rFonts w:ascii="David" w:hAnsi="David" w:cs="David"/>
          <w:sz w:val="24"/>
          <w:szCs w:val="24"/>
          <w:rtl/>
        </w:rPr>
        <w:t xml:space="preserve"> מק"ו, מחייבי לאוין הוי חלל מחייבי כריתות לא כ"ש</w:t>
      </w:r>
      <w:r w:rsidR="00DC0678">
        <w:rPr>
          <w:rFonts w:ascii="David" w:hAnsi="David" w:cs="David" w:hint="cs"/>
          <w:sz w:val="24"/>
          <w:szCs w:val="24"/>
          <w:rtl/>
        </w:rPr>
        <w:t>!?</w:t>
      </w:r>
      <w:r w:rsidR="00BA1788" w:rsidRPr="00BA1788">
        <w:rPr>
          <w:rFonts w:ascii="David" w:hAnsi="David" w:cs="David"/>
          <w:sz w:val="24"/>
          <w:szCs w:val="24"/>
          <w:rtl/>
        </w:rPr>
        <w:t xml:space="preserve"> אלא דקשיא ליה הא דאמרינן בקדושין </w:t>
      </w:r>
      <w:r w:rsidR="00BA1788" w:rsidRPr="00BA1788">
        <w:rPr>
          <w:rFonts w:ascii="David" w:hAnsi="David" w:cs="David"/>
          <w:sz w:val="18"/>
          <w:szCs w:val="18"/>
          <w:rtl/>
        </w:rPr>
        <w:t>(ע"ז ב')</w:t>
      </w:r>
      <w:r w:rsidR="00BA1788">
        <w:rPr>
          <w:rFonts w:ascii="David" w:hAnsi="David" w:cs="David" w:hint="cs"/>
          <w:sz w:val="18"/>
          <w:szCs w:val="18"/>
          <w:rtl/>
        </w:rPr>
        <w:t>:</w:t>
      </w:r>
      <w:r w:rsidR="00BA1788" w:rsidRPr="00BA1788">
        <w:rPr>
          <w:rFonts w:ascii="David" w:hAnsi="David" w:cs="David"/>
          <w:sz w:val="24"/>
          <w:szCs w:val="24"/>
          <w:rtl/>
        </w:rPr>
        <w:t xml:space="preserve"> </w:t>
      </w:r>
      <w:r w:rsidR="00BA1788">
        <w:rPr>
          <w:rFonts w:ascii="David" w:hAnsi="David" w:cs="David" w:hint="cs"/>
          <w:sz w:val="24"/>
          <w:szCs w:val="24"/>
          <w:rtl/>
        </w:rPr>
        <w:t>'</w:t>
      </w:r>
      <w:r w:rsidR="00BA1788" w:rsidRPr="00BA1788">
        <w:rPr>
          <w:rFonts w:ascii="David" w:hAnsi="David" w:cs="David"/>
          <w:sz w:val="24"/>
          <w:szCs w:val="24"/>
          <w:rtl/>
        </w:rPr>
        <w:t>אין חללה אלא מאיסור כהונה</w:t>
      </w:r>
      <w:r w:rsidR="00DC0678">
        <w:rPr>
          <w:rFonts w:ascii="David" w:hAnsi="David" w:cs="David" w:hint="cs"/>
          <w:sz w:val="24"/>
          <w:szCs w:val="24"/>
          <w:rtl/>
        </w:rPr>
        <w:t>,</w:t>
      </w:r>
      <w:r w:rsidR="00BA1788" w:rsidRPr="00BA1788">
        <w:rPr>
          <w:rFonts w:ascii="David" w:hAnsi="David" w:cs="David"/>
          <w:sz w:val="24"/>
          <w:szCs w:val="24"/>
          <w:rtl/>
        </w:rPr>
        <w:t xml:space="preserve"> דכהן הבא על אחותו זונה משוי לה חללה לא משוי לה, ואפשר דאליבא דראב"י קאמרינן</w:t>
      </w:r>
      <w:r w:rsidR="00BA1788">
        <w:rPr>
          <w:rFonts w:ascii="David" w:hAnsi="David" w:cs="David" w:hint="cs"/>
          <w:sz w:val="24"/>
          <w:szCs w:val="24"/>
          <w:rtl/>
        </w:rPr>
        <w:t xml:space="preserve">.. </w:t>
      </w:r>
      <w:r w:rsidR="00BA1788" w:rsidRPr="00BA1788">
        <w:rPr>
          <w:rFonts w:ascii="David" w:hAnsi="David" w:cs="David"/>
          <w:sz w:val="24"/>
          <w:szCs w:val="24"/>
          <w:rtl/>
        </w:rPr>
        <w:t>אלא בזה יש לדקדק לרבנן היכי הוה חלל מנדה, מה לאלמנה שכן היא עצמה מתחללת</w:t>
      </w:r>
      <w:r w:rsidR="001B1D5D">
        <w:rPr>
          <w:rFonts w:ascii="David" w:hAnsi="David" w:cs="David" w:hint="cs"/>
          <w:sz w:val="24"/>
          <w:szCs w:val="24"/>
          <w:rtl/>
        </w:rPr>
        <w:t>,</w:t>
      </w:r>
      <w:r w:rsidR="00BA1788" w:rsidRPr="00BA1788">
        <w:rPr>
          <w:rFonts w:ascii="David" w:hAnsi="David" w:cs="David"/>
          <w:sz w:val="24"/>
          <w:szCs w:val="24"/>
          <w:rtl/>
        </w:rPr>
        <w:t xml:space="preserve"> תאמר בנדה שאינה מתחללת</w:t>
      </w:r>
      <w:r w:rsidR="001B1D5D">
        <w:rPr>
          <w:rFonts w:ascii="David" w:hAnsi="David" w:cs="David" w:hint="cs"/>
          <w:sz w:val="24"/>
          <w:szCs w:val="24"/>
          <w:rtl/>
        </w:rPr>
        <w:t>?</w:t>
      </w:r>
      <w:r w:rsidR="00BA1788" w:rsidRPr="00BA1788">
        <w:rPr>
          <w:rFonts w:ascii="David" w:hAnsi="David" w:cs="David"/>
          <w:sz w:val="24"/>
          <w:szCs w:val="24"/>
          <w:rtl/>
        </w:rPr>
        <w:t xml:space="preserve"> אלא </w:t>
      </w:r>
      <w:r w:rsidR="00BA1788" w:rsidRPr="00BA1788">
        <w:rPr>
          <w:rFonts w:ascii="David" w:hAnsi="David" w:cs="David"/>
          <w:b/>
          <w:bCs/>
          <w:sz w:val="24"/>
          <w:szCs w:val="24"/>
          <w:rtl/>
        </w:rPr>
        <w:t>כשרה היא לגמרי</w:t>
      </w:r>
      <w:r w:rsidR="00BA1788">
        <w:rPr>
          <w:rFonts w:ascii="David" w:hAnsi="David" w:cs="David" w:hint="cs"/>
          <w:b/>
          <w:bCs/>
          <w:sz w:val="24"/>
          <w:szCs w:val="24"/>
          <w:rtl/>
        </w:rPr>
        <w:t>,</w:t>
      </w:r>
      <w:r w:rsidR="00BA1788" w:rsidRPr="00BA1788">
        <w:rPr>
          <w:rFonts w:ascii="David" w:hAnsi="David" w:cs="David"/>
          <w:sz w:val="24"/>
          <w:szCs w:val="24"/>
          <w:rtl/>
        </w:rPr>
        <w:t xml:space="preserve"> שהרי קידושין תופסין בה</w:t>
      </w:r>
      <w:r w:rsidR="00BA1788">
        <w:rPr>
          <w:rFonts w:ascii="David" w:hAnsi="David" w:cs="David" w:hint="cs"/>
          <w:sz w:val="24"/>
          <w:szCs w:val="24"/>
          <w:rtl/>
        </w:rPr>
        <w:t>..</w:t>
      </w:r>
      <w:r w:rsidR="00BA1788" w:rsidRPr="00BA1788">
        <w:rPr>
          <w:rFonts w:ascii="David" w:hAnsi="David" w:cs="David"/>
          <w:sz w:val="24"/>
          <w:szCs w:val="24"/>
          <w:rtl/>
        </w:rPr>
        <w:t xml:space="preserve"> והא דאוקימנא להך ברייתא כראב"י משום דנפקא ליה מ</w:t>
      </w:r>
      <w:r w:rsidR="001B1D5D">
        <w:rPr>
          <w:rFonts w:ascii="David" w:hAnsi="David" w:cs="David" w:hint="cs"/>
          <w:sz w:val="24"/>
          <w:szCs w:val="24"/>
          <w:rtl/>
        </w:rPr>
        <w:t>'</w:t>
      </w:r>
      <w:r w:rsidR="00BA1788" w:rsidRPr="00BA1788">
        <w:rPr>
          <w:rFonts w:ascii="David" w:hAnsi="David" w:cs="David"/>
          <w:sz w:val="24"/>
          <w:szCs w:val="24"/>
          <w:rtl/>
        </w:rPr>
        <w:t>אלה</w:t>
      </w:r>
      <w:r w:rsidR="001B1D5D">
        <w:rPr>
          <w:rFonts w:ascii="David" w:hAnsi="David" w:cs="David" w:hint="cs"/>
          <w:sz w:val="24"/>
          <w:szCs w:val="24"/>
          <w:rtl/>
        </w:rPr>
        <w:t>'</w:t>
      </w:r>
      <w:r>
        <w:rPr>
          <w:rStyle w:val="a5"/>
          <w:rFonts w:ascii="David" w:hAnsi="David" w:cs="David"/>
          <w:sz w:val="24"/>
          <w:szCs w:val="24"/>
          <w:rtl/>
        </w:rPr>
        <w:footnoteReference w:id="16"/>
      </w:r>
      <w:r w:rsidR="00BA1788">
        <w:rPr>
          <w:rFonts w:ascii="David" w:hAnsi="David" w:cs="David" w:hint="cs"/>
          <w:sz w:val="24"/>
          <w:szCs w:val="24"/>
          <w:rtl/>
        </w:rPr>
        <w:t xml:space="preserve">". </w:t>
      </w:r>
      <w:r w:rsidR="00F77157">
        <w:rPr>
          <w:rFonts w:asciiTheme="majorBidi" w:hAnsiTheme="majorBidi" w:cstheme="majorBidi" w:hint="cs"/>
          <w:sz w:val="24"/>
          <w:szCs w:val="24"/>
          <w:rtl/>
        </w:rPr>
        <w:t xml:space="preserve">הרמב"ם פסק: </w:t>
      </w:r>
      <w:r w:rsidR="00F77157" w:rsidRPr="00F77157">
        <w:rPr>
          <w:rFonts w:ascii="David" w:hAnsi="David" w:cs="David"/>
          <w:sz w:val="24"/>
          <w:szCs w:val="24"/>
          <w:rtl/>
        </w:rPr>
        <w:t>"נדה שהבן ממנה פגום ואינו ממזר</w:t>
      </w:r>
      <w:r w:rsidR="00F77157">
        <w:rPr>
          <w:rStyle w:val="a5"/>
          <w:rFonts w:ascii="David" w:hAnsi="David" w:cs="David"/>
          <w:sz w:val="24"/>
          <w:szCs w:val="24"/>
          <w:rtl/>
        </w:rPr>
        <w:footnoteReference w:id="17"/>
      </w:r>
      <w:r w:rsidR="00F77157" w:rsidRPr="00F77157">
        <w:rPr>
          <w:rFonts w:ascii="David" w:hAnsi="David" w:cs="David"/>
          <w:sz w:val="24"/>
          <w:szCs w:val="24"/>
          <w:rtl/>
        </w:rPr>
        <w:t>".</w:t>
      </w:r>
      <w:r w:rsidR="00BA1788">
        <w:rPr>
          <w:rFonts w:asciiTheme="majorBidi" w:hAnsiTheme="majorBidi" w:cstheme="majorBidi" w:hint="cs"/>
          <w:sz w:val="24"/>
          <w:szCs w:val="24"/>
          <w:rtl/>
        </w:rPr>
        <w:t xml:space="preserve"> </w:t>
      </w:r>
      <w:r w:rsidR="00877248">
        <w:rPr>
          <w:rFonts w:asciiTheme="majorBidi" w:hAnsiTheme="majorBidi" w:cstheme="majorBidi" w:hint="cs"/>
          <w:sz w:val="24"/>
          <w:szCs w:val="24"/>
          <w:rtl/>
        </w:rPr>
        <w:t>גם הבת כשרה:</w:t>
      </w:r>
    </w:p>
    <w:p w14:paraId="4F66F070" w14:textId="5A414F8D" w:rsidR="00BA1788" w:rsidRPr="00DC0678" w:rsidRDefault="00877248" w:rsidP="00DC0678">
      <w:pPr>
        <w:spacing w:after="0" w:line="360" w:lineRule="auto"/>
        <w:rPr>
          <w:rFonts w:ascii="David" w:hAnsi="David" w:cs="David"/>
          <w:sz w:val="24"/>
          <w:szCs w:val="24"/>
          <w:rtl/>
        </w:rPr>
      </w:pPr>
      <w:r w:rsidRPr="00492CCC">
        <w:rPr>
          <w:rFonts w:ascii="David" w:hAnsi="David" w:cs="David"/>
          <w:sz w:val="24"/>
          <w:szCs w:val="24"/>
          <w:rtl/>
        </w:rPr>
        <w:t xml:space="preserve">"ז"ל החכם: מאחר שכתב הרמב"ם: .. 'אינו ממזר',  כלומר אינו ממזר להיות פסול לבא בקהל אלא פסול לכהונה ומה שכתב הרמב"ם גופא </w:t>
      </w:r>
      <w:r w:rsidRPr="00492CCC">
        <w:rPr>
          <w:rFonts w:ascii="David" w:hAnsi="David" w:cs="David"/>
          <w:sz w:val="18"/>
          <w:szCs w:val="18"/>
          <w:rtl/>
        </w:rPr>
        <w:t>בפ' י"ט (שם ה"ה)</w:t>
      </w:r>
      <w:r w:rsidRPr="00492CCC">
        <w:rPr>
          <w:rFonts w:ascii="David" w:hAnsi="David" w:cs="David"/>
          <w:sz w:val="24"/>
          <w:szCs w:val="24"/>
          <w:rtl/>
        </w:rPr>
        <w:t xml:space="preserve"> אין הולד חלל מנידה =היינו שאין עליו איסור חללות.. אבל פגום הוה כגון שאם היתה </w:t>
      </w:r>
      <w:r w:rsidRPr="00492CCC">
        <w:rPr>
          <w:rFonts w:ascii="David" w:hAnsi="David" w:cs="David"/>
          <w:b/>
          <w:bCs/>
          <w:sz w:val="24"/>
          <w:szCs w:val="24"/>
          <w:rtl/>
        </w:rPr>
        <w:t>בת פסולה לכהונה</w:t>
      </w:r>
      <w:r w:rsidRPr="00492CCC">
        <w:rPr>
          <w:rFonts w:ascii="David" w:hAnsi="David" w:cs="David"/>
          <w:sz w:val="24"/>
          <w:szCs w:val="24"/>
          <w:rtl/>
        </w:rPr>
        <w:t>.. ע"כ</w:t>
      </w:r>
      <w:r w:rsidR="00492CCC">
        <w:rPr>
          <w:rFonts w:ascii="David" w:hAnsi="David" w:cs="David" w:hint="cs"/>
          <w:sz w:val="24"/>
          <w:szCs w:val="24"/>
          <w:rtl/>
        </w:rPr>
        <w:t>.</w:t>
      </w:r>
      <w:r w:rsidRPr="00492CCC">
        <w:rPr>
          <w:rFonts w:ascii="David" w:hAnsi="David" w:cs="David"/>
          <w:sz w:val="24"/>
          <w:szCs w:val="24"/>
          <w:rtl/>
        </w:rPr>
        <w:t xml:space="preserve"> והשבתי לו</w:t>
      </w:r>
      <w:r w:rsidR="00492CCC">
        <w:rPr>
          <w:rFonts w:ascii="David" w:hAnsi="David" w:cs="David" w:hint="cs"/>
          <w:sz w:val="24"/>
          <w:szCs w:val="24"/>
          <w:rtl/>
        </w:rPr>
        <w:t>,</w:t>
      </w:r>
      <w:r w:rsidRPr="00492CCC">
        <w:rPr>
          <w:rFonts w:ascii="David" w:hAnsi="David" w:cs="David"/>
          <w:sz w:val="24"/>
          <w:szCs w:val="24"/>
          <w:rtl/>
        </w:rPr>
        <w:t xml:space="preserve"> דע"כ לא עלתה על דעת הרמב"ם להיות הולד פגום לכהונה</w:t>
      </w:r>
      <w:r w:rsidR="00492CCC">
        <w:rPr>
          <w:rFonts w:ascii="David" w:hAnsi="David" w:cs="David" w:hint="cs"/>
          <w:sz w:val="24"/>
          <w:szCs w:val="24"/>
          <w:rtl/>
        </w:rPr>
        <w:t>,</w:t>
      </w:r>
      <w:r w:rsidRPr="00492CCC">
        <w:rPr>
          <w:rFonts w:ascii="David" w:hAnsi="David" w:cs="David"/>
          <w:sz w:val="24"/>
          <w:szCs w:val="24"/>
          <w:rtl/>
        </w:rPr>
        <w:t xml:space="preserve"> דא"כ למה ליה למכתב גבי דין ממזר </w:t>
      </w:r>
      <w:r w:rsidR="00E12EB8">
        <w:rPr>
          <w:rFonts w:ascii="David" w:hAnsi="David" w:cs="David" w:hint="cs"/>
          <w:sz w:val="24"/>
          <w:szCs w:val="24"/>
          <w:rtl/>
        </w:rPr>
        <w:t>'</w:t>
      </w:r>
      <w:r w:rsidRPr="00492CCC">
        <w:rPr>
          <w:rFonts w:ascii="David" w:hAnsi="David" w:cs="David"/>
          <w:sz w:val="24"/>
          <w:szCs w:val="24"/>
          <w:rtl/>
        </w:rPr>
        <w:t>הולד פגום</w:t>
      </w:r>
      <w:r w:rsidR="00E12EB8">
        <w:rPr>
          <w:rFonts w:ascii="David" w:hAnsi="David" w:cs="David" w:hint="cs"/>
          <w:sz w:val="24"/>
          <w:szCs w:val="24"/>
          <w:rtl/>
        </w:rPr>
        <w:t>',</w:t>
      </w:r>
      <w:r w:rsidRPr="00492CCC">
        <w:rPr>
          <w:rFonts w:ascii="David" w:hAnsi="David" w:cs="David"/>
          <w:sz w:val="24"/>
          <w:szCs w:val="24"/>
          <w:rtl/>
        </w:rPr>
        <w:t xml:space="preserve"> וגבי דין חללים כתב</w:t>
      </w:r>
      <w:r w:rsidR="00E12EB8">
        <w:rPr>
          <w:rFonts w:ascii="David" w:hAnsi="David" w:cs="David" w:hint="cs"/>
          <w:sz w:val="24"/>
          <w:szCs w:val="24"/>
          <w:rtl/>
        </w:rPr>
        <w:t>:</w:t>
      </w:r>
      <w:r w:rsidRPr="00492CCC">
        <w:rPr>
          <w:rFonts w:ascii="David" w:hAnsi="David" w:cs="David"/>
          <w:sz w:val="24"/>
          <w:szCs w:val="24"/>
          <w:rtl/>
        </w:rPr>
        <w:t xml:space="preserve"> </w:t>
      </w:r>
      <w:r w:rsidR="00E12EB8">
        <w:rPr>
          <w:rFonts w:ascii="David" w:hAnsi="David" w:cs="David" w:hint="cs"/>
          <w:sz w:val="24"/>
          <w:szCs w:val="24"/>
          <w:rtl/>
        </w:rPr>
        <w:t>'</w:t>
      </w:r>
      <w:r w:rsidRPr="00492CCC">
        <w:rPr>
          <w:rFonts w:ascii="David" w:hAnsi="David" w:cs="David"/>
          <w:sz w:val="24"/>
          <w:szCs w:val="24"/>
          <w:rtl/>
        </w:rPr>
        <w:t>הולד כשר ואינו חלל</w:t>
      </w:r>
      <w:r w:rsidR="00E12EB8">
        <w:rPr>
          <w:rFonts w:ascii="David" w:hAnsi="David" w:cs="David" w:hint="cs"/>
          <w:sz w:val="24"/>
          <w:szCs w:val="24"/>
          <w:rtl/>
        </w:rPr>
        <w:t>'</w:t>
      </w:r>
      <w:r w:rsidR="00492CCC">
        <w:rPr>
          <w:rFonts w:ascii="David" w:hAnsi="David" w:cs="David" w:hint="cs"/>
          <w:sz w:val="24"/>
          <w:szCs w:val="24"/>
          <w:rtl/>
        </w:rPr>
        <w:t>?</w:t>
      </w:r>
      <w:r w:rsidRPr="00492CCC">
        <w:rPr>
          <w:rFonts w:ascii="David" w:hAnsi="David" w:cs="David"/>
          <w:sz w:val="24"/>
          <w:szCs w:val="24"/>
          <w:rtl/>
        </w:rPr>
        <w:t xml:space="preserve"> אדרבה</w:t>
      </w:r>
      <w:r w:rsidR="00492CCC">
        <w:rPr>
          <w:rFonts w:ascii="David" w:hAnsi="David" w:cs="David" w:hint="cs"/>
          <w:sz w:val="24"/>
          <w:szCs w:val="24"/>
          <w:rtl/>
        </w:rPr>
        <w:t>,</w:t>
      </w:r>
      <w:r w:rsidRPr="00492CCC">
        <w:rPr>
          <w:rFonts w:ascii="David" w:hAnsi="David" w:cs="David"/>
          <w:sz w:val="24"/>
          <w:szCs w:val="24"/>
          <w:rtl/>
        </w:rPr>
        <w:t xml:space="preserve"> לשם הוה ליה למכתב הולד פגום ואינו חלל</w:t>
      </w:r>
      <w:r w:rsidR="00492CCC">
        <w:rPr>
          <w:rFonts w:ascii="David" w:hAnsi="David" w:cs="David" w:hint="cs"/>
          <w:sz w:val="24"/>
          <w:szCs w:val="24"/>
          <w:rtl/>
        </w:rPr>
        <w:t>,</w:t>
      </w:r>
      <w:r w:rsidRPr="00492CCC">
        <w:rPr>
          <w:rFonts w:ascii="David" w:hAnsi="David" w:cs="David"/>
          <w:sz w:val="24"/>
          <w:szCs w:val="24"/>
          <w:rtl/>
        </w:rPr>
        <w:t xml:space="preserve"> מאחר דקאי באיסורי כהונה ואין שייך בדין ממזר כלל</w:t>
      </w:r>
      <w:r w:rsidR="00492CCC">
        <w:rPr>
          <w:rFonts w:ascii="David" w:hAnsi="David" w:cs="David" w:hint="cs"/>
          <w:sz w:val="24"/>
          <w:szCs w:val="24"/>
          <w:rtl/>
        </w:rPr>
        <w:t>.</w:t>
      </w:r>
      <w:r w:rsidRPr="00492CCC">
        <w:rPr>
          <w:rFonts w:ascii="David" w:hAnsi="David" w:cs="David"/>
          <w:sz w:val="24"/>
          <w:szCs w:val="24"/>
          <w:rtl/>
        </w:rPr>
        <w:t xml:space="preserve"> ועוד</w:t>
      </w:r>
      <w:r w:rsidR="00492CCC">
        <w:rPr>
          <w:rFonts w:ascii="David" w:hAnsi="David" w:cs="David" w:hint="cs"/>
          <w:sz w:val="24"/>
          <w:szCs w:val="24"/>
          <w:rtl/>
        </w:rPr>
        <w:t>,</w:t>
      </w:r>
      <w:r w:rsidRPr="00492CCC">
        <w:rPr>
          <w:rFonts w:ascii="David" w:hAnsi="David" w:cs="David"/>
          <w:sz w:val="24"/>
          <w:szCs w:val="24"/>
          <w:rtl/>
        </w:rPr>
        <w:t xml:space="preserve"> תדע הולד אינו פגום, דהא היא עצמה שעשתה עבירה אחת מחייבי כריתות.. לא נפגמה כלל ולא פסלה </w:t>
      </w:r>
      <w:r w:rsidRPr="00492CCC">
        <w:rPr>
          <w:rFonts w:ascii="David" w:hAnsi="David" w:cs="David"/>
          <w:sz w:val="18"/>
          <w:szCs w:val="18"/>
          <w:rtl/>
        </w:rPr>
        <w:t>כאשר כתב הרשב"א בתשובה</w:t>
      </w:r>
      <w:r w:rsidRPr="00492CCC">
        <w:rPr>
          <w:rFonts w:ascii="David" w:hAnsi="David" w:cs="David"/>
          <w:sz w:val="24"/>
          <w:szCs w:val="24"/>
          <w:rtl/>
        </w:rPr>
        <w:t xml:space="preserve"> כ"ש הולד שאינו נפגם. ואדרבה</w:t>
      </w:r>
      <w:r w:rsidR="00492CCC">
        <w:rPr>
          <w:rFonts w:ascii="David" w:hAnsi="David" w:cs="David" w:hint="cs"/>
          <w:sz w:val="24"/>
          <w:szCs w:val="24"/>
          <w:rtl/>
        </w:rPr>
        <w:t>,</w:t>
      </w:r>
      <w:r w:rsidRPr="00492CCC">
        <w:rPr>
          <w:rFonts w:ascii="David" w:hAnsi="David" w:cs="David"/>
          <w:sz w:val="24"/>
          <w:szCs w:val="24"/>
          <w:rtl/>
        </w:rPr>
        <w:t xml:space="preserve"> מצינו גבי גוי ועבד הבא על בת ישראל שהיא נפגמה לכ"ע, והולד אינו פגום למקצת האמוראי, כ"ש היכא שהיא לא נפגמה שהולד אינו פגום</w:t>
      </w:r>
      <w:r w:rsidR="00492CCC">
        <w:rPr>
          <w:rFonts w:ascii="David" w:hAnsi="David" w:cs="David" w:hint="cs"/>
          <w:sz w:val="24"/>
          <w:szCs w:val="24"/>
          <w:rtl/>
        </w:rPr>
        <w:t>.</w:t>
      </w:r>
      <w:r w:rsidRPr="00492CCC">
        <w:rPr>
          <w:rFonts w:ascii="David" w:hAnsi="David" w:cs="David"/>
          <w:sz w:val="24"/>
          <w:szCs w:val="24"/>
          <w:rtl/>
        </w:rPr>
        <w:t xml:space="preserve"> ועוד מדכתב הרמב"ם</w:t>
      </w:r>
      <w:r w:rsidR="00492CCC">
        <w:rPr>
          <w:rFonts w:ascii="David" w:hAnsi="David" w:cs="David" w:hint="cs"/>
          <w:sz w:val="24"/>
          <w:szCs w:val="24"/>
          <w:rtl/>
        </w:rPr>
        <w:t>:</w:t>
      </w:r>
      <w:r w:rsidRPr="00492CCC">
        <w:rPr>
          <w:rFonts w:ascii="David" w:hAnsi="David" w:cs="David"/>
          <w:sz w:val="24"/>
          <w:szCs w:val="24"/>
          <w:rtl/>
        </w:rPr>
        <w:t xml:space="preserve"> </w:t>
      </w:r>
      <w:r w:rsidR="00492CCC">
        <w:rPr>
          <w:rFonts w:ascii="David" w:hAnsi="David" w:cs="David" w:hint="cs"/>
          <w:sz w:val="24"/>
          <w:szCs w:val="24"/>
          <w:rtl/>
        </w:rPr>
        <w:t>'</w:t>
      </w:r>
      <w:r w:rsidRPr="00492CCC">
        <w:rPr>
          <w:rFonts w:ascii="David" w:hAnsi="David" w:cs="David"/>
          <w:sz w:val="24"/>
          <w:szCs w:val="24"/>
          <w:rtl/>
        </w:rPr>
        <w:t>הולד כשר ואינו חלל</w:t>
      </w:r>
      <w:r w:rsidR="00492CCC">
        <w:rPr>
          <w:rFonts w:ascii="David" w:hAnsi="David" w:cs="David" w:hint="cs"/>
          <w:sz w:val="24"/>
          <w:szCs w:val="24"/>
          <w:rtl/>
        </w:rPr>
        <w:t>'</w:t>
      </w:r>
      <w:r w:rsidRPr="00492CCC">
        <w:rPr>
          <w:rFonts w:ascii="David" w:hAnsi="David" w:cs="David"/>
          <w:sz w:val="24"/>
          <w:szCs w:val="24"/>
          <w:rtl/>
        </w:rPr>
        <w:t xml:space="preserve"> ולא די לו במה שכתב אינו חלל</w:t>
      </w:r>
      <w:r w:rsidR="00492CCC">
        <w:rPr>
          <w:rFonts w:ascii="David" w:hAnsi="David" w:cs="David" w:hint="cs"/>
          <w:sz w:val="24"/>
          <w:szCs w:val="24"/>
          <w:rtl/>
        </w:rPr>
        <w:t>,</w:t>
      </w:r>
      <w:r w:rsidRPr="00492CCC">
        <w:rPr>
          <w:rFonts w:ascii="David" w:hAnsi="David" w:cs="David"/>
          <w:sz w:val="24"/>
          <w:szCs w:val="24"/>
          <w:rtl/>
        </w:rPr>
        <w:t xml:space="preserve"> משמע </w:t>
      </w:r>
      <w:r w:rsidRPr="00DC0678">
        <w:rPr>
          <w:rFonts w:ascii="David" w:hAnsi="David" w:cs="David"/>
          <w:sz w:val="24"/>
          <w:szCs w:val="24"/>
          <w:rtl/>
        </w:rPr>
        <w:t>ד</w:t>
      </w:r>
      <w:r w:rsidRPr="00DC0678">
        <w:rPr>
          <w:rFonts w:ascii="David" w:hAnsi="David" w:cs="David"/>
          <w:b/>
          <w:bCs/>
          <w:sz w:val="24"/>
          <w:szCs w:val="24"/>
          <w:rtl/>
        </w:rPr>
        <w:t>כשר ממש אפילו לכהונה</w:t>
      </w:r>
      <w:r w:rsidR="00492CCC">
        <w:rPr>
          <w:rFonts w:ascii="David" w:hAnsi="David" w:cs="David" w:hint="cs"/>
          <w:sz w:val="24"/>
          <w:szCs w:val="24"/>
          <w:rtl/>
        </w:rPr>
        <w:t>.</w:t>
      </w:r>
      <w:r w:rsidRPr="00492CCC">
        <w:rPr>
          <w:rFonts w:ascii="David" w:hAnsi="David" w:cs="David"/>
          <w:sz w:val="24"/>
          <w:szCs w:val="24"/>
          <w:rtl/>
        </w:rPr>
        <w:t xml:space="preserve"> אלא בוודאי הוולד פגום ומקולקל קאמר </w:t>
      </w:r>
      <w:r w:rsidRPr="00492CCC">
        <w:rPr>
          <w:rFonts w:ascii="David" w:hAnsi="David" w:cs="David"/>
          <w:b/>
          <w:bCs/>
          <w:sz w:val="24"/>
          <w:szCs w:val="24"/>
          <w:rtl/>
        </w:rPr>
        <w:t>והוא מעזי פנים</w:t>
      </w:r>
      <w:r w:rsidRPr="00492CCC">
        <w:rPr>
          <w:rFonts w:ascii="David" w:hAnsi="David" w:cs="David"/>
          <w:sz w:val="24"/>
          <w:szCs w:val="24"/>
          <w:rtl/>
        </w:rPr>
        <w:t xml:space="preserve"> דהיינו המורדים ופושעים </w:t>
      </w:r>
      <w:r w:rsidRPr="00492CCC">
        <w:rPr>
          <w:rFonts w:ascii="David" w:hAnsi="David" w:cs="David"/>
          <w:sz w:val="18"/>
          <w:szCs w:val="18"/>
          <w:rtl/>
        </w:rPr>
        <w:t>כדאיתא בנדרים (כ':)</w:t>
      </w:r>
      <w:r w:rsidRPr="00492CCC">
        <w:rPr>
          <w:rFonts w:ascii="David" w:hAnsi="David" w:cs="David"/>
          <w:sz w:val="24"/>
          <w:szCs w:val="24"/>
          <w:rtl/>
        </w:rPr>
        <w:t xml:space="preserve"> וכדמוכח מההיא עובדא דרבי עקיבא במסכת כלה.. והודה החכם </w:t>
      </w:r>
      <w:r w:rsidRPr="00492CCC">
        <w:rPr>
          <w:rFonts w:ascii="David" w:hAnsi="David" w:cs="David"/>
          <w:sz w:val="24"/>
          <w:szCs w:val="24"/>
          <w:rtl/>
        </w:rPr>
        <w:lastRenderedPageBreak/>
        <w:t>לדברי</w:t>
      </w:r>
      <w:r w:rsidR="00492CCC">
        <w:rPr>
          <w:rStyle w:val="a5"/>
          <w:rFonts w:ascii="David" w:hAnsi="David" w:cs="David"/>
          <w:sz w:val="24"/>
          <w:szCs w:val="24"/>
          <w:rtl/>
        </w:rPr>
        <w:footnoteReference w:id="18"/>
      </w:r>
      <w:r w:rsidRPr="00492CCC">
        <w:rPr>
          <w:rFonts w:ascii="David" w:hAnsi="David" w:cs="David"/>
          <w:sz w:val="24"/>
          <w:szCs w:val="24"/>
          <w:rtl/>
        </w:rPr>
        <w:t>".</w:t>
      </w:r>
      <w:r w:rsidR="00DC0678">
        <w:rPr>
          <w:rFonts w:ascii="David" w:hAnsi="David" w:cs="David" w:hint="cs"/>
          <w:sz w:val="24"/>
          <w:szCs w:val="24"/>
          <w:rtl/>
        </w:rPr>
        <w:t xml:space="preserve">   </w:t>
      </w:r>
      <w:r w:rsidR="004B092C" w:rsidRPr="004B092C">
        <w:rPr>
          <w:rFonts w:ascii="David" w:hAnsi="David" w:cs="David"/>
          <w:sz w:val="24"/>
          <w:szCs w:val="24"/>
          <w:rtl/>
        </w:rPr>
        <w:t>"רצה לומר שפגום ואינו משפחה מיוחסת וראוי להרחיק אבל לא מכח איסורא</w:t>
      </w:r>
      <w:r w:rsidR="004B092C" w:rsidRPr="004B092C">
        <w:rPr>
          <w:rStyle w:val="a5"/>
          <w:rFonts w:ascii="David" w:hAnsi="David" w:cs="David"/>
          <w:sz w:val="24"/>
          <w:szCs w:val="24"/>
          <w:rtl/>
        </w:rPr>
        <w:footnoteReference w:id="19"/>
      </w:r>
      <w:r w:rsidR="004B092C" w:rsidRPr="004B092C">
        <w:rPr>
          <w:rFonts w:ascii="David" w:hAnsi="David" w:cs="David"/>
          <w:sz w:val="24"/>
          <w:szCs w:val="24"/>
          <w:rtl/>
        </w:rPr>
        <w:t>".</w:t>
      </w:r>
      <w:r w:rsidR="004B092C" w:rsidRPr="004B092C">
        <w:rPr>
          <w:rFonts w:asciiTheme="majorBidi" w:hAnsiTheme="majorBidi" w:cs="Times New Roman"/>
          <w:sz w:val="24"/>
          <w:szCs w:val="24"/>
          <w:rtl/>
        </w:rPr>
        <w:t xml:space="preserve"> </w:t>
      </w:r>
      <w:r w:rsidR="004B092C">
        <w:rPr>
          <w:rFonts w:asciiTheme="majorBidi" w:hAnsiTheme="majorBidi" w:cstheme="majorBidi" w:hint="cs"/>
          <w:sz w:val="24"/>
          <w:szCs w:val="24"/>
          <w:rtl/>
        </w:rPr>
        <w:t xml:space="preserve">כך מבינים אחרונים רבים, </w:t>
      </w:r>
      <w:r w:rsidR="00BA1788">
        <w:rPr>
          <w:rFonts w:asciiTheme="majorBidi" w:hAnsiTheme="majorBidi" w:cstheme="majorBidi" w:hint="cs"/>
          <w:sz w:val="24"/>
          <w:szCs w:val="24"/>
          <w:rtl/>
        </w:rPr>
        <w:t>למעט הלבוש</w:t>
      </w:r>
      <w:r w:rsidR="00BA1788">
        <w:rPr>
          <w:rStyle w:val="a5"/>
          <w:rFonts w:asciiTheme="majorBidi" w:hAnsiTheme="majorBidi" w:cstheme="majorBidi"/>
          <w:sz w:val="24"/>
          <w:szCs w:val="24"/>
          <w:rtl/>
        </w:rPr>
        <w:footnoteReference w:id="20"/>
      </w:r>
      <w:r w:rsidR="00BA1788">
        <w:rPr>
          <w:rFonts w:asciiTheme="majorBidi" w:hAnsiTheme="majorBidi" w:cstheme="majorBidi" w:hint="cs"/>
          <w:sz w:val="24"/>
          <w:szCs w:val="24"/>
          <w:rtl/>
        </w:rPr>
        <w:t>, שלדעתו הולד פגום לכהונה מדרבנן.</w:t>
      </w:r>
    </w:p>
    <w:p w14:paraId="48239DC6" w14:textId="4A688BB5" w:rsidR="00B07C9A" w:rsidRPr="00E12EB8" w:rsidRDefault="00E12EB8" w:rsidP="00E12EB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למעשה </w:t>
      </w:r>
      <w:r w:rsidR="00B07C9A">
        <w:rPr>
          <w:rFonts w:asciiTheme="majorBidi" w:hAnsiTheme="majorBidi" w:cstheme="majorBidi" w:hint="cs"/>
          <w:sz w:val="24"/>
          <w:szCs w:val="24"/>
          <w:rtl/>
        </w:rPr>
        <w:t>כתב הרב פיינשטיין:</w:t>
      </w:r>
      <w:r w:rsidR="004A79D4">
        <w:rPr>
          <w:rFonts w:asciiTheme="majorBidi" w:hAnsiTheme="majorBidi" w:cstheme="majorBidi" w:hint="cs"/>
          <w:sz w:val="24"/>
          <w:szCs w:val="24"/>
          <w:rtl/>
        </w:rPr>
        <w:t>"</w:t>
      </w:r>
      <w:r w:rsidR="00B07C9A" w:rsidRPr="00B07C9A">
        <w:rPr>
          <w:rFonts w:ascii="David" w:hAnsi="David" w:cs="David"/>
          <w:sz w:val="24"/>
          <w:szCs w:val="24"/>
          <w:rtl/>
        </w:rPr>
        <w:t>אם יש מעלה למנוע מלישא בן או בת שנולדו מן הנדה והם יראי שמים ובעלי מידות טובות</w:t>
      </w:r>
      <w:r w:rsidR="004A79D4">
        <w:rPr>
          <w:rFonts w:ascii="David" w:hAnsi="David" w:cs="David" w:hint="cs"/>
          <w:sz w:val="24"/>
          <w:szCs w:val="24"/>
          <w:rtl/>
        </w:rPr>
        <w:t>...</w:t>
      </w:r>
      <w:r>
        <w:rPr>
          <w:rFonts w:ascii="David" w:hAnsi="David" w:cs="David" w:hint="cs"/>
          <w:sz w:val="24"/>
          <w:szCs w:val="24"/>
          <w:rtl/>
        </w:rPr>
        <w:t xml:space="preserve">      </w:t>
      </w:r>
      <w:r w:rsidR="00B07C9A" w:rsidRPr="00B07C9A">
        <w:rPr>
          <w:rFonts w:ascii="David" w:hAnsi="David" w:cs="David"/>
          <w:sz w:val="24"/>
          <w:szCs w:val="24"/>
          <w:rtl/>
        </w:rPr>
        <w:t>מאחר שליכא איסורא כלל אלא עצה טובה להתרחקות, שהוא מחמת זה שהבנים שנולדו מהנדה הם בעלי מדות רעות, כמו עזי פנים</w:t>
      </w:r>
      <w:r w:rsidR="00B07C9A">
        <w:rPr>
          <w:rFonts w:ascii="David" w:hAnsi="David" w:cs="David" w:hint="cs"/>
          <w:sz w:val="24"/>
          <w:szCs w:val="24"/>
          <w:rtl/>
        </w:rPr>
        <w:t xml:space="preserve">.. </w:t>
      </w:r>
      <w:r w:rsidR="00B07C9A" w:rsidRPr="00B07C9A">
        <w:rPr>
          <w:rFonts w:ascii="David" w:hAnsi="David" w:cs="David"/>
          <w:sz w:val="24"/>
          <w:szCs w:val="24"/>
          <w:rtl/>
        </w:rPr>
        <w:t xml:space="preserve">א"כ יש לנו סימן שאלו בנים ובנות שהם </w:t>
      </w:r>
      <w:r w:rsidR="00B07C9A" w:rsidRPr="00B07C9A">
        <w:rPr>
          <w:rFonts w:ascii="David" w:hAnsi="David" w:cs="David"/>
          <w:b/>
          <w:bCs/>
          <w:sz w:val="24"/>
          <w:szCs w:val="24"/>
          <w:rtl/>
        </w:rPr>
        <w:t>בעלי מדות טובות ואין להם עזות הרי אינם בני ובנות נדה</w:t>
      </w:r>
      <w:r w:rsidR="00B07C9A">
        <w:rPr>
          <w:rFonts w:ascii="David" w:hAnsi="David" w:cs="David" w:hint="cs"/>
          <w:sz w:val="24"/>
          <w:szCs w:val="24"/>
          <w:rtl/>
        </w:rPr>
        <w:t xml:space="preserve">.. </w:t>
      </w:r>
      <w:r w:rsidR="00B07C9A" w:rsidRPr="00B07C9A">
        <w:rPr>
          <w:rFonts w:ascii="David" w:hAnsi="David" w:cs="David"/>
          <w:sz w:val="24"/>
          <w:szCs w:val="24"/>
          <w:rtl/>
        </w:rPr>
        <w:t xml:space="preserve">כיוון שליכא שום איסור אלא מעלה בעלמא, יש לסמוך על הסימנים אלו ולומר שאינו בן ובת נדה. ואף שידוע שלא הלכה למקוה לטבול, הא אפשר שכשהלכה לרחוץ בים או בבריכות הגדולות העשויות בבתי מלון ובפונדקאות הגדולות - שלרובן אין בהן פסול דאורייתא - והיתה טבילתן כשרה מן התורה, ששוב אינה בחשיבות נדה לעניין בניה. וטבילת נדה לבעלה חולין היא, ונטהרה בלא כוונה, </w:t>
      </w:r>
      <w:r w:rsidR="00B07C9A" w:rsidRPr="004A79D4">
        <w:rPr>
          <w:rFonts w:ascii="David" w:hAnsi="David" w:cs="David"/>
          <w:sz w:val="18"/>
          <w:szCs w:val="18"/>
          <w:rtl/>
        </w:rPr>
        <w:t>כמפורש בחולין דף ל"א ע"א</w:t>
      </w:r>
      <w:r w:rsidR="003959F5">
        <w:rPr>
          <w:rStyle w:val="a5"/>
          <w:rFonts w:ascii="David" w:hAnsi="David" w:cs="David"/>
          <w:sz w:val="18"/>
          <w:szCs w:val="18"/>
          <w:rtl/>
        </w:rPr>
        <w:footnoteReference w:id="21"/>
      </w:r>
      <w:r w:rsidR="00B07C9A" w:rsidRPr="00B07C9A">
        <w:rPr>
          <w:rFonts w:ascii="David" w:hAnsi="David" w:cs="David"/>
          <w:sz w:val="24"/>
          <w:szCs w:val="24"/>
          <w:rtl/>
        </w:rPr>
        <w:t xml:space="preserve">, נדה שנאנסה וטבלה, אמר רב יהודה אמר רב טהורה לביתה. ואף שהיתה לבושה בהבגד שלובשות הנשים בעת שרוחצות בים ובבריכות, מ"מ נכנסות שם המים, ועולה לה הטבילה. והיה ידוע לשמים שהוא בזמן שראויה לטבול מנדתה, ואז כשעדיין היתה טהורה נתעברה מבעלה. ונמצא שאלו שהם יראים ושלמים, אף שהם בני ובנות נשי שלא שמרו הלכות נדה, וגם הם בעלי מדות טובות מתנהגים בדרך ארץ כראוי, </w:t>
      </w:r>
      <w:r w:rsidR="00B07C9A" w:rsidRPr="004A79D4">
        <w:rPr>
          <w:rFonts w:ascii="David" w:hAnsi="David" w:cs="David"/>
          <w:b/>
          <w:bCs/>
          <w:sz w:val="24"/>
          <w:szCs w:val="24"/>
          <w:rtl/>
        </w:rPr>
        <w:t>אין לעכב מלהתחתן עמהם</w:t>
      </w:r>
      <w:r w:rsidR="00B07C9A" w:rsidRPr="00B07C9A">
        <w:rPr>
          <w:rFonts w:ascii="David" w:hAnsi="David" w:cs="David"/>
          <w:sz w:val="24"/>
          <w:szCs w:val="24"/>
          <w:rtl/>
        </w:rPr>
        <w:t xml:space="preserve"> אף מצד המעלה</w:t>
      </w:r>
      <w:r w:rsidR="004A79D4">
        <w:rPr>
          <w:rStyle w:val="a5"/>
          <w:rFonts w:ascii="David" w:hAnsi="David" w:cs="David"/>
          <w:sz w:val="24"/>
          <w:szCs w:val="24"/>
          <w:rtl/>
        </w:rPr>
        <w:footnoteReference w:id="22"/>
      </w:r>
      <w:r w:rsidR="004A79D4">
        <w:rPr>
          <w:rFonts w:ascii="David" w:hAnsi="David" w:cs="David" w:hint="cs"/>
          <w:sz w:val="24"/>
          <w:szCs w:val="24"/>
          <w:rtl/>
        </w:rPr>
        <w:t>".</w:t>
      </w:r>
    </w:p>
    <w:p w14:paraId="47AAED33" w14:textId="363DAA6B" w:rsidR="001C1828" w:rsidRDefault="003959F5" w:rsidP="004A79D4">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1B1D5D">
        <w:rPr>
          <w:rFonts w:asciiTheme="majorBidi" w:hAnsiTheme="majorBidi" w:cstheme="majorBidi" w:hint="cs"/>
          <w:b/>
          <w:bCs/>
          <w:sz w:val="24"/>
          <w:szCs w:val="24"/>
          <w:rtl/>
        </w:rPr>
        <w:t>נדה</w:t>
      </w:r>
      <w:r w:rsidR="001C1828" w:rsidRPr="001C1828">
        <w:rPr>
          <w:rFonts w:asciiTheme="majorBidi" w:hAnsiTheme="majorBidi" w:cstheme="majorBidi" w:hint="cs"/>
          <w:b/>
          <w:bCs/>
          <w:sz w:val="24"/>
          <w:szCs w:val="24"/>
          <w:rtl/>
        </w:rPr>
        <w:t xml:space="preserve"> כמקרה מבחן ליחס בין חליצה ליבום</w:t>
      </w:r>
      <w:r w:rsidR="001C1828" w:rsidRPr="001C1828">
        <w:rPr>
          <w:rStyle w:val="a5"/>
          <w:rFonts w:asciiTheme="majorBidi" w:hAnsiTheme="majorBidi" w:cstheme="majorBidi"/>
          <w:b/>
          <w:bCs/>
          <w:sz w:val="24"/>
          <w:szCs w:val="24"/>
          <w:rtl/>
        </w:rPr>
        <w:footnoteReference w:id="23"/>
      </w:r>
    </w:p>
    <w:p w14:paraId="772E85E6" w14:textId="7192BFA5" w:rsidR="00F46A8B" w:rsidRDefault="00F904B5" w:rsidP="00F46A8B">
      <w:pPr>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sidR="00A44340" w:rsidRPr="00F904B5">
        <w:rPr>
          <w:rFonts w:asciiTheme="majorBidi" w:hAnsiTheme="majorBidi" w:cstheme="majorBidi"/>
          <w:sz w:val="24"/>
          <w:szCs w:val="24"/>
          <w:rtl/>
        </w:rPr>
        <w:t>שנינו:</w:t>
      </w:r>
      <w:r w:rsidR="00A44340" w:rsidRPr="00F904B5">
        <w:rPr>
          <w:rFonts w:ascii="David" w:hAnsi="David" w:cs="David" w:hint="cs"/>
          <w:sz w:val="24"/>
          <w:szCs w:val="24"/>
          <w:rtl/>
        </w:rPr>
        <w:t xml:space="preserve"> "</w:t>
      </w:r>
      <w:r w:rsidR="00A44340" w:rsidRPr="00F904B5">
        <w:rPr>
          <w:rFonts w:ascii="David" w:hAnsi="David" w:cs="David"/>
          <w:sz w:val="24"/>
          <w:szCs w:val="24"/>
          <w:rtl/>
        </w:rPr>
        <w:t>כלל אמרו ביבמה כל שהיא איסור ערוה</w:t>
      </w:r>
      <w:r w:rsidR="000A2282">
        <w:rPr>
          <w:rFonts w:ascii="David" w:hAnsi="David" w:cs="David" w:hint="cs"/>
          <w:sz w:val="24"/>
          <w:szCs w:val="24"/>
          <w:rtl/>
        </w:rPr>
        <w:t>-</w:t>
      </w:r>
      <w:r w:rsidR="00A44340" w:rsidRPr="00F904B5">
        <w:rPr>
          <w:rFonts w:ascii="David" w:hAnsi="David" w:cs="David"/>
          <w:sz w:val="24"/>
          <w:szCs w:val="24"/>
          <w:rtl/>
        </w:rPr>
        <w:t xml:space="preserve"> לא חולצת ולא מתיבמת</w:t>
      </w:r>
      <w:r w:rsidR="000A2282">
        <w:rPr>
          <w:rFonts w:ascii="David" w:hAnsi="David" w:cs="David" w:hint="cs"/>
          <w:sz w:val="24"/>
          <w:szCs w:val="24"/>
          <w:rtl/>
        </w:rPr>
        <w:t>.</w:t>
      </w:r>
      <w:r w:rsidR="00A44340" w:rsidRPr="00F904B5">
        <w:rPr>
          <w:rFonts w:ascii="David" w:hAnsi="David" w:cs="David"/>
          <w:sz w:val="24"/>
          <w:szCs w:val="24"/>
          <w:rtl/>
        </w:rPr>
        <w:t xml:space="preserve"> איסורה איסור מצוה ואיסור קדושה</w:t>
      </w:r>
      <w:r w:rsidR="000A2282">
        <w:rPr>
          <w:rFonts w:ascii="David" w:hAnsi="David" w:cs="David" w:hint="cs"/>
          <w:sz w:val="24"/>
          <w:szCs w:val="24"/>
          <w:rtl/>
        </w:rPr>
        <w:t>-</w:t>
      </w:r>
      <w:r w:rsidR="00A44340" w:rsidRPr="00F904B5">
        <w:rPr>
          <w:rFonts w:ascii="David" w:hAnsi="David" w:cs="David"/>
          <w:sz w:val="24"/>
          <w:szCs w:val="24"/>
          <w:rtl/>
        </w:rPr>
        <w:t xml:space="preserve"> חולצת ולא מתיבמת</w:t>
      </w:r>
      <w:r w:rsidR="00A44340">
        <w:rPr>
          <w:rStyle w:val="a5"/>
          <w:rFonts w:asciiTheme="majorBidi" w:hAnsiTheme="majorBidi" w:cs="Times New Roman"/>
          <w:sz w:val="24"/>
          <w:szCs w:val="24"/>
          <w:rtl/>
        </w:rPr>
        <w:footnoteReference w:id="24"/>
      </w:r>
      <w:r w:rsidR="00A44340" w:rsidRPr="00F904B5">
        <w:rPr>
          <w:rFonts w:asciiTheme="majorBidi" w:hAnsiTheme="majorBidi" w:cs="Times New Roman" w:hint="cs"/>
          <w:sz w:val="24"/>
          <w:szCs w:val="24"/>
          <w:rtl/>
        </w:rPr>
        <w:t>".</w:t>
      </w:r>
      <w:r w:rsidR="001C1828" w:rsidRPr="00F904B5">
        <w:rPr>
          <w:rFonts w:asciiTheme="majorBidi" w:hAnsiTheme="majorBidi" w:cs="Times New Roman" w:hint="cs"/>
          <w:sz w:val="24"/>
          <w:szCs w:val="24"/>
          <w:rtl/>
        </w:rPr>
        <w:t xml:space="preserve"> </w:t>
      </w:r>
      <w:r w:rsidR="001C1828" w:rsidRPr="00F904B5">
        <w:rPr>
          <w:rFonts w:ascii="David" w:hAnsi="David" w:cs="David"/>
          <w:sz w:val="24"/>
          <w:szCs w:val="24"/>
          <w:rtl/>
        </w:rPr>
        <w:t>"אמר רב גידל אמר רב</w:t>
      </w:r>
      <w:r w:rsidR="00A44340" w:rsidRPr="00F904B5">
        <w:rPr>
          <w:rFonts w:ascii="David" w:hAnsi="David" w:cs="David" w:hint="cs"/>
          <w:sz w:val="24"/>
          <w:szCs w:val="24"/>
          <w:rtl/>
        </w:rPr>
        <w:t>...</w:t>
      </w:r>
      <w:r w:rsidR="001C1828" w:rsidRPr="00F904B5">
        <w:rPr>
          <w:rFonts w:ascii="David" w:hAnsi="David" w:cs="David"/>
          <w:sz w:val="24"/>
          <w:szCs w:val="24"/>
          <w:rtl/>
        </w:rPr>
        <w:t xml:space="preserve"> יש לך יבמה אחת שעולה לחליצה ואינה עולה לייבום, ואיזו? זו חייבי לאוין. ואימא: חייבי כריתות! אמר קרא: אם לא יחפוץ האיש לקחת, הא חפץ - מייבם, כל העולה לייבום - עולה לחליצה, וכל שאין עולה לייבום - אינו עולה לחליצה. א"ה, חייבי לאוין נמי!...  אמר רבא: גזרה ביאה ראשונה אטו ביאה שניה</w:t>
      </w:r>
      <w:r w:rsidR="001C1828" w:rsidRPr="001C1828">
        <w:rPr>
          <w:rStyle w:val="a5"/>
          <w:rFonts w:ascii="David" w:hAnsi="David" w:cs="David"/>
          <w:sz w:val="24"/>
          <w:szCs w:val="24"/>
          <w:rtl/>
        </w:rPr>
        <w:footnoteReference w:id="25"/>
      </w:r>
      <w:r w:rsidR="001C1828" w:rsidRPr="00F904B5">
        <w:rPr>
          <w:rFonts w:ascii="David" w:hAnsi="David" w:cs="David" w:hint="cs"/>
          <w:sz w:val="24"/>
          <w:szCs w:val="24"/>
          <w:rtl/>
        </w:rPr>
        <w:t>"</w:t>
      </w:r>
      <w:r w:rsidR="001C1828" w:rsidRPr="00F904B5">
        <w:rPr>
          <w:rFonts w:ascii="David" w:hAnsi="David" w:cs="David"/>
          <w:sz w:val="24"/>
          <w:szCs w:val="24"/>
          <w:rtl/>
        </w:rPr>
        <w:t>.</w:t>
      </w:r>
      <w:r w:rsidR="001C1828" w:rsidRPr="00F904B5">
        <w:rPr>
          <w:rFonts w:ascii="David" w:hAnsi="David" w:cs="David" w:hint="cs"/>
          <w:sz w:val="24"/>
          <w:szCs w:val="24"/>
          <w:rtl/>
        </w:rPr>
        <w:t xml:space="preserve"> </w:t>
      </w:r>
      <w:r w:rsidR="00FF12E7" w:rsidRPr="00695B93">
        <w:rPr>
          <w:rFonts w:asciiTheme="majorBidi" w:hAnsiTheme="majorBidi" w:cstheme="majorBidi"/>
          <w:sz w:val="24"/>
          <w:szCs w:val="24"/>
          <w:rtl/>
        </w:rPr>
        <w:t xml:space="preserve">אם כן המסקנה היא שהכלל </w:t>
      </w:r>
      <w:r w:rsidR="003959F5">
        <w:rPr>
          <w:rFonts w:asciiTheme="majorBidi" w:hAnsiTheme="majorBidi" w:cstheme="majorBidi" w:hint="cs"/>
          <w:sz w:val="24"/>
          <w:szCs w:val="24"/>
          <w:rtl/>
        </w:rPr>
        <w:t>תקף</w:t>
      </w:r>
      <w:r w:rsidR="00FF12E7" w:rsidRPr="00695B93">
        <w:rPr>
          <w:rFonts w:asciiTheme="majorBidi" w:hAnsiTheme="majorBidi" w:cstheme="majorBidi"/>
          <w:sz w:val="24"/>
          <w:szCs w:val="24"/>
          <w:rtl/>
        </w:rPr>
        <w:t xml:space="preserve"> גם לחייבי לאוי</w:t>
      </w:r>
      <w:r w:rsidR="00A110EC">
        <w:rPr>
          <w:rFonts w:asciiTheme="majorBidi" w:hAnsiTheme="majorBidi" w:cstheme="majorBidi" w:hint="cs"/>
          <w:sz w:val="24"/>
          <w:szCs w:val="24"/>
          <w:rtl/>
        </w:rPr>
        <w:t>ן</w:t>
      </w:r>
      <w:r w:rsidR="00695B93" w:rsidRPr="00695B93">
        <w:rPr>
          <w:rFonts w:asciiTheme="majorBidi" w:hAnsiTheme="majorBidi" w:cstheme="majorBidi"/>
          <w:sz w:val="24"/>
          <w:szCs w:val="24"/>
          <w:rtl/>
        </w:rPr>
        <w:t>. מדאורייתא הם עולים ליבום, ולפיכך גם לחליצה.</w:t>
      </w:r>
      <w:r w:rsidR="00695B93">
        <w:rPr>
          <w:rFonts w:asciiTheme="majorBidi" w:hAnsiTheme="majorBidi" w:cstheme="majorBidi" w:hint="cs"/>
          <w:sz w:val="24"/>
          <w:szCs w:val="24"/>
          <w:rtl/>
        </w:rPr>
        <w:t xml:space="preserve"> </w:t>
      </w:r>
    </w:p>
    <w:p w14:paraId="4E799400" w14:textId="7289F34A" w:rsidR="00F46A8B" w:rsidRPr="00F46A8B" w:rsidRDefault="00F46A8B" w:rsidP="00F46A8B">
      <w:pPr>
        <w:spacing w:after="0" w:line="360" w:lineRule="auto"/>
        <w:rPr>
          <w:rFonts w:asciiTheme="majorBidi" w:hAnsiTheme="majorBidi" w:cstheme="majorBidi"/>
          <w:sz w:val="24"/>
          <w:szCs w:val="24"/>
          <w:rtl/>
        </w:rPr>
      </w:pPr>
      <w:r>
        <w:rPr>
          <w:rFonts w:asciiTheme="majorBidi" w:hAnsiTheme="majorBidi" w:cstheme="majorBidi" w:hint="cs"/>
          <w:sz w:val="24"/>
          <w:szCs w:val="24"/>
          <w:rtl/>
        </w:rPr>
        <w:t>2. אולם לדעת רבי עקיבא, גם חייבי לאוים אינם נופלים כלל ליבום, מאחר שלדעתו אין קידושין ת</w:t>
      </w:r>
      <w:r w:rsidR="00060585">
        <w:rPr>
          <w:rFonts w:asciiTheme="majorBidi" w:hAnsiTheme="majorBidi" w:cstheme="majorBidi" w:hint="cs"/>
          <w:sz w:val="24"/>
          <w:szCs w:val="24"/>
          <w:rtl/>
        </w:rPr>
        <w:t>ו</w:t>
      </w:r>
      <w:r>
        <w:rPr>
          <w:rFonts w:asciiTheme="majorBidi" w:hAnsiTheme="majorBidi" w:cstheme="majorBidi" w:hint="cs"/>
          <w:sz w:val="24"/>
          <w:szCs w:val="24"/>
          <w:rtl/>
        </w:rPr>
        <w:t xml:space="preserve">פשים בהם.  תמהו על כך בתוספות: </w:t>
      </w:r>
      <w:r w:rsidRPr="00F46A8B">
        <w:rPr>
          <w:rFonts w:ascii="David" w:hAnsi="David" w:cs="David"/>
          <w:sz w:val="24"/>
          <w:szCs w:val="24"/>
          <w:rtl/>
        </w:rPr>
        <w:t>"בכל דוכתי פשיטא ליה להש"ס דחייבי לאוין לר"ע</w:t>
      </w:r>
      <w:r w:rsidR="00A110EC">
        <w:rPr>
          <w:rFonts w:ascii="David" w:hAnsi="David" w:cs="David" w:hint="cs"/>
          <w:sz w:val="24"/>
          <w:szCs w:val="24"/>
          <w:rtl/>
        </w:rPr>
        <w:t>,</w:t>
      </w:r>
      <w:r w:rsidRPr="00F46A8B">
        <w:rPr>
          <w:rFonts w:ascii="David" w:hAnsi="David" w:cs="David"/>
          <w:sz w:val="24"/>
          <w:szCs w:val="24"/>
          <w:rtl/>
        </w:rPr>
        <w:t xml:space="preserve"> דאמר אין קידושין תופסין בחייבי לאוין</w:t>
      </w:r>
      <w:r w:rsidR="00A110EC">
        <w:rPr>
          <w:rFonts w:ascii="David" w:hAnsi="David" w:cs="David" w:hint="cs"/>
          <w:sz w:val="24"/>
          <w:szCs w:val="24"/>
          <w:rtl/>
        </w:rPr>
        <w:t>,</w:t>
      </w:r>
      <w:r w:rsidRPr="00F46A8B">
        <w:rPr>
          <w:rFonts w:ascii="David" w:hAnsi="David" w:cs="David"/>
          <w:sz w:val="24"/>
          <w:szCs w:val="24"/>
          <w:rtl/>
        </w:rPr>
        <w:t xml:space="preserve"> לאו בני חליצה וייבום נינהו </w:t>
      </w:r>
      <w:r w:rsidRPr="00F46A8B">
        <w:rPr>
          <w:rFonts w:ascii="David" w:hAnsi="David" w:cs="David"/>
          <w:sz w:val="20"/>
          <w:szCs w:val="20"/>
          <w:rtl/>
        </w:rPr>
        <w:t>כמו חייבי כריתות הכא ובהערל (לקמן דף עט:) גבי פצוע דכא וכרות שפכה ובפרק ד' מיתות (סנהדרין דף נג:).</w:t>
      </w:r>
      <w:r w:rsidRPr="00F46A8B">
        <w:rPr>
          <w:rFonts w:ascii="David" w:hAnsi="David" w:cs="David"/>
          <w:sz w:val="24"/>
          <w:szCs w:val="24"/>
          <w:rtl/>
        </w:rPr>
        <w:t xml:space="preserve"> ותימה לר"י, דאמאי לא אמרינן נמי לר"ע דליתי עשה ולידחי לא תעשה</w:t>
      </w:r>
      <w:r w:rsidRPr="00F46A8B">
        <w:rPr>
          <w:rStyle w:val="a5"/>
          <w:rFonts w:ascii="David" w:hAnsi="David" w:cs="David"/>
          <w:sz w:val="24"/>
          <w:szCs w:val="24"/>
          <w:rtl/>
        </w:rPr>
        <w:footnoteReference w:id="26"/>
      </w:r>
      <w:r w:rsidRPr="00F46A8B">
        <w:rPr>
          <w:rFonts w:ascii="David" w:hAnsi="David" w:cs="David"/>
          <w:sz w:val="24"/>
          <w:szCs w:val="24"/>
          <w:rtl/>
        </w:rPr>
        <w:t>"?</w:t>
      </w:r>
    </w:p>
    <w:p w14:paraId="27537C8D" w14:textId="57C915BE" w:rsidR="00695B93" w:rsidRPr="00F46A8B" w:rsidRDefault="00F46A8B" w:rsidP="00F46A8B">
      <w:pPr>
        <w:spacing w:after="0" w:line="360" w:lineRule="auto"/>
        <w:rPr>
          <w:rFonts w:ascii="David" w:hAnsi="David" w:cs="David"/>
          <w:sz w:val="24"/>
          <w:szCs w:val="24"/>
          <w:rtl/>
        </w:rPr>
      </w:pPr>
      <w:r>
        <w:rPr>
          <w:rFonts w:asciiTheme="majorBidi" w:hAnsiTheme="majorBidi" w:cstheme="majorBidi" w:hint="cs"/>
          <w:sz w:val="24"/>
          <w:szCs w:val="24"/>
          <w:rtl/>
        </w:rPr>
        <w:t>3.</w:t>
      </w:r>
      <w:r w:rsidR="00695B93">
        <w:rPr>
          <w:rFonts w:asciiTheme="majorBidi" w:hAnsiTheme="majorBidi" w:cstheme="majorBidi" w:hint="cs"/>
          <w:sz w:val="24"/>
          <w:szCs w:val="24"/>
          <w:rtl/>
        </w:rPr>
        <w:t>המסכת נפתחה בפטור עריות מיבום, פטור שעובר גם לצרותיהן וצרות צרותיהן:</w:t>
      </w:r>
      <w:r w:rsidR="00695B93" w:rsidRPr="00FF12E7">
        <w:rPr>
          <w:rFonts w:asciiTheme="majorBidi" w:hAnsiTheme="majorBidi" w:cstheme="majorBidi"/>
          <w:sz w:val="24"/>
          <w:szCs w:val="24"/>
          <w:rtl/>
        </w:rPr>
        <w:t xml:space="preserve">  </w:t>
      </w:r>
    </w:p>
    <w:p w14:paraId="48DDE6D8" w14:textId="0AAA4A40" w:rsidR="00695B93" w:rsidRPr="00A110EC" w:rsidRDefault="00695B93" w:rsidP="00A110EC">
      <w:pPr>
        <w:spacing w:after="0" w:line="360" w:lineRule="auto"/>
        <w:rPr>
          <w:rFonts w:ascii="David" w:hAnsi="David" w:cs="David"/>
          <w:sz w:val="24"/>
          <w:szCs w:val="24"/>
          <w:rtl/>
        </w:rPr>
      </w:pPr>
      <w:r>
        <w:rPr>
          <w:rFonts w:ascii="David" w:hAnsi="David" w:cs="David" w:hint="cs"/>
          <w:sz w:val="24"/>
          <w:szCs w:val="24"/>
          <w:rtl/>
        </w:rPr>
        <w:lastRenderedPageBreak/>
        <w:t>"</w:t>
      </w:r>
      <w:r w:rsidRPr="00FF12E7">
        <w:rPr>
          <w:rFonts w:ascii="David" w:hAnsi="David" w:cs="David"/>
          <w:sz w:val="24"/>
          <w:szCs w:val="24"/>
          <w:rtl/>
        </w:rPr>
        <w:t>חמש עשרה נשים - פוטרות צרותיהן וצרות צרותיהן מן החליצה ומן היבום, עד סוף העולם</w:t>
      </w:r>
      <w:r>
        <w:rPr>
          <w:rStyle w:val="a5"/>
          <w:rFonts w:ascii="David" w:hAnsi="David" w:cs="David"/>
          <w:sz w:val="24"/>
          <w:szCs w:val="24"/>
          <w:rtl/>
        </w:rPr>
        <w:footnoteReference w:id="27"/>
      </w:r>
      <w:r>
        <w:rPr>
          <w:rFonts w:ascii="David" w:hAnsi="David" w:cs="David" w:hint="cs"/>
          <w:sz w:val="24"/>
          <w:szCs w:val="24"/>
          <w:rtl/>
        </w:rPr>
        <w:t xml:space="preserve">". </w:t>
      </w:r>
      <w:r>
        <w:rPr>
          <w:rFonts w:asciiTheme="majorBidi" w:hAnsiTheme="majorBidi" w:cstheme="majorBidi" w:hint="cs"/>
          <w:sz w:val="24"/>
          <w:szCs w:val="24"/>
          <w:rtl/>
        </w:rPr>
        <w:t xml:space="preserve">בתוספות מעלים את השאלה מדוע לא נמנית </w:t>
      </w:r>
      <w:r w:rsidR="001B1D5D">
        <w:rPr>
          <w:rFonts w:asciiTheme="majorBidi" w:hAnsiTheme="majorBidi" w:cstheme="majorBidi" w:hint="cs"/>
          <w:sz w:val="24"/>
          <w:szCs w:val="24"/>
          <w:rtl/>
        </w:rPr>
        <w:t>נדה</w:t>
      </w:r>
      <w:r>
        <w:rPr>
          <w:rFonts w:asciiTheme="majorBidi" w:hAnsiTheme="majorBidi" w:cstheme="majorBidi" w:hint="cs"/>
          <w:sz w:val="24"/>
          <w:szCs w:val="24"/>
          <w:rtl/>
        </w:rPr>
        <w:t xml:space="preserve"> עם העריות,</w:t>
      </w:r>
      <w:r w:rsidR="000A2282">
        <w:rPr>
          <w:rFonts w:asciiTheme="majorBidi" w:hAnsiTheme="majorBidi" w:cstheme="majorBidi" w:hint="cs"/>
          <w:sz w:val="24"/>
          <w:szCs w:val="24"/>
          <w:rtl/>
        </w:rPr>
        <w:t xml:space="preserve">שהרי </w:t>
      </w:r>
      <w:r w:rsidR="000A2282">
        <w:rPr>
          <w:rFonts w:ascii="David" w:hAnsi="David" w:cs="David" w:hint="cs"/>
          <w:sz w:val="24"/>
          <w:szCs w:val="24"/>
          <w:rtl/>
        </w:rPr>
        <w:t>"</w:t>
      </w:r>
      <w:r w:rsidR="000A2282" w:rsidRPr="00BC3F3E">
        <w:rPr>
          <w:rFonts w:ascii="David" w:hAnsi="David" w:cs="David"/>
          <w:sz w:val="24"/>
          <w:szCs w:val="24"/>
          <w:rtl/>
        </w:rPr>
        <w:t>אמר רב יהודה אמר רב: כל יבמה שאין אני קורא בה בשעת נפילה יבמה יבא עליה, הרי היא כאשת אח שיש לה בנים ואסורה</w:t>
      </w:r>
      <w:r w:rsidR="000A2282">
        <w:rPr>
          <w:rStyle w:val="a5"/>
          <w:rFonts w:ascii="David" w:hAnsi="David" w:cs="David"/>
          <w:sz w:val="24"/>
          <w:szCs w:val="24"/>
          <w:rtl/>
        </w:rPr>
        <w:footnoteReference w:id="28"/>
      </w:r>
      <w:r w:rsidR="000A2282">
        <w:rPr>
          <w:rFonts w:ascii="David" w:hAnsi="David" w:cs="David" w:hint="cs"/>
          <w:sz w:val="24"/>
          <w:szCs w:val="24"/>
          <w:rtl/>
        </w:rPr>
        <w:t>"</w:t>
      </w:r>
      <w:r w:rsidR="000A2282" w:rsidRPr="00BC3F3E">
        <w:rPr>
          <w:rFonts w:ascii="David" w:hAnsi="David" w:cs="David"/>
          <w:sz w:val="24"/>
          <w:szCs w:val="24"/>
          <w:rtl/>
        </w:rPr>
        <w:t>.</w:t>
      </w:r>
      <w:r w:rsidR="00A110EC">
        <w:rPr>
          <w:rFonts w:ascii="David" w:hAnsi="David" w:cs="David" w:hint="cs"/>
          <w:sz w:val="24"/>
          <w:szCs w:val="24"/>
          <w:rtl/>
        </w:rPr>
        <w:t xml:space="preserve">      </w:t>
      </w:r>
      <w:r>
        <w:rPr>
          <w:rFonts w:asciiTheme="majorBidi" w:hAnsiTheme="majorBidi" w:cstheme="majorBidi" w:hint="cs"/>
          <w:sz w:val="24"/>
          <w:szCs w:val="24"/>
          <w:rtl/>
        </w:rPr>
        <w:t xml:space="preserve"> </w:t>
      </w:r>
      <w:r w:rsidR="00A110EC">
        <w:rPr>
          <w:rFonts w:asciiTheme="majorBidi" w:hAnsiTheme="majorBidi" w:cstheme="majorBidi" w:hint="cs"/>
          <w:sz w:val="24"/>
          <w:szCs w:val="24"/>
          <w:rtl/>
        </w:rPr>
        <w:t xml:space="preserve">הם </w:t>
      </w:r>
      <w:r>
        <w:rPr>
          <w:rFonts w:asciiTheme="majorBidi" w:hAnsiTheme="majorBidi" w:cstheme="majorBidi" w:hint="cs"/>
          <w:sz w:val="24"/>
          <w:szCs w:val="24"/>
          <w:rtl/>
        </w:rPr>
        <w:t>מציעים שני תירוצים:</w:t>
      </w:r>
    </w:p>
    <w:p w14:paraId="39FFE176" w14:textId="24EF35F9" w:rsidR="00695B93" w:rsidRPr="00695B93" w:rsidRDefault="00695B93" w:rsidP="00695B93">
      <w:pPr>
        <w:spacing w:after="0" w:line="360" w:lineRule="auto"/>
        <w:rPr>
          <w:rFonts w:ascii="David" w:hAnsi="David" w:cs="David"/>
          <w:sz w:val="24"/>
          <w:szCs w:val="24"/>
          <w:rtl/>
        </w:rPr>
      </w:pPr>
      <w:r>
        <w:rPr>
          <w:rFonts w:ascii="David" w:hAnsi="David" w:cs="David" w:hint="cs"/>
          <w:sz w:val="24"/>
          <w:szCs w:val="24"/>
          <w:rtl/>
        </w:rPr>
        <w:t>"</w:t>
      </w:r>
      <w:r w:rsidRPr="00FF12E7">
        <w:rPr>
          <w:rFonts w:ascii="David" w:hAnsi="David" w:cs="David"/>
          <w:sz w:val="24"/>
          <w:szCs w:val="24"/>
          <w:rtl/>
        </w:rPr>
        <w:t>אין להקשות דנדה תאסר ליבם אף על פי שמטהרה אח"כ</w:t>
      </w:r>
      <w:r>
        <w:rPr>
          <w:rFonts w:ascii="David" w:hAnsi="David" w:cs="David" w:hint="cs"/>
          <w:sz w:val="24"/>
          <w:szCs w:val="24"/>
          <w:rtl/>
        </w:rPr>
        <w:t>,</w:t>
      </w:r>
      <w:r w:rsidRPr="00FF12E7">
        <w:rPr>
          <w:rFonts w:ascii="David" w:hAnsi="David" w:cs="David"/>
          <w:sz w:val="24"/>
          <w:szCs w:val="24"/>
          <w:rtl/>
        </w:rPr>
        <w:t xml:space="preserve"> כמו אחות אשתו שאין מתייבמת אפי' מתה אשתו אחרי כן</w:t>
      </w:r>
      <w:r>
        <w:rPr>
          <w:rFonts w:ascii="David" w:hAnsi="David" w:cs="David" w:hint="cs"/>
          <w:sz w:val="24"/>
          <w:szCs w:val="24"/>
          <w:rtl/>
        </w:rPr>
        <w:t>,</w:t>
      </w:r>
      <w:r w:rsidRPr="00FF12E7">
        <w:rPr>
          <w:rFonts w:ascii="David" w:hAnsi="David" w:cs="David"/>
          <w:sz w:val="24"/>
          <w:szCs w:val="24"/>
          <w:rtl/>
        </w:rPr>
        <w:t xml:space="preserve"> דלא דמי</w:t>
      </w:r>
      <w:r>
        <w:rPr>
          <w:rFonts w:ascii="David" w:hAnsi="David" w:cs="David" w:hint="cs"/>
          <w:sz w:val="24"/>
          <w:szCs w:val="24"/>
          <w:rtl/>
        </w:rPr>
        <w:t>.</w:t>
      </w:r>
      <w:r w:rsidRPr="00FF12E7">
        <w:rPr>
          <w:rFonts w:ascii="David" w:hAnsi="David" w:cs="David"/>
          <w:sz w:val="24"/>
          <w:szCs w:val="24"/>
          <w:rtl/>
        </w:rPr>
        <w:t xml:space="preserve"> דאחות אשה ושאר עריות </w:t>
      </w:r>
      <w:r>
        <w:rPr>
          <w:rFonts w:ascii="David" w:hAnsi="David" w:cs="David" w:hint="cs"/>
          <w:sz w:val="24"/>
          <w:szCs w:val="24"/>
          <w:rtl/>
        </w:rPr>
        <w:t xml:space="preserve">- </w:t>
      </w:r>
      <w:r w:rsidRPr="00FF12E7">
        <w:rPr>
          <w:rFonts w:ascii="David" w:hAnsi="David" w:cs="David"/>
          <w:sz w:val="24"/>
          <w:szCs w:val="24"/>
          <w:rtl/>
        </w:rPr>
        <w:t>האיסור עומד על היבם טפי משאר בני אדם</w:t>
      </w:r>
      <w:r>
        <w:rPr>
          <w:rFonts w:ascii="David" w:hAnsi="David" w:cs="David" w:hint="cs"/>
          <w:sz w:val="24"/>
          <w:szCs w:val="24"/>
          <w:rtl/>
        </w:rPr>
        <w:t>.</w:t>
      </w:r>
      <w:r w:rsidRPr="00FF12E7">
        <w:rPr>
          <w:rFonts w:ascii="David" w:hAnsi="David" w:cs="David"/>
          <w:sz w:val="24"/>
          <w:szCs w:val="24"/>
          <w:rtl/>
        </w:rPr>
        <w:t xml:space="preserve"> אבל </w:t>
      </w:r>
      <w:r w:rsidRPr="00695B93">
        <w:rPr>
          <w:rFonts w:ascii="David" w:hAnsi="David" w:cs="David"/>
          <w:b/>
          <w:bCs/>
          <w:sz w:val="24"/>
          <w:szCs w:val="24"/>
          <w:rtl/>
        </w:rPr>
        <w:t>נדה לכ"ע אסירא</w:t>
      </w:r>
      <w:r w:rsidRPr="00FF12E7">
        <w:rPr>
          <w:rFonts w:ascii="David" w:hAnsi="David" w:cs="David"/>
          <w:sz w:val="24"/>
          <w:szCs w:val="24"/>
          <w:rtl/>
        </w:rPr>
        <w:t xml:space="preserve"> ואפילו בנדתה משמע </w:t>
      </w:r>
      <w:r w:rsidRPr="00FF12E7">
        <w:rPr>
          <w:rFonts w:ascii="David" w:hAnsi="David" w:cs="David"/>
          <w:sz w:val="18"/>
          <w:szCs w:val="18"/>
          <w:rtl/>
        </w:rPr>
        <w:t>בפסחים ס"פ אלו דברים (ד' עב:)</w:t>
      </w:r>
      <w:r w:rsidRPr="00FF12E7">
        <w:rPr>
          <w:rFonts w:ascii="David" w:hAnsi="David" w:cs="David"/>
          <w:sz w:val="24"/>
          <w:szCs w:val="24"/>
          <w:rtl/>
        </w:rPr>
        <w:t xml:space="preserve"> דבת ייבום היא</w:t>
      </w:r>
      <w:r>
        <w:rPr>
          <w:rFonts w:ascii="David" w:hAnsi="David" w:cs="David" w:hint="cs"/>
          <w:sz w:val="24"/>
          <w:szCs w:val="24"/>
          <w:rtl/>
        </w:rPr>
        <w:t>,</w:t>
      </w:r>
      <w:r w:rsidRPr="00FF12E7">
        <w:rPr>
          <w:rFonts w:ascii="David" w:hAnsi="David" w:cs="David"/>
          <w:sz w:val="24"/>
          <w:szCs w:val="24"/>
          <w:rtl/>
        </w:rPr>
        <w:t xml:space="preserve"> דקאמר ר' יוחנן</w:t>
      </w:r>
      <w:r>
        <w:rPr>
          <w:rFonts w:ascii="David" w:hAnsi="David" w:cs="David" w:hint="cs"/>
          <w:sz w:val="24"/>
          <w:szCs w:val="24"/>
          <w:rtl/>
        </w:rPr>
        <w:t>:</w:t>
      </w:r>
      <w:r w:rsidRPr="00FF12E7">
        <w:rPr>
          <w:rFonts w:ascii="David" w:hAnsi="David" w:cs="David"/>
          <w:sz w:val="24"/>
          <w:szCs w:val="24"/>
          <w:rtl/>
        </w:rPr>
        <w:t xml:space="preserve"> </w:t>
      </w:r>
      <w:r>
        <w:rPr>
          <w:rFonts w:ascii="David" w:hAnsi="David" w:cs="David" w:hint="cs"/>
          <w:sz w:val="24"/>
          <w:szCs w:val="24"/>
          <w:rtl/>
        </w:rPr>
        <w:t>'</w:t>
      </w:r>
      <w:r w:rsidRPr="00FF12E7">
        <w:rPr>
          <w:rFonts w:ascii="David" w:hAnsi="David" w:cs="David"/>
          <w:sz w:val="24"/>
          <w:szCs w:val="24"/>
          <w:rtl/>
        </w:rPr>
        <w:t>אשתו נדה בעל חייב</w:t>
      </w:r>
      <w:r w:rsidR="00A110EC">
        <w:rPr>
          <w:rFonts w:ascii="David" w:hAnsi="David" w:cs="David" w:hint="cs"/>
          <w:sz w:val="24"/>
          <w:szCs w:val="24"/>
          <w:rtl/>
        </w:rPr>
        <w:t>,</w:t>
      </w:r>
      <w:r w:rsidRPr="00FF12E7">
        <w:rPr>
          <w:rFonts w:ascii="David" w:hAnsi="David" w:cs="David"/>
          <w:sz w:val="24"/>
          <w:szCs w:val="24"/>
          <w:rtl/>
        </w:rPr>
        <w:t xml:space="preserve"> יבמתו נדה בעל פטור</w:t>
      </w:r>
      <w:r>
        <w:rPr>
          <w:rFonts w:ascii="David" w:hAnsi="David" w:cs="David" w:hint="cs"/>
          <w:sz w:val="24"/>
          <w:szCs w:val="24"/>
          <w:rtl/>
        </w:rPr>
        <w:t>'.</w:t>
      </w:r>
      <w:r w:rsidRPr="00FF12E7">
        <w:rPr>
          <w:rFonts w:ascii="David" w:hAnsi="David" w:cs="David"/>
          <w:sz w:val="24"/>
          <w:szCs w:val="24"/>
          <w:rtl/>
        </w:rPr>
        <w:t xml:space="preserve"> ופריך עלה מאי שנא יבמתו </w:t>
      </w:r>
      <w:r w:rsidRPr="00FF12E7">
        <w:rPr>
          <w:rFonts w:ascii="David" w:hAnsi="David" w:cs="David"/>
          <w:b/>
          <w:bCs/>
          <w:sz w:val="24"/>
          <w:szCs w:val="24"/>
          <w:rtl/>
        </w:rPr>
        <w:t>דקעביד מצוה</w:t>
      </w:r>
      <w:r w:rsidRPr="00FF12E7">
        <w:rPr>
          <w:rFonts w:ascii="David" w:hAnsi="David" w:cs="David"/>
          <w:sz w:val="24"/>
          <w:szCs w:val="24"/>
          <w:rtl/>
        </w:rPr>
        <w:t xml:space="preserve"> כו' משמע דקני לה</w:t>
      </w:r>
      <w:r>
        <w:rPr>
          <w:rFonts w:ascii="David" w:hAnsi="David" w:cs="David" w:hint="cs"/>
          <w:sz w:val="24"/>
          <w:szCs w:val="24"/>
          <w:rtl/>
        </w:rPr>
        <w:t>.</w:t>
      </w:r>
      <w:r w:rsidRPr="00FF12E7">
        <w:rPr>
          <w:rFonts w:ascii="David" w:hAnsi="David" w:cs="David"/>
          <w:sz w:val="24"/>
          <w:szCs w:val="24"/>
          <w:rtl/>
        </w:rPr>
        <w:t xml:space="preserve"> ועוד נראה לחלק</w:t>
      </w:r>
      <w:r w:rsidR="00A110EC">
        <w:rPr>
          <w:rFonts w:ascii="David" w:hAnsi="David" w:cs="David" w:hint="cs"/>
          <w:sz w:val="24"/>
          <w:szCs w:val="24"/>
          <w:rtl/>
        </w:rPr>
        <w:t>,</w:t>
      </w:r>
      <w:r w:rsidRPr="00FF12E7">
        <w:rPr>
          <w:rFonts w:ascii="David" w:hAnsi="David" w:cs="David"/>
          <w:sz w:val="24"/>
          <w:szCs w:val="24"/>
          <w:rtl/>
        </w:rPr>
        <w:t xml:space="preserve"> דאחות אשה אף על פי שמתה אשתו אחרי כן שוב לא תזקק לייבום</w:t>
      </w:r>
      <w:r w:rsidR="00A110EC">
        <w:rPr>
          <w:rFonts w:ascii="David" w:hAnsi="David" w:cs="David" w:hint="cs"/>
          <w:sz w:val="24"/>
          <w:szCs w:val="24"/>
          <w:rtl/>
        </w:rPr>
        <w:t>,</w:t>
      </w:r>
      <w:r w:rsidRPr="00FF12E7">
        <w:rPr>
          <w:rFonts w:ascii="David" w:hAnsi="David" w:cs="David"/>
          <w:sz w:val="24"/>
          <w:szCs w:val="24"/>
          <w:rtl/>
        </w:rPr>
        <w:t xml:space="preserve"> כיון שנפטרה שעה אחת</w:t>
      </w:r>
      <w:r w:rsidR="00A110EC">
        <w:rPr>
          <w:rFonts w:ascii="David" w:hAnsi="David" w:cs="David" w:hint="cs"/>
          <w:sz w:val="24"/>
          <w:szCs w:val="24"/>
          <w:rtl/>
        </w:rPr>
        <w:t>,</w:t>
      </w:r>
      <w:r w:rsidRPr="00FF12E7">
        <w:rPr>
          <w:rFonts w:ascii="David" w:hAnsi="David" w:cs="David"/>
          <w:sz w:val="24"/>
          <w:szCs w:val="24"/>
          <w:rtl/>
        </w:rPr>
        <w:t xml:space="preserve"> משום שנאמר </w:t>
      </w:r>
      <w:r w:rsidRPr="00A110EC">
        <w:rPr>
          <w:rFonts w:ascii="David" w:hAnsi="David" w:cs="David"/>
          <w:b/>
          <w:bCs/>
          <w:sz w:val="24"/>
          <w:szCs w:val="24"/>
          <w:rtl/>
        </w:rPr>
        <w:t>דרכיה דרכי נועם</w:t>
      </w:r>
      <w:r w:rsidRPr="00FF12E7">
        <w:rPr>
          <w:rFonts w:ascii="David" w:hAnsi="David" w:cs="David"/>
          <w:sz w:val="24"/>
          <w:szCs w:val="24"/>
          <w:rtl/>
        </w:rPr>
        <w:t xml:space="preserve"> </w:t>
      </w:r>
      <w:r w:rsidRPr="00A110EC">
        <w:rPr>
          <w:rFonts w:ascii="David" w:hAnsi="David" w:cs="David"/>
          <w:sz w:val="18"/>
          <w:szCs w:val="18"/>
          <w:rtl/>
        </w:rPr>
        <w:t>(משלי ג)</w:t>
      </w:r>
      <w:r w:rsidRPr="00FF12E7">
        <w:rPr>
          <w:rFonts w:ascii="David" w:hAnsi="David" w:cs="David"/>
          <w:sz w:val="24"/>
          <w:szCs w:val="24"/>
          <w:rtl/>
        </w:rPr>
        <w:t xml:space="preserve"> דאין זה דרכי נועם אם יש לה להזדקק לזה שנפטרה הימנו</w:t>
      </w:r>
      <w:r>
        <w:rPr>
          <w:rFonts w:ascii="David" w:hAnsi="David" w:cs="David" w:hint="cs"/>
          <w:sz w:val="24"/>
          <w:szCs w:val="24"/>
          <w:rtl/>
        </w:rPr>
        <w:t>.</w:t>
      </w:r>
      <w:r w:rsidRPr="00FF12E7">
        <w:rPr>
          <w:rFonts w:ascii="David" w:hAnsi="David" w:cs="David"/>
          <w:sz w:val="24"/>
          <w:szCs w:val="24"/>
          <w:rtl/>
        </w:rPr>
        <w:t xml:space="preserve"> אבל נדה דרכי נועם היא</w:t>
      </w:r>
      <w:r>
        <w:rPr>
          <w:rFonts w:ascii="David" w:hAnsi="David" w:cs="David" w:hint="cs"/>
          <w:sz w:val="24"/>
          <w:szCs w:val="24"/>
          <w:rtl/>
        </w:rPr>
        <w:t>,</w:t>
      </w:r>
      <w:r w:rsidRPr="00FF12E7">
        <w:rPr>
          <w:rFonts w:ascii="David" w:hAnsi="David" w:cs="David"/>
          <w:sz w:val="24"/>
          <w:szCs w:val="24"/>
          <w:rtl/>
        </w:rPr>
        <w:t xml:space="preserve"> דלבעלה נמי צריכה להמתין עד שתטהר</w:t>
      </w:r>
      <w:r>
        <w:rPr>
          <w:rStyle w:val="a5"/>
          <w:rFonts w:ascii="David" w:hAnsi="David" w:cs="David"/>
          <w:sz w:val="24"/>
          <w:szCs w:val="24"/>
          <w:rtl/>
        </w:rPr>
        <w:footnoteReference w:id="29"/>
      </w:r>
      <w:r>
        <w:rPr>
          <w:rFonts w:ascii="David" w:hAnsi="David" w:cs="David" w:hint="cs"/>
          <w:sz w:val="24"/>
          <w:szCs w:val="24"/>
          <w:rtl/>
        </w:rPr>
        <w:t xml:space="preserve">". </w:t>
      </w:r>
      <w:r w:rsidR="000A4743" w:rsidRPr="00A110EC">
        <w:rPr>
          <w:rFonts w:asciiTheme="majorBidi" w:hAnsiTheme="majorBidi" w:cstheme="majorBidi"/>
          <w:sz w:val="24"/>
          <w:szCs w:val="24"/>
          <w:rtl/>
        </w:rPr>
        <w:t>גם ה</w:t>
      </w:r>
      <w:r w:rsidRPr="00A110EC">
        <w:rPr>
          <w:rFonts w:asciiTheme="majorBidi" w:hAnsiTheme="majorBidi" w:cstheme="majorBidi"/>
          <w:sz w:val="24"/>
          <w:szCs w:val="24"/>
          <w:rtl/>
        </w:rPr>
        <w:t>רא</w:t>
      </w:r>
      <w:r w:rsidRPr="000A4743">
        <w:rPr>
          <w:rFonts w:asciiTheme="majorBidi" w:hAnsiTheme="majorBidi" w:cstheme="majorBidi"/>
          <w:sz w:val="24"/>
          <w:szCs w:val="24"/>
          <w:rtl/>
        </w:rPr>
        <w:t>"ש</w:t>
      </w:r>
      <w:r w:rsidR="000A4743">
        <w:rPr>
          <w:rFonts w:asciiTheme="majorBidi" w:hAnsiTheme="majorBidi" w:cstheme="majorBidi" w:hint="cs"/>
          <w:sz w:val="24"/>
          <w:szCs w:val="24"/>
          <w:rtl/>
        </w:rPr>
        <w:t xml:space="preserve"> מתייחס לשאלה זו, ומבאר: </w:t>
      </w:r>
    </w:p>
    <w:p w14:paraId="52090B73" w14:textId="099BF9B7" w:rsidR="00695B93" w:rsidRDefault="000A4743" w:rsidP="00D62DA5">
      <w:pPr>
        <w:spacing w:after="0" w:line="360" w:lineRule="auto"/>
        <w:rPr>
          <w:rFonts w:asciiTheme="majorBidi" w:hAnsiTheme="majorBidi" w:cstheme="majorBidi"/>
          <w:sz w:val="24"/>
          <w:szCs w:val="24"/>
          <w:rtl/>
        </w:rPr>
      </w:pPr>
      <w:r>
        <w:rPr>
          <w:rFonts w:ascii="David" w:hAnsi="David" w:cs="David" w:hint="cs"/>
          <w:sz w:val="24"/>
          <w:szCs w:val="24"/>
          <w:rtl/>
        </w:rPr>
        <w:t>"</w:t>
      </w:r>
      <w:r w:rsidR="00695B93" w:rsidRPr="00695B93">
        <w:rPr>
          <w:rFonts w:ascii="David" w:hAnsi="David" w:cs="David"/>
          <w:sz w:val="24"/>
          <w:szCs w:val="24"/>
          <w:rtl/>
        </w:rPr>
        <w:t>לא דמיא לעריות שאסורות לייבם משום קורבות ומותרות לשאר העולם</w:t>
      </w:r>
      <w:r w:rsidR="00F904B5">
        <w:rPr>
          <w:rFonts w:ascii="David" w:hAnsi="David" w:cs="David" w:hint="cs"/>
          <w:sz w:val="24"/>
          <w:szCs w:val="24"/>
          <w:rtl/>
        </w:rPr>
        <w:t>,</w:t>
      </w:r>
      <w:r w:rsidR="00695B93" w:rsidRPr="00695B93">
        <w:rPr>
          <w:rFonts w:ascii="David" w:hAnsi="David" w:cs="David"/>
          <w:sz w:val="24"/>
          <w:szCs w:val="24"/>
          <w:rtl/>
        </w:rPr>
        <w:t xml:space="preserve"> אבל נדה אסורה לכל</w:t>
      </w:r>
      <w:r>
        <w:rPr>
          <w:rFonts w:ascii="David" w:hAnsi="David" w:cs="David" w:hint="cs"/>
          <w:sz w:val="24"/>
          <w:szCs w:val="24"/>
          <w:rtl/>
        </w:rPr>
        <w:t>.</w:t>
      </w:r>
      <w:r w:rsidR="00695B93" w:rsidRPr="00695B93">
        <w:rPr>
          <w:rFonts w:ascii="David" w:hAnsi="David" w:cs="David"/>
          <w:sz w:val="24"/>
          <w:szCs w:val="24"/>
          <w:rtl/>
        </w:rPr>
        <w:t xml:space="preserve"> ואף על גב דלאו בת ייבום היא בעת נדתה</w:t>
      </w:r>
      <w:r>
        <w:rPr>
          <w:rFonts w:ascii="David" w:hAnsi="David" w:cs="David" w:hint="cs"/>
          <w:sz w:val="24"/>
          <w:szCs w:val="24"/>
          <w:rtl/>
        </w:rPr>
        <w:t>-</w:t>
      </w:r>
      <w:r w:rsidR="00695B93" w:rsidRPr="00695B93">
        <w:rPr>
          <w:rFonts w:ascii="David" w:hAnsi="David" w:cs="David"/>
          <w:sz w:val="24"/>
          <w:szCs w:val="24"/>
          <w:rtl/>
        </w:rPr>
        <w:t xml:space="preserve"> </w:t>
      </w:r>
      <w:r w:rsidR="00695B93" w:rsidRPr="00A110EC">
        <w:rPr>
          <w:rFonts w:ascii="David" w:hAnsi="David" w:cs="David"/>
          <w:b/>
          <w:bCs/>
          <w:sz w:val="24"/>
          <w:szCs w:val="24"/>
          <w:rtl/>
        </w:rPr>
        <w:t>חליצתה חליצה</w:t>
      </w:r>
      <w:r>
        <w:rPr>
          <w:rFonts w:ascii="David" w:hAnsi="David" w:cs="David" w:hint="cs"/>
          <w:sz w:val="24"/>
          <w:szCs w:val="24"/>
          <w:rtl/>
        </w:rPr>
        <w:t>.</w:t>
      </w:r>
      <w:r w:rsidR="00695B93" w:rsidRPr="00695B93">
        <w:rPr>
          <w:rFonts w:ascii="David" w:hAnsi="David" w:cs="David"/>
          <w:sz w:val="24"/>
          <w:szCs w:val="24"/>
          <w:rtl/>
        </w:rPr>
        <w:t xml:space="preserve"> ולא דמי לחליצת מעוברת דלא שמה חליצה לריש לקיש </w:t>
      </w:r>
      <w:r w:rsidR="00695B93" w:rsidRPr="000A4743">
        <w:rPr>
          <w:rFonts w:ascii="David" w:hAnsi="David" w:cs="David"/>
          <w:sz w:val="18"/>
          <w:szCs w:val="18"/>
          <w:rtl/>
        </w:rPr>
        <w:t>לקמן בפרק החולץ (דף לה ב)</w:t>
      </w:r>
      <w:r w:rsidR="00695B93" w:rsidRPr="00695B93">
        <w:rPr>
          <w:rFonts w:ascii="David" w:hAnsi="David" w:cs="David"/>
          <w:sz w:val="24"/>
          <w:szCs w:val="24"/>
          <w:rtl/>
        </w:rPr>
        <w:t xml:space="preserve"> משום דאינה עולה ליבום</w:t>
      </w:r>
      <w:r>
        <w:rPr>
          <w:rFonts w:ascii="David" w:hAnsi="David" w:cs="David" w:hint="cs"/>
          <w:sz w:val="24"/>
          <w:szCs w:val="24"/>
          <w:rtl/>
        </w:rPr>
        <w:t xml:space="preserve">, </w:t>
      </w:r>
      <w:r w:rsidR="00695B93" w:rsidRPr="00695B93">
        <w:rPr>
          <w:rFonts w:ascii="David" w:hAnsi="David" w:cs="David"/>
          <w:sz w:val="24"/>
          <w:szCs w:val="24"/>
          <w:rtl/>
        </w:rPr>
        <w:t>דשאני נדה שעומדת לטבול ולטהר כדרך כל הנשים</w:t>
      </w:r>
      <w:r>
        <w:rPr>
          <w:rFonts w:ascii="David" w:hAnsi="David" w:cs="David" w:hint="cs"/>
          <w:sz w:val="24"/>
          <w:szCs w:val="24"/>
          <w:rtl/>
        </w:rPr>
        <w:t>,</w:t>
      </w:r>
      <w:r w:rsidR="00695B93" w:rsidRPr="00695B93">
        <w:rPr>
          <w:rFonts w:ascii="David" w:hAnsi="David" w:cs="David"/>
          <w:sz w:val="24"/>
          <w:szCs w:val="24"/>
          <w:rtl/>
        </w:rPr>
        <w:t xml:space="preserve"> אבל מעוברת שמא תלד</w:t>
      </w:r>
      <w:r>
        <w:rPr>
          <w:rFonts w:ascii="David" w:hAnsi="David" w:cs="David" w:hint="cs"/>
          <w:sz w:val="24"/>
          <w:szCs w:val="24"/>
          <w:rtl/>
        </w:rPr>
        <w:t>.</w:t>
      </w:r>
      <w:r w:rsidR="00695B93" w:rsidRPr="00695B93">
        <w:rPr>
          <w:rFonts w:ascii="David" w:hAnsi="David" w:cs="David"/>
          <w:sz w:val="24"/>
          <w:szCs w:val="24"/>
          <w:rtl/>
        </w:rPr>
        <w:t xml:space="preserve"> ועוד דאף אם בא עליה בנדתה קנאה</w:t>
      </w:r>
      <w:r>
        <w:rPr>
          <w:rStyle w:val="a5"/>
          <w:rFonts w:ascii="David" w:hAnsi="David" w:cs="David"/>
          <w:sz w:val="24"/>
          <w:szCs w:val="24"/>
          <w:rtl/>
        </w:rPr>
        <w:footnoteReference w:id="30"/>
      </w:r>
      <w:r>
        <w:rPr>
          <w:rFonts w:ascii="David" w:hAnsi="David" w:cs="David" w:hint="cs"/>
          <w:sz w:val="24"/>
          <w:szCs w:val="24"/>
          <w:rtl/>
        </w:rPr>
        <w:t xml:space="preserve">". </w:t>
      </w:r>
      <w:r>
        <w:rPr>
          <w:rFonts w:asciiTheme="majorBidi" w:hAnsiTheme="majorBidi" w:cstheme="majorBidi" w:hint="cs"/>
          <w:sz w:val="24"/>
          <w:szCs w:val="24"/>
          <w:rtl/>
        </w:rPr>
        <w:t>הסברה ש</w:t>
      </w:r>
      <w:r w:rsidR="001B1D5D">
        <w:rPr>
          <w:rFonts w:asciiTheme="majorBidi" w:hAnsiTheme="majorBidi" w:cstheme="majorBidi" w:hint="cs"/>
          <w:sz w:val="24"/>
          <w:szCs w:val="24"/>
          <w:rtl/>
        </w:rPr>
        <w:t>נדה</w:t>
      </w:r>
      <w:r>
        <w:rPr>
          <w:rFonts w:asciiTheme="majorBidi" w:hAnsiTheme="majorBidi" w:cstheme="majorBidi" w:hint="cs"/>
          <w:sz w:val="24"/>
          <w:szCs w:val="24"/>
          <w:rtl/>
        </w:rPr>
        <w:t xml:space="preserve"> עומדת להטהר, מובאת בתוספות כהבדל מאחות אשה, </w:t>
      </w:r>
      <w:r w:rsidR="005E01CA">
        <w:rPr>
          <w:rFonts w:asciiTheme="majorBidi" w:hAnsiTheme="majorBidi" w:cstheme="majorBidi" w:hint="cs"/>
          <w:sz w:val="24"/>
          <w:szCs w:val="24"/>
          <w:rtl/>
        </w:rPr>
        <w:t>וכ</w:t>
      </w:r>
      <w:r>
        <w:rPr>
          <w:rFonts w:asciiTheme="majorBidi" w:hAnsiTheme="majorBidi" w:cstheme="majorBidi" w:hint="cs"/>
          <w:sz w:val="24"/>
          <w:szCs w:val="24"/>
          <w:rtl/>
        </w:rPr>
        <w:t xml:space="preserve">סיבה לא ללמוד הימנה. הרא"ש </w:t>
      </w:r>
      <w:r w:rsidR="00F904B5">
        <w:rPr>
          <w:rFonts w:asciiTheme="majorBidi" w:hAnsiTheme="majorBidi" w:cstheme="majorBidi" w:hint="cs"/>
          <w:sz w:val="24"/>
          <w:szCs w:val="24"/>
          <w:rtl/>
        </w:rPr>
        <w:t xml:space="preserve">נמנע מכך, </w:t>
      </w:r>
      <w:r w:rsidR="00F904B5" w:rsidRPr="00F904B5">
        <w:rPr>
          <w:rFonts w:ascii="David" w:hAnsi="David" w:cs="David"/>
          <w:sz w:val="24"/>
          <w:szCs w:val="24"/>
          <w:rtl/>
        </w:rPr>
        <w:t>"משום שהיו שואלין אף באשה שמקולקלת בוסתה</w:t>
      </w:r>
      <w:r w:rsidR="005B7FFD">
        <w:rPr>
          <w:rFonts w:ascii="David" w:hAnsi="David" w:cs="David" w:hint="cs"/>
          <w:sz w:val="24"/>
          <w:szCs w:val="24"/>
          <w:rtl/>
        </w:rPr>
        <w:t>,</w:t>
      </w:r>
      <w:r w:rsidR="00F904B5" w:rsidRPr="00F904B5">
        <w:rPr>
          <w:rFonts w:ascii="David" w:hAnsi="David" w:cs="David"/>
          <w:sz w:val="24"/>
          <w:szCs w:val="24"/>
          <w:rtl/>
        </w:rPr>
        <w:t xml:space="preserve"> ואינה עומדת לטהר</w:t>
      </w:r>
      <w:r w:rsidR="00F904B5" w:rsidRPr="00F904B5">
        <w:rPr>
          <w:rStyle w:val="a5"/>
          <w:rFonts w:ascii="David" w:hAnsi="David" w:cs="David"/>
          <w:sz w:val="24"/>
          <w:szCs w:val="24"/>
          <w:rtl/>
        </w:rPr>
        <w:footnoteReference w:id="31"/>
      </w:r>
      <w:r w:rsidR="00F904B5" w:rsidRPr="00F904B5">
        <w:rPr>
          <w:rFonts w:ascii="David" w:hAnsi="David" w:cs="David"/>
          <w:sz w:val="24"/>
          <w:szCs w:val="24"/>
          <w:rtl/>
        </w:rPr>
        <w:t>".</w:t>
      </w:r>
      <w:r w:rsidR="00F904B5">
        <w:rPr>
          <w:rFonts w:asciiTheme="majorBidi" w:hAnsiTheme="majorBidi" w:cs="Times New Roman" w:hint="cs"/>
          <w:sz w:val="24"/>
          <w:szCs w:val="24"/>
          <w:rtl/>
        </w:rPr>
        <w:t xml:space="preserve"> הוא </w:t>
      </w:r>
      <w:r w:rsidR="00F904B5" w:rsidRPr="00F904B5">
        <w:rPr>
          <w:rFonts w:asciiTheme="majorBidi" w:hAnsiTheme="majorBidi" w:cs="Times New Roman"/>
          <w:sz w:val="24"/>
          <w:szCs w:val="24"/>
          <w:rtl/>
        </w:rPr>
        <w:t xml:space="preserve"> </w:t>
      </w:r>
      <w:r>
        <w:rPr>
          <w:rFonts w:asciiTheme="majorBidi" w:hAnsiTheme="majorBidi" w:cstheme="majorBidi" w:hint="cs"/>
          <w:sz w:val="24"/>
          <w:szCs w:val="24"/>
          <w:rtl/>
        </w:rPr>
        <w:t xml:space="preserve">השתמש בנתון זה </w:t>
      </w:r>
      <w:r w:rsidR="00F904B5">
        <w:rPr>
          <w:rFonts w:asciiTheme="majorBidi" w:hAnsiTheme="majorBidi" w:cstheme="majorBidi" w:hint="cs"/>
          <w:sz w:val="24"/>
          <w:szCs w:val="24"/>
          <w:rtl/>
        </w:rPr>
        <w:t>רק כדי להבדיל ממעוברת שחלצו לה. הבדל</w:t>
      </w:r>
      <w:r w:rsidR="00327470">
        <w:rPr>
          <w:rFonts w:asciiTheme="majorBidi" w:hAnsiTheme="majorBidi" w:cstheme="majorBidi" w:hint="cs"/>
          <w:sz w:val="24"/>
          <w:szCs w:val="24"/>
          <w:rtl/>
        </w:rPr>
        <w:t>ים</w:t>
      </w:r>
      <w:r w:rsidR="00F904B5">
        <w:rPr>
          <w:rFonts w:asciiTheme="majorBidi" w:hAnsiTheme="majorBidi" w:cstheme="majorBidi" w:hint="cs"/>
          <w:sz w:val="24"/>
          <w:szCs w:val="24"/>
          <w:rtl/>
        </w:rPr>
        <w:t xml:space="preserve"> נוס</w:t>
      </w:r>
      <w:r w:rsidR="00327470">
        <w:rPr>
          <w:rFonts w:asciiTheme="majorBidi" w:hAnsiTheme="majorBidi" w:cstheme="majorBidi" w:hint="cs"/>
          <w:sz w:val="24"/>
          <w:szCs w:val="24"/>
          <w:rtl/>
        </w:rPr>
        <w:t xml:space="preserve">פים </w:t>
      </w:r>
      <w:r w:rsidR="00DC0678">
        <w:rPr>
          <w:rFonts w:asciiTheme="majorBidi" w:hAnsiTheme="majorBidi" w:cstheme="majorBidi" w:hint="cs"/>
          <w:sz w:val="24"/>
          <w:szCs w:val="24"/>
          <w:rtl/>
        </w:rPr>
        <w:t xml:space="preserve">בין דברי התוספות בין דברי הרא"ש </w:t>
      </w:r>
      <w:r w:rsidR="00327470">
        <w:rPr>
          <w:rFonts w:asciiTheme="majorBidi" w:hAnsiTheme="majorBidi" w:cstheme="majorBidi" w:hint="cs"/>
          <w:sz w:val="24"/>
          <w:szCs w:val="24"/>
          <w:rtl/>
        </w:rPr>
        <w:t>הם</w:t>
      </w:r>
      <w:r w:rsidR="005B7FFD">
        <w:rPr>
          <w:rFonts w:asciiTheme="majorBidi" w:hAnsiTheme="majorBidi" w:cstheme="majorBidi" w:hint="cs"/>
          <w:sz w:val="24"/>
          <w:szCs w:val="24"/>
          <w:rtl/>
        </w:rPr>
        <w:t>,</w:t>
      </w:r>
      <w:r w:rsidR="00F904B5">
        <w:rPr>
          <w:rFonts w:asciiTheme="majorBidi" w:hAnsiTheme="majorBidi" w:cstheme="majorBidi" w:hint="cs"/>
          <w:sz w:val="24"/>
          <w:szCs w:val="24"/>
          <w:rtl/>
        </w:rPr>
        <w:t xml:space="preserve"> שלפי הרא"ש ברור אף בשלב השאלה ש</w:t>
      </w:r>
      <w:r w:rsidR="001B1D5D">
        <w:rPr>
          <w:rFonts w:asciiTheme="majorBidi" w:hAnsiTheme="majorBidi" w:cstheme="majorBidi" w:hint="cs"/>
          <w:sz w:val="24"/>
          <w:szCs w:val="24"/>
          <w:rtl/>
        </w:rPr>
        <w:t>נדה</w:t>
      </w:r>
      <w:r w:rsidR="00F904B5">
        <w:rPr>
          <w:rFonts w:asciiTheme="majorBidi" w:hAnsiTheme="majorBidi" w:cstheme="majorBidi" w:hint="cs"/>
          <w:sz w:val="24"/>
          <w:szCs w:val="24"/>
          <w:rtl/>
        </w:rPr>
        <w:t xml:space="preserve"> יכולה לחלוץ</w:t>
      </w:r>
      <w:r w:rsidR="00D62DA5">
        <w:rPr>
          <w:rFonts w:asciiTheme="majorBidi" w:hAnsiTheme="majorBidi" w:cstheme="majorBidi" w:hint="cs"/>
          <w:sz w:val="24"/>
          <w:szCs w:val="24"/>
          <w:rtl/>
        </w:rPr>
        <w:t>, ואילו לבעלי התוספות לא</w:t>
      </w:r>
      <w:r w:rsidR="00F904B5">
        <w:rPr>
          <w:rFonts w:asciiTheme="majorBidi" w:hAnsiTheme="majorBidi" w:cstheme="majorBidi" w:hint="cs"/>
          <w:sz w:val="24"/>
          <w:szCs w:val="24"/>
          <w:rtl/>
        </w:rPr>
        <w:t>.</w:t>
      </w:r>
      <w:r w:rsidR="00D62DA5">
        <w:rPr>
          <w:rFonts w:asciiTheme="majorBidi" w:hAnsiTheme="majorBidi" w:cstheme="majorBidi" w:hint="cs"/>
          <w:sz w:val="24"/>
          <w:szCs w:val="24"/>
          <w:rtl/>
        </w:rPr>
        <w:t xml:space="preserve"> </w:t>
      </w:r>
      <w:r w:rsidR="00327470">
        <w:rPr>
          <w:rFonts w:asciiTheme="majorBidi" w:hAnsiTheme="majorBidi" w:cstheme="majorBidi" w:hint="cs"/>
          <w:sz w:val="24"/>
          <w:szCs w:val="24"/>
          <w:rtl/>
        </w:rPr>
        <w:t xml:space="preserve">כמו כן הרא"ש לא הזכיר 'דרכי נעם'. </w:t>
      </w:r>
      <w:r w:rsidR="00D62DA5">
        <w:rPr>
          <w:rFonts w:asciiTheme="majorBidi" w:hAnsiTheme="majorBidi" w:cstheme="majorBidi" w:hint="cs"/>
          <w:sz w:val="24"/>
          <w:szCs w:val="24"/>
          <w:rtl/>
        </w:rPr>
        <w:t>הראשונים האחרים כלל לא העלו שאלה זו.</w:t>
      </w:r>
    </w:p>
    <w:p w14:paraId="3EE26B51" w14:textId="5D3AB5F3" w:rsidR="00D62DA5" w:rsidRDefault="00F46A8B" w:rsidP="00F904B5">
      <w:pPr>
        <w:spacing w:after="0" w:line="360" w:lineRule="auto"/>
        <w:rPr>
          <w:rFonts w:asciiTheme="majorBidi" w:hAnsiTheme="majorBidi" w:cstheme="majorBidi"/>
          <w:sz w:val="24"/>
          <w:szCs w:val="24"/>
          <w:rtl/>
        </w:rPr>
      </w:pPr>
      <w:r>
        <w:rPr>
          <w:rFonts w:asciiTheme="majorBidi" w:hAnsiTheme="majorBidi" w:cstheme="majorBidi" w:hint="cs"/>
          <w:sz w:val="24"/>
          <w:szCs w:val="24"/>
          <w:rtl/>
        </w:rPr>
        <w:t>4</w:t>
      </w:r>
      <w:r w:rsidR="00D62DA5">
        <w:rPr>
          <w:rFonts w:asciiTheme="majorBidi" w:hAnsiTheme="majorBidi" w:cstheme="majorBidi" w:hint="cs"/>
          <w:sz w:val="24"/>
          <w:szCs w:val="24"/>
          <w:rtl/>
        </w:rPr>
        <w:t>.</w:t>
      </w:r>
      <w:r w:rsidR="005E01CA">
        <w:rPr>
          <w:rFonts w:asciiTheme="majorBidi" w:hAnsiTheme="majorBidi" w:cstheme="majorBidi" w:hint="cs"/>
          <w:sz w:val="24"/>
          <w:szCs w:val="24"/>
          <w:rtl/>
        </w:rPr>
        <w:t xml:space="preserve"> אם ברור שכשיש תפישת קדושין יש חליצה, הרי ששאלת התוספות בתחילת המסכת איננה מתחילה, שקידושין תופשים בנדה. אולי זו דעת רוב הראשונים</w:t>
      </w:r>
      <w:r w:rsidR="005B7FFD">
        <w:rPr>
          <w:rFonts w:asciiTheme="majorBidi" w:hAnsiTheme="majorBidi" w:cstheme="majorBidi" w:hint="cs"/>
          <w:sz w:val="24"/>
          <w:szCs w:val="24"/>
          <w:rtl/>
        </w:rPr>
        <w:t>, ולפיכך לא עלתה לפניהם השאלה להוסיף נדה לרשימת הפוטרות צרותיהן</w:t>
      </w:r>
      <w:r w:rsidR="005E01CA">
        <w:rPr>
          <w:rFonts w:asciiTheme="majorBidi" w:hAnsiTheme="majorBidi" w:cstheme="majorBidi" w:hint="cs"/>
          <w:sz w:val="24"/>
          <w:szCs w:val="24"/>
          <w:rtl/>
        </w:rPr>
        <w:t xml:space="preserve">. </w:t>
      </w:r>
      <w:r w:rsidR="005B7FFD">
        <w:rPr>
          <w:rFonts w:asciiTheme="majorBidi" w:hAnsiTheme="majorBidi" w:cstheme="majorBidi" w:hint="cs"/>
          <w:sz w:val="24"/>
          <w:szCs w:val="24"/>
          <w:rtl/>
        </w:rPr>
        <w:t xml:space="preserve">כנראה </w:t>
      </w:r>
      <w:r w:rsidR="005E01CA">
        <w:rPr>
          <w:rFonts w:asciiTheme="majorBidi" w:hAnsiTheme="majorBidi" w:cstheme="majorBidi" w:hint="cs"/>
          <w:sz w:val="24"/>
          <w:szCs w:val="24"/>
          <w:rtl/>
        </w:rPr>
        <w:t xml:space="preserve">לדעת בעלי התוספות והרא"ש, נדה נכללת בחייבי כריתות, ללא קשר לחלות קידושין. </w:t>
      </w:r>
    </w:p>
    <w:p w14:paraId="74AB6D83" w14:textId="3FF79F2D" w:rsidR="00327470" w:rsidRDefault="00327470" w:rsidP="00F904B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5. שתי דרכים הן להתבונן על חליצה. ניתן להבין שמאחר שיש חיוב יבום </w:t>
      </w:r>
      <w:r>
        <w:rPr>
          <w:rFonts w:asciiTheme="majorBidi" w:hAnsiTheme="majorBidi" w:cstheme="majorBidi"/>
          <w:sz w:val="24"/>
          <w:szCs w:val="24"/>
          <w:rtl/>
        </w:rPr>
        <w:t>–</w:t>
      </w:r>
      <w:r>
        <w:rPr>
          <w:rFonts w:asciiTheme="majorBidi" w:hAnsiTheme="majorBidi" w:cstheme="majorBidi" w:hint="cs"/>
          <w:sz w:val="24"/>
          <w:szCs w:val="24"/>
          <w:rtl/>
        </w:rPr>
        <w:t xml:space="preserve"> נפתחה אפשרות גם לפטור </w:t>
      </w:r>
      <w:r w:rsidR="005B7FFD">
        <w:rPr>
          <w:rFonts w:asciiTheme="majorBidi" w:hAnsiTheme="majorBidi" w:cstheme="majorBidi" w:hint="cs"/>
          <w:sz w:val="24"/>
          <w:szCs w:val="24"/>
          <w:rtl/>
        </w:rPr>
        <w:t xml:space="preserve">חיוב </w:t>
      </w:r>
      <w:r>
        <w:rPr>
          <w:rFonts w:asciiTheme="majorBidi" w:hAnsiTheme="majorBidi" w:cstheme="majorBidi" w:hint="cs"/>
          <w:sz w:val="24"/>
          <w:szCs w:val="24"/>
          <w:rtl/>
        </w:rPr>
        <w:t>ז</w:t>
      </w:r>
      <w:r w:rsidR="005B7FFD">
        <w:rPr>
          <w:rFonts w:asciiTheme="majorBidi" w:hAnsiTheme="majorBidi" w:cstheme="majorBidi" w:hint="cs"/>
          <w:sz w:val="24"/>
          <w:szCs w:val="24"/>
          <w:rtl/>
        </w:rPr>
        <w:t>ה</w:t>
      </w:r>
      <w:r>
        <w:rPr>
          <w:rFonts w:asciiTheme="majorBidi" w:hAnsiTheme="majorBidi" w:cstheme="majorBidi" w:hint="cs"/>
          <w:sz w:val="24"/>
          <w:szCs w:val="24"/>
          <w:rtl/>
        </w:rPr>
        <w:t xml:space="preserve"> בחליצה. אפשרות שניה היא שעם מות האח נוצרת זיקה, שניתן לספקה ביבום או בחליצה. אם אפשרות זו השניה נכונה, אין מקום לקושית התוספות</w:t>
      </w:r>
      <w:r>
        <w:rPr>
          <w:rStyle w:val="a5"/>
          <w:rFonts w:asciiTheme="majorBidi" w:hAnsiTheme="majorBidi" w:cstheme="majorBidi"/>
          <w:sz w:val="24"/>
          <w:szCs w:val="24"/>
          <w:rtl/>
        </w:rPr>
        <w:footnoteReference w:id="32"/>
      </w:r>
      <w:r>
        <w:rPr>
          <w:rFonts w:asciiTheme="majorBidi" w:hAnsiTheme="majorBidi" w:cstheme="majorBidi" w:hint="cs"/>
          <w:sz w:val="24"/>
          <w:szCs w:val="24"/>
          <w:rtl/>
        </w:rPr>
        <w:t xml:space="preserve"> על רבי עקיבא: בחייבי לאוים אין לחלוץ לדעתו, כי כלל לא נולדה זיקה. אם כן, בעלי התוספות סבורים כדרך הראשונה, ולפיכך בקושייה מדוע לא נמנה בין העריות נדה, לא הזכירו אפשרות לחליצה, כי אם אין יבום אין חליצה. </w:t>
      </w:r>
    </w:p>
    <w:p w14:paraId="21A3BD3D" w14:textId="621D75E5" w:rsidR="00BC3F3E" w:rsidRPr="005B7FFD" w:rsidRDefault="000A2282" w:rsidP="005B7F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לעומת זאת הרא"ש סובר כאופן השני, שזיקה קובעת. לפיכך נמנע מתירוץ התוספות בעניין 'דרכי נעם', ששיקול זה גורם רק שלא נאמר שזיקה שהוסרה תחזור ותתעורר. ב</w:t>
      </w:r>
      <w:r w:rsidR="001B1D5D">
        <w:rPr>
          <w:rFonts w:asciiTheme="majorBidi" w:hAnsiTheme="majorBidi" w:cstheme="majorBidi" w:hint="cs"/>
          <w:sz w:val="24"/>
          <w:szCs w:val="24"/>
          <w:rtl/>
        </w:rPr>
        <w:t>נדה</w:t>
      </w:r>
      <w:r>
        <w:rPr>
          <w:rFonts w:asciiTheme="majorBidi" w:hAnsiTheme="majorBidi" w:cstheme="majorBidi" w:hint="cs"/>
          <w:sz w:val="24"/>
          <w:szCs w:val="24"/>
          <w:rtl/>
        </w:rPr>
        <w:t xml:space="preserve"> בוודאי שיש זיקה, ולכן אין מקום לטיעון של 'דרכי נעם'.</w:t>
      </w:r>
    </w:p>
    <w:p w14:paraId="00ACA2DB" w14:textId="5D3E4202" w:rsidR="00FF12E7" w:rsidRPr="005B7FFD" w:rsidRDefault="00D52FA9" w:rsidP="005B7FFD">
      <w:pPr>
        <w:pStyle w:val="a6"/>
        <w:numPr>
          <w:ilvl w:val="0"/>
          <w:numId w:val="3"/>
        </w:numPr>
        <w:spacing w:after="0" w:line="360" w:lineRule="auto"/>
        <w:rPr>
          <w:rFonts w:ascii="David" w:hAnsi="David" w:cs="David"/>
          <w:b/>
          <w:bCs/>
          <w:sz w:val="24"/>
          <w:szCs w:val="24"/>
          <w:rtl/>
        </w:rPr>
      </w:pPr>
      <w:r w:rsidRPr="005B7FFD">
        <w:rPr>
          <w:rFonts w:asciiTheme="majorBidi" w:hAnsiTheme="majorBidi" w:cstheme="majorBidi" w:hint="cs"/>
          <w:b/>
          <w:bCs/>
          <w:sz w:val="24"/>
          <w:szCs w:val="24"/>
          <w:rtl/>
        </w:rPr>
        <w:t>הגד</w:t>
      </w:r>
      <w:r w:rsidRPr="005B7FFD">
        <w:rPr>
          <w:rFonts w:asciiTheme="majorBidi" w:hAnsiTheme="majorBidi" w:cstheme="majorBidi"/>
          <w:b/>
          <w:bCs/>
          <w:sz w:val="24"/>
          <w:szCs w:val="24"/>
          <w:rtl/>
        </w:rPr>
        <w:t>ר</w:t>
      </w:r>
      <w:r w:rsidRPr="005B7FFD">
        <w:rPr>
          <w:rFonts w:asciiTheme="majorBidi" w:hAnsiTheme="majorBidi" w:cstheme="majorBidi" w:hint="cs"/>
          <w:b/>
          <w:bCs/>
          <w:sz w:val="24"/>
          <w:szCs w:val="24"/>
          <w:rtl/>
        </w:rPr>
        <w:t xml:space="preserve">ת </w:t>
      </w:r>
      <w:r w:rsidR="00DC0678">
        <w:rPr>
          <w:rFonts w:asciiTheme="majorBidi" w:hAnsiTheme="majorBidi" w:cstheme="majorBidi" w:hint="cs"/>
          <w:b/>
          <w:bCs/>
          <w:sz w:val="24"/>
          <w:szCs w:val="24"/>
          <w:rtl/>
        </w:rPr>
        <w:t xml:space="preserve">איסור </w:t>
      </w:r>
      <w:r w:rsidR="001B1D5D" w:rsidRPr="005B7FFD">
        <w:rPr>
          <w:rFonts w:asciiTheme="majorBidi" w:hAnsiTheme="majorBidi" w:cstheme="majorBidi" w:hint="cs"/>
          <w:b/>
          <w:bCs/>
          <w:sz w:val="24"/>
          <w:szCs w:val="24"/>
          <w:rtl/>
        </w:rPr>
        <w:t>נדה</w:t>
      </w:r>
    </w:p>
    <w:p w14:paraId="39879003" w14:textId="3579A549" w:rsidR="00BF2A7D" w:rsidRPr="005B7FFD" w:rsidRDefault="00D52FA9" w:rsidP="00C50C7F">
      <w:pPr>
        <w:spacing w:after="0" w:line="360" w:lineRule="auto"/>
        <w:rPr>
          <w:rFonts w:asciiTheme="majorBidi" w:hAnsiTheme="majorBidi" w:cstheme="majorBidi"/>
          <w:sz w:val="24"/>
          <w:szCs w:val="24"/>
          <w:rtl/>
        </w:rPr>
      </w:pPr>
      <w:r w:rsidRPr="005B7FFD">
        <w:rPr>
          <w:rFonts w:asciiTheme="majorBidi" w:hAnsiTheme="majorBidi" w:cstheme="majorBidi" w:hint="cs"/>
          <w:sz w:val="24"/>
          <w:szCs w:val="24"/>
          <w:rtl/>
        </w:rPr>
        <w:t xml:space="preserve">על דברי התוספות שהבאנו מתחילת המסכת מדייק שם ר' דוד: </w:t>
      </w:r>
    </w:p>
    <w:p w14:paraId="38F193E2" w14:textId="1841E157" w:rsidR="00D52FA9" w:rsidRPr="00D52FA9" w:rsidRDefault="00D52FA9" w:rsidP="00D52FA9">
      <w:pPr>
        <w:spacing w:after="0" w:line="360" w:lineRule="auto"/>
        <w:rPr>
          <w:rFonts w:ascii="David" w:hAnsi="David" w:cs="David"/>
          <w:sz w:val="24"/>
          <w:szCs w:val="24"/>
          <w:rtl/>
        </w:rPr>
      </w:pPr>
      <w:r w:rsidRPr="00D52FA9">
        <w:rPr>
          <w:rFonts w:ascii="David" w:hAnsi="David" w:cs="David"/>
          <w:sz w:val="24"/>
          <w:szCs w:val="24"/>
          <w:rtl/>
        </w:rPr>
        <w:lastRenderedPageBreak/>
        <w:t>"דדוקא איסור קורבה הוי דין עריות דהוי ערוה ליבם, משא"כ נדה דאסורה לכל העולם ע"כ</w:t>
      </w:r>
      <w:r w:rsidR="00BA2B4E">
        <w:rPr>
          <w:rFonts w:ascii="David" w:hAnsi="David" w:cs="David" w:hint="cs"/>
          <w:sz w:val="24"/>
          <w:szCs w:val="24"/>
          <w:rtl/>
        </w:rPr>
        <w:t>,</w:t>
      </w:r>
      <w:r w:rsidRPr="00D52FA9">
        <w:rPr>
          <w:rFonts w:ascii="David" w:hAnsi="David" w:cs="David"/>
          <w:sz w:val="24"/>
          <w:szCs w:val="24"/>
          <w:rtl/>
        </w:rPr>
        <w:t xml:space="preserve"> </w:t>
      </w:r>
      <w:r w:rsidRPr="00D52FA9">
        <w:rPr>
          <w:rFonts w:ascii="David" w:hAnsi="David" w:cs="David"/>
          <w:b/>
          <w:bCs/>
          <w:sz w:val="24"/>
          <w:szCs w:val="24"/>
          <w:rtl/>
        </w:rPr>
        <w:t>שאין זה איסור עריות, אלא רק כשאר איסורין שבתורה</w:t>
      </w:r>
      <w:r w:rsidRPr="00D52FA9">
        <w:rPr>
          <w:rFonts w:ascii="David" w:hAnsi="David" w:cs="David"/>
          <w:sz w:val="24"/>
          <w:szCs w:val="24"/>
          <w:rtl/>
        </w:rPr>
        <w:t xml:space="preserve"> כמו איסור חלב</w:t>
      </w:r>
      <w:r w:rsidR="00BA2B4E">
        <w:rPr>
          <w:rFonts w:ascii="David" w:hAnsi="David" w:cs="David" w:hint="cs"/>
          <w:sz w:val="24"/>
          <w:szCs w:val="24"/>
          <w:rtl/>
        </w:rPr>
        <w:t>,</w:t>
      </w:r>
      <w:r w:rsidRPr="00D52FA9">
        <w:rPr>
          <w:rFonts w:ascii="David" w:hAnsi="David" w:cs="David"/>
          <w:sz w:val="24"/>
          <w:szCs w:val="24"/>
          <w:rtl/>
        </w:rPr>
        <w:t xml:space="preserve"> דהוי איסור בהחפץ גרידא ולא איסור ערוה.</w:t>
      </w:r>
    </w:p>
    <w:p w14:paraId="27A3686C" w14:textId="18F73907" w:rsidR="00D52FA9" w:rsidRPr="00D52FA9" w:rsidRDefault="00D52FA9" w:rsidP="00D52FA9">
      <w:pPr>
        <w:spacing w:after="0" w:line="360" w:lineRule="auto"/>
        <w:rPr>
          <w:rFonts w:ascii="David" w:hAnsi="David" w:cs="David"/>
          <w:sz w:val="24"/>
          <w:szCs w:val="24"/>
          <w:rtl/>
        </w:rPr>
      </w:pPr>
      <w:r w:rsidRPr="00D52FA9">
        <w:rPr>
          <w:rFonts w:ascii="David" w:hAnsi="David" w:cs="David"/>
          <w:sz w:val="24"/>
          <w:szCs w:val="24"/>
          <w:rtl/>
        </w:rPr>
        <w:t xml:space="preserve">וכן הביא באחיעזר שם </w:t>
      </w:r>
      <w:r w:rsidRPr="00D52FA9">
        <w:rPr>
          <w:rFonts w:ascii="David" w:hAnsi="David" w:cs="David"/>
          <w:sz w:val="18"/>
          <w:szCs w:val="18"/>
          <w:rtl/>
        </w:rPr>
        <w:t>(סימן ב' בהגה"ה) בשם ספר הישר לר"ת,</w:t>
      </w:r>
      <w:r w:rsidRPr="00D52FA9">
        <w:rPr>
          <w:rFonts w:ascii="David" w:hAnsi="David" w:cs="David"/>
          <w:sz w:val="24"/>
          <w:szCs w:val="24"/>
          <w:rtl/>
        </w:rPr>
        <w:t xml:space="preserve"> דערוה נקרא רק זו דאינה תלויה ביום ובטבילה, משא"כ נדה שתלויה בימים ובטבילה אינה ערוה</w:t>
      </w:r>
      <w:r w:rsidR="00BA2B4E">
        <w:rPr>
          <w:rFonts w:ascii="David" w:hAnsi="David" w:cs="David" w:hint="cs"/>
          <w:sz w:val="24"/>
          <w:szCs w:val="24"/>
          <w:rtl/>
        </w:rPr>
        <w:t>.</w:t>
      </w:r>
      <w:r w:rsidRPr="00D52FA9">
        <w:rPr>
          <w:rFonts w:ascii="David" w:hAnsi="David" w:cs="David"/>
          <w:sz w:val="24"/>
          <w:szCs w:val="24"/>
          <w:rtl/>
        </w:rPr>
        <w:t xml:space="preserve"> ומה"ט אין בזה דין דאין דבר שבערוה פחות משנים</w:t>
      </w:r>
      <w:r w:rsidR="00BA2B4E">
        <w:rPr>
          <w:rFonts w:ascii="David" w:hAnsi="David" w:cs="David" w:hint="cs"/>
          <w:sz w:val="24"/>
          <w:szCs w:val="24"/>
          <w:rtl/>
        </w:rPr>
        <w:t>,</w:t>
      </w:r>
      <w:r w:rsidRPr="00D52FA9">
        <w:rPr>
          <w:rFonts w:ascii="David" w:hAnsi="David" w:cs="David"/>
          <w:sz w:val="24"/>
          <w:szCs w:val="24"/>
          <w:rtl/>
        </w:rPr>
        <w:t xml:space="preserve"> כיון דלא חשיבא ערוה אלא איסורים</w:t>
      </w:r>
      <w:r>
        <w:rPr>
          <w:rFonts w:ascii="David" w:hAnsi="David" w:cs="David" w:hint="cs"/>
          <w:sz w:val="24"/>
          <w:szCs w:val="24"/>
          <w:rtl/>
        </w:rPr>
        <w:t xml:space="preserve">.. </w:t>
      </w:r>
      <w:r w:rsidRPr="00D52FA9">
        <w:rPr>
          <w:rFonts w:ascii="David" w:hAnsi="David" w:cs="David"/>
          <w:sz w:val="24"/>
          <w:szCs w:val="24"/>
          <w:rtl/>
        </w:rPr>
        <w:t>אכן לפי"ז צ"ע</w:t>
      </w:r>
      <w:r w:rsidR="00BA2B4E">
        <w:rPr>
          <w:rFonts w:ascii="David" w:hAnsi="David" w:cs="David" w:hint="cs"/>
          <w:sz w:val="24"/>
          <w:szCs w:val="24"/>
          <w:rtl/>
        </w:rPr>
        <w:t>:</w:t>
      </w:r>
      <w:r w:rsidRPr="00D52FA9">
        <w:rPr>
          <w:rFonts w:ascii="David" w:hAnsi="David" w:cs="David"/>
          <w:sz w:val="24"/>
          <w:szCs w:val="24"/>
          <w:rtl/>
        </w:rPr>
        <w:t xml:space="preserve"> דא"כ ה"נ לגבי דין יהרג ואל יעבור נמי תהא נדה בכלל שאר איסורין שבתורה דאין דין יהרג ואל יעבור</w:t>
      </w:r>
      <w:r w:rsidR="005338E0">
        <w:rPr>
          <w:rFonts w:ascii="David" w:hAnsi="David" w:cs="David" w:hint="cs"/>
          <w:sz w:val="24"/>
          <w:szCs w:val="24"/>
          <w:rtl/>
        </w:rPr>
        <w:t>,</w:t>
      </w:r>
      <w:r w:rsidRPr="00D52FA9">
        <w:rPr>
          <w:rFonts w:ascii="David" w:hAnsi="David" w:cs="David"/>
          <w:sz w:val="24"/>
          <w:szCs w:val="24"/>
          <w:rtl/>
        </w:rPr>
        <w:t xml:space="preserve"> כיון דאינה ערוה כשאר עריות דיהרג ולא יעבור.</w:t>
      </w:r>
    </w:p>
    <w:p w14:paraId="45E6D1FB" w14:textId="14F49362" w:rsidR="00D52FA9" w:rsidRPr="00D52FA9" w:rsidRDefault="00D52FA9" w:rsidP="00D52FA9">
      <w:pPr>
        <w:spacing w:after="0" w:line="360" w:lineRule="auto"/>
        <w:rPr>
          <w:rFonts w:ascii="David" w:hAnsi="David" w:cs="David"/>
          <w:sz w:val="24"/>
          <w:szCs w:val="24"/>
          <w:rtl/>
        </w:rPr>
      </w:pPr>
      <w:r w:rsidRPr="00D52FA9">
        <w:rPr>
          <w:rFonts w:ascii="David" w:hAnsi="David" w:cs="David"/>
          <w:sz w:val="24"/>
          <w:szCs w:val="24"/>
          <w:rtl/>
        </w:rPr>
        <w:t>והרי במנ"ח</w:t>
      </w:r>
      <w:r w:rsidRPr="00D52FA9">
        <w:rPr>
          <w:rFonts w:ascii="David" w:hAnsi="David" w:cs="David"/>
          <w:sz w:val="18"/>
          <w:szCs w:val="18"/>
          <w:rtl/>
        </w:rPr>
        <w:t xml:space="preserve"> (מצוה רצ"ו) </w:t>
      </w:r>
      <w:r w:rsidRPr="00D52FA9">
        <w:rPr>
          <w:rFonts w:ascii="David" w:hAnsi="David" w:cs="David"/>
          <w:sz w:val="24"/>
          <w:szCs w:val="24"/>
          <w:rtl/>
        </w:rPr>
        <w:t xml:space="preserve">הביא לדון בזה אי </w:t>
      </w:r>
      <w:r w:rsidRPr="005B7FFD">
        <w:rPr>
          <w:rFonts w:ascii="David" w:hAnsi="David" w:cs="David"/>
          <w:b/>
          <w:bCs/>
          <w:sz w:val="24"/>
          <w:szCs w:val="24"/>
          <w:rtl/>
        </w:rPr>
        <w:t>נדה הוי בכלל עריות דיהרג וא"י</w:t>
      </w:r>
      <w:r w:rsidRPr="00D52FA9">
        <w:rPr>
          <w:rFonts w:ascii="David" w:hAnsi="David" w:cs="David"/>
          <w:sz w:val="24"/>
          <w:szCs w:val="24"/>
          <w:rtl/>
        </w:rPr>
        <w:t>, או לא, והוכיח מהרמב"ם דהויא בכלל עריות, וכ"כ בב"י (</w:t>
      </w:r>
      <w:r w:rsidRPr="00D52FA9">
        <w:rPr>
          <w:rFonts w:ascii="David" w:hAnsi="David" w:cs="David"/>
          <w:sz w:val="18"/>
          <w:szCs w:val="18"/>
          <w:rtl/>
        </w:rPr>
        <w:t>בהל' נדה)</w:t>
      </w:r>
      <w:r w:rsidRPr="00D52FA9">
        <w:rPr>
          <w:rFonts w:ascii="David" w:hAnsi="David" w:cs="David"/>
          <w:sz w:val="24"/>
          <w:szCs w:val="24"/>
          <w:rtl/>
        </w:rPr>
        <w:t xml:space="preserve"> לענין למשש הדופק באשתו נדה.</w:t>
      </w:r>
      <w:r>
        <w:rPr>
          <w:rFonts w:ascii="David" w:hAnsi="David" w:cs="David" w:hint="cs"/>
          <w:sz w:val="24"/>
          <w:szCs w:val="24"/>
          <w:rtl/>
        </w:rPr>
        <w:t>..</w:t>
      </w:r>
      <w:r w:rsidRPr="00D52FA9">
        <w:rPr>
          <w:rFonts w:ascii="David" w:hAnsi="David" w:cs="David"/>
          <w:sz w:val="24"/>
          <w:szCs w:val="24"/>
          <w:rtl/>
        </w:rPr>
        <w:t>וא"כ צ"ע דהא מהכא מוכח דנדה הויא רק איסורין ולא הויא בכלל עריות כלל.</w:t>
      </w:r>
    </w:p>
    <w:p w14:paraId="431275DB" w14:textId="6184BB8C" w:rsidR="00D52FA9" w:rsidRPr="00D52FA9" w:rsidRDefault="00D52FA9" w:rsidP="00D52FA9">
      <w:pPr>
        <w:spacing w:after="0" w:line="360" w:lineRule="auto"/>
        <w:rPr>
          <w:rFonts w:ascii="David" w:hAnsi="David" w:cs="David"/>
          <w:sz w:val="24"/>
          <w:szCs w:val="24"/>
          <w:rtl/>
        </w:rPr>
      </w:pPr>
      <w:r w:rsidRPr="00D52FA9">
        <w:rPr>
          <w:rFonts w:ascii="David" w:hAnsi="David" w:cs="David"/>
          <w:sz w:val="24"/>
          <w:szCs w:val="24"/>
          <w:rtl/>
        </w:rPr>
        <w:t>אמנם באמת כבר הקשה הגר"ח איך נאמן ע"א בנדה מדין ע"א נאמן באיסורים כמו בחלב וכיוצ"ב</w:t>
      </w:r>
      <w:r w:rsidR="00BA2B4E">
        <w:rPr>
          <w:rFonts w:ascii="David" w:hAnsi="David" w:cs="David" w:hint="cs"/>
          <w:sz w:val="24"/>
          <w:szCs w:val="24"/>
          <w:rtl/>
        </w:rPr>
        <w:t>,</w:t>
      </w:r>
      <w:r w:rsidRPr="00D52FA9">
        <w:rPr>
          <w:rFonts w:ascii="David" w:hAnsi="David" w:cs="David"/>
          <w:sz w:val="24"/>
          <w:szCs w:val="24"/>
          <w:rtl/>
        </w:rPr>
        <w:t xml:space="preserve"> הא קי"ל </w:t>
      </w:r>
      <w:r w:rsidRPr="00D52FA9">
        <w:rPr>
          <w:rFonts w:ascii="David" w:hAnsi="David" w:cs="David"/>
          <w:b/>
          <w:bCs/>
          <w:sz w:val="24"/>
          <w:szCs w:val="24"/>
          <w:rtl/>
        </w:rPr>
        <w:t>דאין דבר דבערוה פחות משנים</w:t>
      </w:r>
      <w:r w:rsidR="005338E0">
        <w:rPr>
          <w:rFonts w:ascii="David" w:hAnsi="David" w:cs="David" w:hint="cs"/>
          <w:b/>
          <w:bCs/>
          <w:sz w:val="24"/>
          <w:szCs w:val="24"/>
          <w:rtl/>
        </w:rPr>
        <w:t>,</w:t>
      </w:r>
      <w:r w:rsidRPr="00D52FA9">
        <w:rPr>
          <w:rFonts w:ascii="David" w:hAnsi="David" w:cs="David"/>
          <w:sz w:val="24"/>
          <w:szCs w:val="24"/>
          <w:rtl/>
        </w:rPr>
        <w:t xml:space="preserve"> ונדה הויא נמי ערוה ככל עריות ואיך נאמן ע"א</w:t>
      </w:r>
      <w:r w:rsidR="005B7FFD">
        <w:rPr>
          <w:rFonts w:ascii="David" w:hAnsi="David" w:cs="David" w:hint="cs"/>
          <w:sz w:val="24"/>
          <w:szCs w:val="24"/>
          <w:rtl/>
        </w:rPr>
        <w:t>?</w:t>
      </w:r>
    </w:p>
    <w:p w14:paraId="570DF590" w14:textId="62B992BA" w:rsidR="00D52FA9" w:rsidRPr="00D52FA9" w:rsidRDefault="00D52FA9" w:rsidP="00D52FA9">
      <w:pPr>
        <w:spacing w:after="0" w:line="360" w:lineRule="auto"/>
        <w:rPr>
          <w:rFonts w:ascii="David" w:hAnsi="David" w:cs="David"/>
          <w:sz w:val="24"/>
          <w:szCs w:val="24"/>
          <w:rtl/>
        </w:rPr>
      </w:pPr>
      <w:r w:rsidRPr="00D52FA9">
        <w:rPr>
          <w:rFonts w:ascii="David" w:hAnsi="David" w:cs="David"/>
          <w:sz w:val="24"/>
          <w:szCs w:val="24"/>
          <w:rtl/>
        </w:rPr>
        <w:t>ותירץ</w:t>
      </w:r>
      <w:r w:rsidR="005B7FFD">
        <w:rPr>
          <w:rFonts w:ascii="David" w:hAnsi="David" w:cs="David" w:hint="cs"/>
          <w:sz w:val="24"/>
          <w:szCs w:val="24"/>
          <w:rtl/>
        </w:rPr>
        <w:t xml:space="preserve">, </w:t>
      </w:r>
      <w:r w:rsidRPr="00D52FA9">
        <w:rPr>
          <w:rFonts w:ascii="David" w:hAnsi="David" w:cs="David"/>
          <w:sz w:val="24"/>
          <w:szCs w:val="24"/>
          <w:rtl/>
        </w:rPr>
        <w:t xml:space="preserve">דנדה אינה ערוה בחפצא כשאר עריות של קורבה דבגופן הוו עריות, אלא דבנדה אמרה תורה דרק </w:t>
      </w:r>
      <w:r w:rsidRPr="00D52FA9">
        <w:rPr>
          <w:rFonts w:ascii="David" w:hAnsi="David" w:cs="David"/>
          <w:b/>
          <w:bCs/>
          <w:sz w:val="24"/>
          <w:szCs w:val="24"/>
          <w:rtl/>
        </w:rPr>
        <w:t>ביאתה הוי ביאת ערוה</w:t>
      </w:r>
      <w:r w:rsidR="005B7FFD">
        <w:rPr>
          <w:rFonts w:ascii="David" w:hAnsi="David" w:cs="David" w:hint="cs"/>
          <w:b/>
          <w:bCs/>
          <w:sz w:val="24"/>
          <w:szCs w:val="24"/>
          <w:rtl/>
        </w:rPr>
        <w:t>,</w:t>
      </w:r>
      <w:r w:rsidRPr="00D52FA9">
        <w:rPr>
          <w:rFonts w:ascii="David" w:hAnsi="David" w:cs="David"/>
          <w:b/>
          <w:bCs/>
          <w:sz w:val="24"/>
          <w:szCs w:val="24"/>
          <w:rtl/>
        </w:rPr>
        <w:t xml:space="preserve"> אבל איהי גופה בעצמותה אינה ערוה</w:t>
      </w:r>
      <w:r>
        <w:rPr>
          <w:rFonts w:ascii="David" w:hAnsi="David" w:cs="David" w:hint="cs"/>
          <w:b/>
          <w:bCs/>
          <w:sz w:val="24"/>
          <w:szCs w:val="24"/>
          <w:rtl/>
        </w:rPr>
        <w:t>.</w:t>
      </w:r>
      <w:r w:rsidRPr="00D52FA9">
        <w:rPr>
          <w:rFonts w:ascii="David" w:hAnsi="David" w:cs="David"/>
          <w:sz w:val="24"/>
          <w:szCs w:val="24"/>
          <w:rtl/>
        </w:rPr>
        <w:t xml:space="preserve"> ולכן שייך בה דין ע"א נאמן באיסורים, כיון דהוי עדות על החפצא דנדה דהוי רק איסורין.</w:t>
      </w:r>
      <w:r>
        <w:rPr>
          <w:rFonts w:ascii="David" w:hAnsi="David" w:cs="David" w:hint="cs"/>
          <w:sz w:val="24"/>
          <w:szCs w:val="24"/>
          <w:rtl/>
        </w:rPr>
        <w:t xml:space="preserve"> </w:t>
      </w:r>
      <w:r w:rsidRPr="00D52FA9">
        <w:rPr>
          <w:rFonts w:ascii="David" w:hAnsi="David" w:cs="David"/>
          <w:sz w:val="24"/>
          <w:szCs w:val="24"/>
          <w:rtl/>
        </w:rPr>
        <w:t>ולפי"ז א"ש</w:t>
      </w:r>
      <w:r w:rsidR="005B7FFD">
        <w:rPr>
          <w:rFonts w:ascii="David" w:hAnsi="David" w:cs="David" w:hint="cs"/>
          <w:sz w:val="24"/>
          <w:szCs w:val="24"/>
          <w:rtl/>
        </w:rPr>
        <w:t>,</w:t>
      </w:r>
      <w:r w:rsidRPr="00D52FA9">
        <w:rPr>
          <w:rFonts w:ascii="David" w:hAnsi="David" w:cs="David"/>
          <w:sz w:val="24"/>
          <w:szCs w:val="24"/>
          <w:rtl/>
        </w:rPr>
        <w:t xml:space="preserve"> </w:t>
      </w:r>
      <w:r w:rsidRPr="00BA2B4E">
        <w:rPr>
          <w:rFonts w:ascii="David" w:hAnsi="David" w:cs="David"/>
          <w:b/>
          <w:bCs/>
          <w:sz w:val="24"/>
          <w:szCs w:val="24"/>
          <w:rtl/>
        </w:rPr>
        <w:t>דדוקא לגבי יהרג ואל יעבור שייך שפיר לומר דיש בה דין ערוה גמורה דיהרג ואל יעבור</w:t>
      </w:r>
      <w:r w:rsidRPr="00D52FA9">
        <w:rPr>
          <w:rFonts w:ascii="David" w:hAnsi="David" w:cs="David"/>
          <w:sz w:val="24"/>
          <w:szCs w:val="24"/>
          <w:rtl/>
        </w:rPr>
        <w:t>, כיון דאמרה תורה דביאתה הויא ביאת ערוה ככל עריות.</w:t>
      </w:r>
    </w:p>
    <w:p w14:paraId="6239D373" w14:textId="79A6C898" w:rsidR="00D52FA9" w:rsidRPr="00D52FA9" w:rsidRDefault="00D52FA9" w:rsidP="00BA2B4E">
      <w:pPr>
        <w:spacing w:after="0" w:line="360" w:lineRule="auto"/>
        <w:rPr>
          <w:rFonts w:ascii="David" w:hAnsi="David" w:cs="David"/>
          <w:sz w:val="24"/>
          <w:szCs w:val="24"/>
          <w:rtl/>
        </w:rPr>
      </w:pPr>
      <w:r w:rsidRPr="00D52FA9">
        <w:rPr>
          <w:rFonts w:ascii="David" w:hAnsi="David" w:cs="David"/>
          <w:sz w:val="24"/>
          <w:szCs w:val="24"/>
          <w:rtl/>
        </w:rPr>
        <w:t>אבל מ"מ לענין לפטור מיבום לא דמיא לשאר עריות, דבשאר עריות דאסורות רק לו משום קורבה, הוי הערוה בגוף האשה, דהאישות ביניהם הוי עריות זה לזה, משא"כ נדה דאסורה לכל, אין הערוה בעצמותה ורק דביאתה הוי ביאת עריות</w:t>
      </w:r>
      <w:r w:rsidR="00BA2B4E">
        <w:rPr>
          <w:rFonts w:ascii="David" w:hAnsi="David" w:cs="David" w:hint="cs"/>
          <w:sz w:val="24"/>
          <w:szCs w:val="24"/>
          <w:rtl/>
        </w:rPr>
        <w:t>..".</w:t>
      </w:r>
    </w:p>
    <w:p w14:paraId="57699A18" w14:textId="676D6E08" w:rsidR="00C529AC" w:rsidRDefault="00EC705C" w:rsidP="00BA2B4E">
      <w:pPr>
        <w:spacing w:after="0" w:line="360" w:lineRule="auto"/>
        <w:rPr>
          <w:rFonts w:asciiTheme="majorBidi" w:hAnsiTheme="majorBidi" w:cstheme="majorBidi"/>
          <w:sz w:val="24"/>
          <w:szCs w:val="24"/>
          <w:rtl/>
        </w:rPr>
      </w:pPr>
      <w:r w:rsidRPr="00EC705C">
        <w:rPr>
          <w:rFonts w:asciiTheme="majorBidi" w:hAnsiTheme="majorBidi" w:cstheme="majorBidi"/>
          <w:sz w:val="24"/>
          <w:szCs w:val="24"/>
          <w:rtl/>
        </w:rPr>
        <w:t>באתוון דאורייתא</w:t>
      </w:r>
      <w:r w:rsidR="005B7FFD">
        <w:rPr>
          <w:rStyle w:val="a5"/>
          <w:rFonts w:asciiTheme="majorBidi" w:hAnsiTheme="majorBidi" w:cstheme="majorBidi"/>
          <w:sz w:val="24"/>
          <w:szCs w:val="24"/>
          <w:rtl/>
        </w:rPr>
        <w:footnoteReference w:id="33"/>
      </w:r>
      <w:r w:rsidRPr="00EC705C">
        <w:rPr>
          <w:rFonts w:asciiTheme="majorBidi" w:hAnsiTheme="majorBidi" w:cstheme="majorBidi"/>
          <w:sz w:val="24"/>
          <w:szCs w:val="24"/>
          <w:rtl/>
        </w:rPr>
        <w:t xml:space="preserve"> מבאר ש</w:t>
      </w:r>
      <w:r w:rsidR="001B1D5D">
        <w:rPr>
          <w:rFonts w:asciiTheme="majorBidi" w:hAnsiTheme="majorBidi" w:cstheme="majorBidi"/>
          <w:sz w:val="24"/>
          <w:szCs w:val="24"/>
          <w:rtl/>
        </w:rPr>
        <w:t>נדה</w:t>
      </w:r>
      <w:r w:rsidRPr="00EC705C">
        <w:rPr>
          <w:rFonts w:asciiTheme="majorBidi" w:hAnsiTheme="majorBidi" w:cstheme="majorBidi"/>
          <w:sz w:val="24"/>
          <w:szCs w:val="24"/>
          <w:rtl/>
        </w:rPr>
        <w:t xml:space="preserve"> איננה טומאה אלא איסור. השלכות לכך: 1.אין אומרים שספק ספקא טמא ברשות היחיד</w:t>
      </w:r>
      <w:r w:rsidR="005B7FFD">
        <w:rPr>
          <w:rStyle w:val="a5"/>
          <w:rFonts w:asciiTheme="majorBidi" w:hAnsiTheme="majorBidi" w:cstheme="majorBidi"/>
          <w:sz w:val="24"/>
          <w:szCs w:val="24"/>
          <w:rtl/>
        </w:rPr>
        <w:footnoteReference w:id="34"/>
      </w:r>
      <w:r w:rsidRPr="00EC705C">
        <w:rPr>
          <w:rFonts w:asciiTheme="majorBidi" w:hAnsiTheme="majorBidi" w:cstheme="majorBidi"/>
          <w:sz w:val="24"/>
          <w:szCs w:val="24"/>
          <w:rtl/>
        </w:rPr>
        <w:t xml:space="preserve">.  </w:t>
      </w:r>
      <w:r w:rsidRPr="00BA2B4E">
        <w:rPr>
          <w:rFonts w:asciiTheme="majorBidi" w:hAnsiTheme="majorBidi" w:cstheme="majorBidi"/>
          <w:sz w:val="24"/>
          <w:szCs w:val="24"/>
          <w:rtl/>
        </w:rPr>
        <w:t xml:space="preserve">2. ניתן ללמוד דין עד אחד </w:t>
      </w:r>
      <w:r w:rsidR="00DC0678">
        <w:rPr>
          <w:rFonts w:asciiTheme="majorBidi" w:hAnsiTheme="majorBidi" w:cstheme="majorBidi" w:hint="cs"/>
          <w:sz w:val="24"/>
          <w:szCs w:val="24"/>
          <w:rtl/>
        </w:rPr>
        <w:t xml:space="preserve">נאמן באיסורים </w:t>
      </w:r>
      <w:r w:rsidRPr="00BA2B4E">
        <w:rPr>
          <w:rFonts w:asciiTheme="majorBidi" w:hAnsiTheme="majorBidi" w:cstheme="majorBidi"/>
          <w:sz w:val="24"/>
          <w:szCs w:val="24"/>
          <w:rtl/>
        </w:rPr>
        <w:t>מ</w:t>
      </w:r>
      <w:r w:rsidR="001B1D5D">
        <w:rPr>
          <w:rFonts w:asciiTheme="majorBidi" w:hAnsiTheme="majorBidi" w:cstheme="majorBidi"/>
          <w:sz w:val="24"/>
          <w:szCs w:val="24"/>
          <w:rtl/>
        </w:rPr>
        <w:t>נדה</w:t>
      </w:r>
      <w:r w:rsidRPr="00BA2B4E">
        <w:rPr>
          <w:rFonts w:asciiTheme="majorBidi" w:hAnsiTheme="majorBidi" w:cstheme="majorBidi"/>
          <w:sz w:val="24"/>
          <w:szCs w:val="24"/>
          <w:rtl/>
        </w:rPr>
        <w:t>, שאין זה לימוד איסור מטומאה.</w:t>
      </w:r>
      <w:r w:rsidR="00BA2B4E">
        <w:rPr>
          <w:rFonts w:ascii="David" w:hAnsi="David" w:cs="David" w:hint="cs"/>
          <w:sz w:val="24"/>
          <w:szCs w:val="24"/>
          <w:rtl/>
        </w:rPr>
        <w:t xml:space="preserve"> </w:t>
      </w:r>
    </w:p>
    <w:p w14:paraId="243D6141" w14:textId="3F4CEB3B" w:rsidR="00BA2B4E" w:rsidRPr="00BA2B4E" w:rsidRDefault="00BA2B4E" w:rsidP="00BA2B4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הוא מוכיח זאת גם מדברי הכוזרי והגר"א: </w:t>
      </w:r>
      <w:r>
        <w:rPr>
          <w:rFonts w:asciiTheme="majorBidi" w:hAnsiTheme="majorBidi" w:cs="Times New Roman" w:hint="cs"/>
          <w:sz w:val="24"/>
          <w:szCs w:val="24"/>
          <w:rtl/>
        </w:rPr>
        <w:t xml:space="preserve"> </w:t>
      </w:r>
    </w:p>
    <w:p w14:paraId="61C8CC0F" w14:textId="5DBB97CB" w:rsidR="00BA2B4E" w:rsidRPr="00BA2B4E" w:rsidRDefault="00000B2C" w:rsidP="00BA2B4E">
      <w:pPr>
        <w:spacing w:after="0" w:line="360" w:lineRule="auto"/>
        <w:rPr>
          <w:rFonts w:ascii="David" w:hAnsi="David" w:cs="David"/>
          <w:sz w:val="24"/>
          <w:szCs w:val="24"/>
          <w:rtl/>
        </w:rPr>
      </w:pPr>
      <w:r>
        <w:rPr>
          <w:rFonts w:ascii="David" w:hAnsi="David" w:cs="David" w:hint="cs"/>
          <w:sz w:val="24"/>
          <w:szCs w:val="24"/>
          <w:rtl/>
        </w:rPr>
        <w:t>"</w:t>
      </w:r>
      <w:r w:rsidR="00BA2B4E" w:rsidRPr="00BA2B4E">
        <w:rPr>
          <w:rFonts w:ascii="David" w:hAnsi="David" w:cs="David"/>
          <w:sz w:val="24"/>
          <w:szCs w:val="24"/>
          <w:rtl/>
        </w:rPr>
        <w:t xml:space="preserve">וראיתי בספר הכוזרי </w:t>
      </w:r>
      <w:r w:rsidR="00BA2B4E" w:rsidRPr="00BA2B4E">
        <w:rPr>
          <w:rFonts w:ascii="David" w:hAnsi="David" w:cs="David"/>
          <w:sz w:val="18"/>
          <w:szCs w:val="18"/>
          <w:rtl/>
        </w:rPr>
        <w:t>מאמר ג' סי' מ"ט כ'</w:t>
      </w:r>
      <w:r w:rsidR="00BA2B4E" w:rsidRPr="00BA2B4E">
        <w:rPr>
          <w:rFonts w:ascii="David" w:hAnsi="David" w:cs="David"/>
          <w:sz w:val="24"/>
          <w:szCs w:val="24"/>
          <w:rtl/>
        </w:rPr>
        <w:t xml:space="preserve"> וז"ל אמר החבר הטומאה והקדושה ב' עניינים זה כנגד זה</w:t>
      </w:r>
      <w:r w:rsidR="00BA2B4E">
        <w:rPr>
          <w:rFonts w:ascii="David" w:hAnsi="David" w:cs="David" w:hint="cs"/>
          <w:sz w:val="24"/>
          <w:szCs w:val="24"/>
          <w:rtl/>
        </w:rPr>
        <w:t xml:space="preserve">... </w:t>
      </w:r>
      <w:r w:rsidR="00BA2B4E" w:rsidRPr="00BA2B4E">
        <w:rPr>
          <w:rFonts w:ascii="David" w:hAnsi="David" w:cs="David"/>
          <w:sz w:val="24"/>
          <w:szCs w:val="24"/>
          <w:rtl/>
        </w:rPr>
        <w:t>ומה שמצינו היום איסור שכיבת הנדה והיולדת אינו מפני הטומאה אבל היא מצוה גרידא מאת הבורא עכ"ל והנה וודאי אין כוונתו דאיסור שכיבת נדה ויולדת בזמן הבית הי' מפאת טומאה</w:t>
      </w:r>
      <w:r>
        <w:rPr>
          <w:rFonts w:ascii="David" w:hAnsi="David" w:cs="David" w:hint="cs"/>
          <w:sz w:val="24"/>
          <w:szCs w:val="24"/>
          <w:rtl/>
        </w:rPr>
        <w:t>,</w:t>
      </w:r>
      <w:r w:rsidR="00BA2B4E" w:rsidRPr="00BA2B4E">
        <w:rPr>
          <w:rFonts w:ascii="David" w:hAnsi="David" w:cs="David"/>
          <w:sz w:val="24"/>
          <w:szCs w:val="24"/>
          <w:rtl/>
        </w:rPr>
        <w:t xml:space="preserve"> שהרי בענין איסור השכיבה אין שום חילוק בין זמן הבית לשלא בזמן הבית</w:t>
      </w:r>
      <w:r>
        <w:rPr>
          <w:rFonts w:ascii="David" w:hAnsi="David" w:cs="David" w:hint="cs"/>
          <w:sz w:val="24"/>
          <w:szCs w:val="24"/>
          <w:rtl/>
        </w:rPr>
        <w:t>,</w:t>
      </w:r>
      <w:r w:rsidR="00BA2B4E" w:rsidRPr="00BA2B4E">
        <w:rPr>
          <w:rFonts w:ascii="David" w:hAnsi="David" w:cs="David"/>
          <w:sz w:val="24"/>
          <w:szCs w:val="24"/>
          <w:rtl/>
        </w:rPr>
        <w:t xml:space="preserve"> ורק כוונתו</w:t>
      </w:r>
      <w:r>
        <w:rPr>
          <w:rFonts w:ascii="David" w:hAnsi="David" w:cs="David" w:hint="cs"/>
          <w:sz w:val="24"/>
          <w:szCs w:val="24"/>
          <w:rtl/>
        </w:rPr>
        <w:t>,</w:t>
      </w:r>
      <w:r w:rsidR="00BA2B4E" w:rsidRPr="00BA2B4E">
        <w:rPr>
          <w:rFonts w:ascii="David" w:hAnsi="David" w:cs="David"/>
          <w:sz w:val="24"/>
          <w:szCs w:val="24"/>
          <w:rtl/>
        </w:rPr>
        <w:t xml:space="preserve"> דמה שאיסור השכיבה נוהג גם עתה אף על פי שענייני טומאה וטהרה רובם אין נוהגים עתה</w:t>
      </w:r>
      <w:r>
        <w:rPr>
          <w:rFonts w:ascii="David" w:hAnsi="David" w:cs="David" w:hint="cs"/>
          <w:sz w:val="24"/>
          <w:szCs w:val="24"/>
          <w:rtl/>
        </w:rPr>
        <w:t>,</w:t>
      </w:r>
      <w:r w:rsidR="00BA2B4E" w:rsidRPr="00BA2B4E">
        <w:rPr>
          <w:rFonts w:ascii="David" w:hAnsi="David" w:cs="David"/>
          <w:sz w:val="24"/>
          <w:szCs w:val="24"/>
          <w:rtl/>
        </w:rPr>
        <w:t xml:space="preserve"> זהו מפאת </w:t>
      </w:r>
      <w:r w:rsidR="00BA2B4E" w:rsidRPr="005338E0">
        <w:rPr>
          <w:rFonts w:ascii="David" w:hAnsi="David" w:cs="David"/>
          <w:b/>
          <w:bCs/>
          <w:sz w:val="24"/>
          <w:szCs w:val="24"/>
          <w:rtl/>
        </w:rPr>
        <w:t>שאיסור השכיבה איננו משום טומאה כלל מעולם</w:t>
      </w:r>
      <w:r>
        <w:rPr>
          <w:rFonts w:ascii="David" w:hAnsi="David" w:cs="David" w:hint="cs"/>
          <w:b/>
          <w:bCs/>
          <w:sz w:val="24"/>
          <w:szCs w:val="24"/>
          <w:rtl/>
        </w:rPr>
        <w:t>,</w:t>
      </w:r>
      <w:r w:rsidR="00BA2B4E" w:rsidRPr="005338E0">
        <w:rPr>
          <w:rFonts w:ascii="David" w:hAnsi="David" w:cs="David"/>
          <w:b/>
          <w:bCs/>
          <w:sz w:val="24"/>
          <w:szCs w:val="24"/>
          <w:rtl/>
        </w:rPr>
        <w:t xml:space="preserve"> רק ציווי גרידא של איסור</w:t>
      </w:r>
      <w:r w:rsidR="00BA2B4E" w:rsidRPr="00BA2B4E">
        <w:rPr>
          <w:rFonts w:ascii="David" w:hAnsi="David" w:cs="David"/>
          <w:sz w:val="24"/>
          <w:szCs w:val="24"/>
          <w:rtl/>
        </w:rPr>
        <w:t xml:space="preserve"> הוא מאתו ית' ככל שאר האיסורים</w:t>
      </w:r>
      <w:r>
        <w:rPr>
          <w:rFonts w:ascii="David" w:hAnsi="David" w:cs="David" w:hint="cs"/>
          <w:sz w:val="24"/>
          <w:szCs w:val="24"/>
          <w:rtl/>
        </w:rPr>
        <w:t>..</w:t>
      </w:r>
      <w:r w:rsidR="00BA2B4E" w:rsidRPr="00BA2B4E">
        <w:rPr>
          <w:rFonts w:ascii="David" w:hAnsi="David" w:cs="David"/>
          <w:sz w:val="24"/>
          <w:szCs w:val="24"/>
          <w:rtl/>
        </w:rPr>
        <w:t xml:space="preserve"> וא"כ מבואר דס"ל ז"ל דנדה לבעלה איננה טומאה רק איסור: </w:t>
      </w:r>
    </w:p>
    <w:p w14:paraId="5D16541E" w14:textId="217F0948" w:rsidR="00BA2B4E" w:rsidRPr="00BA2B4E" w:rsidRDefault="00BA2B4E" w:rsidP="00BA2B4E">
      <w:pPr>
        <w:spacing w:after="0" w:line="360" w:lineRule="auto"/>
        <w:rPr>
          <w:rFonts w:ascii="David" w:hAnsi="David" w:cs="David"/>
          <w:sz w:val="24"/>
          <w:szCs w:val="24"/>
          <w:rtl/>
        </w:rPr>
      </w:pPr>
      <w:r w:rsidRPr="00BA2B4E">
        <w:rPr>
          <w:rFonts w:ascii="David" w:hAnsi="David" w:cs="David"/>
          <w:sz w:val="24"/>
          <w:szCs w:val="24"/>
          <w:rtl/>
        </w:rPr>
        <w:t xml:space="preserve">ועיין עוד בס' אדרת אלי' </w:t>
      </w:r>
      <w:r w:rsidRPr="00000B2C">
        <w:rPr>
          <w:rFonts w:ascii="David" w:hAnsi="David" w:cs="David"/>
          <w:sz w:val="18"/>
          <w:szCs w:val="18"/>
          <w:rtl/>
        </w:rPr>
        <w:t xml:space="preserve">להגר"א ז"ל פרשת שופטים </w:t>
      </w:r>
      <w:r w:rsidRPr="00BA2B4E">
        <w:rPr>
          <w:rFonts w:ascii="David" w:hAnsi="David" w:cs="David"/>
          <w:sz w:val="24"/>
          <w:szCs w:val="24"/>
          <w:rtl/>
        </w:rPr>
        <w:t>על הכתוב כי יפלא ממך דבר למשפט בין דם לדם בין דין לדין בין נגע לנגע שכ' וז"ל שהתורה נחלקת לששה חלקים</w:t>
      </w:r>
      <w:r w:rsidR="00DC0678">
        <w:rPr>
          <w:rFonts w:ascii="David" w:hAnsi="David" w:cs="David" w:hint="cs"/>
          <w:sz w:val="24"/>
          <w:szCs w:val="24"/>
          <w:rtl/>
        </w:rPr>
        <w:t>:</w:t>
      </w:r>
      <w:r w:rsidRPr="00BA2B4E">
        <w:rPr>
          <w:rFonts w:ascii="David" w:hAnsi="David" w:cs="David"/>
          <w:sz w:val="24"/>
          <w:szCs w:val="24"/>
          <w:rtl/>
        </w:rPr>
        <w:t xml:space="preserve"> טהור וטמא אסור ומותר חייב וזכאי</w:t>
      </w:r>
      <w:r w:rsidR="00DC0678">
        <w:rPr>
          <w:rFonts w:ascii="David" w:hAnsi="David" w:cs="David" w:hint="cs"/>
          <w:sz w:val="24"/>
          <w:szCs w:val="24"/>
          <w:rtl/>
        </w:rPr>
        <w:t>.</w:t>
      </w:r>
      <w:r w:rsidRPr="00BA2B4E">
        <w:rPr>
          <w:rFonts w:ascii="David" w:hAnsi="David" w:cs="David"/>
          <w:sz w:val="24"/>
          <w:szCs w:val="24"/>
          <w:rtl/>
        </w:rPr>
        <w:t xml:space="preserve"> בין דם לדם הוא אסור ומותר כדי לטהר אשה לבעלה</w:t>
      </w:r>
      <w:r w:rsidR="00DC0678">
        <w:rPr>
          <w:rFonts w:ascii="David" w:hAnsi="David" w:cs="David" w:hint="cs"/>
          <w:sz w:val="24"/>
          <w:szCs w:val="24"/>
          <w:rtl/>
        </w:rPr>
        <w:t>,</w:t>
      </w:r>
      <w:r w:rsidRPr="00BA2B4E">
        <w:rPr>
          <w:rFonts w:ascii="David" w:hAnsi="David" w:cs="David"/>
          <w:sz w:val="24"/>
          <w:szCs w:val="24"/>
          <w:rtl/>
        </w:rPr>
        <w:t xml:space="preserve"> בין דין לדין הוא חייב וזכאי</w:t>
      </w:r>
      <w:r w:rsidR="00DC0678">
        <w:rPr>
          <w:rFonts w:ascii="David" w:hAnsi="David" w:cs="David" w:hint="cs"/>
          <w:sz w:val="24"/>
          <w:szCs w:val="24"/>
          <w:rtl/>
        </w:rPr>
        <w:t>,</w:t>
      </w:r>
      <w:r w:rsidRPr="00BA2B4E">
        <w:rPr>
          <w:rFonts w:ascii="David" w:hAnsi="David" w:cs="David"/>
          <w:sz w:val="24"/>
          <w:szCs w:val="24"/>
          <w:rtl/>
        </w:rPr>
        <w:t xml:space="preserve"> בין נגע לנגע הוא טמא וטהור עכ"ל ומבואר דדם נדה וזיבה האוסר אשה לבעלה היא בסוג איסור</w:t>
      </w:r>
      <w:r w:rsidR="008D1A99">
        <w:rPr>
          <w:rFonts w:ascii="David" w:hAnsi="David" w:cs="David" w:hint="cs"/>
          <w:sz w:val="24"/>
          <w:szCs w:val="24"/>
          <w:rtl/>
        </w:rPr>
        <w:t>,</w:t>
      </w:r>
      <w:r w:rsidRPr="00BA2B4E">
        <w:rPr>
          <w:rFonts w:ascii="David" w:hAnsi="David" w:cs="David"/>
          <w:sz w:val="24"/>
          <w:szCs w:val="24"/>
          <w:rtl/>
        </w:rPr>
        <w:t xml:space="preserve"> לא בסוג טומאה</w:t>
      </w:r>
      <w:r>
        <w:rPr>
          <w:rFonts w:ascii="David" w:hAnsi="David" w:cs="David" w:hint="cs"/>
          <w:sz w:val="24"/>
          <w:szCs w:val="24"/>
          <w:rtl/>
        </w:rPr>
        <w:t>".</w:t>
      </w:r>
    </w:p>
    <w:p w14:paraId="6083C988" w14:textId="73C2E5F7" w:rsidR="00C529AC" w:rsidRDefault="008D1A99" w:rsidP="00C50C7F">
      <w:pPr>
        <w:spacing w:after="0" w:line="360" w:lineRule="auto"/>
        <w:rPr>
          <w:rFonts w:asciiTheme="majorBidi" w:hAnsiTheme="majorBidi" w:cstheme="majorBidi"/>
          <w:sz w:val="24"/>
          <w:szCs w:val="24"/>
          <w:rtl/>
        </w:rPr>
      </w:pPr>
      <w:r>
        <w:lastRenderedPageBreak/>
        <w:drawing>
          <wp:inline distT="0" distB="0" distL="0" distR="0" wp14:anchorId="16FD2D4B" wp14:editId="09BF53C4">
            <wp:extent cx="4495800" cy="294322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95800" cy="2943225"/>
                    </a:xfrm>
                    <a:prstGeom prst="rect">
                      <a:avLst/>
                    </a:prstGeom>
                  </pic:spPr>
                </pic:pic>
              </a:graphicData>
            </a:graphic>
          </wp:inline>
        </w:drawing>
      </w:r>
    </w:p>
    <w:p w14:paraId="72495A35" w14:textId="03168F3B" w:rsidR="00C529AC" w:rsidRDefault="00C529AC" w:rsidP="00C50C7F">
      <w:pPr>
        <w:spacing w:after="0" w:line="360" w:lineRule="auto"/>
        <w:rPr>
          <w:rFonts w:asciiTheme="majorBidi" w:hAnsiTheme="majorBidi" w:cstheme="majorBidi"/>
          <w:sz w:val="24"/>
          <w:szCs w:val="24"/>
          <w:rtl/>
        </w:rPr>
      </w:pPr>
    </w:p>
    <w:p w14:paraId="1381742C" w14:textId="68527621" w:rsidR="00C529AC" w:rsidRDefault="00C529AC" w:rsidP="00C50C7F">
      <w:pPr>
        <w:spacing w:after="0" w:line="360" w:lineRule="auto"/>
        <w:rPr>
          <w:rFonts w:asciiTheme="majorBidi" w:hAnsiTheme="majorBidi" w:cstheme="majorBidi"/>
          <w:sz w:val="24"/>
          <w:szCs w:val="24"/>
          <w:rtl/>
        </w:rPr>
      </w:pPr>
    </w:p>
    <w:p w14:paraId="3E8ABF08" w14:textId="6BCF7716" w:rsidR="00C529AC" w:rsidRDefault="00C529AC" w:rsidP="00C50C7F">
      <w:pPr>
        <w:spacing w:after="0" w:line="360" w:lineRule="auto"/>
        <w:rPr>
          <w:rFonts w:asciiTheme="majorBidi" w:hAnsiTheme="majorBidi" w:cstheme="majorBidi"/>
          <w:sz w:val="24"/>
          <w:szCs w:val="24"/>
          <w:rtl/>
        </w:rPr>
      </w:pPr>
    </w:p>
    <w:sectPr w:rsidR="00C529AC" w:rsidSect="00A44340">
      <w:head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4FEA" w14:textId="77777777" w:rsidR="00143E7D" w:rsidRDefault="00143E7D" w:rsidP="00C529AC">
      <w:pPr>
        <w:spacing w:after="0" w:line="240" w:lineRule="auto"/>
      </w:pPr>
      <w:r>
        <w:separator/>
      </w:r>
    </w:p>
  </w:endnote>
  <w:endnote w:type="continuationSeparator" w:id="0">
    <w:p w14:paraId="117952FB" w14:textId="77777777" w:rsidR="00143E7D" w:rsidRDefault="00143E7D" w:rsidP="00C5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33C9" w14:textId="77777777" w:rsidR="00143E7D" w:rsidRDefault="00143E7D" w:rsidP="00C529AC">
      <w:pPr>
        <w:spacing w:after="0" w:line="240" w:lineRule="auto"/>
      </w:pPr>
      <w:r>
        <w:separator/>
      </w:r>
    </w:p>
  </w:footnote>
  <w:footnote w:type="continuationSeparator" w:id="0">
    <w:p w14:paraId="28E0207F" w14:textId="77777777" w:rsidR="00143E7D" w:rsidRDefault="00143E7D" w:rsidP="00C529AC">
      <w:pPr>
        <w:spacing w:after="0" w:line="240" w:lineRule="auto"/>
      </w:pPr>
      <w:r>
        <w:continuationSeparator/>
      </w:r>
    </w:p>
  </w:footnote>
  <w:footnote w:id="1">
    <w:p w14:paraId="5595EC43" w14:textId="218B129F" w:rsidR="00C529AC" w:rsidRPr="004B3DF7" w:rsidRDefault="00C529AC" w:rsidP="001B1D5D">
      <w:pPr>
        <w:pStyle w:val="a3"/>
        <w:spacing w:line="360" w:lineRule="auto"/>
        <w:rPr>
          <w:rFonts w:asciiTheme="majorBidi" w:hAnsiTheme="majorBidi" w:cstheme="majorBidi"/>
          <w:rtl/>
        </w:rPr>
      </w:pPr>
      <w:r w:rsidRPr="004B3DF7">
        <w:rPr>
          <w:rStyle w:val="a5"/>
          <w:rFonts w:asciiTheme="majorBidi" w:hAnsiTheme="majorBidi" w:cstheme="majorBidi"/>
        </w:rPr>
        <w:footnoteRef/>
      </w:r>
      <w:r w:rsidRPr="004B3DF7">
        <w:rPr>
          <w:rFonts w:asciiTheme="majorBidi" w:hAnsiTheme="majorBidi" w:cstheme="majorBidi"/>
          <w:rtl/>
        </w:rPr>
        <w:t xml:space="preserve"> תורה תמימה ויקרא פרק טו אות צג.</w:t>
      </w:r>
    </w:p>
  </w:footnote>
  <w:footnote w:id="2">
    <w:p w14:paraId="64BAB30E" w14:textId="6319B855" w:rsidR="00C529AC" w:rsidRPr="004B3DF7" w:rsidRDefault="00C529AC" w:rsidP="001B1D5D">
      <w:pPr>
        <w:pStyle w:val="a3"/>
        <w:spacing w:line="360" w:lineRule="auto"/>
        <w:rPr>
          <w:rFonts w:asciiTheme="majorBidi" w:hAnsiTheme="majorBidi" w:cstheme="majorBidi"/>
        </w:rPr>
      </w:pPr>
      <w:r w:rsidRPr="004B3DF7">
        <w:rPr>
          <w:rStyle w:val="a5"/>
          <w:rFonts w:asciiTheme="majorBidi" w:hAnsiTheme="majorBidi" w:cstheme="majorBidi"/>
        </w:rPr>
        <w:footnoteRef/>
      </w:r>
      <w:r w:rsidRPr="004B3DF7">
        <w:rPr>
          <w:rFonts w:asciiTheme="majorBidi" w:hAnsiTheme="majorBidi" w:cstheme="majorBidi"/>
          <w:rtl/>
        </w:rPr>
        <w:t xml:space="preserve"> ראב"ן על קדושין דף סח עמוד א.</w:t>
      </w:r>
    </w:p>
  </w:footnote>
  <w:footnote w:id="3">
    <w:p w14:paraId="02D654E0" w14:textId="25F7E66F" w:rsidR="005F3998" w:rsidRPr="004B3DF7" w:rsidRDefault="005F3998" w:rsidP="001B1D5D">
      <w:pPr>
        <w:spacing w:after="0" w:line="360" w:lineRule="auto"/>
        <w:rPr>
          <w:rFonts w:asciiTheme="majorBidi" w:hAnsiTheme="majorBidi" w:cstheme="majorBidi"/>
          <w:sz w:val="20"/>
          <w:szCs w:val="20"/>
          <w:rtl/>
        </w:rPr>
      </w:pPr>
      <w:r w:rsidRPr="004B3DF7">
        <w:rPr>
          <w:rStyle w:val="a5"/>
          <w:rFonts w:asciiTheme="majorBidi" w:hAnsiTheme="majorBidi" w:cstheme="majorBidi"/>
          <w:sz w:val="20"/>
          <w:szCs w:val="20"/>
        </w:rPr>
        <w:footnoteRef/>
      </w:r>
      <w:r w:rsidRPr="004B3DF7">
        <w:rPr>
          <w:rFonts w:asciiTheme="majorBidi" w:hAnsiTheme="majorBidi" w:cstheme="majorBidi"/>
          <w:sz w:val="20"/>
          <w:szCs w:val="20"/>
          <w:rtl/>
        </w:rPr>
        <w:t xml:space="preserve"> רמב"ם הלכות אישות פרק ד הלכה יב.</w:t>
      </w:r>
    </w:p>
  </w:footnote>
  <w:footnote w:id="4">
    <w:p w14:paraId="51830D0D" w14:textId="3938F885" w:rsidR="00CE6A83" w:rsidRPr="004B3DF7" w:rsidRDefault="00CE6A83" w:rsidP="001B1D5D">
      <w:pPr>
        <w:pStyle w:val="a3"/>
        <w:spacing w:line="360" w:lineRule="auto"/>
        <w:rPr>
          <w:rFonts w:asciiTheme="majorBidi" w:hAnsiTheme="majorBidi" w:cstheme="majorBidi"/>
        </w:rPr>
      </w:pPr>
      <w:r w:rsidRPr="004B3DF7">
        <w:rPr>
          <w:rStyle w:val="a5"/>
          <w:rFonts w:asciiTheme="majorBidi" w:hAnsiTheme="majorBidi" w:cstheme="majorBidi"/>
        </w:rPr>
        <w:footnoteRef/>
      </w:r>
      <w:r w:rsidRPr="004B3DF7">
        <w:rPr>
          <w:rFonts w:asciiTheme="majorBidi" w:hAnsiTheme="majorBidi" w:cstheme="majorBidi"/>
          <w:rtl/>
        </w:rPr>
        <w:t xml:space="preserve"> בירור הלכה לדף מט עמוד ב ציון א.</w:t>
      </w:r>
    </w:p>
  </w:footnote>
  <w:footnote w:id="5">
    <w:p w14:paraId="47C57AB7" w14:textId="110C96CA" w:rsidR="00CE6A83" w:rsidRPr="004B3DF7" w:rsidRDefault="00CE6A83" w:rsidP="001B1D5D">
      <w:pPr>
        <w:pStyle w:val="a3"/>
        <w:spacing w:line="360" w:lineRule="auto"/>
        <w:rPr>
          <w:rFonts w:asciiTheme="majorBidi" w:hAnsiTheme="majorBidi" w:cstheme="majorBidi"/>
          <w:rtl/>
        </w:rPr>
      </w:pPr>
      <w:r w:rsidRPr="004B3DF7">
        <w:rPr>
          <w:rStyle w:val="a5"/>
          <w:rFonts w:asciiTheme="majorBidi" w:hAnsiTheme="majorBidi" w:cstheme="majorBidi"/>
        </w:rPr>
        <w:footnoteRef/>
      </w:r>
      <w:r w:rsidRPr="004B3DF7">
        <w:rPr>
          <w:rFonts w:asciiTheme="majorBidi" w:hAnsiTheme="majorBidi" w:cstheme="majorBidi"/>
          <w:rtl/>
        </w:rPr>
        <w:t xml:space="preserve"> שולחן ערוך אבן העזר סימן סא סעיף ב.</w:t>
      </w:r>
    </w:p>
  </w:footnote>
  <w:footnote w:id="6">
    <w:p w14:paraId="235A2593" w14:textId="37B0FFD1" w:rsidR="00EF5940" w:rsidRPr="004B3DF7" w:rsidRDefault="00EF5940" w:rsidP="001B1D5D">
      <w:pPr>
        <w:pStyle w:val="a3"/>
        <w:spacing w:line="360" w:lineRule="auto"/>
        <w:rPr>
          <w:rFonts w:asciiTheme="majorBidi" w:hAnsiTheme="majorBidi" w:cstheme="majorBidi"/>
        </w:rPr>
      </w:pPr>
      <w:r w:rsidRPr="004B3DF7">
        <w:rPr>
          <w:rStyle w:val="a5"/>
          <w:rFonts w:asciiTheme="majorBidi" w:hAnsiTheme="majorBidi" w:cstheme="majorBidi"/>
        </w:rPr>
        <w:footnoteRef/>
      </w:r>
      <w:r w:rsidRPr="004B3DF7">
        <w:rPr>
          <w:rFonts w:asciiTheme="majorBidi" w:hAnsiTheme="majorBidi" w:cstheme="majorBidi"/>
          <w:rtl/>
        </w:rPr>
        <w:t xml:space="preserve"> סימן סא ס"ק ח.</w:t>
      </w:r>
    </w:p>
  </w:footnote>
  <w:footnote w:id="7">
    <w:p w14:paraId="5758E820" w14:textId="325005AB" w:rsidR="00CA3522" w:rsidRPr="004B3DF7" w:rsidRDefault="00CA3522" w:rsidP="001B1D5D">
      <w:pPr>
        <w:spacing w:after="0" w:line="360" w:lineRule="auto"/>
        <w:rPr>
          <w:rFonts w:asciiTheme="majorBidi" w:hAnsiTheme="majorBidi" w:cstheme="majorBidi"/>
          <w:sz w:val="20"/>
          <w:szCs w:val="20"/>
          <w:rtl/>
        </w:rPr>
      </w:pPr>
      <w:r w:rsidRPr="004B3DF7">
        <w:rPr>
          <w:rStyle w:val="a5"/>
          <w:rFonts w:asciiTheme="majorBidi" w:hAnsiTheme="majorBidi" w:cstheme="majorBidi"/>
          <w:sz w:val="20"/>
          <w:szCs w:val="20"/>
        </w:rPr>
        <w:footnoteRef/>
      </w:r>
      <w:r w:rsidRPr="004B3DF7">
        <w:rPr>
          <w:rFonts w:asciiTheme="majorBidi" w:hAnsiTheme="majorBidi" w:cstheme="majorBidi"/>
          <w:sz w:val="20"/>
          <w:szCs w:val="20"/>
          <w:rtl/>
        </w:rPr>
        <w:t xml:space="preserve"> חלקת מחוקק סימן סא ס"ק ז בשם הגהות מימוניות.</w:t>
      </w:r>
    </w:p>
  </w:footnote>
  <w:footnote w:id="8">
    <w:p w14:paraId="563084FD" w14:textId="0D534795" w:rsidR="00A15139" w:rsidRPr="00D44FE0" w:rsidRDefault="00A15139" w:rsidP="001B1D5D">
      <w:pPr>
        <w:pStyle w:val="a3"/>
        <w:spacing w:line="360" w:lineRule="auto"/>
      </w:pPr>
      <w:r w:rsidRPr="00D44FE0">
        <w:rPr>
          <w:rStyle w:val="a5"/>
        </w:rPr>
        <w:footnoteRef/>
      </w:r>
      <w:r w:rsidRPr="00D44FE0">
        <w:rPr>
          <w:rtl/>
        </w:rPr>
        <w:t xml:space="preserve"> </w:t>
      </w:r>
      <w:r w:rsidRPr="00D44FE0">
        <w:rPr>
          <w:rFonts w:asciiTheme="majorBidi" w:hAnsiTheme="majorBidi" w:cs="Times New Roman"/>
          <w:rtl/>
        </w:rPr>
        <w:t>חלקת מחוקק סימן סא ס"ק ח</w:t>
      </w:r>
      <w:r w:rsidRPr="00D44FE0">
        <w:rPr>
          <w:rFonts w:asciiTheme="majorBidi" w:hAnsiTheme="majorBidi" w:cs="Times New Roman" w:hint="cs"/>
          <w:rtl/>
        </w:rPr>
        <w:t>.</w:t>
      </w:r>
    </w:p>
  </w:footnote>
  <w:footnote w:id="9">
    <w:p w14:paraId="4144E11A" w14:textId="5F0DF199" w:rsidR="00A15139" w:rsidRPr="001B1D5D" w:rsidRDefault="00A15139" w:rsidP="001B1D5D">
      <w:pPr>
        <w:spacing w:after="0" w:line="360" w:lineRule="auto"/>
        <w:rPr>
          <w:rFonts w:asciiTheme="majorBidi" w:hAnsiTheme="majorBidi" w:cstheme="majorBidi"/>
          <w:sz w:val="20"/>
          <w:szCs w:val="20"/>
        </w:rPr>
      </w:pPr>
      <w:r w:rsidRPr="008F3B2E">
        <w:rPr>
          <w:rStyle w:val="a5"/>
          <w:rFonts w:asciiTheme="majorBidi" w:hAnsiTheme="majorBidi" w:cstheme="majorBidi"/>
          <w:sz w:val="20"/>
          <w:szCs w:val="20"/>
        </w:rPr>
        <w:footnoteRef/>
      </w:r>
      <w:r w:rsidRPr="008F3B2E">
        <w:rPr>
          <w:rFonts w:asciiTheme="majorBidi" w:hAnsiTheme="majorBidi" w:cstheme="majorBidi"/>
          <w:sz w:val="20"/>
          <w:szCs w:val="20"/>
          <w:rtl/>
        </w:rPr>
        <w:t xml:space="preserve"> בית שמואל סימן סא ס"ק ח.</w:t>
      </w:r>
    </w:p>
  </w:footnote>
  <w:footnote w:id="10">
    <w:p w14:paraId="00E01A89" w14:textId="576D5709" w:rsidR="00EC190E" w:rsidRPr="008F3B2E" w:rsidRDefault="00EC190E" w:rsidP="001B1D5D">
      <w:pPr>
        <w:pStyle w:val="a3"/>
        <w:spacing w:line="360" w:lineRule="auto"/>
        <w:rPr>
          <w:rFonts w:asciiTheme="majorBidi" w:hAnsiTheme="majorBidi" w:cstheme="majorBidi"/>
          <w:rtl/>
        </w:rPr>
      </w:pPr>
      <w:r w:rsidRPr="008F3B2E">
        <w:rPr>
          <w:rStyle w:val="a5"/>
          <w:rFonts w:asciiTheme="majorBidi" w:hAnsiTheme="majorBidi" w:cstheme="majorBidi"/>
        </w:rPr>
        <w:footnoteRef/>
      </w:r>
      <w:r w:rsidRPr="008F3B2E">
        <w:rPr>
          <w:rFonts w:asciiTheme="majorBidi" w:hAnsiTheme="majorBidi" w:cstheme="majorBidi"/>
          <w:rtl/>
        </w:rPr>
        <w:t xml:space="preserve"> פתחי תשובה אות יב.</w:t>
      </w:r>
    </w:p>
  </w:footnote>
  <w:footnote w:id="11">
    <w:p w14:paraId="3F37C2E3" w14:textId="5E66E871" w:rsidR="00EF5940" w:rsidRPr="00492CCC" w:rsidRDefault="00EF5940" w:rsidP="00DC0678">
      <w:pPr>
        <w:pStyle w:val="a3"/>
        <w:spacing w:line="360" w:lineRule="auto"/>
        <w:rPr>
          <w:rFonts w:asciiTheme="majorBidi" w:hAnsiTheme="majorBidi" w:cstheme="majorBidi"/>
        </w:rPr>
      </w:pPr>
      <w:r w:rsidRPr="00492CCC">
        <w:rPr>
          <w:rStyle w:val="a5"/>
          <w:rFonts w:asciiTheme="majorBidi" w:hAnsiTheme="majorBidi" w:cstheme="majorBidi"/>
        </w:rPr>
        <w:footnoteRef/>
      </w:r>
      <w:r w:rsidRPr="00492CCC">
        <w:rPr>
          <w:rFonts w:asciiTheme="majorBidi" w:hAnsiTheme="majorBidi" w:cstheme="majorBidi"/>
          <w:rtl/>
        </w:rPr>
        <w:t xml:space="preserve"> מנחת חינוך מצוה רו אות ב.</w:t>
      </w:r>
    </w:p>
  </w:footnote>
  <w:footnote w:id="12">
    <w:p w14:paraId="03DE393D" w14:textId="6F42B5E3" w:rsidR="00EC190E" w:rsidRPr="00492CCC" w:rsidRDefault="00EC190E" w:rsidP="00DC0678">
      <w:pPr>
        <w:pStyle w:val="a3"/>
        <w:spacing w:line="360" w:lineRule="auto"/>
        <w:rPr>
          <w:rFonts w:asciiTheme="majorBidi" w:hAnsiTheme="majorBidi" w:cstheme="majorBidi"/>
        </w:rPr>
      </w:pPr>
      <w:r w:rsidRPr="00492CCC">
        <w:rPr>
          <w:rStyle w:val="a5"/>
          <w:rFonts w:asciiTheme="majorBidi" w:hAnsiTheme="majorBidi" w:cstheme="majorBidi"/>
        </w:rPr>
        <w:footnoteRef/>
      </w:r>
      <w:r w:rsidRPr="00492CCC">
        <w:rPr>
          <w:rFonts w:asciiTheme="majorBidi" w:hAnsiTheme="majorBidi" w:cstheme="majorBidi"/>
          <w:rtl/>
        </w:rPr>
        <w:t xml:space="preserve"> סעיף ה.</w:t>
      </w:r>
    </w:p>
  </w:footnote>
  <w:footnote w:id="13">
    <w:p w14:paraId="43179CEE" w14:textId="2678EA4B" w:rsidR="00F77157" w:rsidRPr="00492CCC" w:rsidRDefault="00F77157" w:rsidP="00DC0678">
      <w:pPr>
        <w:pStyle w:val="a3"/>
        <w:spacing w:line="360" w:lineRule="auto"/>
        <w:rPr>
          <w:rFonts w:asciiTheme="majorBidi" w:hAnsiTheme="majorBidi" w:cstheme="majorBidi"/>
        </w:rPr>
      </w:pPr>
      <w:r w:rsidRPr="00492CCC">
        <w:rPr>
          <w:rStyle w:val="a5"/>
          <w:rFonts w:asciiTheme="majorBidi" w:hAnsiTheme="majorBidi" w:cstheme="majorBidi"/>
        </w:rPr>
        <w:footnoteRef/>
      </w:r>
      <w:r w:rsidRPr="00492CCC">
        <w:rPr>
          <w:rFonts w:asciiTheme="majorBidi" w:hAnsiTheme="majorBidi" w:cstheme="majorBidi"/>
          <w:rtl/>
        </w:rPr>
        <w:t xml:space="preserve"> וממילא היא איננה הופכת זונה (מגיד משנה פרק יח הלכה א מהלכות איסורי ביאה).</w:t>
      </w:r>
    </w:p>
  </w:footnote>
  <w:footnote w:id="14">
    <w:p w14:paraId="69AB934B" w14:textId="695CC9BC" w:rsidR="006C04F8" w:rsidRPr="00492CCC" w:rsidRDefault="006C04F8" w:rsidP="00DC0678">
      <w:pPr>
        <w:pStyle w:val="a3"/>
        <w:spacing w:line="360" w:lineRule="auto"/>
        <w:rPr>
          <w:rFonts w:asciiTheme="majorBidi" w:hAnsiTheme="majorBidi" w:cstheme="majorBidi"/>
        </w:rPr>
      </w:pPr>
      <w:r w:rsidRPr="00492CCC">
        <w:rPr>
          <w:rStyle w:val="a5"/>
          <w:rFonts w:asciiTheme="majorBidi" w:hAnsiTheme="majorBidi" w:cstheme="majorBidi"/>
        </w:rPr>
        <w:footnoteRef/>
      </w:r>
      <w:r w:rsidRPr="00492CCC">
        <w:rPr>
          <w:rFonts w:asciiTheme="majorBidi" w:hAnsiTheme="majorBidi" w:cstheme="majorBidi"/>
          <w:rtl/>
        </w:rPr>
        <w:t xml:space="preserve"> מסכת יבמות דף ס עמוד א.</w:t>
      </w:r>
    </w:p>
  </w:footnote>
  <w:footnote w:id="15">
    <w:p w14:paraId="006A9661" w14:textId="754B0051" w:rsidR="00BA1788" w:rsidRPr="00492CCC" w:rsidRDefault="00BA1788" w:rsidP="00DC0678">
      <w:pPr>
        <w:pStyle w:val="a3"/>
        <w:spacing w:line="360" w:lineRule="auto"/>
        <w:rPr>
          <w:rFonts w:asciiTheme="majorBidi" w:hAnsiTheme="majorBidi" w:cstheme="majorBidi"/>
        </w:rPr>
      </w:pPr>
      <w:r w:rsidRPr="00492CCC">
        <w:rPr>
          <w:rStyle w:val="a5"/>
          <w:rFonts w:asciiTheme="majorBidi" w:hAnsiTheme="majorBidi" w:cstheme="majorBidi"/>
        </w:rPr>
        <w:footnoteRef/>
      </w:r>
      <w:r w:rsidRPr="00492CCC">
        <w:rPr>
          <w:rFonts w:asciiTheme="majorBidi" w:hAnsiTheme="majorBidi" w:cstheme="majorBidi"/>
          <w:rtl/>
        </w:rPr>
        <w:t xml:space="preserve"> תוספות ישנים.</w:t>
      </w:r>
    </w:p>
  </w:footnote>
  <w:footnote w:id="16">
    <w:p w14:paraId="26FAA837" w14:textId="2324AE22" w:rsidR="004B092C" w:rsidRPr="00492CCC" w:rsidRDefault="004B092C" w:rsidP="00DC0678">
      <w:pPr>
        <w:pStyle w:val="a3"/>
        <w:spacing w:line="360" w:lineRule="auto"/>
        <w:rPr>
          <w:rFonts w:asciiTheme="majorBidi" w:hAnsiTheme="majorBidi" w:cstheme="majorBidi"/>
        </w:rPr>
      </w:pPr>
      <w:r w:rsidRPr="00492CCC">
        <w:rPr>
          <w:rStyle w:val="a5"/>
          <w:rFonts w:asciiTheme="majorBidi" w:hAnsiTheme="majorBidi" w:cstheme="majorBidi"/>
        </w:rPr>
        <w:footnoteRef/>
      </w:r>
      <w:r w:rsidRPr="00492CCC">
        <w:rPr>
          <w:rFonts w:asciiTheme="majorBidi" w:hAnsiTheme="majorBidi" w:cstheme="majorBidi"/>
          <w:rtl/>
        </w:rPr>
        <w:t xml:space="preserve"> מסכת יבמות דף ס עמוד א.</w:t>
      </w:r>
    </w:p>
  </w:footnote>
  <w:footnote w:id="17">
    <w:p w14:paraId="57ADF700" w14:textId="70FEBA03" w:rsidR="00F77157" w:rsidRPr="00492CCC" w:rsidRDefault="00F77157" w:rsidP="00DC0678">
      <w:pPr>
        <w:pStyle w:val="a3"/>
        <w:spacing w:line="360" w:lineRule="auto"/>
        <w:rPr>
          <w:rFonts w:asciiTheme="majorBidi" w:hAnsiTheme="majorBidi" w:cstheme="majorBidi"/>
          <w:rtl/>
        </w:rPr>
      </w:pPr>
      <w:r w:rsidRPr="00492CCC">
        <w:rPr>
          <w:rStyle w:val="a5"/>
          <w:rFonts w:asciiTheme="majorBidi" w:hAnsiTheme="majorBidi" w:cstheme="majorBidi"/>
        </w:rPr>
        <w:footnoteRef/>
      </w:r>
      <w:r w:rsidRPr="00492CCC">
        <w:rPr>
          <w:rFonts w:asciiTheme="majorBidi" w:hAnsiTheme="majorBidi" w:cstheme="majorBidi"/>
          <w:rtl/>
        </w:rPr>
        <w:t xml:space="preserve"> רמב"ם הלכות איסורי ביאה פרק טו הלכה א.</w:t>
      </w:r>
    </w:p>
  </w:footnote>
  <w:footnote w:id="18">
    <w:p w14:paraId="74D118F4" w14:textId="54C04BAB" w:rsidR="00492CCC" w:rsidRPr="008351C6" w:rsidRDefault="00492CCC" w:rsidP="00DC0678">
      <w:pPr>
        <w:spacing w:after="0" w:line="360" w:lineRule="auto"/>
        <w:rPr>
          <w:rFonts w:asciiTheme="majorBidi" w:hAnsiTheme="majorBidi" w:cstheme="majorBidi"/>
          <w:sz w:val="20"/>
          <w:szCs w:val="20"/>
          <w:rtl/>
        </w:rPr>
      </w:pPr>
      <w:r w:rsidRPr="008351C6">
        <w:rPr>
          <w:rStyle w:val="a5"/>
          <w:rFonts w:asciiTheme="majorBidi" w:hAnsiTheme="majorBidi" w:cstheme="majorBidi"/>
          <w:sz w:val="20"/>
          <w:szCs w:val="20"/>
        </w:rPr>
        <w:footnoteRef/>
      </w:r>
      <w:r w:rsidRPr="008351C6">
        <w:rPr>
          <w:rFonts w:asciiTheme="majorBidi" w:hAnsiTheme="majorBidi" w:cstheme="majorBidi"/>
          <w:sz w:val="20"/>
          <w:szCs w:val="20"/>
          <w:rtl/>
        </w:rPr>
        <w:t xml:space="preserve"> שו"ת מהרש"ל סימן ו.</w:t>
      </w:r>
    </w:p>
    <w:p w14:paraId="1A37AE98" w14:textId="14B73D88" w:rsidR="00492CCC" w:rsidRPr="008351C6" w:rsidRDefault="00492CCC">
      <w:pPr>
        <w:pStyle w:val="a3"/>
        <w:rPr>
          <w:rFonts w:asciiTheme="majorBidi" w:hAnsiTheme="majorBidi" w:cstheme="majorBidi"/>
          <w:rtl/>
        </w:rPr>
      </w:pPr>
    </w:p>
  </w:footnote>
  <w:footnote w:id="19">
    <w:p w14:paraId="5E55C69B" w14:textId="09CD2DAF" w:rsidR="004B092C" w:rsidRPr="00A110EC" w:rsidRDefault="004B092C" w:rsidP="00A110EC">
      <w:pPr>
        <w:spacing w:after="0" w:line="360" w:lineRule="auto"/>
        <w:rPr>
          <w:rFonts w:asciiTheme="majorBidi" w:hAnsiTheme="majorBidi" w:cstheme="majorBidi"/>
          <w:sz w:val="20"/>
          <w:szCs w:val="20"/>
          <w:rtl/>
        </w:rPr>
      </w:pPr>
      <w:r w:rsidRPr="008351C6">
        <w:rPr>
          <w:rStyle w:val="a5"/>
          <w:rFonts w:asciiTheme="majorBidi" w:hAnsiTheme="majorBidi" w:cstheme="majorBidi"/>
          <w:sz w:val="20"/>
          <w:szCs w:val="20"/>
        </w:rPr>
        <w:footnoteRef/>
      </w:r>
      <w:r w:rsidRPr="008351C6">
        <w:rPr>
          <w:rFonts w:asciiTheme="majorBidi" w:hAnsiTheme="majorBidi" w:cstheme="majorBidi"/>
          <w:sz w:val="20"/>
          <w:szCs w:val="20"/>
          <w:rtl/>
        </w:rPr>
        <w:t xml:space="preserve"> דרכי משה הקצר אבן העזר סימן ד.</w:t>
      </w:r>
    </w:p>
  </w:footnote>
  <w:footnote w:id="20">
    <w:p w14:paraId="220C0470" w14:textId="54831479" w:rsidR="00BA1788" w:rsidRPr="008351C6" w:rsidRDefault="00BA1788" w:rsidP="00A110EC">
      <w:pPr>
        <w:pStyle w:val="a3"/>
        <w:spacing w:line="360" w:lineRule="auto"/>
        <w:rPr>
          <w:rFonts w:asciiTheme="majorBidi" w:hAnsiTheme="majorBidi" w:cstheme="majorBidi"/>
        </w:rPr>
      </w:pPr>
      <w:r w:rsidRPr="008351C6">
        <w:rPr>
          <w:rStyle w:val="a5"/>
          <w:rFonts w:asciiTheme="majorBidi" w:hAnsiTheme="majorBidi" w:cstheme="majorBidi"/>
        </w:rPr>
        <w:footnoteRef/>
      </w:r>
      <w:r w:rsidRPr="008351C6">
        <w:rPr>
          <w:rFonts w:asciiTheme="majorBidi" w:hAnsiTheme="majorBidi" w:cstheme="majorBidi"/>
          <w:rtl/>
        </w:rPr>
        <w:t xml:space="preserve"> סימן ד סעיף יג.</w:t>
      </w:r>
    </w:p>
  </w:footnote>
  <w:footnote w:id="21">
    <w:p w14:paraId="27C489D4" w14:textId="762297B5" w:rsidR="003959F5" w:rsidRPr="003959F5" w:rsidRDefault="003959F5" w:rsidP="00A110EC">
      <w:pPr>
        <w:pStyle w:val="a3"/>
        <w:spacing w:line="360" w:lineRule="auto"/>
        <w:rPr>
          <w:rFonts w:asciiTheme="majorBidi" w:hAnsiTheme="majorBidi" w:cstheme="majorBidi"/>
        </w:rPr>
      </w:pPr>
      <w:r w:rsidRPr="003959F5">
        <w:rPr>
          <w:rStyle w:val="a5"/>
          <w:rFonts w:asciiTheme="majorBidi" w:hAnsiTheme="majorBidi" w:cstheme="majorBidi"/>
        </w:rPr>
        <w:footnoteRef/>
      </w:r>
      <w:r w:rsidRPr="003959F5">
        <w:rPr>
          <w:rFonts w:asciiTheme="majorBidi" w:hAnsiTheme="majorBidi" w:cstheme="majorBidi"/>
          <w:rtl/>
        </w:rPr>
        <w:t xml:space="preserve"> עיין לימודנו שם.</w:t>
      </w:r>
    </w:p>
  </w:footnote>
  <w:footnote w:id="22">
    <w:p w14:paraId="1B94C762" w14:textId="073F50E7" w:rsidR="004A79D4" w:rsidRPr="008351C6" w:rsidRDefault="004A79D4" w:rsidP="008351C6">
      <w:pPr>
        <w:spacing w:after="0" w:line="240" w:lineRule="auto"/>
        <w:rPr>
          <w:rFonts w:asciiTheme="majorBidi" w:hAnsiTheme="majorBidi" w:cstheme="majorBidi"/>
          <w:sz w:val="20"/>
          <w:szCs w:val="20"/>
          <w:rtl/>
        </w:rPr>
      </w:pPr>
      <w:r w:rsidRPr="008351C6">
        <w:rPr>
          <w:rStyle w:val="a5"/>
          <w:rFonts w:asciiTheme="majorBidi" w:hAnsiTheme="majorBidi" w:cstheme="majorBidi"/>
          <w:sz w:val="20"/>
          <w:szCs w:val="20"/>
        </w:rPr>
        <w:footnoteRef/>
      </w:r>
      <w:r w:rsidRPr="008351C6">
        <w:rPr>
          <w:rFonts w:asciiTheme="majorBidi" w:hAnsiTheme="majorBidi" w:cstheme="majorBidi"/>
          <w:sz w:val="20"/>
          <w:szCs w:val="20"/>
          <w:rtl/>
        </w:rPr>
        <w:t xml:space="preserve"> שו"ת אגרות משה יורה דעה חלק ד סימן יז אות יט. בכל מקרה, </w:t>
      </w:r>
    </w:p>
    <w:p w14:paraId="065E4F6D" w14:textId="1E7222D0" w:rsidR="008351C6" w:rsidRPr="008351C6" w:rsidRDefault="004A79D4" w:rsidP="008351C6">
      <w:pPr>
        <w:spacing w:after="0" w:line="240" w:lineRule="auto"/>
        <w:rPr>
          <w:rFonts w:asciiTheme="majorBidi" w:hAnsiTheme="majorBidi" w:cstheme="majorBidi"/>
          <w:sz w:val="20"/>
          <w:szCs w:val="20"/>
          <w:rtl/>
        </w:rPr>
      </w:pPr>
      <w:r w:rsidRPr="008351C6">
        <w:rPr>
          <w:rFonts w:ascii="David" w:hAnsi="David" w:cs="David"/>
          <w:sz w:val="20"/>
          <w:szCs w:val="20"/>
          <w:rtl/>
        </w:rPr>
        <w:t>"מי שהוא עז פנים מסיבת היותו בן נדה אולי יועיל לו תשובה"</w:t>
      </w:r>
      <w:r w:rsidR="008351C6" w:rsidRPr="008351C6">
        <w:rPr>
          <w:rFonts w:ascii="David" w:hAnsi="David" w:cs="David"/>
          <w:sz w:val="20"/>
          <w:szCs w:val="20"/>
          <w:rtl/>
        </w:rPr>
        <w:t xml:space="preserve"> (</w:t>
      </w:r>
      <w:r w:rsidR="008351C6" w:rsidRPr="008351C6">
        <w:rPr>
          <w:rFonts w:asciiTheme="majorBidi" w:hAnsiTheme="majorBidi" w:cstheme="majorBidi"/>
          <w:sz w:val="20"/>
          <w:szCs w:val="20"/>
          <w:rtl/>
        </w:rPr>
        <w:t>שו"ת דברי יציב ליקוטים והשמטות סימן צא).</w:t>
      </w:r>
      <w:r w:rsidR="008351C6" w:rsidRPr="008351C6">
        <w:rPr>
          <w:rFonts w:asciiTheme="majorBidi" w:hAnsiTheme="majorBidi" w:cstheme="majorBidi" w:hint="cs"/>
          <w:sz w:val="20"/>
          <w:szCs w:val="20"/>
          <w:rtl/>
        </w:rPr>
        <w:t xml:space="preserve"> </w:t>
      </w:r>
    </w:p>
    <w:p w14:paraId="4371ECE3" w14:textId="32BB2D8A" w:rsidR="008351C6" w:rsidRPr="008351C6" w:rsidRDefault="008351C6" w:rsidP="008351C6">
      <w:pPr>
        <w:spacing w:after="0" w:line="240" w:lineRule="auto"/>
        <w:rPr>
          <w:rFonts w:asciiTheme="majorBidi" w:hAnsiTheme="majorBidi" w:cstheme="majorBidi"/>
          <w:sz w:val="20"/>
          <w:szCs w:val="20"/>
          <w:rtl/>
        </w:rPr>
      </w:pPr>
      <w:r w:rsidRPr="008351C6">
        <w:rPr>
          <w:rFonts w:ascii="David" w:hAnsi="David" w:cs="David"/>
          <w:sz w:val="20"/>
          <w:szCs w:val="20"/>
          <w:rtl/>
        </w:rPr>
        <w:t xml:space="preserve"> "הרשות נתונה להגיד כי אם לא תחוש לזה יתכן שמאד יצליחו, ויזכה שיקוים בהם מי יתן טהור מטמא לא אחד, אם יזכה לתקן פגם זה, וכ"ז כדי שלא לסגור שער של דופקי בתשובה"</w:t>
      </w:r>
      <w:r w:rsidRPr="008351C6">
        <w:rPr>
          <w:rFonts w:asciiTheme="majorBidi" w:hAnsiTheme="majorBidi" w:cs="Times New Roman" w:hint="cs"/>
          <w:sz w:val="20"/>
          <w:szCs w:val="20"/>
          <w:rtl/>
        </w:rPr>
        <w:t xml:space="preserve"> (</w:t>
      </w:r>
      <w:r w:rsidRPr="008351C6">
        <w:rPr>
          <w:rFonts w:asciiTheme="majorBidi" w:hAnsiTheme="majorBidi" w:cs="Times New Roman"/>
          <w:sz w:val="20"/>
          <w:szCs w:val="20"/>
          <w:rtl/>
        </w:rPr>
        <w:t>שו"ת שבט הלוי חלק ד סימן קסב</w:t>
      </w:r>
      <w:r w:rsidRPr="008351C6">
        <w:rPr>
          <w:rFonts w:asciiTheme="majorBidi" w:hAnsiTheme="majorBidi" w:cs="Times New Roman" w:hint="cs"/>
          <w:sz w:val="20"/>
          <w:szCs w:val="20"/>
          <w:rtl/>
        </w:rPr>
        <w:t>).</w:t>
      </w:r>
    </w:p>
    <w:p w14:paraId="147F0857" w14:textId="1F5E4FF1" w:rsidR="004A79D4" w:rsidRPr="00172FB0" w:rsidRDefault="004A79D4" w:rsidP="00172FB0">
      <w:pPr>
        <w:spacing w:after="0" w:line="240" w:lineRule="auto"/>
        <w:rPr>
          <w:rFonts w:asciiTheme="majorBidi" w:hAnsiTheme="majorBidi" w:cstheme="majorBidi"/>
          <w:sz w:val="20"/>
          <w:szCs w:val="20"/>
        </w:rPr>
      </w:pPr>
    </w:p>
  </w:footnote>
  <w:footnote w:id="23">
    <w:p w14:paraId="24001409" w14:textId="2C228C74" w:rsidR="001C1828" w:rsidRPr="00172FB0" w:rsidRDefault="001C1828" w:rsidP="00172FB0">
      <w:pPr>
        <w:pStyle w:val="a3"/>
        <w:spacing w:line="360" w:lineRule="auto"/>
        <w:rPr>
          <w:rFonts w:asciiTheme="majorBidi" w:hAnsiTheme="majorBidi" w:cstheme="majorBidi"/>
        </w:rPr>
      </w:pPr>
      <w:r w:rsidRPr="00172FB0">
        <w:rPr>
          <w:rStyle w:val="a5"/>
          <w:rFonts w:asciiTheme="majorBidi" w:hAnsiTheme="majorBidi" w:cstheme="majorBidi"/>
        </w:rPr>
        <w:footnoteRef/>
      </w:r>
      <w:r w:rsidRPr="00172FB0">
        <w:rPr>
          <w:rFonts w:asciiTheme="majorBidi" w:hAnsiTheme="majorBidi" w:cstheme="majorBidi"/>
          <w:rtl/>
        </w:rPr>
        <w:t xml:space="preserve"> על פי שיעורו של הרב ישראלי, מרכז הרב תשמט. הסיכום – והשגיאות – הם שלי.</w:t>
      </w:r>
    </w:p>
  </w:footnote>
  <w:footnote w:id="24">
    <w:p w14:paraId="345CB2D0" w14:textId="01CEEA89" w:rsidR="00A44340" w:rsidRPr="00172FB0" w:rsidRDefault="00A44340" w:rsidP="00172FB0">
      <w:pPr>
        <w:spacing w:after="0" w:line="360" w:lineRule="auto"/>
        <w:rPr>
          <w:rFonts w:asciiTheme="majorBidi" w:hAnsiTheme="majorBidi" w:cstheme="majorBidi"/>
          <w:sz w:val="20"/>
          <w:szCs w:val="20"/>
          <w:rtl/>
        </w:rPr>
      </w:pPr>
      <w:r w:rsidRPr="00172FB0">
        <w:rPr>
          <w:rStyle w:val="a5"/>
          <w:rFonts w:asciiTheme="majorBidi" w:hAnsiTheme="majorBidi" w:cstheme="majorBidi"/>
          <w:sz w:val="20"/>
          <w:szCs w:val="20"/>
        </w:rPr>
        <w:footnoteRef/>
      </w:r>
      <w:r w:rsidRPr="00172FB0">
        <w:rPr>
          <w:rFonts w:asciiTheme="majorBidi" w:hAnsiTheme="majorBidi" w:cstheme="majorBidi"/>
          <w:sz w:val="20"/>
          <w:szCs w:val="20"/>
          <w:rtl/>
        </w:rPr>
        <w:t xml:space="preserve"> משנה מסכת יבמות פרק ב משנה ג.</w:t>
      </w:r>
    </w:p>
  </w:footnote>
  <w:footnote w:id="25">
    <w:p w14:paraId="66C30693" w14:textId="42D4ECA1" w:rsidR="001C1828" w:rsidRPr="00172FB0" w:rsidRDefault="001C1828" w:rsidP="00172FB0">
      <w:pPr>
        <w:pStyle w:val="a3"/>
        <w:spacing w:line="360" w:lineRule="auto"/>
        <w:rPr>
          <w:rFonts w:asciiTheme="majorBidi" w:hAnsiTheme="majorBidi" w:cstheme="majorBidi"/>
        </w:rPr>
      </w:pPr>
      <w:r w:rsidRPr="00172FB0">
        <w:rPr>
          <w:rStyle w:val="a5"/>
          <w:rFonts w:asciiTheme="majorBidi" w:hAnsiTheme="majorBidi" w:cstheme="majorBidi"/>
        </w:rPr>
        <w:footnoteRef/>
      </w:r>
      <w:r w:rsidRPr="00172FB0">
        <w:rPr>
          <w:rFonts w:asciiTheme="majorBidi" w:hAnsiTheme="majorBidi" w:cstheme="majorBidi"/>
          <w:rtl/>
        </w:rPr>
        <w:t xml:space="preserve"> דף כ .</w:t>
      </w:r>
    </w:p>
  </w:footnote>
  <w:footnote w:id="26">
    <w:p w14:paraId="55B02B83" w14:textId="2D11E04F" w:rsidR="00F46A8B" w:rsidRPr="00172FB0" w:rsidRDefault="00F46A8B" w:rsidP="00172FB0">
      <w:pPr>
        <w:pStyle w:val="a3"/>
        <w:spacing w:line="360" w:lineRule="auto"/>
        <w:rPr>
          <w:rFonts w:asciiTheme="majorBidi" w:hAnsiTheme="majorBidi" w:cstheme="majorBidi"/>
        </w:rPr>
      </w:pPr>
      <w:r w:rsidRPr="00172FB0">
        <w:rPr>
          <w:rStyle w:val="a5"/>
          <w:rFonts w:asciiTheme="majorBidi" w:hAnsiTheme="majorBidi" w:cstheme="majorBidi"/>
        </w:rPr>
        <w:footnoteRef/>
      </w:r>
      <w:r w:rsidRPr="00172FB0">
        <w:rPr>
          <w:rFonts w:asciiTheme="majorBidi" w:hAnsiTheme="majorBidi" w:cstheme="majorBidi"/>
          <w:rtl/>
        </w:rPr>
        <w:t xml:space="preserve"> תוספות  דף ט עמוד א ד"ה והרי</w:t>
      </w:r>
    </w:p>
  </w:footnote>
  <w:footnote w:id="27">
    <w:p w14:paraId="2E24801C" w14:textId="1C0E60A3" w:rsidR="00695B93" w:rsidRPr="00172FB0" w:rsidRDefault="00695B93" w:rsidP="00172FB0">
      <w:pPr>
        <w:pStyle w:val="a3"/>
        <w:spacing w:line="360" w:lineRule="auto"/>
        <w:rPr>
          <w:rFonts w:asciiTheme="majorBidi" w:hAnsiTheme="majorBidi" w:cstheme="majorBidi"/>
        </w:rPr>
      </w:pPr>
      <w:r w:rsidRPr="00172FB0">
        <w:rPr>
          <w:rStyle w:val="a5"/>
          <w:rFonts w:asciiTheme="majorBidi" w:hAnsiTheme="majorBidi" w:cstheme="majorBidi"/>
        </w:rPr>
        <w:footnoteRef/>
      </w:r>
      <w:r w:rsidRPr="00172FB0">
        <w:rPr>
          <w:rFonts w:asciiTheme="majorBidi" w:hAnsiTheme="majorBidi" w:cstheme="majorBidi"/>
          <w:rtl/>
        </w:rPr>
        <w:t xml:space="preserve"> דף ב עמוד א.</w:t>
      </w:r>
    </w:p>
  </w:footnote>
  <w:footnote w:id="28">
    <w:p w14:paraId="5285A44E" w14:textId="3F90CEED" w:rsidR="000A2282" w:rsidRPr="00172FB0" w:rsidRDefault="000A2282" w:rsidP="00AF0BA1">
      <w:pPr>
        <w:spacing w:after="0" w:line="360" w:lineRule="auto"/>
        <w:rPr>
          <w:rFonts w:asciiTheme="majorBidi" w:hAnsiTheme="majorBidi" w:cstheme="majorBidi"/>
          <w:sz w:val="20"/>
          <w:szCs w:val="20"/>
          <w:rtl/>
        </w:rPr>
      </w:pPr>
      <w:r w:rsidRPr="00172FB0">
        <w:rPr>
          <w:rStyle w:val="a5"/>
          <w:rFonts w:asciiTheme="majorBidi" w:hAnsiTheme="majorBidi" w:cstheme="majorBidi"/>
          <w:sz w:val="20"/>
          <w:szCs w:val="20"/>
        </w:rPr>
        <w:footnoteRef/>
      </w:r>
      <w:r w:rsidRPr="00172FB0">
        <w:rPr>
          <w:rFonts w:asciiTheme="majorBidi" w:hAnsiTheme="majorBidi" w:cstheme="majorBidi"/>
          <w:sz w:val="20"/>
          <w:szCs w:val="20"/>
          <w:rtl/>
        </w:rPr>
        <w:t xml:space="preserve"> דף ל עמוד א.</w:t>
      </w:r>
    </w:p>
  </w:footnote>
  <w:footnote w:id="29">
    <w:p w14:paraId="5DB3F664" w14:textId="2B2AABC1" w:rsidR="00695B93" w:rsidRPr="00172FB0" w:rsidRDefault="00695B93" w:rsidP="00172FB0">
      <w:pPr>
        <w:spacing w:after="0" w:line="360" w:lineRule="auto"/>
        <w:rPr>
          <w:rFonts w:asciiTheme="majorBidi" w:hAnsiTheme="majorBidi" w:cstheme="majorBidi"/>
          <w:sz w:val="20"/>
          <w:szCs w:val="20"/>
        </w:rPr>
      </w:pPr>
      <w:r w:rsidRPr="00172FB0">
        <w:rPr>
          <w:rStyle w:val="a5"/>
          <w:rFonts w:asciiTheme="majorBidi" w:hAnsiTheme="majorBidi" w:cstheme="majorBidi"/>
          <w:sz w:val="20"/>
          <w:szCs w:val="20"/>
        </w:rPr>
        <w:footnoteRef/>
      </w:r>
      <w:r w:rsidRPr="00172FB0">
        <w:rPr>
          <w:rFonts w:asciiTheme="majorBidi" w:hAnsiTheme="majorBidi" w:cstheme="majorBidi"/>
          <w:sz w:val="20"/>
          <w:szCs w:val="20"/>
          <w:rtl/>
        </w:rPr>
        <w:t xml:space="preserve"> תוספות  דף ב עמוד א ד"ה אחות אשתו.</w:t>
      </w:r>
    </w:p>
  </w:footnote>
  <w:footnote w:id="30">
    <w:p w14:paraId="30E3F5D6" w14:textId="42DF19EC" w:rsidR="000A4743" w:rsidRPr="00172FB0" w:rsidRDefault="000A4743" w:rsidP="00172FB0">
      <w:pPr>
        <w:pStyle w:val="a3"/>
        <w:spacing w:line="360" w:lineRule="auto"/>
        <w:rPr>
          <w:rFonts w:asciiTheme="majorBidi" w:hAnsiTheme="majorBidi" w:cstheme="majorBidi"/>
        </w:rPr>
      </w:pPr>
      <w:r w:rsidRPr="00172FB0">
        <w:rPr>
          <w:rStyle w:val="a5"/>
          <w:rFonts w:asciiTheme="majorBidi" w:hAnsiTheme="majorBidi" w:cstheme="majorBidi"/>
        </w:rPr>
        <w:footnoteRef/>
      </w:r>
      <w:r w:rsidRPr="00172FB0">
        <w:rPr>
          <w:rFonts w:asciiTheme="majorBidi" w:hAnsiTheme="majorBidi" w:cstheme="majorBidi"/>
          <w:rtl/>
        </w:rPr>
        <w:t xml:space="preserve"> רא"ש מסכת יבמות פרק א סימן ב.</w:t>
      </w:r>
    </w:p>
  </w:footnote>
  <w:footnote w:id="31">
    <w:p w14:paraId="01981401" w14:textId="2885279D" w:rsidR="00F904B5" w:rsidRPr="00172FB0" w:rsidRDefault="00F904B5" w:rsidP="00172FB0">
      <w:pPr>
        <w:pStyle w:val="a3"/>
        <w:spacing w:line="360" w:lineRule="auto"/>
        <w:rPr>
          <w:rFonts w:asciiTheme="majorBidi" w:hAnsiTheme="majorBidi" w:cstheme="majorBidi"/>
        </w:rPr>
      </w:pPr>
      <w:r w:rsidRPr="00172FB0">
        <w:rPr>
          <w:rStyle w:val="a5"/>
          <w:rFonts w:asciiTheme="majorBidi" w:hAnsiTheme="majorBidi" w:cstheme="majorBidi"/>
        </w:rPr>
        <w:footnoteRef/>
      </w:r>
      <w:r w:rsidRPr="00172FB0">
        <w:rPr>
          <w:rFonts w:asciiTheme="majorBidi" w:hAnsiTheme="majorBidi" w:cstheme="majorBidi"/>
          <w:rtl/>
        </w:rPr>
        <w:t xml:space="preserve"> קרבן נתנאל  פרק א סימן ב אות א.</w:t>
      </w:r>
    </w:p>
  </w:footnote>
  <w:footnote w:id="32">
    <w:p w14:paraId="5782879F" w14:textId="71FB27ED" w:rsidR="00327470" w:rsidRDefault="00327470" w:rsidP="00172FB0">
      <w:pPr>
        <w:pStyle w:val="a3"/>
        <w:spacing w:line="360" w:lineRule="auto"/>
        <w:rPr>
          <w:rtl/>
        </w:rPr>
      </w:pPr>
      <w:r w:rsidRPr="00172FB0">
        <w:rPr>
          <w:rStyle w:val="a5"/>
          <w:rFonts w:asciiTheme="majorBidi" w:hAnsiTheme="majorBidi" w:cstheme="majorBidi"/>
        </w:rPr>
        <w:footnoteRef/>
      </w:r>
      <w:r w:rsidRPr="00172FB0">
        <w:rPr>
          <w:rFonts w:asciiTheme="majorBidi" w:hAnsiTheme="majorBidi" w:cstheme="majorBidi"/>
          <w:rtl/>
        </w:rPr>
        <w:t xml:space="preserve"> לעיל סעיף 2.</w:t>
      </w:r>
    </w:p>
  </w:footnote>
  <w:footnote w:id="33">
    <w:p w14:paraId="7EC0B6FE" w14:textId="79B4C0BF" w:rsidR="005B7FFD" w:rsidRDefault="005B7FFD" w:rsidP="008D1A99">
      <w:pPr>
        <w:pStyle w:val="a3"/>
        <w:spacing w:line="360" w:lineRule="auto"/>
        <w:rPr>
          <w:rtl/>
        </w:rPr>
      </w:pPr>
      <w:r>
        <w:rPr>
          <w:rStyle w:val="a5"/>
        </w:rPr>
        <w:footnoteRef/>
      </w:r>
      <w:r>
        <w:rPr>
          <w:rtl/>
        </w:rPr>
        <w:t xml:space="preserve"> </w:t>
      </w:r>
      <w:r w:rsidRPr="00BA2B4E">
        <w:rPr>
          <w:rFonts w:asciiTheme="majorBidi" w:hAnsiTheme="majorBidi" w:cstheme="majorBidi"/>
          <w:rtl/>
        </w:rPr>
        <w:t>סימן כא</w:t>
      </w:r>
      <w:r>
        <w:rPr>
          <w:rFonts w:hint="cs"/>
          <w:rtl/>
        </w:rPr>
        <w:t>.</w:t>
      </w:r>
    </w:p>
  </w:footnote>
  <w:footnote w:id="34">
    <w:p w14:paraId="6B1C0160" w14:textId="4AD0DF22" w:rsidR="005B7FFD" w:rsidRPr="00804FE6" w:rsidRDefault="005B7FFD" w:rsidP="008D1A99">
      <w:pPr>
        <w:pStyle w:val="a3"/>
        <w:spacing w:line="360" w:lineRule="auto"/>
        <w:rPr>
          <w:rFonts w:asciiTheme="majorBidi" w:hAnsiTheme="majorBidi" w:cstheme="majorBidi"/>
        </w:rPr>
      </w:pPr>
      <w:r w:rsidRPr="00804FE6">
        <w:rPr>
          <w:rStyle w:val="a5"/>
          <w:rFonts w:asciiTheme="majorBidi" w:hAnsiTheme="majorBidi" w:cstheme="majorBidi"/>
        </w:rPr>
        <w:footnoteRef/>
      </w:r>
      <w:r w:rsidRPr="00804FE6">
        <w:rPr>
          <w:rFonts w:asciiTheme="majorBidi" w:hAnsiTheme="majorBidi" w:cstheme="majorBidi"/>
          <w:rtl/>
        </w:rPr>
        <w:t xml:space="preserve"> תוס</w:t>
      </w:r>
      <w:r w:rsidR="00000B2C" w:rsidRPr="00804FE6">
        <w:rPr>
          <w:rFonts w:asciiTheme="majorBidi" w:hAnsiTheme="majorBidi" w:cstheme="majorBidi"/>
          <w:rtl/>
        </w:rPr>
        <w:t>פות</w:t>
      </w:r>
      <w:r w:rsidRPr="00804FE6">
        <w:rPr>
          <w:rFonts w:asciiTheme="majorBidi" w:hAnsiTheme="majorBidi" w:cstheme="majorBidi"/>
          <w:rtl/>
        </w:rPr>
        <w:t xml:space="preserve"> במסכת בבא קמא דף יא עמוד א ד"ה דאין</w:t>
      </w:r>
      <w:r w:rsidR="00000B2C" w:rsidRPr="00804FE6">
        <w:rPr>
          <w:rFonts w:asciiTheme="majorBidi" w:hAnsiTheme="majorBidi" w:cstheme="majorBidi"/>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28928319"/>
      <w:docPartObj>
        <w:docPartGallery w:val="Page Numbers (Top of Page)"/>
        <w:docPartUnique/>
      </w:docPartObj>
    </w:sdtPr>
    <w:sdtEndPr/>
    <w:sdtContent>
      <w:p w14:paraId="5A21171F" w14:textId="68101D04" w:rsidR="000A2282" w:rsidRDefault="000A2282">
        <w:pPr>
          <w:pStyle w:val="a7"/>
        </w:pPr>
        <w:r>
          <w:fldChar w:fldCharType="begin"/>
        </w:r>
        <w:r>
          <w:instrText>PAGE   \* MERGEFORMAT</w:instrText>
        </w:r>
        <w:r>
          <w:fldChar w:fldCharType="separate"/>
        </w:r>
        <w:r>
          <w:rPr>
            <w:rtl/>
            <w:lang w:val="he-IL"/>
          </w:rPr>
          <w:t>2</w:t>
        </w:r>
        <w:r>
          <w:fldChar w:fldCharType="end"/>
        </w:r>
      </w:p>
    </w:sdtContent>
  </w:sdt>
  <w:p w14:paraId="0A06DA2F" w14:textId="77777777" w:rsidR="000A2282" w:rsidRDefault="000A22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F041B"/>
    <w:multiLevelType w:val="hybridMultilevel"/>
    <w:tmpl w:val="E1F4FA5A"/>
    <w:lvl w:ilvl="0" w:tplc="6C429D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6432D"/>
    <w:multiLevelType w:val="hybridMultilevel"/>
    <w:tmpl w:val="31B45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855A6"/>
    <w:multiLevelType w:val="hybridMultilevel"/>
    <w:tmpl w:val="254C47EA"/>
    <w:lvl w:ilvl="0" w:tplc="B6EE4B46">
      <w:start w:val="4"/>
      <w:numFmt w:val="hebrew1"/>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6"/>
    <w:rsid w:val="00000B2C"/>
    <w:rsid w:val="00021D88"/>
    <w:rsid w:val="00060585"/>
    <w:rsid w:val="000A2282"/>
    <w:rsid w:val="000A4743"/>
    <w:rsid w:val="000B31FC"/>
    <w:rsid w:val="000F4E59"/>
    <w:rsid w:val="00143E7D"/>
    <w:rsid w:val="00172FB0"/>
    <w:rsid w:val="001B1D5D"/>
    <w:rsid w:val="001C1828"/>
    <w:rsid w:val="002635AB"/>
    <w:rsid w:val="00293330"/>
    <w:rsid w:val="00327470"/>
    <w:rsid w:val="003959F5"/>
    <w:rsid w:val="00492CCC"/>
    <w:rsid w:val="004A79D4"/>
    <w:rsid w:val="004B092C"/>
    <w:rsid w:val="004B3DF7"/>
    <w:rsid w:val="004F575D"/>
    <w:rsid w:val="005338E0"/>
    <w:rsid w:val="005B7FFD"/>
    <w:rsid w:val="005E01CA"/>
    <w:rsid w:val="005F3998"/>
    <w:rsid w:val="00695B93"/>
    <w:rsid w:val="006C04F8"/>
    <w:rsid w:val="00804FE6"/>
    <w:rsid w:val="008351C6"/>
    <w:rsid w:val="00863716"/>
    <w:rsid w:val="00877248"/>
    <w:rsid w:val="008D1A99"/>
    <w:rsid w:val="008F3B2E"/>
    <w:rsid w:val="00A110EC"/>
    <w:rsid w:val="00A15139"/>
    <w:rsid w:val="00A44340"/>
    <w:rsid w:val="00A61811"/>
    <w:rsid w:val="00A82CF4"/>
    <w:rsid w:val="00AA43E7"/>
    <w:rsid w:val="00AF0BA1"/>
    <w:rsid w:val="00B07C9A"/>
    <w:rsid w:val="00B270ED"/>
    <w:rsid w:val="00BA1788"/>
    <w:rsid w:val="00BA2B4E"/>
    <w:rsid w:val="00BC3F3E"/>
    <w:rsid w:val="00BF2A7D"/>
    <w:rsid w:val="00C30984"/>
    <w:rsid w:val="00C44CF6"/>
    <w:rsid w:val="00C50C7F"/>
    <w:rsid w:val="00C529AC"/>
    <w:rsid w:val="00CA3522"/>
    <w:rsid w:val="00CE6A83"/>
    <w:rsid w:val="00D44FE0"/>
    <w:rsid w:val="00D52FA9"/>
    <w:rsid w:val="00D62DA5"/>
    <w:rsid w:val="00D87617"/>
    <w:rsid w:val="00DC0678"/>
    <w:rsid w:val="00E12EB8"/>
    <w:rsid w:val="00EB6C80"/>
    <w:rsid w:val="00EC190E"/>
    <w:rsid w:val="00EC705C"/>
    <w:rsid w:val="00EF5940"/>
    <w:rsid w:val="00F46A8B"/>
    <w:rsid w:val="00F77157"/>
    <w:rsid w:val="00F83753"/>
    <w:rsid w:val="00F904B5"/>
    <w:rsid w:val="00FC1CDC"/>
    <w:rsid w:val="00FF12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F978"/>
  <w15:chartTrackingRefBased/>
  <w15:docId w15:val="{F353CBC3-86D0-4937-AAD5-425104FD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529AC"/>
    <w:pPr>
      <w:spacing w:after="0" w:line="240" w:lineRule="auto"/>
    </w:pPr>
    <w:rPr>
      <w:sz w:val="20"/>
      <w:szCs w:val="20"/>
    </w:rPr>
  </w:style>
  <w:style w:type="character" w:customStyle="1" w:styleId="a4">
    <w:name w:val="טקסט הערת שוליים תו"/>
    <w:basedOn w:val="a0"/>
    <w:link w:val="a3"/>
    <w:uiPriority w:val="99"/>
    <w:semiHidden/>
    <w:rsid w:val="00C529AC"/>
    <w:rPr>
      <w:noProof/>
      <w:sz w:val="20"/>
      <w:szCs w:val="20"/>
    </w:rPr>
  </w:style>
  <w:style w:type="character" w:styleId="a5">
    <w:name w:val="footnote reference"/>
    <w:basedOn w:val="a0"/>
    <w:uiPriority w:val="99"/>
    <w:semiHidden/>
    <w:unhideWhenUsed/>
    <w:rsid w:val="00C529AC"/>
    <w:rPr>
      <w:vertAlign w:val="superscript"/>
    </w:rPr>
  </w:style>
  <w:style w:type="paragraph" w:styleId="a6">
    <w:name w:val="List Paragraph"/>
    <w:basedOn w:val="a"/>
    <w:uiPriority w:val="34"/>
    <w:qFormat/>
    <w:rsid w:val="001C1828"/>
    <w:pPr>
      <w:ind w:left="720"/>
      <w:contextualSpacing/>
    </w:pPr>
  </w:style>
  <w:style w:type="paragraph" w:styleId="a7">
    <w:name w:val="header"/>
    <w:basedOn w:val="a"/>
    <w:link w:val="a8"/>
    <w:uiPriority w:val="99"/>
    <w:unhideWhenUsed/>
    <w:rsid w:val="000A2282"/>
    <w:pPr>
      <w:tabs>
        <w:tab w:val="center" w:pos="4153"/>
        <w:tab w:val="right" w:pos="8306"/>
      </w:tabs>
      <w:spacing w:after="0" w:line="240" w:lineRule="auto"/>
    </w:pPr>
  </w:style>
  <w:style w:type="character" w:customStyle="1" w:styleId="a8">
    <w:name w:val="כותרת עליונה תו"/>
    <w:basedOn w:val="a0"/>
    <w:link w:val="a7"/>
    <w:uiPriority w:val="99"/>
    <w:rsid w:val="000A2282"/>
    <w:rPr>
      <w:noProof/>
    </w:rPr>
  </w:style>
  <w:style w:type="paragraph" w:styleId="a9">
    <w:name w:val="footer"/>
    <w:basedOn w:val="a"/>
    <w:link w:val="aa"/>
    <w:uiPriority w:val="99"/>
    <w:unhideWhenUsed/>
    <w:rsid w:val="000A2282"/>
    <w:pPr>
      <w:tabs>
        <w:tab w:val="center" w:pos="4153"/>
        <w:tab w:val="right" w:pos="8306"/>
      </w:tabs>
      <w:spacing w:after="0" w:line="240" w:lineRule="auto"/>
    </w:pPr>
  </w:style>
  <w:style w:type="character" w:customStyle="1" w:styleId="aa">
    <w:name w:val="כותרת תחתונה תו"/>
    <w:basedOn w:val="a0"/>
    <w:link w:val="a9"/>
    <w:uiPriority w:val="99"/>
    <w:rsid w:val="000A228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2CD4E-5713-4CDE-9501-6AC1CE73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6</Pages>
  <Words>1994</Words>
  <Characters>9975</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11</cp:revision>
  <dcterms:created xsi:type="dcterms:W3CDTF">2022-01-25T08:32:00Z</dcterms:created>
  <dcterms:modified xsi:type="dcterms:W3CDTF">2022-04-12T07:33:00Z</dcterms:modified>
</cp:coreProperties>
</file>