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6E50" w14:textId="77777777" w:rsidR="005D1DDA" w:rsidRPr="002F76E3" w:rsidRDefault="005D1DDA" w:rsidP="004235B9">
      <w:pPr>
        <w:spacing w:after="0" w:line="360" w:lineRule="auto"/>
        <w:rPr>
          <w:rFonts w:asciiTheme="majorBidi" w:hAnsiTheme="majorBidi" w:cstheme="majorBidi"/>
          <w:sz w:val="24"/>
          <w:szCs w:val="24"/>
          <w:rtl/>
        </w:rPr>
      </w:pPr>
      <w:r w:rsidRPr="002F76E3">
        <w:rPr>
          <w:rFonts w:asciiTheme="majorBidi" w:hAnsiTheme="majorBidi" w:cstheme="majorBidi"/>
          <w:sz w:val="24"/>
          <w:szCs w:val="24"/>
          <w:rtl/>
        </w:rPr>
        <w:t>משנה מסכת יבמות פרק יג</w:t>
      </w:r>
    </w:p>
    <w:p w14:paraId="30749D8C" w14:textId="77777777" w:rsidR="005D1DDA" w:rsidRPr="002F76E3" w:rsidRDefault="005D1DDA" w:rsidP="004235B9">
      <w:pPr>
        <w:spacing w:after="0" w:line="360" w:lineRule="auto"/>
        <w:rPr>
          <w:rFonts w:asciiTheme="majorBidi" w:hAnsiTheme="majorBidi" w:cstheme="majorBidi"/>
          <w:sz w:val="24"/>
          <w:szCs w:val="24"/>
          <w:rtl/>
        </w:rPr>
      </w:pPr>
      <w:r w:rsidRPr="002F76E3">
        <w:rPr>
          <w:rFonts w:asciiTheme="majorBidi" w:hAnsiTheme="majorBidi" w:cstheme="majorBidi"/>
          <w:sz w:val="24"/>
          <w:szCs w:val="24"/>
          <w:rtl/>
        </w:rPr>
        <w:t>משנה א</w:t>
      </w:r>
    </w:p>
    <w:p w14:paraId="04CCDD54" w14:textId="38D72144" w:rsidR="005D1DDA" w:rsidRDefault="005D1DDA" w:rsidP="004235B9">
      <w:pPr>
        <w:spacing w:after="0" w:line="360" w:lineRule="auto"/>
        <w:rPr>
          <w:rFonts w:asciiTheme="majorBidi" w:hAnsiTheme="majorBidi" w:cstheme="majorBidi"/>
          <w:sz w:val="24"/>
          <w:szCs w:val="24"/>
          <w:rtl/>
        </w:rPr>
      </w:pPr>
      <w:r w:rsidRPr="002F76E3">
        <w:rPr>
          <w:rFonts w:asciiTheme="majorBidi" w:hAnsiTheme="majorBidi" w:cstheme="majorBidi"/>
          <w:sz w:val="24"/>
          <w:szCs w:val="24"/>
          <w:rtl/>
        </w:rPr>
        <w:t>בית שמאי אומרים אין ממאנין אלא ארוסות</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ובית הלל אומרים ארוסות ונשואות</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בית שמאי אומרים בבעל ולא ביבם</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ובית הלל אומרים בבעל וביבם</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בית שמאי אומרים בפניו</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ובית הלל אומרים בפניו ושלא בפניו</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בית שמאי אומרים בבית דין</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ובית הלל אומרים בבית דין ושלא בבית דין</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אמרו להן בית הלל לבית שמאי</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ממאנת והיא קטנה אפילו ארבעה וחמשה פעמים</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אמרו להן בית שמאי</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אין בנות ישראל הפקר</w:t>
      </w:r>
      <w:r w:rsidR="00D30CEF">
        <w:rPr>
          <w:rFonts w:asciiTheme="majorBidi" w:hAnsiTheme="majorBidi" w:cstheme="majorBidi" w:hint="cs"/>
          <w:sz w:val="24"/>
          <w:szCs w:val="24"/>
          <w:rtl/>
        </w:rPr>
        <w:t>,</w:t>
      </w:r>
      <w:r w:rsidRPr="002F76E3">
        <w:rPr>
          <w:rFonts w:asciiTheme="majorBidi" w:hAnsiTheme="majorBidi" w:cstheme="majorBidi"/>
          <w:sz w:val="24"/>
          <w:szCs w:val="24"/>
          <w:rtl/>
        </w:rPr>
        <w:t xml:space="preserve"> אלא ממאנת וממתנת עד שתגדיל ותמאן ותנשא:</w:t>
      </w:r>
    </w:p>
    <w:p w14:paraId="42538E59" w14:textId="77777777" w:rsidR="005D1DDA" w:rsidRPr="00111DCD" w:rsidRDefault="005D1DDA" w:rsidP="004235B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111DCD">
        <w:rPr>
          <w:rFonts w:asciiTheme="majorBidi" w:hAnsiTheme="majorBidi" w:cs="Times New Roman"/>
          <w:sz w:val="24"/>
          <w:szCs w:val="24"/>
          <w:rtl/>
        </w:rPr>
        <w:t xml:space="preserve"> מסכת יבמות דף קז עמוד א</w:t>
      </w:r>
    </w:p>
    <w:p w14:paraId="1A88B3F7" w14:textId="53398139" w:rsidR="005D1DDA" w:rsidRDefault="005D1DDA" w:rsidP="004235B9">
      <w:pPr>
        <w:spacing w:after="0" w:line="360" w:lineRule="auto"/>
        <w:rPr>
          <w:rFonts w:asciiTheme="majorBidi" w:hAnsiTheme="majorBidi" w:cstheme="majorBidi"/>
          <w:sz w:val="24"/>
          <w:szCs w:val="24"/>
          <w:rtl/>
        </w:rPr>
      </w:pPr>
      <w:r w:rsidRPr="00111DCD">
        <w:rPr>
          <w:rFonts w:asciiTheme="majorBidi" w:hAnsiTheme="majorBidi" w:cs="Times New Roman"/>
          <w:sz w:val="24"/>
          <w:szCs w:val="24"/>
          <w:rtl/>
        </w:rPr>
        <w:t>אמר רב יהודה אמר שמואל: מאי טעמא דבית שמאי? לפי שאין תנאי בנשואין, ואי נשואה תמאן, אתי למימר יש תנאי בנשואין.</w:t>
      </w:r>
      <w:r w:rsidR="008D1C27">
        <w:rPr>
          <w:rFonts w:asciiTheme="majorBidi" w:hAnsiTheme="majorBidi" w:cs="Times New Roman" w:hint="cs"/>
          <w:sz w:val="24"/>
          <w:szCs w:val="24"/>
          <w:rtl/>
        </w:rPr>
        <w:t xml:space="preserve">.. </w:t>
      </w:r>
      <w:r w:rsidRPr="00111DCD">
        <w:rPr>
          <w:rFonts w:asciiTheme="majorBidi" w:hAnsiTheme="majorBidi" w:cs="Times New Roman"/>
          <w:sz w:val="24"/>
          <w:szCs w:val="24"/>
          <w:rtl/>
        </w:rPr>
        <w:t>ובית הלל? מידע ידעי דנישואי קטנה דרבנן נינהו. רבה ורב יוסף דאמרי תרוייהו: טעמא דבית שמאי - לפי שאין אדם עושה בעילתו בעילת זנות.</w:t>
      </w:r>
      <w:r w:rsidR="008D1C27">
        <w:rPr>
          <w:rFonts w:asciiTheme="majorBidi" w:hAnsiTheme="majorBidi" w:cs="Times New Roman" w:hint="cs"/>
          <w:sz w:val="24"/>
          <w:szCs w:val="24"/>
          <w:rtl/>
        </w:rPr>
        <w:t xml:space="preserve">.. </w:t>
      </w:r>
      <w:r w:rsidRPr="00111DCD">
        <w:rPr>
          <w:rFonts w:asciiTheme="majorBidi" w:hAnsiTheme="majorBidi" w:cs="Times New Roman"/>
          <w:sz w:val="24"/>
          <w:szCs w:val="24"/>
          <w:rtl/>
        </w:rPr>
        <w:t>ובית הלל? כיון דאיכא קדושין וכתובה, לא אתו למימר דבעילתו בעילת זנות. רב פפא אמר: טעמא דב"ש - משום פירי</w:t>
      </w:r>
      <w:r w:rsidR="000C65CE">
        <w:rPr>
          <w:rFonts w:asciiTheme="majorBidi" w:hAnsiTheme="majorBidi" w:cs="Times New Roman" w:hint="cs"/>
          <w:sz w:val="24"/>
          <w:szCs w:val="24"/>
          <w:rtl/>
        </w:rPr>
        <w:t>..</w:t>
      </w:r>
      <w:r w:rsidRPr="00111DCD">
        <w:rPr>
          <w:rFonts w:asciiTheme="majorBidi" w:hAnsiTheme="majorBidi" w:cs="Times New Roman"/>
          <w:sz w:val="24"/>
          <w:szCs w:val="24"/>
          <w:rtl/>
        </w:rPr>
        <w:t>דאי אמרת נשואה תמאן, שמיט ואכיל להו מינה, דסוף סוף למיפק קיימא. ובית הלל? אדרבה, כיון דאמרת תמאן, אשבוחי משבח להו, סבר, דאי לא - עייצי לה קרוביה ומפקי לה מיניה. רבא אמר: היינו טעמא דב"ש, שאין אדם טורח בסעודה ומפסידה. וב"ה? תרוייהו ניחא להו, כדי דליפוק עלייהו קלא דאישות.</w:t>
      </w:r>
    </w:p>
    <w:p w14:paraId="2C3071DE" w14:textId="576C909E" w:rsidR="000C65CE" w:rsidRPr="000C65CE" w:rsidRDefault="00002EF4" w:rsidP="00002EF4">
      <w:pPr>
        <w:spacing w:after="0" w:line="360" w:lineRule="auto"/>
        <w:rPr>
          <w:rFonts w:asciiTheme="majorBidi" w:hAnsiTheme="majorBidi" w:cstheme="majorBidi"/>
          <w:b/>
          <w:bCs/>
          <w:sz w:val="24"/>
          <w:szCs w:val="24"/>
          <w:u w:val="single"/>
          <w:rtl/>
        </w:rPr>
      </w:pPr>
      <w:r>
        <w:rPr>
          <w:rFonts w:asciiTheme="majorBidi" w:hAnsiTheme="majorBidi" w:cstheme="majorBidi" w:hint="cs"/>
          <w:b/>
          <w:bCs/>
          <w:sz w:val="24"/>
          <w:szCs w:val="24"/>
          <w:u w:val="single"/>
          <w:rtl/>
        </w:rPr>
        <w:t xml:space="preserve">בין אירוסין לנישואין </w:t>
      </w:r>
      <w:r w:rsidR="000C65CE">
        <w:rPr>
          <w:rFonts w:asciiTheme="majorBidi" w:hAnsiTheme="majorBidi" w:cstheme="majorBidi" w:hint="cs"/>
          <w:b/>
          <w:bCs/>
          <w:sz w:val="24"/>
          <w:szCs w:val="24"/>
          <w:u w:val="single"/>
          <w:rtl/>
        </w:rPr>
        <w:t>ב</w:t>
      </w:r>
      <w:r w:rsidR="0059054D">
        <w:rPr>
          <w:rFonts w:asciiTheme="majorBidi" w:hAnsiTheme="majorBidi" w:cstheme="majorBidi" w:hint="cs"/>
          <w:b/>
          <w:bCs/>
          <w:sz w:val="24"/>
          <w:szCs w:val="24"/>
          <w:u w:val="single"/>
          <w:rtl/>
        </w:rPr>
        <w:t>מיאון</w:t>
      </w:r>
      <w:r w:rsidR="000C65CE">
        <w:rPr>
          <w:rFonts w:asciiTheme="majorBidi" w:hAnsiTheme="majorBidi" w:cstheme="majorBidi" w:hint="cs"/>
          <w:b/>
          <w:bCs/>
          <w:sz w:val="24"/>
          <w:szCs w:val="24"/>
          <w:u w:val="single"/>
          <w:rtl/>
        </w:rPr>
        <w:t xml:space="preserve"> </w:t>
      </w:r>
    </w:p>
    <w:p w14:paraId="1AA4E708" w14:textId="56BA946A" w:rsidR="00170182" w:rsidRPr="00002EF4" w:rsidRDefault="00002EF4" w:rsidP="00002EF4">
      <w:pPr>
        <w:pStyle w:val="aa"/>
        <w:numPr>
          <w:ilvl w:val="0"/>
          <w:numId w:val="1"/>
        </w:numPr>
        <w:spacing w:after="0" w:line="360" w:lineRule="auto"/>
        <w:rPr>
          <w:rFonts w:asciiTheme="majorBidi" w:hAnsiTheme="majorBidi" w:cstheme="majorBidi"/>
          <w:b/>
          <w:bCs/>
          <w:sz w:val="24"/>
          <w:szCs w:val="24"/>
          <w:rtl/>
        </w:rPr>
      </w:pPr>
      <w:r w:rsidRPr="00002EF4">
        <w:rPr>
          <w:rFonts w:asciiTheme="majorBidi" w:hAnsiTheme="majorBidi" w:cstheme="majorBidi"/>
          <w:b/>
          <w:bCs/>
          <w:sz w:val="24"/>
          <w:szCs w:val="24"/>
          <w:rtl/>
        </w:rPr>
        <w:t xml:space="preserve">שיטת בית שמאי </w:t>
      </w:r>
      <w:r w:rsidR="00170182" w:rsidRPr="00002EF4">
        <w:rPr>
          <w:rFonts w:asciiTheme="majorBidi" w:hAnsiTheme="majorBidi" w:cstheme="majorBidi"/>
          <w:b/>
          <w:bCs/>
          <w:sz w:val="24"/>
          <w:szCs w:val="24"/>
          <w:rtl/>
        </w:rPr>
        <w:t>בדיעבד</w:t>
      </w:r>
    </w:p>
    <w:p w14:paraId="0750FF88" w14:textId="1D203A46" w:rsidR="00170182" w:rsidRPr="00170182" w:rsidRDefault="00170182" w:rsidP="00170182">
      <w:pPr>
        <w:spacing w:after="0" w:line="360" w:lineRule="auto"/>
        <w:rPr>
          <w:rFonts w:asciiTheme="majorBidi" w:hAnsiTheme="majorBidi" w:cstheme="majorBidi"/>
          <w:sz w:val="24"/>
          <w:szCs w:val="24"/>
          <w:rtl/>
        </w:rPr>
      </w:pPr>
      <w:r w:rsidRPr="00170182">
        <w:rPr>
          <w:rFonts w:asciiTheme="majorBidi" w:hAnsiTheme="majorBidi" w:cstheme="majorBidi"/>
          <w:sz w:val="24"/>
          <w:szCs w:val="24"/>
          <w:rtl/>
        </w:rPr>
        <w:t xml:space="preserve">הגמרא בהמשך מספרת, שבית שמאי </w:t>
      </w:r>
      <w:r>
        <w:rPr>
          <w:rFonts w:asciiTheme="majorBidi" w:hAnsiTheme="majorBidi" w:cstheme="majorBidi" w:hint="cs"/>
          <w:sz w:val="24"/>
          <w:szCs w:val="24"/>
          <w:rtl/>
        </w:rPr>
        <w:t>היו מוכנים לוותר על התנאי ש</w:t>
      </w:r>
      <w:r w:rsidR="0059054D">
        <w:rPr>
          <w:rFonts w:asciiTheme="majorBidi" w:hAnsiTheme="majorBidi" w:cstheme="majorBidi" w:hint="cs"/>
          <w:sz w:val="24"/>
          <w:szCs w:val="24"/>
          <w:rtl/>
        </w:rPr>
        <w:t>מיאון</w:t>
      </w:r>
      <w:r>
        <w:rPr>
          <w:rFonts w:asciiTheme="majorBidi" w:hAnsiTheme="majorBidi" w:cstheme="majorBidi" w:hint="cs"/>
          <w:sz w:val="24"/>
          <w:szCs w:val="24"/>
          <w:rtl/>
        </w:rPr>
        <w:t xml:space="preserve"> צריך להיות בפני הבעל</w:t>
      </w:r>
      <w:r w:rsidR="005075EC">
        <w:rPr>
          <w:rFonts w:asciiTheme="majorBidi" w:hAnsiTheme="majorBidi" w:cstheme="majorBidi" w:hint="cs"/>
          <w:sz w:val="24"/>
          <w:szCs w:val="24"/>
          <w:rtl/>
        </w:rPr>
        <w:t>, ואף על התנאי שרק ארוסה ממאנת. סיבת הדבר היא שבעלה נהג לכלות את נכסי המלוג של אשתו הקטנה.</w:t>
      </w:r>
    </w:p>
    <w:p w14:paraId="0D9D117A" w14:textId="3D2881F5" w:rsidR="005075EC" w:rsidRDefault="00170182" w:rsidP="005075EC">
      <w:pPr>
        <w:spacing w:after="0" w:line="360" w:lineRule="auto"/>
        <w:rPr>
          <w:rFonts w:asciiTheme="majorBidi" w:hAnsiTheme="majorBidi" w:cs="Times New Roman"/>
          <w:sz w:val="24"/>
          <w:szCs w:val="24"/>
          <w:rtl/>
        </w:rPr>
      </w:pPr>
      <w:r>
        <w:rPr>
          <w:rFonts w:ascii="David" w:hAnsi="David" w:cs="David" w:hint="cs"/>
          <w:sz w:val="24"/>
          <w:szCs w:val="24"/>
          <w:rtl/>
        </w:rPr>
        <w:t>"</w:t>
      </w:r>
      <w:r w:rsidRPr="00170182">
        <w:rPr>
          <w:rFonts w:ascii="David" w:hAnsi="David" w:cs="David"/>
          <w:sz w:val="24"/>
          <w:szCs w:val="24"/>
          <w:rtl/>
        </w:rPr>
        <w:t>בית שמאי אומרים: בפניו וכו'. תניא, אמרו להן בית הלל לבית שמאי: והלא פישון הגמל מיאנה אשתו שלא בפניו! אמרו להן ב"ש לבית הלל: פישון הגמל במדה כפושה מדד, לפיכך מדדו לו במדה כפושה. מדקא אכיל פירי</w:t>
      </w:r>
      <w:r w:rsidR="00D30CEF">
        <w:rPr>
          <w:rFonts w:ascii="David" w:hAnsi="David" w:cs="David" w:hint="cs"/>
          <w:sz w:val="24"/>
          <w:szCs w:val="24"/>
          <w:rtl/>
        </w:rPr>
        <w:t>,</w:t>
      </w:r>
      <w:r w:rsidRPr="00170182">
        <w:rPr>
          <w:rFonts w:ascii="David" w:hAnsi="David" w:cs="David"/>
          <w:sz w:val="24"/>
          <w:szCs w:val="24"/>
          <w:rtl/>
        </w:rPr>
        <w:t xml:space="preserve"> פשיטא נשואה היא</w:t>
      </w:r>
      <w:r w:rsidR="00D30CEF">
        <w:rPr>
          <w:rFonts w:ascii="David" w:hAnsi="David" w:cs="David" w:hint="cs"/>
          <w:sz w:val="24"/>
          <w:szCs w:val="24"/>
          <w:rtl/>
        </w:rPr>
        <w:t>.</w:t>
      </w:r>
      <w:r w:rsidRPr="00170182">
        <w:rPr>
          <w:rFonts w:ascii="David" w:hAnsi="David" w:cs="David"/>
          <w:sz w:val="24"/>
          <w:szCs w:val="24"/>
          <w:rtl/>
        </w:rPr>
        <w:t xml:space="preserve"> והאמרי ב"ש: נשואה לא ממאנה! תרי קיטרי עבדו ביה</w:t>
      </w:r>
      <w:r>
        <w:rPr>
          <w:rStyle w:val="a5"/>
          <w:rFonts w:ascii="David" w:hAnsi="David" w:cs="David"/>
          <w:sz w:val="24"/>
          <w:szCs w:val="24"/>
          <w:rtl/>
        </w:rPr>
        <w:footnoteReference w:id="1"/>
      </w:r>
      <w:r w:rsidR="005075EC">
        <w:rPr>
          <w:rFonts w:ascii="David" w:hAnsi="David" w:cs="David" w:hint="cs"/>
          <w:sz w:val="24"/>
          <w:szCs w:val="24"/>
          <w:rtl/>
        </w:rPr>
        <w:t>"</w:t>
      </w:r>
      <w:r w:rsidRPr="00170182">
        <w:rPr>
          <w:rFonts w:ascii="David" w:hAnsi="David" w:cs="David"/>
          <w:sz w:val="24"/>
          <w:szCs w:val="24"/>
          <w:rtl/>
        </w:rPr>
        <w:t>.</w:t>
      </w:r>
      <w:r w:rsidR="005075EC">
        <w:rPr>
          <w:rFonts w:ascii="David" w:hAnsi="David" w:cs="David" w:hint="cs"/>
          <w:sz w:val="24"/>
          <w:szCs w:val="24"/>
          <w:rtl/>
        </w:rPr>
        <w:t xml:space="preserve"> </w:t>
      </w:r>
      <w:r w:rsidR="005075EC">
        <w:rPr>
          <w:rFonts w:asciiTheme="majorBidi" w:hAnsiTheme="majorBidi" w:cstheme="majorBidi" w:hint="cs"/>
          <w:sz w:val="24"/>
          <w:szCs w:val="24"/>
          <w:rtl/>
        </w:rPr>
        <w:t>מכאן מדייק הרמב"ן, ש</w:t>
      </w:r>
      <w:r w:rsidR="0059054D">
        <w:rPr>
          <w:rFonts w:asciiTheme="majorBidi" w:hAnsiTheme="majorBidi" w:cstheme="majorBidi" w:hint="cs"/>
          <w:sz w:val="24"/>
          <w:szCs w:val="24"/>
          <w:rtl/>
        </w:rPr>
        <w:t>מיאון</w:t>
      </w:r>
      <w:r w:rsidR="005075EC">
        <w:rPr>
          <w:rFonts w:asciiTheme="majorBidi" w:hAnsiTheme="majorBidi" w:cstheme="majorBidi" w:hint="cs"/>
          <w:sz w:val="24"/>
          <w:szCs w:val="24"/>
          <w:rtl/>
        </w:rPr>
        <w:t xml:space="preserve"> נשואה תקף בדיעבד גם לבית שמאי: </w:t>
      </w:r>
    </w:p>
    <w:p w14:paraId="4F3F36BE" w14:textId="786AEEF5" w:rsidR="005075EC" w:rsidRPr="005075EC" w:rsidRDefault="005075EC" w:rsidP="005075EC">
      <w:pPr>
        <w:spacing w:after="0" w:line="360" w:lineRule="auto"/>
        <w:rPr>
          <w:rFonts w:asciiTheme="majorBidi" w:hAnsiTheme="majorBidi" w:cstheme="majorBidi"/>
          <w:sz w:val="24"/>
          <w:szCs w:val="24"/>
          <w:rtl/>
        </w:rPr>
      </w:pPr>
      <w:r w:rsidRPr="005075EC">
        <w:rPr>
          <w:rFonts w:ascii="David" w:hAnsi="David" w:cs="David"/>
          <w:sz w:val="24"/>
          <w:szCs w:val="24"/>
          <w:rtl/>
        </w:rPr>
        <w:t xml:space="preserve">"ואם תאמר שאפילו מיאנה נשואה ושלא בפניו אין מיאונה מיאון וכי מפני שמדד במדה כפושה התירו אשת איש ואף על פי שהיא מדבריהם, אלא ש"מ אין ממאנין </w:t>
      </w:r>
      <w:r w:rsidRPr="005075EC">
        <w:rPr>
          <w:rFonts w:ascii="David" w:hAnsi="David" w:cs="David"/>
          <w:b/>
          <w:bCs/>
          <w:sz w:val="24"/>
          <w:szCs w:val="24"/>
          <w:rtl/>
        </w:rPr>
        <w:t>לכתחלה הוא</w:t>
      </w:r>
      <w:r w:rsidRPr="005075EC">
        <w:rPr>
          <w:rFonts w:ascii="David" w:hAnsi="David" w:cs="David"/>
          <w:sz w:val="24"/>
          <w:szCs w:val="24"/>
          <w:rtl/>
        </w:rPr>
        <w:t xml:space="preserve"> שאין כותבין לה".</w:t>
      </w:r>
      <w:r>
        <w:rPr>
          <w:rFonts w:ascii="David" w:hAnsi="David" w:cs="David" w:hint="cs"/>
          <w:sz w:val="24"/>
          <w:szCs w:val="24"/>
          <w:rtl/>
        </w:rPr>
        <w:t xml:space="preserve"> </w:t>
      </w:r>
      <w:r>
        <w:rPr>
          <w:rFonts w:asciiTheme="majorBidi" w:hAnsiTheme="majorBidi" w:cstheme="majorBidi" w:hint="cs"/>
          <w:sz w:val="24"/>
          <w:szCs w:val="24"/>
          <w:rtl/>
        </w:rPr>
        <w:t>הדבר כמעט מפורש בירושלמי:</w:t>
      </w:r>
    </w:p>
    <w:p w14:paraId="096CD716" w14:textId="1087F367" w:rsidR="005D1DDA" w:rsidRDefault="005075EC" w:rsidP="005075EC">
      <w:pPr>
        <w:spacing w:after="0" w:line="360" w:lineRule="auto"/>
        <w:rPr>
          <w:rFonts w:asciiTheme="majorBidi" w:hAnsiTheme="majorBidi" w:cstheme="majorBidi"/>
          <w:sz w:val="24"/>
          <w:szCs w:val="24"/>
          <w:rtl/>
        </w:rPr>
      </w:pPr>
      <w:r>
        <w:rPr>
          <w:rFonts w:ascii="David" w:hAnsi="David" w:cs="David" w:hint="cs"/>
          <w:sz w:val="24"/>
          <w:szCs w:val="24"/>
          <w:rtl/>
        </w:rPr>
        <w:t>"</w:t>
      </w:r>
      <w:r w:rsidRPr="005075EC">
        <w:rPr>
          <w:rFonts w:ascii="David" w:hAnsi="David" w:cs="David"/>
          <w:sz w:val="24"/>
          <w:szCs w:val="24"/>
          <w:rtl/>
        </w:rPr>
        <w:t>קשיא אילו העושה דבר שלא כשורה שמא מתירין ערוה שלו</w:t>
      </w:r>
      <w:r w:rsidR="00D30CEF">
        <w:rPr>
          <w:rFonts w:ascii="David" w:hAnsi="David" w:cs="David" w:hint="cs"/>
          <w:sz w:val="24"/>
          <w:szCs w:val="24"/>
          <w:rtl/>
        </w:rPr>
        <w:t>?!</w:t>
      </w:r>
      <w:r w:rsidRPr="005075EC">
        <w:rPr>
          <w:rFonts w:ascii="David" w:hAnsi="David" w:cs="David"/>
          <w:sz w:val="24"/>
          <w:szCs w:val="24"/>
          <w:rtl/>
        </w:rPr>
        <w:t xml:space="preserve"> אמר רב חסדא הדא אמרה עברה ומיאנה מן הנישואין</w:t>
      </w:r>
      <w:r w:rsidR="00D30CEF">
        <w:rPr>
          <w:rFonts w:ascii="David" w:hAnsi="David" w:cs="David" w:hint="cs"/>
          <w:sz w:val="24"/>
          <w:szCs w:val="24"/>
          <w:rtl/>
        </w:rPr>
        <w:t>,</w:t>
      </w:r>
      <w:r w:rsidRPr="005075EC">
        <w:rPr>
          <w:rFonts w:ascii="David" w:hAnsi="David" w:cs="David"/>
          <w:sz w:val="24"/>
          <w:szCs w:val="24"/>
          <w:rtl/>
        </w:rPr>
        <w:t xml:space="preserve"> על דבית שמאי מיאוניה מיאונין</w:t>
      </w:r>
      <w:r>
        <w:rPr>
          <w:rStyle w:val="a5"/>
          <w:rFonts w:ascii="David" w:hAnsi="David" w:cs="David"/>
          <w:sz w:val="24"/>
          <w:szCs w:val="24"/>
          <w:rtl/>
        </w:rPr>
        <w:footnoteReference w:id="2"/>
      </w:r>
      <w:r>
        <w:rPr>
          <w:rFonts w:ascii="David" w:hAnsi="David" w:cs="David" w:hint="cs"/>
          <w:sz w:val="24"/>
          <w:szCs w:val="24"/>
          <w:rtl/>
        </w:rPr>
        <w:t>"</w:t>
      </w:r>
      <w:r w:rsidRPr="005075EC">
        <w:rPr>
          <w:rFonts w:ascii="David" w:hAnsi="David" w:cs="David"/>
          <w:sz w:val="24"/>
          <w:szCs w:val="24"/>
          <w:rtl/>
        </w:rPr>
        <w:t>.</w:t>
      </w:r>
      <w:r w:rsidR="008D1C27">
        <w:rPr>
          <w:rFonts w:ascii="David" w:hAnsi="David" w:cs="David" w:hint="cs"/>
          <w:sz w:val="24"/>
          <w:szCs w:val="24"/>
          <w:rtl/>
        </w:rPr>
        <w:t xml:space="preserve"> </w:t>
      </w:r>
      <w:r w:rsidR="008D1C27">
        <w:rPr>
          <w:rFonts w:asciiTheme="majorBidi" w:hAnsiTheme="majorBidi" w:cstheme="majorBidi" w:hint="cs"/>
          <w:sz w:val="24"/>
          <w:szCs w:val="24"/>
          <w:rtl/>
        </w:rPr>
        <w:t>אולם בתחילת הפרק נאמר שם להיפך:</w:t>
      </w:r>
    </w:p>
    <w:p w14:paraId="7AA8528F" w14:textId="63B53F8E" w:rsidR="008D1C27" w:rsidRDefault="008D1C27" w:rsidP="000C65C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8D1C27">
        <w:rPr>
          <w:rFonts w:ascii="David" w:hAnsi="David" w:cs="David"/>
          <w:sz w:val="24"/>
          <w:szCs w:val="24"/>
          <w:rtl/>
        </w:rPr>
        <w:t>"אמר רבי אבין</w:t>
      </w:r>
      <w:r w:rsidR="00D30CEF">
        <w:rPr>
          <w:rFonts w:ascii="David" w:hAnsi="David" w:cs="David" w:hint="cs"/>
          <w:sz w:val="24"/>
          <w:szCs w:val="24"/>
          <w:rtl/>
        </w:rPr>
        <w:t>:</w:t>
      </w:r>
      <w:r w:rsidRPr="008D1C27">
        <w:rPr>
          <w:rFonts w:ascii="David" w:hAnsi="David" w:cs="David"/>
          <w:sz w:val="24"/>
          <w:szCs w:val="24"/>
          <w:rtl/>
        </w:rPr>
        <w:t xml:space="preserve"> אתיא דבית שמאי כר' לעזר</w:t>
      </w:r>
      <w:r w:rsidR="00D30CEF">
        <w:rPr>
          <w:rFonts w:ascii="David" w:hAnsi="David" w:cs="David" w:hint="cs"/>
          <w:sz w:val="24"/>
          <w:szCs w:val="24"/>
          <w:rtl/>
        </w:rPr>
        <w:t>,</w:t>
      </w:r>
      <w:r w:rsidRPr="008D1C27">
        <w:rPr>
          <w:rFonts w:ascii="David" w:hAnsi="David" w:cs="David"/>
          <w:sz w:val="24"/>
          <w:szCs w:val="24"/>
          <w:rtl/>
        </w:rPr>
        <w:t xml:space="preserve"> דתני ר' לעזר אמר</w:t>
      </w:r>
      <w:r w:rsidR="00D30CEF">
        <w:rPr>
          <w:rFonts w:ascii="David" w:hAnsi="David" w:cs="David" w:hint="cs"/>
          <w:sz w:val="24"/>
          <w:szCs w:val="24"/>
          <w:rtl/>
        </w:rPr>
        <w:t>:</w:t>
      </w:r>
      <w:r w:rsidRPr="008D1C27">
        <w:rPr>
          <w:rFonts w:ascii="David" w:hAnsi="David" w:cs="David"/>
          <w:sz w:val="24"/>
          <w:szCs w:val="24"/>
          <w:rtl/>
        </w:rPr>
        <w:t xml:space="preserve"> אף הפנוי הבא על הפנויה שלא לשם אישות הרי זו בעילת זנות. הדא אמרה עברה ומיאנה מן הנישואין על דבית שמאי </w:t>
      </w:r>
      <w:r w:rsidRPr="008D1C27">
        <w:rPr>
          <w:rFonts w:ascii="David" w:hAnsi="David" w:cs="David"/>
          <w:b/>
          <w:bCs/>
          <w:sz w:val="24"/>
          <w:szCs w:val="24"/>
          <w:rtl/>
        </w:rPr>
        <w:t>אין מיאוניה מיאונין".</w:t>
      </w:r>
      <w:r w:rsidR="000C65CE">
        <w:rPr>
          <w:rFonts w:asciiTheme="majorBidi" w:hAnsiTheme="majorBidi" w:cstheme="majorBidi" w:hint="cs"/>
          <w:sz w:val="24"/>
          <w:szCs w:val="24"/>
          <w:rtl/>
        </w:rPr>
        <w:t xml:space="preserve"> בקרן אורה מציע שזו נפקא מינא בין הטעמים</w:t>
      </w:r>
      <w:r w:rsidR="00D30CEF">
        <w:rPr>
          <w:rFonts w:asciiTheme="majorBidi" w:hAnsiTheme="majorBidi" w:cstheme="majorBidi" w:hint="cs"/>
          <w:sz w:val="24"/>
          <w:szCs w:val="24"/>
          <w:rtl/>
        </w:rPr>
        <w:t xml:space="preserve"> השונים</w:t>
      </w:r>
      <w:r w:rsidR="000C65CE">
        <w:rPr>
          <w:rFonts w:asciiTheme="majorBidi" w:hAnsiTheme="majorBidi" w:cstheme="majorBidi" w:hint="cs"/>
          <w:sz w:val="24"/>
          <w:szCs w:val="24"/>
          <w:rtl/>
        </w:rPr>
        <w:t xml:space="preserve"> לשיטת בית שמאי:</w:t>
      </w:r>
    </w:p>
    <w:p w14:paraId="0EFF9372" w14:textId="0D2C2E93" w:rsidR="000C65CE" w:rsidRPr="000C65CE" w:rsidRDefault="000C65CE" w:rsidP="000C65CE">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555D8E">
        <w:rPr>
          <w:rFonts w:ascii="David" w:hAnsi="David" w:cs="David"/>
          <w:sz w:val="24"/>
          <w:szCs w:val="24"/>
          <w:rtl/>
        </w:rPr>
        <w:t>לבית שמאי אין מיאון נשואה מיאון אפילו עברה ומיאנה, והיינו למאן דמפרש טעמא דב"ש משום דסבירא ליה כר' אליעזר דאמר פנוי הבא על הפנויה עשאה זונה, ואם תמאן יהיה בעילת זנות. והא דאמרינן התם גבי הא דפישון הגמל דאם עברה ומיאנה מיאונה מיאון, היינו לאינך טעמי דאמרינן בגמרא. וכן כתב הקרבן העדה</w:t>
      </w:r>
      <w:r>
        <w:rPr>
          <w:rFonts w:asciiTheme="majorBidi" w:hAnsiTheme="majorBidi" w:cstheme="majorBidi" w:hint="cs"/>
          <w:sz w:val="24"/>
          <w:szCs w:val="24"/>
          <w:rtl/>
        </w:rPr>
        <w:t>".</w:t>
      </w:r>
    </w:p>
    <w:p w14:paraId="29C260F0" w14:textId="26B14083" w:rsidR="000C65CE" w:rsidRPr="00002EF4" w:rsidRDefault="000C65CE" w:rsidP="00002EF4">
      <w:pPr>
        <w:pStyle w:val="aa"/>
        <w:numPr>
          <w:ilvl w:val="0"/>
          <w:numId w:val="1"/>
        </w:numPr>
        <w:spacing w:after="0" w:line="360" w:lineRule="auto"/>
        <w:rPr>
          <w:rFonts w:asciiTheme="majorBidi" w:hAnsiTheme="majorBidi" w:cstheme="majorBidi"/>
          <w:b/>
          <w:bCs/>
          <w:sz w:val="24"/>
          <w:szCs w:val="24"/>
          <w:rtl/>
        </w:rPr>
      </w:pPr>
      <w:r w:rsidRPr="00002EF4">
        <w:rPr>
          <w:rFonts w:asciiTheme="majorBidi" w:hAnsiTheme="majorBidi" w:cstheme="majorBidi" w:hint="cs"/>
          <w:b/>
          <w:bCs/>
          <w:sz w:val="24"/>
          <w:szCs w:val="24"/>
          <w:rtl/>
        </w:rPr>
        <w:t xml:space="preserve">ביאור העדר </w:t>
      </w:r>
      <w:r w:rsidR="0059054D">
        <w:rPr>
          <w:rFonts w:asciiTheme="majorBidi" w:hAnsiTheme="majorBidi" w:cstheme="majorBidi" w:hint="cs"/>
          <w:b/>
          <w:bCs/>
          <w:sz w:val="24"/>
          <w:szCs w:val="24"/>
          <w:rtl/>
        </w:rPr>
        <w:t>מיאון</w:t>
      </w:r>
      <w:r w:rsidRPr="00002EF4">
        <w:rPr>
          <w:rFonts w:asciiTheme="majorBidi" w:hAnsiTheme="majorBidi" w:cstheme="majorBidi" w:hint="cs"/>
          <w:b/>
          <w:bCs/>
          <w:sz w:val="24"/>
          <w:szCs w:val="24"/>
          <w:rtl/>
        </w:rPr>
        <w:t xml:space="preserve"> בנשואה לדברי בית שמאי</w:t>
      </w:r>
    </w:p>
    <w:p w14:paraId="7A7F592F" w14:textId="3B54247F" w:rsidR="005D1DDA" w:rsidRDefault="005D1DDA" w:rsidP="000C65CE">
      <w:pPr>
        <w:spacing w:after="0" w:line="360" w:lineRule="auto"/>
        <w:rPr>
          <w:rFonts w:asciiTheme="majorBidi" w:hAnsiTheme="majorBidi" w:cstheme="majorBidi"/>
          <w:sz w:val="24"/>
          <w:szCs w:val="24"/>
          <w:rtl/>
        </w:rPr>
      </w:pPr>
      <w:r w:rsidRPr="00BA263D">
        <w:rPr>
          <w:rFonts w:asciiTheme="majorBidi" w:hAnsiTheme="majorBidi" w:cstheme="majorBidi"/>
          <w:sz w:val="24"/>
          <w:szCs w:val="24"/>
          <w:rtl/>
        </w:rPr>
        <w:t xml:space="preserve">רש"י </w:t>
      </w:r>
      <w:r>
        <w:rPr>
          <w:rFonts w:asciiTheme="majorBidi" w:hAnsiTheme="majorBidi" w:cstheme="majorBidi" w:hint="cs"/>
          <w:sz w:val="24"/>
          <w:szCs w:val="24"/>
          <w:rtl/>
        </w:rPr>
        <w:t xml:space="preserve"> על המשנה כותב:</w:t>
      </w:r>
      <w:r w:rsidR="000C65CE">
        <w:rPr>
          <w:rFonts w:asciiTheme="majorBidi" w:hAnsiTheme="majorBidi" w:cstheme="majorBidi" w:hint="cs"/>
          <w:sz w:val="24"/>
          <w:szCs w:val="24"/>
          <w:rtl/>
        </w:rPr>
        <w:t xml:space="preserve"> </w:t>
      </w:r>
      <w:r>
        <w:rPr>
          <w:rFonts w:ascii="David" w:hAnsi="David" w:cs="David" w:hint="cs"/>
          <w:sz w:val="24"/>
          <w:szCs w:val="24"/>
          <w:rtl/>
        </w:rPr>
        <w:t>"</w:t>
      </w:r>
      <w:r w:rsidRPr="00111DCD">
        <w:rPr>
          <w:rFonts w:ascii="David" w:hAnsi="David" w:cs="David"/>
          <w:sz w:val="24"/>
          <w:szCs w:val="24"/>
          <w:rtl/>
        </w:rPr>
        <w:t>אין ממאנין - יתומה שהשיאוה אמה ואחיה אלא מן האירוסין</w:t>
      </w:r>
      <w:r>
        <w:rPr>
          <w:rFonts w:ascii="David" w:hAnsi="David" w:cs="David" w:hint="cs"/>
          <w:sz w:val="24"/>
          <w:szCs w:val="24"/>
          <w:rtl/>
        </w:rPr>
        <w:t>"</w:t>
      </w:r>
      <w:r w:rsidRPr="00111DC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שלאחר נישואין אין יותר </w:t>
      </w:r>
      <w:r w:rsidR="0059054D">
        <w:rPr>
          <w:rFonts w:asciiTheme="majorBidi" w:hAnsiTheme="majorBidi" w:cstheme="majorBidi" w:hint="cs"/>
          <w:sz w:val="24"/>
          <w:szCs w:val="24"/>
          <w:rtl/>
        </w:rPr>
        <w:t>מיאון</w:t>
      </w:r>
      <w:r>
        <w:rPr>
          <w:rFonts w:asciiTheme="majorBidi" w:hAnsiTheme="majorBidi" w:cstheme="majorBidi" w:hint="cs"/>
          <w:sz w:val="24"/>
          <w:szCs w:val="24"/>
          <w:rtl/>
        </w:rPr>
        <w:t xml:space="preserve"> לדעת בית שמאי. כך מפרשים גם </w:t>
      </w:r>
      <w:r w:rsidR="008D1C27">
        <w:rPr>
          <w:rFonts w:asciiTheme="majorBidi" w:hAnsiTheme="majorBidi" w:cstheme="majorBidi" w:hint="cs"/>
          <w:sz w:val="24"/>
          <w:szCs w:val="24"/>
          <w:rtl/>
        </w:rPr>
        <w:t>ראשונים אחרים</w:t>
      </w:r>
      <w:r w:rsidR="008D1C27">
        <w:rPr>
          <w:rStyle w:val="a5"/>
          <w:rFonts w:asciiTheme="majorBidi" w:hAnsiTheme="majorBidi" w:cstheme="majorBidi"/>
          <w:sz w:val="24"/>
          <w:szCs w:val="24"/>
          <w:rtl/>
        </w:rPr>
        <w:footnoteReference w:id="3"/>
      </w:r>
      <w:r w:rsidR="00D30CEF">
        <w:rPr>
          <w:rFonts w:asciiTheme="majorBidi" w:hAnsiTheme="majorBidi" w:cstheme="majorBidi" w:hint="cs"/>
          <w:sz w:val="24"/>
          <w:szCs w:val="24"/>
          <w:rtl/>
        </w:rPr>
        <w:t>.</w:t>
      </w:r>
    </w:p>
    <w:p w14:paraId="028D5DF5" w14:textId="77777777" w:rsidR="005D1DDA" w:rsidRDefault="005D1DDA" w:rsidP="004235B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יש להבין לפי זה  סוגיה מקבילה:</w:t>
      </w:r>
    </w:p>
    <w:p w14:paraId="045A397A" w14:textId="77777777" w:rsidR="005D1DDA" w:rsidRDefault="005D1DDA" w:rsidP="004235B9">
      <w:pPr>
        <w:spacing w:after="0" w:line="360" w:lineRule="auto"/>
        <w:rPr>
          <w:rFonts w:ascii="David" w:hAnsi="David" w:cs="David"/>
          <w:sz w:val="24"/>
          <w:szCs w:val="24"/>
          <w:rtl/>
        </w:rPr>
      </w:pPr>
      <w:r>
        <w:rPr>
          <w:rFonts w:ascii="David" w:hAnsi="David" w:cs="David" w:hint="cs"/>
          <w:sz w:val="24"/>
          <w:szCs w:val="24"/>
          <w:rtl/>
        </w:rPr>
        <w:t>"</w:t>
      </w:r>
      <w:r w:rsidRPr="00C95B28">
        <w:rPr>
          <w:rFonts w:ascii="David" w:hAnsi="David" w:cs="David"/>
          <w:sz w:val="24"/>
          <w:szCs w:val="24"/>
          <w:rtl/>
        </w:rPr>
        <w:t>שלח ליה רב חסדא לרבה ביד רב אחא בר רב הונא: ואין ב"ד מתנין לעקור דבר מן התורה? והתניא: מאימתי אדם יורש את אשתו קטנה? ב"ש אומרים: משתעמוד בקומתה, וב"ה אומרים: משתכנס לחו</w:t>
      </w:r>
      <w:r>
        <w:rPr>
          <w:rFonts w:ascii="David" w:hAnsi="David" w:cs="David"/>
          <w:sz w:val="24"/>
          <w:szCs w:val="24"/>
          <w:rtl/>
        </w:rPr>
        <w:t>פה, רבי אליעזר אומר: משתבעל</w:t>
      </w:r>
      <w:r>
        <w:rPr>
          <w:rFonts w:ascii="David" w:hAnsi="David" w:cs="David" w:hint="cs"/>
          <w:sz w:val="24"/>
          <w:szCs w:val="24"/>
          <w:rtl/>
        </w:rPr>
        <w:t>..</w:t>
      </w:r>
      <w:r w:rsidRPr="00C95B28">
        <w:rPr>
          <w:rFonts w:ascii="David" w:hAnsi="David" w:cs="David"/>
          <w:sz w:val="24"/>
          <w:szCs w:val="24"/>
          <w:rtl/>
        </w:rPr>
        <w:t xml:space="preserve">. ב"ש אומרים משתעמוד בקומתה, אף על גב דלא נכנסה לחופה? אימא: משתעמוד בקומתה ותכנס לחופה, והכי קאמרו ליה ב"ש לב"ה: דקאמריתו משתכנס לחופה, </w:t>
      </w:r>
      <w:r w:rsidRPr="004235B9">
        <w:rPr>
          <w:rFonts w:ascii="David" w:hAnsi="David" w:cs="David"/>
          <w:sz w:val="24"/>
          <w:szCs w:val="24"/>
          <w:rtl/>
        </w:rPr>
        <w:t>אי עמדה בקומתה - מהניא לה חופה</w:t>
      </w:r>
      <w:r w:rsidRPr="00C95B28">
        <w:rPr>
          <w:rFonts w:ascii="David" w:hAnsi="David" w:cs="David"/>
          <w:sz w:val="24"/>
          <w:szCs w:val="24"/>
          <w:rtl/>
        </w:rPr>
        <w:t xml:space="preserve">, ואי לא - </w:t>
      </w:r>
      <w:r w:rsidRPr="004235B9">
        <w:rPr>
          <w:rFonts w:ascii="David" w:hAnsi="David" w:cs="David"/>
          <w:b/>
          <w:bCs/>
          <w:sz w:val="24"/>
          <w:szCs w:val="24"/>
          <w:rtl/>
        </w:rPr>
        <w:t>לא מהניא לה חופה.</w:t>
      </w:r>
      <w:r w:rsidRPr="00C95B28">
        <w:rPr>
          <w:rFonts w:ascii="David" w:hAnsi="David" w:cs="David"/>
          <w:sz w:val="24"/>
          <w:szCs w:val="24"/>
          <w:rtl/>
        </w:rPr>
        <w:t xml:space="preserve"> ר' אליעזר אומר: משתבעל, והאמר ר' אליעזר: אין מעשה קטנה כלום! אימא: משתגדיל ותבעל. קתני מיהת יורשה, והא הכא דמדאורייתא אבוה ירית לה, ומדרבנן ירית לה בעל</w:t>
      </w:r>
      <w:r>
        <w:rPr>
          <w:rFonts w:ascii="David" w:hAnsi="David" w:cs="David" w:hint="cs"/>
          <w:sz w:val="24"/>
          <w:szCs w:val="24"/>
          <w:rtl/>
        </w:rPr>
        <w:t>!</w:t>
      </w:r>
      <w:r>
        <w:rPr>
          <w:rStyle w:val="a5"/>
          <w:rFonts w:ascii="David" w:hAnsi="David" w:cs="David"/>
          <w:sz w:val="24"/>
          <w:szCs w:val="24"/>
          <w:rtl/>
        </w:rPr>
        <w:footnoteReference w:id="4"/>
      </w:r>
      <w:r>
        <w:rPr>
          <w:rFonts w:ascii="David" w:hAnsi="David" w:cs="David" w:hint="cs"/>
          <w:sz w:val="24"/>
          <w:szCs w:val="24"/>
          <w:rtl/>
        </w:rPr>
        <w:t>"</w:t>
      </w:r>
    </w:p>
    <w:p w14:paraId="145BBD04" w14:textId="6B3903AD" w:rsidR="005D1DDA" w:rsidRPr="00BA263D" w:rsidRDefault="005D1DDA" w:rsidP="004235B9">
      <w:pPr>
        <w:spacing w:after="0" w:line="360" w:lineRule="auto"/>
        <w:rPr>
          <w:rFonts w:asciiTheme="majorBidi" w:hAnsiTheme="majorBidi" w:cstheme="majorBidi"/>
          <w:sz w:val="24"/>
          <w:szCs w:val="24"/>
          <w:rtl/>
        </w:rPr>
      </w:pPr>
      <w:r w:rsidRPr="00BA263D">
        <w:rPr>
          <w:rFonts w:asciiTheme="majorBidi" w:hAnsiTheme="majorBidi" w:cstheme="majorBidi"/>
          <w:sz w:val="24"/>
          <w:szCs w:val="24"/>
          <w:rtl/>
        </w:rPr>
        <w:t>רש"י שם ממקד את הדיון בשאלת ה</w:t>
      </w:r>
      <w:r w:rsidR="0059054D">
        <w:rPr>
          <w:rFonts w:asciiTheme="majorBidi" w:hAnsiTheme="majorBidi" w:cstheme="majorBidi"/>
          <w:sz w:val="24"/>
          <w:szCs w:val="24"/>
          <w:rtl/>
        </w:rPr>
        <w:t>מיאון</w:t>
      </w:r>
      <w:r w:rsidRPr="00BA263D">
        <w:rPr>
          <w:rFonts w:asciiTheme="majorBidi" w:hAnsiTheme="majorBidi" w:cstheme="majorBidi"/>
          <w:sz w:val="24"/>
          <w:szCs w:val="24"/>
          <w:rtl/>
        </w:rPr>
        <w:t xml:space="preserve"> האפשרי:</w:t>
      </w:r>
    </w:p>
    <w:p w14:paraId="1E6EF5B2" w14:textId="2608E3EC" w:rsidR="005D1DDA" w:rsidRDefault="004235B9" w:rsidP="004235B9">
      <w:pPr>
        <w:spacing w:after="0" w:line="360" w:lineRule="auto"/>
        <w:rPr>
          <w:rFonts w:ascii="David" w:hAnsi="David" w:cs="David"/>
          <w:sz w:val="24"/>
          <w:szCs w:val="24"/>
          <w:rtl/>
        </w:rPr>
      </w:pPr>
      <w:r>
        <w:rPr>
          <w:rFonts w:ascii="David" w:hAnsi="David" w:cs="David" w:hint="cs"/>
          <w:sz w:val="24"/>
          <w:szCs w:val="24"/>
          <w:rtl/>
        </w:rPr>
        <w:t>"</w:t>
      </w:r>
      <w:r w:rsidR="005D1DDA" w:rsidRPr="00C95B28">
        <w:rPr>
          <w:rFonts w:ascii="David" w:hAnsi="David" w:cs="David"/>
          <w:sz w:val="24"/>
          <w:szCs w:val="24"/>
          <w:rtl/>
        </w:rPr>
        <w:t>את אשתו קטנה - אם מתה ולא אמרינן שמא עתידה היתה למאן ואשתכח דלאו אשתו הואי</w:t>
      </w:r>
      <w:r w:rsidR="00D30CEF">
        <w:rPr>
          <w:rFonts w:ascii="David" w:hAnsi="David" w:cs="David" w:hint="cs"/>
          <w:sz w:val="24"/>
          <w:szCs w:val="24"/>
          <w:rtl/>
        </w:rPr>
        <w:t>,</w:t>
      </w:r>
      <w:r w:rsidR="005D1DDA" w:rsidRPr="00C95B28">
        <w:rPr>
          <w:rFonts w:ascii="David" w:hAnsi="David" w:cs="David"/>
          <w:sz w:val="24"/>
          <w:szCs w:val="24"/>
          <w:rtl/>
        </w:rPr>
        <w:t xml:space="preserve"> וביתומה עסקינן.</w:t>
      </w:r>
      <w:r w:rsidR="005D1DDA">
        <w:rPr>
          <w:rFonts w:ascii="David" w:hAnsi="David" w:cs="David" w:hint="cs"/>
          <w:sz w:val="24"/>
          <w:szCs w:val="24"/>
          <w:rtl/>
        </w:rPr>
        <w:t xml:space="preserve">  </w:t>
      </w:r>
      <w:r w:rsidR="005D1DDA" w:rsidRPr="00C95B28">
        <w:rPr>
          <w:rFonts w:ascii="David" w:hAnsi="David" w:cs="David"/>
          <w:sz w:val="24"/>
          <w:szCs w:val="24"/>
          <w:rtl/>
        </w:rPr>
        <w:t>משתעמוד בקומתה - כשתגיע לפרקה בשנים ובהבאת שער</w:t>
      </w:r>
      <w:r>
        <w:rPr>
          <w:rFonts w:ascii="David" w:hAnsi="David" w:cs="David" w:hint="cs"/>
          <w:sz w:val="24"/>
          <w:szCs w:val="24"/>
          <w:rtl/>
        </w:rPr>
        <w:t>"</w:t>
      </w:r>
      <w:r w:rsidR="005D1DDA" w:rsidRPr="00C95B28">
        <w:rPr>
          <w:rFonts w:ascii="David" w:hAnsi="David" w:cs="David"/>
          <w:sz w:val="24"/>
          <w:szCs w:val="24"/>
          <w:rtl/>
        </w:rPr>
        <w:t>.</w:t>
      </w:r>
    </w:p>
    <w:p w14:paraId="707AABD0" w14:textId="30502812" w:rsidR="005D1DDA" w:rsidRPr="00835E49" w:rsidRDefault="005D1DDA" w:rsidP="00D30CE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הדבר תמוה</w:t>
      </w:r>
      <w:r w:rsidR="004235B9">
        <w:rPr>
          <w:rFonts w:asciiTheme="majorBidi" w:hAnsiTheme="majorBidi" w:cstheme="majorBidi" w:hint="cs"/>
          <w:sz w:val="24"/>
          <w:szCs w:val="24"/>
          <w:rtl/>
        </w:rPr>
        <w:t>:</w:t>
      </w:r>
      <w:r>
        <w:rPr>
          <w:rFonts w:asciiTheme="majorBidi" w:hAnsiTheme="majorBidi" w:cstheme="majorBidi" w:hint="cs"/>
          <w:sz w:val="24"/>
          <w:szCs w:val="24"/>
          <w:rtl/>
        </w:rPr>
        <w:t xml:space="preserve"> </w:t>
      </w:r>
      <w:r w:rsidR="00D30CEF">
        <w:rPr>
          <w:rFonts w:asciiTheme="majorBidi" w:hAnsiTheme="majorBidi" w:cstheme="majorBidi" w:hint="cs"/>
          <w:sz w:val="24"/>
          <w:szCs w:val="24"/>
          <w:rtl/>
        </w:rPr>
        <w:t>עולה ש</w:t>
      </w:r>
      <w:r>
        <w:rPr>
          <w:rFonts w:asciiTheme="majorBidi" w:hAnsiTheme="majorBidi" w:cstheme="majorBidi" w:hint="cs"/>
          <w:sz w:val="24"/>
          <w:szCs w:val="24"/>
          <w:rtl/>
        </w:rPr>
        <w:t xml:space="preserve">ישנה משמעות לכניסה לחופה של קטנה לפי בית שמאי, שמכאן ואילך איננה יכולה למאן. </w:t>
      </w:r>
      <w:r>
        <w:rPr>
          <w:rFonts w:ascii="David" w:hAnsi="David" w:cs="David" w:hint="cs"/>
          <w:sz w:val="24"/>
          <w:szCs w:val="24"/>
          <w:rtl/>
        </w:rPr>
        <w:t>"הרי לבית שמאי קטנה יתומה שנכנסה לחופה כבר אינה יכולה למאן, הרי שחופה מועיל גם קודם שתעמוד בקומתה</w:t>
      </w:r>
      <w:r>
        <w:rPr>
          <w:rStyle w:val="a5"/>
          <w:rFonts w:ascii="David" w:hAnsi="David" w:cs="David"/>
          <w:sz w:val="24"/>
          <w:szCs w:val="24"/>
          <w:rtl/>
        </w:rPr>
        <w:footnoteReference w:id="5"/>
      </w:r>
      <w:r>
        <w:rPr>
          <w:rFonts w:ascii="David" w:hAnsi="David" w:cs="David" w:hint="cs"/>
          <w:sz w:val="24"/>
          <w:szCs w:val="24"/>
          <w:rtl/>
        </w:rPr>
        <w:t>"</w:t>
      </w:r>
      <w:r w:rsidR="004235B9">
        <w:rPr>
          <w:rFonts w:ascii="David" w:hAnsi="David" w:cs="David" w:hint="cs"/>
          <w:sz w:val="24"/>
          <w:szCs w:val="24"/>
          <w:rtl/>
        </w:rPr>
        <w:t>.</w:t>
      </w:r>
      <w:r>
        <w:rPr>
          <w:rFonts w:ascii="David" w:hAnsi="David" w:cs="David" w:hint="cs"/>
          <w:sz w:val="24"/>
          <w:szCs w:val="24"/>
          <w:rtl/>
        </w:rPr>
        <w:t xml:space="preserve">  </w:t>
      </w:r>
      <w:r w:rsidR="004235B9">
        <w:rPr>
          <w:rFonts w:asciiTheme="majorBidi" w:hAnsiTheme="majorBidi" w:cstheme="majorBidi" w:hint="cs"/>
          <w:sz w:val="24"/>
          <w:szCs w:val="24"/>
          <w:rtl/>
        </w:rPr>
        <w:t>בוודאי שהדבר קשה לפי ביאור רש"י, המציב את נושא ה</w:t>
      </w:r>
      <w:r w:rsidR="0059054D">
        <w:rPr>
          <w:rFonts w:asciiTheme="majorBidi" w:hAnsiTheme="majorBidi" w:cstheme="majorBidi" w:hint="cs"/>
          <w:sz w:val="24"/>
          <w:szCs w:val="24"/>
          <w:rtl/>
        </w:rPr>
        <w:t>מיאון</w:t>
      </w:r>
      <w:r w:rsidR="004235B9">
        <w:rPr>
          <w:rFonts w:asciiTheme="majorBidi" w:hAnsiTheme="majorBidi" w:cstheme="majorBidi" w:hint="cs"/>
          <w:sz w:val="24"/>
          <w:szCs w:val="24"/>
          <w:rtl/>
        </w:rPr>
        <w:t xml:space="preserve"> במרכז הסוגיה.</w:t>
      </w:r>
      <w:r w:rsidR="00D30CEF">
        <w:rPr>
          <w:rFonts w:asciiTheme="majorBidi" w:hAnsiTheme="majorBidi" w:cstheme="majorBidi" w:hint="cs"/>
          <w:sz w:val="24"/>
          <w:szCs w:val="24"/>
          <w:rtl/>
        </w:rPr>
        <w:t xml:space="preserve"> </w:t>
      </w:r>
      <w:r w:rsidR="004235B9">
        <w:rPr>
          <w:rFonts w:asciiTheme="majorBidi" w:hAnsiTheme="majorBidi" w:cstheme="majorBidi" w:hint="cs"/>
          <w:sz w:val="24"/>
          <w:szCs w:val="24"/>
          <w:rtl/>
        </w:rPr>
        <w:t xml:space="preserve">כך תוהה </w:t>
      </w:r>
      <w:r>
        <w:rPr>
          <w:rFonts w:asciiTheme="majorBidi" w:hAnsiTheme="majorBidi" w:cstheme="majorBidi" w:hint="cs"/>
          <w:sz w:val="24"/>
          <w:szCs w:val="24"/>
          <w:rtl/>
        </w:rPr>
        <w:t>המהרש"ל, ומציע שבית שמאי באמת רק מגיבים לבית הלל:</w:t>
      </w:r>
    </w:p>
    <w:p w14:paraId="2D1E4BDA" w14:textId="2EB3B071" w:rsidR="005D1DDA" w:rsidRDefault="005D1DDA" w:rsidP="004235B9">
      <w:pPr>
        <w:spacing w:after="0" w:line="360" w:lineRule="auto"/>
        <w:rPr>
          <w:rFonts w:ascii="David" w:hAnsi="David" w:cs="David"/>
          <w:sz w:val="24"/>
          <w:szCs w:val="24"/>
          <w:rtl/>
        </w:rPr>
      </w:pPr>
      <w:r>
        <w:rPr>
          <w:rFonts w:ascii="David" w:hAnsi="David" w:cs="David" w:hint="cs"/>
          <w:sz w:val="24"/>
          <w:szCs w:val="24"/>
          <w:rtl/>
        </w:rPr>
        <w:t>"</w:t>
      </w:r>
      <w:r w:rsidRPr="00C95B28">
        <w:rPr>
          <w:rFonts w:ascii="David" w:hAnsi="David" w:cs="David"/>
          <w:sz w:val="24"/>
          <w:szCs w:val="24"/>
          <w:rtl/>
        </w:rPr>
        <w:t xml:space="preserve"> פי' רש"י</w:t>
      </w:r>
      <w:r w:rsidR="004235B9">
        <w:rPr>
          <w:rFonts w:ascii="David" w:hAnsi="David" w:cs="David" w:hint="cs"/>
          <w:sz w:val="24"/>
          <w:szCs w:val="24"/>
          <w:rtl/>
        </w:rPr>
        <w:t>,</w:t>
      </w:r>
      <w:r w:rsidRPr="00C95B28">
        <w:rPr>
          <w:rFonts w:ascii="David" w:hAnsi="David" w:cs="David"/>
          <w:sz w:val="24"/>
          <w:szCs w:val="24"/>
          <w:rtl/>
        </w:rPr>
        <w:t xml:space="preserve"> דתלי הכל במיאון</w:t>
      </w:r>
      <w:r w:rsidR="004235B9">
        <w:rPr>
          <w:rFonts w:ascii="David" w:hAnsi="David" w:cs="David" w:hint="cs"/>
          <w:sz w:val="24"/>
          <w:szCs w:val="24"/>
          <w:rtl/>
        </w:rPr>
        <w:t>,</w:t>
      </w:r>
      <w:r w:rsidRPr="00C95B28">
        <w:rPr>
          <w:rFonts w:ascii="David" w:hAnsi="David" w:cs="David"/>
          <w:sz w:val="24"/>
          <w:szCs w:val="24"/>
          <w:rtl/>
        </w:rPr>
        <w:t xml:space="preserve"> א"כ לב"ש דסברי</w:t>
      </w:r>
      <w:r w:rsidR="004235B9">
        <w:rPr>
          <w:rFonts w:ascii="David" w:hAnsi="David" w:cs="David" w:hint="cs"/>
          <w:sz w:val="24"/>
          <w:szCs w:val="24"/>
          <w:rtl/>
        </w:rPr>
        <w:t xml:space="preserve">.. </w:t>
      </w:r>
      <w:r w:rsidRPr="00C95B28">
        <w:rPr>
          <w:rFonts w:ascii="David" w:hAnsi="David" w:cs="David"/>
          <w:sz w:val="24"/>
          <w:szCs w:val="24"/>
          <w:rtl/>
        </w:rPr>
        <w:t>דהנשואות אינן ממאנות כלל</w:t>
      </w:r>
      <w:r w:rsidR="004235B9">
        <w:rPr>
          <w:rFonts w:ascii="David" w:hAnsi="David" w:cs="David" w:hint="cs"/>
          <w:sz w:val="24"/>
          <w:szCs w:val="24"/>
          <w:rtl/>
        </w:rPr>
        <w:t>,</w:t>
      </w:r>
      <w:r w:rsidRPr="00C95B28">
        <w:rPr>
          <w:rFonts w:ascii="David" w:hAnsi="David" w:cs="David"/>
          <w:sz w:val="24"/>
          <w:szCs w:val="24"/>
          <w:rtl/>
        </w:rPr>
        <w:t xml:space="preserve"> א"כ בנכנסה לחופה לחוד סגי</w:t>
      </w:r>
      <w:r w:rsidR="004235B9">
        <w:rPr>
          <w:rFonts w:ascii="David" w:hAnsi="David" w:cs="David" w:hint="cs"/>
          <w:sz w:val="24"/>
          <w:szCs w:val="24"/>
          <w:rtl/>
        </w:rPr>
        <w:t>,</w:t>
      </w:r>
      <w:r w:rsidRPr="00C95B28">
        <w:rPr>
          <w:rFonts w:ascii="David" w:hAnsi="David" w:cs="David"/>
          <w:sz w:val="24"/>
          <w:szCs w:val="24"/>
          <w:rtl/>
        </w:rPr>
        <w:t xml:space="preserve"> שהרי אינה יכולה למאן כלל</w:t>
      </w:r>
      <w:r w:rsidR="004235B9">
        <w:rPr>
          <w:rFonts w:ascii="David" w:hAnsi="David" w:cs="David" w:hint="cs"/>
          <w:sz w:val="24"/>
          <w:szCs w:val="24"/>
          <w:rtl/>
        </w:rPr>
        <w:t>!</w:t>
      </w:r>
      <w:r w:rsidRPr="00C95B28">
        <w:rPr>
          <w:rFonts w:ascii="David" w:hAnsi="David" w:cs="David"/>
          <w:sz w:val="24"/>
          <w:szCs w:val="24"/>
          <w:rtl/>
        </w:rPr>
        <w:t xml:space="preserve"> וצ"ל </w:t>
      </w:r>
      <w:r w:rsidRPr="004235B9">
        <w:rPr>
          <w:rFonts w:ascii="David" w:hAnsi="David" w:cs="David"/>
          <w:b/>
          <w:bCs/>
          <w:sz w:val="24"/>
          <w:szCs w:val="24"/>
          <w:rtl/>
        </w:rPr>
        <w:t>דלדברי ב"ה קאמרי ולא ס"ל</w:t>
      </w:r>
      <w:r w:rsidR="004235B9">
        <w:rPr>
          <w:rFonts w:ascii="David" w:hAnsi="David" w:cs="David" w:hint="cs"/>
          <w:sz w:val="24"/>
          <w:szCs w:val="24"/>
          <w:rtl/>
        </w:rPr>
        <w:t>.</w:t>
      </w:r>
      <w:r w:rsidRPr="00C95B28">
        <w:rPr>
          <w:rFonts w:ascii="David" w:hAnsi="David" w:cs="David"/>
          <w:sz w:val="24"/>
          <w:szCs w:val="24"/>
          <w:rtl/>
        </w:rPr>
        <w:t xml:space="preserve"> וכן משמע קצת לישנא דתלמודא דקאמר</w:t>
      </w:r>
      <w:r w:rsidR="00D30CEF">
        <w:rPr>
          <w:rFonts w:ascii="David" w:hAnsi="David" w:cs="David" w:hint="cs"/>
          <w:sz w:val="24"/>
          <w:szCs w:val="24"/>
          <w:rtl/>
        </w:rPr>
        <w:t>:</w:t>
      </w:r>
      <w:r w:rsidRPr="00C95B28">
        <w:rPr>
          <w:rFonts w:ascii="David" w:hAnsi="David" w:cs="David"/>
          <w:sz w:val="24"/>
          <w:szCs w:val="24"/>
          <w:rtl/>
        </w:rPr>
        <w:t xml:space="preserve"> והכי קאמרי ב"ש </w:t>
      </w:r>
      <w:r w:rsidRPr="004235B9">
        <w:rPr>
          <w:rFonts w:ascii="David" w:hAnsi="David" w:cs="David"/>
          <w:b/>
          <w:bCs/>
          <w:sz w:val="24"/>
          <w:szCs w:val="24"/>
          <w:rtl/>
        </w:rPr>
        <w:t xml:space="preserve">לב"ה </w:t>
      </w:r>
      <w:r w:rsidRPr="00C95B28">
        <w:rPr>
          <w:rFonts w:ascii="David" w:hAnsi="David" w:cs="David"/>
          <w:sz w:val="24"/>
          <w:szCs w:val="24"/>
          <w:rtl/>
        </w:rPr>
        <w:t>כו' דהיינו לדבריהם ודו"ק</w:t>
      </w:r>
      <w:r>
        <w:rPr>
          <w:rStyle w:val="a5"/>
          <w:rFonts w:ascii="David" w:hAnsi="David" w:cs="David"/>
          <w:sz w:val="24"/>
          <w:szCs w:val="24"/>
          <w:rtl/>
        </w:rPr>
        <w:footnoteReference w:id="6"/>
      </w:r>
      <w:r>
        <w:rPr>
          <w:rFonts w:ascii="David" w:hAnsi="David" w:cs="David" w:hint="cs"/>
          <w:sz w:val="24"/>
          <w:szCs w:val="24"/>
          <w:rtl/>
        </w:rPr>
        <w:t xml:space="preserve">".  </w:t>
      </w:r>
    </w:p>
    <w:p w14:paraId="0DFE4E5E" w14:textId="57C8ADF1" w:rsidR="00551D3A" w:rsidRPr="00002EF4" w:rsidRDefault="00551D3A" w:rsidP="00002EF4">
      <w:pPr>
        <w:pStyle w:val="aa"/>
        <w:numPr>
          <w:ilvl w:val="0"/>
          <w:numId w:val="1"/>
        </w:numPr>
        <w:spacing w:after="0" w:line="360" w:lineRule="auto"/>
        <w:rPr>
          <w:rFonts w:asciiTheme="majorBidi" w:hAnsiTheme="majorBidi" w:cstheme="majorBidi"/>
          <w:b/>
          <w:bCs/>
          <w:sz w:val="24"/>
          <w:szCs w:val="24"/>
          <w:rtl/>
        </w:rPr>
      </w:pPr>
      <w:r w:rsidRPr="00002EF4">
        <w:rPr>
          <w:rFonts w:asciiTheme="majorBidi" w:hAnsiTheme="majorBidi" w:cstheme="majorBidi" w:hint="cs"/>
          <w:b/>
          <w:bCs/>
          <w:sz w:val="24"/>
          <w:szCs w:val="24"/>
          <w:rtl/>
        </w:rPr>
        <w:t>פירושו של הרוגאצ'ובר</w:t>
      </w:r>
    </w:p>
    <w:p w14:paraId="7E50C109" w14:textId="11F43234" w:rsidR="005D1DDA" w:rsidRPr="00835E49" w:rsidRDefault="005D1DDA" w:rsidP="004235B9">
      <w:pPr>
        <w:spacing w:after="0" w:line="360" w:lineRule="auto"/>
        <w:rPr>
          <w:rFonts w:ascii="David" w:hAnsi="David" w:cs="David"/>
          <w:sz w:val="24"/>
          <w:szCs w:val="24"/>
          <w:rtl/>
        </w:rPr>
      </w:pPr>
      <w:r w:rsidRPr="00BA263D">
        <w:rPr>
          <w:rFonts w:asciiTheme="majorBidi" w:hAnsiTheme="majorBidi" w:cstheme="majorBidi"/>
          <w:sz w:val="24"/>
          <w:szCs w:val="24"/>
          <w:rtl/>
        </w:rPr>
        <w:t>הרוגאצ'ובר הציע פירוש שונה לגמרי</w:t>
      </w:r>
      <w:r>
        <w:rPr>
          <w:rFonts w:asciiTheme="majorBidi" w:hAnsiTheme="majorBidi" w:cstheme="majorBidi" w:hint="cs"/>
          <w:sz w:val="24"/>
          <w:szCs w:val="24"/>
          <w:rtl/>
        </w:rPr>
        <w:t xml:space="preserve"> למשנתנו</w:t>
      </w:r>
      <w:r w:rsidR="004235B9">
        <w:rPr>
          <w:rFonts w:asciiTheme="majorBidi" w:hAnsiTheme="majorBidi" w:cstheme="majorBidi" w:hint="cs"/>
          <w:sz w:val="24"/>
          <w:szCs w:val="24"/>
          <w:rtl/>
        </w:rPr>
        <w:t>, הנותן מענה גם לסוגיה שהבאנו</w:t>
      </w:r>
      <w:r w:rsidRPr="00BA263D">
        <w:rPr>
          <w:rFonts w:asciiTheme="majorBidi" w:hAnsiTheme="majorBidi" w:cstheme="majorBidi"/>
          <w:sz w:val="24"/>
          <w:szCs w:val="24"/>
          <w:rtl/>
        </w:rPr>
        <w:t>:</w:t>
      </w:r>
    </w:p>
    <w:p w14:paraId="7B0A641C" w14:textId="3DD6597C" w:rsidR="005D1DDA" w:rsidRDefault="005D1DDA" w:rsidP="004235B9">
      <w:pPr>
        <w:spacing w:after="0" w:line="360" w:lineRule="auto"/>
        <w:rPr>
          <w:rFonts w:asciiTheme="majorBidi" w:hAnsiTheme="majorBidi" w:cstheme="majorBidi"/>
          <w:sz w:val="24"/>
          <w:szCs w:val="24"/>
          <w:rtl/>
        </w:rPr>
      </w:pPr>
      <w:r>
        <w:rPr>
          <w:rFonts w:ascii="David" w:hAnsi="David" w:cs="David" w:hint="cs"/>
          <w:sz w:val="24"/>
          <w:szCs w:val="24"/>
          <w:rtl/>
        </w:rPr>
        <w:t>"המשנה מדברת באופן שה</w:t>
      </w:r>
      <w:r w:rsidR="0059054D">
        <w:rPr>
          <w:rFonts w:ascii="David" w:hAnsi="David" w:cs="David" w:hint="cs"/>
          <w:sz w:val="24"/>
          <w:szCs w:val="24"/>
          <w:rtl/>
        </w:rPr>
        <w:t>מיאון</w:t>
      </w:r>
      <w:r>
        <w:rPr>
          <w:rFonts w:ascii="David" w:hAnsi="David" w:cs="David" w:hint="cs"/>
          <w:sz w:val="24"/>
          <w:szCs w:val="24"/>
          <w:rtl/>
        </w:rPr>
        <w:t xml:space="preserve"> הוא </w:t>
      </w:r>
      <w:r w:rsidRPr="004235B9">
        <w:rPr>
          <w:rFonts w:ascii="David" w:hAnsi="David" w:cs="David" w:hint="cs"/>
          <w:b/>
          <w:bCs/>
          <w:sz w:val="24"/>
          <w:szCs w:val="24"/>
          <w:rtl/>
        </w:rPr>
        <w:t>רק על הנישואין בלבד</w:t>
      </w:r>
      <w:r>
        <w:rPr>
          <w:rFonts w:ascii="David" w:hAnsi="David" w:cs="David" w:hint="cs"/>
          <w:sz w:val="24"/>
          <w:szCs w:val="24"/>
          <w:rtl/>
        </w:rPr>
        <w:t xml:space="preserve">, שהקדושין היו קדושין גמורים על ידי האב, אלא שאחר כך מת האב והשיאוה קרוביה. ומחולקים ב"ש וב"ה אם מועיל </w:t>
      </w:r>
      <w:r w:rsidR="0059054D">
        <w:rPr>
          <w:rFonts w:ascii="David" w:hAnsi="David" w:cs="David" w:hint="cs"/>
          <w:sz w:val="24"/>
          <w:szCs w:val="24"/>
          <w:rtl/>
        </w:rPr>
        <w:t>מיאון</w:t>
      </w:r>
      <w:r>
        <w:rPr>
          <w:rFonts w:ascii="David" w:hAnsi="David" w:cs="David" w:hint="cs"/>
          <w:sz w:val="24"/>
          <w:szCs w:val="24"/>
          <w:rtl/>
        </w:rPr>
        <w:t xml:space="preserve"> לנשואין </w:t>
      </w:r>
      <w:r w:rsidRPr="004235B9">
        <w:rPr>
          <w:rFonts w:ascii="David" w:hAnsi="David" w:cs="David" w:hint="cs"/>
          <w:b/>
          <w:bCs/>
          <w:sz w:val="24"/>
          <w:szCs w:val="24"/>
          <w:rtl/>
        </w:rPr>
        <w:t>שתיעשה ארוסה כמקדם</w:t>
      </w:r>
      <w:r>
        <w:rPr>
          <w:rFonts w:ascii="David" w:hAnsi="David" w:cs="David" w:hint="cs"/>
          <w:sz w:val="24"/>
          <w:szCs w:val="24"/>
          <w:rtl/>
        </w:rPr>
        <w:t xml:space="preserve">. שב"ש אומרים שעל זה לא מועיל </w:t>
      </w:r>
      <w:r w:rsidR="0059054D">
        <w:rPr>
          <w:rFonts w:ascii="David" w:hAnsi="David" w:cs="David" w:hint="cs"/>
          <w:sz w:val="24"/>
          <w:szCs w:val="24"/>
          <w:rtl/>
        </w:rPr>
        <w:t>מיאון</w:t>
      </w:r>
      <w:r>
        <w:rPr>
          <w:rFonts w:ascii="David" w:hAnsi="David" w:cs="David" w:hint="cs"/>
          <w:sz w:val="24"/>
          <w:szCs w:val="24"/>
          <w:rtl/>
        </w:rPr>
        <w:t xml:space="preserve">, כי </w:t>
      </w:r>
      <w:r w:rsidR="0059054D">
        <w:rPr>
          <w:rFonts w:ascii="David" w:hAnsi="David" w:cs="David" w:hint="cs"/>
          <w:sz w:val="24"/>
          <w:szCs w:val="24"/>
          <w:rtl/>
        </w:rPr>
        <w:t>מיאון</w:t>
      </w:r>
      <w:r>
        <w:rPr>
          <w:rFonts w:ascii="David" w:hAnsi="David" w:cs="David" w:hint="cs"/>
          <w:sz w:val="24"/>
          <w:szCs w:val="24"/>
          <w:rtl/>
        </w:rPr>
        <w:t xml:space="preserve"> נתקן רק לעקור את הקדושין ולעשותה פנויה</w:t>
      </w:r>
      <w:r w:rsidR="004235B9">
        <w:rPr>
          <w:rFonts w:ascii="David" w:hAnsi="David" w:cs="David" w:hint="cs"/>
          <w:sz w:val="24"/>
          <w:szCs w:val="24"/>
          <w:rtl/>
        </w:rPr>
        <w:t>,</w:t>
      </w:r>
      <w:r>
        <w:rPr>
          <w:rFonts w:ascii="David" w:hAnsi="David" w:cs="David" w:hint="cs"/>
          <w:sz w:val="24"/>
          <w:szCs w:val="24"/>
          <w:rtl/>
        </w:rPr>
        <w:t xml:space="preserve"> אבל לא לעקור את הנשואין ולעשותה ארוסה. וב"ה אומרים</w:t>
      </w:r>
      <w:r w:rsidR="004235B9">
        <w:rPr>
          <w:rFonts w:ascii="David" w:hAnsi="David" w:cs="David" w:hint="cs"/>
          <w:sz w:val="24"/>
          <w:szCs w:val="24"/>
          <w:rtl/>
        </w:rPr>
        <w:t xml:space="preserve"> </w:t>
      </w:r>
      <w:r>
        <w:rPr>
          <w:rFonts w:ascii="David" w:hAnsi="David" w:cs="David" w:hint="cs"/>
          <w:sz w:val="24"/>
          <w:szCs w:val="24"/>
          <w:rtl/>
        </w:rPr>
        <w:lastRenderedPageBreak/>
        <w:t xml:space="preserve">שגם על זה מועיל </w:t>
      </w:r>
      <w:r w:rsidR="0059054D">
        <w:rPr>
          <w:rFonts w:ascii="David" w:hAnsi="David" w:cs="David" w:hint="cs"/>
          <w:sz w:val="24"/>
          <w:szCs w:val="24"/>
          <w:rtl/>
        </w:rPr>
        <w:t>מיאון</w:t>
      </w:r>
      <w:r>
        <w:rPr>
          <w:rStyle w:val="a5"/>
          <w:rFonts w:ascii="David" w:hAnsi="David" w:cs="David"/>
          <w:sz w:val="24"/>
          <w:szCs w:val="24"/>
          <w:rtl/>
        </w:rPr>
        <w:footnoteReference w:id="7"/>
      </w:r>
      <w:r>
        <w:rPr>
          <w:rFonts w:ascii="David" w:hAnsi="David" w:cs="David" w:hint="cs"/>
          <w:sz w:val="24"/>
          <w:szCs w:val="24"/>
          <w:rtl/>
        </w:rPr>
        <w:t>".</w:t>
      </w:r>
      <w:r w:rsidR="004235B9">
        <w:rPr>
          <w:rFonts w:ascii="David" w:hAnsi="David" w:cs="David" w:hint="cs"/>
          <w:sz w:val="24"/>
          <w:szCs w:val="24"/>
          <w:rtl/>
        </w:rPr>
        <w:t xml:space="preserve"> </w:t>
      </w:r>
      <w:r w:rsidR="004235B9">
        <w:rPr>
          <w:rFonts w:asciiTheme="majorBidi" w:hAnsiTheme="majorBidi" w:cstheme="majorBidi" w:hint="cs"/>
          <w:sz w:val="24"/>
          <w:szCs w:val="24"/>
          <w:rtl/>
        </w:rPr>
        <w:t xml:space="preserve">ניתן לומר שלפי בית שמאי מטרת המיאון הוא לשחררה להיות פנויה. אם אין אפשרות כזו </w:t>
      </w:r>
      <w:r w:rsidR="004235B9">
        <w:rPr>
          <w:rFonts w:asciiTheme="majorBidi" w:hAnsiTheme="majorBidi" w:cstheme="majorBidi"/>
          <w:sz w:val="24"/>
          <w:szCs w:val="24"/>
          <w:rtl/>
        </w:rPr>
        <w:t>–</w:t>
      </w:r>
      <w:r w:rsidR="004235B9">
        <w:rPr>
          <w:rFonts w:asciiTheme="majorBidi" w:hAnsiTheme="majorBidi" w:cstheme="majorBidi" w:hint="cs"/>
          <w:sz w:val="24"/>
          <w:szCs w:val="24"/>
          <w:rtl/>
        </w:rPr>
        <w:t xml:space="preserve"> אין טעם בתקנת </w:t>
      </w:r>
      <w:r w:rsidR="0059054D">
        <w:rPr>
          <w:rFonts w:asciiTheme="majorBidi" w:hAnsiTheme="majorBidi" w:cstheme="majorBidi" w:hint="cs"/>
          <w:sz w:val="24"/>
          <w:szCs w:val="24"/>
          <w:rtl/>
        </w:rPr>
        <w:t>מיאון</w:t>
      </w:r>
      <w:r w:rsidR="004235B9">
        <w:rPr>
          <w:rFonts w:asciiTheme="majorBidi" w:hAnsiTheme="majorBidi" w:cstheme="majorBidi" w:hint="cs"/>
          <w:sz w:val="24"/>
          <w:szCs w:val="24"/>
          <w:rtl/>
        </w:rPr>
        <w:t>. לפי בית הלל ה</w:t>
      </w:r>
      <w:r w:rsidR="0059054D">
        <w:rPr>
          <w:rFonts w:asciiTheme="majorBidi" w:hAnsiTheme="majorBidi" w:cstheme="majorBidi" w:hint="cs"/>
          <w:sz w:val="24"/>
          <w:szCs w:val="24"/>
          <w:rtl/>
        </w:rPr>
        <w:t>מיאון</w:t>
      </w:r>
      <w:r w:rsidR="004235B9">
        <w:rPr>
          <w:rFonts w:asciiTheme="majorBidi" w:hAnsiTheme="majorBidi" w:cstheme="majorBidi" w:hint="cs"/>
          <w:sz w:val="24"/>
          <w:szCs w:val="24"/>
          <w:rtl/>
        </w:rPr>
        <w:t xml:space="preserve"> עשוי להועיל לה להחזירה למצב של ארוסה, כך שלמצער לא תיאלץ לחיות חיי אישות</w:t>
      </w:r>
      <w:r w:rsidR="00364DD9">
        <w:rPr>
          <w:rFonts w:asciiTheme="majorBidi" w:hAnsiTheme="majorBidi" w:cstheme="majorBidi" w:hint="cs"/>
          <w:sz w:val="24"/>
          <w:szCs w:val="24"/>
          <w:rtl/>
        </w:rPr>
        <w:t xml:space="preserve"> עם בעלה. </w:t>
      </w:r>
    </w:p>
    <w:p w14:paraId="4A1AA360" w14:textId="731425C1" w:rsidR="005D1DDA" w:rsidRPr="00364DD9" w:rsidRDefault="00364DD9" w:rsidP="00551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מתן הדעת על אפשרות כזו, דהיינו קדשה אביה והשיאוה אימה ואחיה, עשויה לשפוך אור גם על הנימוק להעדר כתובה לממאנת. שנינו: </w:t>
      </w:r>
      <w:r w:rsidR="00551D3A">
        <w:rPr>
          <w:rFonts w:asciiTheme="majorBidi" w:hAnsiTheme="majorBidi" w:cstheme="majorBidi" w:hint="cs"/>
          <w:sz w:val="24"/>
          <w:szCs w:val="24"/>
          <w:rtl/>
        </w:rPr>
        <w:t xml:space="preserve"> </w:t>
      </w:r>
      <w:r>
        <w:rPr>
          <w:rFonts w:ascii="David" w:hAnsi="David" w:cs="David" w:hint="cs"/>
          <w:sz w:val="24"/>
          <w:szCs w:val="24"/>
          <w:rtl/>
        </w:rPr>
        <w:t>"</w:t>
      </w:r>
      <w:r w:rsidR="005D1DDA" w:rsidRPr="0083230C">
        <w:rPr>
          <w:rFonts w:ascii="David" w:hAnsi="David" w:cs="David"/>
          <w:sz w:val="24"/>
          <w:szCs w:val="24"/>
          <w:rtl/>
        </w:rPr>
        <w:t>הממאנת, השניה, והאילונית - אין להן כתובה</w:t>
      </w:r>
      <w:r>
        <w:rPr>
          <w:rStyle w:val="a5"/>
          <w:rFonts w:ascii="David" w:hAnsi="David" w:cs="David"/>
          <w:sz w:val="24"/>
          <w:szCs w:val="24"/>
          <w:rtl/>
        </w:rPr>
        <w:footnoteReference w:id="8"/>
      </w:r>
      <w:r>
        <w:rPr>
          <w:rFonts w:ascii="David" w:hAnsi="David" w:cs="David" w:hint="cs"/>
          <w:sz w:val="24"/>
          <w:szCs w:val="24"/>
          <w:rtl/>
        </w:rPr>
        <w:t xml:space="preserve">". </w:t>
      </w:r>
      <w:r>
        <w:rPr>
          <w:rFonts w:asciiTheme="majorBidi" w:hAnsiTheme="majorBidi" w:cstheme="majorBidi" w:hint="cs"/>
          <w:sz w:val="24"/>
          <w:szCs w:val="24"/>
          <w:rtl/>
        </w:rPr>
        <w:t xml:space="preserve">בטעם הדבר הציע רש"י: </w:t>
      </w:r>
      <w:r w:rsidR="00551D3A">
        <w:rPr>
          <w:rFonts w:asciiTheme="majorBidi" w:hAnsiTheme="majorBidi" w:cstheme="majorBidi" w:hint="cs"/>
          <w:sz w:val="24"/>
          <w:szCs w:val="24"/>
          <w:rtl/>
        </w:rPr>
        <w:t xml:space="preserve"> </w:t>
      </w:r>
      <w:r>
        <w:rPr>
          <w:rFonts w:ascii="David" w:hAnsi="David" w:cs="David" w:hint="cs"/>
          <w:sz w:val="24"/>
          <w:szCs w:val="24"/>
          <w:rtl/>
        </w:rPr>
        <w:t>"</w:t>
      </w:r>
      <w:r w:rsidR="005D1DDA" w:rsidRPr="0083230C">
        <w:rPr>
          <w:rFonts w:ascii="David" w:hAnsi="David" w:cs="David"/>
          <w:sz w:val="24"/>
          <w:szCs w:val="24"/>
          <w:rtl/>
        </w:rPr>
        <w:t>ממאנת</w:t>
      </w:r>
      <w:r>
        <w:rPr>
          <w:rFonts w:ascii="David" w:hAnsi="David" w:cs="David" w:hint="cs"/>
          <w:sz w:val="24"/>
          <w:szCs w:val="24"/>
          <w:rtl/>
        </w:rPr>
        <w:t>-</w:t>
      </w:r>
      <w:r w:rsidR="005D1DDA" w:rsidRPr="0083230C">
        <w:rPr>
          <w:rFonts w:ascii="David" w:hAnsi="David" w:cs="David"/>
          <w:sz w:val="24"/>
          <w:szCs w:val="24"/>
          <w:rtl/>
        </w:rPr>
        <w:t xml:space="preserve"> משום דמעצמה יוצאה</w:t>
      </w:r>
      <w:r>
        <w:rPr>
          <w:rFonts w:ascii="David" w:hAnsi="David" w:cs="David" w:hint="cs"/>
          <w:sz w:val="24"/>
          <w:szCs w:val="24"/>
          <w:rtl/>
        </w:rPr>
        <w:t xml:space="preserve">". </w:t>
      </w:r>
      <w:r>
        <w:rPr>
          <w:rFonts w:asciiTheme="majorBidi" w:hAnsiTheme="majorBidi" w:cstheme="majorBidi" w:hint="cs"/>
          <w:sz w:val="24"/>
          <w:szCs w:val="24"/>
          <w:rtl/>
        </w:rPr>
        <w:t xml:space="preserve"> בעלי התוספות נקטו נימוק פשוט בהרבה:</w:t>
      </w:r>
    </w:p>
    <w:p w14:paraId="758C4145" w14:textId="6DA7851E" w:rsidR="005D1DDA" w:rsidRPr="00364DD9" w:rsidRDefault="00364DD9" w:rsidP="004235B9">
      <w:pPr>
        <w:spacing w:after="0" w:line="360" w:lineRule="auto"/>
        <w:rPr>
          <w:rFonts w:asciiTheme="majorBidi" w:hAnsiTheme="majorBidi" w:cstheme="majorBidi"/>
          <w:sz w:val="24"/>
          <w:szCs w:val="24"/>
          <w:rtl/>
        </w:rPr>
      </w:pPr>
      <w:r>
        <w:rPr>
          <w:rFonts w:ascii="David" w:hAnsi="David" w:cs="David" w:hint="cs"/>
          <w:sz w:val="24"/>
          <w:szCs w:val="24"/>
          <w:rtl/>
        </w:rPr>
        <w:t>"</w:t>
      </w:r>
      <w:r w:rsidR="005D1DDA" w:rsidRPr="0083230C">
        <w:rPr>
          <w:rFonts w:ascii="David" w:hAnsi="David" w:cs="David"/>
          <w:sz w:val="24"/>
          <w:szCs w:val="24"/>
          <w:rtl/>
        </w:rPr>
        <w:t>וממאנת וחברותיה דאין להם כתובה אף על פי שיש להם תוספת</w:t>
      </w:r>
      <w:r>
        <w:rPr>
          <w:rFonts w:ascii="David" w:hAnsi="David" w:cs="David" w:hint="cs"/>
          <w:sz w:val="24"/>
          <w:szCs w:val="24"/>
          <w:rtl/>
        </w:rPr>
        <w:t>-</w:t>
      </w:r>
      <w:r w:rsidR="005D1DDA" w:rsidRPr="0083230C">
        <w:rPr>
          <w:rFonts w:ascii="David" w:hAnsi="David" w:cs="David"/>
          <w:sz w:val="24"/>
          <w:szCs w:val="24"/>
          <w:rtl/>
        </w:rPr>
        <w:t xml:space="preserve"> התם משום דאיגלאי מילתא ד</w:t>
      </w:r>
      <w:r w:rsidR="005D1DDA" w:rsidRPr="00364DD9">
        <w:rPr>
          <w:rFonts w:ascii="David" w:hAnsi="David" w:cs="David"/>
          <w:b/>
          <w:bCs/>
          <w:sz w:val="24"/>
          <w:szCs w:val="24"/>
          <w:rtl/>
        </w:rPr>
        <w:t>לא נתקדשה מעולם</w:t>
      </w:r>
      <w:r>
        <w:rPr>
          <w:rStyle w:val="a5"/>
          <w:rFonts w:ascii="David" w:hAnsi="David" w:cs="David"/>
          <w:sz w:val="24"/>
          <w:szCs w:val="24"/>
          <w:rtl/>
        </w:rPr>
        <w:footnoteReference w:id="9"/>
      </w:r>
      <w:r>
        <w:rPr>
          <w:rFonts w:ascii="David" w:hAnsi="David" w:cs="David" w:hint="cs"/>
          <w:sz w:val="24"/>
          <w:szCs w:val="24"/>
          <w:rtl/>
        </w:rPr>
        <w:t xml:space="preserve">". </w:t>
      </w:r>
      <w:r>
        <w:rPr>
          <w:rFonts w:asciiTheme="majorBidi" w:hAnsiTheme="majorBidi" w:cstheme="majorBidi" w:hint="cs"/>
          <w:sz w:val="24"/>
          <w:szCs w:val="24"/>
          <w:rtl/>
        </w:rPr>
        <w:t xml:space="preserve">אולם יש צורך בטעמו של רש"י במקרה שלנו: </w:t>
      </w:r>
    </w:p>
    <w:p w14:paraId="3E3EDC55" w14:textId="51650A5D" w:rsidR="005D1DDA" w:rsidRDefault="00364DD9" w:rsidP="00551D3A">
      <w:pPr>
        <w:spacing w:after="0" w:line="360" w:lineRule="auto"/>
        <w:rPr>
          <w:rFonts w:ascii="David" w:hAnsi="David" w:cs="David"/>
          <w:sz w:val="24"/>
          <w:szCs w:val="24"/>
          <w:rtl/>
        </w:rPr>
      </w:pPr>
      <w:r>
        <w:rPr>
          <w:rFonts w:ascii="David" w:hAnsi="David" w:cs="David" w:hint="cs"/>
          <w:sz w:val="24"/>
          <w:szCs w:val="24"/>
          <w:rtl/>
        </w:rPr>
        <w:t>"</w:t>
      </w:r>
      <w:r w:rsidR="005D1DDA">
        <w:rPr>
          <w:rFonts w:ascii="David" w:hAnsi="David" w:cs="David" w:hint="cs"/>
          <w:sz w:val="24"/>
          <w:szCs w:val="24"/>
          <w:rtl/>
        </w:rPr>
        <w:t>נפקא מינא כגון אם נתקדשה קדושין גמורים על ידי אביה</w:t>
      </w:r>
      <w:r w:rsidR="00AF1473">
        <w:rPr>
          <w:rFonts w:ascii="David" w:hAnsi="David" w:cs="David" w:hint="cs"/>
          <w:sz w:val="24"/>
          <w:szCs w:val="24"/>
          <w:rtl/>
        </w:rPr>
        <w:t>.</w:t>
      </w:r>
      <w:r w:rsidR="005D1DDA">
        <w:rPr>
          <w:rFonts w:ascii="David" w:hAnsi="David" w:cs="David" w:hint="cs"/>
          <w:sz w:val="24"/>
          <w:szCs w:val="24"/>
          <w:rtl/>
        </w:rPr>
        <w:t xml:space="preserve"> ואחר כך מת אביה והשיאוה קרוביה ומאנה מהנשואין ונשארה ארוסה</w:t>
      </w:r>
      <w:r w:rsidR="00AF1473">
        <w:rPr>
          <w:rFonts w:ascii="David" w:hAnsi="David" w:cs="David" w:hint="cs"/>
          <w:sz w:val="24"/>
          <w:szCs w:val="24"/>
          <w:rtl/>
        </w:rPr>
        <w:t>,</w:t>
      </w:r>
      <w:r w:rsidR="005D1DDA">
        <w:rPr>
          <w:rFonts w:ascii="David" w:hAnsi="David" w:cs="David" w:hint="cs"/>
          <w:sz w:val="24"/>
          <w:szCs w:val="24"/>
          <w:rtl/>
        </w:rPr>
        <w:t xml:space="preserve"> ושוב גרשה בעלה בגט על הקדושין</w:t>
      </w:r>
      <w:r w:rsidR="00AF1473">
        <w:rPr>
          <w:rFonts w:ascii="David" w:hAnsi="David" w:cs="David" w:hint="cs"/>
          <w:sz w:val="24"/>
          <w:szCs w:val="24"/>
          <w:rtl/>
        </w:rPr>
        <w:t xml:space="preserve">. </w:t>
      </w:r>
      <w:r w:rsidR="005D1DDA">
        <w:rPr>
          <w:rFonts w:ascii="David" w:hAnsi="David" w:cs="David" w:hint="cs"/>
          <w:sz w:val="24"/>
          <w:szCs w:val="24"/>
          <w:rtl/>
        </w:rPr>
        <w:t xml:space="preserve"> שכאן לא יועיל הט</w:t>
      </w:r>
      <w:r>
        <w:rPr>
          <w:rFonts w:ascii="David" w:hAnsi="David" w:cs="David" w:hint="cs"/>
          <w:sz w:val="24"/>
          <w:szCs w:val="24"/>
          <w:rtl/>
        </w:rPr>
        <w:t>ע</w:t>
      </w:r>
      <w:r w:rsidR="005D1DDA">
        <w:rPr>
          <w:rFonts w:ascii="David" w:hAnsi="David" w:cs="David" w:hint="cs"/>
          <w:sz w:val="24"/>
          <w:szCs w:val="24"/>
          <w:rtl/>
        </w:rPr>
        <w:t>ם של התוספות שה</w:t>
      </w:r>
      <w:r w:rsidR="0059054D">
        <w:rPr>
          <w:rFonts w:ascii="David" w:hAnsi="David" w:cs="David" w:hint="cs"/>
          <w:sz w:val="24"/>
          <w:szCs w:val="24"/>
          <w:rtl/>
        </w:rPr>
        <w:t>מיאון</w:t>
      </w:r>
      <w:r w:rsidR="005D1DDA">
        <w:rPr>
          <w:rFonts w:ascii="David" w:hAnsi="David" w:cs="David" w:hint="cs"/>
          <w:sz w:val="24"/>
          <w:szCs w:val="24"/>
          <w:rtl/>
        </w:rPr>
        <w:t xml:space="preserve"> עוקר את הקדושין, שהרי הקדושין לא נעקרו כלל. ולכן כתב רש"י שיצאה מדעתה מהנשואין, וארוסה אין לה כתובה</w:t>
      </w:r>
      <w:r w:rsidR="00AF1473">
        <w:rPr>
          <w:rStyle w:val="a5"/>
          <w:rFonts w:ascii="David" w:hAnsi="David" w:cs="David"/>
          <w:sz w:val="24"/>
          <w:szCs w:val="24"/>
          <w:rtl/>
        </w:rPr>
        <w:footnoteReference w:id="10"/>
      </w:r>
      <w:r w:rsidR="00AF1473">
        <w:rPr>
          <w:rFonts w:ascii="David" w:hAnsi="David" w:cs="David" w:hint="cs"/>
          <w:sz w:val="24"/>
          <w:szCs w:val="24"/>
          <w:rtl/>
        </w:rPr>
        <w:t>"</w:t>
      </w:r>
      <w:r w:rsidR="005D1DDA">
        <w:rPr>
          <w:rFonts w:ascii="David" w:hAnsi="David" w:cs="David" w:hint="cs"/>
          <w:sz w:val="24"/>
          <w:szCs w:val="24"/>
          <w:rtl/>
        </w:rPr>
        <w:t xml:space="preserve">. </w:t>
      </w:r>
      <w:r w:rsidR="00AF1473">
        <w:rPr>
          <w:rFonts w:ascii="David" w:hAnsi="David" w:cs="David" w:hint="cs"/>
          <w:sz w:val="24"/>
          <w:szCs w:val="24"/>
          <w:rtl/>
        </w:rPr>
        <w:t xml:space="preserve"> </w:t>
      </w:r>
    </w:p>
    <w:p w14:paraId="1F0CFA08" w14:textId="7C2922E9" w:rsidR="00AF1473" w:rsidRPr="00AF1473" w:rsidRDefault="00AF1473" w:rsidP="00551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פירושו החדש של הרוגאצ'ובר, מחייב עיבוד מחדש לסוגית הגמרא. למשל, ההצעה הראשונה לסברת בית שמאי: </w:t>
      </w:r>
      <w:r>
        <w:rPr>
          <w:rFonts w:asciiTheme="majorBidi" w:hAnsiTheme="majorBidi" w:cs="Times New Roman" w:hint="cs"/>
          <w:sz w:val="24"/>
          <w:szCs w:val="24"/>
          <w:rtl/>
        </w:rPr>
        <w:t xml:space="preserve"> </w:t>
      </w:r>
      <w:r w:rsidRPr="00AF1473">
        <w:rPr>
          <w:rFonts w:ascii="David" w:hAnsi="David" w:cs="David"/>
          <w:sz w:val="24"/>
          <w:szCs w:val="24"/>
          <w:rtl/>
        </w:rPr>
        <w:t xml:space="preserve"> "אמר רב יהודה אמר שמואל: מאי טעמא דבית שמאי? לפי שאין תנאי בנשואין, ואי נשואה תמאן, אתי למימר יש תנאי בנשואין</w:t>
      </w:r>
      <w:r>
        <w:rPr>
          <w:rStyle w:val="a5"/>
          <w:rFonts w:ascii="David" w:hAnsi="David" w:cs="David"/>
          <w:sz w:val="24"/>
          <w:szCs w:val="24"/>
          <w:rtl/>
        </w:rPr>
        <w:footnoteReference w:id="11"/>
      </w:r>
      <w:r w:rsidRPr="00AF147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יש לבאר: </w:t>
      </w:r>
    </w:p>
    <w:p w14:paraId="0C97850B" w14:textId="1F8D469B" w:rsidR="005D1DDA" w:rsidRDefault="00AF1473" w:rsidP="004235B9">
      <w:pPr>
        <w:spacing w:after="0" w:line="360" w:lineRule="auto"/>
        <w:rPr>
          <w:rFonts w:ascii="David" w:hAnsi="David" w:cs="David"/>
          <w:sz w:val="24"/>
          <w:szCs w:val="24"/>
          <w:rtl/>
        </w:rPr>
      </w:pPr>
      <w:r>
        <w:rPr>
          <w:rFonts w:ascii="David" w:hAnsi="David" w:cs="David" w:hint="cs"/>
          <w:sz w:val="24"/>
          <w:szCs w:val="24"/>
          <w:rtl/>
        </w:rPr>
        <w:t>"</w:t>
      </w:r>
      <w:r w:rsidR="005D1DDA">
        <w:rPr>
          <w:rFonts w:ascii="David" w:hAnsi="David" w:cs="David" w:hint="cs"/>
          <w:sz w:val="24"/>
          <w:szCs w:val="24"/>
          <w:rtl/>
        </w:rPr>
        <w:t xml:space="preserve">אין תנאי בנשואין רוצה לומר: כשהקדושין היו מוחלטים בלי תנאי, ובא אחר כך לעשות תנאי רק על הנישואין שתישאר ארוסה, על זה לא מועיל תנאי. אבל אם גם הקדושין היו בתנאי </w:t>
      </w:r>
      <w:r w:rsidR="005D1DDA">
        <w:rPr>
          <w:rFonts w:ascii="David" w:hAnsi="David" w:cs="David"/>
          <w:sz w:val="24"/>
          <w:szCs w:val="24"/>
          <w:rtl/>
        </w:rPr>
        <w:t>–</w:t>
      </w:r>
      <w:r w:rsidR="005D1DDA">
        <w:rPr>
          <w:rFonts w:ascii="David" w:hAnsi="David" w:cs="David" w:hint="cs"/>
          <w:sz w:val="24"/>
          <w:szCs w:val="24"/>
          <w:rtl/>
        </w:rPr>
        <w:t xml:space="preserve"> מתבטלים אחר כך גם הקדושין וגם הנישואין</w:t>
      </w:r>
      <w:r w:rsidR="0027171C">
        <w:rPr>
          <w:rStyle w:val="a5"/>
          <w:rFonts w:ascii="David" w:hAnsi="David" w:cs="David"/>
          <w:sz w:val="24"/>
          <w:szCs w:val="24"/>
          <w:rtl/>
        </w:rPr>
        <w:footnoteReference w:id="12"/>
      </w:r>
      <w:r w:rsidR="0027171C">
        <w:rPr>
          <w:rFonts w:ascii="David" w:hAnsi="David" w:cs="David" w:hint="cs"/>
          <w:sz w:val="24"/>
          <w:szCs w:val="24"/>
          <w:rtl/>
        </w:rPr>
        <w:t>".</w:t>
      </w:r>
      <w:r w:rsidR="005D1DDA">
        <w:rPr>
          <w:rFonts w:ascii="David" w:hAnsi="David" w:cs="David" w:hint="cs"/>
          <w:sz w:val="24"/>
          <w:szCs w:val="24"/>
          <w:rtl/>
        </w:rPr>
        <w:t xml:space="preserve"> </w:t>
      </w:r>
      <w:r w:rsidR="0027171C">
        <w:rPr>
          <w:rFonts w:ascii="David" w:hAnsi="David" w:cs="David" w:hint="cs"/>
          <w:sz w:val="24"/>
          <w:szCs w:val="24"/>
          <w:rtl/>
        </w:rPr>
        <w:t xml:space="preserve"> </w:t>
      </w:r>
    </w:p>
    <w:p w14:paraId="09DA77F6" w14:textId="016EC6DE" w:rsidR="0027171C" w:rsidRPr="0027171C" w:rsidRDefault="0027171C" w:rsidP="0027171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בהמשך מציעה הגמרא, שטעמם של בית שמאי הוא</w:t>
      </w:r>
      <w:r w:rsidRPr="0027171C">
        <w:rPr>
          <w:rtl/>
        </w:rPr>
        <w:t xml:space="preserve"> </w:t>
      </w:r>
      <w:r>
        <w:rPr>
          <w:rFonts w:asciiTheme="majorBidi" w:hAnsiTheme="majorBidi" w:cs="Times New Roman" w:hint="cs"/>
          <w:sz w:val="24"/>
          <w:szCs w:val="24"/>
          <w:rtl/>
        </w:rPr>
        <w:t xml:space="preserve"> </w:t>
      </w:r>
      <w:r w:rsidRPr="0027171C">
        <w:rPr>
          <w:rFonts w:ascii="David" w:hAnsi="David" w:cs="David"/>
          <w:sz w:val="24"/>
          <w:szCs w:val="24"/>
          <w:rtl/>
        </w:rPr>
        <w:t>"לפי שאין אדם עושה בעילתו בעילת זנות".</w:t>
      </w:r>
    </w:p>
    <w:p w14:paraId="0776FB23" w14:textId="3E84BDE9" w:rsidR="0027171C" w:rsidRPr="00551D3A" w:rsidRDefault="009102AD" w:rsidP="0027171C">
      <w:pPr>
        <w:spacing w:after="0" w:line="360" w:lineRule="auto"/>
        <w:rPr>
          <w:rFonts w:asciiTheme="majorBidi" w:hAnsiTheme="majorBidi" w:cstheme="majorBidi"/>
          <w:sz w:val="24"/>
          <w:szCs w:val="24"/>
          <w:rtl/>
        </w:rPr>
      </w:pPr>
      <w:r>
        <w:rPr>
          <w:rFonts w:ascii="David" w:hAnsi="David" w:cs="David" w:hint="cs"/>
          <w:sz w:val="24"/>
          <w:szCs w:val="24"/>
          <w:rtl/>
        </w:rPr>
        <w:t>"</w:t>
      </w:r>
      <w:r w:rsidR="0027171C" w:rsidRPr="00555D8E">
        <w:rPr>
          <w:rFonts w:ascii="David" w:hAnsi="David" w:cs="David"/>
          <w:sz w:val="24"/>
          <w:szCs w:val="24"/>
          <w:rtl/>
        </w:rPr>
        <w:t>הלא לדבריו אין בית שמאי חוששים לזה, דהא אם "נתקדשה ביתמותה שוב אח"כ אפילו אם גם נשאת מועיל</w:t>
      </w:r>
      <w:r w:rsidR="00D30CEF">
        <w:rPr>
          <w:rFonts w:ascii="David" w:hAnsi="David" w:cs="David" w:hint="cs"/>
          <w:sz w:val="24"/>
          <w:szCs w:val="24"/>
          <w:rtl/>
        </w:rPr>
        <w:t>,</w:t>
      </w:r>
      <w:r w:rsidR="0027171C" w:rsidRPr="00555D8E">
        <w:rPr>
          <w:rFonts w:ascii="David" w:hAnsi="David" w:cs="David"/>
          <w:sz w:val="24"/>
          <w:szCs w:val="24"/>
          <w:rtl/>
        </w:rPr>
        <w:t xml:space="preserve"> שהרי המיאון עוקר את הנשואין וגם את הקדושין" (עכ"ל). ועוד הלא בירושלמי שם נאמר בטעמייהו דבית שמאי ומתניתין "א"כ נמצאת עושה כל הבעילות שבעל בעילת זנות. אמר רבי אבין אתיא דבית שמאי כר' ליזר</w:t>
      </w:r>
      <w:r>
        <w:rPr>
          <w:rFonts w:ascii="David" w:hAnsi="David" w:cs="David" w:hint="cs"/>
          <w:sz w:val="24"/>
          <w:szCs w:val="24"/>
          <w:rtl/>
        </w:rPr>
        <w:t>,</w:t>
      </w:r>
      <w:r w:rsidR="0027171C" w:rsidRPr="00555D8E">
        <w:rPr>
          <w:rFonts w:ascii="David" w:hAnsi="David" w:cs="David"/>
          <w:sz w:val="24"/>
          <w:szCs w:val="24"/>
          <w:rtl/>
        </w:rPr>
        <w:t xml:space="preserve"> דתני ר' לעזר אמר אף הפנוי הבא על </w:t>
      </w:r>
      <w:r w:rsidR="0027171C" w:rsidRPr="009102AD">
        <w:rPr>
          <w:rFonts w:ascii="David" w:hAnsi="David" w:cs="David"/>
          <w:b/>
          <w:bCs/>
          <w:sz w:val="24"/>
          <w:szCs w:val="24"/>
          <w:rtl/>
        </w:rPr>
        <w:t>הפנוי</w:t>
      </w:r>
      <w:r>
        <w:rPr>
          <w:rFonts w:ascii="David" w:hAnsi="David" w:cs="David" w:hint="cs"/>
          <w:b/>
          <w:bCs/>
          <w:sz w:val="24"/>
          <w:szCs w:val="24"/>
          <w:rtl/>
        </w:rPr>
        <w:t>ה</w:t>
      </w:r>
      <w:r w:rsidR="0027171C" w:rsidRPr="009102AD">
        <w:rPr>
          <w:rFonts w:ascii="David" w:hAnsi="David" w:cs="David"/>
          <w:b/>
          <w:bCs/>
          <w:sz w:val="24"/>
          <w:szCs w:val="24"/>
          <w:rtl/>
        </w:rPr>
        <w:t xml:space="preserve"> </w:t>
      </w:r>
      <w:r w:rsidR="0027171C" w:rsidRPr="00555D8E">
        <w:rPr>
          <w:rFonts w:ascii="David" w:hAnsi="David" w:cs="David"/>
          <w:sz w:val="24"/>
          <w:szCs w:val="24"/>
          <w:rtl/>
        </w:rPr>
        <w:t>שלא לשם אישות הרי זה בעילת זנות". ולפי פירוש זה הלא גם אחרי המיאון תשאר ארוסה</w:t>
      </w:r>
      <w:r>
        <w:rPr>
          <w:rFonts w:ascii="David" w:hAnsi="David" w:cs="David" w:hint="cs"/>
          <w:sz w:val="24"/>
          <w:szCs w:val="24"/>
          <w:rtl/>
        </w:rPr>
        <w:t>,</w:t>
      </w:r>
      <w:r w:rsidR="0027171C" w:rsidRPr="00555D8E">
        <w:rPr>
          <w:rFonts w:ascii="David" w:hAnsi="David" w:cs="David"/>
          <w:sz w:val="24"/>
          <w:szCs w:val="24"/>
          <w:rtl/>
        </w:rPr>
        <w:t xml:space="preserve"> ואיך זה קתני הבא על הפנוי</w:t>
      </w:r>
      <w:r>
        <w:rPr>
          <w:rFonts w:ascii="David" w:hAnsi="David" w:cs="David" w:hint="cs"/>
          <w:sz w:val="24"/>
          <w:szCs w:val="24"/>
          <w:rtl/>
        </w:rPr>
        <w:t>ה?</w:t>
      </w:r>
      <w:r>
        <w:rPr>
          <w:rStyle w:val="a5"/>
          <w:rFonts w:ascii="David" w:hAnsi="David" w:cs="David"/>
          <w:sz w:val="24"/>
          <w:szCs w:val="24"/>
          <w:rtl/>
        </w:rPr>
        <w:footnoteReference w:id="13"/>
      </w:r>
      <w:r>
        <w:rPr>
          <w:rFonts w:ascii="David" w:hAnsi="David" w:cs="David" w:hint="cs"/>
          <w:sz w:val="24"/>
          <w:szCs w:val="24"/>
          <w:rtl/>
        </w:rPr>
        <w:t>".</w:t>
      </w:r>
      <w:r w:rsidR="00551D3A">
        <w:rPr>
          <w:rFonts w:ascii="David" w:hAnsi="David" w:cs="David" w:hint="cs"/>
          <w:sz w:val="24"/>
          <w:szCs w:val="24"/>
          <w:rtl/>
        </w:rPr>
        <w:t xml:space="preserve"> </w:t>
      </w:r>
      <w:r w:rsidR="00551D3A">
        <w:rPr>
          <w:rFonts w:asciiTheme="majorBidi" w:hAnsiTheme="majorBidi" w:cstheme="majorBidi" w:hint="cs"/>
          <w:sz w:val="24"/>
          <w:szCs w:val="24"/>
          <w:rtl/>
        </w:rPr>
        <w:t>דומה שגם את דברי הירושלמי בו פתחנו קשה להלום לפי ביאורו של הרוגאצ'ובר.</w:t>
      </w:r>
    </w:p>
    <w:p w14:paraId="4763C6AF" w14:textId="77777777" w:rsidR="0027171C" w:rsidRPr="0027171C" w:rsidRDefault="0027171C" w:rsidP="004235B9">
      <w:pPr>
        <w:spacing w:after="0" w:line="360" w:lineRule="auto"/>
        <w:rPr>
          <w:rFonts w:asciiTheme="majorBidi" w:hAnsiTheme="majorBidi" w:cstheme="majorBidi"/>
          <w:sz w:val="24"/>
          <w:szCs w:val="24"/>
          <w:rtl/>
        </w:rPr>
      </w:pPr>
    </w:p>
    <w:p w14:paraId="2BD7BA82" w14:textId="77777777" w:rsidR="005D1DDA" w:rsidRDefault="005D1DDA" w:rsidP="004235B9">
      <w:pPr>
        <w:spacing w:after="0" w:line="360" w:lineRule="auto"/>
        <w:rPr>
          <w:rFonts w:ascii="David" w:hAnsi="David" w:cs="David"/>
          <w:sz w:val="24"/>
          <w:szCs w:val="24"/>
          <w:rtl/>
        </w:rPr>
      </w:pPr>
    </w:p>
    <w:p w14:paraId="0E1AD9F5" w14:textId="77777777" w:rsidR="005D1DDA" w:rsidRDefault="005D1DDA" w:rsidP="004235B9">
      <w:pPr>
        <w:spacing w:after="0" w:line="360" w:lineRule="auto"/>
        <w:rPr>
          <w:rFonts w:ascii="David" w:hAnsi="David" w:cs="David"/>
          <w:sz w:val="24"/>
          <w:szCs w:val="24"/>
          <w:rtl/>
        </w:rPr>
      </w:pPr>
    </w:p>
    <w:p w14:paraId="1E18235C" w14:textId="46B2C434" w:rsidR="005D1DDA" w:rsidRDefault="00002EF4" w:rsidP="00002EF4">
      <w:pPr>
        <w:pStyle w:val="aa"/>
        <w:numPr>
          <w:ilvl w:val="0"/>
          <w:numId w:val="1"/>
        </w:numPr>
        <w:spacing w:after="0" w:line="360" w:lineRule="auto"/>
        <w:rPr>
          <w:rFonts w:asciiTheme="majorBidi" w:hAnsiTheme="majorBidi" w:cstheme="majorBidi"/>
          <w:b/>
          <w:bCs/>
          <w:sz w:val="24"/>
          <w:szCs w:val="24"/>
        </w:rPr>
      </w:pPr>
      <w:r w:rsidRPr="00002EF4">
        <w:rPr>
          <w:rFonts w:asciiTheme="majorBidi" w:hAnsiTheme="majorBidi" w:cstheme="majorBidi"/>
          <w:b/>
          <w:bCs/>
          <w:sz w:val="24"/>
          <w:szCs w:val="24"/>
          <w:rtl/>
        </w:rPr>
        <w:lastRenderedPageBreak/>
        <w:t>שיטת ר"י אל ברגלוני</w:t>
      </w:r>
    </w:p>
    <w:p w14:paraId="114D688D" w14:textId="05766BD7" w:rsidR="00D73FF4" w:rsidRPr="00D73FF4" w:rsidRDefault="00D73FF4" w:rsidP="00D73FF4">
      <w:pPr>
        <w:spacing w:after="0" w:line="360" w:lineRule="auto"/>
        <w:rPr>
          <w:rFonts w:asciiTheme="majorBidi" w:hAnsiTheme="majorBidi" w:cstheme="majorBidi"/>
          <w:sz w:val="24"/>
          <w:szCs w:val="24"/>
          <w:rtl/>
        </w:rPr>
      </w:pPr>
      <w:r w:rsidRPr="00D73FF4">
        <w:rPr>
          <w:rFonts w:asciiTheme="majorBidi" w:hAnsiTheme="majorBidi" w:cs="Times New Roman"/>
          <w:sz w:val="24"/>
          <w:szCs w:val="24"/>
          <w:rtl/>
        </w:rPr>
        <w:t xml:space="preserve">הרמב"ן </w:t>
      </w:r>
      <w:r w:rsidRPr="00D73FF4">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מביא שיטה מיוחדת, הסבורה שאין צורך </w:t>
      </w:r>
      <w:r w:rsidR="00D30CEF">
        <w:rPr>
          <w:rFonts w:asciiTheme="majorBidi" w:hAnsiTheme="majorBidi" w:cstheme="majorBidi" w:hint="cs"/>
          <w:sz w:val="24"/>
          <w:szCs w:val="24"/>
          <w:rtl/>
        </w:rPr>
        <w:t>ב</w:t>
      </w:r>
      <w:r w:rsidR="0059054D">
        <w:rPr>
          <w:rFonts w:asciiTheme="majorBidi" w:hAnsiTheme="majorBidi" w:cstheme="majorBidi" w:hint="cs"/>
          <w:sz w:val="24"/>
          <w:szCs w:val="24"/>
          <w:rtl/>
        </w:rPr>
        <w:t>מיאון</w:t>
      </w:r>
      <w:r>
        <w:rPr>
          <w:rFonts w:asciiTheme="majorBidi" w:hAnsiTheme="majorBidi" w:cstheme="majorBidi" w:hint="cs"/>
          <w:sz w:val="24"/>
          <w:szCs w:val="24"/>
          <w:rtl/>
        </w:rPr>
        <w:t xml:space="preserve"> מן האירוסין.</w:t>
      </w:r>
    </w:p>
    <w:p w14:paraId="531DD1FC" w14:textId="2B13C291" w:rsidR="00D73FF4" w:rsidRDefault="00D73FF4" w:rsidP="00D73FF4">
      <w:pPr>
        <w:spacing w:after="0" w:line="360" w:lineRule="auto"/>
        <w:rPr>
          <w:rFonts w:ascii="David" w:hAnsi="David" w:cs="David"/>
          <w:sz w:val="24"/>
          <w:szCs w:val="24"/>
          <w:rtl/>
        </w:rPr>
      </w:pPr>
      <w:r>
        <w:rPr>
          <w:rFonts w:ascii="David" w:hAnsi="David" w:cs="David" w:hint="cs"/>
          <w:sz w:val="24"/>
          <w:szCs w:val="24"/>
          <w:rtl/>
        </w:rPr>
        <w:t>"</w:t>
      </w:r>
      <w:r w:rsidRPr="00D73FF4">
        <w:rPr>
          <w:rFonts w:ascii="David" w:hAnsi="David" w:cs="David"/>
          <w:sz w:val="24"/>
          <w:szCs w:val="24"/>
          <w:rtl/>
        </w:rPr>
        <w:t xml:space="preserve">הרב הנשיא ר' יהודה הברגלוני ז"ל כתב תשובה לרבינו יצחק אלפסי ז"ל זה שאמרה המשנה </w:t>
      </w:r>
      <w:r w:rsidRPr="00D73FF4">
        <w:rPr>
          <w:rFonts w:ascii="David" w:hAnsi="David" w:cs="David"/>
          <w:b/>
          <w:bCs/>
          <w:sz w:val="24"/>
          <w:szCs w:val="24"/>
          <w:rtl/>
        </w:rPr>
        <w:t>שהשיאתה</w:t>
      </w:r>
      <w:r w:rsidRPr="00D73FF4">
        <w:rPr>
          <w:rFonts w:ascii="David" w:hAnsi="David" w:cs="David"/>
          <w:sz w:val="24"/>
          <w:szCs w:val="24"/>
          <w:rtl/>
        </w:rPr>
        <w:t xml:space="preserve"> אמה או אחיה לדעתה ולא אמר שקדשתה, דקדושי קטנה אין כלום ואין קדושין מועילין אלא אחר הנשואין, ואחר נשואין צריכה למאן</w:t>
      </w:r>
      <w:r w:rsidR="00D30CEF">
        <w:rPr>
          <w:rFonts w:ascii="David" w:hAnsi="David" w:cs="David" w:hint="cs"/>
          <w:sz w:val="24"/>
          <w:szCs w:val="24"/>
          <w:rtl/>
        </w:rPr>
        <w:t>,</w:t>
      </w:r>
      <w:r w:rsidRPr="00D73FF4">
        <w:rPr>
          <w:rFonts w:ascii="David" w:hAnsi="David" w:cs="David"/>
          <w:sz w:val="24"/>
          <w:szCs w:val="24"/>
          <w:rtl/>
        </w:rPr>
        <w:t xml:space="preserve"> ובקדושין לחודייהו אינה צריכה מיאון</w:t>
      </w:r>
      <w:r>
        <w:rPr>
          <w:rFonts w:ascii="David" w:hAnsi="David" w:cs="David" w:hint="cs"/>
          <w:sz w:val="24"/>
          <w:szCs w:val="24"/>
          <w:rtl/>
        </w:rPr>
        <w:t>.</w:t>
      </w:r>
      <w:r w:rsidRPr="00D73FF4">
        <w:rPr>
          <w:rFonts w:ascii="David" w:hAnsi="David" w:cs="David"/>
          <w:sz w:val="24"/>
          <w:szCs w:val="24"/>
          <w:rtl/>
        </w:rPr>
        <w:t xml:space="preserve"> וקשיא טובא</w:t>
      </w:r>
      <w:r>
        <w:rPr>
          <w:rFonts w:ascii="David" w:hAnsi="David" w:cs="David" w:hint="cs"/>
          <w:sz w:val="24"/>
          <w:szCs w:val="24"/>
          <w:rtl/>
        </w:rPr>
        <w:t>:</w:t>
      </w:r>
      <w:r w:rsidRPr="00D73FF4">
        <w:rPr>
          <w:rFonts w:ascii="David" w:hAnsi="David" w:cs="David"/>
          <w:sz w:val="24"/>
          <w:szCs w:val="24"/>
          <w:rtl/>
        </w:rPr>
        <w:t xml:space="preserve"> דהא תנן וב"ה אומרים ארוסות ונשואות, ותניא לקמן אי איפשי בפלוני בעלי אי איפשי בקדושין שקדשוני אמי ואחי, גט ובפ' התקבל </w:t>
      </w:r>
      <w:r w:rsidRPr="00D73FF4">
        <w:rPr>
          <w:rFonts w:ascii="David" w:hAnsi="David" w:cs="David"/>
          <w:sz w:val="18"/>
          <w:szCs w:val="18"/>
          <w:rtl/>
        </w:rPr>
        <w:t xml:space="preserve">(ס"ה א') </w:t>
      </w:r>
      <w:r w:rsidRPr="00D73FF4">
        <w:rPr>
          <w:rFonts w:ascii="David" w:hAnsi="David" w:cs="David"/>
          <w:sz w:val="24"/>
          <w:szCs w:val="24"/>
          <w:rtl/>
        </w:rPr>
        <w:t>אמר רבא וכנגדן בקטנה מתקדשת למיאון, ולפיכך דחאוה לתשובה זו בשתי ידים</w:t>
      </w:r>
      <w:r>
        <w:rPr>
          <w:rFonts w:ascii="David" w:hAnsi="David" w:cs="David" w:hint="cs"/>
          <w:sz w:val="24"/>
          <w:szCs w:val="24"/>
          <w:rtl/>
        </w:rPr>
        <w:t>".</w:t>
      </w:r>
    </w:p>
    <w:p w14:paraId="0A28BC58" w14:textId="1525F14E" w:rsidR="003C50D7" w:rsidRDefault="00D73FF4" w:rsidP="003C50D7">
      <w:pPr>
        <w:spacing w:after="0" w:line="360" w:lineRule="auto"/>
        <w:rPr>
          <w:rFonts w:ascii="David" w:hAnsi="David" w:cs="David"/>
          <w:sz w:val="24"/>
          <w:szCs w:val="24"/>
          <w:rtl/>
        </w:rPr>
      </w:pPr>
      <w:r>
        <w:rPr>
          <w:rFonts w:asciiTheme="majorBidi" w:hAnsiTheme="majorBidi" w:cstheme="majorBidi" w:hint="cs"/>
          <w:sz w:val="24"/>
          <w:szCs w:val="24"/>
          <w:rtl/>
        </w:rPr>
        <w:t xml:space="preserve">הרמב"ן סבור שניתו לתרץ את הקושיות בעזרת חילוק: בכל המקומות שמוזכר </w:t>
      </w:r>
      <w:r w:rsidR="0059054D">
        <w:rPr>
          <w:rFonts w:asciiTheme="majorBidi" w:hAnsiTheme="majorBidi" w:cstheme="majorBidi" w:hint="cs"/>
          <w:sz w:val="24"/>
          <w:szCs w:val="24"/>
          <w:rtl/>
        </w:rPr>
        <w:t>מיאון</w:t>
      </w:r>
      <w:r>
        <w:rPr>
          <w:rFonts w:asciiTheme="majorBidi" w:hAnsiTheme="majorBidi" w:cstheme="majorBidi" w:hint="cs"/>
          <w:sz w:val="24"/>
          <w:szCs w:val="24"/>
          <w:rtl/>
        </w:rPr>
        <w:t xml:space="preserve"> בארוסה, מדובר </w:t>
      </w:r>
      <w:r w:rsidRPr="003C50D7">
        <w:rPr>
          <w:rFonts w:ascii="David" w:hAnsi="David" w:cs="David"/>
          <w:sz w:val="24"/>
          <w:szCs w:val="24"/>
          <w:rtl/>
        </w:rPr>
        <w:t>"כשקבלה את הקדושין בעצמה, אבל כשאחיה ואמה קבלו את הקדושיןאפילו בהסכמתה – אין זה כלום מפני שאין שליחות לקטן, ורק לאחר שתינשא היא צריכה למאן</w:t>
      </w:r>
      <w:r w:rsidR="003C50D7" w:rsidRPr="003C50D7">
        <w:rPr>
          <w:rStyle w:val="a5"/>
          <w:rFonts w:ascii="David" w:hAnsi="David" w:cs="David"/>
          <w:sz w:val="24"/>
          <w:szCs w:val="24"/>
          <w:rtl/>
        </w:rPr>
        <w:footnoteReference w:id="14"/>
      </w:r>
      <w:r w:rsidR="003C50D7" w:rsidRPr="003C50D7">
        <w:rPr>
          <w:rFonts w:ascii="David" w:hAnsi="David" w:cs="David"/>
          <w:sz w:val="24"/>
          <w:szCs w:val="24"/>
          <w:rtl/>
        </w:rPr>
        <w:t>".</w:t>
      </w:r>
      <w:r w:rsidR="003C50D7">
        <w:rPr>
          <w:rFonts w:ascii="David" w:hAnsi="David" w:cs="David" w:hint="cs"/>
          <w:sz w:val="24"/>
          <w:szCs w:val="24"/>
          <w:rtl/>
        </w:rPr>
        <w:t xml:space="preserve"> </w:t>
      </w:r>
    </w:p>
    <w:p w14:paraId="1A5ADB67" w14:textId="09EE77D4" w:rsidR="00057D3D" w:rsidRPr="0047120E" w:rsidRDefault="0047120E" w:rsidP="003C50D7">
      <w:pPr>
        <w:spacing w:after="0" w:line="360" w:lineRule="auto"/>
        <w:rPr>
          <w:rFonts w:asciiTheme="majorBidi" w:hAnsiTheme="majorBidi" w:cstheme="majorBidi"/>
          <w:sz w:val="24"/>
          <w:szCs w:val="24"/>
          <w:rtl/>
        </w:rPr>
      </w:pPr>
      <w:r w:rsidRPr="0047120E">
        <w:rPr>
          <w:rFonts w:asciiTheme="majorBidi" w:hAnsiTheme="majorBidi" w:cstheme="majorBidi"/>
          <w:sz w:val="24"/>
          <w:szCs w:val="24"/>
          <w:rtl/>
        </w:rPr>
        <w:t>גישה זו הובאה בכמה אחרונים</w:t>
      </w:r>
      <w:r>
        <w:rPr>
          <w:rStyle w:val="a5"/>
          <w:rFonts w:asciiTheme="majorBidi" w:hAnsiTheme="majorBidi" w:cstheme="majorBidi"/>
          <w:sz w:val="24"/>
          <w:szCs w:val="24"/>
          <w:rtl/>
        </w:rPr>
        <w:footnoteReference w:id="15"/>
      </w:r>
      <w:r w:rsidRPr="0047120E">
        <w:rPr>
          <w:rFonts w:asciiTheme="majorBidi" w:hAnsiTheme="majorBidi" w:cstheme="majorBidi"/>
          <w:sz w:val="24"/>
          <w:szCs w:val="24"/>
          <w:rtl/>
        </w:rPr>
        <w:t>.</w:t>
      </w:r>
    </w:p>
    <w:p w14:paraId="3A7E7A87" w14:textId="6FCD3D7B" w:rsidR="003C50D7" w:rsidRPr="003C50D7" w:rsidRDefault="003C50D7" w:rsidP="003C50D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אלא שב</w:t>
      </w:r>
      <w:r w:rsidRPr="003C50D7">
        <w:rPr>
          <w:rFonts w:asciiTheme="majorBidi" w:hAnsiTheme="majorBidi" w:cstheme="majorBidi"/>
          <w:sz w:val="24"/>
          <w:szCs w:val="24"/>
          <w:rtl/>
        </w:rPr>
        <w:t>שו"ת הרי"ף</w:t>
      </w:r>
      <w:r>
        <w:rPr>
          <w:rStyle w:val="a5"/>
          <w:rFonts w:asciiTheme="majorBidi" w:hAnsiTheme="majorBidi" w:cstheme="majorBidi"/>
          <w:sz w:val="24"/>
          <w:szCs w:val="24"/>
          <w:rtl/>
        </w:rPr>
        <w:footnoteReference w:id="16"/>
      </w:r>
      <w:r w:rsidRPr="003C50D7">
        <w:rPr>
          <w:rFonts w:asciiTheme="majorBidi" w:hAnsiTheme="majorBidi" w:cstheme="majorBidi"/>
          <w:sz w:val="24"/>
          <w:szCs w:val="24"/>
          <w:rtl/>
        </w:rPr>
        <w:t xml:space="preserve"> </w:t>
      </w:r>
      <w:r>
        <w:rPr>
          <w:rFonts w:asciiTheme="majorBidi" w:hAnsiTheme="majorBidi" w:cstheme="majorBidi" w:hint="cs"/>
          <w:sz w:val="24"/>
          <w:szCs w:val="24"/>
          <w:rtl/>
        </w:rPr>
        <w:t xml:space="preserve"> שיטה זו מופיעה ללא חילוק: </w:t>
      </w:r>
    </w:p>
    <w:p w14:paraId="7ACB0400" w14:textId="46067FDB" w:rsidR="0047120E" w:rsidRDefault="003C50D7" w:rsidP="00D30CEF">
      <w:pPr>
        <w:spacing w:after="0" w:line="360" w:lineRule="auto"/>
        <w:rPr>
          <w:rFonts w:asciiTheme="majorBidi" w:hAnsiTheme="majorBidi" w:cstheme="majorBidi"/>
          <w:sz w:val="24"/>
          <w:szCs w:val="24"/>
          <w:rtl/>
        </w:rPr>
      </w:pPr>
      <w:r>
        <w:rPr>
          <w:rFonts w:ascii="David" w:hAnsi="David" w:cs="David" w:hint="cs"/>
          <w:sz w:val="24"/>
          <w:szCs w:val="24"/>
          <w:rtl/>
        </w:rPr>
        <w:t>"</w:t>
      </w:r>
      <w:r w:rsidRPr="003C50D7">
        <w:rPr>
          <w:rFonts w:ascii="David" w:hAnsi="David" w:cs="David"/>
          <w:sz w:val="24"/>
          <w:szCs w:val="24"/>
          <w:rtl/>
        </w:rPr>
        <w:t>שקדושי קטנה אינן כלום בין שהיו על ידי עצמה בין שהיו על ידי אחיה ואמה</w:t>
      </w:r>
      <w:r>
        <w:rPr>
          <w:rFonts w:ascii="David" w:hAnsi="David" w:cs="David" w:hint="cs"/>
          <w:sz w:val="24"/>
          <w:szCs w:val="24"/>
          <w:rtl/>
        </w:rPr>
        <w:t xml:space="preserve">". </w:t>
      </w:r>
      <w:r w:rsidR="00057D3D">
        <w:rPr>
          <w:rFonts w:asciiTheme="majorBidi" w:hAnsiTheme="majorBidi" w:cstheme="majorBidi" w:hint="cs"/>
          <w:sz w:val="24"/>
          <w:szCs w:val="24"/>
          <w:rtl/>
        </w:rPr>
        <w:t>הרמ"א מביא מ</w:t>
      </w:r>
      <w:r>
        <w:rPr>
          <w:rFonts w:asciiTheme="majorBidi" w:hAnsiTheme="majorBidi" w:cstheme="majorBidi" w:hint="cs"/>
          <w:sz w:val="24"/>
          <w:szCs w:val="24"/>
          <w:rtl/>
        </w:rPr>
        <w:t xml:space="preserve">דברי הריא"ז חילוק הפוך: </w:t>
      </w:r>
      <w:r w:rsidR="00D30CEF">
        <w:rPr>
          <w:rFonts w:asciiTheme="majorBidi" w:hAnsiTheme="majorBidi" w:cstheme="majorBidi" w:hint="cs"/>
          <w:sz w:val="24"/>
          <w:szCs w:val="24"/>
          <w:rtl/>
        </w:rPr>
        <w:t xml:space="preserve"> </w:t>
      </w:r>
      <w:r w:rsidR="00057D3D">
        <w:rPr>
          <w:rFonts w:asciiTheme="majorBidi" w:hAnsiTheme="majorBidi" w:cs="Guttman Yad-Brush" w:hint="cs"/>
          <w:sz w:val="18"/>
          <w:szCs w:val="18"/>
          <w:rtl/>
        </w:rPr>
        <w:t>"</w:t>
      </w:r>
      <w:r w:rsidR="00057D3D" w:rsidRPr="00057D3D">
        <w:rPr>
          <w:rFonts w:asciiTheme="majorBidi" w:hAnsiTheme="majorBidi" w:cs="Guttman Yad-Brush"/>
          <w:sz w:val="18"/>
          <w:szCs w:val="18"/>
          <w:rtl/>
        </w:rPr>
        <w:t>וי"א דכל זה כשנשאת לדעת אחיה ואמה,</w:t>
      </w:r>
      <w:r w:rsidR="0059054D">
        <w:rPr>
          <w:rFonts w:asciiTheme="majorBidi" w:hAnsiTheme="majorBidi" w:cs="Guttman Yad-Brush" w:hint="cs"/>
          <w:sz w:val="18"/>
          <w:szCs w:val="18"/>
          <w:rtl/>
        </w:rPr>
        <w:t xml:space="preserve"> </w:t>
      </w:r>
      <w:r w:rsidR="00057D3D" w:rsidRPr="00057D3D">
        <w:rPr>
          <w:rFonts w:asciiTheme="majorBidi" w:hAnsiTheme="majorBidi" w:cs="Guttman Yad-Brush"/>
          <w:sz w:val="18"/>
          <w:szCs w:val="18"/>
          <w:rtl/>
        </w:rPr>
        <w:t xml:space="preserve">אבל אם נשאת שלא לדעתן, אינה צריכה למאן </w:t>
      </w:r>
      <w:r w:rsidR="00057D3D" w:rsidRPr="00057D3D">
        <w:rPr>
          <w:rFonts w:asciiTheme="majorBidi" w:hAnsiTheme="majorBidi" w:cs="Guttman Yad-Brush"/>
          <w:sz w:val="16"/>
          <w:szCs w:val="16"/>
          <w:rtl/>
        </w:rPr>
        <w:t>(הגהות אלפסי פרק בית שמאי)</w:t>
      </w:r>
      <w:r w:rsidR="00057D3D">
        <w:rPr>
          <w:rStyle w:val="a5"/>
          <w:rFonts w:asciiTheme="majorBidi" w:hAnsiTheme="majorBidi" w:cs="Guttman Yad-Brush"/>
          <w:sz w:val="16"/>
          <w:szCs w:val="16"/>
          <w:rtl/>
        </w:rPr>
        <w:footnoteReference w:id="17"/>
      </w:r>
      <w:r w:rsidR="00057D3D">
        <w:rPr>
          <w:rFonts w:asciiTheme="majorBidi" w:hAnsiTheme="majorBidi" w:cs="Guttman Yad-Brush" w:hint="cs"/>
          <w:sz w:val="16"/>
          <w:szCs w:val="16"/>
          <w:rtl/>
        </w:rPr>
        <w:t>"</w:t>
      </w:r>
      <w:r w:rsidR="00057D3D" w:rsidRPr="00057D3D">
        <w:rPr>
          <w:rFonts w:asciiTheme="majorBidi" w:hAnsiTheme="majorBidi" w:cs="Guttman Yad-Brush"/>
          <w:sz w:val="16"/>
          <w:szCs w:val="16"/>
          <w:rtl/>
        </w:rPr>
        <w:t>.</w:t>
      </w:r>
      <w:r w:rsidR="00057D3D">
        <w:rPr>
          <w:rFonts w:asciiTheme="majorBidi" w:hAnsiTheme="majorBidi" w:cs="Guttman Yad-Brush" w:hint="cs"/>
          <w:sz w:val="16"/>
          <w:szCs w:val="16"/>
          <w:rtl/>
        </w:rPr>
        <w:t xml:space="preserve"> </w:t>
      </w:r>
      <w:r w:rsidR="00057D3D">
        <w:rPr>
          <w:rFonts w:asciiTheme="majorBidi" w:hAnsiTheme="majorBidi" w:cstheme="majorBidi" w:hint="cs"/>
          <w:sz w:val="24"/>
          <w:szCs w:val="24"/>
          <w:rtl/>
        </w:rPr>
        <w:t>אולם זו דעת יחיד שלא ניתן לסמוך עליה</w:t>
      </w:r>
      <w:r w:rsidR="00057D3D">
        <w:rPr>
          <w:rStyle w:val="a5"/>
          <w:rFonts w:asciiTheme="majorBidi" w:hAnsiTheme="majorBidi" w:cstheme="majorBidi"/>
          <w:sz w:val="24"/>
          <w:szCs w:val="24"/>
          <w:rtl/>
        </w:rPr>
        <w:footnoteReference w:id="18"/>
      </w:r>
      <w:r w:rsidR="00057D3D">
        <w:rPr>
          <w:rFonts w:asciiTheme="majorBidi" w:hAnsiTheme="majorBidi" w:cstheme="majorBidi" w:hint="cs"/>
          <w:sz w:val="24"/>
          <w:szCs w:val="24"/>
          <w:rtl/>
        </w:rPr>
        <w:t>.</w:t>
      </w:r>
      <w:r w:rsidR="00D30CEF">
        <w:rPr>
          <w:rFonts w:asciiTheme="majorBidi" w:hAnsiTheme="majorBidi" w:cstheme="majorBidi" w:hint="cs"/>
          <w:sz w:val="24"/>
          <w:szCs w:val="24"/>
          <w:rtl/>
        </w:rPr>
        <w:t xml:space="preserve">    </w:t>
      </w:r>
      <w:r w:rsidR="0047120E">
        <w:rPr>
          <w:rFonts w:asciiTheme="majorBidi" w:hAnsiTheme="majorBidi" w:cstheme="majorBidi" w:hint="cs"/>
          <w:sz w:val="24"/>
          <w:szCs w:val="24"/>
          <w:rtl/>
        </w:rPr>
        <w:t>ל</w:t>
      </w:r>
      <w:r w:rsidR="0059054D">
        <w:rPr>
          <w:rFonts w:asciiTheme="majorBidi" w:hAnsiTheme="majorBidi" w:cstheme="majorBidi" w:hint="cs"/>
          <w:sz w:val="24"/>
          <w:szCs w:val="24"/>
          <w:rtl/>
        </w:rPr>
        <w:t>דעת השולחן ערוך</w:t>
      </w:r>
      <w:r w:rsidR="0047120E">
        <w:rPr>
          <w:rFonts w:asciiTheme="majorBidi" w:hAnsiTheme="majorBidi" w:cstheme="majorBidi" w:hint="cs"/>
          <w:sz w:val="24"/>
          <w:szCs w:val="24"/>
          <w:rtl/>
        </w:rPr>
        <w:t xml:space="preserve"> נראה שאין כל </w:t>
      </w:r>
      <w:r w:rsidR="0059054D">
        <w:rPr>
          <w:rFonts w:asciiTheme="majorBidi" w:hAnsiTheme="majorBidi" w:cstheme="majorBidi" w:hint="cs"/>
          <w:sz w:val="24"/>
          <w:szCs w:val="24"/>
          <w:rtl/>
        </w:rPr>
        <w:t>הבדל</w:t>
      </w:r>
      <w:r w:rsidR="00430DF1">
        <w:rPr>
          <w:rFonts w:asciiTheme="majorBidi" w:hAnsiTheme="majorBidi" w:cstheme="majorBidi" w:hint="cs"/>
          <w:sz w:val="24"/>
          <w:szCs w:val="24"/>
          <w:rtl/>
        </w:rPr>
        <w:t>:</w:t>
      </w:r>
    </w:p>
    <w:p w14:paraId="6C553283" w14:textId="682F1DE1" w:rsidR="00002EF4" w:rsidRPr="00D30CEF" w:rsidRDefault="00430DF1" w:rsidP="00D30CEF">
      <w:pPr>
        <w:spacing w:after="0" w:line="360" w:lineRule="auto"/>
        <w:rPr>
          <w:rFonts w:ascii="David" w:hAnsi="David" w:cs="David"/>
          <w:sz w:val="24"/>
          <w:szCs w:val="24"/>
        </w:rPr>
      </w:pPr>
      <w:r w:rsidRPr="00430DF1">
        <w:rPr>
          <w:rFonts w:ascii="David" w:hAnsi="David" w:cs="David"/>
          <w:sz w:val="24"/>
          <w:szCs w:val="24"/>
          <w:rtl/>
        </w:rPr>
        <w:t xml:space="preserve">"קטנה שאין לה אב... </w:t>
      </w:r>
      <w:r w:rsidRPr="00430DF1">
        <w:rPr>
          <w:rFonts w:ascii="David" w:hAnsi="David" w:cs="David"/>
          <w:b/>
          <w:bCs/>
          <w:sz w:val="24"/>
          <w:szCs w:val="24"/>
          <w:rtl/>
        </w:rPr>
        <w:t>והשיאוה לדעתה</w:t>
      </w:r>
      <w:r w:rsidRPr="00430DF1">
        <w:rPr>
          <w:rFonts w:ascii="David" w:hAnsi="David" w:cs="David"/>
          <w:sz w:val="24"/>
          <w:szCs w:val="24"/>
          <w:rtl/>
        </w:rPr>
        <w:t>, כיון שאין קדושיה אלא מדרבנן, אם אינה חפצה בבעלה אינה צריכה ממנו גט, אלא יוצאת ממנו במיאון... ממאנת, בין מן האירוסין בין מן הנשואין</w:t>
      </w:r>
      <w:r>
        <w:rPr>
          <w:rStyle w:val="a5"/>
          <w:rFonts w:ascii="David" w:hAnsi="David" w:cs="David"/>
          <w:sz w:val="24"/>
          <w:szCs w:val="24"/>
          <w:rtl/>
        </w:rPr>
        <w:footnoteReference w:id="19"/>
      </w:r>
      <w:r w:rsidRPr="00430DF1">
        <w:rPr>
          <w:rFonts w:ascii="David" w:hAnsi="David" w:cs="David"/>
          <w:sz w:val="24"/>
          <w:szCs w:val="24"/>
          <w:rtl/>
        </w:rPr>
        <w:t xml:space="preserve"> ".</w:t>
      </w:r>
    </w:p>
    <w:p w14:paraId="10CCB91F" w14:textId="77777777" w:rsidR="00D30CEF" w:rsidRDefault="00D30CEF" w:rsidP="00D30CEF">
      <w:pPr>
        <w:rPr>
          <w:rFonts w:asciiTheme="majorBidi" w:hAnsiTheme="majorBidi" w:cstheme="majorBidi"/>
          <w:sz w:val="24"/>
          <w:szCs w:val="24"/>
          <w:rtl/>
        </w:rPr>
      </w:pPr>
      <w:bookmarkStart w:id="0" w:name="_Hlk97749470"/>
      <w:r>
        <w:rPr>
          <w:rFonts w:asciiTheme="majorBidi" w:hAnsiTheme="majorBidi" w:cstheme="majorBidi" w:hint="cs"/>
          <w:sz w:val="24"/>
          <w:szCs w:val="24"/>
          <w:rtl/>
        </w:rPr>
        <w:t>שיעור זה נכתב לראשונה עבור מגידי השיעור של מעלה</w:t>
      </w:r>
    </w:p>
    <w:p w14:paraId="18E69396" w14:textId="77777777" w:rsidR="00D30CEF" w:rsidRDefault="00D30CEF" w:rsidP="00D30CEF">
      <w:pPr>
        <w:rPr>
          <w:rFonts w:asciiTheme="majorBidi" w:hAnsiTheme="majorBidi" w:cstheme="majorBidi"/>
          <w:sz w:val="24"/>
          <w:szCs w:val="24"/>
          <w:rtl/>
        </w:rPr>
      </w:pPr>
      <w:bookmarkStart w:id="1" w:name="_Hlk91012226"/>
      <w:r>
        <w:drawing>
          <wp:inline distT="0" distB="0" distL="0" distR="0" wp14:anchorId="0AB6AFC9" wp14:editId="1D825BAF">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2" w:name="_Hlk92795346"/>
    </w:p>
    <w:p w14:paraId="60B8933E" w14:textId="77777777" w:rsidR="00D30CEF" w:rsidRDefault="00D30CEF" w:rsidP="00D30CEF">
      <w:pPr>
        <w:rPr>
          <w:rFonts w:asciiTheme="majorBidi" w:hAnsiTheme="majorBidi" w:cstheme="majorBidi"/>
          <w:sz w:val="24"/>
          <w:szCs w:val="24"/>
          <w:rtl/>
        </w:rPr>
      </w:pPr>
    </w:p>
    <w:p w14:paraId="23F5A2BE" w14:textId="77777777" w:rsidR="00D30CEF" w:rsidRDefault="00D30CEF" w:rsidP="00D30CEF">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1"/>
    </w:p>
    <w:p w14:paraId="2171181C" w14:textId="77777777" w:rsidR="00D30CEF" w:rsidRDefault="00D30CEF" w:rsidP="00D30CEF">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0"/>
      <w:bookmarkEnd w:id="2"/>
    </w:p>
    <w:sectPr w:rsidR="00D30CEF"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2501" w14:textId="77777777" w:rsidR="0044161E" w:rsidRDefault="0044161E" w:rsidP="00111DCD">
      <w:pPr>
        <w:spacing w:after="0" w:line="240" w:lineRule="auto"/>
      </w:pPr>
      <w:r>
        <w:separator/>
      </w:r>
    </w:p>
  </w:endnote>
  <w:endnote w:type="continuationSeparator" w:id="0">
    <w:p w14:paraId="4AEF5EF5" w14:textId="77777777" w:rsidR="0044161E" w:rsidRDefault="0044161E" w:rsidP="0011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04F" w14:textId="77777777" w:rsidR="0044161E" w:rsidRDefault="0044161E" w:rsidP="00111DCD">
      <w:pPr>
        <w:spacing w:after="0" w:line="240" w:lineRule="auto"/>
      </w:pPr>
      <w:r>
        <w:separator/>
      </w:r>
    </w:p>
  </w:footnote>
  <w:footnote w:type="continuationSeparator" w:id="0">
    <w:p w14:paraId="11A54A10" w14:textId="77777777" w:rsidR="0044161E" w:rsidRDefault="0044161E" w:rsidP="00111DCD">
      <w:pPr>
        <w:spacing w:after="0" w:line="240" w:lineRule="auto"/>
      </w:pPr>
      <w:r>
        <w:continuationSeparator/>
      </w:r>
    </w:p>
  </w:footnote>
  <w:footnote w:id="1">
    <w:p w14:paraId="42F4ED79" w14:textId="5E209C4F" w:rsidR="00170182" w:rsidRPr="00551D3A" w:rsidRDefault="00170182" w:rsidP="00551D3A">
      <w:pPr>
        <w:spacing w:after="0" w:line="360" w:lineRule="auto"/>
        <w:rPr>
          <w:rFonts w:asciiTheme="majorBidi" w:hAnsiTheme="majorBidi" w:cstheme="majorBidi"/>
          <w:sz w:val="20"/>
          <w:szCs w:val="20"/>
          <w:rtl/>
        </w:rPr>
      </w:pPr>
      <w:r w:rsidRPr="00551D3A">
        <w:rPr>
          <w:rStyle w:val="a5"/>
          <w:sz w:val="20"/>
          <w:szCs w:val="20"/>
        </w:rPr>
        <w:footnoteRef/>
      </w:r>
      <w:r w:rsidRPr="00551D3A">
        <w:rPr>
          <w:sz w:val="20"/>
          <w:szCs w:val="20"/>
          <w:rtl/>
        </w:rPr>
        <w:t xml:space="preserve"> </w:t>
      </w:r>
      <w:r w:rsidRPr="00551D3A">
        <w:rPr>
          <w:rFonts w:asciiTheme="majorBidi" w:hAnsiTheme="majorBidi" w:cs="Times New Roman" w:hint="cs"/>
          <w:sz w:val="20"/>
          <w:szCs w:val="20"/>
          <w:rtl/>
        </w:rPr>
        <w:t xml:space="preserve"> </w:t>
      </w:r>
      <w:r w:rsidRPr="00551D3A">
        <w:rPr>
          <w:rFonts w:asciiTheme="majorBidi" w:hAnsiTheme="majorBidi" w:cs="Times New Roman"/>
          <w:sz w:val="20"/>
          <w:szCs w:val="20"/>
          <w:rtl/>
        </w:rPr>
        <w:t xml:space="preserve"> דף קז עמוד ב</w:t>
      </w:r>
      <w:r w:rsidRPr="00551D3A">
        <w:rPr>
          <w:rFonts w:asciiTheme="majorBidi" w:hAnsiTheme="majorBidi" w:cstheme="majorBidi" w:hint="cs"/>
          <w:sz w:val="20"/>
          <w:szCs w:val="20"/>
          <w:rtl/>
        </w:rPr>
        <w:t>.</w:t>
      </w:r>
    </w:p>
  </w:footnote>
  <w:footnote w:id="2">
    <w:p w14:paraId="46D0F4BF" w14:textId="38467B4A" w:rsidR="005075EC" w:rsidRPr="00551D3A" w:rsidRDefault="005075EC" w:rsidP="00551D3A">
      <w:pPr>
        <w:pStyle w:val="a3"/>
        <w:spacing w:line="360" w:lineRule="auto"/>
      </w:pPr>
      <w:r w:rsidRPr="00551D3A">
        <w:rPr>
          <w:rStyle w:val="a5"/>
        </w:rPr>
        <w:footnoteRef/>
      </w:r>
      <w:r w:rsidRPr="00551D3A">
        <w:rPr>
          <w:rtl/>
        </w:rPr>
        <w:t xml:space="preserve"> </w:t>
      </w:r>
      <w:r w:rsidRPr="00551D3A">
        <w:rPr>
          <w:rFonts w:asciiTheme="majorBidi" w:hAnsiTheme="majorBidi" w:cstheme="majorBidi"/>
          <w:rtl/>
        </w:rPr>
        <w:t>תלמוד ירושלמי  פרק יג סוף דף ע עמוד ב.</w:t>
      </w:r>
    </w:p>
  </w:footnote>
  <w:footnote w:id="3">
    <w:p w14:paraId="1123E234" w14:textId="301E81A2" w:rsidR="008D1C27" w:rsidRPr="00551D3A" w:rsidRDefault="008D1C27" w:rsidP="00551D3A">
      <w:pPr>
        <w:pStyle w:val="a3"/>
        <w:spacing w:line="360" w:lineRule="auto"/>
        <w:rPr>
          <w:rFonts w:asciiTheme="majorBidi" w:hAnsiTheme="majorBidi" w:cstheme="majorBidi"/>
        </w:rPr>
      </w:pPr>
      <w:r w:rsidRPr="00551D3A">
        <w:rPr>
          <w:rStyle w:val="a5"/>
          <w:rFonts w:asciiTheme="majorBidi" w:hAnsiTheme="majorBidi" w:cstheme="majorBidi"/>
        </w:rPr>
        <w:footnoteRef/>
      </w:r>
      <w:r w:rsidRPr="00551D3A">
        <w:rPr>
          <w:rFonts w:asciiTheme="majorBidi" w:hAnsiTheme="majorBidi" w:cstheme="majorBidi"/>
          <w:rtl/>
        </w:rPr>
        <w:t xml:space="preserve"> כגון רמב"ן, מאירי.</w:t>
      </w:r>
    </w:p>
  </w:footnote>
  <w:footnote w:id="4">
    <w:p w14:paraId="09607D10" w14:textId="77777777" w:rsidR="005D1DDA" w:rsidRPr="00551D3A" w:rsidRDefault="005D1DDA" w:rsidP="00551D3A">
      <w:pPr>
        <w:spacing w:after="0" w:line="360" w:lineRule="auto"/>
        <w:rPr>
          <w:rFonts w:asciiTheme="majorBidi" w:hAnsiTheme="majorBidi" w:cstheme="majorBidi"/>
          <w:sz w:val="20"/>
          <w:szCs w:val="20"/>
        </w:rPr>
      </w:pPr>
      <w:r w:rsidRPr="00551D3A">
        <w:rPr>
          <w:rStyle w:val="a5"/>
          <w:rFonts w:asciiTheme="majorBidi" w:hAnsiTheme="majorBidi" w:cstheme="majorBidi"/>
          <w:sz w:val="20"/>
          <w:szCs w:val="20"/>
        </w:rPr>
        <w:footnoteRef/>
      </w:r>
      <w:r w:rsidRPr="00551D3A">
        <w:rPr>
          <w:rFonts w:asciiTheme="majorBidi" w:hAnsiTheme="majorBidi" w:cstheme="majorBidi"/>
          <w:sz w:val="20"/>
          <w:szCs w:val="20"/>
          <w:rtl/>
        </w:rPr>
        <w:t xml:space="preserve">  מסכת יבמות דף פט עמוד ב.</w:t>
      </w:r>
    </w:p>
  </w:footnote>
  <w:footnote w:id="5">
    <w:p w14:paraId="55AA837C" w14:textId="77777777" w:rsidR="005D1DDA" w:rsidRPr="00551D3A" w:rsidRDefault="005D1DDA" w:rsidP="00551D3A">
      <w:pPr>
        <w:pStyle w:val="a3"/>
        <w:spacing w:line="360" w:lineRule="auto"/>
        <w:rPr>
          <w:rFonts w:asciiTheme="majorBidi" w:hAnsiTheme="majorBidi" w:cstheme="majorBidi"/>
        </w:rPr>
      </w:pPr>
      <w:r w:rsidRPr="00551D3A">
        <w:rPr>
          <w:rStyle w:val="a5"/>
          <w:rFonts w:asciiTheme="majorBidi" w:hAnsiTheme="majorBidi" w:cstheme="majorBidi"/>
        </w:rPr>
        <w:footnoteRef/>
      </w:r>
      <w:r w:rsidRPr="00551D3A">
        <w:rPr>
          <w:rFonts w:asciiTheme="majorBidi" w:hAnsiTheme="majorBidi" w:cstheme="majorBidi"/>
          <w:rtl/>
        </w:rPr>
        <w:t xml:space="preserve"> אישים ושיטות, הרב זוין עמוד  113 במהדורת תשל"ח.</w:t>
      </w:r>
    </w:p>
  </w:footnote>
  <w:footnote w:id="6">
    <w:p w14:paraId="0983207D" w14:textId="77777777" w:rsidR="005D1DDA" w:rsidRPr="00551D3A" w:rsidRDefault="005D1DDA" w:rsidP="00551D3A">
      <w:pPr>
        <w:spacing w:after="0" w:line="360" w:lineRule="auto"/>
        <w:rPr>
          <w:rFonts w:asciiTheme="majorBidi" w:hAnsiTheme="majorBidi" w:cstheme="majorBidi"/>
          <w:sz w:val="20"/>
          <w:szCs w:val="20"/>
          <w:rtl/>
        </w:rPr>
      </w:pPr>
      <w:r w:rsidRPr="00551D3A">
        <w:rPr>
          <w:rStyle w:val="a5"/>
          <w:rFonts w:asciiTheme="majorBidi" w:hAnsiTheme="majorBidi" w:cstheme="majorBidi"/>
          <w:sz w:val="20"/>
          <w:szCs w:val="20"/>
        </w:rPr>
        <w:footnoteRef/>
      </w:r>
      <w:r w:rsidRPr="00551D3A">
        <w:rPr>
          <w:rFonts w:asciiTheme="majorBidi" w:hAnsiTheme="majorBidi" w:cstheme="majorBidi"/>
          <w:sz w:val="20"/>
          <w:szCs w:val="20"/>
          <w:rtl/>
        </w:rPr>
        <w:t xml:space="preserve"> חכמת שלמה דף פט עמוד ב.</w:t>
      </w:r>
    </w:p>
    <w:p w14:paraId="0682193B" w14:textId="77777777" w:rsidR="005D1DDA" w:rsidRPr="00551D3A" w:rsidRDefault="005D1DDA" w:rsidP="00551D3A">
      <w:pPr>
        <w:pStyle w:val="a3"/>
        <w:spacing w:line="360" w:lineRule="auto"/>
        <w:rPr>
          <w:rFonts w:asciiTheme="majorBidi" w:hAnsiTheme="majorBidi" w:cstheme="majorBidi"/>
        </w:rPr>
      </w:pPr>
    </w:p>
  </w:footnote>
  <w:footnote w:id="7">
    <w:p w14:paraId="480E9A4A" w14:textId="77777777" w:rsidR="005D1DDA" w:rsidRPr="00551D3A" w:rsidRDefault="005D1DDA" w:rsidP="00551D3A">
      <w:pPr>
        <w:pStyle w:val="a3"/>
        <w:spacing w:line="360" w:lineRule="auto"/>
        <w:rPr>
          <w:rFonts w:asciiTheme="majorBidi" w:hAnsiTheme="majorBidi" w:cstheme="majorBidi"/>
        </w:rPr>
      </w:pPr>
      <w:r w:rsidRPr="00551D3A">
        <w:rPr>
          <w:rStyle w:val="a5"/>
          <w:rFonts w:asciiTheme="majorBidi" w:hAnsiTheme="majorBidi" w:cstheme="majorBidi"/>
        </w:rPr>
        <w:footnoteRef/>
      </w:r>
      <w:r w:rsidRPr="00551D3A">
        <w:rPr>
          <w:rFonts w:asciiTheme="majorBidi" w:hAnsiTheme="majorBidi" w:cstheme="majorBidi"/>
          <w:rtl/>
        </w:rPr>
        <w:t xml:space="preserve"> שיטת הרוגאצ'ובר כפי שהיא מובאת באישים ושיטות לרב זוין, עמוד 112 במהדורת תשל"ח.</w:t>
      </w:r>
    </w:p>
  </w:footnote>
  <w:footnote w:id="8">
    <w:p w14:paraId="0C0EE386" w14:textId="75B73484" w:rsidR="00364DD9" w:rsidRPr="00551D3A" w:rsidRDefault="00364DD9" w:rsidP="00551D3A">
      <w:pPr>
        <w:spacing w:after="0" w:line="360" w:lineRule="auto"/>
        <w:rPr>
          <w:rFonts w:asciiTheme="majorBidi" w:hAnsiTheme="majorBidi" w:cstheme="majorBidi"/>
          <w:sz w:val="20"/>
          <w:szCs w:val="20"/>
          <w:rtl/>
        </w:rPr>
      </w:pPr>
      <w:r w:rsidRPr="00551D3A">
        <w:rPr>
          <w:rStyle w:val="a5"/>
          <w:rFonts w:asciiTheme="majorBidi" w:hAnsiTheme="majorBidi" w:cstheme="majorBidi"/>
          <w:sz w:val="20"/>
          <w:szCs w:val="20"/>
        </w:rPr>
        <w:footnoteRef/>
      </w:r>
      <w:r w:rsidRPr="00551D3A">
        <w:rPr>
          <w:rFonts w:asciiTheme="majorBidi" w:hAnsiTheme="majorBidi" w:cstheme="majorBidi"/>
          <w:sz w:val="20"/>
          <w:szCs w:val="20"/>
          <w:rtl/>
        </w:rPr>
        <w:t xml:space="preserve">   מסכת כתובות דף ק עמוד ב.</w:t>
      </w:r>
    </w:p>
  </w:footnote>
  <w:footnote w:id="9">
    <w:p w14:paraId="7912740A" w14:textId="10669049" w:rsidR="00364DD9" w:rsidRPr="00551D3A" w:rsidRDefault="00364DD9" w:rsidP="00551D3A">
      <w:pPr>
        <w:spacing w:after="0" w:line="360" w:lineRule="auto"/>
        <w:rPr>
          <w:rFonts w:asciiTheme="majorBidi" w:hAnsiTheme="majorBidi" w:cstheme="majorBidi"/>
          <w:sz w:val="20"/>
          <w:szCs w:val="20"/>
          <w:rtl/>
        </w:rPr>
      </w:pPr>
      <w:r w:rsidRPr="00551D3A">
        <w:rPr>
          <w:rStyle w:val="a5"/>
          <w:rFonts w:asciiTheme="majorBidi" w:hAnsiTheme="majorBidi" w:cstheme="majorBidi"/>
          <w:sz w:val="20"/>
          <w:szCs w:val="20"/>
        </w:rPr>
        <w:footnoteRef/>
      </w:r>
      <w:r w:rsidRPr="00551D3A">
        <w:rPr>
          <w:rFonts w:asciiTheme="majorBidi" w:hAnsiTheme="majorBidi" w:cstheme="majorBidi"/>
          <w:sz w:val="20"/>
          <w:szCs w:val="20"/>
          <w:rtl/>
        </w:rPr>
        <w:t xml:space="preserve"> תוספות   דף סה עמוד ב ד"ה כי הא.</w:t>
      </w:r>
    </w:p>
  </w:footnote>
  <w:footnote w:id="10">
    <w:p w14:paraId="6705105E" w14:textId="4CB3E883" w:rsidR="00AF1473" w:rsidRPr="00551D3A" w:rsidRDefault="00AF1473" w:rsidP="00551D3A">
      <w:pPr>
        <w:pStyle w:val="a3"/>
        <w:spacing w:line="360" w:lineRule="auto"/>
        <w:rPr>
          <w:rFonts w:asciiTheme="majorBidi" w:hAnsiTheme="majorBidi" w:cstheme="majorBidi"/>
        </w:rPr>
      </w:pPr>
      <w:r w:rsidRPr="00551D3A">
        <w:rPr>
          <w:rStyle w:val="a5"/>
          <w:rFonts w:asciiTheme="majorBidi" w:hAnsiTheme="majorBidi" w:cstheme="majorBidi"/>
        </w:rPr>
        <w:footnoteRef/>
      </w:r>
      <w:r w:rsidRPr="00551D3A">
        <w:rPr>
          <w:rFonts w:asciiTheme="majorBidi" w:hAnsiTheme="majorBidi" w:cstheme="majorBidi"/>
          <w:rtl/>
        </w:rPr>
        <w:t xml:space="preserve"> אישים ושיטות שם.</w:t>
      </w:r>
    </w:p>
  </w:footnote>
  <w:footnote w:id="11">
    <w:p w14:paraId="127F5549" w14:textId="50298A34" w:rsidR="00AF1473" w:rsidRPr="00551D3A" w:rsidRDefault="00AF1473" w:rsidP="00551D3A">
      <w:pPr>
        <w:pStyle w:val="a3"/>
        <w:spacing w:line="360" w:lineRule="auto"/>
        <w:rPr>
          <w:rFonts w:asciiTheme="majorBidi" w:hAnsiTheme="majorBidi" w:cstheme="majorBidi"/>
        </w:rPr>
      </w:pPr>
      <w:r w:rsidRPr="00551D3A">
        <w:rPr>
          <w:rStyle w:val="a5"/>
          <w:rFonts w:asciiTheme="majorBidi" w:hAnsiTheme="majorBidi" w:cstheme="majorBidi"/>
        </w:rPr>
        <w:footnoteRef/>
      </w:r>
      <w:r w:rsidRPr="00551D3A">
        <w:rPr>
          <w:rFonts w:asciiTheme="majorBidi" w:hAnsiTheme="majorBidi" w:cstheme="majorBidi"/>
          <w:rtl/>
        </w:rPr>
        <w:t xml:space="preserve"> דף קז עמוד א.</w:t>
      </w:r>
    </w:p>
  </w:footnote>
  <w:footnote w:id="12">
    <w:p w14:paraId="38C11022" w14:textId="1720B2E9" w:rsidR="0027171C" w:rsidRPr="00551D3A" w:rsidRDefault="0027171C" w:rsidP="00551D3A">
      <w:pPr>
        <w:pStyle w:val="a3"/>
        <w:spacing w:line="360" w:lineRule="auto"/>
        <w:rPr>
          <w:rFonts w:asciiTheme="majorBidi" w:hAnsiTheme="majorBidi" w:cstheme="majorBidi"/>
          <w:rtl/>
        </w:rPr>
      </w:pPr>
      <w:r w:rsidRPr="00551D3A">
        <w:rPr>
          <w:rStyle w:val="a5"/>
          <w:rFonts w:asciiTheme="majorBidi" w:hAnsiTheme="majorBidi" w:cstheme="majorBidi"/>
        </w:rPr>
        <w:footnoteRef/>
      </w:r>
      <w:r w:rsidRPr="00551D3A">
        <w:rPr>
          <w:rFonts w:asciiTheme="majorBidi" w:hAnsiTheme="majorBidi" w:cstheme="majorBidi"/>
          <w:rtl/>
        </w:rPr>
        <w:t xml:space="preserve"> הרב זוין, שם.</w:t>
      </w:r>
    </w:p>
  </w:footnote>
  <w:footnote w:id="13">
    <w:p w14:paraId="3B449599" w14:textId="12AFFEE4" w:rsidR="009102AD" w:rsidRPr="00551D3A" w:rsidRDefault="009102AD" w:rsidP="00551D3A">
      <w:pPr>
        <w:spacing w:after="0" w:line="360" w:lineRule="auto"/>
        <w:rPr>
          <w:rFonts w:asciiTheme="majorBidi" w:hAnsiTheme="majorBidi" w:cstheme="majorBidi"/>
          <w:sz w:val="20"/>
          <w:szCs w:val="20"/>
          <w:rtl/>
        </w:rPr>
      </w:pPr>
      <w:r w:rsidRPr="00551D3A">
        <w:rPr>
          <w:rStyle w:val="a5"/>
          <w:rFonts w:asciiTheme="majorBidi" w:hAnsiTheme="majorBidi" w:cstheme="majorBidi"/>
          <w:sz w:val="20"/>
          <w:szCs w:val="20"/>
        </w:rPr>
        <w:footnoteRef/>
      </w:r>
      <w:r w:rsidRPr="00551D3A">
        <w:rPr>
          <w:rFonts w:asciiTheme="majorBidi" w:hAnsiTheme="majorBidi" w:cstheme="majorBidi"/>
          <w:sz w:val="20"/>
          <w:szCs w:val="20"/>
          <w:rtl/>
        </w:rPr>
        <w:t xml:space="preserve"> ר' יחזקאל אברמסקי במכתב שנדפס בקובץ מוריה (שנה כ' גליון ח - ט ע' לז) מובא בדף על הדף כאן:</w:t>
      </w:r>
    </w:p>
    <w:p w14:paraId="1CF65578" w14:textId="512BF36F" w:rsidR="009102AD" w:rsidRDefault="009102AD">
      <w:pPr>
        <w:pStyle w:val="a3"/>
      </w:pPr>
    </w:p>
  </w:footnote>
  <w:footnote w:id="14">
    <w:p w14:paraId="78DE76C8" w14:textId="750FA3DF" w:rsidR="003C50D7" w:rsidRPr="0059054D" w:rsidRDefault="003C50D7" w:rsidP="0059054D">
      <w:pPr>
        <w:pStyle w:val="a3"/>
        <w:spacing w:line="360" w:lineRule="auto"/>
        <w:rPr>
          <w:rFonts w:asciiTheme="majorBidi" w:hAnsiTheme="majorBidi" w:cstheme="majorBidi"/>
        </w:rPr>
      </w:pPr>
      <w:r w:rsidRPr="0059054D">
        <w:rPr>
          <w:rStyle w:val="a5"/>
          <w:rFonts w:asciiTheme="majorBidi" w:hAnsiTheme="majorBidi" w:cstheme="majorBidi"/>
        </w:rPr>
        <w:footnoteRef/>
      </w:r>
      <w:r w:rsidRPr="0059054D">
        <w:rPr>
          <w:rFonts w:asciiTheme="majorBidi" w:hAnsiTheme="majorBidi" w:cstheme="majorBidi"/>
          <w:rtl/>
        </w:rPr>
        <w:t xml:space="preserve"> בירור הלכה דף קז עמוד א ציון א אות א.</w:t>
      </w:r>
    </w:p>
  </w:footnote>
  <w:footnote w:id="15">
    <w:p w14:paraId="1C77A316" w14:textId="2500421E" w:rsidR="0047120E" w:rsidRPr="0059054D" w:rsidRDefault="0047120E" w:rsidP="0059054D">
      <w:pPr>
        <w:pStyle w:val="a3"/>
        <w:spacing w:line="360" w:lineRule="auto"/>
        <w:rPr>
          <w:rFonts w:asciiTheme="majorBidi" w:hAnsiTheme="majorBidi" w:cstheme="majorBidi"/>
          <w:rtl/>
        </w:rPr>
      </w:pPr>
      <w:r w:rsidRPr="0059054D">
        <w:rPr>
          <w:rStyle w:val="a5"/>
          <w:rFonts w:asciiTheme="majorBidi" w:hAnsiTheme="majorBidi" w:cstheme="majorBidi"/>
        </w:rPr>
        <w:footnoteRef/>
      </w:r>
      <w:r w:rsidRPr="0059054D">
        <w:rPr>
          <w:rFonts w:asciiTheme="majorBidi" w:hAnsiTheme="majorBidi" w:cstheme="majorBidi"/>
          <w:rtl/>
        </w:rPr>
        <w:t xml:space="preserve"> כך מבין הדרישה בדעת הטור (אבן העזר מג אות ב). דעה זו מובאת גם בב"י (סימן קנה) ובבית שמואל (שם ס"ק ז).</w:t>
      </w:r>
    </w:p>
  </w:footnote>
  <w:footnote w:id="16">
    <w:p w14:paraId="6417CF69" w14:textId="26AC500B" w:rsidR="003C50D7" w:rsidRPr="0059054D" w:rsidRDefault="003C50D7" w:rsidP="0059054D">
      <w:pPr>
        <w:pStyle w:val="a3"/>
        <w:spacing w:line="360" w:lineRule="auto"/>
        <w:rPr>
          <w:rFonts w:asciiTheme="majorBidi" w:hAnsiTheme="majorBidi" w:cstheme="majorBidi"/>
        </w:rPr>
      </w:pPr>
      <w:r w:rsidRPr="0059054D">
        <w:rPr>
          <w:rStyle w:val="a5"/>
          <w:rFonts w:asciiTheme="majorBidi" w:hAnsiTheme="majorBidi" w:cstheme="majorBidi"/>
        </w:rPr>
        <w:footnoteRef/>
      </w:r>
      <w:r w:rsidRPr="0059054D">
        <w:rPr>
          <w:rFonts w:asciiTheme="majorBidi" w:hAnsiTheme="majorBidi" w:cstheme="majorBidi"/>
          <w:rtl/>
        </w:rPr>
        <w:t xml:space="preserve"> סימן רסז.</w:t>
      </w:r>
    </w:p>
  </w:footnote>
  <w:footnote w:id="17">
    <w:p w14:paraId="4808913D" w14:textId="6ADC9442" w:rsidR="00057D3D" w:rsidRPr="0059054D" w:rsidRDefault="00057D3D" w:rsidP="0059054D">
      <w:pPr>
        <w:pStyle w:val="a3"/>
        <w:spacing w:line="360" w:lineRule="auto"/>
        <w:rPr>
          <w:rFonts w:asciiTheme="majorBidi" w:hAnsiTheme="majorBidi" w:cstheme="majorBidi"/>
          <w:rtl/>
        </w:rPr>
      </w:pPr>
      <w:r w:rsidRPr="0059054D">
        <w:rPr>
          <w:rStyle w:val="a5"/>
          <w:rFonts w:asciiTheme="majorBidi" w:hAnsiTheme="majorBidi" w:cstheme="majorBidi"/>
        </w:rPr>
        <w:footnoteRef/>
      </w:r>
      <w:r w:rsidRPr="0059054D">
        <w:rPr>
          <w:rFonts w:asciiTheme="majorBidi" w:hAnsiTheme="majorBidi" w:cstheme="majorBidi"/>
          <w:rtl/>
        </w:rPr>
        <w:t xml:space="preserve"> שולחן ערוך אבן העזר סימן קנה סעיף ב.</w:t>
      </w:r>
    </w:p>
  </w:footnote>
  <w:footnote w:id="18">
    <w:p w14:paraId="07A815C0" w14:textId="76A57FA2" w:rsidR="00057D3D" w:rsidRPr="0059054D" w:rsidRDefault="00057D3D" w:rsidP="0059054D">
      <w:pPr>
        <w:pStyle w:val="a3"/>
        <w:spacing w:line="360" w:lineRule="auto"/>
        <w:rPr>
          <w:rFonts w:asciiTheme="majorBidi" w:hAnsiTheme="majorBidi" w:cstheme="majorBidi"/>
        </w:rPr>
      </w:pPr>
      <w:r w:rsidRPr="0059054D">
        <w:rPr>
          <w:rStyle w:val="a5"/>
          <w:rFonts w:asciiTheme="majorBidi" w:hAnsiTheme="majorBidi" w:cstheme="majorBidi"/>
        </w:rPr>
        <w:footnoteRef/>
      </w:r>
      <w:r w:rsidRPr="0059054D">
        <w:rPr>
          <w:rFonts w:asciiTheme="majorBidi" w:hAnsiTheme="majorBidi" w:cstheme="majorBidi"/>
          <w:rtl/>
        </w:rPr>
        <w:t xml:space="preserve"> חזון איש, הלכות מיאון סימן קיא סעיף ט.</w:t>
      </w:r>
      <w:r w:rsidR="00430DF1" w:rsidRPr="0059054D">
        <w:rPr>
          <w:rFonts w:asciiTheme="majorBidi" w:hAnsiTheme="majorBidi" w:cstheme="majorBidi"/>
          <w:rtl/>
        </w:rPr>
        <w:t xml:space="preserve"> ועיין בערוך השולחן אה"ע סימן קנג סעיף ה שמוכיח להלכה מירושלמי שגם נשאת מעצמה יש לכך תוקף. </w:t>
      </w:r>
    </w:p>
  </w:footnote>
  <w:footnote w:id="19">
    <w:p w14:paraId="2DF63798" w14:textId="2531EFE0" w:rsidR="00430DF1" w:rsidRPr="0059054D" w:rsidRDefault="00430DF1" w:rsidP="0059054D">
      <w:pPr>
        <w:spacing w:after="0" w:line="360" w:lineRule="auto"/>
        <w:rPr>
          <w:rFonts w:asciiTheme="majorBidi" w:hAnsiTheme="majorBidi" w:cstheme="majorBidi"/>
          <w:sz w:val="20"/>
          <w:szCs w:val="20"/>
          <w:rtl/>
        </w:rPr>
      </w:pPr>
      <w:r w:rsidRPr="0059054D">
        <w:rPr>
          <w:rStyle w:val="a5"/>
          <w:rFonts w:asciiTheme="majorBidi" w:hAnsiTheme="majorBidi" w:cstheme="majorBidi"/>
          <w:sz w:val="20"/>
          <w:szCs w:val="20"/>
        </w:rPr>
        <w:footnoteRef/>
      </w:r>
      <w:r w:rsidRPr="0059054D">
        <w:rPr>
          <w:rFonts w:asciiTheme="majorBidi" w:hAnsiTheme="majorBidi" w:cstheme="majorBidi"/>
          <w:sz w:val="20"/>
          <w:szCs w:val="20"/>
          <w:rtl/>
        </w:rPr>
        <w:t xml:space="preserve"> שולחן ערוך אבן העזר סימן קנה סעיפים א,ד.</w:t>
      </w:r>
    </w:p>
    <w:p w14:paraId="175DC86E" w14:textId="59BF9131" w:rsidR="00430DF1" w:rsidRPr="0059054D" w:rsidRDefault="00430DF1" w:rsidP="0059054D">
      <w:pPr>
        <w:pStyle w:val="a3"/>
        <w:spacing w:line="360" w:lineRule="auto"/>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6329046"/>
      <w:docPartObj>
        <w:docPartGallery w:val="Page Numbers (Top of Page)"/>
        <w:docPartUnique/>
      </w:docPartObj>
    </w:sdtPr>
    <w:sdtEndPr/>
    <w:sdtContent>
      <w:p w14:paraId="6E37AB25" w14:textId="690B129A" w:rsidR="008D1C27" w:rsidRDefault="008D1C27">
        <w:pPr>
          <w:pStyle w:val="a6"/>
        </w:pPr>
        <w:r>
          <w:fldChar w:fldCharType="begin"/>
        </w:r>
        <w:r>
          <w:instrText>PAGE   \* MERGEFORMAT</w:instrText>
        </w:r>
        <w:r>
          <w:fldChar w:fldCharType="separate"/>
        </w:r>
        <w:r>
          <w:rPr>
            <w:rtl/>
            <w:lang w:val="he-IL"/>
          </w:rPr>
          <w:t>2</w:t>
        </w:r>
        <w:r>
          <w:fldChar w:fldCharType="end"/>
        </w:r>
      </w:p>
    </w:sdtContent>
  </w:sdt>
  <w:p w14:paraId="4EC79457" w14:textId="77777777" w:rsidR="008D1C27" w:rsidRDefault="008D1C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34574"/>
    <w:multiLevelType w:val="hybridMultilevel"/>
    <w:tmpl w:val="86B09354"/>
    <w:lvl w:ilvl="0" w:tplc="DA4C35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23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EF4"/>
    <w:rsid w:val="00057D3D"/>
    <w:rsid w:val="000C65CE"/>
    <w:rsid w:val="00111DCD"/>
    <w:rsid w:val="00170182"/>
    <w:rsid w:val="0027171C"/>
    <w:rsid w:val="00293330"/>
    <w:rsid w:val="002F76E3"/>
    <w:rsid w:val="00364DD9"/>
    <w:rsid w:val="003C50D7"/>
    <w:rsid w:val="004235B9"/>
    <w:rsid w:val="00430DF1"/>
    <w:rsid w:val="0044161E"/>
    <w:rsid w:val="0047120E"/>
    <w:rsid w:val="005075EC"/>
    <w:rsid w:val="005457EB"/>
    <w:rsid w:val="00551D3A"/>
    <w:rsid w:val="00555D8E"/>
    <w:rsid w:val="0059054D"/>
    <w:rsid w:val="005D1DDA"/>
    <w:rsid w:val="007F7AB4"/>
    <w:rsid w:val="0083230C"/>
    <w:rsid w:val="008D1C27"/>
    <w:rsid w:val="009102AD"/>
    <w:rsid w:val="00A82CF4"/>
    <w:rsid w:val="00AC6EFE"/>
    <w:rsid w:val="00AF1473"/>
    <w:rsid w:val="00C95B28"/>
    <w:rsid w:val="00D30CEF"/>
    <w:rsid w:val="00D73F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3D9B"/>
  <w15:chartTrackingRefBased/>
  <w15:docId w15:val="{4AEA98EE-E4C7-4E21-88D9-E7650B94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11DCD"/>
    <w:pPr>
      <w:spacing w:after="0" w:line="240" w:lineRule="auto"/>
    </w:pPr>
    <w:rPr>
      <w:sz w:val="20"/>
      <w:szCs w:val="20"/>
    </w:rPr>
  </w:style>
  <w:style w:type="character" w:customStyle="1" w:styleId="a4">
    <w:name w:val="טקסט הערת שוליים תו"/>
    <w:basedOn w:val="a0"/>
    <w:link w:val="a3"/>
    <w:uiPriority w:val="99"/>
    <w:semiHidden/>
    <w:rsid w:val="00111DCD"/>
    <w:rPr>
      <w:noProof/>
      <w:sz w:val="20"/>
      <w:szCs w:val="20"/>
    </w:rPr>
  </w:style>
  <w:style w:type="character" w:styleId="a5">
    <w:name w:val="footnote reference"/>
    <w:basedOn w:val="a0"/>
    <w:uiPriority w:val="99"/>
    <w:semiHidden/>
    <w:unhideWhenUsed/>
    <w:rsid w:val="00111DCD"/>
    <w:rPr>
      <w:vertAlign w:val="superscript"/>
    </w:rPr>
  </w:style>
  <w:style w:type="paragraph" w:styleId="a6">
    <w:name w:val="header"/>
    <w:basedOn w:val="a"/>
    <w:link w:val="a7"/>
    <w:uiPriority w:val="99"/>
    <w:unhideWhenUsed/>
    <w:rsid w:val="008D1C27"/>
    <w:pPr>
      <w:tabs>
        <w:tab w:val="center" w:pos="4153"/>
        <w:tab w:val="right" w:pos="8306"/>
      </w:tabs>
      <w:spacing w:after="0" w:line="240" w:lineRule="auto"/>
    </w:pPr>
  </w:style>
  <w:style w:type="character" w:customStyle="1" w:styleId="a7">
    <w:name w:val="כותרת עליונה תו"/>
    <w:basedOn w:val="a0"/>
    <w:link w:val="a6"/>
    <w:uiPriority w:val="99"/>
    <w:rsid w:val="008D1C27"/>
    <w:rPr>
      <w:noProof/>
    </w:rPr>
  </w:style>
  <w:style w:type="paragraph" w:styleId="a8">
    <w:name w:val="footer"/>
    <w:basedOn w:val="a"/>
    <w:link w:val="a9"/>
    <w:uiPriority w:val="99"/>
    <w:unhideWhenUsed/>
    <w:rsid w:val="008D1C27"/>
    <w:pPr>
      <w:tabs>
        <w:tab w:val="center" w:pos="4153"/>
        <w:tab w:val="right" w:pos="8306"/>
      </w:tabs>
      <w:spacing w:after="0" w:line="240" w:lineRule="auto"/>
    </w:pPr>
  </w:style>
  <w:style w:type="character" w:customStyle="1" w:styleId="a9">
    <w:name w:val="כותרת תחתונה תו"/>
    <w:basedOn w:val="a0"/>
    <w:link w:val="a8"/>
    <w:uiPriority w:val="99"/>
    <w:rsid w:val="008D1C27"/>
    <w:rPr>
      <w:noProof/>
    </w:rPr>
  </w:style>
  <w:style w:type="paragraph" w:styleId="aa">
    <w:name w:val="List Paragraph"/>
    <w:basedOn w:val="a"/>
    <w:uiPriority w:val="34"/>
    <w:qFormat/>
    <w:rsid w:val="00002EF4"/>
    <w:pPr>
      <w:ind w:left="720"/>
      <w:contextualSpacing/>
    </w:pPr>
  </w:style>
  <w:style w:type="character" w:styleId="Hyperlink">
    <w:name w:val="Hyperlink"/>
    <w:basedOn w:val="a0"/>
    <w:uiPriority w:val="99"/>
    <w:unhideWhenUsed/>
    <w:rsid w:val="00D30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A624-CD0B-4970-B616-CA6E7382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1304</Words>
  <Characters>6522</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2022-03-21T10:53:00Z</dcterms:created>
  <dcterms:modified xsi:type="dcterms:W3CDTF">2022-06-12T16:20:00Z</dcterms:modified>
</cp:coreProperties>
</file>