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EBC4" w14:textId="7367A274" w:rsidR="00AD5AB4" w:rsidRDefault="00AD5AB4" w:rsidP="00032633">
      <w:pPr>
        <w:spacing w:after="0" w:line="360" w:lineRule="auto"/>
        <w:rPr>
          <w:rFonts w:asciiTheme="majorBidi" w:hAnsiTheme="majorBidi" w:cs="Times New Roman"/>
          <w:sz w:val="24"/>
          <w:szCs w:val="24"/>
          <w:rtl/>
        </w:rPr>
      </w:pPr>
      <w:r w:rsidRPr="00032633">
        <w:rPr>
          <w:rFonts w:asciiTheme="majorBidi" w:hAnsiTheme="majorBidi" w:cs="Times New Roman"/>
          <w:sz w:val="24"/>
          <w:szCs w:val="24"/>
          <w:rtl/>
        </w:rPr>
        <w:t>מסכת כתובות דף צד עמוד ב</w:t>
      </w:r>
    </w:p>
    <w:p w14:paraId="6F0D2A3E" w14:textId="11D32854" w:rsidR="00A82CF4" w:rsidRDefault="00032633" w:rsidP="00032633">
      <w:pPr>
        <w:spacing w:after="0" w:line="360" w:lineRule="auto"/>
        <w:rPr>
          <w:rFonts w:asciiTheme="majorBidi" w:hAnsiTheme="majorBidi" w:cstheme="majorBidi"/>
          <w:sz w:val="24"/>
          <w:szCs w:val="24"/>
          <w:rtl/>
        </w:rPr>
      </w:pPr>
      <w:r w:rsidRPr="00032633">
        <w:rPr>
          <w:rFonts w:asciiTheme="majorBidi" w:hAnsiTheme="majorBidi" w:cs="Times New Roman"/>
          <w:sz w:val="24"/>
          <w:szCs w:val="24"/>
          <w:rtl/>
        </w:rPr>
        <w:t>אמיה דרמי בר חמא כתבתינהו לנכסה לרמי בר חמא בצפרא, לאורתא כתבתינהו למר עוקבא בר חמא. אתא רמי בר חמא לקמיה דרב ששת, אוקמיה בנכסא. אתא מר עוקבא לקמיה דרב נחמן, אוקמיה בנכסא. אתא רב ששת לקמיה דרב נחמן, א"ל: מ"ט עבד מר הכי? א"ל: ומ"ט עבד מר הכי? א"ל: דקדים, א"ל: אטו בירושלים יתבינן דכתבינן שעות? אלא מר מאי טעמא עבד הכי? א"ל: שודא דדייני, א"ל: אנא נמי שודא דדייני! א"ל: חדא, דאנא דיינא ומר לאו דיינא; ועוד, מעיקרא לאו בתורת הכי אתית לה.</w:t>
      </w:r>
    </w:p>
    <w:p w14:paraId="5CCC79B4" w14:textId="75177EE7" w:rsidR="00032633" w:rsidRPr="00032633" w:rsidRDefault="00032633" w:rsidP="009552CB">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שודא דדייני</w:t>
      </w:r>
    </w:p>
    <w:p w14:paraId="4422809E" w14:textId="7739A4BC" w:rsidR="00EE393F" w:rsidRDefault="00140169" w:rsidP="00032633">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א. </w:t>
      </w:r>
      <w:r w:rsidR="00EE393F">
        <w:rPr>
          <w:rFonts w:asciiTheme="majorBidi" w:hAnsiTheme="majorBidi" w:cs="Times New Roman" w:hint="cs"/>
          <w:b/>
          <w:bCs/>
          <w:sz w:val="24"/>
          <w:szCs w:val="24"/>
          <w:rtl/>
        </w:rPr>
        <w:t>סוגיות מקבילות</w:t>
      </w:r>
    </w:p>
    <w:p w14:paraId="76D07FC0" w14:textId="739B1D7D" w:rsidR="00AD5AB4" w:rsidRPr="00AD5AB4" w:rsidRDefault="00EE393F" w:rsidP="00AD5AB4">
      <w:pPr>
        <w:spacing w:after="0" w:line="360" w:lineRule="auto"/>
        <w:rPr>
          <w:rFonts w:ascii="David" w:hAnsi="David" w:cs="David"/>
          <w:sz w:val="24"/>
          <w:szCs w:val="24"/>
          <w:rtl/>
        </w:rPr>
      </w:pPr>
      <w:r>
        <w:rPr>
          <w:rFonts w:ascii="David" w:hAnsi="David" w:cs="David" w:hint="cs"/>
          <w:sz w:val="24"/>
          <w:szCs w:val="24"/>
          <w:rtl/>
        </w:rPr>
        <w:t>1.</w:t>
      </w:r>
      <w:r w:rsidR="00AD5AB4" w:rsidRPr="00AD5AB4">
        <w:rPr>
          <w:rFonts w:ascii="David" w:hAnsi="David" w:cs="David"/>
          <w:sz w:val="24"/>
          <w:szCs w:val="24"/>
          <w:rtl/>
        </w:rPr>
        <w:t xml:space="preserve"> "אתמר: ב' שטרות היוצאים ביום אחד, רב אמר: חולקין, ושמואל אמר: שודא דדייני. לימא, רב דאמר כר"מ, דאמר: עדי חתימה כרתי,</w:t>
      </w:r>
      <w:r w:rsidR="00AD5AB4" w:rsidRPr="00AD5AB4">
        <w:rPr>
          <w:rFonts w:ascii="David" w:hAnsi="David" w:cs="David"/>
          <w:rtl/>
        </w:rPr>
        <w:t xml:space="preserve"> </w:t>
      </w:r>
      <w:r w:rsidR="00AD5AB4" w:rsidRPr="00AD5AB4">
        <w:rPr>
          <w:rFonts w:ascii="David" w:hAnsi="David" w:cs="David"/>
          <w:sz w:val="24"/>
          <w:szCs w:val="24"/>
          <w:rtl/>
        </w:rPr>
        <w:t>ושמואל דאמר כרבי אלעזר, דאמר: עדי מסירה כרתי!..  תנאי היא; דתניא, וחכמים אומרים: יחלוקו, וכאן אמרו: מה שירצה השליש יעשה</w:t>
      </w:r>
      <w:r w:rsidR="00AD5AB4" w:rsidRPr="00AD5AB4">
        <w:rPr>
          <w:rStyle w:val="a5"/>
          <w:rFonts w:ascii="David" w:hAnsi="David" w:cs="David"/>
          <w:sz w:val="24"/>
          <w:szCs w:val="24"/>
          <w:rtl/>
        </w:rPr>
        <w:footnoteReference w:id="1"/>
      </w:r>
      <w:r w:rsidR="00AD5AB4" w:rsidRPr="00AD5AB4">
        <w:rPr>
          <w:rFonts w:ascii="David" w:hAnsi="David" w:cs="David"/>
          <w:sz w:val="24"/>
          <w:szCs w:val="24"/>
          <w:rtl/>
        </w:rPr>
        <w:t xml:space="preserve">". </w:t>
      </w:r>
    </w:p>
    <w:p w14:paraId="6FB16852" w14:textId="41CAF1E2" w:rsidR="00EE393F" w:rsidRDefault="00AD5AB4" w:rsidP="00EE393F">
      <w:pPr>
        <w:spacing w:after="0" w:line="360" w:lineRule="auto"/>
        <w:rPr>
          <w:rFonts w:ascii="David" w:hAnsi="David" w:cs="David"/>
          <w:sz w:val="24"/>
          <w:szCs w:val="24"/>
          <w:rtl/>
        </w:rPr>
      </w:pPr>
      <w:r>
        <w:rPr>
          <w:rFonts w:ascii="David" w:hAnsi="David" w:cs="David" w:hint="cs"/>
          <w:sz w:val="24"/>
          <w:szCs w:val="24"/>
          <w:rtl/>
        </w:rPr>
        <w:t xml:space="preserve">2. </w:t>
      </w:r>
      <w:r w:rsidR="00EE393F" w:rsidRPr="00EE393F">
        <w:rPr>
          <w:rFonts w:ascii="David" w:hAnsi="David" w:cs="David"/>
          <w:sz w:val="24"/>
          <w:szCs w:val="24"/>
          <w:rtl/>
        </w:rPr>
        <w:t>"ההוא דאמר להו: נכסיי לטוביה, שכיב.. אתו שני טוביה.. שניהם קרובים ושניהם שכנים ושניהם חכמים - שודא דדייני</w:t>
      </w:r>
      <w:r w:rsidR="00EE393F" w:rsidRPr="00EE393F">
        <w:rPr>
          <w:rStyle w:val="a5"/>
          <w:rFonts w:ascii="David" w:hAnsi="David" w:cs="David"/>
          <w:sz w:val="24"/>
          <w:szCs w:val="24"/>
          <w:rtl/>
        </w:rPr>
        <w:footnoteReference w:id="2"/>
      </w:r>
      <w:r w:rsidR="00EE393F" w:rsidRPr="00EE393F">
        <w:rPr>
          <w:rFonts w:ascii="David" w:hAnsi="David" w:cs="David"/>
          <w:sz w:val="24"/>
          <w:szCs w:val="24"/>
          <w:rtl/>
        </w:rPr>
        <w:t>".</w:t>
      </w:r>
      <w:r w:rsidR="00EE393F">
        <w:rPr>
          <w:rFonts w:ascii="David" w:hAnsi="David" w:cs="David" w:hint="cs"/>
          <w:sz w:val="24"/>
          <w:szCs w:val="24"/>
          <w:rtl/>
        </w:rPr>
        <w:t xml:space="preserve"> </w:t>
      </w:r>
    </w:p>
    <w:p w14:paraId="738BB25C" w14:textId="6D2FD7E3" w:rsidR="008F6DF2" w:rsidRDefault="00AD5AB4" w:rsidP="008F6DF2">
      <w:pPr>
        <w:spacing w:after="0" w:line="360" w:lineRule="auto"/>
        <w:rPr>
          <w:rFonts w:ascii="David" w:hAnsi="David" w:cs="David"/>
          <w:sz w:val="24"/>
          <w:szCs w:val="24"/>
          <w:rtl/>
        </w:rPr>
      </w:pPr>
      <w:r>
        <w:rPr>
          <w:rFonts w:ascii="David" w:hAnsi="David" w:cs="David" w:hint="cs"/>
          <w:sz w:val="24"/>
          <w:szCs w:val="24"/>
          <w:rtl/>
        </w:rPr>
        <w:t xml:space="preserve">3. </w:t>
      </w:r>
      <w:r w:rsidR="008F6DF2">
        <w:rPr>
          <w:rFonts w:ascii="David" w:hAnsi="David" w:cs="David" w:hint="cs"/>
          <w:sz w:val="24"/>
          <w:szCs w:val="24"/>
          <w:rtl/>
        </w:rPr>
        <w:t>"</w:t>
      </w:r>
      <w:r w:rsidR="008F6DF2" w:rsidRPr="008F6DF2">
        <w:rPr>
          <w:rFonts w:ascii="David" w:hAnsi="David" w:cs="David"/>
          <w:sz w:val="24"/>
          <w:szCs w:val="24"/>
          <w:rtl/>
        </w:rPr>
        <w:t>נאמן דיין לומר לזה זכיתי ולזה חייבתי; במה דברים אמורים - שבעלי דינים עומדים לפניו, אבל אין בעלי דינים עומדים לפניו - אינו נאמן. וניחזי זכותא מאן נקיט? לא צריכא דקריע זכותייהו. וניהדר ונידיינינהו! בשודא דדייני</w:t>
      </w:r>
      <w:r w:rsidR="008F6DF2">
        <w:rPr>
          <w:rStyle w:val="a5"/>
          <w:rFonts w:ascii="David" w:hAnsi="David" w:cs="David"/>
          <w:sz w:val="24"/>
          <w:szCs w:val="24"/>
          <w:rtl/>
        </w:rPr>
        <w:footnoteReference w:id="3"/>
      </w:r>
      <w:r w:rsidR="008F6DF2">
        <w:rPr>
          <w:rFonts w:ascii="David" w:hAnsi="David" w:cs="David" w:hint="cs"/>
          <w:sz w:val="24"/>
          <w:szCs w:val="24"/>
          <w:rtl/>
        </w:rPr>
        <w:t>"</w:t>
      </w:r>
      <w:r w:rsidR="008F6DF2" w:rsidRPr="008F6DF2">
        <w:rPr>
          <w:rFonts w:ascii="David" w:hAnsi="David" w:cs="David"/>
          <w:sz w:val="24"/>
          <w:szCs w:val="24"/>
          <w:rtl/>
        </w:rPr>
        <w:t>.</w:t>
      </w:r>
    </w:p>
    <w:p w14:paraId="5F7A0331" w14:textId="4F4E3B03" w:rsidR="00D274AA" w:rsidRPr="00EE393F" w:rsidRDefault="00D274AA" w:rsidP="00D274AA">
      <w:pPr>
        <w:spacing w:after="0" w:line="360" w:lineRule="auto"/>
        <w:rPr>
          <w:rFonts w:ascii="David" w:hAnsi="David" w:cs="David"/>
          <w:sz w:val="24"/>
          <w:szCs w:val="24"/>
          <w:rtl/>
        </w:rPr>
      </w:pPr>
      <w:r>
        <w:rPr>
          <w:rFonts w:ascii="David" w:hAnsi="David" w:cs="David" w:hint="cs"/>
          <w:sz w:val="24"/>
          <w:szCs w:val="24"/>
          <w:rtl/>
        </w:rPr>
        <w:t>4.  "</w:t>
      </w:r>
      <w:r w:rsidRPr="00D274AA">
        <w:rPr>
          <w:rFonts w:ascii="David" w:hAnsi="David" w:cs="David"/>
          <w:sz w:val="24"/>
          <w:szCs w:val="24"/>
          <w:rtl/>
        </w:rPr>
        <w:t>תניא: הולך מנה לפלוני, והלך ובקשו ולא מצאו - יחזרו למשלח, מת משלח - ר' נתן ור' יעקב אמרו: יחזרו ליורשי משלח, ויש אומרים: ליורשי מי שנשתלחו לו, ר' יהודה הנשיא אמר משום ר' יעקב שאמר משום ר"מ: מצוה לקיים דברי המת, וחכ"א: יחלוקו, וכאן אמרו: כל מה שירצה שליח יעשה</w:t>
      </w:r>
      <w:r>
        <w:rPr>
          <w:rFonts w:ascii="David" w:hAnsi="David" w:cs="David" w:hint="cs"/>
          <w:sz w:val="24"/>
          <w:szCs w:val="24"/>
          <w:rtl/>
        </w:rPr>
        <w:t xml:space="preserve">... </w:t>
      </w:r>
      <w:r w:rsidRPr="00D274AA">
        <w:rPr>
          <w:rFonts w:ascii="David" w:hAnsi="David" w:cs="David"/>
          <w:sz w:val="24"/>
          <w:szCs w:val="24"/>
          <w:rtl/>
        </w:rPr>
        <w:t>ת"ק סבר: הולך לאו כזכי; ור' נתן ור' יעקב נמי הולך לאו כזכי, ואף על גב דמית, לא אמרינן מצוה לקיים דברי המת; ויש אומרים: הולך כזכי; ר' יהודה הנשיא אמר משום ר' יעקב שאמר משום ר' מאיר: הולך לאו כזכי, מיהו היכא דמית, אמרינן מצוה לקיים דברי המת; וחכמים אומרים: יחלוקו, מספקא להו; וכאן אמרו: שודא עדיף</w:t>
      </w:r>
      <w:r>
        <w:rPr>
          <w:rStyle w:val="a5"/>
          <w:rFonts w:ascii="David" w:hAnsi="David" w:cs="David"/>
          <w:sz w:val="24"/>
          <w:szCs w:val="24"/>
          <w:rtl/>
        </w:rPr>
        <w:footnoteReference w:id="4"/>
      </w:r>
      <w:r>
        <w:rPr>
          <w:rFonts w:ascii="David" w:hAnsi="David" w:cs="David" w:hint="cs"/>
          <w:sz w:val="24"/>
          <w:szCs w:val="24"/>
          <w:rtl/>
        </w:rPr>
        <w:t>".</w:t>
      </w:r>
    </w:p>
    <w:p w14:paraId="2FE4DEF9" w14:textId="4D67A406" w:rsidR="004F2111" w:rsidRDefault="00140169" w:rsidP="00032633">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ב. </w:t>
      </w:r>
      <w:r w:rsidR="004F2111">
        <w:rPr>
          <w:rFonts w:asciiTheme="majorBidi" w:hAnsiTheme="majorBidi" w:cs="Times New Roman" w:hint="cs"/>
          <w:b/>
          <w:bCs/>
          <w:sz w:val="24"/>
          <w:szCs w:val="24"/>
          <w:rtl/>
        </w:rPr>
        <w:t>סברות רב ששת ורב נחמן</w:t>
      </w:r>
    </w:p>
    <w:p w14:paraId="3E6CD9B0" w14:textId="77777777" w:rsidR="004F2111" w:rsidRDefault="004F2111" w:rsidP="004F211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רב ששת העמיד את הנכסים בחזקת רמי בר חמא, משום שהשטר שלו נכתב תחילה. רב נחמן טען, שרק בירושלים בה כתבו שעה בשטר, הייתה משמעות לקדימות באותו יום. אולם בשאר מקומות </w:t>
      </w:r>
    </w:p>
    <w:p w14:paraId="0E9AE46D" w14:textId="20AB37EA" w:rsidR="00E45987" w:rsidRPr="00E45987" w:rsidRDefault="004F2111" w:rsidP="00E45987">
      <w:pPr>
        <w:spacing w:after="0" w:line="360" w:lineRule="auto"/>
        <w:rPr>
          <w:rFonts w:asciiTheme="majorBidi" w:hAnsiTheme="majorBidi" w:cstheme="majorBidi"/>
          <w:sz w:val="24"/>
          <w:szCs w:val="24"/>
          <w:rtl/>
        </w:rPr>
      </w:pPr>
      <w:r w:rsidRPr="004F2111">
        <w:rPr>
          <w:rFonts w:ascii="David" w:hAnsi="David" w:cs="David"/>
          <w:sz w:val="24"/>
          <w:szCs w:val="24"/>
          <w:rtl/>
        </w:rPr>
        <w:t>"כיון דלא הקפידו בני מקום לכתוב שעות</w:t>
      </w:r>
      <w:r w:rsidR="00464203">
        <w:rPr>
          <w:rFonts w:ascii="David" w:hAnsi="David" w:cs="David" w:hint="cs"/>
          <w:sz w:val="24"/>
          <w:szCs w:val="24"/>
          <w:rtl/>
        </w:rPr>
        <w:t>,</w:t>
      </w:r>
      <w:r w:rsidRPr="004F2111">
        <w:rPr>
          <w:rFonts w:ascii="David" w:hAnsi="David" w:cs="David"/>
          <w:sz w:val="24"/>
          <w:szCs w:val="24"/>
          <w:rtl/>
        </w:rPr>
        <w:t xml:space="preserve"> גילו מנהגם שאין הולכים אחר הקודם לבו ביום ושניהם שוים</w:t>
      </w:r>
      <w:r w:rsidRPr="004F2111">
        <w:rPr>
          <w:rStyle w:val="a5"/>
          <w:rFonts w:ascii="David" w:hAnsi="David" w:cs="David"/>
          <w:sz w:val="24"/>
          <w:szCs w:val="24"/>
          <w:rtl/>
        </w:rPr>
        <w:footnoteReference w:id="5"/>
      </w:r>
      <w:r>
        <w:rPr>
          <w:rFonts w:ascii="David" w:hAnsi="David" w:cs="David" w:hint="cs"/>
          <w:sz w:val="24"/>
          <w:szCs w:val="24"/>
          <w:rtl/>
        </w:rPr>
        <w:t>"</w:t>
      </w:r>
      <w:r w:rsidRPr="004F2111">
        <w:rPr>
          <w:rFonts w:ascii="David" w:hAnsi="David" w:cs="David"/>
          <w:sz w:val="24"/>
          <w:szCs w:val="24"/>
          <w:rtl/>
        </w:rPr>
        <w:t>.</w:t>
      </w:r>
      <w:r w:rsidR="000D73CF">
        <w:rPr>
          <w:rFonts w:ascii="David" w:hAnsi="David" w:cs="David" w:hint="cs"/>
          <w:sz w:val="24"/>
          <w:szCs w:val="24"/>
          <w:rtl/>
        </w:rPr>
        <w:t xml:space="preserve"> </w:t>
      </w:r>
      <w:r w:rsidR="000D73CF">
        <w:rPr>
          <w:rFonts w:asciiTheme="majorBidi" w:hAnsiTheme="majorBidi" w:cstheme="majorBidi" w:hint="cs"/>
          <w:sz w:val="24"/>
          <w:szCs w:val="24"/>
          <w:rtl/>
        </w:rPr>
        <w:t xml:space="preserve">סברות האמוראים קשורות למחלוקת רב ושמואל בסוגיה הקודמת, בעקבות רבי אלעזר ורבי מאיר. </w:t>
      </w:r>
      <w:r w:rsidR="00E45987">
        <w:rPr>
          <w:rFonts w:asciiTheme="majorBidi" w:hAnsiTheme="majorBidi" w:cstheme="majorBidi" w:hint="cs"/>
          <w:sz w:val="24"/>
          <w:szCs w:val="24"/>
          <w:rtl/>
        </w:rPr>
        <w:t>שיטת הרא"ש</w:t>
      </w:r>
      <w:r w:rsidR="00E45987">
        <w:rPr>
          <w:rStyle w:val="a5"/>
          <w:rFonts w:asciiTheme="majorBidi" w:hAnsiTheme="majorBidi" w:cstheme="majorBidi"/>
          <w:sz w:val="24"/>
          <w:szCs w:val="24"/>
          <w:rtl/>
        </w:rPr>
        <w:footnoteReference w:id="6"/>
      </w:r>
      <w:r w:rsidR="00E45987">
        <w:rPr>
          <w:rFonts w:asciiTheme="majorBidi" w:hAnsiTheme="majorBidi" w:cstheme="majorBidi" w:hint="cs"/>
          <w:sz w:val="24"/>
          <w:szCs w:val="24"/>
          <w:rtl/>
        </w:rPr>
        <w:t xml:space="preserve"> היא שמוסכם כי הלכה כרבי אלעזר שעדי מסירה כרתי, אלא שלדעת רב ששת </w:t>
      </w:r>
    </w:p>
    <w:p w14:paraId="51B5ED38" w14:textId="12C61AF9" w:rsidR="004F2111" w:rsidRPr="00944149" w:rsidRDefault="00AE5930" w:rsidP="00944149">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שמואל שפסק בעקבות רבי אלעזר 'שודא דדייני', עשה כן רק במקרה שאין מידע איזה שטר נכתב קודם, אולם במקרה שלנו</w:t>
      </w:r>
      <w:r>
        <w:rPr>
          <w:rFonts w:asciiTheme="majorBidi" w:hAnsiTheme="majorBidi" w:cs="Times New Roman" w:hint="cs"/>
          <w:sz w:val="24"/>
          <w:szCs w:val="24"/>
          <w:rtl/>
        </w:rPr>
        <w:t xml:space="preserve"> </w:t>
      </w:r>
      <w:r w:rsidR="00E45987">
        <w:rPr>
          <w:rFonts w:asciiTheme="majorBidi" w:hAnsiTheme="majorBidi" w:cs="Times New Roman" w:hint="cs"/>
          <w:sz w:val="24"/>
          <w:szCs w:val="24"/>
          <w:rtl/>
        </w:rPr>
        <w:t xml:space="preserve">שטרו של רמי </w:t>
      </w:r>
      <w:r w:rsidR="00464203">
        <w:rPr>
          <w:rFonts w:asciiTheme="majorBidi" w:hAnsiTheme="majorBidi" w:cs="Times New Roman" w:hint="cs"/>
          <w:sz w:val="24"/>
          <w:szCs w:val="24"/>
          <w:rtl/>
        </w:rPr>
        <w:t xml:space="preserve">בר חמא </w:t>
      </w:r>
      <w:r w:rsidR="00E45987">
        <w:rPr>
          <w:rFonts w:asciiTheme="majorBidi" w:hAnsiTheme="majorBidi" w:cs="Times New Roman" w:hint="cs"/>
          <w:sz w:val="24"/>
          <w:szCs w:val="24"/>
          <w:rtl/>
        </w:rPr>
        <w:t xml:space="preserve">עדיף, </w:t>
      </w:r>
      <w:r w:rsidR="00E45987" w:rsidRPr="00E45987">
        <w:rPr>
          <w:rFonts w:ascii="David" w:hAnsi="David" w:cs="David"/>
          <w:sz w:val="24"/>
          <w:szCs w:val="24"/>
          <w:rtl/>
        </w:rPr>
        <w:t xml:space="preserve">"משום דקדים לכתיבה, </w:t>
      </w:r>
      <w:r w:rsidR="00E45987" w:rsidRPr="00E45987">
        <w:rPr>
          <w:rFonts w:ascii="David" w:hAnsi="David" w:cs="David"/>
          <w:b/>
          <w:bCs/>
          <w:sz w:val="24"/>
          <w:szCs w:val="24"/>
          <w:rtl/>
        </w:rPr>
        <w:t>ומסתמא כיון שנכתב תחלה גם נמסר תחלה</w:t>
      </w:r>
      <w:r w:rsidR="00464203">
        <w:rPr>
          <w:rFonts w:ascii="David" w:hAnsi="David" w:cs="David" w:hint="cs"/>
          <w:b/>
          <w:bCs/>
          <w:sz w:val="24"/>
          <w:szCs w:val="24"/>
          <w:rtl/>
        </w:rPr>
        <w:t>.</w:t>
      </w:r>
      <w:r w:rsidR="00E45987" w:rsidRPr="00E45987">
        <w:rPr>
          <w:rFonts w:ascii="David" w:hAnsi="David" w:cs="David"/>
          <w:sz w:val="24"/>
          <w:szCs w:val="24"/>
          <w:rtl/>
        </w:rPr>
        <w:t xml:space="preserve"> כי היה ירא מאחיו שיקדמנו. א"ל</w:t>
      </w:r>
      <w:r w:rsidR="008B5669">
        <w:rPr>
          <w:rFonts w:ascii="David" w:hAnsi="David" w:cs="David" w:hint="cs"/>
          <w:sz w:val="24"/>
          <w:szCs w:val="24"/>
          <w:rtl/>
        </w:rPr>
        <w:t>:</w:t>
      </w:r>
      <w:r w:rsidR="00E45987" w:rsidRPr="00E45987">
        <w:rPr>
          <w:rFonts w:ascii="David" w:hAnsi="David" w:cs="David"/>
          <w:sz w:val="24"/>
          <w:szCs w:val="24"/>
          <w:rtl/>
        </w:rPr>
        <w:t xml:space="preserve"> אטו בירושלים יתבינן דכתבינן שעות</w:t>
      </w:r>
      <w:r w:rsidR="00464203">
        <w:rPr>
          <w:rFonts w:ascii="David" w:hAnsi="David" w:cs="David" w:hint="cs"/>
          <w:sz w:val="24"/>
          <w:szCs w:val="24"/>
          <w:rtl/>
        </w:rPr>
        <w:t>?</w:t>
      </w:r>
      <w:r w:rsidR="00E45987" w:rsidRPr="00E45987">
        <w:rPr>
          <w:rFonts w:ascii="David" w:hAnsi="David" w:cs="David"/>
          <w:sz w:val="24"/>
          <w:szCs w:val="24"/>
          <w:rtl/>
        </w:rPr>
        <w:t xml:space="preserve"> והואיל ואין ניכר זמן הכתיבה בשטר</w:t>
      </w:r>
      <w:r w:rsidR="008B5669">
        <w:rPr>
          <w:rFonts w:ascii="David" w:hAnsi="David" w:cs="David" w:hint="cs"/>
          <w:sz w:val="24"/>
          <w:szCs w:val="24"/>
          <w:rtl/>
        </w:rPr>
        <w:t>,</w:t>
      </w:r>
      <w:r w:rsidR="00E45987" w:rsidRPr="00E45987">
        <w:rPr>
          <w:rFonts w:ascii="David" w:hAnsi="David" w:cs="David"/>
          <w:sz w:val="24"/>
          <w:szCs w:val="24"/>
          <w:rtl/>
        </w:rPr>
        <w:t xml:space="preserve"> לא תלינן המסירה בכתיבה"</w:t>
      </w:r>
      <w:r w:rsidR="008B5669">
        <w:rPr>
          <w:rFonts w:ascii="David" w:hAnsi="David" w:cs="David" w:hint="cs"/>
          <w:sz w:val="24"/>
          <w:szCs w:val="24"/>
          <w:rtl/>
        </w:rPr>
        <w:t>,</w:t>
      </w:r>
      <w:r w:rsidR="008B5669" w:rsidRPr="008B5669">
        <w:rPr>
          <w:rFonts w:ascii="David" w:hAnsi="David" w:cs="David"/>
          <w:sz w:val="24"/>
          <w:szCs w:val="24"/>
          <w:rtl/>
        </w:rPr>
        <w:t xml:space="preserve"> </w:t>
      </w:r>
      <w:r w:rsidR="008B5669">
        <w:rPr>
          <w:rFonts w:ascii="David" w:hAnsi="David" w:cs="David" w:hint="cs"/>
          <w:sz w:val="24"/>
          <w:szCs w:val="24"/>
          <w:rtl/>
        </w:rPr>
        <w:t>"</w:t>
      </w:r>
      <w:r w:rsidR="008B5669" w:rsidRPr="008B5669">
        <w:rPr>
          <w:rFonts w:ascii="David" w:hAnsi="David" w:cs="David"/>
          <w:sz w:val="24"/>
          <w:szCs w:val="24"/>
          <w:rtl/>
        </w:rPr>
        <w:t>כיון דיש לו שהות לזה כל היום</w:t>
      </w:r>
      <w:r w:rsidR="008B5669">
        <w:rPr>
          <w:rStyle w:val="a5"/>
          <w:rFonts w:ascii="David" w:hAnsi="David" w:cs="David"/>
          <w:sz w:val="24"/>
          <w:szCs w:val="24"/>
          <w:rtl/>
        </w:rPr>
        <w:footnoteReference w:id="7"/>
      </w:r>
      <w:r w:rsidR="008B5669">
        <w:rPr>
          <w:rFonts w:ascii="David" w:hAnsi="David" w:cs="David" w:hint="cs"/>
          <w:sz w:val="24"/>
          <w:szCs w:val="24"/>
          <w:rtl/>
        </w:rPr>
        <w:t>"</w:t>
      </w:r>
      <w:r w:rsidR="008B5669" w:rsidRPr="008B5669">
        <w:rPr>
          <w:rFonts w:ascii="David" w:hAnsi="David" w:cs="David"/>
          <w:sz w:val="24"/>
          <w:szCs w:val="24"/>
          <w:rtl/>
        </w:rPr>
        <w:t>.</w:t>
      </w:r>
      <w:r>
        <w:rPr>
          <w:rFonts w:ascii="David" w:hAnsi="David" w:cs="David" w:hint="cs"/>
          <w:sz w:val="24"/>
          <w:szCs w:val="24"/>
          <w:rtl/>
        </w:rPr>
        <w:t xml:space="preserve"> </w:t>
      </w:r>
      <w:r w:rsidR="0037441B" w:rsidRPr="008B5669">
        <w:rPr>
          <w:rFonts w:asciiTheme="majorBidi" w:hAnsiTheme="majorBidi" w:cstheme="majorBidi"/>
          <w:sz w:val="24"/>
          <w:szCs w:val="24"/>
          <w:rtl/>
        </w:rPr>
        <w:t xml:space="preserve">אולם </w:t>
      </w:r>
      <w:r w:rsidR="0037441B" w:rsidRPr="0037441B">
        <w:rPr>
          <w:rFonts w:asciiTheme="majorBidi" w:hAnsiTheme="majorBidi" w:cs="Times New Roman"/>
          <w:sz w:val="24"/>
          <w:szCs w:val="24"/>
          <w:rtl/>
        </w:rPr>
        <w:t>רש"י כתב</w:t>
      </w:r>
      <w:r w:rsidR="0037441B">
        <w:rPr>
          <w:rFonts w:asciiTheme="majorBidi" w:hAnsiTheme="majorBidi" w:cs="Times New Roman" w:hint="cs"/>
          <w:sz w:val="24"/>
          <w:szCs w:val="24"/>
          <w:rtl/>
        </w:rPr>
        <w:t xml:space="preserve"> בהסבר דברי רב ששת על ידי רב נחמן: </w:t>
      </w:r>
      <w:r w:rsidR="0037441B">
        <w:rPr>
          <w:rFonts w:asciiTheme="majorBidi" w:hAnsiTheme="majorBidi" w:cstheme="majorBidi" w:hint="cs"/>
          <w:sz w:val="24"/>
          <w:szCs w:val="24"/>
          <w:rtl/>
        </w:rPr>
        <w:t>"</w:t>
      </w:r>
      <w:r w:rsidR="0037441B" w:rsidRPr="0037441B">
        <w:rPr>
          <w:rFonts w:ascii="David" w:hAnsi="David" w:cs="David"/>
          <w:sz w:val="24"/>
          <w:szCs w:val="24"/>
          <w:rtl/>
        </w:rPr>
        <w:t>לאו בתורת הכי אתית לה - לא אמרת טעם שלך משום שודא דדייני</w:t>
      </w:r>
      <w:r w:rsidR="008B5669">
        <w:rPr>
          <w:rFonts w:ascii="David" w:hAnsi="David" w:cs="David" w:hint="cs"/>
          <w:sz w:val="24"/>
          <w:szCs w:val="24"/>
          <w:rtl/>
        </w:rPr>
        <w:t>,</w:t>
      </w:r>
      <w:r w:rsidR="0037441B" w:rsidRPr="0037441B">
        <w:rPr>
          <w:rFonts w:ascii="David" w:hAnsi="David" w:cs="David"/>
          <w:sz w:val="24"/>
          <w:szCs w:val="24"/>
          <w:rtl/>
        </w:rPr>
        <w:t xml:space="preserve"> אלא משום דקדים בחתימה </w:t>
      </w:r>
      <w:r w:rsidR="0037441B" w:rsidRPr="0037441B">
        <w:rPr>
          <w:rFonts w:ascii="David" w:hAnsi="David" w:cs="David"/>
          <w:b/>
          <w:bCs/>
          <w:sz w:val="24"/>
          <w:szCs w:val="24"/>
          <w:rtl/>
        </w:rPr>
        <w:t>כרבי מאיר</w:t>
      </w:r>
      <w:r w:rsidR="008B5669">
        <w:rPr>
          <w:rStyle w:val="a5"/>
          <w:rFonts w:ascii="David" w:hAnsi="David" w:cs="David"/>
          <w:b/>
          <w:bCs/>
          <w:sz w:val="24"/>
          <w:szCs w:val="24"/>
          <w:rtl/>
        </w:rPr>
        <w:footnoteReference w:id="8"/>
      </w:r>
      <w:r w:rsidR="0037441B">
        <w:rPr>
          <w:rFonts w:ascii="David" w:hAnsi="David" w:cs="David" w:hint="cs"/>
          <w:b/>
          <w:bCs/>
          <w:sz w:val="24"/>
          <w:szCs w:val="24"/>
          <w:rtl/>
        </w:rPr>
        <w:t>".</w:t>
      </w:r>
      <w:r w:rsidR="008B5669">
        <w:rPr>
          <w:rFonts w:ascii="David" w:hAnsi="David" w:cs="David" w:hint="cs"/>
          <w:sz w:val="24"/>
          <w:szCs w:val="24"/>
          <w:rtl/>
        </w:rPr>
        <w:t xml:space="preserve"> </w:t>
      </w:r>
      <w:r w:rsidR="008B5669">
        <w:rPr>
          <w:rFonts w:asciiTheme="majorBidi" w:hAnsiTheme="majorBidi" w:cstheme="majorBidi" w:hint="cs"/>
          <w:sz w:val="24"/>
          <w:szCs w:val="24"/>
          <w:rtl/>
        </w:rPr>
        <w:t>דהיינו, שלרב ששת זכה רמי מדין 'עדיו בחתומיו זכין לו'. ואומרים כן אף על פי שלא מוכ</w:t>
      </w:r>
      <w:r w:rsidR="0009288C">
        <w:rPr>
          <w:rFonts w:asciiTheme="majorBidi" w:hAnsiTheme="majorBidi" w:cstheme="majorBidi" w:hint="cs"/>
          <w:sz w:val="24"/>
          <w:szCs w:val="24"/>
          <w:rtl/>
        </w:rPr>
        <w:t>ח</w:t>
      </w:r>
      <w:r w:rsidR="008B5669">
        <w:rPr>
          <w:rFonts w:asciiTheme="majorBidi" w:hAnsiTheme="majorBidi" w:cstheme="majorBidi" w:hint="cs"/>
          <w:sz w:val="24"/>
          <w:szCs w:val="24"/>
          <w:rtl/>
        </w:rPr>
        <w:t xml:space="preserve"> מתוך השטר באיזו שעה נכתב.</w:t>
      </w:r>
      <w:r w:rsidR="0009288C">
        <w:rPr>
          <w:rFonts w:asciiTheme="majorBidi" w:hAnsiTheme="majorBidi" w:cstheme="majorBidi" w:hint="cs"/>
          <w:sz w:val="24"/>
          <w:szCs w:val="24"/>
          <w:rtl/>
        </w:rPr>
        <w:t xml:space="preserve"> מעיר רע"א </w:t>
      </w:r>
      <w:r w:rsidR="00944149">
        <w:rPr>
          <w:rFonts w:asciiTheme="majorBidi" w:hAnsiTheme="majorBidi" w:cstheme="majorBidi" w:hint="cs"/>
          <w:sz w:val="24"/>
          <w:szCs w:val="24"/>
          <w:rtl/>
        </w:rPr>
        <w:t>שזה שלא כדרכם של בעלי התוספות</w:t>
      </w:r>
      <w:r w:rsidR="00944149">
        <w:rPr>
          <w:rStyle w:val="a5"/>
          <w:rFonts w:asciiTheme="majorBidi" w:hAnsiTheme="majorBidi" w:cstheme="majorBidi"/>
          <w:sz w:val="24"/>
          <w:szCs w:val="24"/>
          <w:rtl/>
        </w:rPr>
        <w:footnoteReference w:id="9"/>
      </w:r>
      <w:r w:rsidR="00944149">
        <w:rPr>
          <w:rFonts w:asciiTheme="majorBidi" w:hAnsiTheme="majorBidi" w:cstheme="majorBidi" w:hint="cs"/>
          <w:sz w:val="24"/>
          <w:szCs w:val="24"/>
          <w:rtl/>
        </w:rPr>
        <w:t xml:space="preserve">, שכתבו: </w:t>
      </w:r>
      <w:r w:rsidR="00944149" w:rsidRPr="00944149">
        <w:rPr>
          <w:rFonts w:ascii="David" w:hAnsi="David" w:cs="David"/>
          <w:sz w:val="24"/>
          <w:szCs w:val="24"/>
          <w:rtl/>
        </w:rPr>
        <w:t xml:space="preserve">"תימה הא משמע בפ"ק דב"מ </w:t>
      </w:r>
      <w:r w:rsidR="00944149" w:rsidRPr="00944149">
        <w:rPr>
          <w:rFonts w:ascii="David" w:hAnsi="David" w:cs="David"/>
          <w:sz w:val="18"/>
          <w:szCs w:val="18"/>
          <w:rtl/>
        </w:rPr>
        <w:t>(דף יג. ושם)</w:t>
      </w:r>
      <w:r w:rsidR="00944149" w:rsidRPr="00944149">
        <w:rPr>
          <w:rFonts w:ascii="David" w:hAnsi="David" w:cs="David"/>
          <w:sz w:val="24"/>
          <w:szCs w:val="24"/>
          <w:rtl/>
        </w:rPr>
        <w:t xml:space="preserve"> דשמואל ס"ל כאביי דאמר עדיו בחתומיו זכין לו... וא"כ קשיא שמואל אדשמואל.. ותירץ רבי, דכי אמרינן עדיו בחתומיו זכין לו</w:t>
      </w:r>
      <w:r w:rsidR="00464203">
        <w:rPr>
          <w:rFonts w:ascii="David" w:hAnsi="David" w:cs="David" w:hint="cs"/>
          <w:sz w:val="24"/>
          <w:szCs w:val="24"/>
          <w:rtl/>
        </w:rPr>
        <w:t>,</w:t>
      </w:r>
      <w:r w:rsidR="00944149" w:rsidRPr="00944149">
        <w:rPr>
          <w:rFonts w:ascii="David" w:hAnsi="David" w:cs="David"/>
          <w:sz w:val="24"/>
          <w:szCs w:val="24"/>
          <w:rtl/>
        </w:rPr>
        <w:t xml:space="preserve"> ה"מ בשני ימים</w:t>
      </w:r>
      <w:r w:rsidR="00464203">
        <w:rPr>
          <w:rFonts w:ascii="David" w:hAnsi="David" w:cs="David" w:hint="cs"/>
          <w:sz w:val="24"/>
          <w:szCs w:val="24"/>
          <w:rtl/>
        </w:rPr>
        <w:t>,</w:t>
      </w:r>
      <w:r w:rsidR="00944149" w:rsidRPr="00944149">
        <w:rPr>
          <w:rFonts w:ascii="David" w:hAnsi="David" w:cs="David"/>
          <w:sz w:val="24"/>
          <w:szCs w:val="24"/>
          <w:rtl/>
        </w:rPr>
        <w:t xml:space="preserve"> שניכר מתוך השטר שקדם זכותו של זה לזכותו של זה אבל הכא מיירי שנכתבו ביום אחד</w:t>
      </w:r>
      <w:r w:rsidR="00464203">
        <w:rPr>
          <w:rFonts w:ascii="David" w:hAnsi="David" w:cs="David" w:hint="cs"/>
          <w:sz w:val="24"/>
          <w:szCs w:val="24"/>
          <w:rtl/>
        </w:rPr>
        <w:t>.</w:t>
      </w:r>
      <w:r w:rsidR="00944149" w:rsidRPr="00944149">
        <w:rPr>
          <w:rFonts w:ascii="David" w:hAnsi="David" w:cs="David"/>
          <w:sz w:val="24"/>
          <w:szCs w:val="24"/>
          <w:rtl/>
        </w:rPr>
        <w:t xml:space="preserve"> הלכך</w:t>
      </w:r>
      <w:r w:rsidR="00464203">
        <w:rPr>
          <w:rFonts w:ascii="David" w:hAnsi="David" w:cs="David" w:hint="cs"/>
          <w:sz w:val="24"/>
          <w:szCs w:val="24"/>
          <w:rtl/>
        </w:rPr>
        <w:t>,</w:t>
      </w:r>
      <w:r w:rsidR="00944149" w:rsidRPr="00944149">
        <w:rPr>
          <w:rFonts w:ascii="David" w:hAnsi="David" w:cs="David"/>
          <w:sz w:val="24"/>
          <w:szCs w:val="24"/>
          <w:rtl/>
        </w:rPr>
        <w:t xml:space="preserve"> אף על פי שנכתב זה קודם </w:t>
      </w:r>
      <w:r w:rsidR="00464203">
        <w:rPr>
          <w:rFonts w:ascii="David" w:hAnsi="David" w:cs="David" w:hint="cs"/>
          <w:sz w:val="24"/>
          <w:szCs w:val="24"/>
          <w:rtl/>
        </w:rPr>
        <w:t xml:space="preserve">- </w:t>
      </w:r>
      <w:r w:rsidR="00944149" w:rsidRPr="00944149">
        <w:rPr>
          <w:rFonts w:ascii="David" w:hAnsi="David" w:cs="David"/>
          <w:sz w:val="24"/>
          <w:szCs w:val="24"/>
          <w:rtl/>
        </w:rPr>
        <w:t>הקודם במסירה זכה</w:t>
      </w:r>
      <w:r w:rsidR="00464203">
        <w:rPr>
          <w:rFonts w:ascii="David" w:hAnsi="David" w:cs="David" w:hint="cs"/>
          <w:sz w:val="24"/>
          <w:szCs w:val="24"/>
          <w:rtl/>
        </w:rPr>
        <w:t>,</w:t>
      </w:r>
      <w:r w:rsidR="00944149" w:rsidRPr="00944149">
        <w:rPr>
          <w:rFonts w:ascii="David" w:hAnsi="David" w:cs="David"/>
          <w:sz w:val="24"/>
          <w:szCs w:val="24"/>
          <w:rtl/>
        </w:rPr>
        <w:t xml:space="preserve"> </w:t>
      </w:r>
      <w:r w:rsidR="00944149" w:rsidRPr="00944149">
        <w:rPr>
          <w:rFonts w:ascii="David" w:hAnsi="David" w:cs="David"/>
          <w:b/>
          <w:bCs/>
          <w:sz w:val="24"/>
          <w:szCs w:val="24"/>
          <w:rtl/>
        </w:rPr>
        <w:t>דלא אמרינן עדיו בחתומיו זכין לו הואיל ואין ניכר שקדם זכותו מתוך השטר</w:t>
      </w:r>
      <w:r w:rsidR="00944149" w:rsidRPr="00944149">
        <w:rPr>
          <w:rFonts w:ascii="David" w:hAnsi="David" w:cs="David"/>
          <w:sz w:val="24"/>
          <w:szCs w:val="24"/>
          <w:rtl/>
        </w:rPr>
        <w:t xml:space="preserve">".  </w:t>
      </w:r>
      <w:r w:rsidR="00944149">
        <w:rPr>
          <w:rFonts w:asciiTheme="majorBidi" w:hAnsiTheme="majorBidi" w:cstheme="majorBidi" w:hint="cs"/>
          <w:sz w:val="24"/>
          <w:szCs w:val="24"/>
          <w:rtl/>
        </w:rPr>
        <w:t>אכן, בעלי התוספות כתבו כדרכו של הרא"ש</w:t>
      </w:r>
      <w:r w:rsidR="001B02AC">
        <w:rPr>
          <w:rStyle w:val="a5"/>
          <w:rFonts w:asciiTheme="majorBidi" w:hAnsiTheme="majorBidi" w:cstheme="majorBidi"/>
          <w:sz w:val="24"/>
          <w:szCs w:val="24"/>
          <w:rtl/>
        </w:rPr>
        <w:footnoteReference w:id="10"/>
      </w:r>
      <w:r w:rsidR="00944149">
        <w:rPr>
          <w:rFonts w:asciiTheme="majorBidi" w:hAnsiTheme="majorBidi" w:cstheme="majorBidi" w:hint="cs"/>
          <w:sz w:val="24"/>
          <w:szCs w:val="24"/>
          <w:rtl/>
        </w:rPr>
        <w:t>.</w:t>
      </w:r>
    </w:p>
    <w:p w14:paraId="6E37BAD2" w14:textId="188DCE33" w:rsidR="00C34193" w:rsidRDefault="00140169" w:rsidP="00032633">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ג. </w:t>
      </w:r>
      <w:r w:rsidR="00EE393F">
        <w:rPr>
          <w:rFonts w:asciiTheme="majorBidi" w:hAnsiTheme="majorBidi" w:cs="Times New Roman" w:hint="cs"/>
          <w:b/>
          <w:bCs/>
          <w:sz w:val="24"/>
          <w:szCs w:val="24"/>
          <w:rtl/>
        </w:rPr>
        <w:t>מהו שודא</w:t>
      </w:r>
    </w:p>
    <w:p w14:paraId="2B70DB50" w14:textId="77777777" w:rsidR="00EE393F" w:rsidRDefault="00EE393F" w:rsidP="00EE393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כתב </w:t>
      </w:r>
      <w:r w:rsidR="00032633" w:rsidRPr="00032633">
        <w:rPr>
          <w:rFonts w:asciiTheme="majorBidi" w:hAnsiTheme="majorBidi" w:cs="Times New Roman"/>
          <w:sz w:val="24"/>
          <w:szCs w:val="24"/>
          <w:rtl/>
        </w:rPr>
        <w:t>רש"י</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00032633" w:rsidRPr="009552CB">
        <w:rPr>
          <w:rFonts w:ascii="David" w:hAnsi="David" w:cs="David"/>
          <w:sz w:val="24"/>
          <w:szCs w:val="24"/>
          <w:rtl/>
        </w:rPr>
        <w:t>שודא דדייני - לפי ראות עיני הדיינין יטילו הזכות והחובה</w:t>
      </w:r>
      <w:r>
        <w:rPr>
          <w:rFonts w:ascii="David" w:hAnsi="David" w:cs="David" w:hint="cs"/>
          <w:sz w:val="24"/>
          <w:szCs w:val="24"/>
          <w:rtl/>
        </w:rPr>
        <w:t>"</w:t>
      </w:r>
      <w:r w:rsidR="00032633" w:rsidRPr="009552CB">
        <w:rPr>
          <w:rFonts w:ascii="David" w:hAnsi="David" w:cs="David"/>
          <w:sz w:val="24"/>
          <w:szCs w:val="24"/>
          <w:rtl/>
        </w:rPr>
        <w:t>.</w:t>
      </w:r>
      <w:r>
        <w:rPr>
          <w:rFonts w:asciiTheme="majorBidi" w:hAnsiTheme="majorBidi" w:cstheme="majorBidi" w:hint="cs"/>
          <w:sz w:val="24"/>
          <w:szCs w:val="24"/>
          <w:rtl/>
        </w:rPr>
        <w:t xml:space="preserve"> </w:t>
      </w:r>
    </w:p>
    <w:p w14:paraId="52ED100E" w14:textId="5523B108" w:rsidR="009C7D24" w:rsidRPr="0009288C" w:rsidRDefault="00EE393F" w:rsidP="000928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בסוגיית טוביה מוטב הצוואה, פירש יותר: </w:t>
      </w:r>
      <w:r w:rsidR="008F6DF2">
        <w:rPr>
          <w:rFonts w:asciiTheme="majorBidi" w:hAnsiTheme="majorBidi" w:cstheme="majorBidi" w:hint="cs"/>
          <w:sz w:val="24"/>
          <w:szCs w:val="24"/>
          <w:rtl/>
        </w:rPr>
        <w:t xml:space="preserve"> </w:t>
      </w:r>
      <w:r w:rsidRPr="00EE393F">
        <w:rPr>
          <w:rFonts w:ascii="David" w:hAnsi="David" w:cs="David"/>
          <w:sz w:val="24"/>
          <w:szCs w:val="24"/>
          <w:rtl/>
        </w:rPr>
        <w:t>"הטלת הדיינים לפי מה שיראו דיינים שהיה דרכו של מת לקרב את זה יותר מזה</w:t>
      </w:r>
      <w:r w:rsidR="00464203">
        <w:rPr>
          <w:rFonts w:ascii="David" w:hAnsi="David" w:cs="David" w:hint="cs"/>
          <w:sz w:val="24"/>
          <w:szCs w:val="24"/>
          <w:rtl/>
        </w:rPr>
        <w:t>,</w:t>
      </w:r>
      <w:r w:rsidRPr="00EE393F">
        <w:rPr>
          <w:rFonts w:ascii="David" w:hAnsi="David" w:cs="David"/>
          <w:sz w:val="24"/>
          <w:szCs w:val="24"/>
          <w:rtl/>
        </w:rPr>
        <w:t xml:space="preserve"> או מי שבשניהן טוב ונוהג בדרך ישרה שיש לומר</w:t>
      </w:r>
      <w:r w:rsidR="00464203">
        <w:rPr>
          <w:rFonts w:ascii="David" w:hAnsi="David" w:cs="David" w:hint="cs"/>
          <w:sz w:val="24"/>
          <w:szCs w:val="24"/>
          <w:rtl/>
        </w:rPr>
        <w:t>:</w:t>
      </w:r>
      <w:r w:rsidRPr="00EE393F">
        <w:rPr>
          <w:rFonts w:ascii="David" w:hAnsi="David" w:cs="David"/>
          <w:sz w:val="24"/>
          <w:szCs w:val="24"/>
          <w:rtl/>
        </w:rPr>
        <w:t xml:space="preserve"> </w:t>
      </w:r>
      <w:r w:rsidRPr="00EE393F">
        <w:rPr>
          <w:rFonts w:ascii="David" w:hAnsi="David" w:cs="David"/>
          <w:b/>
          <w:bCs/>
          <w:sz w:val="24"/>
          <w:szCs w:val="24"/>
          <w:rtl/>
        </w:rPr>
        <w:t>בו נתכוין המת</w:t>
      </w:r>
      <w:r w:rsidRPr="00EE393F">
        <w:rPr>
          <w:rFonts w:ascii="David" w:hAnsi="David" w:cs="David"/>
          <w:sz w:val="24"/>
          <w:szCs w:val="24"/>
          <w:rtl/>
        </w:rPr>
        <w:t xml:space="preserve"> לזכות".</w:t>
      </w:r>
      <w:r>
        <w:rPr>
          <w:rFonts w:ascii="David" w:hAnsi="David" w:cs="David" w:hint="cs"/>
          <w:sz w:val="24"/>
          <w:szCs w:val="24"/>
          <w:rtl/>
        </w:rPr>
        <w:t xml:space="preserve"> </w:t>
      </w:r>
      <w:r w:rsidR="00464203">
        <w:rPr>
          <w:rFonts w:asciiTheme="majorBidi" w:hAnsiTheme="majorBidi" w:cstheme="majorBidi" w:hint="cs"/>
          <w:sz w:val="24"/>
          <w:szCs w:val="24"/>
          <w:rtl/>
        </w:rPr>
        <w:t>לכאורה</w:t>
      </w:r>
      <w:r>
        <w:rPr>
          <w:rFonts w:asciiTheme="majorBidi" w:hAnsiTheme="majorBidi" w:cstheme="majorBidi" w:hint="cs"/>
          <w:sz w:val="24"/>
          <w:szCs w:val="24"/>
          <w:rtl/>
        </w:rPr>
        <w:t xml:space="preserve">, אין משמעות לעודף צדקותו של טוביה </w:t>
      </w:r>
      <w:r w:rsidR="008F6DF2">
        <w:rPr>
          <w:rFonts w:asciiTheme="majorBidi" w:hAnsiTheme="majorBidi" w:cstheme="majorBidi" w:hint="cs"/>
          <w:sz w:val="24"/>
          <w:szCs w:val="24"/>
          <w:rtl/>
        </w:rPr>
        <w:t xml:space="preserve">אחד על פני חבירו, אלא כמבוא להבנת כווונת הנפטר. לו היינו יודעים </w:t>
      </w:r>
      <w:r w:rsidR="00464203">
        <w:rPr>
          <w:rFonts w:asciiTheme="majorBidi" w:hAnsiTheme="majorBidi" w:cstheme="majorBidi" w:hint="cs"/>
          <w:sz w:val="24"/>
          <w:szCs w:val="24"/>
          <w:rtl/>
        </w:rPr>
        <w:t xml:space="preserve">כי </w:t>
      </w:r>
      <w:r w:rsidR="008F6DF2">
        <w:rPr>
          <w:rFonts w:asciiTheme="majorBidi" w:hAnsiTheme="majorBidi" w:cstheme="majorBidi" w:hint="cs"/>
          <w:sz w:val="24"/>
          <w:szCs w:val="24"/>
          <w:rtl/>
        </w:rPr>
        <w:t xml:space="preserve">המנוח היה דווקא חבר לאיש משחית, הקריטריון היה הפוך. </w:t>
      </w:r>
      <w:r w:rsidR="006E3EA1">
        <w:rPr>
          <w:rFonts w:asciiTheme="majorBidi" w:hAnsiTheme="majorBidi" w:cstheme="majorBidi" w:hint="cs"/>
          <w:sz w:val="24"/>
          <w:szCs w:val="24"/>
          <w:rtl/>
        </w:rPr>
        <w:t xml:space="preserve">אולם הגמרא פוסקת שאם טוביה אחד הוא תלמיד חכם </w:t>
      </w:r>
      <w:r w:rsidR="006E3EA1">
        <w:rPr>
          <w:rFonts w:asciiTheme="majorBidi" w:hAnsiTheme="majorBidi" w:cstheme="majorBidi"/>
          <w:sz w:val="24"/>
          <w:szCs w:val="24"/>
          <w:rtl/>
        </w:rPr>
        <w:t>–</w:t>
      </w:r>
      <w:r w:rsidR="006E3EA1">
        <w:rPr>
          <w:rFonts w:asciiTheme="majorBidi" w:hAnsiTheme="majorBidi" w:cstheme="majorBidi" w:hint="cs"/>
          <w:sz w:val="24"/>
          <w:szCs w:val="24"/>
          <w:rtl/>
        </w:rPr>
        <w:t xml:space="preserve"> הוא עדיף. מסביר רש"י: </w:t>
      </w:r>
      <w:r w:rsidR="006E3EA1" w:rsidRPr="006E3EA1">
        <w:rPr>
          <w:rFonts w:ascii="David" w:hAnsi="David" w:cs="David"/>
          <w:sz w:val="24"/>
          <w:szCs w:val="24"/>
          <w:rtl/>
        </w:rPr>
        <w:t>"דמסתמא אדם מצדיק מעשיו לזכות בשעת מיתה</w:t>
      </w:r>
      <w:r w:rsidR="006E3EA1" w:rsidRPr="006E3EA1">
        <w:rPr>
          <w:rStyle w:val="a5"/>
          <w:rFonts w:ascii="David" w:hAnsi="David" w:cs="David"/>
          <w:sz w:val="24"/>
          <w:szCs w:val="24"/>
          <w:rtl/>
        </w:rPr>
        <w:footnoteReference w:id="11"/>
      </w:r>
      <w:r w:rsidR="006E3EA1" w:rsidRPr="006E3EA1">
        <w:rPr>
          <w:rFonts w:ascii="David" w:hAnsi="David" w:cs="David"/>
          <w:sz w:val="24"/>
          <w:szCs w:val="24"/>
          <w:rtl/>
        </w:rPr>
        <w:t>".</w:t>
      </w:r>
      <w:r w:rsidR="0009288C">
        <w:rPr>
          <w:rFonts w:asciiTheme="majorBidi" w:hAnsiTheme="majorBidi" w:cstheme="majorBidi" w:hint="cs"/>
          <w:sz w:val="24"/>
          <w:szCs w:val="24"/>
          <w:rtl/>
        </w:rPr>
        <w:t xml:space="preserve">    </w:t>
      </w:r>
      <w:r w:rsidR="008F6DF2">
        <w:rPr>
          <w:rFonts w:asciiTheme="majorBidi" w:hAnsiTheme="majorBidi" w:cstheme="majorBidi" w:hint="cs"/>
          <w:sz w:val="24"/>
          <w:szCs w:val="24"/>
          <w:rtl/>
        </w:rPr>
        <w:t xml:space="preserve">ובקידושין פירש: </w:t>
      </w:r>
      <w:r w:rsidR="0009288C">
        <w:rPr>
          <w:rFonts w:asciiTheme="majorBidi" w:hAnsiTheme="majorBidi" w:cs="Times New Roman" w:hint="cs"/>
          <w:sz w:val="24"/>
          <w:szCs w:val="24"/>
          <w:rtl/>
        </w:rPr>
        <w:t xml:space="preserve"> </w:t>
      </w:r>
      <w:r w:rsidR="008F6DF2" w:rsidRPr="008F6DF2">
        <w:rPr>
          <w:rFonts w:ascii="David" w:hAnsi="David" w:cs="David"/>
          <w:sz w:val="24"/>
          <w:szCs w:val="24"/>
          <w:rtl/>
        </w:rPr>
        <w:t xml:space="preserve"> "למי שיתנדב לב הדיין לומר:  נראה לי שזה היה רגיל אצלו יותר לזה נתן</w:t>
      </w:r>
      <w:r w:rsidR="00464203">
        <w:rPr>
          <w:rFonts w:ascii="David" w:hAnsi="David" w:cs="David" w:hint="cs"/>
          <w:sz w:val="24"/>
          <w:szCs w:val="24"/>
          <w:rtl/>
        </w:rPr>
        <w:t xml:space="preserve">. </w:t>
      </w:r>
      <w:r w:rsidR="008F6DF2" w:rsidRPr="008F6DF2">
        <w:rPr>
          <w:rFonts w:ascii="David" w:hAnsi="David" w:cs="David"/>
          <w:sz w:val="24"/>
          <w:szCs w:val="24"/>
          <w:rtl/>
        </w:rPr>
        <w:t>וכיון שפסק כן אם בא לחזור אינו חוזר</w:t>
      </w:r>
      <w:r w:rsidR="0027464E">
        <w:rPr>
          <w:rFonts w:ascii="David" w:hAnsi="David" w:cs="David" w:hint="cs"/>
          <w:sz w:val="24"/>
          <w:szCs w:val="24"/>
          <w:rtl/>
        </w:rPr>
        <w:t>.</w:t>
      </w:r>
      <w:r w:rsidR="008F6DF2" w:rsidRPr="008F6DF2">
        <w:rPr>
          <w:rFonts w:ascii="David" w:hAnsi="David" w:cs="David"/>
          <w:sz w:val="24"/>
          <w:szCs w:val="24"/>
          <w:rtl/>
        </w:rPr>
        <w:t xml:space="preserve"> ולפיכך אין רוצין לחזור מדין </w:t>
      </w:r>
      <w:r w:rsidR="008F6DF2" w:rsidRPr="008F6DF2">
        <w:rPr>
          <w:rFonts w:ascii="David" w:hAnsi="David" w:cs="David"/>
          <w:b/>
          <w:bCs/>
          <w:sz w:val="24"/>
          <w:szCs w:val="24"/>
          <w:rtl/>
        </w:rPr>
        <w:t>שמא יטנו לבו לצד השני".</w:t>
      </w:r>
      <w:r w:rsidR="008F6DF2">
        <w:rPr>
          <w:rFonts w:ascii="David" w:hAnsi="David" w:cs="David" w:hint="cs"/>
          <w:sz w:val="24"/>
          <w:szCs w:val="24"/>
          <w:rtl/>
        </w:rPr>
        <w:t xml:space="preserve"> </w:t>
      </w:r>
      <w:r w:rsidR="008F6DF2">
        <w:rPr>
          <w:rFonts w:asciiTheme="majorBidi" w:hAnsiTheme="majorBidi" w:cstheme="majorBidi" w:hint="cs"/>
          <w:sz w:val="24"/>
          <w:szCs w:val="24"/>
          <w:rtl/>
        </w:rPr>
        <w:t>כלומר, ישנה עדיפות אובייקטיבית לאחד הצדדי</w:t>
      </w:r>
      <w:r w:rsidR="0027464E">
        <w:rPr>
          <w:rFonts w:asciiTheme="majorBidi" w:hAnsiTheme="majorBidi" w:cstheme="majorBidi" w:hint="cs"/>
          <w:sz w:val="24"/>
          <w:szCs w:val="24"/>
          <w:rtl/>
        </w:rPr>
        <w:t>ם</w:t>
      </w:r>
      <w:r w:rsidR="008F6DF2">
        <w:rPr>
          <w:rFonts w:asciiTheme="majorBidi" w:hAnsiTheme="majorBidi" w:cstheme="majorBidi" w:hint="cs"/>
          <w:sz w:val="24"/>
          <w:szCs w:val="24"/>
          <w:rtl/>
        </w:rPr>
        <w:t xml:space="preserve">, אבל היא חמקמקה, והדיין עלול להיכשל בניסיון לשחזרה. </w:t>
      </w:r>
      <w:r w:rsidR="00AD5AB4">
        <w:rPr>
          <w:rFonts w:asciiTheme="majorBidi" w:hAnsiTheme="majorBidi" w:cstheme="majorBidi" w:hint="cs"/>
          <w:sz w:val="24"/>
          <w:szCs w:val="24"/>
          <w:rtl/>
        </w:rPr>
        <w:t xml:space="preserve">רבינו תם רואה </w:t>
      </w:r>
      <w:r w:rsidR="008F1B37">
        <w:rPr>
          <w:rFonts w:asciiTheme="majorBidi" w:hAnsiTheme="majorBidi" w:cstheme="majorBidi" w:hint="cs"/>
          <w:sz w:val="24"/>
          <w:szCs w:val="24"/>
          <w:rtl/>
        </w:rPr>
        <w:t>שודא</w:t>
      </w:r>
      <w:r w:rsidR="00AD5AB4">
        <w:rPr>
          <w:rFonts w:asciiTheme="majorBidi" w:hAnsiTheme="majorBidi" w:cstheme="majorBidi" w:hint="cs"/>
          <w:sz w:val="24"/>
          <w:szCs w:val="24"/>
          <w:rtl/>
        </w:rPr>
        <w:t xml:space="preserve"> כהחלטה סובייקטיבית לחלוטין: </w:t>
      </w:r>
      <w:r w:rsidR="009C7D24">
        <w:rPr>
          <w:rFonts w:asciiTheme="majorBidi" w:hAnsiTheme="majorBidi" w:cstheme="majorBidi" w:hint="cs"/>
          <w:sz w:val="24"/>
          <w:szCs w:val="24"/>
          <w:rtl/>
        </w:rPr>
        <w:t xml:space="preserve"> </w:t>
      </w:r>
      <w:r w:rsidR="00AD5AB4">
        <w:rPr>
          <w:rFonts w:ascii="David" w:hAnsi="David" w:cs="David" w:hint="cs"/>
          <w:sz w:val="24"/>
          <w:szCs w:val="24"/>
          <w:rtl/>
        </w:rPr>
        <w:t>"</w:t>
      </w:r>
      <w:r w:rsidR="00AD5AB4" w:rsidRPr="00AD5AB4">
        <w:rPr>
          <w:rFonts w:ascii="David" w:hAnsi="David" w:cs="David"/>
          <w:sz w:val="24"/>
          <w:szCs w:val="24"/>
          <w:rtl/>
        </w:rPr>
        <w:t xml:space="preserve">שיש כח ביד הדיינים מובהקים ליתן </w:t>
      </w:r>
      <w:r w:rsidR="00AD5AB4" w:rsidRPr="009C7D24">
        <w:rPr>
          <w:rFonts w:ascii="David" w:hAnsi="David" w:cs="David"/>
          <w:b/>
          <w:bCs/>
          <w:sz w:val="24"/>
          <w:szCs w:val="24"/>
          <w:rtl/>
        </w:rPr>
        <w:t>לכל מי שירצו</w:t>
      </w:r>
      <w:r w:rsidR="009C7D24">
        <w:rPr>
          <w:rFonts w:ascii="David" w:hAnsi="David" w:cs="David" w:hint="cs"/>
          <w:sz w:val="24"/>
          <w:szCs w:val="24"/>
          <w:rtl/>
        </w:rPr>
        <w:t>,</w:t>
      </w:r>
      <w:r w:rsidR="00AD5AB4" w:rsidRPr="00AD5AB4">
        <w:rPr>
          <w:rFonts w:ascii="David" w:hAnsi="David" w:cs="David"/>
          <w:sz w:val="24"/>
          <w:szCs w:val="24"/>
          <w:rtl/>
        </w:rPr>
        <w:t xml:space="preserve"> דהואיל וא"א לפי הענין להיות בבת אחת</w:t>
      </w:r>
      <w:r w:rsidR="0027464E">
        <w:rPr>
          <w:rFonts w:ascii="David" w:hAnsi="David" w:cs="David" w:hint="cs"/>
          <w:sz w:val="24"/>
          <w:szCs w:val="24"/>
          <w:rtl/>
        </w:rPr>
        <w:t>,</w:t>
      </w:r>
      <w:r w:rsidR="00AD5AB4" w:rsidRPr="00AD5AB4">
        <w:rPr>
          <w:rFonts w:ascii="David" w:hAnsi="David" w:cs="David"/>
          <w:sz w:val="24"/>
          <w:szCs w:val="24"/>
          <w:rtl/>
        </w:rPr>
        <w:t xml:space="preserve"> אימור איתרמי לאותו שזכה</w:t>
      </w:r>
      <w:r w:rsidR="009C7D24">
        <w:rPr>
          <w:rStyle w:val="a5"/>
          <w:rFonts w:ascii="David" w:hAnsi="David" w:cs="David"/>
          <w:sz w:val="24"/>
          <w:szCs w:val="24"/>
          <w:rtl/>
        </w:rPr>
        <w:footnoteReference w:id="12"/>
      </w:r>
      <w:r w:rsidR="009C7D24">
        <w:rPr>
          <w:rFonts w:ascii="David" w:hAnsi="David" w:cs="David" w:hint="cs"/>
          <w:sz w:val="24"/>
          <w:szCs w:val="24"/>
          <w:rtl/>
        </w:rPr>
        <w:t xml:space="preserve">". </w:t>
      </w:r>
      <w:r w:rsidR="00F253E5" w:rsidRPr="009C7D24">
        <w:rPr>
          <w:rFonts w:asciiTheme="majorBidi" w:hAnsiTheme="majorBidi" w:cstheme="majorBidi"/>
          <w:sz w:val="24"/>
          <w:szCs w:val="24"/>
          <w:rtl/>
        </w:rPr>
        <w:t>כלומר, ששודא מופעל במקום שבו פסיקה של 'יחלוקו', עושה כמעט בוודאות עוול לא</w:t>
      </w:r>
      <w:r w:rsidR="00F253E5">
        <w:rPr>
          <w:rFonts w:asciiTheme="majorBidi" w:hAnsiTheme="majorBidi" w:cstheme="majorBidi" w:hint="cs"/>
          <w:sz w:val="24"/>
          <w:szCs w:val="24"/>
          <w:rtl/>
        </w:rPr>
        <w:t>ח</w:t>
      </w:r>
      <w:r w:rsidR="00F253E5" w:rsidRPr="009C7D24">
        <w:rPr>
          <w:rFonts w:asciiTheme="majorBidi" w:hAnsiTheme="majorBidi" w:cstheme="majorBidi"/>
          <w:sz w:val="24"/>
          <w:szCs w:val="24"/>
          <w:rtl/>
        </w:rPr>
        <w:t>ד הצדדים</w:t>
      </w:r>
      <w:r w:rsidR="00F253E5">
        <w:rPr>
          <w:rStyle w:val="a5"/>
          <w:rFonts w:asciiTheme="majorBidi" w:hAnsiTheme="majorBidi" w:cstheme="majorBidi"/>
          <w:sz w:val="24"/>
          <w:szCs w:val="24"/>
          <w:rtl/>
        </w:rPr>
        <w:footnoteReference w:id="13"/>
      </w:r>
      <w:r w:rsidR="00F253E5" w:rsidRPr="009C7D24">
        <w:rPr>
          <w:rFonts w:asciiTheme="majorBidi" w:hAnsiTheme="majorBidi" w:cstheme="majorBidi"/>
          <w:sz w:val="24"/>
          <w:szCs w:val="24"/>
          <w:rtl/>
        </w:rPr>
        <w:t>.</w:t>
      </w:r>
      <w:r w:rsidR="00F253E5">
        <w:rPr>
          <w:rFonts w:asciiTheme="majorBidi" w:hAnsiTheme="majorBidi" w:cstheme="majorBidi" w:hint="cs"/>
          <w:sz w:val="24"/>
          <w:szCs w:val="24"/>
          <w:rtl/>
        </w:rPr>
        <w:t xml:space="preserve">  לכשתמצי לומר, בעלי התוספות מעדיפים הכרעה מוחלטת, בה יש לפחות סיכוי שכיוונו אל </w:t>
      </w:r>
      <w:r w:rsidR="00F253E5">
        <w:rPr>
          <w:rFonts w:asciiTheme="majorBidi" w:hAnsiTheme="majorBidi" w:cstheme="majorBidi" w:hint="cs"/>
          <w:sz w:val="24"/>
          <w:szCs w:val="24"/>
          <w:rtl/>
        </w:rPr>
        <w:lastRenderedPageBreak/>
        <w:t xml:space="preserve">האמת, למרות הסיכון שהבעלים יקופחו לחלוטין, ואילו רש"י </w:t>
      </w:r>
      <w:r w:rsidR="00F253E5">
        <w:rPr>
          <w:rFonts w:asciiTheme="majorBidi" w:hAnsiTheme="majorBidi" w:cstheme="majorBidi"/>
          <w:sz w:val="24"/>
          <w:szCs w:val="24"/>
          <w:rtl/>
        </w:rPr>
        <w:t>–</w:t>
      </w:r>
      <w:r w:rsidR="00F253E5">
        <w:rPr>
          <w:rFonts w:asciiTheme="majorBidi" w:hAnsiTheme="majorBidi" w:cstheme="majorBidi" w:hint="cs"/>
          <w:sz w:val="24"/>
          <w:szCs w:val="24"/>
          <w:rtl/>
        </w:rPr>
        <w:t xml:space="preserve"> אם אין אומדנא אמיתית- מעדיף אפשרות שיחלוקו, </w:t>
      </w:r>
      <w:r w:rsidR="0027464E">
        <w:rPr>
          <w:rFonts w:asciiTheme="majorBidi" w:hAnsiTheme="majorBidi" w:cstheme="majorBidi" w:hint="cs"/>
          <w:sz w:val="24"/>
          <w:szCs w:val="24"/>
          <w:rtl/>
        </w:rPr>
        <w:t>אע"פ ש</w:t>
      </w:r>
      <w:r w:rsidR="00F253E5">
        <w:rPr>
          <w:rFonts w:asciiTheme="majorBidi" w:hAnsiTheme="majorBidi" w:cstheme="majorBidi" w:hint="cs"/>
          <w:sz w:val="24"/>
          <w:szCs w:val="24"/>
          <w:rtl/>
        </w:rPr>
        <w:t xml:space="preserve">הבעלים בוודאי </w:t>
      </w:r>
      <w:r w:rsidR="0027464E">
        <w:rPr>
          <w:rFonts w:asciiTheme="majorBidi" w:hAnsiTheme="majorBidi" w:cstheme="majorBidi" w:hint="cs"/>
          <w:sz w:val="24"/>
          <w:szCs w:val="24"/>
          <w:rtl/>
        </w:rPr>
        <w:t>י</w:t>
      </w:r>
      <w:r w:rsidR="00F253E5">
        <w:rPr>
          <w:rFonts w:asciiTheme="majorBidi" w:hAnsiTheme="majorBidi" w:cstheme="majorBidi" w:hint="cs"/>
          <w:sz w:val="24"/>
          <w:szCs w:val="24"/>
          <w:rtl/>
        </w:rPr>
        <w:t>קופח במחצית הסכום, על פני החשש שייגרע חלקו לחלוטין.</w:t>
      </w:r>
    </w:p>
    <w:p w14:paraId="058A4483" w14:textId="489350FA" w:rsidR="006D4EF2" w:rsidRPr="00F253E5" w:rsidRDefault="00F253E5" w:rsidP="00F253E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שורש ההיתר הוא </w:t>
      </w:r>
      <w:r w:rsidR="009C7D24">
        <w:rPr>
          <w:rFonts w:ascii="David" w:hAnsi="David" w:cs="David" w:hint="cs"/>
          <w:sz w:val="24"/>
          <w:szCs w:val="24"/>
          <w:rtl/>
        </w:rPr>
        <w:t>"</w:t>
      </w:r>
      <w:r w:rsidR="009C7D24" w:rsidRPr="009C7D24">
        <w:rPr>
          <w:rFonts w:ascii="David" w:hAnsi="David" w:cs="David"/>
          <w:sz w:val="24"/>
          <w:szCs w:val="24"/>
          <w:rtl/>
        </w:rPr>
        <w:t>דהפקר ב"ד היה הפקר</w:t>
      </w:r>
      <w:r w:rsidR="0027464E">
        <w:rPr>
          <w:rFonts w:ascii="David" w:hAnsi="David" w:cs="David" w:hint="cs"/>
          <w:sz w:val="24"/>
          <w:szCs w:val="24"/>
          <w:rtl/>
        </w:rPr>
        <w:t>.</w:t>
      </w:r>
      <w:r w:rsidR="009C7D24" w:rsidRPr="009C7D24">
        <w:rPr>
          <w:rFonts w:ascii="David" w:hAnsi="David" w:cs="David"/>
          <w:sz w:val="24"/>
          <w:szCs w:val="24"/>
          <w:rtl/>
        </w:rPr>
        <w:t xml:space="preserve"> ושודא לשון השלכה כמו רמה בים</w:t>
      </w:r>
      <w:r w:rsidR="009C7D24">
        <w:rPr>
          <w:rStyle w:val="a5"/>
          <w:rFonts w:ascii="David" w:hAnsi="David" w:cs="David"/>
          <w:sz w:val="24"/>
          <w:szCs w:val="24"/>
          <w:rtl/>
        </w:rPr>
        <w:footnoteReference w:id="14"/>
      </w:r>
      <w:r w:rsidR="009C7D24">
        <w:rPr>
          <w:rFonts w:ascii="David" w:hAnsi="David" w:cs="David" w:hint="cs"/>
          <w:sz w:val="24"/>
          <w:szCs w:val="24"/>
          <w:rtl/>
        </w:rPr>
        <w:t xml:space="preserve">". </w:t>
      </w:r>
      <w:r w:rsidR="00D274AA">
        <w:rPr>
          <w:rFonts w:asciiTheme="majorBidi" w:hAnsiTheme="majorBidi" w:cstheme="majorBidi" w:hint="cs"/>
          <w:sz w:val="24"/>
          <w:szCs w:val="24"/>
          <w:rtl/>
        </w:rPr>
        <w:t xml:space="preserve">רבינו תם מוכיח את דעתו מהסוגייה בגיטין, שם הספק שקול לחלוטין אובייקטיבית, וגם מסוגייתנו, לפי עדיפות סמכותו של רב נחמן: </w:t>
      </w:r>
      <w:r w:rsidR="00D274AA">
        <w:rPr>
          <w:rFonts w:asciiTheme="majorBidi" w:hAnsiTheme="majorBidi" w:cs="Times New Roman" w:hint="cs"/>
          <w:sz w:val="24"/>
          <w:szCs w:val="24"/>
          <w:rtl/>
        </w:rPr>
        <w:t xml:space="preserve"> </w:t>
      </w:r>
      <w:r>
        <w:rPr>
          <w:rFonts w:asciiTheme="majorBidi" w:hAnsiTheme="majorBidi" w:cstheme="majorBidi" w:hint="cs"/>
          <w:sz w:val="24"/>
          <w:szCs w:val="24"/>
          <w:rtl/>
        </w:rPr>
        <w:t>"</w:t>
      </w:r>
      <w:r w:rsidR="00D274AA" w:rsidRPr="00D274AA">
        <w:rPr>
          <w:rFonts w:ascii="David" w:hAnsi="David" w:cs="David"/>
          <w:sz w:val="24"/>
          <w:szCs w:val="24"/>
          <w:rtl/>
        </w:rPr>
        <w:t>דצריך דיין קבוע לומר דהפקר ב"ד היה הפקר</w:t>
      </w:r>
      <w:r>
        <w:rPr>
          <w:rFonts w:ascii="David" w:hAnsi="David" w:cs="David" w:hint="cs"/>
          <w:sz w:val="24"/>
          <w:szCs w:val="24"/>
          <w:rtl/>
        </w:rPr>
        <w:t>,</w:t>
      </w:r>
      <w:r w:rsidR="00D274AA" w:rsidRPr="00D274AA">
        <w:rPr>
          <w:rFonts w:ascii="David" w:hAnsi="David" w:cs="David"/>
          <w:sz w:val="24"/>
          <w:szCs w:val="24"/>
          <w:rtl/>
        </w:rPr>
        <w:t xml:space="preserve"> ורב נחמן היה דיין קבוע</w:t>
      </w:r>
      <w:r w:rsidR="00064561">
        <w:rPr>
          <w:rFonts w:ascii="David" w:hAnsi="David" w:cs="David" w:hint="cs"/>
          <w:sz w:val="24"/>
          <w:szCs w:val="24"/>
          <w:rtl/>
        </w:rPr>
        <w:t>.</w:t>
      </w:r>
      <w:r w:rsidR="00D274AA" w:rsidRPr="00D274AA">
        <w:rPr>
          <w:rFonts w:ascii="David" w:hAnsi="David" w:cs="David"/>
          <w:sz w:val="24"/>
          <w:szCs w:val="24"/>
          <w:rtl/>
        </w:rPr>
        <w:t xml:space="preserve"> אבל לפי' הקונטרס</w:t>
      </w:r>
      <w:r w:rsidR="00064561">
        <w:rPr>
          <w:rFonts w:ascii="David" w:hAnsi="David" w:cs="David" w:hint="cs"/>
          <w:sz w:val="24"/>
          <w:szCs w:val="24"/>
          <w:rtl/>
        </w:rPr>
        <w:t>,</w:t>
      </w:r>
      <w:r w:rsidR="00D274AA" w:rsidRPr="00D274AA">
        <w:rPr>
          <w:rFonts w:ascii="David" w:hAnsi="David" w:cs="David"/>
          <w:sz w:val="24"/>
          <w:szCs w:val="24"/>
          <w:rtl/>
        </w:rPr>
        <w:t xml:space="preserve"> דפי' דבסברא תליא מילתא</w:t>
      </w:r>
      <w:r w:rsidR="00064561">
        <w:rPr>
          <w:rFonts w:ascii="David" w:hAnsi="David" w:cs="David" w:hint="cs"/>
          <w:sz w:val="24"/>
          <w:szCs w:val="24"/>
          <w:rtl/>
        </w:rPr>
        <w:t>,</w:t>
      </w:r>
      <w:r w:rsidR="00D274AA" w:rsidRPr="00D274AA">
        <w:rPr>
          <w:rFonts w:ascii="David" w:hAnsi="David" w:cs="David"/>
          <w:sz w:val="24"/>
          <w:szCs w:val="24"/>
          <w:rtl/>
        </w:rPr>
        <w:t xml:space="preserve"> מה לנו דיין קבוע</w:t>
      </w:r>
      <w:r w:rsidR="0027464E">
        <w:rPr>
          <w:rFonts w:ascii="David" w:hAnsi="David" w:cs="David" w:hint="cs"/>
          <w:sz w:val="24"/>
          <w:szCs w:val="24"/>
          <w:rtl/>
        </w:rPr>
        <w:t>?</w:t>
      </w:r>
      <w:r w:rsidR="00D274AA" w:rsidRPr="00D274AA">
        <w:rPr>
          <w:rFonts w:ascii="David" w:hAnsi="David" w:cs="David"/>
          <w:sz w:val="24"/>
          <w:szCs w:val="24"/>
          <w:rtl/>
        </w:rPr>
        <w:t xml:space="preserve"> פשיטא דסברת רב נחמן לא הוה עדיפא מסברת רב ששת</w:t>
      </w:r>
      <w:r w:rsidR="00F822C6">
        <w:rPr>
          <w:rStyle w:val="a5"/>
          <w:rFonts w:ascii="David" w:hAnsi="David" w:cs="David"/>
          <w:sz w:val="24"/>
          <w:szCs w:val="24"/>
          <w:rtl/>
        </w:rPr>
        <w:footnoteReference w:id="15"/>
      </w:r>
      <w:r w:rsidR="00D274AA">
        <w:rPr>
          <w:rFonts w:ascii="David" w:hAnsi="David" w:cs="David" w:hint="cs"/>
          <w:sz w:val="24"/>
          <w:szCs w:val="24"/>
          <w:rtl/>
        </w:rPr>
        <w:t>"</w:t>
      </w:r>
      <w:r w:rsidR="00D274AA" w:rsidRPr="00D274AA">
        <w:rPr>
          <w:rFonts w:ascii="David" w:hAnsi="David" w:cs="David"/>
          <w:sz w:val="24"/>
          <w:szCs w:val="24"/>
          <w:rtl/>
        </w:rPr>
        <w:t>.</w:t>
      </w:r>
      <w:r w:rsidR="00064561">
        <w:rPr>
          <w:rFonts w:asciiTheme="majorBidi" w:hAnsiTheme="majorBidi" w:cstheme="majorBidi" w:hint="cs"/>
          <w:sz w:val="24"/>
          <w:szCs w:val="24"/>
          <w:rtl/>
        </w:rPr>
        <w:t xml:space="preserve"> כמו כן, בסוגיה בקידושין, אם קיימים שיקולים אובייקטיבים, מדוע לא מאפשרים לדיין לשחזר אותם? </w:t>
      </w:r>
      <w:r w:rsidR="006D4EF2">
        <w:rPr>
          <w:rFonts w:asciiTheme="majorBidi" w:hAnsiTheme="majorBidi" w:cstheme="majorBidi" w:hint="cs"/>
          <w:sz w:val="24"/>
          <w:szCs w:val="24"/>
          <w:rtl/>
        </w:rPr>
        <w:t xml:space="preserve">   רבי עקיבא איגר כאן מפנה לדברי התוספות, העומדים על כך ששמואל, הפוסק בסוגיה הקדמת </w:t>
      </w:r>
      <w:r w:rsidR="008F1B37">
        <w:rPr>
          <w:rFonts w:asciiTheme="majorBidi" w:hAnsiTheme="majorBidi" w:cstheme="majorBidi" w:hint="cs"/>
          <w:sz w:val="24"/>
          <w:szCs w:val="24"/>
          <w:rtl/>
        </w:rPr>
        <w:t>שודא</w:t>
      </w:r>
      <w:r w:rsidR="006D4EF2">
        <w:rPr>
          <w:rFonts w:asciiTheme="majorBidi" w:hAnsiTheme="majorBidi" w:cstheme="majorBidi" w:hint="cs"/>
          <w:sz w:val="24"/>
          <w:szCs w:val="24"/>
          <w:rtl/>
        </w:rPr>
        <w:t xml:space="preserve">, אינו הולך בממון אחר אומדנא. מכאן ראייה נוספת לכך </w:t>
      </w:r>
      <w:r w:rsidR="006D4EF2" w:rsidRPr="00572E36">
        <w:rPr>
          <w:rFonts w:ascii="David" w:hAnsi="David" w:cs="David"/>
          <w:sz w:val="24"/>
          <w:szCs w:val="24"/>
          <w:rtl/>
        </w:rPr>
        <w:t xml:space="preserve"> "דשודא לאו אומדנא הוא כמו שפירש בקונטרס</w:t>
      </w:r>
      <w:r>
        <w:rPr>
          <w:rFonts w:ascii="David" w:hAnsi="David" w:cs="David" w:hint="cs"/>
          <w:sz w:val="24"/>
          <w:szCs w:val="24"/>
          <w:rtl/>
        </w:rPr>
        <w:t>,</w:t>
      </w:r>
      <w:r w:rsidR="006D4EF2" w:rsidRPr="00572E36">
        <w:rPr>
          <w:rFonts w:ascii="David" w:hAnsi="David" w:cs="David"/>
          <w:sz w:val="24"/>
          <w:szCs w:val="24"/>
          <w:rtl/>
        </w:rPr>
        <w:t xml:space="preserve"> אלא יתנו ב"ד למי שירצו</w:t>
      </w:r>
      <w:r w:rsidR="006D4EF2">
        <w:rPr>
          <w:rStyle w:val="a5"/>
          <w:rFonts w:ascii="David" w:hAnsi="David" w:cs="David"/>
          <w:sz w:val="24"/>
          <w:szCs w:val="24"/>
          <w:rtl/>
        </w:rPr>
        <w:footnoteReference w:id="16"/>
      </w:r>
      <w:r w:rsidR="006D4EF2" w:rsidRPr="00572E36">
        <w:rPr>
          <w:rFonts w:ascii="David" w:hAnsi="David" w:cs="David"/>
          <w:sz w:val="24"/>
          <w:szCs w:val="24"/>
          <w:rtl/>
        </w:rPr>
        <w:t>".</w:t>
      </w:r>
    </w:p>
    <w:p w14:paraId="4EEA1E52" w14:textId="2472FB48" w:rsidR="008A26E6" w:rsidRPr="008A26E6" w:rsidRDefault="008A26E6" w:rsidP="008A26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הפסיקה לדרכו של רבינו תם, היא כה פתוחה עד שמביא הרמ"א דעה המתירה שוחד:</w:t>
      </w:r>
      <w:r w:rsidRPr="008A26E6">
        <w:rPr>
          <w:rtl/>
        </w:rPr>
        <w:t xml:space="preserve"> </w:t>
      </w:r>
    </w:p>
    <w:p w14:paraId="7B044E00" w14:textId="56967304" w:rsidR="00032633" w:rsidRPr="008A26E6" w:rsidRDefault="008A26E6" w:rsidP="009E2CFD">
      <w:pPr>
        <w:spacing w:after="0" w:line="360" w:lineRule="auto"/>
        <w:rPr>
          <w:rFonts w:ascii="David" w:hAnsi="David" w:cs="David"/>
          <w:sz w:val="24"/>
          <w:szCs w:val="24"/>
          <w:rtl/>
        </w:rPr>
      </w:pPr>
      <w:r w:rsidRPr="008A26E6">
        <w:rPr>
          <w:rFonts w:ascii="David" w:hAnsi="David" w:cs="David"/>
          <w:sz w:val="24"/>
          <w:szCs w:val="24"/>
          <w:rtl/>
        </w:rPr>
        <w:t xml:space="preserve">"כתב הר"ן בריש שבועת העדות </w:t>
      </w:r>
      <w:r w:rsidRPr="008A26E6">
        <w:rPr>
          <w:rFonts w:ascii="David" w:hAnsi="David" w:cs="David"/>
          <w:sz w:val="18"/>
          <w:szCs w:val="18"/>
          <w:rtl/>
        </w:rPr>
        <w:t xml:space="preserve">(יג: ד"ה תניא) </w:t>
      </w:r>
      <w:r w:rsidRPr="008A26E6">
        <w:rPr>
          <w:rFonts w:ascii="David" w:hAnsi="David" w:cs="David"/>
          <w:sz w:val="24"/>
          <w:szCs w:val="24"/>
          <w:rtl/>
        </w:rPr>
        <w:t xml:space="preserve">דיש גורסין </w:t>
      </w:r>
      <w:r w:rsidRPr="008A26E6">
        <w:rPr>
          <w:rFonts w:ascii="David" w:hAnsi="David" w:cs="David"/>
          <w:b/>
          <w:bCs/>
          <w:sz w:val="24"/>
          <w:szCs w:val="24"/>
          <w:rtl/>
        </w:rPr>
        <w:t>שוחדא דדייני</w:t>
      </w:r>
      <w:r w:rsidRPr="008A26E6">
        <w:rPr>
          <w:rFonts w:ascii="David" w:hAnsi="David" w:cs="David"/>
          <w:sz w:val="24"/>
          <w:szCs w:val="24"/>
          <w:rtl/>
        </w:rPr>
        <w:t xml:space="preserve"> בחי"ת כי מותר ליקח שוחד בדין זה</w:t>
      </w:r>
      <w:r w:rsidR="0027464E">
        <w:rPr>
          <w:rFonts w:ascii="David" w:hAnsi="David" w:cs="David" w:hint="cs"/>
          <w:sz w:val="24"/>
          <w:szCs w:val="24"/>
          <w:rtl/>
        </w:rPr>
        <w:t>,</w:t>
      </w:r>
      <w:r w:rsidRPr="008A26E6">
        <w:rPr>
          <w:rFonts w:ascii="David" w:hAnsi="David" w:cs="David"/>
          <w:sz w:val="24"/>
          <w:szCs w:val="24"/>
          <w:rtl/>
        </w:rPr>
        <w:t xml:space="preserve"> כי הדיין מותר לעשות מה שירצה. וכן כתב נמוקי יוסף.. ונ"ל דדברי הר"ן ונמוקי יוסף אינם אלא לפירוש התוספות... מיהו בתוספות </w:t>
      </w:r>
      <w:r w:rsidRPr="0027464E">
        <w:rPr>
          <w:rFonts w:ascii="David" w:hAnsi="David" w:cs="David"/>
          <w:sz w:val="18"/>
          <w:szCs w:val="18"/>
          <w:rtl/>
        </w:rPr>
        <w:t>פרק הכותב</w:t>
      </w:r>
      <w:r w:rsidRPr="008A26E6">
        <w:rPr>
          <w:rFonts w:ascii="David" w:hAnsi="David" w:cs="David"/>
          <w:sz w:val="24"/>
          <w:szCs w:val="24"/>
          <w:rtl/>
        </w:rPr>
        <w:t xml:space="preserve"> כתבו דאם נטל שכר על זה דינו לאו דין</w:t>
      </w:r>
      <w:r w:rsidRPr="008A26E6">
        <w:rPr>
          <w:rStyle w:val="a5"/>
          <w:rFonts w:ascii="David" w:hAnsi="David" w:cs="David"/>
          <w:sz w:val="24"/>
          <w:szCs w:val="24"/>
          <w:rtl/>
        </w:rPr>
        <w:footnoteReference w:id="17"/>
      </w:r>
      <w:r w:rsidRPr="008A26E6">
        <w:rPr>
          <w:rFonts w:ascii="David" w:hAnsi="David" w:cs="David"/>
          <w:sz w:val="24"/>
          <w:szCs w:val="24"/>
          <w:rtl/>
        </w:rPr>
        <w:t>".</w:t>
      </w:r>
      <w:r w:rsidR="00D25DAD">
        <w:rPr>
          <w:rFonts w:ascii="David" w:hAnsi="David" w:cs="David" w:hint="cs"/>
          <w:sz w:val="24"/>
          <w:szCs w:val="24"/>
          <w:rtl/>
        </w:rPr>
        <w:t xml:space="preserve"> "</w:t>
      </w:r>
      <w:r w:rsidR="00D25DAD" w:rsidRPr="00D25DAD">
        <w:rPr>
          <w:rFonts w:ascii="David" w:hAnsi="David" w:cs="David"/>
          <w:sz w:val="24"/>
          <w:szCs w:val="24"/>
          <w:rtl/>
        </w:rPr>
        <w:t>א</w:t>
      </w:r>
      <w:r w:rsidR="00D25DAD">
        <w:rPr>
          <w:rFonts w:ascii="David" w:hAnsi="David" w:cs="David" w:hint="cs"/>
          <w:sz w:val="24"/>
          <w:szCs w:val="24"/>
          <w:rtl/>
        </w:rPr>
        <w:t xml:space="preserve">לא וודאי </w:t>
      </w:r>
      <w:r w:rsidR="00D25DAD" w:rsidRPr="00D25DAD">
        <w:rPr>
          <w:rFonts w:ascii="David" w:hAnsi="David" w:cs="David"/>
          <w:sz w:val="24"/>
          <w:szCs w:val="24"/>
          <w:rtl/>
        </w:rPr>
        <w:t xml:space="preserve"> הר"ן ונ"י ס"ל דהוי </w:t>
      </w:r>
      <w:r w:rsidR="00D25DAD" w:rsidRPr="00D25DAD">
        <w:rPr>
          <w:rFonts w:ascii="David" w:hAnsi="David" w:cs="David"/>
          <w:b/>
          <w:bCs/>
          <w:sz w:val="24"/>
          <w:szCs w:val="24"/>
          <w:rtl/>
        </w:rPr>
        <w:t>כמו</w:t>
      </w:r>
      <w:r w:rsidR="00D25DAD" w:rsidRPr="00D25DAD">
        <w:rPr>
          <w:rFonts w:ascii="David" w:hAnsi="David" w:cs="David"/>
          <w:sz w:val="24"/>
          <w:szCs w:val="24"/>
          <w:rtl/>
        </w:rPr>
        <w:t xml:space="preserve"> </w:t>
      </w:r>
      <w:r w:rsidR="00D25DAD" w:rsidRPr="00D25DAD">
        <w:rPr>
          <w:rFonts w:ascii="David" w:hAnsi="David" w:cs="David"/>
          <w:b/>
          <w:bCs/>
          <w:sz w:val="24"/>
          <w:szCs w:val="24"/>
          <w:rtl/>
        </w:rPr>
        <w:t>שוחד</w:t>
      </w:r>
      <w:r w:rsidR="00D25DAD">
        <w:rPr>
          <w:rFonts w:ascii="David" w:hAnsi="David" w:cs="David" w:hint="cs"/>
          <w:b/>
          <w:bCs/>
          <w:sz w:val="24"/>
          <w:szCs w:val="24"/>
          <w:rtl/>
        </w:rPr>
        <w:t>.</w:t>
      </w:r>
      <w:r w:rsidR="00D25DAD" w:rsidRPr="00D25DAD">
        <w:rPr>
          <w:rFonts w:ascii="David" w:hAnsi="David" w:cs="David"/>
          <w:b/>
          <w:bCs/>
          <w:sz w:val="24"/>
          <w:szCs w:val="24"/>
          <w:rtl/>
        </w:rPr>
        <w:t xml:space="preserve"> </w:t>
      </w:r>
      <w:r w:rsidR="00D25DAD" w:rsidRPr="00D25DAD">
        <w:rPr>
          <w:rFonts w:ascii="David" w:hAnsi="David" w:cs="David"/>
          <w:sz w:val="24"/>
          <w:szCs w:val="24"/>
          <w:rtl/>
        </w:rPr>
        <w:t>וגוזמא קאמרי</w:t>
      </w:r>
      <w:r w:rsidR="00D25DAD">
        <w:rPr>
          <w:rFonts w:ascii="David" w:hAnsi="David" w:cs="David" w:hint="cs"/>
          <w:sz w:val="24"/>
          <w:szCs w:val="24"/>
          <w:rtl/>
        </w:rPr>
        <w:t>.</w:t>
      </w:r>
      <w:r w:rsidR="00D25DAD" w:rsidRPr="00D25DAD">
        <w:rPr>
          <w:rFonts w:ascii="David" w:hAnsi="David" w:cs="David"/>
          <w:sz w:val="24"/>
          <w:szCs w:val="24"/>
          <w:rtl/>
        </w:rPr>
        <w:t xml:space="preserve"> וכן הוא להדיא בחידושי הרמב"ן</w:t>
      </w:r>
      <w:r w:rsidR="00D25DAD">
        <w:rPr>
          <w:rStyle w:val="a5"/>
          <w:rFonts w:ascii="David" w:hAnsi="David" w:cs="David"/>
          <w:sz w:val="24"/>
          <w:szCs w:val="24"/>
          <w:rtl/>
        </w:rPr>
        <w:footnoteReference w:id="18"/>
      </w:r>
      <w:r w:rsidR="00D25DAD">
        <w:rPr>
          <w:rFonts w:ascii="David" w:hAnsi="David" w:cs="David" w:hint="cs"/>
          <w:sz w:val="24"/>
          <w:szCs w:val="24"/>
          <w:rtl/>
        </w:rPr>
        <w:t xml:space="preserve">".  </w:t>
      </w:r>
      <w:r w:rsidR="00064561">
        <w:rPr>
          <w:rFonts w:asciiTheme="majorBidi" w:hAnsiTheme="majorBidi" w:cstheme="majorBidi" w:hint="cs"/>
          <w:sz w:val="24"/>
          <w:szCs w:val="24"/>
          <w:rtl/>
        </w:rPr>
        <w:t xml:space="preserve">המאירי </w:t>
      </w:r>
      <w:r w:rsidR="00D25DAD">
        <w:rPr>
          <w:rFonts w:asciiTheme="majorBidi" w:hAnsiTheme="majorBidi" w:cstheme="majorBidi" w:hint="cs"/>
          <w:sz w:val="24"/>
          <w:szCs w:val="24"/>
          <w:rtl/>
        </w:rPr>
        <w:t xml:space="preserve">בקידושין </w:t>
      </w:r>
      <w:r w:rsidR="00064561">
        <w:rPr>
          <w:rFonts w:asciiTheme="majorBidi" w:hAnsiTheme="majorBidi" w:cstheme="majorBidi" w:hint="cs"/>
          <w:sz w:val="24"/>
          <w:szCs w:val="24"/>
          <w:rtl/>
        </w:rPr>
        <w:t>מבאר את דרכו של רש"י, ש</w:t>
      </w:r>
      <w:r w:rsidR="00064561">
        <w:rPr>
          <w:rFonts w:asciiTheme="majorBidi" w:hAnsiTheme="majorBidi" w:cs="Times New Roman" w:hint="cs"/>
          <w:sz w:val="24"/>
          <w:szCs w:val="24"/>
          <w:rtl/>
        </w:rPr>
        <w:t>"</w:t>
      </w:r>
      <w:r w:rsidR="00064561" w:rsidRPr="00064561">
        <w:rPr>
          <w:rFonts w:ascii="David" w:hAnsi="David" w:cs="David"/>
          <w:sz w:val="24"/>
          <w:szCs w:val="24"/>
          <w:rtl/>
        </w:rPr>
        <w:t>כל אחד מהם יכול לומר מתירא אני שמא יתחלף אומד שלו".</w:t>
      </w:r>
      <w:r w:rsidR="004631B6">
        <w:rPr>
          <w:rFonts w:asciiTheme="majorBidi" w:hAnsiTheme="majorBidi" w:cstheme="majorBidi" w:hint="cs"/>
          <w:sz w:val="24"/>
          <w:szCs w:val="24"/>
          <w:rtl/>
        </w:rPr>
        <w:t xml:space="preserve"> בערוך השולחן מוסיף, ששיקול הדעת כה דק, עד שקשה לשחזרו. גם ניתן להבין שיש בזה עדיפות לרב נחמן: </w:t>
      </w:r>
      <w:r w:rsidR="009E2CFD">
        <w:rPr>
          <w:rFonts w:ascii="David" w:hAnsi="David" w:cs="David" w:hint="cs"/>
          <w:sz w:val="24"/>
          <w:szCs w:val="24"/>
          <w:rtl/>
        </w:rPr>
        <w:t xml:space="preserve"> </w:t>
      </w:r>
      <w:r w:rsidR="004631B6" w:rsidRPr="008A26E6">
        <w:rPr>
          <w:rFonts w:ascii="David" w:hAnsi="David" w:cs="David"/>
          <w:sz w:val="24"/>
          <w:szCs w:val="24"/>
          <w:rtl/>
        </w:rPr>
        <w:t xml:space="preserve">"שודא דדייני אינו הכרע גמור.. אלא קצת אומד דעת ולכן כפי הנראה להם באומדנא ראשונה כן יעשו. </w:t>
      </w:r>
      <w:r w:rsidR="004631B6" w:rsidRPr="008A26E6">
        <w:rPr>
          <w:rFonts w:ascii="David" w:hAnsi="David" w:cs="David"/>
          <w:b/>
          <w:bCs/>
          <w:sz w:val="24"/>
          <w:szCs w:val="24"/>
          <w:rtl/>
        </w:rPr>
        <w:t>אף שאח"כ יתהפך אצלם האומדנא</w:t>
      </w:r>
      <w:r w:rsidR="004631B6" w:rsidRPr="008A26E6">
        <w:rPr>
          <w:rFonts w:ascii="David" w:hAnsi="David" w:cs="David"/>
          <w:sz w:val="24"/>
          <w:szCs w:val="24"/>
          <w:rtl/>
        </w:rPr>
        <w:t>. ורק דיין מומחה לרבים יכול לדון שודא ולא אחר, אף שהוא ת"ח. דאין זה דין קבוע שאינו יכול להתהפך בדעות אלא זהו רק כמו זריקת השכל בהשקפה ראשונה</w:t>
      </w:r>
      <w:r w:rsidR="004631B6" w:rsidRPr="008A26E6">
        <w:rPr>
          <w:rStyle w:val="a5"/>
          <w:rFonts w:ascii="David" w:hAnsi="David" w:cs="David"/>
          <w:sz w:val="24"/>
          <w:szCs w:val="24"/>
          <w:rtl/>
        </w:rPr>
        <w:footnoteReference w:id="19"/>
      </w:r>
      <w:r w:rsidR="004631B6" w:rsidRPr="008A26E6">
        <w:rPr>
          <w:rFonts w:ascii="David" w:hAnsi="David" w:cs="David"/>
          <w:sz w:val="24"/>
          <w:szCs w:val="24"/>
          <w:rtl/>
        </w:rPr>
        <w:t>".</w:t>
      </w:r>
    </w:p>
    <w:p w14:paraId="3936D501" w14:textId="4B2F7D92" w:rsidR="00596F83" w:rsidRDefault="00140169" w:rsidP="0006456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596F83">
        <w:rPr>
          <w:rFonts w:asciiTheme="majorBidi" w:hAnsiTheme="majorBidi" w:cstheme="majorBidi" w:hint="cs"/>
          <w:b/>
          <w:bCs/>
          <w:sz w:val="24"/>
          <w:szCs w:val="24"/>
          <w:rtl/>
        </w:rPr>
        <w:t>להלכה</w:t>
      </w:r>
    </w:p>
    <w:p w14:paraId="3DB5A15E" w14:textId="4C38C551" w:rsidR="008A26E6" w:rsidRPr="008A26E6" w:rsidRDefault="00596F83" w:rsidP="008A26E6">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הטור פסק: </w:t>
      </w:r>
      <w:r w:rsidRPr="00596F83">
        <w:rPr>
          <w:rFonts w:ascii="David" w:hAnsi="David" w:cs="David"/>
          <w:sz w:val="24"/>
          <w:szCs w:val="24"/>
          <w:rtl/>
        </w:rPr>
        <w:t>"שני שטרות שיוצאים על שדה אחת של מכר או מתנה ואין בהם קנין</w:t>
      </w:r>
      <w:r w:rsidR="00F253E5">
        <w:rPr>
          <w:rFonts w:ascii="David" w:hAnsi="David" w:cs="David" w:hint="cs"/>
          <w:sz w:val="24"/>
          <w:szCs w:val="24"/>
          <w:rtl/>
        </w:rPr>
        <w:t xml:space="preserve">, </w:t>
      </w:r>
      <w:r w:rsidRPr="00596F83">
        <w:rPr>
          <w:rFonts w:ascii="David" w:hAnsi="David" w:cs="David"/>
          <w:sz w:val="24"/>
          <w:szCs w:val="24"/>
          <w:rtl/>
        </w:rPr>
        <w:t>אלא כתב לכל אחד</w:t>
      </w:r>
      <w:r w:rsidR="00F253E5">
        <w:rPr>
          <w:rFonts w:ascii="David" w:hAnsi="David" w:cs="David" w:hint="cs"/>
          <w:sz w:val="24"/>
          <w:szCs w:val="24"/>
          <w:rtl/>
        </w:rPr>
        <w:t>:</w:t>
      </w:r>
      <w:r w:rsidRPr="00596F83">
        <w:rPr>
          <w:rFonts w:ascii="David" w:hAnsi="David" w:cs="David"/>
          <w:sz w:val="24"/>
          <w:szCs w:val="24"/>
          <w:rtl/>
        </w:rPr>
        <w:t xml:space="preserve"> </w:t>
      </w:r>
      <w:r w:rsidR="00F253E5">
        <w:rPr>
          <w:rFonts w:ascii="David" w:hAnsi="David" w:cs="David" w:hint="cs"/>
          <w:sz w:val="24"/>
          <w:szCs w:val="24"/>
          <w:rtl/>
        </w:rPr>
        <w:t>'</w:t>
      </w:r>
      <w:r w:rsidRPr="00596F83">
        <w:rPr>
          <w:rFonts w:ascii="David" w:hAnsi="David" w:cs="David"/>
          <w:sz w:val="24"/>
          <w:szCs w:val="24"/>
          <w:rtl/>
        </w:rPr>
        <w:t>שדי מכורה לך</w:t>
      </w:r>
      <w:r w:rsidR="00F253E5">
        <w:rPr>
          <w:rFonts w:ascii="David" w:hAnsi="David" w:cs="David" w:hint="cs"/>
          <w:sz w:val="24"/>
          <w:szCs w:val="24"/>
          <w:rtl/>
        </w:rPr>
        <w:t>'</w:t>
      </w:r>
      <w:r w:rsidRPr="00596F83">
        <w:rPr>
          <w:rFonts w:ascii="David" w:hAnsi="David" w:cs="David"/>
          <w:sz w:val="24"/>
          <w:szCs w:val="24"/>
          <w:rtl/>
        </w:rPr>
        <w:t xml:space="preserve"> או </w:t>
      </w:r>
      <w:r w:rsidR="00F253E5">
        <w:rPr>
          <w:rFonts w:ascii="David" w:hAnsi="David" w:cs="David" w:hint="cs"/>
          <w:sz w:val="24"/>
          <w:szCs w:val="24"/>
          <w:rtl/>
        </w:rPr>
        <w:t>'</w:t>
      </w:r>
      <w:r w:rsidRPr="00596F83">
        <w:rPr>
          <w:rFonts w:ascii="David" w:hAnsi="David" w:cs="David"/>
          <w:sz w:val="24"/>
          <w:szCs w:val="24"/>
          <w:rtl/>
        </w:rPr>
        <w:t>נתונה לך</w:t>
      </w:r>
      <w:r w:rsidR="00F253E5">
        <w:rPr>
          <w:rFonts w:ascii="David" w:hAnsi="David" w:cs="David" w:hint="cs"/>
          <w:sz w:val="24"/>
          <w:szCs w:val="24"/>
          <w:rtl/>
        </w:rPr>
        <w:t>'</w:t>
      </w:r>
      <w:r w:rsidRPr="00596F83">
        <w:rPr>
          <w:rFonts w:ascii="David" w:hAnsi="David" w:cs="David"/>
          <w:sz w:val="24"/>
          <w:szCs w:val="24"/>
          <w:rtl/>
        </w:rPr>
        <w:t xml:space="preserve"> </w:t>
      </w:r>
      <w:r w:rsidR="00F253E5">
        <w:rPr>
          <w:rFonts w:ascii="David" w:hAnsi="David" w:cs="David" w:hint="cs"/>
          <w:sz w:val="24"/>
          <w:szCs w:val="24"/>
          <w:rtl/>
        </w:rPr>
        <w:t>,</w:t>
      </w:r>
      <w:r w:rsidRPr="00596F83">
        <w:rPr>
          <w:rFonts w:ascii="David" w:hAnsi="David" w:cs="David"/>
          <w:sz w:val="24"/>
          <w:szCs w:val="24"/>
          <w:rtl/>
        </w:rPr>
        <w:t>וזמנם ביום אחד</w:t>
      </w:r>
      <w:r w:rsidR="00F253E5">
        <w:rPr>
          <w:rFonts w:ascii="David" w:hAnsi="David" w:cs="David" w:hint="cs"/>
          <w:sz w:val="24"/>
          <w:szCs w:val="24"/>
          <w:rtl/>
        </w:rPr>
        <w:t>,</w:t>
      </w:r>
      <w:r w:rsidRPr="00596F83">
        <w:rPr>
          <w:rFonts w:ascii="David" w:hAnsi="David" w:cs="David"/>
          <w:sz w:val="24"/>
          <w:szCs w:val="24"/>
          <w:rtl/>
        </w:rPr>
        <w:t xml:space="preserve"> ואינו ידוע למי נמסר תחילה</w:t>
      </w:r>
      <w:r w:rsidR="00F253E5">
        <w:rPr>
          <w:rFonts w:ascii="David" w:hAnsi="David" w:cs="David" w:hint="cs"/>
          <w:sz w:val="24"/>
          <w:szCs w:val="24"/>
          <w:rtl/>
        </w:rPr>
        <w:t>-</w:t>
      </w:r>
      <w:r w:rsidRPr="00596F83">
        <w:rPr>
          <w:rFonts w:ascii="David" w:hAnsi="David" w:cs="David"/>
          <w:sz w:val="24"/>
          <w:szCs w:val="24"/>
          <w:rtl/>
        </w:rPr>
        <w:t xml:space="preserve"> קיי"ל שודא </w:t>
      </w:r>
      <w:r w:rsidRPr="00596F83">
        <w:rPr>
          <w:rFonts w:ascii="David" w:hAnsi="David" w:cs="David"/>
          <w:sz w:val="24"/>
          <w:szCs w:val="24"/>
          <w:rtl/>
        </w:rPr>
        <w:lastRenderedPageBreak/>
        <w:t>דדיינא</w:t>
      </w:r>
      <w:r w:rsidR="00F253E5">
        <w:rPr>
          <w:rFonts w:ascii="David" w:hAnsi="David" w:cs="David" w:hint="cs"/>
          <w:sz w:val="24"/>
          <w:szCs w:val="24"/>
          <w:rtl/>
        </w:rPr>
        <w:t>,</w:t>
      </w:r>
      <w:r w:rsidRPr="00596F83">
        <w:rPr>
          <w:rFonts w:ascii="David" w:hAnsi="David" w:cs="David"/>
          <w:sz w:val="24"/>
          <w:szCs w:val="24"/>
          <w:rtl/>
        </w:rPr>
        <w:t xml:space="preserve"> שרואין לפי הענין</w:t>
      </w:r>
      <w:r w:rsidR="00F253E5">
        <w:rPr>
          <w:rFonts w:ascii="David" w:hAnsi="David" w:cs="David" w:hint="cs"/>
          <w:sz w:val="24"/>
          <w:szCs w:val="24"/>
          <w:rtl/>
        </w:rPr>
        <w:t>.</w:t>
      </w:r>
      <w:r w:rsidRPr="00596F83">
        <w:rPr>
          <w:rFonts w:ascii="David" w:hAnsi="David" w:cs="David"/>
          <w:sz w:val="24"/>
          <w:szCs w:val="24"/>
          <w:rtl/>
        </w:rPr>
        <w:t xml:space="preserve"> שאם יראה לדיינין שלאחד אוהב יותר או כיוצא בו ודאי לו מסרו תחילה ויחזיקוהו בקרקע</w:t>
      </w:r>
      <w:r w:rsidRPr="00596F83">
        <w:rPr>
          <w:rStyle w:val="a5"/>
          <w:rFonts w:ascii="David" w:hAnsi="David" w:cs="David"/>
          <w:sz w:val="24"/>
          <w:szCs w:val="24"/>
          <w:rtl/>
        </w:rPr>
        <w:footnoteReference w:id="20"/>
      </w:r>
      <w:r w:rsidRPr="00596F83">
        <w:rPr>
          <w:rFonts w:ascii="David" w:hAnsi="David" w:cs="David"/>
          <w:sz w:val="24"/>
          <w:szCs w:val="24"/>
          <w:rtl/>
        </w:rPr>
        <w:t>".</w:t>
      </w:r>
      <w:r>
        <w:rPr>
          <w:rFonts w:asciiTheme="majorBidi" w:hAnsiTheme="majorBidi" w:cstheme="majorBidi" w:hint="cs"/>
          <w:sz w:val="24"/>
          <w:szCs w:val="24"/>
          <w:rtl/>
        </w:rPr>
        <w:t xml:space="preserve"> וזה כדעת רש"י</w:t>
      </w:r>
      <w:r>
        <w:rPr>
          <w:rStyle w:val="a5"/>
          <w:rFonts w:asciiTheme="majorBidi" w:hAnsiTheme="majorBidi" w:cstheme="majorBidi"/>
          <w:sz w:val="24"/>
          <w:szCs w:val="24"/>
          <w:rtl/>
        </w:rPr>
        <w:footnoteReference w:id="21"/>
      </w:r>
      <w:r w:rsidR="004631B6">
        <w:rPr>
          <w:rFonts w:asciiTheme="majorBidi" w:hAnsiTheme="majorBidi" w:cstheme="majorBidi" w:hint="cs"/>
          <w:sz w:val="24"/>
          <w:szCs w:val="24"/>
          <w:rtl/>
        </w:rPr>
        <w:t xml:space="preserve">. </w:t>
      </w:r>
      <w:r w:rsidR="008A26E6">
        <w:rPr>
          <w:rFonts w:asciiTheme="majorBidi" w:hAnsiTheme="majorBidi" w:cstheme="majorBidi" w:hint="cs"/>
          <w:sz w:val="24"/>
          <w:szCs w:val="24"/>
          <w:rtl/>
        </w:rPr>
        <w:t xml:space="preserve"> הש"ך</w:t>
      </w:r>
      <w:r w:rsidR="008A26E6">
        <w:rPr>
          <w:rStyle w:val="a5"/>
          <w:rFonts w:asciiTheme="majorBidi" w:hAnsiTheme="majorBidi" w:cstheme="majorBidi"/>
          <w:sz w:val="24"/>
          <w:szCs w:val="24"/>
          <w:rtl/>
        </w:rPr>
        <w:footnoteReference w:id="22"/>
      </w:r>
      <w:r w:rsidR="008A26E6">
        <w:rPr>
          <w:rFonts w:asciiTheme="majorBidi" w:hAnsiTheme="majorBidi" w:cstheme="majorBidi" w:hint="cs"/>
          <w:sz w:val="24"/>
          <w:szCs w:val="24"/>
          <w:rtl/>
        </w:rPr>
        <w:t xml:space="preserve"> תמה</w:t>
      </w:r>
      <w:r w:rsidR="0027464E">
        <w:rPr>
          <w:rFonts w:asciiTheme="majorBidi" w:hAnsiTheme="majorBidi" w:cstheme="majorBidi" w:hint="cs"/>
          <w:sz w:val="24"/>
          <w:szCs w:val="24"/>
          <w:rtl/>
        </w:rPr>
        <w:t xml:space="preserve"> שהטור נטה מדעת הרא"ש אביו</w:t>
      </w:r>
      <w:r w:rsidR="008A26E6">
        <w:rPr>
          <w:rFonts w:asciiTheme="majorBidi" w:hAnsiTheme="majorBidi" w:cstheme="majorBidi" w:hint="cs"/>
          <w:sz w:val="24"/>
          <w:szCs w:val="24"/>
          <w:rtl/>
        </w:rPr>
        <w:t xml:space="preserve">: </w:t>
      </w:r>
    </w:p>
    <w:p w14:paraId="4FFAE684" w14:textId="635A1D2C" w:rsidR="00596F83" w:rsidRPr="00572E36" w:rsidRDefault="008A26E6" w:rsidP="006D4EF2">
      <w:pPr>
        <w:spacing w:after="0" w:line="360" w:lineRule="auto"/>
        <w:rPr>
          <w:rFonts w:ascii="David" w:hAnsi="David" w:cs="David"/>
          <w:sz w:val="24"/>
          <w:szCs w:val="24"/>
          <w:rtl/>
        </w:rPr>
      </w:pPr>
      <w:r w:rsidRPr="008A26E6">
        <w:rPr>
          <w:rFonts w:ascii="David" w:hAnsi="David" w:cs="David"/>
          <w:sz w:val="24"/>
          <w:szCs w:val="24"/>
          <w:rtl/>
        </w:rPr>
        <w:t xml:space="preserve">"וצ"ע על הטור שלא פי' כר"ת דתלוי ברצון הדיין, דהרי משמע מהרא"ש </w:t>
      </w:r>
      <w:r w:rsidRPr="0027464E">
        <w:rPr>
          <w:rFonts w:ascii="David" w:hAnsi="David" w:cs="David"/>
          <w:sz w:val="18"/>
          <w:szCs w:val="18"/>
          <w:rtl/>
        </w:rPr>
        <w:t>פח"ה</w:t>
      </w:r>
      <w:r w:rsidRPr="008A26E6">
        <w:rPr>
          <w:rFonts w:ascii="David" w:hAnsi="David" w:cs="David"/>
          <w:sz w:val="24"/>
          <w:szCs w:val="24"/>
          <w:rtl/>
        </w:rPr>
        <w:t xml:space="preserve"> כר"ת, וכ"מ מדבריו פ' הכותב".</w:t>
      </w:r>
      <w:r w:rsidR="00572E36">
        <w:rPr>
          <w:rFonts w:ascii="David" w:hAnsi="David" w:cs="David" w:hint="cs"/>
          <w:sz w:val="24"/>
          <w:szCs w:val="24"/>
          <w:rtl/>
        </w:rPr>
        <w:t xml:space="preserve"> </w:t>
      </w:r>
    </w:p>
    <w:p w14:paraId="137479FF" w14:textId="1BD95919" w:rsidR="00AD5AB4" w:rsidRDefault="00140169" w:rsidP="008F6DF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572E36">
        <w:rPr>
          <w:rFonts w:asciiTheme="majorBidi" w:hAnsiTheme="majorBidi" w:cstheme="majorBidi" w:hint="cs"/>
          <w:b/>
          <w:bCs/>
          <w:sz w:val="24"/>
          <w:szCs w:val="24"/>
          <w:rtl/>
        </w:rPr>
        <w:t xml:space="preserve">מי רשאי לבצע </w:t>
      </w:r>
      <w:r w:rsidR="008F1B37">
        <w:rPr>
          <w:rFonts w:asciiTheme="majorBidi" w:hAnsiTheme="majorBidi" w:cstheme="majorBidi" w:hint="cs"/>
          <w:b/>
          <w:bCs/>
          <w:sz w:val="24"/>
          <w:szCs w:val="24"/>
          <w:rtl/>
        </w:rPr>
        <w:t>שודא</w:t>
      </w:r>
    </w:p>
    <w:p w14:paraId="52CD1417" w14:textId="18CD8D6B" w:rsidR="006D4EF2" w:rsidRDefault="00572E36" w:rsidP="008F6DF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מסוגייתנו עולה שלרב נחמן הייתה זכות לבצע </w:t>
      </w:r>
      <w:r w:rsidR="008F1B37">
        <w:rPr>
          <w:rFonts w:asciiTheme="majorBidi" w:hAnsiTheme="majorBidi" w:cstheme="majorBidi" w:hint="cs"/>
          <w:sz w:val="24"/>
          <w:szCs w:val="24"/>
          <w:rtl/>
        </w:rPr>
        <w:t>שודא</w:t>
      </w:r>
      <w:r w:rsidR="006D4EF2">
        <w:rPr>
          <w:rFonts w:asciiTheme="majorBidi" w:hAnsiTheme="majorBidi" w:cstheme="majorBidi" w:hint="cs"/>
          <w:sz w:val="24"/>
          <w:szCs w:val="24"/>
          <w:rtl/>
        </w:rPr>
        <w:t>, יתר על רב ששת. עדיפות זו ניתן לבאר 1.בתוקף הסמכות, 2.במיקום הפסק, 3.בעודף החוכמה, או 4.בנימוק השגוי לפסק של רב ששת:</w:t>
      </w:r>
    </w:p>
    <w:p w14:paraId="2069D467" w14:textId="50FD4E67" w:rsidR="00536141" w:rsidRPr="0027464E" w:rsidRDefault="00572E36" w:rsidP="0027464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6D4EF2">
        <w:rPr>
          <w:rFonts w:asciiTheme="majorBidi" w:hAnsiTheme="majorBidi" w:cstheme="majorBidi" w:hint="cs"/>
          <w:sz w:val="24"/>
          <w:szCs w:val="24"/>
          <w:rtl/>
        </w:rPr>
        <w:t>"</w:t>
      </w:r>
      <w:r w:rsidR="006D4EF2" w:rsidRPr="00C560BA">
        <w:rPr>
          <w:rFonts w:ascii="David" w:hAnsi="David" w:cs="David"/>
          <w:sz w:val="24"/>
          <w:szCs w:val="24"/>
          <w:rtl/>
        </w:rPr>
        <w:t xml:space="preserve">חדא דאנא דיינא ומר לאו דיינא. </w:t>
      </w:r>
      <w:r w:rsidR="006D4EF2">
        <w:rPr>
          <w:rFonts w:ascii="David" w:hAnsi="David" w:cs="David" w:hint="cs"/>
          <w:sz w:val="24"/>
          <w:szCs w:val="24"/>
          <w:rtl/>
        </w:rPr>
        <w:t>1.</w:t>
      </w:r>
      <w:r w:rsidR="006D4EF2" w:rsidRPr="00C560BA">
        <w:rPr>
          <w:rFonts w:ascii="David" w:hAnsi="David" w:cs="David"/>
          <w:sz w:val="24"/>
          <w:szCs w:val="24"/>
          <w:rtl/>
        </w:rPr>
        <w:t>על פי ריש גלותא</w:t>
      </w:r>
      <w:r w:rsidR="00536141">
        <w:rPr>
          <w:rStyle w:val="a5"/>
          <w:rFonts w:ascii="David" w:hAnsi="David" w:cs="David"/>
          <w:sz w:val="24"/>
          <w:szCs w:val="24"/>
          <w:rtl/>
        </w:rPr>
        <w:footnoteReference w:id="23"/>
      </w:r>
      <w:r w:rsidR="006D4EF2" w:rsidRPr="00C560BA">
        <w:rPr>
          <w:rFonts w:ascii="David" w:hAnsi="David" w:cs="David"/>
          <w:sz w:val="24"/>
          <w:szCs w:val="24"/>
          <w:rtl/>
        </w:rPr>
        <w:t>, ולא נהירא</w:t>
      </w:r>
      <w:r w:rsidR="00536141">
        <w:rPr>
          <w:rFonts w:ascii="David" w:hAnsi="David" w:cs="David" w:hint="cs"/>
          <w:sz w:val="24"/>
          <w:szCs w:val="24"/>
          <w:rtl/>
        </w:rPr>
        <w:t>,</w:t>
      </w:r>
      <w:r w:rsidR="006D4EF2" w:rsidRPr="00C560BA">
        <w:rPr>
          <w:rFonts w:ascii="David" w:hAnsi="David" w:cs="David"/>
          <w:sz w:val="24"/>
          <w:szCs w:val="24"/>
          <w:rtl/>
        </w:rPr>
        <w:t xml:space="preserve"> דהא רב ששת נמי דיינא הוא דגמיר וסביר ונקיט רשותא, </w:t>
      </w:r>
      <w:r w:rsidR="00536141">
        <w:rPr>
          <w:rFonts w:ascii="David" w:hAnsi="David" w:cs="David" w:hint="cs"/>
          <w:sz w:val="24"/>
          <w:szCs w:val="24"/>
          <w:rtl/>
        </w:rPr>
        <w:t>2.</w:t>
      </w:r>
      <w:r w:rsidR="006D4EF2" w:rsidRPr="00C560BA">
        <w:rPr>
          <w:rFonts w:ascii="David" w:hAnsi="David" w:cs="David"/>
          <w:sz w:val="24"/>
          <w:szCs w:val="24"/>
          <w:rtl/>
        </w:rPr>
        <w:t xml:space="preserve">ויש שפירשו דאנא דיינא </w:t>
      </w:r>
      <w:r w:rsidR="006D4EF2" w:rsidRPr="00536141">
        <w:rPr>
          <w:rFonts w:ascii="David" w:hAnsi="David" w:cs="David"/>
          <w:b/>
          <w:bCs/>
          <w:sz w:val="24"/>
          <w:szCs w:val="24"/>
          <w:rtl/>
        </w:rPr>
        <w:t>בהאי דוכתא</w:t>
      </w:r>
      <w:r w:rsidR="00536141">
        <w:rPr>
          <w:rFonts w:ascii="David" w:hAnsi="David" w:cs="David" w:hint="cs"/>
          <w:b/>
          <w:bCs/>
          <w:sz w:val="24"/>
          <w:szCs w:val="24"/>
          <w:rtl/>
        </w:rPr>
        <w:t>,</w:t>
      </w:r>
      <w:r w:rsidR="006D4EF2" w:rsidRPr="00C560BA">
        <w:rPr>
          <w:rFonts w:ascii="David" w:hAnsi="David" w:cs="David"/>
          <w:sz w:val="24"/>
          <w:szCs w:val="24"/>
          <w:rtl/>
        </w:rPr>
        <w:t xml:space="preserve"> שהדין הזה היה במקומו של רב נחמן ואין ראוי לאחרים לעשות שודא באותו מקום, שזה כעין הפקר בית דין הוא ואין לעשותו במקום שגדול ממנו או שהוא דיין קבוע במקום ההוא שהיה ראוי לדון בו</w:t>
      </w:r>
      <w:r w:rsidR="00536141">
        <w:rPr>
          <w:rFonts w:ascii="David" w:hAnsi="David" w:cs="David" w:hint="cs"/>
          <w:sz w:val="24"/>
          <w:szCs w:val="24"/>
          <w:rtl/>
        </w:rPr>
        <w:t>.</w:t>
      </w:r>
      <w:r w:rsidR="006D4EF2" w:rsidRPr="00C560BA">
        <w:rPr>
          <w:rFonts w:ascii="David" w:hAnsi="David" w:cs="David"/>
          <w:sz w:val="24"/>
          <w:szCs w:val="24"/>
          <w:rtl/>
        </w:rPr>
        <w:t xml:space="preserve"> ומיהו הא בדיעבד שפיר דמי</w:t>
      </w:r>
      <w:r w:rsidR="0027464E">
        <w:rPr>
          <w:rFonts w:ascii="David" w:hAnsi="David" w:cs="David" w:hint="cs"/>
          <w:sz w:val="24"/>
          <w:szCs w:val="24"/>
          <w:rtl/>
        </w:rPr>
        <w:t>.</w:t>
      </w:r>
      <w:r w:rsidR="006D4EF2" w:rsidRPr="00C560BA">
        <w:rPr>
          <w:rFonts w:ascii="David" w:hAnsi="David" w:cs="David"/>
          <w:sz w:val="24"/>
          <w:szCs w:val="24"/>
          <w:rtl/>
        </w:rPr>
        <w:t xml:space="preserve"> ואין עיקר טעמו בכאן להחזיר דינו בדיעבד</w:t>
      </w:r>
      <w:r w:rsidR="00536141">
        <w:rPr>
          <w:rFonts w:ascii="David" w:hAnsi="David" w:cs="David" w:hint="cs"/>
          <w:sz w:val="24"/>
          <w:szCs w:val="24"/>
          <w:rtl/>
        </w:rPr>
        <w:t>,</w:t>
      </w:r>
      <w:r w:rsidR="006D4EF2" w:rsidRPr="00C560BA">
        <w:rPr>
          <w:rFonts w:ascii="David" w:hAnsi="David" w:cs="David"/>
          <w:sz w:val="24"/>
          <w:szCs w:val="24"/>
          <w:rtl/>
        </w:rPr>
        <w:t xml:space="preserve"> אלא משום אידך טעמא </w:t>
      </w:r>
      <w:r w:rsidR="00536141">
        <w:rPr>
          <w:rFonts w:ascii="David" w:hAnsi="David" w:cs="David" w:hint="cs"/>
          <w:sz w:val="24"/>
          <w:szCs w:val="24"/>
          <w:rtl/>
        </w:rPr>
        <w:t>4.</w:t>
      </w:r>
      <w:r w:rsidR="006D4EF2" w:rsidRPr="00C560BA">
        <w:rPr>
          <w:rFonts w:ascii="David" w:hAnsi="David" w:cs="David"/>
          <w:sz w:val="24"/>
          <w:szCs w:val="24"/>
          <w:rtl/>
        </w:rPr>
        <w:t>דמעיקרא לא אתי עלה אלא משום טעמא דאיהו קדים ועדיו בחותמיו זכין לו והוה ליה טועה בדבר משנה שהוא חוזר</w:t>
      </w:r>
      <w:r w:rsidR="00536141">
        <w:rPr>
          <w:rStyle w:val="a5"/>
          <w:rFonts w:ascii="David" w:hAnsi="David" w:cs="David"/>
          <w:sz w:val="24"/>
          <w:szCs w:val="24"/>
          <w:rtl/>
        </w:rPr>
        <w:footnoteReference w:id="24"/>
      </w:r>
      <w:r w:rsidR="00536141">
        <w:rPr>
          <w:rFonts w:asciiTheme="majorBidi" w:hAnsiTheme="majorBidi" w:cstheme="majorBidi" w:hint="cs"/>
          <w:sz w:val="24"/>
          <w:szCs w:val="24"/>
          <w:rtl/>
        </w:rPr>
        <w:t>".</w:t>
      </w:r>
      <w:r w:rsidR="0027464E">
        <w:rPr>
          <w:rFonts w:asciiTheme="majorBidi" w:hAnsiTheme="majorBidi" w:cstheme="majorBidi" w:hint="cs"/>
          <w:sz w:val="24"/>
          <w:szCs w:val="24"/>
          <w:rtl/>
        </w:rPr>
        <w:t xml:space="preserve"> </w:t>
      </w:r>
      <w:r w:rsidR="00536141">
        <w:rPr>
          <w:rFonts w:asciiTheme="majorBidi" w:hAnsiTheme="majorBidi" w:cstheme="majorBidi" w:hint="cs"/>
          <w:sz w:val="24"/>
          <w:szCs w:val="24"/>
          <w:rtl/>
        </w:rPr>
        <w:t>הר"ן</w:t>
      </w:r>
      <w:r w:rsidR="00536141">
        <w:rPr>
          <w:rStyle w:val="a5"/>
          <w:rFonts w:asciiTheme="majorBidi" w:hAnsiTheme="majorBidi" w:cstheme="majorBidi"/>
          <w:sz w:val="24"/>
          <w:szCs w:val="24"/>
          <w:rtl/>
        </w:rPr>
        <w:footnoteReference w:id="25"/>
      </w:r>
      <w:r w:rsidR="00536141">
        <w:rPr>
          <w:rFonts w:asciiTheme="majorBidi" w:hAnsiTheme="majorBidi" w:cstheme="majorBidi" w:hint="cs"/>
          <w:sz w:val="24"/>
          <w:szCs w:val="24"/>
          <w:rtl/>
        </w:rPr>
        <w:t xml:space="preserve"> הציע: </w:t>
      </w:r>
      <w:r w:rsidR="00536141">
        <w:rPr>
          <w:rFonts w:ascii="David" w:hAnsi="David" w:cs="David" w:hint="cs"/>
          <w:sz w:val="24"/>
          <w:szCs w:val="24"/>
          <w:rtl/>
        </w:rPr>
        <w:t>"</w:t>
      </w:r>
      <w:r w:rsidR="00536141" w:rsidRPr="00C560BA">
        <w:rPr>
          <w:rFonts w:ascii="David" w:hAnsi="David" w:cs="David"/>
          <w:sz w:val="24"/>
          <w:szCs w:val="24"/>
          <w:rtl/>
        </w:rPr>
        <w:t>ה"ק ליה</w:t>
      </w:r>
      <w:r w:rsidR="00536141">
        <w:rPr>
          <w:rFonts w:ascii="David" w:hAnsi="David" w:cs="David" w:hint="cs"/>
          <w:sz w:val="24"/>
          <w:szCs w:val="24"/>
          <w:rtl/>
        </w:rPr>
        <w:t>:</w:t>
      </w:r>
      <w:r w:rsidR="00536141" w:rsidRPr="00C560BA">
        <w:rPr>
          <w:rFonts w:ascii="David" w:hAnsi="David" w:cs="David"/>
          <w:sz w:val="24"/>
          <w:szCs w:val="24"/>
          <w:rtl/>
        </w:rPr>
        <w:t xml:space="preserve"> חדא</w:t>
      </w:r>
      <w:r w:rsidR="00536141">
        <w:rPr>
          <w:rFonts w:ascii="David" w:hAnsi="David" w:cs="David" w:hint="cs"/>
          <w:sz w:val="24"/>
          <w:szCs w:val="24"/>
          <w:rtl/>
        </w:rPr>
        <w:t>,</w:t>
      </w:r>
      <w:r w:rsidR="0027464E">
        <w:rPr>
          <w:rFonts w:ascii="David" w:hAnsi="David" w:cs="David" w:hint="cs"/>
          <w:sz w:val="24"/>
          <w:szCs w:val="24"/>
          <w:rtl/>
        </w:rPr>
        <w:t xml:space="preserve"> </w:t>
      </w:r>
      <w:r w:rsidR="00536141">
        <w:rPr>
          <w:rFonts w:ascii="David" w:hAnsi="David" w:cs="David" w:hint="cs"/>
          <w:sz w:val="24"/>
          <w:szCs w:val="24"/>
          <w:rtl/>
        </w:rPr>
        <w:t>3.</w:t>
      </w:r>
      <w:r w:rsidR="00536141" w:rsidRPr="00C560BA">
        <w:rPr>
          <w:rFonts w:ascii="David" w:hAnsi="David" w:cs="David"/>
          <w:sz w:val="24"/>
          <w:szCs w:val="24"/>
          <w:rtl/>
        </w:rPr>
        <w:t>דאנא בקי בדיינין ומומחה יותר, אי נמי איכא למימר דה"ק ליה</w:t>
      </w:r>
      <w:r w:rsidR="00536141">
        <w:rPr>
          <w:rFonts w:ascii="David" w:hAnsi="David" w:cs="David" w:hint="cs"/>
          <w:sz w:val="24"/>
          <w:szCs w:val="24"/>
          <w:rtl/>
        </w:rPr>
        <w:t>:</w:t>
      </w:r>
      <w:r w:rsidR="00536141" w:rsidRPr="00C560BA">
        <w:rPr>
          <w:rFonts w:ascii="David" w:hAnsi="David" w:cs="David"/>
          <w:sz w:val="24"/>
          <w:szCs w:val="24"/>
          <w:rtl/>
        </w:rPr>
        <w:t xml:space="preserve"> חדא דאנא מומחה וגדול ממך</w:t>
      </w:r>
      <w:r w:rsidR="0027464E">
        <w:rPr>
          <w:rFonts w:ascii="David" w:hAnsi="David" w:cs="David" w:hint="cs"/>
          <w:sz w:val="24"/>
          <w:szCs w:val="24"/>
          <w:rtl/>
        </w:rPr>
        <w:t>,</w:t>
      </w:r>
      <w:r w:rsidR="00536141" w:rsidRPr="00C560BA">
        <w:rPr>
          <w:rFonts w:ascii="David" w:hAnsi="David" w:cs="David"/>
          <w:sz w:val="24"/>
          <w:szCs w:val="24"/>
          <w:rtl/>
        </w:rPr>
        <w:t xml:space="preserve"> </w:t>
      </w:r>
      <w:r w:rsidR="00536141" w:rsidRPr="00536141">
        <w:rPr>
          <w:rFonts w:ascii="David" w:hAnsi="David" w:cs="David"/>
          <w:b/>
          <w:bCs/>
          <w:sz w:val="24"/>
          <w:szCs w:val="24"/>
          <w:rtl/>
        </w:rPr>
        <w:t>ושודא היכא דאיכא גדול ממנו לא כלום הוא</w:t>
      </w:r>
      <w:r w:rsidR="00536141">
        <w:rPr>
          <w:rFonts w:ascii="David" w:hAnsi="David" w:cs="David" w:hint="cs"/>
          <w:b/>
          <w:bCs/>
          <w:sz w:val="24"/>
          <w:szCs w:val="24"/>
          <w:rtl/>
        </w:rPr>
        <w:t>"</w:t>
      </w:r>
      <w:r w:rsidR="00536141" w:rsidRPr="00536141">
        <w:rPr>
          <w:rFonts w:ascii="David" w:hAnsi="David" w:cs="David"/>
          <w:b/>
          <w:bCs/>
          <w:sz w:val="24"/>
          <w:szCs w:val="24"/>
          <w:rtl/>
        </w:rPr>
        <w:t>.</w:t>
      </w:r>
    </w:p>
    <w:p w14:paraId="738DC274" w14:textId="12055E86" w:rsidR="00536141" w:rsidRDefault="000742CA" w:rsidP="006514A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משיטת רש"י משמע שאין לבצע </w:t>
      </w:r>
      <w:r w:rsidR="008F1B37">
        <w:rPr>
          <w:rFonts w:asciiTheme="majorBidi" w:hAnsiTheme="majorBidi" w:cstheme="majorBidi" w:hint="cs"/>
          <w:sz w:val="24"/>
          <w:szCs w:val="24"/>
          <w:rtl/>
        </w:rPr>
        <w:t>שודא</w:t>
      </w:r>
      <w:r>
        <w:rPr>
          <w:rFonts w:asciiTheme="majorBidi" w:hAnsiTheme="majorBidi" w:cstheme="majorBidi" w:hint="cs"/>
          <w:sz w:val="24"/>
          <w:szCs w:val="24"/>
          <w:rtl/>
        </w:rPr>
        <w:t xml:space="preserve"> בלי סמכות המינוי מראש הגלות. כאמור, בעלי התוספות מעירים, שדווקא לשיטת רש"י בביאור </w:t>
      </w:r>
      <w:r w:rsidR="008F1B37">
        <w:rPr>
          <w:rFonts w:asciiTheme="majorBidi" w:hAnsiTheme="majorBidi" w:cstheme="majorBidi" w:hint="cs"/>
          <w:sz w:val="24"/>
          <w:szCs w:val="24"/>
          <w:rtl/>
        </w:rPr>
        <w:t>שודא</w:t>
      </w:r>
      <w:r>
        <w:rPr>
          <w:rFonts w:asciiTheme="majorBidi" w:hAnsiTheme="majorBidi" w:cstheme="majorBidi" w:hint="cs"/>
          <w:sz w:val="24"/>
          <w:szCs w:val="24"/>
          <w:rtl/>
        </w:rPr>
        <w:t>, קשה לקבל שדיין איננו יכול לפסוק מסברה ללא מינוי. עוד טענו תלמידי רבינו יונה: "</w:t>
      </w:r>
      <w:r w:rsidRPr="00C560BA">
        <w:rPr>
          <w:rFonts w:ascii="David" w:hAnsi="David" w:cs="David"/>
          <w:sz w:val="24"/>
          <w:szCs w:val="24"/>
          <w:rtl/>
        </w:rPr>
        <w:t xml:space="preserve">ועוד דהא חזינן בגמרא גבי הולך מנה לפלוני וכו' הנה </w:t>
      </w:r>
      <w:r w:rsidRPr="000742CA">
        <w:rPr>
          <w:rFonts w:ascii="David" w:hAnsi="David" w:cs="David"/>
          <w:b/>
          <w:bCs/>
          <w:sz w:val="24"/>
          <w:szCs w:val="24"/>
          <w:rtl/>
        </w:rPr>
        <w:t>שאפילו השליח</w:t>
      </w:r>
      <w:r w:rsidRPr="00C560BA">
        <w:rPr>
          <w:rFonts w:ascii="David" w:hAnsi="David" w:cs="David"/>
          <w:sz w:val="24"/>
          <w:szCs w:val="24"/>
          <w:rtl/>
        </w:rPr>
        <w:t xml:space="preserve"> אמרו שיכול לעשות שודא וכ"ש הדיינין</w:t>
      </w:r>
      <w:r>
        <w:rPr>
          <w:rFonts w:ascii="David" w:hAnsi="David" w:cs="David" w:hint="cs"/>
          <w:sz w:val="24"/>
          <w:szCs w:val="24"/>
          <w:rtl/>
        </w:rPr>
        <w:t>.</w:t>
      </w:r>
      <w:r w:rsidRPr="00C560BA">
        <w:rPr>
          <w:rFonts w:ascii="David" w:hAnsi="David" w:cs="David"/>
          <w:sz w:val="24"/>
          <w:szCs w:val="24"/>
          <w:rtl/>
        </w:rPr>
        <w:t xml:space="preserve"> אבל מכל מקום </w:t>
      </w:r>
      <w:r w:rsidRPr="000742CA">
        <w:rPr>
          <w:rFonts w:ascii="David" w:hAnsi="David" w:cs="David"/>
          <w:b/>
          <w:bCs/>
          <w:sz w:val="24"/>
          <w:szCs w:val="24"/>
          <w:rtl/>
        </w:rPr>
        <w:t>הסכמת כל הגאונים ז"ל שאין לנו לדון שודא בזמן הזה</w:t>
      </w:r>
      <w:r w:rsidR="0027464E">
        <w:rPr>
          <w:rFonts w:ascii="David" w:hAnsi="David" w:cs="David" w:hint="cs"/>
          <w:b/>
          <w:bCs/>
          <w:sz w:val="24"/>
          <w:szCs w:val="24"/>
          <w:rtl/>
        </w:rPr>
        <w:t>,</w:t>
      </w:r>
      <w:r w:rsidRPr="000742CA">
        <w:rPr>
          <w:rFonts w:ascii="David" w:hAnsi="David" w:cs="David"/>
          <w:b/>
          <w:bCs/>
          <w:sz w:val="24"/>
          <w:szCs w:val="24"/>
          <w:rtl/>
        </w:rPr>
        <w:t xml:space="preserve"> כי שמא לא ידקדקו בדבר כראוי</w:t>
      </w:r>
      <w:r w:rsidR="0027464E">
        <w:rPr>
          <w:rFonts w:ascii="David" w:hAnsi="David" w:cs="David" w:hint="cs"/>
          <w:b/>
          <w:bCs/>
          <w:sz w:val="24"/>
          <w:szCs w:val="24"/>
          <w:rtl/>
        </w:rPr>
        <w:t>.</w:t>
      </w:r>
      <w:r w:rsidRPr="00C560BA">
        <w:rPr>
          <w:rFonts w:ascii="David" w:hAnsi="David" w:cs="David"/>
          <w:sz w:val="24"/>
          <w:szCs w:val="24"/>
          <w:rtl/>
        </w:rPr>
        <w:t xml:space="preserve"> ואין להרהר אחר תקנותיהם</w:t>
      </w:r>
      <w:r>
        <w:rPr>
          <w:rStyle w:val="a5"/>
          <w:rFonts w:ascii="David" w:hAnsi="David" w:cs="David"/>
          <w:sz w:val="24"/>
          <w:szCs w:val="24"/>
          <w:rtl/>
        </w:rPr>
        <w:footnoteReference w:id="26"/>
      </w:r>
      <w:r>
        <w:rPr>
          <w:rFonts w:asciiTheme="majorBidi" w:hAnsiTheme="majorBidi" w:cstheme="majorBidi" w:hint="cs"/>
          <w:sz w:val="24"/>
          <w:szCs w:val="24"/>
          <w:rtl/>
        </w:rPr>
        <w:t xml:space="preserve">". המאירי מציע </w:t>
      </w:r>
      <w:r w:rsidR="006514A4">
        <w:rPr>
          <w:rFonts w:asciiTheme="majorBidi" w:hAnsiTheme="majorBidi" w:cstheme="majorBidi" w:hint="cs"/>
          <w:sz w:val="24"/>
          <w:szCs w:val="24"/>
          <w:rtl/>
        </w:rPr>
        <w:t xml:space="preserve">קריטריון נוסף: </w:t>
      </w:r>
      <w:r w:rsidRPr="006514A4">
        <w:rPr>
          <w:rFonts w:ascii="David" w:hAnsi="David" w:cs="David"/>
          <w:sz w:val="24"/>
          <w:szCs w:val="24"/>
          <w:rtl/>
        </w:rPr>
        <w:t xml:space="preserve">"לא נאמר שודא אלא בדיין הקבוע או </w:t>
      </w:r>
      <w:r w:rsidRPr="006514A4">
        <w:rPr>
          <w:rFonts w:ascii="David" w:hAnsi="David" w:cs="David"/>
          <w:b/>
          <w:bCs/>
          <w:sz w:val="24"/>
          <w:szCs w:val="24"/>
          <w:rtl/>
        </w:rPr>
        <w:t>דיין שקבלוהו עליהם</w:t>
      </w:r>
      <w:r w:rsidR="006514A4">
        <w:rPr>
          <w:rFonts w:ascii="David" w:hAnsi="David" w:cs="David" w:hint="cs"/>
          <w:b/>
          <w:bCs/>
          <w:sz w:val="24"/>
          <w:szCs w:val="24"/>
          <w:rtl/>
        </w:rPr>
        <w:t>,</w:t>
      </w:r>
      <w:r w:rsidRPr="006514A4">
        <w:rPr>
          <w:rFonts w:ascii="David" w:hAnsi="David" w:cs="David"/>
          <w:sz w:val="24"/>
          <w:szCs w:val="24"/>
          <w:rtl/>
        </w:rPr>
        <w:t xml:space="preserve"> אבל בזו לא קבלוהו עליהם</w:t>
      </w:r>
      <w:r w:rsidR="0027464E">
        <w:rPr>
          <w:rFonts w:ascii="David" w:hAnsi="David" w:cs="David" w:hint="cs"/>
          <w:sz w:val="24"/>
          <w:szCs w:val="24"/>
          <w:rtl/>
        </w:rPr>
        <w:t>,</w:t>
      </w:r>
      <w:r w:rsidRPr="006514A4">
        <w:rPr>
          <w:rFonts w:ascii="David" w:hAnsi="David" w:cs="David"/>
          <w:sz w:val="24"/>
          <w:szCs w:val="24"/>
          <w:rtl/>
        </w:rPr>
        <w:t xml:space="preserve"> שהרי רב ששת לא הזמינם לדין אלא שמכח שטרו העמידו בנכסיו</w:t>
      </w:r>
      <w:r w:rsidR="006514A4">
        <w:rPr>
          <w:rFonts w:asciiTheme="majorBidi" w:hAnsiTheme="majorBidi" w:cstheme="majorBidi" w:hint="cs"/>
          <w:sz w:val="24"/>
          <w:szCs w:val="24"/>
          <w:rtl/>
        </w:rPr>
        <w:t>".</w:t>
      </w:r>
    </w:p>
    <w:p w14:paraId="3E29D6F1" w14:textId="74A4253E" w:rsidR="006514A4" w:rsidRDefault="00140169" w:rsidP="006514A4">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ו. </w:t>
      </w:r>
      <w:r w:rsidR="006514A4">
        <w:rPr>
          <w:rFonts w:asciiTheme="majorBidi" w:hAnsiTheme="majorBidi" w:cstheme="majorBidi" w:hint="cs"/>
          <w:b/>
          <w:bCs/>
          <w:sz w:val="24"/>
          <w:szCs w:val="24"/>
          <w:rtl/>
        </w:rPr>
        <w:t>במטלטלים</w:t>
      </w:r>
    </w:p>
    <w:p w14:paraId="673B1B53" w14:textId="2ABA3EF4" w:rsidR="00DF4665" w:rsidRPr="00DF4665" w:rsidRDefault="006514A4" w:rsidP="00DF4665">
      <w:pPr>
        <w:spacing w:after="0" w:line="360" w:lineRule="auto"/>
        <w:rPr>
          <w:rFonts w:ascii="David" w:hAnsi="David" w:cs="David"/>
          <w:sz w:val="24"/>
          <w:szCs w:val="24"/>
          <w:rtl/>
        </w:rPr>
      </w:pPr>
      <w:r>
        <w:rPr>
          <w:rFonts w:asciiTheme="majorBidi" w:hAnsiTheme="majorBidi" w:cs="Times New Roman" w:hint="cs"/>
          <w:sz w:val="24"/>
          <w:szCs w:val="24"/>
          <w:rtl/>
        </w:rPr>
        <w:t>כתבו בעלי ה</w:t>
      </w:r>
      <w:r w:rsidRPr="006514A4">
        <w:rPr>
          <w:rFonts w:asciiTheme="majorBidi" w:hAnsiTheme="majorBidi" w:cs="Times New Roman"/>
          <w:sz w:val="24"/>
          <w:szCs w:val="24"/>
          <w:rtl/>
        </w:rPr>
        <w:t>תוספות</w:t>
      </w:r>
      <w:r>
        <w:rPr>
          <w:rStyle w:val="a5"/>
          <w:rFonts w:asciiTheme="majorBidi" w:hAnsiTheme="majorBidi" w:cs="Times New Roman"/>
          <w:sz w:val="24"/>
          <w:szCs w:val="24"/>
          <w:rtl/>
        </w:rPr>
        <w:footnoteReference w:id="27"/>
      </w:r>
      <w:r w:rsidRPr="006514A4">
        <w:rPr>
          <w:rFonts w:asciiTheme="majorBidi" w:hAnsiTheme="majorBidi" w:cs="Times New Roman"/>
          <w:sz w:val="24"/>
          <w:szCs w:val="24"/>
          <w:rtl/>
        </w:rPr>
        <w:t xml:space="preserve"> </w:t>
      </w:r>
      <w:r>
        <w:rPr>
          <w:rFonts w:asciiTheme="majorBidi" w:hAnsiTheme="majorBidi" w:cstheme="majorBidi" w:hint="cs"/>
          <w:sz w:val="24"/>
          <w:szCs w:val="24"/>
          <w:rtl/>
        </w:rPr>
        <w:t xml:space="preserve"> "</w:t>
      </w:r>
      <w:r w:rsidRPr="006514A4">
        <w:rPr>
          <w:rFonts w:ascii="David" w:hAnsi="David" w:cs="David"/>
          <w:sz w:val="24"/>
          <w:szCs w:val="24"/>
          <w:rtl/>
        </w:rPr>
        <w:t>פי' ר"ח</w:t>
      </w:r>
      <w:r>
        <w:rPr>
          <w:rFonts w:ascii="David" w:hAnsi="David" w:cs="David" w:hint="cs"/>
          <w:sz w:val="24"/>
          <w:szCs w:val="24"/>
          <w:rtl/>
        </w:rPr>
        <w:t>,</w:t>
      </w:r>
      <w:r w:rsidRPr="006514A4">
        <w:rPr>
          <w:rFonts w:ascii="David" w:hAnsi="David" w:cs="David"/>
          <w:sz w:val="24"/>
          <w:szCs w:val="24"/>
          <w:rtl/>
        </w:rPr>
        <w:t xml:space="preserve"> דקבלה בידינו דשודא דדייני דוקא במקרקעי</w:t>
      </w:r>
      <w:r>
        <w:rPr>
          <w:rFonts w:ascii="David" w:hAnsi="David" w:cs="David" w:hint="cs"/>
          <w:sz w:val="24"/>
          <w:szCs w:val="24"/>
          <w:rtl/>
        </w:rPr>
        <w:t>..</w:t>
      </w:r>
      <w:r w:rsidRPr="006514A4">
        <w:rPr>
          <w:rFonts w:ascii="David" w:hAnsi="David" w:cs="David"/>
          <w:sz w:val="24"/>
          <w:szCs w:val="24"/>
          <w:rtl/>
        </w:rPr>
        <w:t xml:space="preserve"> ולי נראה שודא נמי במטלטלי</w:t>
      </w:r>
      <w:r w:rsidR="0027464E">
        <w:rPr>
          <w:rFonts w:ascii="David" w:hAnsi="David" w:cs="David" w:hint="cs"/>
          <w:sz w:val="24"/>
          <w:szCs w:val="24"/>
          <w:rtl/>
        </w:rPr>
        <w:t>,</w:t>
      </w:r>
      <w:r w:rsidRPr="006514A4">
        <w:rPr>
          <w:rFonts w:ascii="David" w:hAnsi="David" w:cs="David"/>
          <w:sz w:val="24"/>
          <w:szCs w:val="24"/>
          <w:rtl/>
        </w:rPr>
        <w:t xml:space="preserve"> דגבי שליח מייתי לה </w:t>
      </w:r>
      <w:r w:rsidRPr="0027464E">
        <w:rPr>
          <w:rFonts w:ascii="David" w:hAnsi="David" w:cs="David"/>
          <w:sz w:val="18"/>
          <w:szCs w:val="18"/>
          <w:rtl/>
        </w:rPr>
        <w:t>בפרק קמא דגטין</w:t>
      </w:r>
      <w:r>
        <w:rPr>
          <w:rFonts w:ascii="David" w:hAnsi="David" w:cs="David" w:hint="cs"/>
          <w:sz w:val="24"/>
          <w:szCs w:val="24"/>
          <w:rtl/>
        </w:rPr>
        <w:t>".</w:t>
      </w:r>
      <w:r w:rsidR="00DF4665">
        <w:rPr>
          <w:rFonts w:ascii="David" w:hAnsi="David" w:cs="David" w:hint="cs"/>
          <w:sz w:val="24"/>
          <w:szCs w:val="24"/>
          <w:rtl/>
        </w:rPr>
        <w:t xml:space="preserve"> </w:t>
      </w:r>
      <w:r w:rsidR="00DF4665" w:rsidRPr="00DF4665">
        <w:rPr>
          <w:rFonts w:asciiTheme="majorBidi" w:hAnsiTheme="majorBidi" w:cstheme="majorBidi"/>
          <w:sz w:val="24"/>
          <w:szCs w:val="24"/>
          <w:rtl/>
        </w:rPr>
        <w:t>טיעון זה דוחה הרא"ש</w:t>
      </w:r>
      <w:r w:rsidR="00DF4665">
        <w:rPr>
          <w:rStyle w:val="a5"/>
          <w:rFonts w:asciiTheme="majorBidi" w:hAnsiTheme="majorBidi" w:cstheme="majorBidi"/>
          <w:sz w:val="24"/>
          <w:szCs w:val="24"/>
          <w:rtl/>
        </w:rPr>
        <w:footnoteReference w:id="28"/>
      </w:r>
      <w:r w:rsidR="00DF4665">
        <w:rPr>
          <w:rFonts w:asciiTheme="majorBidi" w:hAnsiTheme="majorBidi" w:cstheme="majorBidi" w:hint="cs"/>
          <w:sz w:val="24"/>
          <w:szCs w:val="24"/>
          <w:rtl/>
        </w:rPr>
        <w:t>:</w:t>
      </w:r>
      <w:r w:rsidR="00DF4665" w:rsidRPr="00DF4665">
        <w:rPr>
          <w:rFonts w:asciiTheme="majorBidi" w:hAnsiTheme="majorBidi" w:cstheme="majorBidi"/>
          <w:sz w:val="24"/>
          <w:szCs w:val="24"/>
          <w:rtl/>
        </w:rPr>
        <w:t xml:space="preserve">  </w:t>
      </w:r>
    </w:p>
    <w:p w14:paraId="5938A72D" w14:textId="281F5CF3" w:rsidR="00DF4665" w:rsidRPr="00DF4665" w:rsidRDefault="00DF4665" w:rsidP="00DF4665">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DF4665">
        <w:rPr>
          <w:rFonts w:ascii="David" w:hAnsi="David" w:cs="David"/>
          <w:sz w:val="24"/>
          <w:szCs w:val="24"/>
          <w:rtl/>
        </w:rPr>
        <w:t>דרבינו חננאל קאמר בשודא דדייני הבא לפני הדיין אבל ההיא דשליש</w:t>
      </w:r>
      <w:r>
        <w:rPr>
          <w:rFonts w:ascii="David" w:hAnsi="David" w:cs="David" w:hint="cs"/>
          <w:sz w:val="24"/>
          <w:szCs w:val="24"/>
          <w:rtl/>
        </w:rPr>
        <w:t>,</w:t>
      </w:r>
      <w:r w:rsidRPr="00DF4665">
        <w:rPr>
          <w:rFonts w:ascii="David" w:hAnsi="David" w:cs="David"/>
          <w:sz w:val="24"/>
          <w:szCs w:val="24"/>
          <w:rtl/>
        </w:rPr>
        <w:t xml:space="preserve"> </w:t>
      </w:r>
      <w:r w:rsidRPr="00DF4665">
        <w:rPr>
          <w:rFonts w:ascii="David" w:hAnsi="David" w:cs="David"/>
          <w:b/>
          <w:bCs/>
          <w:sz w:val="24"/>
          <w:szCs w:val="24"/>
          <w:rtl/>
        </w:rPr>
        <w:t xml:space="preserve">עליו </w:t>
      </w:r>
      <w:r w:rsidRPr="00DF4665">
        <w:rPr>
          <w:rFonts w:ascii="David" w:hAnsi="David" w:cs="David"/>
          <w:sz w:val="24"/>
          <w:szCs w:val="24"/>
          <w:rtl/>
        </w:rPr>
        <w:t>היה מוטל לעשות שודא דדייני</w:t>
      </w:r>
      <w:r>
        <w:rPr>
          <w:rFonts w:ascii="David" w:hAnsi="David" w:cs="David" w:hint="cs"/>
          <w:sz w:val="24"/>
          <w:szCs w:val="24"/>
          <w:rtl/>
        </w:rPr>
        <w:t xml:space="preserve">". </w:t>
      </w:r>
      <w:r>
        <w:rPr>
          <w:rFonts w:asciiTheme="majorBidi" w:hAnsiTheme="majorBidi" w:cstheme="majorBidi" w:hint="cs"/>
          <w:sz w:val="24"/>
          <w:szCs w:val="24"/>
          <w:rtl/>
        </w:rPr>
        <w:t xml:space="preserve">הרמ"א מביא להלכה את שני הסייגים: </w:t>
      </w:r>
    </w:p>
    <w:p w14:paraId="0D0A6D69" w14:textId="77777777" w:rsidR="008D0EB1" w:rsidRDefault="00DF4665" w:rsidP="008D0EB1">
      <w:pPr>
        <w:spacing w:after="0" w:line="360" w:lineRule="auto"/>
        <w:rPr>
          <w:rFonts w:ascii="David" w:hAnsi="David" w:cs="Guttman Yad-Brush"/>
          <w:sz w:val="18"/>
          <w:szCs w:val="18"/>
          <w:rtl/>
        </w:rPr>
      </w:pPr>
      <w:r>
        <w:rPr>
          <w:rFonts w:ascii="David" w:hAnsi="David" w:cs="Guttman Yad-Brush" w:hint="cs"/>
          <w:sz w:val="18"/>
          <w:szCs w:val="18"/>
          <w:rtl/>
        </w:rPr>
        <w:t>""</w:t>
      </w:r>
      <w:r w:rsidRPr="00DF4665">
        <w:rPr>
          <w:rFonts w:ascii="David" w:hAnsi="David" w:cs="Guttman Yad-Brush"/>
          <w:sz w:val="18"/>
          <w:szCs w:val="18"/>
          <w:rtl/>
        </w:rPr>
        <w:t>י"א שאין דנין דין שודא דדייני רק</w:t>
      </w:r>
      <w:r w:rsidRPr="00DF4665">
        <w:rPr>
          <w:rFonts w:ascii="David" w:hAnsi="David" w:cs="Guttman Yad-Brush" w:hint="cs"/>
          <w:sz w:val="18"/>
          <w:szCs w:val="18"/>
          <w:rtl/>
        </w:rPr>
        <w:t xml:space="preserve"> </w:t>
      </w:r>
      <w:r w:rsidRPr="00DF4665">
        <w:rPr>
          <w:rFonts w:ascii="David" w:hAnsi="David" w:cs="Guttman Yad-Brush"/>
          <w:sz w:val="18"/>
          <w:szCs w:val="18"/>
          <w:rtl/>
        </w:rPr>
        <w:t xml:space="preserve">בדיין מומחה ובקרקע </w:t>
      </w:r>
      <w:r w:rsidRPr="00DF4665">
        <w:rPr>
          <w:rFonts w:ascii="David" w:hAnsi="David" w:cs="Guttman Yad-Brush"/>
          <w:sz w:val="16"/>
          <w:szCs w:val="16"/>
          <w:rtl/>
        </w:rPr>
        <w:t>(טור בשם ר"ח).</w:t>
      </w:r>
      <w:r w:rsidRPr="00DF4665">
        <w:rPr>
          <w:rFonts w:ascii="David" w:hAnsi="David" w:cs="Guttman Yad-Brush"/>
          <w:sz w:val="18"/>
          <w:szCs w:val="18"/>
          <w:rtl/>
        </w:rPr>
        <w:t xml:space="preserve"> ויש אומרים דאף במטלטלים, כל שאין אחד מוחזק בהן </w:t>
      </w:r>
      <w:r w:rsidRPr="00DF4665">
        <w:rPr>
          <w:rFonts w:ascii="David" w:hAnsi="David" w:cs="Guttman Yad-Brush"/>
          <w:sz w:val="16"/>
          <w:szCs w:val="16"/>
          <w:rtl/>
        </w:rPr>
        <w:t>(שם בשם ר"י כ"כ התוס' שם ובמרדכי)</w:t>
      </w:r>
      <w:r w:rsidRPr="00DF4665">
        <w:rPr>
          <w:rStyle w:val="a5"/>
          <w:rFonts w:ascii="David" w:hAnsi="David" w:cs="Guttman Yad-Brush"/>
          <w:sz w:val="18"/>
          <w:szCs w:val="18"/>
          <w:rtl/>
        </w:rPr>
        <w:footnoteReference w:id="29"/>
      </w:r>
      <w:r>
        <w:rPr>
          <w:rFonts w:ascii="David" w:hAnsi="David" w:cs="Guttman Yad-Brush" w:hint="cs"/>
          <w:sz w:val="16"/>
          <w:szCs w:val="16"/>
          <w:rtl/>
        </w:rPr>
        <w:t>"</w:t>
      </w:r>
      <w:r w:rsidRPr="00DF4665">
        <w:rPr>
          <w:rFonts w:ascii="David" w:hAnsi="David" w:cs="Guttman Yad-Brush"/>
          <w:sz w:val="18"/>
          <w:szCs w:val="18"/>
          <w:rtl/>
        </w:rPr>
        <w:t>.</w:t>
      </w:r>
      <w:r w:rsidR="008D0EB1">
        <w:rPr>
          <w:rFonts w:ascii="David" w:hAnsi="David" w:cs="Guttman Yad-Brush" w:hint="cs"/>
          <w:sz w:val="18"/>
          <w:szCs w:val="18"/>
          <w:rtl/>
        </w:rPr>
        <w:t xml:space="preserve"> </w:t>
      </w:r>
    </w:p>
    <w:p w14:paraId="7E1EEF6E" w14:textId="680FF442" w:rsidR="006514A4" w:rsidRPr="008D0EB1" w:rsidRDefault="008D0EB1" w:rsidP="008D0EB1">
      <w:pPr>
        <w:spacing w:after="0" w:line="360" w:lineRule="auto"/>
        <w:rPr>
          <w:rFonts w:ascii="David" w:hAnsi="David" w:cs="David"/>
          <w:sz w:val="24"/>
          <w:szCs w:val="24"/>
          <w:rtl/>
        </w:rPr>
      </w:pPr>
      <w:r w:rsidRPr="008D0EB1">
        <w:rPr>
          <w:rFonts w:asciiTheme="majorBidi" w:hAnsiTheme="majorBidi" w:cstheme="majorBidi"/>
          <w:sz w:val="24"/>
          <w:szCs w:val="24"/>
          <w:rtl/>
        </w:rPr>
        <w:t>כתב הש"ך:</w:t>
      </w:r>
      <w:r>
        <w:rPr>
          <w:rFonts w:ascii="David" w:hAnsi="David" w:cs="David" w:hint="cs"/>
          <w:sz w:val="24"/>
          <w:szCs w:val="24"/>
          <w:rtl/>
        </w:rPr>
        <w:t xml:space="preserve"> "</w:t>
      </w:r>
      <w:r w:rsidRPr="008D0EB1">
        <w:rPr>
          <w:rFonts w:ascii="David" w:hAnsi="David" w:cs="David"/>
          <w:sz w:val="24"/>
          <w:szCs w:val="24"/>
          <w:rtl/>
        </w:rPr>
        <w:t xml:space="preserve">וצ"ע בזמן הזה </w:t>
      </w:r>
      <w:r w:rsidRPr="008D0EB1">
        <w:rPr>
          <w:rFonts w:ascii="David" w:hAnsi="David" w:cs="David"/>
          <w:sz w:val="18"/>
          <w:szCs w:val="18"/>
          <w:rtl/>
        </w:rPr>
        <w:t>ע"ל סי' ג' וכ"ג</w:t>
      </w:r>
      <w:r>
        <w:rPr>
          <w:rFonts w:ascii="David" w:hAnsi="David" w:cs="David" w:hint="cs"/>
          <w:sz w:val="24"/>
          <w:szCs w:val="24"/>
          <w:rtl/>
        </w:rPr>
        <w:t>".</w:t>
      </w:r>
    </w:p>
    <w:p w14:paraId="78C88864" w14:textId="047806C1" w:rsidR="00A41831" w:rsidRDefault="00140169" w:rsidP="00A41831">
      <w:pPr>
        <w:spacing w:after="0" w:line="360" w:lineRule="auto"/>
        <w:rPr>
          <w:rFonts w:ascii="David" w:hAnsi="David" w:cs="David"/>
          <w:color w:val="FF0000"/>
          <w:sz w:val="24"/>
          <w:szCs w:val="24"/>
          <w:rtl/>
        </w:rPr>
      </w:pPr>
      <w:r>
        <w:rPr>
          <w:rFonts w:asciiTheme="majorBidi" w:hAnsiTheme="majorBidi" w:cs="Times New Roman" w:hint="cs"/>
          <w:color w:val="FFC000" w:themeColor="accent4"/>
          <w:sz w:val="36"/>
          <w:szCs w:val="36"/>
          <w:rtl/>
        </w:rPr>
        <w:t xml:space="preserve"> </w:t>
      </w:r>
    </w:p>
    <w:p w14:paraId="0BA7C128" w14:textId="16FFC39B" w:rsidR="006C4D38" w:rsidRPr="00A41831" w:rsidRDefault="006C4D38" w:rsidP="00A41831">
      <w:pPr>
        <w:spacing w:after="0" w:line="360" w:lineRule="auto"/>
        <w:rPr>
          <w:rFonts w:ascii="David" w:hAnsi="David" w:cs="David"/>
          <w:color w:val="FF0000"/>
          <w:sz w:val="24"/>
          <w:szCs w:val="24"/>
        </w:rPr>
      </w:pPr>
      <w:r>
        <w:drawing>
          <wp:inline distT="0" distB="0" distL="0" distR="0" wp14:anchorId="6CFFE227" wp14:editId="2F93F1FF">
            <wp:extent cx="3733800" cy="25812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33800" cy="2581275"/>
                    </a:xfrm>
                    <a:prstGeom prst="rect">
                      <a:avLst/>
                    </a:prstGeom>
                  </pic:spPr>
                </pic:pic>
              </a:graphicData>
            </a:graphic>
          </wp:inline>
        </w:drawing>
      </w:r>
    </w:p>
    <w:sectPr w:rsidR="006C4D38" w:rsidRPr="00A41831"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A29D" w14:textId="77777777" w:rsidR="0085158C" w:rsidRDefault="0085158C" w:rsidP="00EE393F">
      <w:pPr>
        <w:spacing w:after="0" w:line="240" w:lineRule="auto"/>
      </w:pPr>
      <w:r>
        <w:separator/>
      </w:r>
    </w:p>
  </w:endnote>
  <w:endnote w:type="continuationSeparator" w:id="0">
    <w:p w14:paraId="24783DFD" w14:textId="77777777" w:rsidR="0085158C" w:rsidRDefault="0085158C" w:rsidP="00EE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2530" w14:textId="77777777" w:rsidR="0085158C" w:rsidRDefault="0085158C" w:rsidP="00EE393F">
      <w:pPr>
        <w:spacing w:after="0" w:line="240" w:lineRule="auto"/>
      </w:pPr>
      <w:r>
        <w:separator/>
      </w:r>
    </w:p>
  </w:footnote>
  <w:footnote w:type="continuationSeparator" w:id="0">
    <w:p w14:paraId="44E4806E" w14:textId="77777777" w:rsidR="0085158C" w:rsidRDefault="0085158C" w:rsidP="00EE393F">
      <w:pPr>
        <w:spacing w:after="0" w:line="240" w:lineRule="auto"/>
      </w:pPr>
      <w:r>
        <w:continuationSeparator/>
      </w:r>
    </w:p>
  </w:footnote>
  <w:footnote w:id="1">
    <w:p w14:paraId="05918D4B" w14:textId="13617DAC" w:rsidR="00AD5AB4" w:rsidRPr="00AD5AB4" w:rsidRDefault="00AD5AB4" w:rsidP="00AD5AB4">
      <w:pPr>
        <w:spacing w:after="0" w:line="360" w:lineRule="auto"/>
        <w:rPr>
          <w:rFonts w:asciiTheme="majorBidi" w:hAnsiTheme="majorBidi" w:cstheme="majorBidi"/>
          <w:sz w:val="20"/>
          <w:szCs w:val="20"/>
          <w:rtl/>
        </w:rPr>
      </w:pPr>
      <w:r w:rsidRPr="00AD5AB4">
        <w:rPr>
          <w:rStyle w:val="a5"/>
          <w:rFonts w:asciiTheme="majorBidi" w:hAnsiTheme="majorBidi" w:cstheme="majorBidi"/>
          <w:sz w:val="20"/>
          <w:szCs w:val="20"/>
        </w:rPr>
        <w:footnoteRef/>
      </w:r>
      <w:r w:rsidRPr="00AD5AB4">
        <w:rPr>
          <w:rFonts w:asciiTheme="majorBidi" w:hAnsiTheme="majorBidi" w:cstheme="majorBidi"/>
          <w:sz w:val="20"/>
          <w:szCs w:val="20"/>
          <w:rtl/>
        </w:rPr>
        <w:t xml:space="preserve">  דף צד עמוד א.</w:t>
      </w:r>
    </w:p>
  </w:footnote>
  <w:footnote w:id="2">
    <w:p w14:paraId="7D32C60F" w14:textId="1E1EDA59" w:rsidR="00EE393F" w:rsidRPr="00AD5AB4" w:rsidRDefault="00EE393F" w:rsidP="00AD5AB4">
      <w:pPr>
        <w:spacing w:after="0" w:line="360" w:lineRule="auto"/>
        <w:rPr>
          <w:rFonts w:asciiTheme="majorBidi" w:hAnsiTheme="majorBidi" w:cstheme="majorBidi"/>
          <w:sz w:val="20"/>
          <w:szCs w:val="20"/>
        </w:rPr>
      </w:pPr>
      <w:r w:rsidRPr="00AD5AB4">
        <w:rPr>
          <w:rStyle w:val="a5"/>
          <w:rFonts w:asciiTheme="majorBidi" w:hAnsiTheme="majorBidi" w:cstheme="majorBidi"/>
          <w:sz w:val="20"/>
          <w:szCs w:val="20"/>
        </w:rPr>
        <w:footnoteRef/>
      </w:r>
      <w:r w:rsidRPr="00AD5AB4">
        <w:rPr>
          <w:rFonts w:asciiTheme="majorBidi" w:hAnsiTheme="majorBidi" w:cstheme="majorBidi"/>
          <w:sz w:val="20"/>
          <w:szCs w:val="20"/>
          <w:rtl/>
        </w:rPr>
        <w:t xml:space="preserve">  </w:t>
      </w:r>
      <w:r w:rsidRPr="00AD5AB4">
        <w:rPr>
          <w:rFonts w:asciiTheme="majorBidi" w:hAnsiTheme="majorBidi" w:cstheme="majorBidi"/>
          <w:sz w:val="20"/>
          <w:szCs w:val="20"/>
          <w:rtl/>
        </w:rPr>
        <w:t>דף פה עמוד ב.</w:t>
      </w:r>
    </w:p>
  </w:footnote>
  <w:footnote w:id="3">
    <w:p w14:paraId="628E1CF5" w14:textId="31EE5624" w:rsidR="008F6DF2" w:rsidRPr="00AD5AB4" w:rsidRDefault="008F6DF2" w:rsidP="00AD5AB4">
      <w:pPr>
        <w:pStyle w:val="a3"/>
        <w:spacing w:line="360" w:lineRule="auto"/>
        <w:rPr>
          <w:rFonts w:asciiTheme="majorBidi" w:hAnsiTheme="majorBidi" w:cstheme="majorBidi"/>
        </w:rPr>
      </w:pPr>
      <w:r w:rsidRPr="00AD5AB4">
        <w:rPr>
          <w:rStyle w:val="a5"/>
          <w:rFonts w:asciiTheme="majorBidi" w:hAnsiTheme="majorBidi" w:cstheme="majorBidi"/>
        </w:rPr>
        <w:footnoteRef/>
      </w:r>
      <w:r w:rsidRPr="00AD5AB4">
        <w:rPr>
          <w:rFonts w:asciiTheme="majorBidi" w:hAnsiTheme="majorBidi" w:cstheme="majorBidi"/>
          <w:rtl/>
        </w:rPr>
        <w:t xml:space="preserve"> </w:t>
      </w:r>
      <w:r w:rsidRPr="00AD5AB4">
        <w:rPr>
          <w:rFonts w:asciiTheme="majorBidi" w:hAnsiTheme="majorBidi" w:cstheme="majorBidi"/>
          <w:rtl/>
        </w:rPr>
        <w:t>מסכת קידושין דף עד עמוד א.</w:t>
      </w:r>
    </w:p>
  </w:footnote>
  <w:footnote w:id="4">
    <w:p w14:paraId="65508DCD" w14:textId="1A9B3508" w:rsidR="00D274AA" w:rsidRPr="00F822C6" w:rsidRDefault="00D274AA" w:rsidP="006D4EF2">
      <w:pPr>
        <w:pStyle w:val="a3"/>
        <w:spacing w:line="360" w:lineRule="auto"/>
        <w:rPr>
          <w:rFonts w:asciiTheme="majorBidi" w:hAnsiTheme="majorBidi" w:cstheme="majorBidi"/>
        </w:rPr>
      </w:pPr>
      <w:r w:rsidRPr="00F822C6">
        <w:rPr>
          <w:rStyle w:val="a5"/>
          <w:rFonts w:asciiTheme="majorBidi" w:hAnsiTheme="majorBidi" w:cstheme="majorBidi"/>
        </w:rPr>
        <w:footnoteRef/>
      </w:r>
      <w:r w:rsidRPr="00F822C6">
        <w:rPr>
          <w:rFonts w:asciiTheme="majorBidi" w:hAnsiTheme="majorBidi" w:cstheme="majorBidi"/>
          <w:rtl/>
        </w:rPr>
        <w:t xml:space="preserve"> </w:t>
      </w:r>
      <w:r w:rsidRPr="00F822C6">
        <w:rPr>
          <w:rFonts w:asciiTheme="majorBidi" w:hAnsiTheme="majorBidi" w:cstheme="majorBidi"/>
          <w:rtl/>
        </w:rPr>
        <w:t>מסכת גיטין דף יד עמוד ב.</w:t>
      </w:r>
    </w:p>
  </w:footnote>
  <w:footnote w:id="5">
    <w:p w14:paraId="3D1435BF" w14:textId="27C1C97F" w:rsidR="004F2111" w:rsidRPr="00E45987" w:rsidRDefault="004F2111" w:rsidP="00E45987">
      <w:pPr>
        <w:spacing w:after="0" w:line="360" w:lineRule="auto"/>
        <w:rPr>
          <w:rFonts w:asciiTheme="majorBidi" w:hAnsiTheme="majorBidi" w:cs="Times New Roman"/>
          <w:sz w:val="20"/>
          <w:szCs w:val="20"/>
          <w:rtl/>
        </w:rPr>
      </w:pPr>
      <w:r w:rsidRPr="004F2111">
        <w:rPr>
          <w:rStyle w:val="a5"/>
          <w:sz w:val="20"/>
          <w:szCs w:val="20"/>
        </w:rPr>
        <w:footnoteRef/>
      </w:r>
      <w:r w:rsidRPr="004F2111">
        <w:rPr>
          <w:sz w:val="20"/>
          <w:szCs w:val="20"/>
          <w:rtl/>
        </w:rPr>
        <w:t xml:space="preserve"> </w:t>
      </w:r>
      <w:r w:rsidRPr="004F2111">
        <w:rPr>
          <w:rFonts w:asciiTheme="majorBidi" w:hAnsiTheme="majorBidi" w:cs="Times New Roman"/>
          <w:sz w:val="20"/>
          <w:szCs w:val="20"/>
          <w:rtl/>
        </w:rPr>
        <w:t xml:space="preserve">רש"י </w:t>
      </w:r>
      <w:r w:rsidRPr="004F2111">
        <w:rPr>
          <w:rFonts w:asciiTheme="majorBidi" w:hAnsiTheme="majorBidi" w:cs="Times New Roman" w:hint="cs"/>
          <w:sz w:val="20"/>
          <w:szCs w:val="20"/>
          <w:rtl/>
        </w:rPr>
        <w:t>ד"ה אטו.</w:t>
      </w:r>
    </w:p>
  </w:footnote>
  <w:footnote w:id="6">
    <w:p w14:paraId="0595257C" w14:textId="31CD957C" w:rsidR="00E45987" w:rsidRPr="00E45987" w:rsidRDefault="00E45987" w:rsidP="00E45987">
      <w:pPr>
        <w:pStyle w:val="a3"/>
        <w:spacing w:line="360" w:lineRule="auto"/>
        <w:rPr>
          <w:rFonts w:asciiTheme="majorBidi" w:hAnsiTheme="majorBidi" w:cstheme="majorBidi"/>
        </w:rPr>
      </w:pPr>
      <w:r w:rsidRPr="00E45987">
        <w:rPr>
          <w:rStyle w:val="a5"/>
          <w:rFonts w:asciiTheme="majorBidi" w:hAnsiTheme="majorBidi" w:cstheme="majorBidi"/>
        </w:rPr>
        <w:footnoteRef/>
      </w:r>
      <w:r w:rsidRPr="00E45987">
        <w:rPr>
          <w:rFonts w:asciiTheme="majorBidi" w:hAnsiTheme="majorBidi" w:cstheme="majorBidi"/>
          <w:rtl/>
        </w:rPr>
        <w:t xml:space="preserve"> </w:t>
      </w:r>
      <w:r w:rsidRPr="00E45987">
        <w:rPr>
          <w:rFonts w:asciiTheme="majorBidi" w:hAnsiTheme="majorBidi" w:cstheme="majorBidi"/>
          <w:rtl/>
        </w:rPr>
        <w:t>סימן יג.</w:t>
      </w:r>
    </w:p>
  </w:footnote>
  <w:footnote w:id="7">
    <w:p w14:paraId="4C7C88A2" w14:textId="063B2D7A" w:rsidR="008B5669" w:rsidRPr="008B5669" w:rsidRDefault="008B5669" w:rsidP="008B5669">
      <w:pPr>
        <w:pStyle w:val="a3"/>
        <w:spacing w:line="360" w:lineRule="auto"/>
        <w:rPr>
          <w:rFonts w:asciiTheme="majorBidi" w:hAnsiTheme="majorBidi" w:cstheme="majorBidi"/>
        </w:rPr>
      </w:pPr>
      <w:r w:rsidRPr="008B5669">
        <w:rPr>
          <w:rStyle w:val="a5"/>
          <w:rFonts w:asciiTheme="majorBidi" w:hAnsiTheme="majorBidi" w:cstheme="majorBidi"/>
        </w:rPr>
        <w:footnoteRef/>
      </w:r>
      <w:r w:rsidRPr="008B5669">
        <w:rPr>
          <w:rFonts w:asciiTheme="majorBidi" w:hAnsiTheme="majorBidi" w:cstheme="majorBidi"/>
          <w:rtl/>
        </w:rPr>
        <w:t xml:space="preserve"> </w:t>
      </w:r>
      <w:r w:rsidRPr="008B5669">
        <w:rPr>
          <w:rFonts w:asciiTheme="majorBidi" w:hAnsiTheme="majorBidi" w:cstheme="majorBidi"/>
          <w:rtl/>
        </w:rPr>
        <w:t>רבי עקיבא איגר דף צד עמוד א.</w:t>
      </w:r>
    </w:p>
  </w:footnote>
  <w:footnote w:id="8">
    <w:p w14:paraId="77D5E47C" w14:textId="73A49158" w:rsidR="008B5669" w:rsidRPr="008B5669" w:rsidRDefault="008B5669" w:rsidP="008B5669">
      <w:pPr>
        <w:pStyle w:val="a3"/>
        <w:spacing w:line="360" w:lineRule="auto"/>
        <w:rPr>
          <w:rFonts w:asciiTheme="majorBidi" w:hAnsiTheme="majorBidi" w:cstheme="majorBidi"/>
        </w:rPr>
      </w:pPr>
      <w:r w:rsidRPr="008B5669">
        <w:rPr>
          <w:rStyle w:val="a5"/>
          <w:rFonts w:asciiTheme="majorBidi" w:hAnsiTheme="majorBidi" w:cstheme="majorBidi"/>
        </w:rPr>
        <w:footnoteRef/>
      </w:r>
      <w:r w:rsidRPr="008B5669">
        <w:rPr>
          <w:rFonts w:asciiTheme="majorBidi" w:hAnsiTheme="majorBidi" w:cstheme="majorBidi"/>
          <w:rtl/>
        </w:rPr>
        <w:t xml:space="preserve"> </w:t>
      </w:r>
      <w:r w:rsidRPr="008B5669">
        <w:rPr>
          <w:rFonts w:asciiTheme="majorBidi" w:hAnsiTheme="majorBidi" w:cstheme="majorBidi"/>
          <w:rtl/>
        </w:rPr>
        <w:t xml:space="preserve">רע"א מקשה, שלפי זה היה צריך רב נחמן לטעון גם שהלכה כרבי אלעזר. </w:t>
      </w:r>
    </w:p>
  </w:footnote>
  <w:footnote w:id="9">
    <w:p w14:paraId="5C8E97B7" w14:textId="733B035B" w:rsidR="00944149" w:rsidRPr="00944149" w:rsidRDefault="00944149" w:rsidP="001B02AC">
      <w:pPr>
        <w:pStyle w:val="a3"/>
        <w:spacing w:line="360" w:lineRule="auto"/>
        <w:rPr>
          <w:rFonts w:asciiTheme="majorBidi" w:hAnsiTheme="majorBidi" w:cstheme="majorBidi"/>
        </w:rPr>
      </w:pPr>
      <w:r w:rsidRPr="00944149">
        <w:rPr>
          <w:rStyle w:val="a5"/>
          <w:rFonts w:asciiTheme="majorBidi" w:hAnsiTheme="majorBidi" w:cstheme="majorBidi"/>
        </w:rPr>
        <w:footnoteRef/>
      </w:r>
      <w:r w:rsidRPr="00944149">
        <w:rPr>
          <w:rFonts w:asciiTheme="majorBidi" w:hAnsiTheme="majorBidi" w:cstheme="majorBidi"/>
          <w:rtl/>
        </w:rPr>
        <w:t xml:space="preserve"> </w:t>
      </w:r>
      <w:r w:rsidRPr="00944149">
        <w:rPr>
          <w:rFonts w:asciiTheme="majorBidi" w:hAnsiTheme="majorBidi" w:cstheme="majorBidi"/>
          <w:rtl/>
        </w:rPr>
        <w:t>ד"ה כתב.</w:t>
      </w:r>
    </w:p>
  </w:footnote>
  <w:footnote w:id="10">
    <w:p w14:paraId="0E21B661" w14:textId="6A73E314" w:rsidR="001B02AC" w:rsidRDefault="001B02AC" w:rsidP="00FC6B14">
      <w:pPr>
        <w:pStyle w:val="a3"/>
        <w:rPr>
          <w:rFonts w:asciiTheme="majorBidi" w:hAnsiTheme="majorBidi" w:cs="Times New Roman"/>
          <w:rtl/>
        </w:rPr>
      </w:pPr>
      <w:r w:rsidRPr="001B02AC">
        <w:rPr>
          <w:rStyle w:val="a5"/>
          <w:rFonts w:asciiTheme="majorBidi" w:hAnsiTheme="majorBidi" w:cstheme="majorBidi"/>
        </w:rPr>
        <w:footnoteRef/>
      </w:r>
      <w:r w:rsidRPr="001B02AC">
        <w:rPr>
          <w:rFonts w:asciiTheme="majorBidi" w:hAnsiTheme="majorBidi" w:cstheme="majorBidi"/>
          <w:rtl/>
        </w:rPr>
        <w:t xml:space="preserve"> </w:t>
      </w:r>
      <w:r w:rsidRPr="001B02AC">
        <w:rPr>
          <w:rFonts w:asciiTheme="majorBidi" w:hAnsiTheme="majorBidi" w:cstheme="majorBidi"/>
          <w:rtl/>
        </w:rPr>
        <w:t>תוספות מסכת בבא מציעא דף כ עמוד א ד"ה שובר.</w:t>
      </w:r>
      <w:r w:rsidR="00FC6B14">
        <w:rPr>
          <w:rFonts w:asciiTheme="majorBidi" w:hAnsiTheme="majorBidi" w:cstheme="majorBidi" w:hint="cs"/>
          <w:rtl/>
        </w:rPr>
        <w:t xml:space="preserve"> ומהר"ן </w:t>
      </w:r>
      <w:r w:rsidR="00FC6B14">
        <w:rPr>
          <w:rFonts w:asciiTheme="majorBidi" w:hAnsiTheme="majorBidi" w:cs="Times New Roman" w:hint="cs"/>
          <w:rtl/>
        </w:rPr>
        <w:t>(</w:t>
      </w:r>
      <w:r w:rsidR="00FC6B14" w:rsidRPr="00FC6B14">
        <w:rPr>
          <w:rFonts w:asciiTheme="majorBidi" w:hAnsiTheme="majorBidi" w:cs="Times New Roman"/>
          <w:rtl/>
        </w:rPr>
        <w:t>על הרי"ף מסכת גיטין דף מז עמוד א</w:t>
      </w:r>
      <w:r w:rsidR="00FC6B14">
        <w:rPr>
          <w:rFonts w:asciiTheme="majorBidi" w:hAnsiTheme="majorBidi" w:cstheme="majorBidi" w:hint="cs"/>
          <w:rtl/>
        </w:rPr>
        <w:t xml:space="preserve">) עולה שאין ראיות התוספות </w:t>
      </w:r>
      <w:r w:rsidR="00FC6B14">
        <w:rPr>
          <w:rFonts w:asciiTheme="majorBidi" w:hAnsiTheme="majorBidi" w:cs="Times New Roman" w:hint="cs"/>
          <w:rtl/>
        </w:rPr>
        <w:t>מוכרחות.</w:t>
      </w:r>
    </w:p>
    <w:p w14:paraId="7ADB66A8" w14:textId="77777777" w:rsidR="00FC6B14" w:rsidRPr="001B02AC" w:rsidRDefault="00FC6B14" w:rsidP="00FC6B14">
      <w:pPr>
        <w:pStyle w:val="a3"/>
        <w:rPr>
          <w:rFonts w:asciiTheme="majorBidi" w:hAnsiTheme="majorBidi" w:cstheme="majorBidi"/>
        </w:rPr>
      </w:pPr>
    </w:p>
  </w:footnote>
  <w:footnote w:id="11">
    <w:p w14:paraId="5B1395E6" w14:textId="0C58A7B5" w:rsidR="006E3EA1" w:rsidRPr="006D4EF2" w:rsidRDefault="006E3EA1" w:rsidP="008B5669">
      <w:pPr>
        <w:pStyle w:val="a3"/>
        <w:spacing w:line="360" w:lineRule="auto"/>
      </w:pPr>
      <w:r w:rsidRPr="006D4EF2">
        <w:rPr>
          <w:rStyle w:val="a5"/>
        </w:rPr>
        <w:footnoteRef/>
      </w:r>
      <w:r w:rsidRPr="006D4EF2">
        <w:rPr>
          <w:rtl/>
        </w:rPr>
        <w:t xml:space="preserve"> </w:t>
      </w:r>
      <w:r w:rsidRPr="006D4EF2">
        <w:rPr>
          <w:rFonts w:asciiTheme="majorBidi" w:hAnsiTheme="majorBidi" w:cs="Times New Roman"/>
          <w:rtl/>
        </w:rPr>
        <w:t xml:space="preserve">רש"י </w:t>
      </w:r>
      <w:r w:rsidRPr="006D4EF2">
        <w:rPr>
          <w:rFonts w:asciiTheme="majorBidi" w:hAnsiTheme="majorBidi" w:cs="Times New Roman" w:hint="cs"/>
          <w:rtl/>
        </w:rPr>
        <w:t xml:space="preserve"> </w:t>
      </w:r>
      <w:r w:rsidRPr="006D4EF2">
        <w:rPr>
          <w:rFonts w:asciiTheme="majorBidi" w:hAnsiTheme="majorBidi" w:cs="Times New Roman"/>
          <w:rtl/>
        </w:rPr>
        <w:t xml:space="preserve"> דף פה עמוד ב</w:t>
      </w:r>
      <w:r w:rsidRPr="006D4EF2">
        <w:rPr>
          <w:rFonts w:asciiTheme="majorBidi" w:hAnsiTheme="majorBidi" w:cstheme="majorBidi" w:hint="cs"/>
          <w:rtl/>
        </w:rPr>
        <w:t xml:space="preserve"> </w:t>
      </w:r>
      <w:r w:rsidRPr="006D4EF2">
        <w:rPr>
          <w:rFonts w:asciiTheme="majorBidi" w:hAnsiTheme="majorBidi" w:cs="Times New Roman" w:hint="cs"/>
          <w:rtl/>
        </w:rPr>
        <w:t xml:space="preserve"> ד"ה ת"ח.</w:t>
      </w:r>
    </w:p>
  </w:footnote>
  <w:footnote w:id="12">
    <w:p w14:paraId="06BA94A0" w14:textId="464329B1" w:rsidR="009C7D24" w:rsidRPr="006D4EF2" w:rsidRDefault="009C7D24" w:rsidP="006D4EF2">
      <w:pPr>
        <w:pStyle w:val="a3"/>
        <w:spacing w:line="360" w:lineRule="auto"/>
        <w:rPr>
          <w:rFonts w:asciiTheme="majorBidi" w:hAnsiTheme="majorBidi" w:cstheme="majorBidi"/>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תוספות  דף צד עמוד ב ד"ה לימא.</w:t>
      </w:r>
    </w:p>
  </w:footnote>
  <w:footnote w:id="13">
    <w:p w14:paraId="1DCD7211" w14:textId="6228D05B" w:rsidR="00F253E5" w:rsidRPr="00F253E5" w:rsidRDefault="00F253E5" w:rsidP="00F253E5">
      <w:pPr>
        <w:pStyle w:val="a3"/>
        <w:spacing w:line="360" w:lineRule="auto"/>
        <w:rPr>
          <w:rFonts w:asciiTheme="majorBidi" w:hAnsiTheme="majorBidi" w:cstheme="majorBidi"/>
        </w:rPr>
      </w:pPr>
      <w:r w:rsidRPr="00F253E5">
        <w:rPr>
          <w:rStyle w:val="a5"/>
          <w:rFonts w:asciiTheme="majorBidi" w:hAnsiTheme="majorBidi" w:cstheme="majorBidi"/>
        </w:rPr>
        <w:footnoteRef/>
      </w:r>
      <w:r w:rsidRPr="00F253E5">
        <w:rPr>
          <w:rFonts w:asciiTheme="majorBidi" w:hAnsiTheme="majorBidi" w:cstheme="majorBidi"/>
          <w:rtl/>
        </w:rPr>
        <w:t xml:space="preserve"> </w:t>
      </w:r>
      <w:r w:rsidRPr="00F253E5">
        <w:rPr>
          <w:rFonts w:asciiTheme="majorBidi" w:hAnsiTheme="majorBidi" w:cstheme="majorBidi"/>
          <w:rtl/>
        </w:rPr>
        <w:t>מעין 'החתול של שרדינגר'.</w:t>
      </w:r>
    </w:p>
  </w:footnote>
  <w:footnote w:id="14">
    <w:p w14:paraId="14E22CD8" w14:textId="4102E99A" w:rsidR="009C7D24" w:rsidRPr="006D4EF2" w:rsidRDefault="009C7D24" w:rsidP="00F253E5">
      <w:pPr>
        <w:pStyle w:val="a3"/>
        <w:spacing w:line="360" w:lineRule="auto"/>
        <w:rPr>
          <w:rFonts w:asciiTheme="majorBidi" w:hAnsiTheme="majorBidi" w:cstheme="majorBidi"/>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תוספות מסכת קידושין דף עד עמוד א.</w:t>
      </w:r>
    </w:p>
  </w:footnote>
  <w:footnote w:id="15">
    <w:p w14:paraId="0E84F177" w14:textId="6A4CCC6C" w:rsidR="00F822C6" w:rsidRPr="006D4EF2" w:rsidRDefault="00F822C6" w:rsidP="006D4EF2">
      <w:pPr>
        <w:pStyle w:val="a3"/>
        <w:spacing w:line="360" w:lineRule="auto"/>
        <w:rPr>
          <w:rFonts w:asciiTheme="majorBidi" w:hAnsiTheme="majorBidi" w:cstheme="majorBidi"/>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שם.</w:t>
      </w:r>
      <w:r w:rsidR="00596F83" w:rsidRPr="006D4EF2">
        <w:rPr>
          <w:rFonts w:asciiTheme="majorBidi" w:hAnsiTheme="majorBidi" w:cstheme="majorBidi"/>
          <w:rtl/>
        </w:rPr>
        <w:t xml:space="preserve"> הפני יהושע כאן מנסה לומר שפירוש רש"י בסוגייתנו היה רק לפי ההווא אמינא, אולם דוחה זאת מפני פירוש רש"י במקומות אחרים.</w:t>
      </w:r>
    </w:p>
  </w:footnote>
  <w:footnote w:id="16">
    <w:p w14:paraId="6A1EBAA4" w14:textId="77777777" w:rsidR="006D4EF2" w:rsidRPr="006D4EF2" w:rsidRDefault="006D4EF2" w:rsidP="006D4EF2">
      <w:pPr>
        <w:pStyle w:val="a3"/>
        <w:spacing w:line="360" w:lineRule="auto"/>
        <w:rPr>
          <w:rFonts w:asciiTheme="majorBidi" w:hAnsiTheme="majorBidi" w:cstheme="majorBidi"/>
          <w:rtl/>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תוספות  דף נה סוף עמוד ב.</w:t>
      </w:r>
    </w:p>
  </w:footnote>
  <w:footnote w:id="17">
    <w:p w14:paraId="6F112630" w14:textId="02EC89CE" w:rsidR="008A26E6" w:rsidRPr="006D4EF2" w:rsidRDefault="008A26E6" w:rsidP="006D4EF2">
      <w:pPr>
        <w:pStyle w:val="a3"/>
        <w:spacing w:line="360" w:lineRule="auto"/>
        <w:rPr>
          <w:rFonts w:asciiTheme="majorBidi" w:hAnsiTheme="majorBidi" w:cstheme="majorBidi"/>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דרכי משה הקצר חושן משפט סימן רמ אות ג.</w:t>
      </w:r>
    </w:p>
  </w:footnote>
  <w:footnote w:id="18">
    <w:p w14:paraId="7259BAC4" w14:textId="536BEA5B" w:rsidR="00D25DAD" w:rsidRPr="006D4EF2" w:rsidRDefault="00D25DAD" w:rsidP="006D4EF2">
      <w:pPr>
        <w:pStyle w:val="a3"/>
        <w:spacing w:line="360" w:lineRule="auto"/>
        <w:rPr>
          <w:rFonts w:asciiTheme="majorBidi" w:hAnsiTheme="majorBidi" w:cstheme="majorBidi"/>
          <w:rtl/>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ש"ך על שולחן ערוך   סימן רמ ס"ק ד.</w:t>
      </w:r>
    </w:p>
  </w:footnote>
  <w:footnote w:id="19">
    <w:p w14:paraId="00EE67DC" w14:textId="53B63A71" w:rsidR="004631B6" w:rsidRPr="006D4EF2" w:rsidRDefault="004631B6" w:rsidP="006D4EF2">
      <w:pPr>
        <w:pStyle w:val="a3"/>
        <w:spacing w:line="360" w:lineRule="auto"/>
        <w:rPr>
          <w:rFonts w:asciiTheme="majorBidi" w:hAnsiTheme="majorBidi" w:cstheme="majorBidi"/>
          <w:rtl/>
        </w:rPr>
      </w:pPr>
      <w:r w:rsidRPr="006D4EF2">
        <w:rPr>
          <w:rStyle w:val="a5"/>
          <w:rFonts w:asciiTheme="majorBidi" w:hAnsiTheme="majorBidi" w:cstheme="majorBidi"/>
        </w:rPr>
        <w:footnoteRef/>
      </w:r>
      <w:r w:rsidRPr="006D4EF2">
        <w:rPr>
          <w:rFonts w:asciiTheme="majorBidi" w:hAnsiTheme="majorBidi" w:cstheme="majorBidi"/>
          <w:rtl/>
        </w:rPr>
        <w:t xml:space="preserve"> </w:t>
      </w:r>
      <w:r w:rsidRPr="006D4EF2">
        <w:rPr>
          <w:rFonts w:asciiTheme="majorBidi" w:hAnsiTheme="majorBidi" w:cstheme="majorBidi"/>
          <w:rtl/>
        </w:rPr>
        <w:t>ערוך השולחן חושן משפט סימן רנג סעיף לו.</w:t>
      </w:r>
    </w:p>
  </w:footnote>
  <w:footnote w:id="20">
    <w:p w14:paraId="49074226" w14:textId="222D39E6" w:rsidR="00596F83" w:rsidRPr="008D0EB1" w:rsidRDefault="00596F83" w:rsidP="00596F83">
      <w:pPr>
        <w:spacing w:after="0" w:line="360" w:lineRule="auto"/>
        <w:rPr>
          <w:rFonts w:asciiTheme="majorBidi" w:hAnsiTheme="majorBidi" w:cstheme="majorBidi"/>
          <w:sz w:val="20"/>
          <w:szCs w:val="20"/>
          <w:rtl/>
        </w:rPr>
      </w:pPr>
      <w:r w:rsidRPr="008D0EB1">
        <w:rPr>
          <w:rStyle w:val="a5"/>
          <w:rFonts w:asciiTheme="majorBidi" w:hAnsiTheme="majorBidi" w:cstheme="majorBidi"/>
          <w:sz w:val="20"/>
          <w:szCs w:val="20"/>
        </w:rPr>
        <w:footnoteRef/>
      </w:r>
      <w:r w:rsidRPr="008D0EB1">
        <w:rPr>
          <w:rFonts w:asciiTheme="majorBidi" w:hAnsiTheme="majorBidi" w:cstheme="majorBidi"/>
          <w:sz w:val="20"/>
          <w:szCs w:val="20"/>
          <w:rtl/>
        </w:rPr>
        <w:t xml:space="preserve"> </w:t>
      </w:r>
      <w:r w:rsidRPr="008D0EB1">
        <w:rPr>
          <w:rFonts w:asciiTheme="majorBidi" w:hAnsiTheme="majorBidi" w:cstheme="majorBidi"/>
          <w:sz w:val="20"/>
          <w:szCs w:val="20"/>
          <w:rtl/>
        </w:rPr>
        <w:t>טור חושן משפט  סימן רמ סעיף ג.</w:t>
      </w:r>
    </w:p>
    <w:p w14:paraId="2E8F46F2" w14:textId="36818738" w:rsidR="00596F83" w:rsidRPr="008D0EB1" w:rsidRDefault="00596F83">
      <w:pPr>
        <w:pStyle w:val="a3"/>
        <w:rPr>
          <w:rFonts w:asciiTheme="majorBidi" w:hAnsiTheme="majorBidi" w:cstheme="majorBidi"/>
          <w:rtl/>
        </w:rPr>
      </w:pPr>
    </w:p>
  </w:footnote>
  <w:footnote w:id="21">
    <w:p w14:paraId="0819C4A3" w14:textId="0D2D9BDA" w:rsidR="004631B6" w:rsidRPr="008D0EB1" w:rsidRDefault="00596F83" w:rsidP="004631B6">
      <w:pPr>
        <w:pStyle w:val="a3"/>
        <w:rPr>
          <w:rFonts w:asciiTheme="majorBidi" w:hAnsiTheme="majorBidi" w:cstheme="majorBidi"/>
          <w:rtl/>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בית יוסף אות ג</w:t>
      </w:r>
      <w:r w:rsidR="008A26E6" w:rsidRPr="008D0EB1">
        <w:rPr>
          <w:rFonts w:asciiTheme="majorBidi" w:hAnsiTheme="majorBidi" w:cstheme="majorBidi"/>
          <w:rtl/>
        </w:rPr>
        <w:t xml:space="preserve">. וכן </w:t>
      </w:r>
      <w:r w:rsidRPr="008D0EB1">
        <w:rPr>
          <w:rFonts w:asciiTheme="majorBidi" w:hAnsiTheme="majorBidi" w:cstheme="majorBidi"/>
          <w:rtl/>
        </w:rPr>
        <w:t>כתב בשולחן ערוך</w:t>
      </w:r>
      <w:r w:rsidR="0068080D" w:rsidRPr="008D0EB1">
        <w:rPr>
          <w:rFonts w:asciiTheme="majorBidi" w:hAnsiTheme="majorBidi" w:cstheme="majorBidi"/>
          <w:rtl/>
        </w:rPr>
        <w:t xml:space="preserve">: </w:t>
      </w:r>
      <w:r w:rsidR="0068080D" w:rsidRPr="008D0EB1">
        <w:rPr>
          <w:rFonts w:ascii="David" w:hAnsi="David" w:cs="David"/>
          <w:rtl/>
        </w:rPr>
        <w:t>"כל שדעתם נוטה להעמיד שדה זו בידו".</w:t>
      </w:r>
      <w:r w:rsidR="004631B6" w:rsidRPr="008D0EB1">
        <w:rPr>
          <w:rFonts w:ascii="David" w:hAnsi="David" w:cs="David"/>
          <w:rtl/>
        </w:rPr>
        <w:t xml:space="preserve"> </w:t>
      </w:r>
      <w:r w:rsidR="004631B6" w:rsidRPr="008D0EB1">
        <w:rPr>
          <w:rFonts w:asciiTheme="majorBidi" w:hAnsiTheme="majorBidi" w:cstheme="majorBidi"/>
          <w:rtl/>
        </w:rPr>
        <w:t>זהו ניסוחו של הרמב"ם (הלכות זכיה ומתנה פרק ה הלכה ו). ניסוח דומה לרמב"ם גם בסוגיית טוביה (רמב"ם הלכות זכיה ומתנה פרק יא הלכה ג).</w:t>
      </w:r>
    </w:p>
    <w:p w14:paraId="2D50F0C8" w14:textId="11DDEC01" w:rsidR="00596F83" w:rsidRPr="008D0EB1" w:rsidRDefault="004631B6" w:rsidP="004631B6">
      <w:pPr>
        <w:pStyle w:val="a3"/>
        <w:rPr>
          <w:rFonts w:asciiTheme="majorBidi" w:hAnsiTheme="majorBidi" w:cstheme="majorBidi"/>
        </w:rPr>
      </w:pPr>
      <w:r w:rsidRPr="008D0EB1">
        <w:rPr>
          <w:rFonts w:asciiTheme="majorBidi" w:hAnsiTheme="majorBidi" w:cstheme="majorBidi"/>
          <w:rtl/>
        </w:rPr>
        <w:t xml:space="preserve"> </w:t>
      </w:r>
    </w:p>
  </w:footnote>
  <w:footnote w:id="22">
    <w:p w14:paraId="69F5C63C" w14:textId="68DBA027" w:rsidR="008A26E6" w:rsidRPr="008D0EB1" w:rsidRDefault="008A26E6"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אות ד.</w:t>
      </w:r>
    </w:p>
  </w:footnote>
  <w:footnote w:id="23">
    <w:p w14:paraId="09D58FE8" w14:textId="3F34139E" w:rsidR="00536141" w:rsidRPr="008D0EB1" w:rsidRDefault="00536141"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על פי רש"י ד"ה אנא דיינא.</w:t>
      </w:r>
    </w:p>
  </w:footnote>
  <w:footnote w:id="24">
    <w:p w14:paraId="36DE4C94" w14:textId="2E60B9D9" w:rsidR="00536141" w:rsidRPr="008D0EB1" w:rsidRDefault="00536141"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ריטב"א.</w:t>
      </w:r>
    </w:p>
  </w:footnote>
  <w:footnote w:id="25">
    <w:p w14:paraId="6084EC8D" w14:textId="3991A604" w:rsidR="00536141" w:rsidRPr="008D0EB1" w:rsidRDefault="00536141"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בחידושיו כאן.</w:t>
      </w:r>
    </w:p>
  </w:footnote>
  <w:footnote w:id="26">
    <w:p w14:paraId="12C10538" w14:textId="04897201" w:rsidR="000742CA" w:rsidRPr="008D0EB1" w:rsidRDefault="000742CA"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שיטה מקובצת.</w:t>
      </w:r>
    </w:p>
  </w:footnote>
  <w:footnote w:id="27">
    <w:p w14:paraId="6FA7FBE4" w14:textId="4345FF83" w:rsidR="006514A4" w:rsidRPr="008D0EB1" w:rsidRDefault="006514A4"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סוף דף צד עמוד ב.</w:t>
      </w:r>
    </w:p>
  </w:footnote>
  <w:footnote w:id="28">
    <w:p w14:paraId="7DD32F52" w14:textId="3169A60F" w:rsidR="00DF4665" w:rsidRPr="008D0EB1" w:rsidRDefault="00DF4665"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סוף סימן יג.</w:t>
      </w:r>
    </w:p>
  </w:footnote>
  <w:footnote w:id="29">
    <w:p w14:paraId="5DDAB168" w14:textId="29C91E3E" w:rsidR="00DF4665" w:rsidRPr="008D0EB1" w:rsidRDefault="00DF4665" w:rsidP="008D0EB1">
      <w:pPr>
        <w:pStyle w:val="a3"/>
        <w:spacing w:line="360" w:lineRule="auto"/>
        <w:rPr>
          <w:rFonts w:asciiTheme="majorBidi" w:hAnsiTheme="majorBidi" w:cstheme="majorBidi"/>
        </w:rPr>
      </w:pPr>
      <w:r w:rsidRPr="008D0EB1">
        <w:rPr>
          <w:rStyle w:val="a5"/>
          <w:rFonts w:asciiTheme="majorBidi" w:hAnsiTheme="majorBidi" w:cstheme="majorBidi"/>
        </w:rPr>
        <w:footnoteRef/>
      </w:r>
      <w:r w:rsidRPr="008D0EB1">
        <w:rPr>
          <w:rFonts w:asciiTheme="majorBidi" w:hAnsiTheme="majorBidi" w:cstheme="majorBidi"/>
          <w:rtl/>
        </w:rPr>
        <w:t xml:space="preserve"> </w:t>
      </w:r>
      <w:r w:rsidRPr="008D0EB1">
        <w:rPr>
          <w:rFonts w:asciiTheme="majorBidi" w:hAnsiTheme="majorBidi" w:cstheme="majorBidi"/>
          <w:rtl/>
        </w:rPr>
        <w:t>הגה לשולחן ערוך חושן משפט   סימן רמ סעיף 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36618512"/>
      <w:docPartObj>
        <w:docPartGallery w:val="Page Numbers (Top of Page)"/>
        <w:docPartUnique/>
      </w:docPartObj>
    </w:sdtPr>
    <w:sdtContent>
      <w:p w14:paraId="4AD32FE0" w14:textId="1C1715F8" w:rsidR="00596F83" w:rsidRDefault="00596F83">
        <w:pPr>
          <w:pStyle w:val="a6"/>
        </w:pPr>
        <w:r>
          <w:fldChar w:fldCharType="begin"/>
        </w:r>
        <w:r>
          <w:instrText>PAGE   \* MERGEFORMAT</w:instrText>
        </w:r>
        <w:r>
          <w:fldChar w:fldCharType="separate"/>
        </w:r>
        <w:r>
          <w:rPr>
            <w:rtl/>
            <w:lang w:val="he-IL"/>
          </w:rPr>
          <w:t>2</w:t>
        </w:r>
        <w:r>
          <w:fldChar w:fldCharType="end"/>
        </w:r>
      </w:p>
    </w:sdtContent>
  </w:sdt>
  <w:p w14:paraId="4A8C87C4" w14:textId="77777777" w:rsidR="00596F83" w:rsidRDefault="00596F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37"/>
    <w:rsid w:val="00032633"/>
    <w:rsid w:val="00064561"/>
    <w:rsid w:val="000742CA"/>
    <w:rsid w:val="00077ADD"/>
    <w:rsid w:val="0009288C"/>
    <w:rsid w:val="000D73CF"/>
    <w:rsid w:val="00140169"/>
    <w:rsid w:val="00195024"/>
    <w:rsid w:val="001B02AC"/>
    <w:rsid w:val="0027464E"/>
    <w:rsid w:val="00293330"/>
    <w:rsid w:val="00371E3E"/>
    <w:rsid w:val="0037441B"/>
    <w:rsid w:val="003F4134"/>
    <w:rsid w:val="0040317F"/>
    <w:rsid w:val="004631B6"/>
    <w:rsid w:val="00464203"/>
    <w:rsid w:val="004F2111"/>
    <w:rsid w:val="00506D70"/>
    <w:rsid w:val="00536141"/>
    <w:rsid w:val="00572E36"/>
    <w:rsid w:val="0059350C"/>
    <w:rsid w:val="00596F83"/>
    <w:rsid w:val="005A32B3"/>
    <w:rsid w:val="005A5B37"/>
    <w:rsid w:val="006514A4"/>
    <w:rsid w:val="0068080D"/>
    <w:rsid w:val="006B3926"/>
    <w:rsid w:val="006C4D38"/>
    <w:rsid w:val="006D4EF2"/>
    <w:rsid w:val="006E3EA1"/>
    <w:rsid w:val="0085158C"/>
    <w:rsid w:val="008A26E6"/>
    <w:rsid w:val="008B5669"/>
    <w:rsid w:val="008D0EB1"/>
    <w:rsid w:val="008F1B37"/>
    <w:rsid w:val="008F6DF2"/>
    <w:rsid w:val="00944149"/>
    <w:rsid w:val="009552CB"/>
    <w:rsid w:val="009C7D24"/>
    <w:rsid w:val="009E2CFD"/>
    <w:rsid w:val="009F03C7"/>
    <w:rsid w:val="00A41831"/>
    <w:rsid w:val="00A82CF4"/>
    <w:rsid w:val="00AD5AB4"/>
    <w:rsid w:val="00AE35F4"/>
    <w:rsid w:val="00AE5930"/>
    <w:rsid w:val="00C34193"/>
    <w:rsid w:val="00C560BA"/>
    <w:rsid w:val="00D25DAD"/>
    <w:rsid w:val="00D274AA"/>
    <w:rsid w:val="00DF4665"/>
    <w:rsid w:val="00E45987"/>
    <w:rsid w:val="00EE393F"/>
    <w:rsid w:val="00EE65FA"/>
    <w:rsid w:val="00F253E5"/>
    <w:rsid w:val="00F822C6"/>
    <w:rsid w:val="00FC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9387"/>
  <w15:chartTrackingRefBased/>
  <w15:docId w15:val="{4F16D15F-33BD-4EFB-AFD7-BAE4DC94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393F"/>
    <w:pPr>
      <w:spacing w:after="0" w:line="240" w:lineRule="auto"/>
    </w:pPr>
    <w:rPr>
      <w:sz w:val="20"/>
      <w:szCs w:val="20"/>
    </w:rPr>
  </w:style>
  <w:style w:type="character" w:customStyle="1" w:styleId="a4">
    <w:name w:val="טקסט הערת שוליים תו"/>
    <w:basedOn w:val="a0"/>
    <w:link w:val="a3"/>
    <w:uiPriority w:val="99"/>
    <w:semiHidden/>
    <w:rsid w:val="00EE393F"/>
    <w:rPr>
      <w:noProof/>
      <w:sz w:val="20"/>
      <w:szCs w:val="20"/>
    </w:rPr>
  </w:style>
  <w:style w:type="character" w:styleId="a5">
    <w:name w:val="footnote reference"/>
    <w:basedOn w:val="a0"/>
    <w:uiPriority w:val="99"/>
    <w:semiHidden/>
    <w:unhideWhenUsed/>
    <w:rsid w:val="00EE393F"/>
    <w:rPr>
      <w:vertAlign w:val="superscript"/>
    </w:rPr>
  </w:style>
  <w:style w:type="paragraph" w:styleId="a6">
    <w:name w:val="header"/>
    <w:basedOn w:val="a"/>
    <w:link w:val="a7"/>
    <w:uiPriority w:val="99"/>
    <w:unhideWhenUsed/>
    <w:rsid w:val="00596F83"/>
    <w:pPr>
      <w:tabs>
        <w:tab w:val="center" w:pos="4153"/>
        <w:tab w:val="right" w:pos="8306"/>
      </w:tabs>
      <w:spacing w:after="0" w:line="240" w:lineRule="auto"/>
    </w:pPr>
  </w:style>
  <w:style w:type="character" w:customStyle="1" w:styleId="a7">
    <w:name w:val="כותרת עליונה תו"/>
    <w:basedOn w:val="a0"/>
    <w:link w:val="a6"/>
    <w:uiPriority w:val="99"/>
    <w:rsid w:val="00596F83"/>
    <w:rPr>
      <w:noProof/>
    </w:rPr>
  </w:style>
  <w:style w:type="paragraph" w:styleId="a8">
    <w:name w:val="footer"/>
    <w:basedOn w:val="a"/>
    <w:link w:val="a9"/>
    <w:uiPriority w:val="99"/>
    <w:unhideWhenUsed/>
    <w:rsid w:val="00596F83"/>
    <w:pPr>
      <w:tabs>
        <w:tab w:val="center" w:pos="4153"/>
        <w:tab w:val="right" w:pos="8306"/>
      </w:tabs>
      <w:spacing w:after="0" w:line="240" w:lineRule="auto"/>
    </w:pPr>
  </w:style>
  <w:style w:type="character" w:customStyle="1" w:styleId="a9">
    <w:name w:val="כותרת תחתונה תו"/>
    <w:basedOn w:val="a0"/>
    <w:link w:val="a8"/>
    <w:uiPriority w:val="99"/>
    <w:rsid w:val="00596F8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E90D-1B3C-438A-9B30-FD83A4B8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5</Pages>
  <Words>1387</Words>
  <Characters>6937</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2022-07-11T14:33:00Z</dcterms:created>
  <dcterms:modified xsi:type="dcterms:W3CDTF">2022-09-17T19:26:00Z</dcterms:modified>
</cp:coreProperties>
</file>