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6D7A" w14:textId="05E835FC" w:rsidR="00FD02D1" w:rsidRPr="008D7238" w:rsidRDefault="00FD02D1" w:rsidP="00FD02D1">
      <w:pPr>
        <w:spacing w:after="0" w:line="360" w:lineRule="auto"/>
        <w:rPr>
          <w:rFonts w:asciiTheme="majorBidi" w:hAnsiTheme="majorBidi" w:cstheme="majorBidi"/>
          <w:sz w:val="24"/>
          <w:szCs w:val="24"/>
          <w:rtl/>
        </w:rPr>
      </w:pPr>
      <w:r w:rsidRPr="008D7238">
        <w:rPr>
          <w:rFonts w:asciiTheme="majorBidi" w:hAnsiTheme="majorBidi" w:cstheme="majorBidi"/>
          <w:sz w:val="24"/>
          <w:szCs w:val="24"/>
          <w:rtl/>
        </w:rPr>
        <w:t xml:space="preserve">  מסכת נדרים דף סט עמוד ב</w:t>
      </w:r>
    </w:p>
    <w:p w14:paraId="3D497094" w14:textId="5AF98188" w:rsidR="00A82CF4" w:rsidRPr="008D7238" w:rsidRDefault="00FD02D1" w:rsidP="00FD02D1">
      <w:pPr>
        <w:spacing w:after="0" w:line="360" w:lineRule="auto"/>
        <w:rPr>
          <w:rFonts w:asciiTheme="majorBidi" w:hAnsiTheme="majorBidi" w:cstheme="majorBidi"/>
          <w:sz w:val="24"/>
          <w:szCs w:val="24"/>
          <w:rtl/>
        </w:rPr>
      </w:pPr>
      <w:r w:rsidRPr="008D7238">
        <w:rPr>
          <w:rFonts w:asciiTheme="majorBidi" w:hAnsiTheme="majorBidi" w:cstheme="majorBidi"/>
          <w:sz w:val="24"/>
          <w:szCs w:val="24"/>
          <w:rtl/>
        </w:rPr>
        <w:t>בעי רבה: קיים ומופר ליכי בבת אחת, מהו? ת"ש, דאמר רבה: כל דבר שאינו בזה אחר זה - אפי' בבת אחת אינו.</w:t>
      </w:r>
    </w:p>
    <w:p w14:paraId="59CE36D6" w14:textId="1A6E9A52" w:rsidR="00FD02D1" w:rsidRPr="008D7238" w:rsidRDefault="00FD02D1" w:rsidP="00FD02D1">
      <w:pPr>
        <w:spacing w:after="0" w:line="360" w:lineRule="auto"/>
        <w:rPr>
          <w:rFonts w:asciiTheme="majorBidi" w:hAnsiTheme="majorBidi" w:cstheme="majorBidi"/>
          <w:b/>
          <w:bCs/>
          <w:sz w:val="28"/>
          <w:szCs w:val="28"/>
          <w:u w:val="single"/>
          <w:rtl/>
        </w:rPr>
      </w:pPr>
      <w:r w:rsidRPr="008D7238">
        <w:rPr>
          <w:rFonts w:asciiTheme="majorBidi" w:hAnsiTheme="majorBidi" w:cstheme="majorBidi"/>
          <w:b/>
          <w:bCs/>
          <w:sz w:val="28"/>
          <w:szCs w:val="28"/>
          <w:u w:val="single"/>
          <w:rtl/>
        </w:rPr>
        <w:t xml:space="preserve">כל </w:t>
      </w:r>
      <w:r w:rsidRPr="008D7238">
        <w:rPr>
          <w:rFonts w:asciiTheme="majorBidi" w:hAnsiTheme="majorBidi" w:cstheme="majorBidi" w:hint="cs"/>
          <w:b/>
          <w:bCs/>
          <w:sz w:val="28"/>
          <w:szCs w:val="28"/>
          <w:u w:val="single"/>
          <w:rtl/>
        </w:rPr>
        <w:t xml:space="preserve"> </w:t>
      </w:r>
      <w:r w:rsidRPr="008D7238">
        <w:rPr>
          <w:rFonts w:asciiTheme="majorBidi" w:hAnsiTheme="majorBidi" w:cstheme="majorBidi"/>
          <w:b/>
          <w:bCs/>
          <w:sz w:val="28"/>
          <w:szCs w:val="28"/>
          <w:u w:val="single"/>
          <w:rtl/>
        </w:rPr>
        <w:t>שאינו בזה אחר זה - אפי' בבת אחת אינו</w:t>
      </w:r>
    </w:p>
    <w:p w14:paraId="2022EF7E" w14:textId="6B6CA8EF" w:rsidR="006C5FCA" w:rsidRPr="008D7238" w:rsidRDefault="006C5FCA" w:rsidP="008D7238">
      <w:pPr>
        <w:pStyle w:val="aa"/>
        <w:numPr>
          <w:ilvl w:val="0"/>
          <w:numId w:val="1"/>
        </w:numPr>
        <w:spacing w:after="0" w:line="360" w:lineRule="auto"/>
        <w:rPr>
          <w:rFonts w:asciiTheme="majorBidi" w:hAnsiTheme="majorBidi" w:cstheme="majorBidi"/>
          <w:b/>
          <w:bCs/>
          <w:sz w:val="24"/>
          <w:szCs w:val="24"/>
          <w:rtl/>
        </w:rPr>
      </w:pPr>
      <w:r w:rsidRPr="008D7238">
        <w:rPr>
          <w:rFonts w:asciiTheme="majorBidi" w:hAnsiTheme="majorBidi" w:cstheme="majorBidi" w:hint="cs"/>
          <w:b/>
          <w:bCs/>
          <w:sz w:val="24"/>
          <w:szCs w:val="24"/>
          <w:rtl/>
        </w:rPr>
        <w:t>נוסח דברי הבעל</w:t>
      </w:r>
    </w:p>
    <w:p w14:paraId="451481CA" w14:textId="323C2B93" w:rsidR="0076242A" w:rsidRPr="008D7238" w:rsidRDefault="0013757B" w:rsidP="0076242A">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לשון הגמרא הוא: '</w:t>
      </w:r>
      <w:r w:rsidRPr="008D7238">
        <w:rPr>
          <w:rFonts w:asciiTheme="majorBidi" w:hAnsiTheme="majorBidi" w:cstheme="majorBidi"/>
          <w:sz w:val="24"/>
          <w:szCs w:val="24"/>
          <w:rtl/>
        </w:rPr>
        <w:t>קיים ומופר ליכי בבת אחת</w:t>
      </w:r>
      <w:r w:rsidRPr="008D7238">
        <w:rPr>
          <w:rFonts w:asciiTheme="majorBidi" w:hAnsiTheme="majorBidi" w:cstheme="majorBidi" w:hint="cs"/>
          <w:sz w:val="24"/>
          <w:szCs w:val="24"/>
          <w:rtl/>
        </w:rPr>
        <w:t xml:space="preserve">'. השאלה היא האם המילים 'בבת אחת' הן תיאור מציאות, או ציטוט מדבריו. </w:t>
      </w:r>
      <w:r w:rsidR="00864C59" w:rsidRPr="008D7238">
        <w:rPr>
          <w:rFonts w:asciiTheme="majorBidi" w:hAnsiTheme="majorBidi" w:cstheme="majorBidi" w:hint="cs"/>
          <w:sz w:val="24"/>
          <w:szCs w:val="24"/>
          <w:rtl/>
        </w:rPr>
        <w:t xml:space="preserve">כמה ראשונים נקטו כאפשרות הראשונה. </w:t>
      </w:r>
      <w:r w:rsidR="0076242A" w:rsidRPr="008D7238">
        <w:rPr>
          <w:rFonts w:asciiTheme="majorBidi" w:hAnsiTheme="majorBidi" w:cstheme="majorBidi" w:hint="cs"/>
          <w:sz w:val="24"/>
          <w:szCs w:val="24"/>
          <w:rtl/>
        </w:rPr>
        <w:t>לדוגמה</w:t>
      </w:r>
      <w:r w:rsidR="00AA08C0">
        <w:rPr>
          <w:rFonts w:asciiTheme="majorBidi" w:hAnsiTheme="majorBidi" w:cstheme="majorBidi" w:hint="cs"/>
          <w:sz w:val="24"/>
          <w:szCs w:val="24"/>
          <w:rtl/>
        </w:rPr>
        <w:t>,</w:t>
      </w:r>
      <w:r w:rsidR="0076242A" w:rsidRPr="008D7238">
        <w:rPr>
          <w:rFonts w:asciiTheme="majorBidi" w:hAnsiTheme="majorBidi" w:cstheme="majorBidi" w:hint="cs"/>
          <w:sz w:val="24"/>
          <w:szCs w:val="24"/>
          <w:rtl/>
        </w:rPr>
        <w:t xml:space="preserve"> </w:t>
      </w:r>
      <w:r w:rsidR="00AA08C0">
        <w:rPr>
          <w:rFonts w:asciiTheme="majorBidi" w:hAnsiTheme="majorBidi" w:cstheme="majorBidi" w:hint="cs"/>
          <w:sz w:val="24"/>
          <w:szCs w:val="24"/>
          <w:rtl/>
        </w:rPr>
        <w:t xml:space="preserve">אלו </w:t>
      </w:r>
      <w:r w:rsidR="0076242A" w:rsidRPr="008D7238">
        <w:rPr>
          <w:rFonts w:asciiTheme="majorBidi" w:hAnsiTheme="majorBidi" w:cstheme="majorBidi" w:hint="cs"/>
          <w:sz w:val="24"/>
          <w:szCs w:val="24"/>
          <w:rtl/>
        </w:rPr>
        <w:t xml:space="preserve">דברי המאירי: </w:t>
      </w:r>
      <w:r w:rsidR="0076242A" w:rsidRPr="008D7238">
        <w:rPr>
          <w:rFonts w:asciiTheme="majorBidi" w:hAnsiTheme="majorBidi" w:cs="Times New Roman" w:hint="cs"/>
          <w:sz w:val="24"/>
          <w:szCs w:val="24"/>
          <w:rtl/>
        </w:rPr>
        <w:t xml:space="preserve"> </w:t>
      </w:r>
    </w:p>
    <w:p w14:paraId="6595106D" w14:textId="792F5EF9" w:rsidR="009170B8" w:rsidRPr="008D7238" w:rsidRDefault="0076242A" w:rsidP="0076242A">
      <w:pPr>
        <w:spacing w:after="0" w:line="360" w:lineRule="auto"/>
        <w:rPr>
          <w:rFonts w:ascii="David" w:hAnsi="David" w:cs="David"/>
          <w:sz w:val="24"/>
          <w:szCs w:val="24"/>
          <w:rtl/>
        </w:rPr>
      </w:pPr>
      <w:r w:rsidRPr="008D7238">
        <w:rPr>
          <w:rFonts w:ascii="David" w:hAnsi="David" w:cs="David"/>
          <w:sz w:val="24"/>
          <w:szCs w:val="24"/>
          <w:rtl/>
        </w:rPr>
        <w:t>,אמר קיים ומופר ליכי כאחד".</w:t>
      </w:r>
      <w:r w:rsidRPr="008D7238">
        <w:rPr>
          <w:rFonts w:ascii="David" w:hAnsi="David" w:cs="David" w:hint="cs"/>
          <w:sz w:val="24"/>
          <w:szCs w:val="24"/>
          <w:rtl/>
        </w:rPr>
        <w:t xml:space="preserve"> </w:t>
      </w:r>
      <w:r w:rsidR="009170B8" w:rsidRPr="008D7238">
        <w:rPr>
          <w:rFonts w:asciiTheme="majorBidi" w:hAnsiTheme="majorBidi" w:cs="Times New Roman"/>
          <w:sz w:val="24"/>
          <w:szCs w:val="24"/>
          <w:rtl/>
        </w:rPr>
        <w:t xml:space="preserve">הר"ן </w:t>
      </w:r>
      <w:r w:rsidR="009170B8" w:rsidRPr="008D7238">
        <w:rPr>
          <w:rFonts w:asciiTheme="majorBidi" w:hAnsiTheme="majorBidi" w:cs="Times New Roman" w:hint="cs"/>
          <w:sz w:val="24"/>
          <w:szCs w:val="24"/>
          <w:rtl/>
        </w:rPr>
        <w:t xml:space="preserve"> מציע שהמילה 'ליכי' כורכת את האמירות המנוגדות, או שאמר במפורש את המילים 'בבת אחת</w:t>
      </w:r>
      <w:r w:rsidR="00AA08C0">
        <w:rPr>
          <w:rFonts w:asciiTheme="majorBidi" w:hAnsiTheme="majorBidi" w:cs="Times New Roman" w:hint="cs"/>
          <w:sz w:val="24"/>
          <w:szCs w:val="24"/>
          <w:rtl/>
        </w:rPr>
        <w:t>'</w:t>
      </w:r>
      <w:r w:rsidR="009170B8" w:rsidRPr="008D7238">
        <w:rPr>
          <w:rFonts w:asciiTheme="majorBidi" w:hAnsiTheme="majorBidi" w:cs="Times New Roman" w:hint="cs"/>
          <w:sz w:val="24"/>
          <w:szCs w:val="24"/>
          <w:rtl/>
        </w:rPr>
        <w:t>:</w:t>
      </w:r>
      <w:r w:rsidR="00033BEF" w:rsidRPr="008D7238">
        <w:rPr>
          <w:rFonts w:asciiTheme="majorBidi" w:hAnsiTheme="majorBidi" w:cstheme="majorBidi" w:hint="cs"/>
          <w:sz w:val="24"/>
          <w:szCs w:val="24"/>
          <w:rtl/>
        </w:rPr>
        <w:t xml:space="preserve"> </w:t>
      </w:r>
      <w:r w:rsidR="009170B8" w:rsidRPr="008D7238">
        <w:rPr>
          <w:rFonts w:ascii="David" w:hAnsi="David" w:cs="David"/>
          <w:sz w:val="24"/>
          <w:szCs w:val="24"/>
          <w:rtl/>
        </w:rPr>
        <w:t>"כלומר ד</w:t>
      </w:r>
      <w:r w:rsidR="00AA08C0">
        <w:rPr>
          <w:rFonts w:ascii="David" w:hAnsi="David" w:cs="David" w:hint="cs"/>
          <w:sz w:val="24"/>
          <w:szCs w:val="24"/>
          <w:rtl/>
        </w:rPr>
        <w:t>'</w:t>
      </w:r>
      <w:r w:rsidR="009170B8" w:rsidRPr="008D7238">
        <w:rPr>
          <w:rFonts w:ascii="David" w:hAnsi="David" w:cs="David"/>
          <w:sz w:val="24"/>
          <w:szCs w:val="24"/>
          <w:rtl/>
        </w:rPr>
        <w:t>קיים</w:t>
      </w:r>
      <w:r w:rsidR="00AA08C0">
        <w:rPr>
          <w:rFonts w:ascii="David" w:hAnsi="David" w:cs="David" w:hint="cs"/>
          <w:sz w:val="24"/>
          <w:szCs w:val="24"/>
          <w:rtl/>
        </w:rPr>
        <w:t>'</w:t>
      </w:r>
      <w:r w:rsidR="009170B8" w:rsidRPr="008D7238">
        <w:rPr>
          <w:rFonts w:ascii="David" w:hAnsi="David" w:cs="David"/>
          <w:sz w:val="24"/>
          <w:szCs w:val="24"/>
          <w:rtl/>
        </w:rPr>
        <w:t xml:space="preserve"> לחודיה לאו כלום הוא, </w:t>
      </w:r>
      <w:r w:rsidR="009170B8" w:rsidRPr="008D7238">
        <w:rPr>
          <w:rFonts w:ascii="David" w:hAnsi="David" w:cs="David"/>
          <w:b/>
          <w:bCs/>
          <w:sz w:val="24"/>
          <w:szCs w:val="24"/>
          <w:rtl/>
        </w:rPr>
        <w:t>וליכי הוא שכוללן שתיהן כאחת</w:t>
      </w:r>
      <w:r w:rsidR="009170B8" w:rsidRPr="008D7238">
        <w:rPr>
          <w:rFonts w:ascii="David" w:hAnsi="David" w:cs="David"/>
          <w:sz w:val="24"/>
          <w:szCs w:val="24"/>
          <w:rtl/>
        </w:rPr>
        <w:t>. ואיכא נסחי דגרסי</w:t>
      </w:r>
      <w:r w:rsidR="00AA08C0">
        <w:rPr>
          <w:rFonts w:ascii="David" w:hAnsi="David" w:cs="David" w:hint="cs"/>
          <w:sz w:val="24"/>
          <w:szCs w:val="24"/>
          <w:rtl/>
        </w:rPr>
        <w:t>:</w:t>
      </w:r>
      <w:r w:rsidR="009170B8" w:rsidRPr="008D7238">
        <w:rPr>
          <w:rFonts w:ascii="David" w:hAnsi="David" w:cs="David"/>
          <w:sz w:val="24"/>
          <w:szCs w:val="24"/>
          <w:rtl/>
        </w:rPr>
        <w:t xml:space="preserve"> </w:t>
      </w:r>
      <w:r w:rsidR="00AA08C0">
        <w:rPr>
          <w:rFonts w:ascii="David" w:hAnsi="David" w:cs="David" w:hint="cs"/>
          <w:sz w:val="24"/>
          <w:szCs w:val="24"/>
          <w:rtl/>
        </w:rPr>
        <w:t>'</w:t>
      </w:r>
      <w:r w:rsidR="009170B8" w:rsidRPr="008D7238">
        <w:rPr>
          <w:rFonts w:ascii="David" w:hAnsi="David" w:cs="David"/>
          <w:sz w:val="24"/>
          <w:szCs w:val="24"/>
          <w:rtl/>
        </w:rPr>
        <w:t xml:space="preserve">קיים ליכי ומופר ליכי </w:t>
      </w:r>
      <w:r w:rsidR="009170B8" w:rsidRPr="008D7238">
        <w:rPr>
          <w:rFonts w:ascii="David" w:hAnsi="David" w:cs="David"/>
          <w:b/>
          <w:bCs/>
          <w:sz w:val="24"/>
          <w:szCs w:val="24"/>
          <w:rtl/>
        </w:rPr>
        <w:t xml:space="preserve">בבת אחת </w:t>
      </w:r>
      <w:r w:rsidR="009170B8" w:rsidRPr="008D7238">
        <w:rPr>
          <w:rFonts w:ascii="David" w:hAnsi="David" w:cs="David"/>
          <w:sz w:val="24"/>
          <w:szCs w:val="24"/>
          <w:rtl/>
        </w:rPr>
        <w:t>מהו</w:t>
      </w:r>
      <w:r w:rsidR="00AA08C0">
        <w:rPr>
          <w:rFonts w:ascii="David" w:hAnsi="David" w:cs="David" w:hint="cs"/>
          <w:sz w:val="24"/>
          <w:szCs w:val="24"/>
          <w:rtl/>
        </w:rPr>
        <w:t>'</w:t>
      </w:r>
      <w:r w:rsidR="009170B8" w:rsidRPr="008D7238">
        <w:rPr>
          <w:rFonts w:ascii="David" w:hAnsi="David" w:cs="David"/>
          <w:sz w:val="24"/>
          <w:szCs w:val="24"/>
          <w:rtl/>
        </w:rPr>
        <w:t>. ולהנך נסחי בעי ד</w:t>
      </w:r>
      <w:r w:rsidR="009170B8" w:rsidRPr="00AA08C0">
        <w:rPr>
          <w:rFonts w:ascii="David" w:hAnsi="David" w:cs="David"/>
          <w:b/>
          <w:bCs/>
          <w:sz w:val="24"/>
          <w:szCs w:val="24"/>
          <w:rtl/>
        </w:rPr>
        <w:t xml:space="preserve">לימא </w:t>
      </w:r>
      <w:r w:rsidR="009170B8" w:rsidRPr="008D7238">
        <w:rPr>
          <w:rFonts w:ascii="David" w:hAnsi="David" w:cs="David"/>
          <w:sz w:val="24"/>
          <w:szCs w:val="24"/>
          <w:rtl/>
        </w:rPr>
        <w:t>הכי בהדיא בבת אחת, דמגלי בדעתיה שהוא רוצה שיחולו בבת אחת".</w:t>
      </w:r>
      <w:r w:rsidR="00033BEF" w:rsidRPr="008D7238">
        <w:rPr>
          <w:rFonts w:ascii="David" w:hAnsi="David" w:cs="David" w:hint="cs"/>
          <w:sz w:val="24"/>
          <w:szCs w:val="24"/>
          <w:rtl/>
        </w:rPr>
        <w:t xml:space="preserve"> </w:t>
      </w:r>
      <w:r w:rsidR="00033BEF" w:rsidRPr="008D7238">
        <w:rPr>
          <w:rFonts w:asciiTheme="majorBidi" w:hAnsiTheme="majorBidi" w:cstheme="majorBidi" w:hint="cs"/>
          <w:sz w:val="24"/>
          <w:szCs w:val="24"/>
          <w:rtl/>
        </w:rPr>
        <w:t xml:space="preserve"> ו</w:t>
      </w:r>
      <w:r w:rsidR="00033BEF" w:rsidRPr="008D7238">
        <w:rPr>
          <w:rFonts w:ascii="David" w:hAnsi="David" w:cs="David" w:hint="cs"/>
          <w:sz w:val="24"/>
          <w:szCs w:val="24"/>
          <w:rtl/>
        </w:rPr>
        <w:t>"</w:t>
      </w:r>
      <w:r w:rsidR="00033BEF" w:rsidRPr="008D7238">
        <w:rPr>
          <w:rFonts w:ascii="David" w:hAnsi="David" w:cs="David"/>
          <w:sz w:val="24"/>
          <w:szCs w:val="24"/>
          <w:rtl/>
        </w:rPr>
        <w:t>אי לא אמר לה בבת אחת</w:t>
      </w:r>
      <w:r w:rsidR="00033BEF" w:rsidRPr="008D7238">
        <w:rPr>
          <w:rFonts w:ascii="David" w:hAnsi="David" w:cs="David" w:hint="cs"/>
          <w:sz w:val="24"/>
          <w:szCs w:val="24"/>
          <w:rtl/>
        </w:rPr>
        <w:t>,</w:t>
      </w:r>
      <w:r w:rsidR="00033BEF" w:rsidRPr="008D7238">
        <w:rPr>
          <w:rFonts w:ascii="David" w:hAnsi="David" w:cs="David"/>
          <w:sz w:val="24"/>
          <w:szCs w:val="24"/>
          <w:rtl/>
        </w:rPr>
        <w:t xml:space="preserve"> פשיטא שהנדר מקוים, דכיון שקיים לה</w:t>
      </w:r>
      <w:r w:rsidR="00033BEF" w:rsidRPr="008D7238">
        <w:rPr>
          <w:rFonts w:ascii="David" w:hAnsi="David" w:cs="David" w:hint="cs"/>
          <w:sz w:val="24"/>
          <w:szCs w:val="24"/>
          <w:rtl/>
        </w:rPr>
        <w:t>-</w:t>
      </w:r>
      <w:r w:rsidR="00033BEF" w:rsidRPr="008D7238">
        <w:rPr>
          <w:rFonts w:ascii="David" w:hAnsi="David" w:cs="David"/>
          <w:sz w:val="24"/>
          <w:szCs w:val="24"/>
          <w:rtl/>
        </w:rPr>
        <w:t xml:space="preserve"> הפרתו לאו כלום הוא</w:t>
      </w:r>
      <w:r w:rsidR="00033BEF" w:rsidRPr="008D7238">
        <w:rPr>
          <w:rStyle w:val="a5"/>
          <w:rFonts w:ascii="David" w:hAnsi="David" w:cs="David"/>
          <w:sz w:val="24"/>
          <w:szCs w:val="24"/>
          <w:rtl/>
        </w:rPr>
        <w:footnoteReference w:id="1"/>
      </w:r>
      <w:r w:rsidR="00033BEF" w:rsidRPr="008D7238">
        <w:rPr>
          <w:rFonts w:ascii="David" w:hAnsi="David" w:cs="David" w:hint="cs"/>
          <w:sz w:val="24"/>
          <w:szCs w:val="24"/>
          <w:rtl/>
        </w:rPr>
        <w:t>"</w:t>
      </w:r>
      <w:r w:rsidR="00033BEF" w:rsidRPr="008D7238">
        <w:rPr>
          <w:rFonts w:ascii="David" w:hAnsi="David" w:cs="David"/>
          <w:sz w:val="24"/>
          <w:szCs w:val="24"/>
          <w:rtl/>
        </w:rPr>
        <w:t>.</w:t>
      </w:r>
    </w:p>
    <w:p w14:paraId="68FA19CF" w14:textId="5B9E806A" w:rsidR="0076242A" w:rsidRPr="008D7238" w:rsidRDefault="0076242A" w:rsidP="0076242A">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הראשונים דנו בניסוחים: 'קיים לך ומופר לך', או</w:t>
      </w:r>
      <w:r w:rsidR="00AA08C0">
        <w:rPr>
          <w:rFonts w:asciiTheme="majorBidi" w:hAnsiTheme="majorBidi" w:cstheme="majorBidi" w:hint="cs"/>
          <w:sz w:val="24"/>
          <w:szCs w:val="24"/>
          <w:rtl/>
        </w:rPr>
        <w:t>:</w:t>
      </w:r>
      <w:r w:rsidRPr="008D7238">
        <w:rPr>
          <w:rFonts w:asciiTheme="majorBidi" w:hAnsiTheme="majorBidi" w:cstheme="majorBidi" w:hint="cs"/>
          <w:sz w:val="24"/>
          <w:szCs w:val="24"/>
          <w:rtl/>
        </w:rPr>
        <w:t xml:space="preserve"> </w:t>
      </w:r>
      <w:r w:rsidR="00AA08C0">
        <w:rPr>
          <w:rFonts w:asciiTheme="majorBidi" w:hAnsiTheme="majorBidi" w:cstheme="majorBidi" w:hint="cs"/>
          <w:sz w:val="24"/>
          <w:szCs w:val="24"/>
          <w:rtl/>
        </w:rPr>
        <w:t>'</w:t>
      </w:r>
      <w:r w:rsidRPr="008D7238">
        <w:rPr>
          <w:rFonts w:asciiTheme="majorBidi" w:hAnsiTheme="majorBidi" w:cstheme="majorBidi" w:hint="cs"/>
          <w:sz w:val="24"/>
          <w:szCs w:val="24"/>
          <w:rtl/>
        </w:rPr>
        <w:t>קיים לך, מופר לך'. אלו דברי הרשב"א</w:t>
      </w:r>
      <w:r w:rsidRPr="008D7238">
        <w:rPr>
          <w:rStyle w:val="a5"/>
          <w:rFonts w:asciiTheme="majorBidi" w:hAnsiTheme="majorBidi" w:cstheme="majorBidi"/>
          <w:sz w:val="24"/>
          <w:szCs w:val="24"/>
          <w:rtl/>
        </w:rPr>
        <w:footnoteReference w:id="2"/>
      </w:r>
      <w:r w:rsidRPr="008D7238">
        <w:rPr>
          <w:rFonts w:asciiTheme="majorBidi" w:hAnsiTheme="majorBidi" w:cstheme="majorBidi" w:hint="cs"/>
          <w:sz w:val="24"/>
          <w:szCs w:val="24"/>
          <w:rtl/>
        </w:rPr>
        <w:t xml:space="preserve">: </w:t>
      </w:r>
      <w:r w:rsidRPr="008D7238">
        <w:rPr>
          <w:rFonts w:asciiTheme="majorBidi" w:hAnsiTheme="majorBidi" w:cs="Times New Roman" w:hint="cs"/>
          <w:sz w:val="24"/>
          <w:szCs w:val="24"/>
          <w:rtl/>
        </w:rPr>
        <w:t xml:space="preserve"> </w:t>
      </w:r>
    </w:p>
    <w:p w14:paraId="476AFF4D" w14:textId="4E08CE91" w:rsidR="00EC2016" w:rsidRPr="008D7238" w:rsidRDefault="0076242A" w:rsidP="00EC2016">
      <w:pPr>
        <w:spacing w:after="0" w:line="360" w:lineRule="auto"/>
        <w:rPr>
          <w:rFonts w:asciiTheme="majorBidi" w:hAnsiTheme="majorBidi" w:cstheme="majorBidi"/>
          <w:sz w:val="24"/>
          <w:szCs w:val="24"/>
          <w:rtl/>
        </w:rPr>
      </w:pPr>
      <w:r w:rsidRPr="008D7238">
        <w:rPr>
          <w:rFonts w:ascii="David" w:hAnsi="David" w:cs="David"/>
          <w:sz w:val="24"/>
          <w:szCs w:val="24"/>
          <w:rtl/>
        </w:rPr>
        <w:t>"אמר</w:t>
      </w:r>
      <w:r w:rsidRPr="008D7238">
        <w:rPr>
          <w:rFonts w:ascii="David" w:hAnsi="David" w:cs="David" w:hint="cs"/>
          <w:sz w:val="24"/>
          <w:szCs w:val="24"/>
          <w:rtl/>
        </w:rPr>
        <w:t>:</w:t>
      </w:r>
      <w:r w:rsidRPr="008D7238">
        <w:rPr>
          <w:rFonts w:ascii="David" w:hAnsi="David" w:cs="David"/>
          <w:sz w:val="24"/>
          <w:szCs w:val="24"/>
          <w:rtl/>
        </w:rPr>
        <w:t xml:space="preserve"> </w:t>
      </w:r>
      <w:r w:rsidRPr="008D7238">
        <w:rPr>
          <w:rFonts w:ascii="David" w:hAnsi="David" w:cs="David" w:hint="cs"/>
          <w:sz w:val="24"/>
          <w:szCs w:val="24"/>
          <w:rtl/>
        </w:rPr>
        <w:t>'</w:t>
      </w:r>
      <w:r w:rsidRPr="008D7238">
        <w:rPr>
          <w:rFonts w:ascii="David" w:hAnsi="David" w:cs="David"/>
          <w:sz w:val="24"/>
          <w:szCs w:val="24"/>
          <w:rtl/>
        </w:rPr>
        <w:t>קיים ליכי ומופר ליכי</w:t>
      </w:r>
      <w:r w:rsidRPr="008D7238">
        <w:rPr>
          <w:rFonts w:ascii="David" w:hAnsi="David" w:cs="David" w:hint="cs"/>
          <w:sz w:val="24"/>
          <w:szCs w:val="24"/>
          <w:rtl/>
        </w:rPr>
        <w:t>'</w:t>
      </w:r>
      <w:r w:rsidR="00AA08C0">
        <w:rPr>
          <w:rFonts w:ascii="David" w:hAnsi="David" w:cs="David" w:hint="cs"/>
          <w:sz w:val="24"/>
          <w:szCs w:val="24"/>
          <w:rtl/>
        </w:rPr>
        <w:t>,</w:t>
      </w:r>
      <w:r w:rsidRPr="008D7238">
        <w:rPr>
          <w:rFonts w:ascii="David" w:hAnsi="David" w:cs="David"/>
          <w:sz w:val="24"/>
          <w:szCs w:val="24"/>
          <w:rtl/>
        </w:rPr>
        <w:t xml:space="preserve"> פשיטא ליה דלא חלה הפרה</w:t>
      </w:r>
      <w:r w:rsidR="00AA08C0">
        <w:rPr>
          <w:rFonts w:ascii="David" w:hAnsi="David" w:cs="David" w:hint="cs"/>
          <w:sz w:val="24"/>
          <w:szCs w:val="24"/>
          <w:rtl/>
        </w:rPr>
        <w:t>,</w:t>
      </w:r>
      <w:r w:rsidRPr="008D7238">
        <w:rPr>
          <w:rFonts w:ascii="David" w:hAnsi="David" w:cs="David"/>
          <w:sz w:val="24"/>
          <w:szCs w:val="24"/>
          <w:rtl/>
        </w:rPr>
        <w:t xml:space="preserve"> דהא קיימו</w:t>
      </w:r>
      <w:r w:rsidRPr="008D7238">
        <w:rPr>
          <w:rFonts w:ascii="David" w:hAnsi="David" w:cs="David" w:hint="cs"/>
          <w:sz w:val="24"/>
          <w:szCs w:val="24"/>
          <w:rtl/>
        </w:rPr>
        <w:t>.</w:t>
      </w:r>
      <w:r w:rsidRPr="008D7238">
        <w:rPr>
          <w:rFonts w:ascii="David" w:hAnsi="David" w:cs="David"/>
          <w:sz w:val="24"/>
          <w:szCs w:val="24"/>
          <w:rtl/>
        </w:rPr>
        <w:t xml:space="preserve"> וכדאמרינן נמי בסמוך דהקמה והפרה בזה אחר זה אינן.. ודוקא בדאמר</w:t>
      </w:r>
      <w:r w:rsidR="00AA08C0">
        <w:rPr>
          <w:rFonts w:ascii="David" w:hAnsi="David" w:cs="David" w:hint="cs"/>
          <w:sz w:val="24"/>
          <w:szCs w:val="24"/>
          <w:rtl/>
        </w:rPr>
        <w:t>:</w:t>
      </w:r>
      <w:r w:rsidRPr="008D7238">
        <w:rPr>
          <w:rFonts w:ascii="David" w:hAnsi="David" w:cs="David"/>
          <w:sz w:val="24"/>
          <w:szCs w:val="24"/>
          <w:rtl/>
        </w:rPr>
        <w:t xml:space="preserve"> </w:t>
      </w:r>
      <w:r w:rsidR="00AA08C0">
        <w:rPr>
          <w:rFonts w:ascii="David" w:hAnsi="David" w:cs="David" w:hint="cs"/>
          <w:sz w:val="24"/>
          <w:szCs w:val="24"/>
          <w:rtl/>
        </w:rPr>
        <w:t>'</w:t>
      </w:r>
      <w:r w:rsidRPr="008D7238">
        <w:rPr>
          <w:rFonts w:ascii="David" w:hAnsi="David" w:cs="David"/>
          <w:sz w:val="24"/>
          <w:szCs w:val="24"/>
          <w:rtl/>
        </w:rPr>
        <w:t xml:space="preserve">קיים ליכי </w:t>
      </w:r>
      <w:r w:rsidRPr="008D7238">
        <w:rPr>
          <w:rFonts w:ascii="David" w:hAnsi="David" w:cs="David"/>
          <w:b/>
          <w:bCs/>
          <w:sz w:val="24"/>
          <w:szCs w:val="24"/>
          <w:rtl/>
        </w:rPr>
        <w:t>ו</w:t>
      </w:r>
      <w:r w:rsidRPr="008D7238">
        <w:rPr>
          <w:rFonts w:ascii="David" w:hAnsi="David" w:cs="David"/>
          <w:sz w:val="24"/>
          <w:szCs w:val="24"/>
          <w:rtl/>
        </w:rPr>
        <w:t>מופר ליכי</w:t>
      </w:r>
      <w:r w:rsidR="00AA08C0">
        <w:rPr>
          <w:rFonts w:ascii="David" w:hAnsi="David" w:cs="David" w:hint="cs"/>
          <w:sz w:val="24"/>
          <w:szCs w:val="24"/>
          <w:rtl/>
        </w:rPr>
        <w:t>'</w:t>
      </w:r>
      <w:r w:rsidRPr="008D7238">
        <w:rPr>
          <w:rFonts w:ascii="David" w:hAnsi="David" w:cs="David"/>
          <w:sz w:val="24"/>
          <w:szCs w:val="24"/>
          <w:rtl/>
        </w:rPr>
        <w:t xml:space="preserve"> וא"נ דאמר</w:t>
      </w:r>
      <w:r w:rsidR="00AA08C0">
        <w:rPr>
          <w:rFonts w:ascii="David" w:hAnsi="David" w:cs="David" w:hint="cs"/>
          <w:sz w:val="24"/>
          <w:szCs w:val="24"/>
          <w:rtl/>
        </w:rPr>
        <w:t>:</w:t>
      </w:r>
      <w:r w:rsidRPr="008D7238">
        <w:rPr>
          <w:rFonts w:ascii="David" w:hAnsi="David" w:cs="David"/>
          <w:sz w:val="24"/>
          <w:szCs w:val="24"/>
          <w:rtl/>
        </w:rPr>
        <w:t xml:space="preserve"> </w:t>
      </w:r>
      <w:r w:rsidR="00AA08C0">
        <w:rPr>
          <w:rFonts w:ascii="David" w:hAnsi="David" w:cs="David" w:hint="cs"/>
          <w:sz w:val="24"/>
          <w:szCs w:val="24"/>
          <w:rtl/>
        </w:rPr>
        <w:t>'</w:t>
      </w:r>
      <w:r w:rsidRPr="008D7238">
        <w:rPr>
          <w:rFonts w:ascii="David" w:hAnsi="David" w:cs="David"/>
          <w:sz w:val="24"/>
          <w:szCs w:val="24"/>
          <w:rtl/>
        </w:rPr>
        <w:t>בבת אחת קיים ומופר ליכי</w:t>
      </w:r>
      <w:r w:rsidR="00AA08C0">
        <w:rPr>
          <w:rFonts w:ascii="David" w:hAnsi="David" w:cs="David" w:hint="cs"/>
          <w:sz w:val="24"/>
          <w:szCs w:val="24"/>
          <w:rtl/>
        </w:rPr>
        <w:t>',</w:t>
      </w:r>
      <w:r w:rsidRPr="008D7238">
        <w:rPr>
          <w:rFonts w:ascii="David" w:hAnsi="David" w:cs="David"/>
          <w:sz w:val="24"/>
          <w:szCs w:val="24"/>
          <w:rtl/>
        </w:rPr>
        <w:t xml:space="preserve"> שהוא רוצה בהקמה ובהפרה</w:t>
      </w:r>
      <w:r w:rsidR="00AA08C0">
        <w:rPr>
          <w:rFonts w:ascii="David" w:hAnsi="David" w:cs="David" w:hint="cs"/>
          <w:sz w:val="24"/>
          <w:szCs w:val="24"/>
          <w:rtl/>
        </w:rPr>
        <w:t>.</w:t>
      </w:r>
      <w:r w:rsidRPr="008D7238">
        <w:rPr>
          <w:rFonts w:ascii="David" w:hAnsi="David" w:cs="David"/>
          <w:sz w:val="24"/>
          <w:szCs w:val="24"/>
          <w:rtl/>
        </w:rPr>
        <w:t xml:space="preserve"> ואי אפשר (לומר) לשניהם שיחולו בזה אחר זה ולא בבת אחת</w:t>
      </w:r>
      <w:r w:rsidR="00AA08C0">
        <w:rPr>
          <w:rFonts w:ascii="David" w:hAnsi="David" w:cs="David" w:hint="cs"/>
          <w:sz w:val="24"/>
          <w:szCs w:val="24"/>
          <w:rtl/>
        </w:rPr>
        <w:t>.</w:t>
      </w:r>
      <w:r w:rsidRPr="008D7238">
        <w:rPr>
          <w:rFonts w:ascii="David" w:hAnsi="David" w:cs="David"/>
          <w:sz w:val="24"/>
          <w:szCs w:val="24"/>
          <w:rtl/>
        </w:rPr>
        <w:t xml:space="preserve"> אבל </w:t>
      </w:r>
      <w:r w:rsidRPr="008D7238">
        <w:rPr>
          <w:rFonts w:ascii="David" w:hAnsi="David" w:cs="David" w:hint="cs"/>
          <w:sz w:val="24"/>
          <w:szCs w:val="24"/>
          <w:rtl/>
        </w:rPr>
        <w:t>'</w:t>
      </w:r>
      <w:r w:rsidRPr="008D7238">
        <w:rPr>
          <w:rFonts w:ascii="David" w:hAnsi="David" w:cs="David"/>
          <w:sz w:val="24"/>
          <w:szCs w:val="24"/>
          <w:rtl/>
        </w:rPr>
        <w:t>קיים ליכי מופר ליכי</w:t>
      </w:r>
      <w:r w:rsidRPr="008D7238">
        <w:rPr>
          <w:rFonts w:ascii="David" w:hAnsi="David" w:cs="David" w:hint="cs"/>
          <w:sz w:val="24"/>
          <w:szCs w:val="24"/>
          <w:rtl/>
        </w:rPr>
        <w:t xml:space="preserve">', </w:t>
      </w:r>
      <w:r w:rsidRPr="008D7238">
        <w:rPr>
          <w:rFonts w:ascii="David" w:hAnsi="David" w:cs="David"/>
          <w:sz w:val="24"/>
          <w:szCs w:val="24"/>
          <w:rtl/>
        </w:rPr>
        <w:t xml:space="preserve">דלא אמר </w:t>
      </w:r>
      <w:r w:rsidRPr="00AA08C0">
        <w:rPr>
          <w:rFonts w:ascii="David" w:hAnsi="David" w:cs="David"/>
          <w:b/>
          <w:bCs/>
          <w:sz w:val="24"/>
          <w:szCs w:val="24"/>
          <w:rtl/>
        </w:rPr>
        <w:t>ו</w:t>
      </w:r>
      <w:r w:rsidRPr="008D7238">
        <w:rPr>
          <w:rFonts w:ascii="David" w:hAnsi="David" w:cs="David"/>
          <w:sz w:val="24"/>
          <w:szCs w:val="24"/>
          <w:rtl/>
        </w:rPr>
        <w:t>מופר בוא"ו</w:t>
      </w:r>
      <w:r w:rsidRPr="008D7238">
        <w:rPr>
          <w:rFonts w:ascii="David" w:hAnsi="David" w:cs="David" w:hint="cs"/>
          <w:sz w:val="24"/>
          <w:szCs w:val="24"/>
          <w:rtl/>
        </w:rPr>
        <w:t>,</w:t>
      </w:r>
      <w:r w:rsidRPr="008D7238">
        <w:rPr>
          <w:rFonts w:ascii="David" w:hAnsi="David" w:cs="David"/>
          <w:sz w:val="24"/>
          <w:szCs w:val="24"/>
          <w:rtl/>
        </w:rPr>
        <w:t xml:space="preserve"> הרי זה מופר</w:t>
      </w:r>
      <w:r w:rsidR="00AA08C0">
        <w:rPr>
          <w:rFonts w:ascii="David" w:hAnsi="David" w:cs="David" w:hint="cs"/>
          <w:sz w:val="24"/>
          <w:szCs w:val="24"/>
          <w:rtl/>
        </w:rPr>
        <w:t>,</w:t>
      </w:r>
      <w:r w:rsidRPr="008D7238">
        <w:rPr>
          <w:rFonts w:ascii="David" w:hAnsi="David" w:cs="David"/>
          <w:sz w:val="24"/>
          <w:szCs w:val="24"/>
          <w:rtl/>
        </w:rPr>
        <w:t xml:space="preserve"> שזו חזרה הוא ויכול הוא </w:t>
      </w:r>
      <w:r w:rsidRPr="008D7238">
        <w:rPr>
          <w:rFonts w:ascii="David" w:hAnsi="David" w:cs="David"/>
          <w:b/>
          <w:bCs/>
          <w:sz w:val="24"/>
          <w:szCs w:val="24"/>
          <w:rtl/>
        </w:rPr>
        <w:t>לחזור תוך כדי דבור</w:t>
      </w:r>
      <w:r w:rsidR="00AA08C0">
        <w:rPr>
          <w:rFonts w:ascii="David" w:hAnsi="David" w:cs="David" w:hint="cs"/>
          <w:b/>
          <w:bCs/>
          <w:sz w:val="24"/>
          <w:szCs w:val="24"/>
          <w:rtl/>
        </w:rPr>
        <w:t>,</w:t>
      </w:r>
      <w:r w:rsidRPr="008D7238">
        <w:rPr>
          <w:rFonts w:ascii="David" w:hAnsi="David" w:cs="David"/>
          <w:sz w:val="24"/>
          <w:szCs w:val="24"/>
          <w:rtl/>
        </w:rPr>
        <w:t xml:space="preserve"> דכל תוכ"ד כדבור דמי".</w:t>
      </w:r>
      <w:r w:rsidR="00EC2016" w:rsidRPr="008D7238">
        <w:rPr>
          <w:rFonts w:asciiTheme="majorBidi" w:hAnsiTheme="majorBidi" w:cstheme="majorBidi" w:hint="cs"/>
          <w:sz w:val="24"/>
          <w:szCs w:val="24"/>
          <w:rtl/>
        </w:rPr>
        <w:t xml:space="preserve"> </w:t>
      </w:r>
      <w:r w:rsidR="00EC2016" w:rsidRPr="008D7238">
        <w:rPr>
          <w:rFonts w:asciiTheme="majorBidi" w:hAnsiTheme="majorBidi" w:cs="Times New Roman" w:hint="cs"/>
          <w:sz w:val="24"/>
          <w:szCs w:val="24"/>
          <w:rtl/>
        </w:rPr>
        <w:t>אולם ב</w:t>
      </w:r>
      <w:r w:rsidR="00EC2016" w:rsidRPr="008D7238">
        <w:rPr>
          <w:rFonts w:asciiTheme="majorBidi" w:hAnsiTheme="majorBidi" w:cs="Times New Roman"/>
          <w:sz w:val="24"/>
          <w:szCs w:val="24"/>
          <w:rtl/>
        </w:rPr>
        <w:t>תוספות רי"ד</w:t>
      </w:r>
      <w:r w:rsidR="00EC2016" w:rsidRPr="008D7238">
        <w:rPr>
          <w:rStyle w:val="a5"/>
          <w:rFonts w:asciiTheme="majorBidi" w:hAnsiTheme="majorBidi" w:cs="Times New Roman"/>
          <w:sz w:val="24"/>
          <w:szCs w:val="24"/>
          <w:rtl/>
        </w:rPr>
        <w:footnoteReference w:id="3"/>
      </w:r>
      <w:r w:rsidR="00EC2016" w:rsidRPr="008D7238">
        <w:rPr>
          <w:rFonts w:asciiTheme="majorBidi" w:hAnsiTheme="majorBidi" w:cs="Times New Roman"/>
          <w:sz w:val="24"/>
          <w:szCs w:val="24"/>
          <w:rtl/>
        </w:rPr>
        <w:t xml:space="preserve"> </w:t>
      </w:r>
      <w:r w:rsidR="00EC2016" w:rsidRPr="008D7238">
        <w:rPr>
          <w:rFonts w:asciiTheme="majorBidi" w:hAnsiTheme="majorBidi" w:cstheme="majorBidi" w:hint="cs"/>
          <w:sz w:val="24"/>
          <w:szCs w:val="24"/>
          <w:rtl/>
        </w:rPr>
        <w:t xml:space="preserve">כתב: </w:t>
      </w:r>
    </w:p>
    <w:p w14:paraId="17B70FE6" w14:textId="26F769A0" w:rsidR="00E530EA" w:rsidRPr="008D7238" w:rsidRDefault="00EC2016" w:rsidP="00790D05">
      <w:pPr>
        <w:spacing w:after="0" w:line="360" w:lineRule="auto"/>
        <w:rPr>
          <w:rFonts w:ascii="David" w:hAnsi="David" w:cs="David"/>
          <w:sz w:val="24"/>
          <w:szCs w:val="24"/>
          <w:rtl/>
        </w:rPr>
      </w:pPr>
      <w:r w:rsidRPr="008D7238">
        <w:rPr>
          <w:rFonts w:ascii="David" w:hAnsi="David" w:cs="David"/>
          <w:sz w:val="24"/>
          <w:szCs w:val="24"/>
          <w:rtl/>
        </w:rPr>
        <w:t xml:space="preserve">"אם אמר לה קיים ליכי ומופר ליכי היינו </w:t>
      </w:r>
      <w:r w:rsidRPr="008D7238">
        <w:rPr>
          <w:rFonts w:ascii="David" w:hAnsi="David" w:cs="David"/>
          <w:b/>
          <w:bCs/>
          <w:sz w:val="24"/>
          <w:szCs w:val="24"/>
          <w:rtl/>
        </w:rPr>
        <w:t>פלוגתא דר"מ ור' יוסי</w:t>
      </w:r>
      <w:r w:rsidRPr="008D7238">
        <w:rPr>
          <w:rFonts w:ascii="David" w:hAnsi="David" w:cs="David"/>
          <w:sz w:val="24"/>
          <w:szCs w:val="24"/>
          <w:rtl/>
        </w:rPr>
        <w:t>. דלר"י</w:t>
      </w:r>
      <w:r w:rsidRPr="008D7238">
        <w:rPr>
          <w:rStyle w:val="a5"/>
          <w:rFonts w:ascii="David" w:hAnsi="David" w:cs="David"/>
          <w:sz w:val="24"/>
          <w:szCs w:val="24"/>
          <w:rtl/>
        </w:rPr>
        <w:footnoteReference w:id="4"/>
      </w:r>
      <w:r w:rsidRPr="008D7238">
        <w:rPr>
          <w:rFonts w:ascii="David" w:hAnsi="David" w:cs="David"/>
          <w:sz w:val="24"/>
          <w:szCs w:val="24"/>
          <w:rtl/>
        </w:rPr>
        <w:t xml:space="preserve"> דאמר תפוש לשון ראשון הוה קיים ואין הפרה אחר הקמה</w:t>
      </w:r>
      <w:r w:rsidR="00AA08C0">
        <w:rPr>
          <w:rFonts w:ascii="David" w:hAnsi="David" w:cs="David" w:hint="cs"/>
          <w:sz w:val="24"/>
          <w:szCs w:val="24"/>
          <w:rtl/>
        </w:rPr>
        <w:t>.</w:t>
      </w:r>
      <w:r w:rsidRPr="008D7238">
        <w:rPr>
          <w:rFonts w:ascii="David" w:hAnsi="David" w:cs="David"/>
          <w:sz w:val="24"/>
          <w:szCs w:val="24"/>
          <w:rtl/>
        </w:rPr>
        <w:t xml:space="preserve"> וה"ה אי אמר</w:t>
      </w:r>
      <w:r w:rsidR="00AA08C0">
        <w:rPr>
          <w:rFonts w:ascii="David" w:hAnsi="David" w:cs="David" w:hint="cs"/>
          <w:sz w:val="24"/>
          <w:szCs w:val="24"/>
          <w:rtl/>
        </w:rPr>
        <w:t>:</w:t>
      </w:r>
      <w:r w:rsidRPr="008D7238">
        <w:rPr>
          <w:rFonts w:ascii="David" w:hAnsi="David" w:cs="David"/>
          <w:sz w:val="24"/>
          <w:szCs w:val="24"/>
          <w:rtl/>
        </w:rPr>
        <w:t xml:space="preserve"> </w:t>
      </w:r>
      <w:r w:rsidR="00AA08C0">
        <w:rPr>
          <w:rFonts w:ascii="David" w:hAnsi="David" w:cs="David" w:hint="cs"/>
          <w:sz w:val="24"/>
          <w:szCs w:val="24"/>
          <w:rtl/>
        </w:rPr>
        <w:t>'</w:t>
      </w:r>
      <w:r w:rsidRPr="008D7238">
        <w:rPr>
          <w:rFonts w:ascii="David" w:hAnsi="David" w:cs="David"/>
          <w:sz w:val="24"/>
          <w:szCs w:val="24"/>
          <w:rtl/>
        </w:rPr>
        <w:t>מופר ליכי וקיים ליכי</w:t>
      </w:r>
      <w:r w:rsidR="00AA08C0">
        <w:rPr>
          <w:rFonts w:ascii="David" w:hAnsi="David" w:cs="David" w:hint="cs"/>
          <w:sz w:val="24"/>
          <w:szCs w:val="24"/>
          <w:rtl/>
        </w:rPr>
        <w:t>'</w:t>
      </w:r>
      <w:r w:rsidRPr="008D7238">
        <w:rPr>
          <w:rFonts w:ascii="David" w:hAnsi="David" w:cs="David"/>
          <w:sz w:val="24"/>
          <w:szCs w:val="24"/>
          <w:rtl/>
        </w:rPr>
        <w:t xml:space="preserve"> אמרי' תפוש לשון ראשון והוה מופר ואין הקמה אחר הפרה</w:t>
      </w:r>
      <w:r w:rsidR="00AA08C0">
        <w:rPr>
          <w:rFonts w:ascii="David" w:hAnsi="David" w:cs="David" w:hint="cs"/>
          <w:sz w:val="24"/>
          <w:szCs w:val="24"/>
          <w:rtl/>
        </w:rPr>
        <w:t>.</w:t>
      </w:r>
      <w:r w:rsidRPr="008D7238">
        <w:rPr>
          <w:rFonts w:ascii="David" w:hAnsi="David" w:cs="David"/>
          <w:sz w:val="24"/>
          <w:szCs w:val="24"/>
          <w:rtl/>
        </w:rPr>
        <w:t xml:space="preserve"> ולר' יוסי דאומר שניהן חלים </w:t>
      </w:r>
      <w:r w:rsidRPr="008D7238">
        <w:rPr>
          <w:rFonts w:ascii="David" w:hAnsi="David" w:cs="David"/>
          <w:b/>
          <w:bCs/>
          <w:sz w:val="24"/>
          <w:szCs w:val="24"/>
          <w:rtl/>
        </w:rPr>
        <w:t>אין בדבריו כלום ובא זה וביטל זה".</w:t>
      </w:r>
      <w:r w:rsidRPr="008D7238">
        <w:rPr>
          <w:rFonts w:ascii="David" w:hAnsi="David" w:cs="David" w:hint="cs"/>
          <w:b/>
          <w:bCs/>
          <w:sz w:val="24"/>
          <w:szCs w:val="24"/>
          <w:rtl/>
        </w:rPr>
        <w:t xml:space="preserve"> </w:t>
      </w:r>
      <w:r w:rsidRPr="008D7238">
        <w:rPr>
          <w:rFonts w:ascii="David" w:hAnsi="David" w:cs="David" w:hint="cs"/>
          <w:sz w:val="24"/>
          <w:szCs w:val="24"/>
          <w:rtl/>
        </w:rPr>
        <w:t>"יש להוסיף שלפי הכלל הרגיל שהלכה כרבי יוסי</w:t>
      </w:r>
      <w:r w:rsidR="00AA08C0">
        <w:rPr>
          <w:rFonts w:ascii="David" w:hAnsi="David" w:cs="David" w:hint="cs"/>
          <w:sz w:val="24"/>
          <w:szCs w:val="24"/>
          <w:rtl/>
        </w:rPr>
        <w:t>,</w:t>
      </w:r>
      <w:r w:rsidRPr="008D7238">
        <w:rPr>
          <w:rFonts w:ascii="David" w:hAnsi="David" w:cs="David" w:hint="cs"/>
          <w:sz w:val="24"/>
          <w:szCs w:val="24"/>
          <w:rtl/>
        </w:rPr>
        <w:t xml:space="preserve"> יוצא שלדעתו כך יש לנקוט להלכה</w:t>
      </w:r>
      <w:r w:rsidRPr="008D7238">
        <w:rPr>
          <w:rStyle w:val="a5"/>
          <w:rFonts w:ascii="David" w:hAnsi="David" w:cs="David"/>
          <w:sz w:val="24"/>
          <w:szCs w:val="24"/>
          <w:rtl/>
        </w:rPr>
        <w:footnoteReference w:id="5"/>
      </w:r>
      <w:r w:rsidRPr="008D7238">
        <w:rPr>
          <w:rFonts w:ascii="David" w:hAnsi="David" w:cs="David" w:hint="cs"/>
          <w:sz w:val="24"/>
          <w:szCs w:val="24"/>
          <w:rtl/>
        </w:rPr>
        <w:t xml:space="preserve">". </w:t>
      </w:r>
    </w:p>
    <w:p w14:paraId="74D5C2BE" w14:textId="44CEDEF4" w:rsidR="00E530EA" w:rsidRPr="008D7238" w:rsidRDefault="00AA08C0" w:rsidP="00E530EA">
      <w:pPr>
        <w:spacing w:after="0" w:line="360" w:lineRule="auto"/>
        <w:rPr>
          <w:rFonts w:ascii="David" w:hAnsi="David" w:cs="David"/>
          <w:sz w:val="24"/>
          <w:szCs w:val="24"/>
          <w:rtl/>
        </w:rPr>
      </w:pPr>
      <w:r>
        <w:rPr>
          <w:rFonts w:asciiTheme="majorBidi" w:hAnsiTheme="majorBidi" w:cstheme="majorBidi" w:hint="cs"/>
          <w:b/>
          <w:bCs/>
          <w:sz w:val="24"/>
          <w:szCs w:val="24"/>
          <w:rtl/>
        </w:rPr>
        <w:t xml:space="preserve">ב. </w:t>
      </w:r>
      <w:r w:rsidR="00E530EA" w:rsidRPr="008D7238">
        <w:rPr>
          <w:rFonts w:asciiTheme="majorBidi" w:hAnsiTheme="majorBidi" w:cstheme="majorBidi" w:hint="cs"/>
          <w:b/>
          <w:bCs/>
          <w:sz w:val="24"/>
          <w:szCs w:val="24"/>
          <w:rtl/>
        </w:rPr>
        <w:t xml:space="preserve">צדדי הספק </w:t>
      </w:r>
      <w:r w:rsidR="00E530EA" w:rsidRPr="008D7238">
        <w:rPr>
          <w:rFonts w:asciiTheme="majorBidi" w:hAnsiTheme="majorBidi" w:cstheme="majorBidi" w:hint="cs"/>
          <w:sz w:val="24"/>
          <w:szCs w:val="24"/>
          <w:rtl/>
        </w:rPr>
        <w:t>הרא"ש פתח כמה אפשרויות:</w:t>
      </w:r>
      <w:r w:rsidR="00E530EA" w:rsidRPr="008D7238">
        <w:rPr>
          <w:rFonts w:asciiTheme="majorBidi" w:hAnsiTheme="majorBidi" w:cstheme="majorBidi" w:hint="cs"/>
          <w:b/>
          <w:bCs/>
          <w:sz w:val="24"/>
          <w:szCs w:val="24"/>
          <w:rtl/>
        </w:rPr>
        <w:t xml:space="preserve"> </w:t>
      </w:r>
      <w:r w:rsidR="00E530EA" w:rsidRPr="008D7238">
        <w:rPr>
          <w:rFonts w:ascii="David" w:hAnsi="David" w:cs="David"/>
          <w:sz w:val="24"/>
          <w:szCs w:val="24"/>
          <w:rtl/>
        </w:rPr>
        <w:t xml:space="preserve">קיים ומופר ליכי בבת אחת. פי' כיון שלא אמר אלא פעם אחת </w:t>
      </w:r>
      <w:r>
        <w:rPr>
          <w:rFonts w:ascii="David" w:hAnsi="David" w:cs="David" w:hint="cs"/>
          <w:sz w:val="24"/>
          <w:szCs w:val="24"/>
          <w:rtl/>
        </w:rPr>
        <w:t>'</w:t>
      </w:r>
      <w:r w:rsidR="00E530EA" w:rsidRPr="008D7238">
        <w:rPr>
          <w:rFonts w:ascii="David" w:hAnsi="David" w:cs="David"/>
          <w:sz w:val="24"/>
          <w:szCs w:val="24"/>
          <w:rtl/>
        </w:rPr>
        <w:t>ליכי</w:t>
      </w:r>
      <w:r>
        <w:rPr>
          <w:rFonts w:ascii="David" w:hAnsi="David" w:cs="David" w:hint="cs"/>
          <w:sz w:val="24"/>
          <w:szCs w:val="24"/>
          <w:rtl/>
        </w:rPr>
        <w:t>',</w:t>
      </w:r>
      <w:r w:rsidR="00E530EA" w:rsidRPr="008D7238">
        <w:rPr>
          <w:rFonts w:ascii="David" w:hAnsi="David" w:cs="David"/>
          <w:sz w:val="24"/>
          <w:szCs w:val="24"/>
          <w:rtl/>
        </w:rPr>
        <w:t xml:space="preserve"> היינו בבת אחת</w:t>
      </w:r>
      <w:r>
        <w:rPr>
          <w:rFonts w:ascii="David" w:hAnsi="David" w:cs="David" w:hint="cs"/>
          <w:sz w:val="24"/>
          <w:szCs w:val="24"/>
          <w:rtl/>
        </w:rPr>
        <w:t>.</w:t>
      </w:r>
      <w:r w:rsidR="00E530EA" w:rsidRPr="008D7238">
        <w:rPr>
          <w:rFonts w:ascii="David" w:hAnsi="David" w:cs="David"/>
          <w:sz w:val="24"/>
          <w:szCs w:val="24"/>
          <w:rtl/>
        </w:rPr>
        <w:t xml:space="preserve"> מי אמרינן תפוס לשון ראשון</w:t>
      </w:r>
      <w:r w:rsidR="00E530EA" w:rsidRPr="008D7238">
        <w:rPr>
          <w:rFonts w:ascii="David" w:hAnsi="David" w:cs="David" w:hint="cs"/>
          <w:sz w:val="24"/>
          <w:szCs w:val="24"/>
          <w:rtl/>
        </w:rPr>
        <w:t>,</w:t>
      </w:r>
      <w:r w:rsidR="00E530EA" w:rsidRPr="008D7238">
        <w:rPr>
          <w:rFonts w:ascii="David" w:hAnsi="David" w:cs="David"/>
          <w:sz w:val="24"/>
          <w:szCs w:val="24"/>
          <w:rtl/>
        </w:rPr>
        <w:t xml:space="preserve"> או דלמא כיון דאמרן בבת אחת חלה ההפרה ומבטלת ההקמה</w:t>
      </w:r>
      <w:r w:rsidR="00114C16" w:rsidRPr="008D7238">
        <w:rPr>
          <w:rStyle w:val="a5"/>
          <w:rFonts w:ascii="David" w:hAnsi="David" w:cs="David"/>
          <w:sz w:val="24"/>
          <w:szCs w:val="24"/>
          <w:rtl/>
        </w:rPr>
        <w:footnoteReference w:id="6"/>
      </w:r>
      <w:r w:rsidR="00E530EA" w:rsidRPr="008D7238">
        <w:rPr>
          <w:rFonts w:ascii="David" w:hAnsi="David" w:cs="David" w:hint="cs"/>
          <w:sz w:val="24"/>
          <w:szCs w:val="24"/>
          <w:rtl/>
        </w:rPr>
        <w:t>.</w:t>
      </w:r>
      <w:r w:rsidR="00E530EA" w:rsidRPr="008D7238">
        <w:rPr>
          <w:rFonts w:ascii="David" w:hAnsi="David" w:cs="David"/>
          <w:sz w:val="24"/>
          <w:szCs w:val="24"/>
          <w:rtl/>
        </w:rPr>
        <w:t xml:space="preserve"> ולאידך פי'</w:t>
      </w:r>
      <w:r w:rsidR="00E530EA" w:rsidRPr="008D7238">
        <w:rPr>
          <w:rFonts w:ascii="David" w:hAnsi="David" w:cs="David" w:hint="cs"/>
          <w:sz w:val="24"/>
          <w:szCs w:val="24"/>
          <w:rtl/>
        </w:rPr>
        <w:t>:</w:t>
      </w:r>
      <w:r w:rsidR="00E530EA" w:rsidRPr="008D7238">
        <w:rPr>
          <w:rFonts w:ascii="David" w:hAnsi="David" w:cs="David"/>
          <w:sz w:val="24"/>
          <w:szCs w:val="24"/>
          <w:rtl/>
        </w:rPr>
        <w:t xml:space="preserve"> חלו שניהן ולא ידעינן אי מוקם אי מופר</w:t>
      </w:r>
      <w:r w:rsidR="004B2311" w:rsidRPr="008D7238">
        <w:rPr>
          <w:rStyle w:val="a5"/>
          <w:rFonts w:ascii="David" w:hAnsi="David" w:cs="David"/>
          <w:sz w:val="24"/>
          <w:szCs w:val="24"/>
          <w:rtl/>
        </w:rPr>
        <w:footnoteReference w:id="7"/>
      </w:r>
      <w:r w:rsidR="00E530EA" w:rsidRPr="008D7238">
        <w:rPr>
          <w:rFonts w:ascii="David" w:hAnsi="David" w:cs="David" w:hint="cs"/>
          <w:sz w:val="24"/>
          <w:szCs w:val="24"/>
          <w:rtl/>
        </w:rPr>
        <w:t>".</w:t>
      </w:r>
      <w:r w:rsidR="004B2311" w:rsidRPr="008D7238">
        <w:rPr>
          <w:rFonts w:ascii="David" w:hAnsi="David" w:cs="David" w:hint="cs"/>
          <w:sz w:val="24"/>
          <w:szCs w:val="24"/>
          <w:rtl/>
        </w:rPr>
        <w:t xml:space="preserve"> </w:t>
      </w:r>
    </w:p>
    <w:p w14:paraId="5EAB9912" w14:textId="1892CDE4" w:rsidR="00114C16" w:rsidRPr="008D7238" w:rsidRDefault="00790D05" w:rsidP="00114C16">
      <w:pPr>
        <w:spacing w:after="0" w:line="360" w:lineRule="auto"/>
        <w:rPr>
          <w:rFonts w:asciiTheme="majorBidi" w:hAnsiTheme="majorBidi" w:cstheme="majorBidi"/>
          <w:sz w:val="24"/>
          <w:szCs w:val="24"/>
          <w:rtl/>
        </w:rPr>
      </w:pPr>
      <w:r w:rsidRPr="008D7238">
        <w:rPr>
          <w:rFonts w:ascii="David" w:hAnsi="David" w:cs="David" w:hint="cs"/>
          <w:sz w:val="24"/>
          <w:szCs w:val="24"/>
          <w:rtl/>
        </w:rPr>
        <w:lastRenderedPageBreak/>
        <w:t xml:space="preserve"> </w:t>
      </w:r>
      <w:r w:rsidRPr="008D7238">
        <w:rPr>
          <w:rFonts w:asciiTheme="majorBidi" w:hAnsiTheme="majorBidi" w:cstheme="majorBidi" w:hint="cs"/>
          <w:sz w:val="24"/>
          <w:szCs w:val="24"/>
          <w:rtl/>
        </w:rPr>
        <w:t xml:space="preserve">הר"ן מבאר את הספק: </w:t>
      </w:r>
      <w:r w:rsidR="009170B8" w:rsidRPr="008D7238">
        <w:rPr>
          <w:rFonts w:ascii="David" w:hAnsi="David" w:cs="David"/>
          <w:sz w:val="24"/>
          <w:szCs w:val="24"/>
          <w:rtl/>
        </w:rPr>
        <w:t xml:space="preserve"> </w:t>
      </w:r>
      <w:r w:rsidRPr="008D7238">
        <w:rPr>
          <w:rFonts w:ascii="David" w:hAnsi="David" w:cs="David"/>
          <w:sz w:val="24"/>
          <w:szCs w:val="24"/>
          <w:rtl/>
        </w:rPr>
        <w:t>"</w:t>
      </w:r>
      <w:r w:rsidR="009170B8" w:rsidRPr="008D7238">
        <w:rPr>
          <w:rFonts w:ascii="David" w:hAnsi="David" w:cs="David"/>
          <w:sz w:val="24"/>
          <w:szCs w:val="24"/>
          <w:rtl/>
        </w:rPr>
        <w:t>ונראה בעיני דבהכי מספקא</w:t>
      </w:r>
      <w:r w:rsidRPr="008D7238">
        <w:rPr>
          <w:rFonts w:ascii="David" w:hAnsi="David" w:cs="David" w:hint="cs"/>
          <w:sz w:val="24"/>
          <w:szCs w:val="24"/>
          <w:rtl/>
        </w:rPr>
        <w:t>:</w:t>
      </w:r>
      <w:r w:rsidR="009170B8" w:rsidRPr="008D7238">
        <w:rPr>
          <w:rFonts w:ascii="David" w:hAnsi="David" w:cs="David"/>
          <w:sz w:val="24"/>
          <w:szCs w:val="24"/>
          <w:rtl/>
        </w:rPr>
        <w:t xml:space="preserve"> ודאי אי אפשר לשניהם לחול כאחת</w:t>
      </w:r>
      <w:r w:rsidRPr="008D7238">
        <w:rPr>
          <w:rFonts w:ascii="David" w:hAnsi="David" w:cs="David" w:hint="cs"/>
          <w:sz w:val="24"/>
          <w:szCs w:val="24"/>
          <w:rtl/>
        </w:rPr>
        <w:t>.</w:t>
      </w:r>
      <w:r w:rsidR="009170B8" w:rsidRPr="008D7238">
        <w:rPr>
          <w:rFonts w:ascii="David" w:hAnsi="David" w:cs="David"/>
          <w:sz w:val="24"/>
          <w:szCs w:val="24"/>
          <w:rtl/>
        </w:rPr>
        <w:t xml:space="preserve"> מיהו נהי דאי חד מינייהו קדים אידך לא חייל כלל</w:t>
      </w:r>
      <w:r w:rsidRPr="008D7238">
        <w:rPr>
          <w:rFonts w:ascii="David" w:hAnsi="David" w:cs="David" w:hint="cs"/>
          <w:sz w:val="24"/>
          <w:szCs w:val="24"/>
          <w:rtl/>
        </w:rPr>
        <w:t>,</w:t>
      </w:r>
      <w:r w:rsidR="009170B8" w:rsidRPr="008D7238">
        <w:rPr>
          <w:rFonts w:ascii="David" w:hAnsi="David" w:cs="David"/>
          <w:sz w:val="24"/>
          <w:szCs w:val="24"/>
          <w:rtl/>
        </w:rPr>
        <w:t xml:space="preserve"> הכא דבבת אחת לגבי כל חד מנייהו אמרינן דקדים דחייל</w:t>
      </w:r>
      <w:r w:rsidRPr="008D7238">
        <w:rPr>
          <w:rFonts w:ascii="David" w:hAnsi="David" w:cs="David" w:hint="cs"/>
          <w:sz w:val="24"/>
          <w:szCs w:val="24"/>
          <w:rtl/>
        </w:rPr>
        <w:t>,</w:t>
      </w:r>
      <w:r w:rsidR="009170B8" w:rsidRPr="008D7238">
        <w:rPr>
          <w:rFonts w:ascii="David" w:hAnsi="David" w:cs="David"/>
          <w:sz w:val="24"/>
          <w:szCs w:val="24"/>
          <w:rtl/>
        </w:rPr>
        <w:t xml:space="preserve"> ואיכא למימר נמי דמאחר ולא קדים וכיון שאי אפשר לשניהם לחול כאחת</w:t>
      </w:r>
      <w:r w:rsidRPr="008D7238">
        <w:rPr>
          <w:rFonts w:ascii="David" w:hAnsi="David" w:cs="David" w:hint="cs"/>
          <w:sz w:val="24"/>
          <w:szCs w:val="24"/>
          <w:rtl/>
        </w:rPr>
        <w:t>,</w:t>
      </w:r>
      <w:r w:rsidR="009170B8" w:rsidRPr="008D7238">
        <w:rPr>
          <w:rFonts w:ascii="David" w:hAnsi="David" w:cs="David"/>
          <w:sz w:val="24"/>
          <w:szCs w:val="24"/>
          <w:rtl/>
        </w:rPr>
        <w:t xml:space="preserve"> מספקין דלמא הקמה חיילא ותו לא מצי מפר</w:t>
      </w:r>
      <w:r w:rsidR="00E530EA" w:rsidRPr="008D7238">
        <w:rPr>
          <w:rFonts w:ascii="David" w:hAnsi="David" w:cs="David" w:hint="cs"/>
          <w:sz w:val="24"/>
          <w:szCs w:val="24"/>
          <w:rtl/>
        </w:rPr>
        <w:t>"</w:t>
      </w:r>
      <w:r w:rsidR="00114C16" w:rsidRPr="008D7238">
        <w:rPr>
          <w:rFonts w:ascii="David" w:hAnsi="David" w:cs="David" w:hint="cs"/>
          <w:sz w:val="24"/>
          <w:szCs w:val="24"/>
          <w:rtl/>
        </w:rPr>
        <w:t xml:space="preserve">. </w:t>
      </w:r>
      <w:r w:rsidR="00114C16" w:rsidRPr="008D7238">
        <w:rPr>
          <w:rFonts w:asciiTheme="majorBidi" w:hAnsiTheme="majorBidi" w:cstheme="majorBidi" w:hint="cs"/>
          <w:sz w:val="24"/>
          <w:szCs w:val="24"/>
          <w:rtl/>
        </w:rPr>
        <w:t>ב</w:t>
      </w:r>
      <w:r w:rsidR="00114C16" w:rsidRPr="008D7238">
        <w:rPr>
          <w:rFonts w:asciiTheme="majorBidi" w:hAnsiTheme="majorBidi" w:cstheme="majorBidi"/>
          <w:sz w:val="24"/>
          <w:szCs w:val="24"/>
          <w:rtl/>
        </w:rPr>
        <w:t xml:space="preserve">תוספות רי"ד </w:t>
      </w:r>
      <w:r w:rsidR="00114C16" w:rsidRPr="008D7238">
        <w:rPr>
          <w:rFonts w:asciiTheme="majorBidi" w:hAnsiTheme="majorBidi" w:cstheme="majorBidi" w:hint="cs"/>
          <w:sz w:val="24"/>
          <w:szCs w:val="24"/>
          <w:rtl/>
        </w:rPr>
        <w:t>ביאר:</w:t>
      </w:r>
    </w:p>
    <w:p w14:paraId="781C342F" w14:textId="28CA495E" w:rsidR="00114C16" w:rsidRPr="008D7238" w:rsidRDefault="00384ECC" w:rsidP="00114C16">
      <w:pPr>
        <w:spacing w:after="0" w:line="360" w:lineRule="auto"/>
        <w:rPr>
          <w:rFonts w:asciiTheme="majorBidi" w:hAnsiTheme="majorBidi" w:cstheme="majorBidi"/>
          <w:sz w:val="24"/>
          <w:szCs w:val="24"/>
          <w:rtl/>
        </w:rPr>
      </w:pPr>
      <w:r w:rsidRPr="008D7238">
        <w:rPr>
          <w:rFonts w:ascii="David" w:hAnsi="David" w:cs="David" w:hint="cs"/>
          <w:sz w:val="24"/>
          <w:szCs w:val="24"/>
          <w:rtl/>
        </w:rPr>
        <w:t>"</w:t>
      </w:r>
      <w:r w:rsidR="00114C16" w:rsidRPr="008D7238">
        <w:rPr>
          <w:rFonts w:ascii="David" w:hAnsi="David" w:cs="David"/>
          <w:sz w:val="24"/>
          <w:szCs w:val="24"/>
          <w:rtl/>
        </w:rPr>
        <w:t>מי אמרי' כיון דבב"א אמרינהו שניהם חלין ובא זה וביטל זה וכאלו לא כלום דמי</w:t>
      </w:r>
      <w:r w:rsidR="00AA08C0">
        <w:rPr>
          <w:rFonts w:ascii="David" w:hAnsi="David" w:cs="David" w:hint="cs"/>
          <w:sz w:val="24"/>
          <w:szCs w:val="24"/>
          <w:rtl/>
        </w:rPr>
        <w:t xml:space="preserve">, </w:t>
      </w:r>
      <w:r w:rsidR="00114C16" w:rsidRPr="008D7238">
        <w:rPr>
          <w:rFonts w:ascii="David" w:hAnsi="David" w:cs="David"/>
          <w:sz w:val="24"/>
          <w:szCs w:val="24"/>
          <w:rtl/>
        </w:rPr>
        <w:t>או דילמא פלגינן דיבורא ואזלי' לחומרא ונקטי' ההקמה וכיון דחיילא הקמה תו לא מצי חיילא הפרה והו"ל קיים</w:t>
      </w:r>
      <w:r w:rsidRPr="008D7238">
        <w:rPr>
          <w:rFonts w:ascii="David" w:hAnsi="David" w:cs="David" w:hint="cs"/>
          <w:sz w:val="24"/>
          <w:szCs w:val="24"/>
          <w:rtl/>
        </w:rPr>
        <w:t xml:space="preserve">". </w:t>
      </w:r>
      <w:r w:rsidR="004B2311" w:rsidRPr="008D7238">
        <w:rPr>
          <w:rFonts w:asciiTheme="majorBidi" w:hAnsiTheme="majorBidi" w:cstheme="majorBidi" w:hint="cs"/>
          <w:sz w:val="24"/>
          <w:szCs w:val="24"/>
          <w:rtl/>
        </w:rPr>
        <w:t xml:space="preserve">כאמור, </w:t>
      </w:r>
      <w:r w:rsidRPr="008D7238">
        <w:rPr>
          <w:rFonts w:asciiTheme="majorBidi" w:hAnsiTheme="majorBidi" w:cstheme="majorBidi" w:hint="cs"/>
          <w:sz w:val="24"/>
          <w:szCs w:val="24"/>
          <w:rtl/>
        </w:rPr>
        <w:t>לדעתו ישנה משמעות לכך שהקדים קיום להפרה.</w:t>
      </w:r>
    </w:p>
    <w:p w14:paraId="02833E9E" w14:textId="4354B77E" w:rsidR="00E530EA" w:rsidRPr="008D7238" w:rsidRDefault="00E530EA" w:rsidP="007A4B93">
      <w:pPr>
        <w:pStyle w:val="aa"/>
        <w:numPr>
          <w:ilvl w:val="0"/>
          <w:numId w:val="2"/>
        </w:numPr>
        <w:spacing w:after="0" w:line="360" w:lineRule="auto"/>
        <w:rPr>
          <w:rFonts w:asciiTheme="majorBidi" w:hAnsiTheme="majorBidi" w:cstheme="majorBidi"/>
          <w:b/>
          <w:bCs/>
          <w:sz w:val="24"/>
          <w:szCs w:val="24"/>
          <w:rtl/>
        </w:rPr>
      </w:pPr>
      <w:r w:rsidRPr="008D7238">
        <w:rPr>
          <w:rFonts w:asciiTheme="majorBidi" w:hAnsiTheme="majorBidi" w:cstheme="majorBidi"/>
          <w:b/>
          <w:bCs/>
          <w:sz w:val="24"/>
          <w:szCs w:val="24"/>
          <w:rtl/>
        </w:rPr>
        <w:t>מסקנת הסוגיה</w:t>
      </w:r>
    </w:p>
    <w:p w14:paraId="65D40FBE" w14:textId="136EFF4B" w:rsidR="009813C3" w:rsidRPr="008D7238" w:rsidRDefault="00E530EA" w:rsidP="00790D05">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 xml:space="preserve">פשט הפסק 'אינו', הוא שלא חל דבר, לא ההקמה ולא ההפרה. אכן כתב הר"ן: </w:t>
      </w:r>
      <w:r w:rsidRPr="008D7238">
        <w:rPr>
          <w:rFonts w:ascii="David" w:hAnsi="David" w:cs="David" w:hint="cs"/>
          <w:sz w:val="24"/>
          <w:szCs w:val="24"/>
          <w:rtl/>
        </w:rPr>
        <w:t>"</w:t>
      </w:r>
      <w:r w:rsidR="009170B8" w:rsidRPr="008D7238">
        <w:rPr>
          <w:rFonts w:ascii="David" w:hAnsi="David" w:cs="David"/>
          <w:sz w:val="24"/>
          <w:szCs w:val="24"/>
          <w:rtl/>
        </w:rPr>
        <w:t xml:space="preserve">ופשטינן לה מדרבה דאמר </w:t>
      </w:r>
      <w:r w:rsidR="009170B8" w:rsidRPr="008D7238">
        <w:rPr>
          <w:rFonts w:ascii="David" w:hAnsi="David" w:cs="David"/>
          <w:sz w:val="18"/>
          <w:szCs w:val="18"/>
          <w:rtl/>
        </w:rPr>
        <w:t>בפרק האיש מקדש</w:t>
      </w:r>
      <w:r w:rsidR="009170B8" w:rsidRPr="008D7238">
        <w:rPr>
          <w:rFonts w:ascii="David" w:hAnsi="David" w:cs="David"/>
          <w:sz w:val="24"/>
          <w:szCs w:val="24"/>
          <w:rtl/>
        </w:rPr>
        <w:t xml:space="preserve"> גבי המקדש שתי אחיות כאחת דכיון דלא מצי לקדשינהו בזה אחר זה אפי' בבת אחת ליכא לחדא מינייהו ספק קדושין כלל</w:t>
      </w:r>
      <w:r w:rsidR="00776933" w:rsidRPr="008D7238">
        <w:rPr>
          <w:rFonts w:ascii="David" w:hAnsi="David" w:cs="David" w:hint="cs"/>
          <w:sz w:val="24"/>
          <w:szCs w:val="24"/>
          <w:rtl/>
        </w:rPr>
        <w:t>.</w:t>
      </w:r>
      <w:r w:rsidR="009170B8" w:rsidRPr="008D7238">
        <w:rPr>
          <w:rFonts w:ascii="David" w:hAnsi="David" w:cs="David"/>
          <w:sz w:val="24"/>
          <w:szCs w:val="24"/>
          <w:rtl/>
        </w:rPr>
        <w:t xml:space="preserve"> הכא נמי ליכא לספוקי בהקמה ובהפרה כלל ומצי בתר הכי להפר ולקיומי כדבעי</w:t>
      </w:r>
      <w:r w:rsidR="00AA08C0">
        <w:rPr>
          <w:rFonts w:ascii="David" w:hAnsi="David" w:cs="David" w:hint="cs"/>
          <w:sz w:val="24"/>
          <w:szCs w:val="24"/>
          <w:rtl/>
        </w:rPr>
        <w:t>.</w:t>
      </w:r>
      <w:r w:rsidR="009170B8" w:rsidRPr="008D7238">
        <w:rPr>
          <w:rFonts w:ascii="David" w:hAnsi="David" w:cs="David"/>
          <w:sz w:val="24"/>
          <w:szCs w:val="24"/>
          <w:rtl/>
        </w:rPr>
        <w:t xml:space="preserve"> ולא נתחוורו לי דברי הר"מ במז"ל בזה</w:t>
      </w:r>
      <w:r w:rsidR="00790D05" w:rsidRPr="008D7238">
        <w:rPr>
          <w:rFonts w:ascii="David" w:hAnsi="David" w:cs="David"/>
          <w:sz w:val="24"/>
          <w:szCs w:val="24"/>
          <w:rtl/>
        </w:rPr>
        <w:t>"</w:t>
      </w:r>
      <w:r w:rsidR="009170B8" w:rsidRPr="008D7238">
        <w:rPr>
          <w:rFonts w:ascii="David" w:hAnsi="David" w:cs="David"/>
          <w:sz w:val="24"/>
          <w:szCs w:val="24"/>
          <w:rtl/>
        </w:rPr>
        <w:t>.</w:t>
      </w:r>
      <w:r w:rsidR="00776933" w:rsidRPr="008D7238">
        <w:rPr>
          <w:rFonts w:asciiTheme="majorBidi" w:hAnsiTheme="majorBidi" w:cstheme="majorBidi" w:hint="cs"/>
          <w:sz w:val="24"/>
          <w:szCs w:val="24"/>
          <w:rtl/>
        </w:rPr>
        <w:t xml:space="preserve"> אלו דברי הרמב"ם: </w:t>
      </w:r>
    </w:p>
    <w:p w14:paraId="78844EFC" w14:textId="51B5854A" w:rsidR="00E530EA" w:rsidRPr="008D7238" w:rsidRDefault="00776933" w:rsidP="00E530EA">
      <w:pPr>
        <w:spacing w:after="0" w:line="360" w:lineRule="auto"/>
        <w:rPr>
          <w:rFonts w:asciiTheme="majorBidi" w:hAnsiTheme="majorBidi" w:cstheme="majorBidi"/>
          <w:sz w:val="24"/>
          <w:szCs w:val="24"/>
          <w:rtl/>
        </w:rPr>
      </w:pPr>
      <w:r w:rsidRPr="008D7238">
        <w:rPr>
          <w:rFonts w:ascii="David" w:hAnsi="David" w:cs="David" w:hint="cs"/>
          <w:sz w:val="24"/>
          <w:szCs w:val="24"/>
          <w:rtl/>
        </w:rPr>
        <w:t>"</w:t>
      </w:r>
      <w:r w:rsidRPr="008D7238">
        <w:rPr>
          <w:rFonts w:ascii="David" w:hAnsi="David" w:cs="David"/>
          <w:sz w:val="24"/>
          <w:szCs w:val="24"/>
          <w:rtl/>
        </w:rPr>
        <w:t xml:space="preserve">אמר לה קיים ומופר ליך בבת אחת הרי זה </w:t>
      </w:r>
      <w:r w:rsidRPr="008D7238">
        <w:rPr>
          <w:rFonts w:ascii="David" w:hAnsi="David" w:cs="David"/>
          <w:b/>
          <w:bCs/>
          <w:sz w:val="24"/>
          <w:szCs w:val="24"/>
          <w:rtl/>
        </w:rPr>
        <w:t>קיים</w:t>
      </w:r>
      <w:r w:rsidRPr="008D7238">
        <w:rPr>
          <w:rStyle w:val="a5"/>
          <w:rFonts w:ascii="David" w:hAnsi="David" w:cs="David"/>
          <w:sz w:val="24"/>
          <w:szCs w:val="24"/>
          <w:rtl/>
        </w:rPr>
        <w:footnoteReference w:id="8"/>
      </w:r>
      <w:r w:rsidRPr="008D7238">
        <w:rPr>
          <w:rFonts w:ascii="David" w:hAnsi="David" w:cs="David" w:hint="cs"/>
          <w:sz w:val="24"/>
          <w:szCs w:val="24"/>
          <w:rtl/>
        </w:rPr>
        <w:t xml:space="preserve">". </w:t>
      </w:r>
      <w:r w:rsidR="00E530EA" w:rsidRPr="008D7238">
        <w:rPr>
          <w:rFonts w:asciiTheme="majorBidi" w:hAnsiTheme="majorBidi" w:cs="Times New Roman" w:hint="cs"/>
          <w:sz w:val="24"/>
          <w:szCs w:val="24"/>
          <w:rtl/>
        </w:rPr>
        <w:t xml:space="preserve">גם </w:t>
      </w:r>
      <w:r w:rsidR="00E530EA" w:rsidRPr="008D7238">
        <w:rPr>
          <w:rFonts w:asciiTheme="majorBidi" w:hAnsiTheme="majorBidi" w:cs="Times New Roman"/>
          <w:sz w:val="24"/>
          <w:szCs w:val="24"/>
          <w:rtl/>
        </w:rPr>
        <w:t xml:space="preserve">הרא"ש </w:t>
      </w:r>
      <w:r w:rsidR="00E530EA" w:rsidRPr="008D7238">
        <w:rPr>
          <w:rFonts w:asciiTheme="majorBidi" w:hAnsiTheme="majorBidi" w:cs="Times New Roman" w:hint="cs"/>
          <w:sz w:val="24"/>
          <w:szCs w:val="24"/>
          <w:rtl/>
        </w:rPr>
        <w:t xml:space="preserve">בפירושו כתב: </w:t>
      </w:r>
    </w:p>
    <w:p w14:paraId="117193DA" w14:textId="2F5FDFC2" w:rsidR="00E530EA" w:rsidRPr="008D7238" w:rsidRDefault="00E530EA" w:rsidP="00E530EA">
      <w:pPr>
        <w:spacing w:after="0" w:line="360" w:lineRule="auto"/>
        <w:rPr>
          <w:rFonts w:asciiTheme="majorBidi" w:hAnsiTheme="majorBidi" w:cstheme="majorBidi"/>
          <w:sz w:val="24"/>
          <w:szCs w:val="24"/>
          <w:rtl/>
        </w:rPr>
      </w:pPr>
      <w:r w:rsidRPr="008D7238">
        <w:rPr>
          <w:rFonts w:ascii="David" w:hAnsi="David" w:cs="David" w:hint="cs"/>
          <w:sz w:val="24"/>
          <w:szCs w:val="24"/>
          <w:rtl/>
        </w:rPr>
        <w:t>"</w:t>
      </w:r>
      <w:r w:rsidRPr="008D7238">
        <w:rPr>
          <w:rFonts w:ascii="David" w:hAnsi="David" w:cs="David"/>
          <w:sz w:val="24"/>
          <w:szCs w:val="24"/>
          <w:rtl/>
        </w:rPr>
        <w:t>כיון ד</w:t>
      </w:r>
      <w:r w:rsidRPr="008D7238">
        <w:rPr>
          <w:rFonts w:ascii="David" w:hAnsi="David" w:cs="David"/>
          <w:b/>
          <w:bCs/>
          <w:sz w:val="24"/>
          <w:szCs w:val="24"/>
          <w:rtl/>
        </w:rPr>
        <w:t xml:space="preserve">הפרה </w:t>
      </w:r>
      <w:r w:rsidRPr="008D7238">
        <w:rPr>
          <w:rFonts w:ascii="David" w:hAnsi="David" w:cs="David"/>
          <w:sz w:val="24"/>
          <w:szCs w:val="24"/>
          <w:rtl/>
        </w:rPr>
        <w:t>ליתא בתר הקמה גם בב"א ליתא</w:t>
      </w:r>
      <w:r w:rsidRPr="008D7238">
        <w:rPr>
          <w:rFonts w:ascii="David" w:hAnsi="David" w:cs="David" w:hint="cs"/>
          <w:sz w:val="24"/>
          <w:szCs w:val="24"/>
          <w:rtl/>
        </w:rPr>
        <w:t>".</w:t>
      </w:r>
      <w:r w:rsidR="0029757D" w:rsidRPr="008D7238">
        <w:rPr>
          <w:rFonts w:ascii="David" w:hAnsi="David" w:cs="David" w:hint="cs"/>
          <w:sz w:val="24"/>
          <w:szCs w:val="24"/>
          <w:rtl/>
        </w:rPr>
        <w:t xml:space="preserve"> </w:t>
      </w:r>
      <w:r w:rsidR="0029757D" w:rsidRPr="008D7238">
        <w:rPr>
          <w:rFonts w:asciiTheme="majorBidi" w:hAnsiTheme="majorBidi" w:cstheme="majorBidi"/>
          <w:sz w:val="24"/>
          <w:szCs w:val="24"/>
          <w:rtl/>
        </w:rPr>
        <w:t>ובמפרש:</w:t>
      </w:r>
      <w:r w:rsidR="0029757D" w:rsidRPr="008D7238">
        <w:rPr>
          <w:rFonts w:ascii="David" w:hAnsi="David" w:cs="David" w:hint="cs"/>
          <w:sz w:val="24"/>
          <w:szCs w:val="24"/>
          <w:rtl/>
        </w:rPr>
        <w:t xml:space="preserve"> "</w:t>
      </w:r>
      <w:r w:rsidR="0029757D" w:rsidRPr="008D7238">
        <w:rPr>
          <w:rFonts w:ascii="David" w:hAnsi="David" w:cs="David"/>
          <w:sz w:val="24"/>
          <w:szCs w:val="24"/>
          <w:rtl/>
        </w:rPr>
        <w:t>אין באותה הפרה כלום</w:t>
      </w:r>
      <w:r w:rsidR="0029757D" w:rsidRPr="008D7238">
        <w:rPr>
          <w:rFonts w:ascii="David" w:hAnsi="David" w:cs="David" w:hint="cs"/>
          <w:sz w:val="24"/>
          <w:szCs w:val="24"/>
          <w:rtl/>
        </w:rPr>
        <w:t>"</w:t>
      </w:r>
      <w:r w:rsidR="00B65AAA" w:rsidRPr="008D7238">
        <w:rPr>
          <w:rFonts w:ascii="David" w:hAnsi="David" w:cs="David" w:hint="cs"/>
          <w:sz w:val="24"/>
          <w:szCs w:val="24"/>
          <w:rtl/>
        </w:rPr>
        <w:t>.</w:t>
      </w:r>
      <w:r w:rsidR="004B2311" w:rsidRPr="008D7238">
        <w:rPr>
          <w:rFonts w:ascii="David" w:hAnsi="David" w:cs="David" w:hint="cs"/>
          <w:sz w:val="24"/>
          <w:szCs w:val="24"/>
          <w:rtl/>
        </w:rPr>
        <w:t xml:space="preserve"> </w:t>
      </w:r>
      <w:r w:rsidR="004B2311" w:rsidRPr="008D7238">
        <w:rPr>
          <w:rFonts w:asciiTheme="majorBidi" w:hAnsiTheme="majorBidi" w:cstheme="majorBidi" w:hint="cs"/>
          <w:sz w:val="24"/>
          <w:szCs w:val="24"/>
          <w:rtl/>
        </w:rPr>
        <w:t>השולחן ערוך מביא את שתי הדעות</w:t>
      </w:r>
      <w:r w:rsidR="004B2311" w:rsidRPr="008D7238">
        <w:rPr>
          <w:rStyle w:val="a5"/>
          <w:rFonts w:asciiTheme="majorBidi" w:hAnsiTheme="majorBidi" w:cstheme="majorBidi"/>
          <w:sz w:val="24"/>
          <w:szCs w:val="24"/>
          <w:rtl/>
        </w:rPr>
        <w:footnoteReference w:id="9"/>
      </w:r>
      <w:r w:rsidR="004B2311" w:rsidRPr="008D7238">
        <w:rPr>
          <w:rFonts w:asciiTheme="majorBidi" w:hAnsiTheme="majorBidi" w:cstheme="majorBidi" w:hint="cs"/>
          <w:sz w:val="24"/>
          <w:szCs w:val="24"/>
          <w:rtl/>
        </w:rPr>
        <w:t>.</w:t>
      </w:r>
    </w:p>
    <w:p w14:paraId="12063273" w14:textId="77777777" w:rsidR="007A4B93" w:rsidRDefault="00B65AAA" w:rsidP="00B65AAA">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הרדב"ז על הרמב"ם תומך בדעתו בטענה ש</w:t>
      </w:r>
      <w:r w:rsidRPr="008D7238">
        <w:rPr>
          <w:rFonts w:ascii="David" w:hAnsi="David" w:cs="David"/>
          <w:sz w:val="24"/>
          <w:szCs w:val="24"/>
          <w:rtl/>
        </w:rPr>
        <w:t>"לפירוש הר"ן הוה לתלמודא לאסוקיה למילתיה ולימא הילכך אינו לא מקויים ולא מופר".</w:t>
      </w:r>
      <w:r w:rsidRPr="008D7238">
        <w:rPr>
          <w:rFonts w:asciiTheme="majorBidi" w:hAnsiTheme="majorBidi" w:cstheme="majorBidi" w:hint="cs"/>
          <w:sz w:val="24"/>
          <w:szCs w:val="24"/>
          <w:rtl/>
        </w:rPr>
        <w:t xml:space="preserve"> אמנם כאמור, ניתן לטעון שזה הפשט בפסק: 'אינו'.</w:t>
      </w:r>
      <w:r w:rsidR="00940CD0" w:rsidRPr="008D7238">
        <w:rPr>
          <w:rFonts w:asciiTheme="majorBidi" w:hAnsiTheme="majorBidi" w:cstheme="majorBidi" w:hint="cs"/>
          <w:sz w:val="24"/>
          <w:szCs w:val="24"/>
          <w:rtl/>
        </w:rPr>
        <w:t xml:space="preserve"> </w:t>
      </w:r>
    </w:p>
    <w:p w14:paraId="3335CCC8" w14:textId="0CA245B8" w:rsidR="00B65AAA" w:rsidRPr="007A4B93" w:rsidRDefault="007A4B93" w:rsidP="007A4B93">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ד.</w:t>
      </w:r>
      <w:r w:rsidRPr="007A4B93">
        <w:rPr>
          <w:rFonts w:asciiTheme="majorBidi" w:hAnsiTheme="majorBidi" w:cstheme="majorBidi" w:hint="cs"/>
          <w:b/>
          <w:bCs/>
          <w:sz w:val="24"/>
          <w:szCs w:val="24"/>
          <w:rtl/>
        </w:rPr>
        <w:t>שיטת הרמב"ם</w:t>
      </w:r>
      <w:r w:rsidRPr="007A4B93">
        <w:rPr>
          <w:rFonts w:asciiTheme="majorBidi" w:hAnsiTheme="majorBidi" w:cstheme="majorBidi" w:hint="cs"/>
          <w:sz w:val="24"/>
          <w:szCs w:val="24"/>
          <w:rtl/>
        </w:rPr>
        <w:t xml:space="preserve"> </w:t>
      </w:r>
      <w:r w:rsidR="00940CD0" w:rsidRPr="007A4B93">
        <w:rPr>
          <w:rFonts w:asciiTheme="majorBidi" w:hAnsiTheme="majorBidi" w:cstheme="majorBidi" w:hint="cs"/>
          <w:sz w:val="24"/>
          <w:szCs w:val="24"/>
          <w:rtl/>
        </w:rPr>
        <w:t xml:space="preserve">נציע כמה ביאורים בשיטת הרמב"ם: </w:t>
      </w:r>
    </w:p>
    <w:p w14:paraId="30398F13" w14:textId="42985203" w:rsidR="00B65AAA" w:rsidRPr="008D7238" w:rsidRDefault="00940CD0" w:rsidP="008D7238">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 xml:space="preserve">1-2 </w:t>
      </w:r>
      <w:r w:rsidR="00B65AAA" w:rsidRPr="008D7238">
        <w:rPr>
          <w:rFonts w:asciiTheme="majorBidi" w:hAnsiTheme="majorBidi" w:cstheme="majorBidi" w:hint="cs"/>
          <w:sz w:val="24"/>
          <w:szCs w:val="24"/>
          <w:rtl/>
        </w:rPr>
        <w:t xml:space="preserve">הכסף משנה מתלבט בדעת הרמב"ם: </w:t>
      </w:r>
      <w:r w:rsidR="00B65AAA" w:rsidRPr="008D7238">
        <w:rPr>
          <w:rFonts w:asciiTheme="majorBidi" w:hAnsiTheme="majorBidi" w:cs="Times New Roman" w:hint="cs"/>
          <w:sz w:val="24"/>
          <w:szCs w:val="24"/>
          <w:rtl/>
        </w:rPr>
        <w:t xml:space="preserve"> </w:t>
      </w:r>
      <w:r w:rsidR="00B65AAA" w:rsidRPr="008D7238">
        <w:rPr>
          <w:rFonts w:ascii="David" w:hAnsi="David" w:cs="David"/>
          <w:sz w:val="24"/>
          <w:szCs w:val="24"/>
          <w:rtl/>
        </w:rPr>
        <w:t xml:space="preserve"> "נראה שהוא מפרש דהכי פשטוה</w:t>
      </w:r>
      <w:r w:rsidR="00AA08C0">
        <w:rPr>
          <w:rFonts w:ascii="David" w:hAnsi="David" w:cs="David" w:hint="cs"/>
          <w:sz w:val="24"/>
          <w:szCs w:val="24"/>
          <w:rtl/>
        </w:rPr>
        <w:t>:</w:t>
      </w:r>
      <w:r w:rsidR="00B65AAA" w:rsidRPr="008D7238">
        <w:rPr>
          <w:rFonts w:ascii="David" w:hAnsi="David" w:cs="David"/>
          <w:sz w:val="24"/>
          <w:szCs w:val="24"/>
          <w:rtl/>
        </w:rPr>
        <w:t xml:space="preserve"> כיון ד</w:t>
      </w:r>
      <w:r w:rsidR="00B65AAA" w:rsidRPr="00AA08C0">
        <w:rPr>
          <w:rFonts w:ascii="David" w:hAnsi="David" w:cs="David"/>
          <w:b/>
          <w:bCs/>
          <w:sz w:val="24"/>
          <w:szCs w:val="24"/>
          <w:rtl/>
        </w:rPr>
        <w:t xml:space="preserve">הפרה </w:t>
      </w:r>
      <w:r w:rsidR="00B65AAA" w:rsidRPr="008D7238">
        <w:rPr>
          <w:rFonts w:ascii="David" w:hAnsi="David" w:cs="David"/>
          <w:sz w:val="24"/>
          <w:szCs w:val="24"/>
          <w:rtl/>
        </w:rPr>
        <w:t>אינה יכולה לחול אחר הקיום</w:t>
      </w:r>
      <w:r w:rsidR="00AA08C0">
        <w:rPr>
          <w:rFonts w:ascii="David" w:hAnsi="David" w:cs="David" w:hint="cs"/>
          <w:sz w:val="24"/>
          <w:szCs w:val="24"/>
          <w:rtl/>
        </w:rPr>
        <w:t>,</w:t>
      </w:r>
      <w:r w:rsidR="00B65AAA" w:rsidRPr="008D7238">
        <w:rPr>
          <w:rFonts w:ascii="David" w:hAnsi="David" w:cs="David"/>
          <w:sz w:val="24"/>
          <w:szCs w:val="24"/>
          <w:rtl/>
        </w:rPr>
        <w:t xml:space="preserve"> אפילו בבת אחת אינה חלה. ואין לומר דנימא איפכא כיון דקיום אינו חל אחר ההפרה אפי' בבת אחת אינו חל</w:t>
      </w:r>
      <w:r w:rsidR="00AA08C0">
        <w:rPr>
          <w:rFonts w:ascii="David" w:hAnsi="David" w:cs="David" w:hint="cs"/>
          <w:sz w:val="24"/>
          <w:szCs w:val="24"/>
          <w:rtl/>
        </w:rPr>
        <w:t>,</w:t>
      </w:r>
      <w:r w:rsidR="00B65AAA" w:rsidRPr="008D7238">
        <w:rPr>
          <w:rFonts w:ascii="David" w:hAnsi="David" w:cs="David"/>
          <w:sz w:val="24"/>
          <w:szCs w:val="24"/>
          <w:rtl/>
        </w:rPr>
        <w:t xml:space="preserve"> דכיון דאיכא לפרושי לקולא ולחומרא </w:t>
      </w:r>
      <w:r w:rsidR="00B65AAA" w:rsidRPr="008D7238">
        <w:rPr>
          <w:rFonts w:ascii="David" w:hAnsi="David" w:cs="David"/>
          <w:b/>
          <w:bCs/>
          <w:sz w:val="24"/>
          <w:szCs w:val="24"/>
          <w:rtl/>
        </w:rPr>
        <w:t>נקיטינן לחומרא</w:t>
      </w:r>
      <w:r w:rsidR="00B65AAA" w:rsidRPr="008D7238">
        <w:rPr>
          <w:rFonts w:ascii="David" w:hAnsi="David" w:cs="David"/>
          <w:sz w:val="24"/>
          <w:szCs w:val="24"/>
          <w:rtl/>
        </w:rPr>
        <w:t xml:space="preserve">. וא"ת ה"ל לרבינו לכתוב בהדיא דהוי </w:t>
      </w:r>
      <w:r w:rsidR="00B65AAA" w:rsidRPr="008D7238">
        <w:rPr>
          <w:rFonts w:ascii="David" w:hAnsi="David" w:cs="David"/>
          <w:b/>
          <w:bCs/>
          <w:sz w:val="24"/>
          <w:szCs w:val="24"/>
          <w:rtl/>
        </w:rPr>
        <w:t>קיים מספק.</w:t>
      </w:r>
      <w:r w:rsidR="00B65AAA" w:rsidRPr="008D7238">
        <w:rPr>
          <w:rFonts w:ascii="David" w:hAnsi="David" w:cs="David"/>
          <w:sz w:val="24"/>
          <w:szCs w:val="24"/>
          <w:rtl/>
        </w:rPr>
        <w:t xml:space="preserve"> וי"ל דכי אמרי' דלא חיילי לא הקמה ולא הפרה </w:t>
      </w:r>
      <w:r w:rsidR="00B65AAA" w:rsidRPr="008D7238">
        <w:rPr>
          <w:rFonts w:ascii="David" w:hAnsi="David" w:cs="David"/>
          <w:b/>
          <w:bCs/>
          <w:sz w:val="24"/>
          <w:szCs w:val="24"/>
          <w:rtl/>
        </w:rPr>
        <w:t>ממילא הוא קיים דשתיקה הוי קיום</w:t>
      </w:r>
      <w:r w:rsidR="00AA08C0">
        <w:rPr>
          <w:rFonts w:ascii="David" w:hAnsi="David" w:cs="David" w:hint="cs"/>
          <w:b/>
          <w:bCs/>
          <w:sz w:val="24"/>
          <w:szCs w:val="24"/>
          <w:rtl/>
        </w:rPr>
        <w:t>.</w:t>
      </w:r>
      <w:r w:rsidR="00B65AAA" w:rsidRPr="008D7238">
        <w:rPr>
          <w:rFonts w:ascii="David" w:hAnsi="David" w:cs="David"/>
          <w:sz w:val="24"/>
          <w:szCs w:val="24"/>
          <w:rtl/>
        </w:rPr>
        <w:t xml:space="preserve"> אבל קשה דלפי זה בהנך בעיי דבסמוך ה"ל למיפסק אף בבתרייתא דהוי קיום בודאי ואמאי פסק דספיקא הוא".</w:t>
      </w:r>
      <w:r w:rsidR="00B65AAA" w:rsidRPr="008D7238">
        <w:rPr>
          <w:rFonts w:ascii="David" w:hAnsi="David" w:cs="David" w:hint="cs"/>
          <w:sz w:val="24"/>
          <w:szCs w:val="24"/>
          <w:rtl/>
        </w:rPr>
        <w:t xml:space="preserve"> </w:t>
      </w:r>
      <w:r w:rsidR="00B65AAA" w:rsidRPr="008D7238">
        <w:rPr>
          <w:rFonts w:asciiTheme="majorBidi" w:hAnsiTheme="majorBidi" w:cstheme="majorBidi" w:hint="cs"/>
          <w:sz w:val="24"/>
          <w:szCs w:val="24"/>
          <w:rtl/>
        </w:rPr>
        <w:t xml:space="preserve">דברי הכסף משנה, שביטול הדדי של הקיום וההפרה גורם קיום ניתנים להבנה בשני אופנים: </w:t>
      </w:r>
      <w:r w:rsidR="00463ECE" w:rsidRPr="008D7238">
        <w:rPr>
          <w:rFonts w:ascii="David" w:hAnsi="David" w:cs="David" w:hint="cs"/>
          <w:sz w:val="24"/>
          <w:szCs w:val="24"/>
          <w:rtl/>
        </w:rPr>
        <w:t xml:space="preserve">"דכיוון דלא חלו תרוויהו </w:t>
      </w:r>
      <w:r w:rsidR="00463ECE" w:rsidRPr="008D7238">
        <w:rPr>
          <w:rFonts w:ascii="David" w:hAnsi="David" w:cs="David" w:hint="cs"/>
          <w:b/>
          <w:bCs/>
          <w:sz w:val="24"/>
          <w:szCs w:val="24"/>
          <w:rtl/>
        </w:rPr>
        <w:t>ועבר יום השמועה</w:t>
      </w:r>
      <w:r w:rsidR="00463ECE" w:rsidRPr="008D7238">
        <w:rPr>
          <w:rFonts w:ascii="David" w:hAnsi="David" w:cs="David" w:hint="cs"/>
          <w:sz w:val="24"/>
          <w:szCs w:val="24"/>
          <w:rtl/>
        </w:rPr>
        <w:t xml:space="preserve">, אם כן ממילא דהוי קיום, או דכוונתו הוא דהוי כהקים בליבו.. כיוון דקיימא לן דהפרה שבלב אינה הפרה </w:t>
      </w:r>
      <w:r w:rsidR="00463ECE" w:rsidRPr="008D7238">
        <w:rPr>
          <w:rFonts w:ascii="David" w:hAnsi="David" w:cs="David"/>
          <w:sz w:val="24"/>
          <w:szCs w:val="24"/>
          <w:rtl/>
        </w:rPr>
        <w:t>–</w:t>
      </w:r>
      <w:r w:rsidR="00463ECE" w:rsidRPr="008D7238">
        <w:rPr>
          <w:rFonts w:ascii="David" w:hAnsi="David" w:cs="David" w:hint="cs"/>
          <w:sz w:val="24"/>
          <w:szCs w:val="24"/>
          <w:rtl/>
        </w:rPr>
        <w:t xml:space="preserve"> והקמה בלב הוי הקמה, אם כן איכא הכא ממילא הקמה</w:t>
      </w:r>
      <w:r w:rsidR="00463ECE" w:rsidRPr="008D7238">
        <w:rPr>
          <w:rStyle w:val="a5"/>
          <w:rFonts w:ascii="David" w:hAnsi="David" w:cs="David"/>
          <w:sz w:val="24"/>
          <w:szCs w:val="24"/>
          <w:rtl/>
        </w:rPr>
        <w:footnoteReference w:id="10"/>
      </w:r>
      <w:r w:rsidR="00463ECE" w:rsidRPr="008D7238">
        <w:rPr>
          <w:rFonts w:ascii="David" w:hAnsi="David" w:cs="David" w:hint="cs"/>
          <w:sz w:val="24"/>
          <w:szCs w:val="24"/>
          <w:rtl/>
        </w:rPr>
        <w:t>".</w:t>
      </w:r>
      <w:r w:rsidR="008D7238" w:rsidRPr="008D7238">
        <w:rPr>
          <w:rFonts w:asciiTheme="majorBidi" w:hAnsiTheme="majorBidi" w:cstheme="majorBidi" w:hint="cs"/>
          <w:sz w:val="24"/>
          <w:szCs w:val="24"/>
          <w:rtl/>
        </w:rPr>
        <w:t xml:space="preserve"> לפי האפשרות הראשונה, במשך אותו יום של הנדר, עדיין יוכל הבעל להפר. אך הרמב"ם לא כתב כן. לכן דעת הרב לוין לפרש כאופן הראשון בדברי הכסף משנה </w:t>
      </w:r>
      <w:r w:rsidR="008D7238" w:rsidRPr="008D7238">
        <w:rPr>
          <w:rFonts w:asciiTheme="majorBidi" w:hAnsiTheme="majorBidi" w:cstheme="majorBidi"/>
          <w:sz w:val="24"/>
          <w:szCs w:val="24"/>
          <w:rtl/>
        </w:rPr>
        <w:t>–</w:t>
      </w:r>
      <w:r w:rsidR="008D7238" w:rsidRPr="008D7238">
        <w:rPr>
          <w:rFonts w:asciiTheme="majorBidi" w:hAnsiTheme="majorBidi" w:cstheme="majorBidi" w:hint="cs"/>
          <w:sz w:val="24"/>
          <w:szCs w:val="24"/>
          <w:rtl/>
        </w:rPr>
        <w:t xml:space="preserve"> אך כאופן השני בדברי הרמב"ם</w:t>
      </w:r>
      <w:r w:rsidR="008D7238" w:rsidRPr="008D7238">
        <w:rPr>
          <w:rStyle w:val="a5"/>
          <w:rFonts w:asciiTheme="majorBidi" w:hAnsiTheme="majorBidi" w:cstheme="majorBidi"/>
          <w:sz w:val="24"/>
          <w:szCs w:val="24"/>
          <w:rtl/>
        </w:rPr>
        <w:footnoteReference w:id="11"/>
      </w:r>
      <w:r w:rsidR="008D7238" w:rsidRPr="008D7238">
        <w:rPr>
          <w:rFonts w:asciiTheme="majorBidi" w:hAnsiTheme="majorBidi" w:cstheme="majorBidi" w:hint="cs"/>
          <w:sz w:val="24"/>
          <w:szCs w:val="24"/>
          <w:rtl/>
        </w:rPr>
        <w:t xml:space="preserve">. </w:t>
      </w:r>
    </w:p>
    <w:p w14:paraId="3990F7CF" w14:textId="26D74EAE" w:rsidR="00776933" w:rsidRPr="008D7238" w:rsidRDefault="00940CD0" w:rsidP="00776933">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 xml:space="preserve">3. </w:t>
      </w:r>
      <w:r w:rsidR="00776933" w:rsidRPr="008D7238">
        <w:rPr>
          <w:rFonts w:asciiTheme="majorBidi" w:hAnsiTheme="majorBidi" w:cstheme="majorBidi" w:hint="cs"/>
          <w:sz w:val="24"/>
          <w:szCs w:val="24"/>
          <w:rtl/>
        </w:rPr>
        <w:t>הט"ז מבאר שלדעת הרמב"ם ההשוואה למ</w:t>
      </w:r>
      <w:r w:rsidR="00E530EA" w:rsidRPr="008D7238">
        <w:rPr>
          <w:rFonts w:asciiTheme="majorBidi" w:hAnsiTheme="majorBidi" w:cstheme="majorBidi" w:hint="cs"/>
          <w:sz w:val="24"/>
          <w:szCs w:val="24"/>
          <w:rtl/>
        </w:rPr>
        <w:t>ק</w:t>
      </w:r>
      <w:r w:rsidR="00776933" w:rsidRPr="008D7238">
        <w:rPr>
          <w:rFonts w:asciiTheme="majorBidi" w:hAnsiTheme="majorBidi" w:cstheme="majorBidi" w:hint="cs"/>
          <w:sz w:val="24"/>
          <w:szCs w:val="24"/>
          <w:rtl/>
        </w:rPr>
        <w:t xml:space="preserve">דש שתי אחיות היא חלקית: </w:t>
      </w:r>
    </w:p>
    <w:p w14:paraId="6131C75D" w14:textId="6829821E" w:rsidR="00940CD0" w:rsidRPr="008D7238" w:rsidRDefault="00776933" w:rsidP="004B2311">
      <w:pPr>
        <w:spacing w:after="0" w:line="360" w:lineRule="auto"/>
        <w:rPr>
          <w:rFonts w:ascii="David" w:hAnsi="David" w:cs="David"/>
          <w:sz w:val="24"/>
          <w:szCs w:val="24"/>
          <w:rtl/>
        </w:rPr>
      </w:pPr>
      <w:r w:rsidRPr="008D7238">
        <w:rPr>
          <w:rFonts w:ascii="David" w:hAnsi="David" w:cs="David" w:hint="cs"/>
          <w:sz w:val="24"/>
          <w:szCs w:val="24"/>
          <w:rtl/>
        </w:rPr>
        <w:lastRenderedPageBreak/>
        <w:t>"</w:t>
      </w:r>
      <w:r w:rsidRPr="008D7238">
        <w:rPr>
          <w:rFonts w:ascii="David" w:hAnsi="David" w:cs="David"/>
          <w:sz w:val="24"/>
          <w:szCs w:val="24"/>
          <w:rtl/>
        </w:rPr>
        <w:t>עדיפא הכא ממקדש אחיות</w:t>
      </w:r>
      <w:r w:rsidRPr="008D7238">
        <w:rPr>
          <w:rFonts w:ascii="David" w:hAnsi="David" w:cs="David" w:hint="cs"/>
          <w:sz w:val="24"/>
          <w:szCs w:val="24"/>
          <w:rtl/>
        </w:rPr>
        <w:t>,</w:t>
      </w:r>
      <w:r w:rsidRPr="008D7238">
        <w:rPr>
          <w:rFonts w:ascii="David" w:hAnsi="David" w:cs="David"/>
          <w:sz w:val="24"/>
          <w:szCs w:val="24"/>
          <w:rtl/>
        </w:rPr>
        <w:t xml:space="preserve"> כיון דאמר תחילה </w:t>
      </w:r>
      <w:r w:rsidRPr="008D7238">
        <w:rPr>
          <w:rFonts w:ascii="David" w:hAnsi="David" w:cs="David" w:hint="cs"/>
          <w:sz w:val="24"/>
          <w:szCs w:val="24"/>
          <w:rtl/>
        </w:rPr>
        <w:t>'</w:t>
      </w:r>
      <w:r w:rsidRPr="008D7238">
        <w:rPr>
          <w:rFonts w:ascii="David" w:hAnsi="David" w:cs="David"/>
          <w:sz w:val="24"/>
          <w:szCs w:val="24"/>
          <w:rtl/>
        </w:rPr>
        <w:t>קיים</w:t>
      </w:r>
      <w:r w:rsidRPr="008D7238">
        <w:rPr>
          <w:rFonts w:ascii="David" w:hAnsi="David" w:cs="David" w:hint="cs"/>
          <w:sz w:val="24"/>
          <w:szCs w:val="24"/>
          <w:rtl/>
        </w:rPr>
        <w:t>'</w:t>
      </w:r>
      <w:r w:rsidRPr="008D7238">
        <w:rPr>
          <w:rFonts w:ascii="David" w:hAnsi="David" w:cs="David"/>
          <w:sz w:val="24"/>
          <w:szCs w:val="24"/>
          <w:rtl/>
        </w:rPr>
        <w:t xml:space="preserve"> ואחר כך </w:t>
      </w:r>
      <w:r w:rsidRPr="008D7238">
        <w:rPr>
          <w:rFonts w:ascii="David" w:hAnsi="David" w:cs="David" w:hint="cs"/>
          <w:sz w:val="24"/>
          <w:szCs w:val="24"/>
          <w:rtl/>
        </w:rPr>
        <w:t>'</w:t>
      </w:r>
      <w:r w:rsidRPr="008D7238">
        <w:rPr>
          <w:rFonts w:ascii="David" w:hAnsi="David" w:cs="David"/>
          <w:sz w:val="24"/>
          <w:szCs w:val="24"/>
          <w:rtl/>
        </w:rPr>
        <w:t>מופר</w:t>
      </w:r>
      <w:r w:rsidRPr="008D7238">
        <w:rPr>
          <w:rFonts w:ascii="David" w:hAnsi="David" w:cs="David" w:hint="cs"/>
          <w:sz w:val="24"/>
          <w:szCs w:val="24"/>
          <w:rtl/>
        </w:rPr>
        <w:t>'</w:t>
      </w:r>
      <w:r w:rsidRPr="008D7238">
        <w:rPr>
          <w:rFonts w:ascii="David" w:hAnsi="David" w:cs="David"/>
          <w:sz w:val="24"/>
          <w:szCs w:val="24"/>
          <w:rtl/>
        </w:rPr>
        <w:t xml:space="preserve"> אלא ד</w:t>
      </w:r>
      <w:r w:rsidR="00074768">
        <w:rPr>
          <w:rFonts w:ascii="David" w:hAnsi="David" w:cs="David" w:hint="cs"/>
          <w:sz w:val="24"/>
          <w:szCs w:val="24"/>
          <w:rtl/>
        </w:rPr>
        <w:t>'</w:t>
      </w:r>
      <w:r w:rsidRPr="008D7238">
        <w:rPr>
          <w:rFonts w:ascii="David" w:hAnsi="David" w:cs="David"/>
          <w:sz w:val="24"/>
          <w:szCs w:val="24"/>
          <w:rtl/>
        </w:rPr>
        <w:t>ליכי</w:t>
      </w:r>
      <w:r w:rsidR="00074768">
        <w:rPr>
          <w:rFonts w:ascii="David" w:hAnsi="David" w:cs="David" w:hint="cs"/>
          <w:sz w:val="24"/>
          <w:szCs w:val="24"/>
          <w:rtl/>
        </w:rPr>
        <w:t>'</w:t>
      </w:r>
      <w:r w:rsidRPr="008D7238">
        <w:rPr>
          <w:rFonts w:ascii="David" w:hAnsi="David" w:cs="David"/>
          <w:sz w:val="24"/>
          <w:szCs w:val="24"/>
          <w:rtl/>
        </w:rPr>
        <w:t xml:space="preserve"> קאי על שניהם</w:t>
      </w:r>
      <w:r w:rsidR="00074768">
        <w:rPr>
          <w:rFonts w:ascii="David" w:hAnsi="David" w:cs="David" w:hint="cs"/>
          <w:sz w:val="24"/>
          <w:szCs w:val="24"/>
          <w:rtl/>
        </w:rPr>
        <w:t>,</w:t>
      </w:r>
      <w:r w:rsidRPr="008D7238">
        <w:rPr>
          <w:rFonts w:ascii="David" w:hAnsi="David" w:cs="David"/>
          <w:sz w:val="24"/>
          <w:szCs w:val="24"/>
          <w:rtl/>
        </w:rPr>
        <w:t xml:space="preserve"> ע"כ קיום ודאי לא בטיל</w:t>
      </w:r>
      <w:r w:rsidRPr="008D7238">
        <w:rPr>
          <w:rFonts w:ascii="David" w:hAnsi="David" w:cs="David" w:hint="cs"/>
          <w:sz w:val="24"/>
          <w:szCs w:val="24"/>
          <w:rtl/>
        </w:rPr>
        <w:t>.</w:t>
      </w:r>
      <w:r w:rsidRPr="008D7238">
        <w:rPr>
          <w:rFonts w:ascii="David" w:hAnsi="David" w:cs="David"/>
          <w:sz w:val="24"/>
          <w:szCs w:val="24"/>
          <w:rtl/>
        </w:rPr>
        <w:t xml:space="preserve"> אלא דמבעיא אי יש כח במופר לבטלו אי לא</w:t>
      </w:r>
      <w:r w:rsidRPr="008D7238">
        <w:rPr>
          <w:rFonts w:ascii="David" w:hAnsi="David" w:cs="David" w:hint="cs"/>
          <w:sz w:val="24"/>
          <w:szCs w:val="24"/>
          <w:rtl/>
        </w:rPr>
        <w:t>,</w:t>
      </w:r>
      <w:r w:rsidRPr="008D7238">
        <w:rPr>
          <w:rFonts w:ascii="David" w:hAnsi="David" w:cs="David"/>
          <w:sz w:val="24"/>
          <w:szCs w:val="24"/>
          <w:rtl/>
        </w:rPr>
        <w:t xml:space="preserve"> ועל זה פשיט דלא מבטלו כמו בזה אחר זה </w:t>
      </w:r>
      <w:r w:rsidRPr="008D7238">
        <w:rPr>
          <w:rFonts w:ascii="David" w:hAnsi="David" w:cs="David" w:hint="cs"/>
          <w:sz w:val="24"/>
          <w:szCs w:val="24"/>
          <w:rtl/>
        </w:rPr>
        <w:t>.</w:t>
      </w:r>
      <w:r w:rsidRPr="008D7238">
        <w:rPr>
          <w:rFonts w:ascii="David" w:hAnsi="David" w:cs="David"/>
          <w:sz w:val="24"/>
          <w:szCs w:val="24"/>
          <w:rtl/>
        </w:rPr>
        <w:t>מה שאין כן בשתי אחיות שאפילו אומר</w:t>
      </w:r>
      <w:r w:rsidR="00074768">
        <w:rPr>
          <w:rFonts w:ascii="David" w:hAnsi="David" w:cs="David" w:hint="cs"/>
          <w:sz w:val="24"/>
          <w:szCs w:val="24"/>
          <w:rtl/>
        </w:rPr>
        <w:t>:</w:t>
      </w:r>
      <w:r w:rsidRPr="008D7238">
        <w:rPr>
          <w:rFonts w:ascii="David" w:hAnsi="David" w:cs="David"/>
          <w:sz w:val="24"/>
          <w:szCs w:val="24"/>
          <w:rtl/>
        </w:rPr>
        <w:t xml:space="preserve"> </w:t>
      </w:r>
      <w:r w:rsidR="00074768">
        <w:rPr>
          <w:rFonts w:ascii="David" w:hAnsi="David" w:cs="David" w:hint="cs"/>
          <w:sz w:val="24"/>
          <w:szCs w:val="24"/>
          <w:rtl/>
        </w:rPr>
        <w:t>'</w:t>
      </w:r>
      <w:r w:rsidRPr="008D7238">
        <w:rPr>
          <w:rFonts w:ascii="David" w:hAnsi="David" w:cs="David"/>
          <w:sz w:val="24"/>
          <w:szCs w:val="24"/>
          <w:rtl/>
        </w:rPr>
        <w:t>רחל ולאה מקודשות לי</w:t>
      </w:r>
      <w:r w:rsidR="00074768">
        <w:rPr>
          <w:rFonts w:ascii="David" w:hAnsi="David" w:cs="David" w:hint="cs"/>
          <w:sz w:val="24"/>
          <w:szCs w:val="24"/>
          <w:rtl/>
        </w:rPr>
        <w:t>',</w:t>
      </w:r>
      <w:r w:rsidRPr="008D7238">
        <w:rPr>
          <w:rFonts w:ascii="David" w:hAnsi="David" w:cs="David"/>
          <w:sz w:val="24"/>
          <w:szCs w:val="24"/>
          <w:rtl/>
        </w:rPr>
        <w:t xml:space="preserve"> כיון ש</w:t>
      </w:r>
      <w:r w:rsidRPr="008D7238">
        <w:rPr>
          <w:rFonts w:ascii="David" w:hAnsi="David" w:cs="David"/>
          <w:b/>
          <w:bCs/>
          <w:sz w:val="24"/>
          <w:szCs w:val="24"/>
          <w:rtl/>
        </w:rPr>
        <w:t>לשון מקודשות הוא לשון רבים וקאי על שניהם</w:t>
      </w:r>
      <w:r w:rsidRPr="008D7238">
        <w:rPr>
          <w:rFonts w:ascii="David" w:hAnsi="David" w:cs="David" w:hint="cs"/>
          <w:b/>
          <w:bCs/>
          <w:sz w:val="24"/>
          <w:szCs w:val="24"/>
          <w:rtl/>
        </w:rPr>
        <w:t>,</w:t>
      </w:r>
      <w:r w:rsidRPr="008D7238">
        <w:rPr>
          <w:rFonts w:ascii="David" w:hAnsi="David" w:cs="David"/>
          <w:sz w:val="24"/>
          <w:szCs w:val="24"/>
          <w:rtl/>
        </w:rPr>
        <w:t xml:space="preserve"> אין אחת מהן מקודשת</w:t>
      </w:r>
      <w:r w:rsidRPr="008D7238">
        <w:rPr>
          <w:rFonts w:ascii="David" w:hAnsi="David" w:cs="David" w:hint="cs"/>
          <w:sz w:val="24"/>
          <w:szCs w:val="24"/>
          <w:rtl/>
        </w:rPr>
        <w:t>.</w:t>
      </w:r>
      <w:r w:rsidRPr="008D7238">
        <w:rPr>
          <w:rFonts w:ascii="David" w:hAnsi="David" w:cs="David"/>
          <w:sz w:val="24"/>
          <w:szCs w:val="24"/>
          <w:rtl/>
        </w:rPr>
        <w:t xml:space="preserve"> מה שאין כן בלשון </w:t>
      </w:r>
      <w:r w:rsidRPr="008D7238">
        <w:rPr>
          <w:rFonts w:ascii="David" w:hAnsi="David" w:cs="David" w:hint="cs"/>
          <w:sz w:val="24"/>
          <w:szCs w:val="24"/>
          <w:rtl/>
        </w:rPr>
        <w:t>'</w:t>
      </w:r>
      <w:r w:rsidRPr="008D7238">
        <w:rPr>
          <w:rFonts w:ascii="David" w:hAnsi="David" w:cs="David"/>
          <w:sz w:val="24"/>
          <w:szCs w:val="24"/>
          <w:rtl/>
        </w:rPr>
        <w:t>ליכי</w:t>
      </w:r>
      <w:r w:rsidRPr="008D7238">
        <w:rPr>
          <w:rFonts w:ascii="David" w:hAnsi="David" w:cs="David" w:hint="cs"/>
          <w:sz w:val="24"/>
          <w:szCs w:val="24"/>
          <w:rtl/>
        </w:rPr>
        <w:t>'</w:t>
      </w:r>
      <w:r w:rsidR="00E0075D" w:rsidRPr="008D7238">
        <w:rPr>
          <w:rFonts w:ascii="David" w:hAnsi="David" w:cs="David" w:hint="cs"/>
          <w:sz w:val="24"/>
          <w:szCs w:val="24"/>
          <w:rtl/>
        </w:rPr>
        <w:t xml:space="preserve">, </w:t>
      </w:r>
      <w:r w:rsidRPr="008D7238">
        <w:rPr>
          <w:rFonts w:ascii="David" w:hAnsi="David" w:cs="David"/>
          <w:sz w:val="24"/>
          <w:szCs w:val="24"/>
          <w:rtl/>
        </w:rPr>
        <w:t>שאינו לשון רבים לומר דקאי על תרוייהו</w:t>
      </w:r>
      <w:r w:rsidR="00E0075D" w:rsidRPr="008D7238">
        <w:rPr>
          <w:rFonts w:ascii="David" w:hAnsi="David" w:cs="David" w:hint="cs"/>
          <w:sz w:val="24"/>
          <w:szCs w:val="24"/>
          <w:rtl/>
        </w:rPr>
        <w:t>.</w:t>
      </w:r>
      <w:r w:rsidRPr="008D7238">
        <w:rPr>
          <w:rFonts w:ascii="David" w:hAnsi="David" w:cs="David"/>
          <w:sz w:val="24"/>
          <w:szCs w:val="24"/>
          <w:rtl/>
        </w:rPr>
        <w:t xml:space="preserve"> ולא מייתי ראייה מקדושי אחיות</w:t>
      </w:r>
      <w:r w:rsidR="00E0075D" w:rsidRPr="008D7238">
        <w:rPr>
          <w:rFonts w:ascii="David" w:hAnsi="David" w:cs="David" w:hint="cs"/>
          <w:sz w:val="24"/>
          <w:szCs w:val="24"/>
          <w:rtl/>
        </w:rPr>
        <w:t>,</w:t>
      </w:r>
      <w:r w:rsidRPr="008D7238">
        <w:rPr>
          <w:rFonts w:ascii="David" w:hAnsi="David" w:cs="David"/>
          <w:sz w:val="24"/>
          <w:szCs w:val="24"/>
          <w:rtl/>
        </w:rPr>
        <w:t xml:space="preserve"> אלא למה שאמרו דכל שאינו [בזה אחר זה אפי'] בבת אחת כו'. אבל מכל מקום אין בבת אחת דנדרים שוה ממש לבת אחת דקדושי אחיות</w:t>
      </w:r>
      <w:r w:rsidRPr="008D7238">
        <w:rPr>
          <w:rStyle w:val="a5"/>
          <w:rFonts w:ascii="David" w:hAnsi="David" w:cs="David"/>
          <w:sz w:val="24"/>
          <w:szCs w:val="24"/>
          <w:rtl/>
        </w:rPr>
        <w:footnoteReference w:id="12"/>
      </w:r>
      <w:r w:rsidRPr="008D7238">
        <w:rPr>
          <w:rFonts w:ascii="David" w:hAnsi="David" w:cs="David" w:hint="cs"/>
          <w:sz w:val="24"/>
          <w:szCs w:val="24"/>
          <w:rtl/>
        </w:rPr>
        <w:t>"</w:t>
      </w:r>
      <w:r w:rsidR="00463ECE" w:rsidRPr="008D7238">
        <w:rPr>
          <w:rFonts w:ascii="David" w:hAnsi="David" w:cs="David" w:hint="cs"/>
          <w:sz w:val="24"/>
          <w:szCs w:val="24"/>
          <w:rtl/>
        </w:rPr>
        <w:t>.</w:t>
      </w:r>
      <w:r w:rsidR="00063F91" w:rsidRPr="008D7238">
        <w:rPr>
          <w:rFonts w:ascii="David" w:hAnsi="David" w:cs="David" w:hint="cs"/>
          <w:sz w:val="24"/>
          <w:szCs w:val="24"/>
          <w:rtl/>
        </w:rPr>
        <w:t xml:space="preserve">  </w:t>
      </w:r>
      <w:r w:rsidR="008D7238" w:rsidRPr="008D7238">
        <w:rPr>
          <w:rFonts w:ascii="David" w:hAnsi="David" w:cs="David" w:hint="cs"/>
          <w:sz w:val="24"/>
          <w:szCs w:val="24"/>
          <w:rtl/>
        </w:rPr>
        <w:t>"לפי הסבר זה יוצא שאם היה אומר: 'מופר וקיים לך', הייתה ההפרה בלבד חלה</w:t>
      </w:r>
      <w:r w:rsidR="008D7238" w:rsidRPr="008D7238">
        <w:rPr>
          <w:rStyle w:val="a5"/>
          <w:rFonts w:ascii="David" w:hAnsi="David" w:cs="David"/>
          <w:sz w:val="24"/>
          <w:szCs w:val="24"/>
          <w:rtl/>
        </w:rPr>
        <w:footnoteReference w:id="13"/>
      </w:r>
      <w:r w:rsidR="008D7238" w:rsidRPr="008D7238">
        <w:rPr>
          <w:rFonts w:ascii="David" w:hAnsi="David" w:cs="David" w:hint="cs"/>
          <w:sz w:val="24"/>
          <w:szCs w:val="24"/>
          <w:rtl/>
        </w:rPr>
        <w:t>".</w:t>
      </w:r>
    </w:p>
    <w:p w14:paraId="032F5610" w14:textId="1D993DDB" w:rsidR="00D21F4F" w:rsidRPr="008D7238" w:rsidRDefault="00940CD0" w:rsidP="00D21F4F">
      <w:pPr>
        <w:spacing w:after="0" w:line="360" w:lineRule="auto"/>
        <w:rPr>
          <w:rFonts w:asciiTheme="majorBidi" w:hAnsiTheme="majorBidi" w:cstheme="majorBidi"/>
          <w:sz w:val="24"/>
          <w:szCs w:val="24"/>
          <w:rtl/>
        </w:rPr>
      </w:pPr>
      <w:r w:rsidRPr="008D7238">
        <w:rPr>
          <w:rFonts w:asciiTheme="majorBidi" w:hAnsiTheme="majorBidi" w:cstheme="majorBidi" w:hint="cs"/>
          <w:sz w:val="24"/>
          <w:szCs w:val="24"/>
          <w:rtl/>
        </w:rPr>
        <w:t xml:space="preserve">4. </w:t>
      </w:r>
      <w:r w:rsidR="00D21F4F" w:rsidRPr="008D7238">
        <w:rPr>
          <w:rFonts w:asciiTheme="majorBidi" w:hAnsiTheme="majorBidi" w:cstheme="majorBidi" w:hint="cs"/>
          <w:sz w:val="24"/>
          <w:szCs w:val="24"/>
          <w:rtl/>
        </w:rPr>
        <w:t>ר' חיים הלוי מציע אבחנה מרתקת: הסתירה בין הקמה להפרה היא מוחלטת רק בכיוון אחד</w:t>
      </w:r>
      <w:r w:rsidR="006B7CDD" w:rsidRPr="008D7238">
        <w:rPr>
          <w:rFonts w:asciiTheme="majorBidi" w:hAnsiTheme="majorBidi" w:cstheme="majorBidi" w:hint="cs"/>
          <w:sz w:val="24"/>
          <w:szCs w:val="24"/>
          <w:rtl/>
        </w:rPr>
        <w:t>. הקמה סותרת הפרה באופן דיני, אולם הפרה איננה סותרת הקמה לאחר מכן, אלא שאין להקמה על מה לחול:</w:t>
      </w:r>
    </w:p>
    <w:p w14:paraId="45817BF7" w14:textId="0A2DE423" w:rsidR="005A537F" w:rsidRPr="008D7238" w:rsidRDefault="006B7CDD" w:rsidP="005A537F">
      <w:pPr>
        <w:spacing w:after="0" w:line="360" w:lineRule="auto"/>
        <w:rPr>
          <w:rFonts w:ascii="David" w:hAnsi="David" w:cs="David"/>
          <w:sz w:val="24"/>
          <w:szCs w:val="24"/>
          <w:rtl/>
        </w:rPr>
      </w:pPr>
      <w:r w:rsidRPr="008D7238">
        <w:rPr>
          <w:rFonts w:ascii="David" w:hAnsi="David" w:cs="David"/>
          <w:sz w:val="24"/>
          <w:szCs w:val="24"/>
          <w:rtl/>
        </w:rPr>
        <w:t>"</w:t>
      </w:r>
      <w:r w:rsidR="00D21F4F" w:rsidRPr="008D7238">
        <w:rPr>
          <w:rFonts w:ascii="David" w:hAnsi="David" w:cs="David"/>
          <w:sz w:val="24"/>
          <w:szCs w:val="24"/>
          <w:rtl/>
        </w:rPr>
        <w:t>הא דלא חיילא הפרה אחר הקמה</w:t>
      </w:r>
      <w:r w:rsidR="00074768">
        <w:rPr>
          <w:rFonts w:ascii="David" w:hAnsi="David" w:cs="David" w:hint="cs"/>
          <w:sz w:val="24"/>
          <w:szCs w:val="24"/>
          <w:rtl/>
        </w:rPr>
        <w:t>,</w:t>
      </w:r>
      <w:r w:rsidR="00D21F4F" w:rsidRPr="008D7238">
        <w:rPr>
          <w:rFonts w:ascii="David" w:hAnsi="David" w:cs="David"/>
          <w:sz w:val="24"/>
          <w:szCs w:val="24"/>
          <w:rtl/>
        </w:rPr>
        <w:t xml:space="preserve"> הא הוי משום דזהו עצם הדין דהקמה</w:t>
      </w:r>
      <w:r w:rsidRPr="008D7238">
        <w:rPr>
          <w:rFonts w:ascii="David" w:hAnsi="David" w:cs="David"/>
          <w:sz w:val="24"/>
          <w:szCs w:val="24"/>
          <w:rtl/>
        </w:rPr>
        <w:t>-</w:t>
      </w:r>
      <w:r w:rsidR="00D21F4F" w:rsidRPr="008D7238">
        <w:rPr>
          <w:rFonts w:ascii="David" w:hAnsi="David" w:cs="David"/>
          <w:sz w:val="24"/>
          <w:szCs w:val="24"/>
          <w:rtl/>
        </w:rPr>
        <w:t xml:space="preserve"> שאינו יכול להפר אח"כ. אכן מה שאינו יכול לקיים אחר שהפר</w:t>
      </w:r>
      <w:r w:rsidR="00074768">
        <w:rPr>
          <w:rFonts w:ascii="David" w:hAnsi="David" w:cs="David" w:hint="cs"/>
          <w:sz w:val="24"/>
          <w:szCs w:val="24"/>
          <w:rtl/>
        </w:rPr>
        <w:t>,</w:t>
      </w:r>
      <w:r w:rsidR="00D21F4F" w:rsidRPr="008D7238">
        <w:rPr>
          <w:rFonts w:ascii="David" w:hAnsi="David" w:cs="David"/>
          <w:sz w:val="24"/>
          <w:szCs w:val="24"/>
          <w:rtl/>
        </w:rPr>
        <w:t xml:space="preserve"> הא אין זה משום דעצם מעשה ההפרה עושה זאת שלא יוכל לקיים אח"כ, אלא משום </w:t>
      </w:r>
      <w:r w:rsidR="00D21F4F" w:rsidRPr="008D7238">
        <w:rPr>
          <w:rFonts w:ascii="David" w:hAnsi="David" w:cs="David"/>
          <w:b/>
          <w:bCs/>
          <w:sz w:val="24"/>
          <w:szCs w:val="24"/>
          <w:rtl/>
        </w:rPr>
        <w:t>דכיון שהפר בטל הנדר ושוב ליתא לנדרא שיקיימנו.</w:t>
      </w:r>
      <w:r w:rsidR="00D21F4F" w:rsidRPr="008D7238">
        <w:rPr>
          <w:rFonts w:ascii="David" w:hAnsi="David" w:cs="David"/>
          <w:sz w:val="24"/>
          <w:szCs w:val="24"/>
          <w:rtl/>
        </w:rPr>
        <w:t xml:space="preserve"> ולפ"ז הא נמצא דהקמה בעצמה סותרת להפרה, אבל הפרה אינה סותרת כלל להקמה</w:t>
      </w:r>
      <w:r w:rsidRPr="008D7238">
        <w:rPr>
          <w:rFonts w:ascii="David" w:hAnsi="David" w:cs="David" w:hint="cs"/>
          <w:sz w:val="24"/>
          <w:szCs w:val="24"/>
          <w:rtl/>
        </w:rPr>
        <w:t>..</w:t>
      </w:r>
      <w:r w:rsidR="00D21F4F" w:rsidRPr="008D7238">
        <w:rPr>
          <w:rFonts w:ascii="David" w:hAnsi="David" w:cs="David"/>
          <w:sz w:val="24"/>
          <w:szCs w:val="24"/>
          <w:rtl/>
        </w:rPr>
        <w:t xml:space="preserve"> פשוט, דלא שייך הך דכל שאינו בזה אחר זה אפילו בבת אחת אינו, אלא היכא שמצד הדין אינו בזה אחר זה, אבל היכא דזה שאינו בזה אחר זה הוא רק משום דלא יצוייר שיהא בזה אחר זה, בזה לא שייך כלל שלא יהא גם בבת אחת. ולפ"ז הכא בקיים ומופר ליכי כאחת, דהא דלא חיילא הקמה אחר הפרה הוא רק משום דחסר לנו הנדר שיקיימנו, א"כ הא נמצא דלא שייך בזה כלל הך דכל שאינו בזה אחר זה אפילו בבת אחת אינו לבטל ההקמה</w:t>
      </w:r>
      <w:r w:rsidRPr="008D7238">
        <w:rPr>
          <w:rFonts w:ascii="David" w:hAnsi="David" w:cs="David" w:hint="cs"/>
          <w:sz w:val="24"/>
          <w:szCs w:val="24"/>
          <w:rtl/>
        </w:rPr>
        <w:t>..". "מעתה החשבון מדוייק: הקמה והפרה בבת אחת, ההפרה אינה חלה וההקמה חלה</w:t>
      </w:r>
      <w:r w:rsidRPr="008D7238">
        <w:rPr>
          <w:rStyle w:val="a5"/>
          <w:rFonts w:ascii="David" w:hAnsi="David" w:cs="David"/>
          <w:sz w:val="24"/>
          <w:szCs w:val="24"/>
          <w:rtl/>
        </w:rPr>
        <w:footnoteReference w:id="14"/>
      </w:r>
      <w:r w:rsidRPr="008D7238">
        <w:rPr>
          <w:rFonts w:ascii="David" w:hAnsi="David" w:cs="David" w:hint="cs"/>
          <w:sz w:val="24"/>
          <w:szCs w:val="24"/>
          <w:rtl/>
        </w:rPr>
        <w:t>".</w:t>
      </w:r>
      <w:r w:rsidR="005A537F" w:rsidRPr="008D7238">
        <w:rPr>
          <w:rFonts w:ascii="David" w:hAnsi="David" w:cs="David" w:hint="cs"/>
          <w:sz w:val="24"/>
          <w:szCs w:val="24"/>
          <w:rtl/>
        </w:rPr>
        <w:t xml:space="preserve"> </w:t>
      </w:r>
      <w:r w:rsidR="005A537F" w:rsidRPr="008D7238">
        <w:rPr>
          <w:rFonts w:asciiTheme="majorBidi" w:hAnsiTheme="majorBidi" w:cstheme="majorBidi" w:hint="cs"/>
          <w:sz w:val="24"/>
          <w:szCs w:val="24"/>
          <w:rtl/>
        </w:rPr>
        <w:t>אמנם יש להקשות, שמצינו דרשה מפסוקים שאין הקמה אחר הפרה, ולדברי ר' חיים מציאות היא וקרא למה לי</w:t>
      </w:r>
      <w:r w:rsidR="005A537F" w:rsidRPr="008D7238">
        <w:rPr>
          <w:rFonts w:ascii="David" w:hAnsi="David" w:cs="David"/>
          <w:sz w:val="24"/>
          <w:szCs w:val="24"/>
          <w:rtl/>
        </w:rPr>
        <w:t xml:space="preserve"> </w:t>
      </w:r>
      <w:r w:rsidR="005A537F" w:rsidRPr="008D7238">
        <w:rPr>
          <w:rFonts w:ascii="David" w:hAnsi="David" w:cs="David" w:hint="cs"/>
          <w:sz w:val="24"/>
          <w:szCs w:val="24"/>
          <w:rtl/>
        </w:rPr>
        <w:t>"</w:t>
      </w:r>
      <w:r w:rsidR="005A537F" w:rsidRPr="008D7238">
        <w:rPr>
          <w:rFonts w:ascii="David" w:hAnsi="David" w:cs="David"/>
          <w:sz w:val="24"/>
          <w:szCs w:val="24"/>
          <w:rtl/>
        </w:rPr>
        <w:t>בספרי איתא דרשא</w:t>
      </w:r>
      <w:r w:rsidR="00171B86">
        <w:rPr>
          <w:rFonts w:ascii="David" w:hAnsi="David" w:cs="David" w:hint="cs"/>
          <w:sz w:val="24"/>
          <w:szCs w:val="24"/>
          <w:rtl/>
        </w:rPr>
        <w:t>,</w:t>
      </w:r>
      <w:r w:rsidR="005A537F" w:rsidRPr="008D7238">
        <w:rPr>
          <w:rFonts w:ascii="David" w:hAnsi="David" w:cs="David"/>
          <w:sz w:val="24"/>
          <w:szCs w:val="24"/>
          <w:rtl/>
        </w:rPr>
        <w:t xml:space="preserve"> דאחר הפרה ליכא הקמה, וא"כ הרי לכאורה הא אף הפרה סותרת הקמה. אכן נראה דבאמת שייך הקמה אף אחר הפרה, דהא כמו דנדרים שבינו לבינה חוזרים אח"כ, כמ"כ הקמה יחזור הנדר, וצריך קרא. אבל </w:t>
      </w:r>
      <w:r w:rsidR="005A537F" w:rsidRPr="008D7238">
        <w:rPr>
          <w:rFonts w:ascii="David" w:hAnsi="David" w:cs="David"/>
          <w:b/>
          <w:bCs/>
          <w:sz w:val="24"/>
          <w:szCs w:val="24"/>
          <w:rtl/>
        </w:rPr>
        <w:t>אחר הקרא דליכא הקמה אחר הפרה, הוי הטעם דליכא איסור הנדר</w:t>
      </w:r>
      <w:r w:rsidR="005A537F" w:rsidRPr="008D7238">
        <w:rPr>
          <w:rFonts w:ascii="David" w:hAnsi="David" w:cs="David"/>
          <w:sz w:val="24"/>
          <w:szCs w:val="24"/>
          <w:rtl/>
        </w:rPr>
        <w:t>, ולכן לא הוי הקמה, וכדברי הגר"ח</w:t>
      </w:r>
      <w:r w:rsidR="005A537F" w:rsidRPr="008D7238">
        <w:rPr>
          <w:rStyle w:val="a5"/>
          <w:rFonts w:ascii="David" w:hAnsi="David" w:cs="David"/>
          <w:sz w:val="24"/>
          <w:szCs w:val="24"/>
          <w:rtl/>
        </w:rPr>
        <w:footnoteReference w:id="15"/>
      </w:r>
      <w:r w:rsidR="005A537F" w:rsidRPr="008D7238">
        <w:rPr>
          <w:rFonts w:ascii="David" w:hAnsi="David" w:cs="David" w:hint="cs"/>
          <w:sz w:val="24"/>
          <w:szCs w:val="24"/>
          <w:rtl/>
        </w:rPr>
        <w:t>"</w:t>
      </w:r>
      <w:r w:rsidR="005A537F" w:rsidRPr="008D7238">
        <w:rPr>
          <w:rFonts w:ascii="David" w:hAnsi="David" w:cs="David"/>
          <w:sz w:val="24"/>
          <w:szCs w:val="24"/>
          <w:rtl/>
        </w:rPr>
        <w:t>.</w:t>
      </w:r>
    </w:p>
    <w:p w14:paraId="4AB214C0" w14:textId="1D95C897" w:rsidR="008E2998" w:rsidRPr="008D7238" w:rsidRDefault="00940CD0" w:rsidP="00940CD0">
      <w:pPr>
        <w:spacing w:after="0" w:line="360" w:lineRule="auto"/>
        <w:rPr>
          <w:rFonts w:ascii="David" w:hAnsi="David" w:cs="David"/>
          <w:sz w:val="24"/>
          <w:szCs w:val="24"/>
          <w:rtl/>
        </w:rPr>
      </w:pPr>
      <w:r w:rsidRPr="008D7238">
        <w:rPr>
          <w:rFonts w:ascii="David" w:hAnsi="David" w:cs="David" w:hint="cs"/>
          <w:sz w:val="24"/>
          <w:szCs w:val="24"/>
          <w:rtl/>
        </w:rPr>
        <w:lastRenderedPageBreak/>
        <w:t xml:space="preserve">5. </w:t>
      </w:r>
      <w:r w:rsidR="008E2998" w:rsidRPr="008D7238">
        <w:rPr>
          <w:rFonts w:asciiTheme="majorBidi" w:hAnsiTheme="majorBidi" w:cstheme="majorBidi" w:hint="cs"/>
          <w:sz w:val="24"/>
          <w:szCs w:val="24"/>
          <w:rtl/>
        </w:rPr>
        <w:t>אבחנה דומה לזו של ר' חיים: הפרה איננה סותרת הקמה. הקמה קיימת עד שמגיעה ההפרה, כשהדבר ניתן. לעומת זאת, הקמה שוללת הפרה: "</w:t>
      </w:r>
      <w:r w:rsidR="008E2998" w:rsidRPr="008D7238">
        <w:rPr>
          <w:rFonts w:ascii="David" w:hAnsi="David" w:cs="David"/>
          <w:sz w:val="24"/>
          <w:szCs w:val="24"/>
          <w:rtl/>
        </w:rPr>
        <w:t>אם מקיים</w:t>
      </w:r>
      <w:r w:rsidR="008E2998" w:rsidRPr="008D7238">
        <w:rPr>
          <w:rFonts w:ascii="David" w:hAnsi="David" w:cs="David" w:hint="cs"/>
          <w:sz w:val="24"/>
          <w:szCs w:val="24"/>
          <w:rtl/>
        </w:rPr>
        <w:t>,</w:t>
      </w:r>
      <w:r w:rsidR="008E2998" w:rsidRPr="008D7238">
        <w:rPr>
          <w:rFonts w:ascii="David" w:hAnsi="David" w:cs="David"/>
          <w:sz w:val="24"/>
          <w:szCs w:val="24"/>
          <w:rtl/>
        </w:rPr>
        <w:t xml:space="preserve"> ותוך כדי דיבור מיפר</w:t>
      </w:r>
      <w:r w:rsidR="008E2998" w:rsidRPr="008D7238">
        <w:rPr>
          <w:rFonts w:ascii="David" w:hAnsi="David" w:cs="David" w:hint="cs"/>
          <w:sz w:val="24"/>
          <w:szCs w:val="24"/>
          <w:rtl/>
        </w:rPr>
        <w:t>,</w:t>
      </w:r>
      <w:r w:rsidR="008E2998" w:rsidRPr="008D7238">
        <w:rPr>
          <w:rFonts w:ascii="David" w:hAnsi="David" w:cs="David"/>
          <w:sz w:val="24"/>
          <w:szCs w:val="24"/>
          <w:rtl/>
        </w:rPr>
        <w:t xml:space="preserve"> דמצי הדר תוך כדי דיבור מהקיום </w:t>
      </w:r>
      <w:r w:rsidR="008E2998" w:rsidRPr="008D7238">
        <w:rPr>
          <w:rFonts w:ascii="David" w:hAnsi="David" w:cs="David" w:hint="cs"/>
          <w:sz w:val="24"/>
          <w:szCs w:val="24"/>
          <w:rtl/>
        </w:rPr>
        <w:t>-</w:t>
      </w:r>
      <w:r w:rsidR="008E2998" w:rsidRPr="008D7238">
        <w:rPr>
          <w:rFonts w:ascii="David" w:hAnsi="David" w:cs="David"/>
          <w:sz w:val="24"/>
          <w:szCs w:val="24"/>
          <w:rtl/>
        </w:rPr>
        <w:t xml:space="preserve">שפיר ישנו זה אחר זה. אך </w:t>
      </w:r>
      <w:r w:rsidR="008E2998" w:rsidRPr="008D7238">
        <w:rPr>
          <w:rFonts w:ascii="David" w:hAnsi="David" w:cs="David"/>
          <w:b/>
          <w:bCs/>
          <w:sz w:val="24"/>
          <w:szCs w:val="24"/>
          <w:rtl/>
        </w:rPr>
        <w:t>הפרה אינו חזרה כלל מהקיום</w:t>
      </w:r>
      <w:r w:rsidR="008E2998" w:rsidRPr="008D7238">
        <w:rPr>
          <w:rFonts w:ascii="David" w:hAnsi="David" w:cs="David" w:hint="cs"/>
          <w:b/>
          <w:bCs/>
          <w:sz w:val="24"/>
          <w:szCs w:val="24"/>
          <w:rtl/>
        </w:rPr>
        <w:t>,</w:t>
      </w:r>
      <w:r w:rsidR="008E2998" w:rsidRPr="008D7238">
        <w:rPr>
          <w:rFonts w:ascii="David" w:hAnsi="David" w:cs="David"/>
          <w:sz w:val="24"/>
          <w:szCs w:val="24"/>
          <w:rtl/>
        </w:rPr>
        <w:t xml:space="preserve"> דקי"ל מיגז גייז</w:t>
      </w:r>
      <w:r w:rsidR="008E2998" w:rsidRPr="008D7238">
        <w:rPr>
          <w:rFonts w:ascii="David" w:hAnsi="David" w:cs="David" w:hint="cs"/>
          <w:sz w:val="24"/>
          <w:szCs w:val="24"/>
          <w:rtl/>
        </w:rPr>
        <w:t>,</w:t>
      </w:r>
      <w:r w:rsidR="008E2998" w:rsidRPr="008D7238">
        <w:rPr>
          <w:rFonts w:ascii="David" w:hAnsi="David" w:cs="David"/>
          <w:sz w:val="24"/>
          <w:szCs w:val="24"/>
          <w:rtl/>
        </w:rPr>
        <w:t xml:space="preserve"> ומה שמפר הוא מכאן ולהבא ולא חשיב חזרה מקיום</w:t>
      </w:r>
      <w:r w:rsidR="008E2998" w:rsidRPr="008D7238">
        <w:rPr>
          <w:rFonts w:ascii="David" w:hAnsi="David" w:cs="David" w:hint="cs"/>
          <w:sz w:val="24"/>
          <w:szCs w:val="24"/>
          <w:rtl/>
        </w:rPr>
        <w:t xml:space="preserve">... </w:t>
      </w:r>
      <w:r w:rsidR="008E2998" w:rsidRPr="008D7238">
        <w:rPr>
          <w:rFonts w:ascii="David" w:hAnsi="David" w:cs="David"/>
          <w:sz w:val="24"/>
          <w:szCs w:val="24"/>
          <w:rtl/>
        </w:rPr>
        <w:t>אף כשיחול הקיום לא תועיל ההפרה</w:t>
      </w:r>
      <w:r w:rsidR="008E2998" w:rsidRPr="008D7238">
        <w:rPr>
          <w:rFonts w:ascii="David" w:hAnsi="David" w:cs="David" w:hint="cs"/>
          <w:sz w:val="24"/>
          <w:szCs w:val="24"/>
          <w:rtl/>
        </w:rPr>
        <w:t>,</w:t>
      </w:r>
      <w:r w:rsidR="008E2998" w:rsidRPr="008D7238">
        <w:rPr>
          <w:rFonts w:ascii="David" w:hAnsi="David" w:cs="David"/>
          <w:sz w:val="24"/>
          <w:szCs w:val="24"/>
          <w:rtl/>
        </w:rPr>
        <w:t xml:space="preserve"> מ"מ חזרה לא הוי</w:t>
      </w:r>
      <w:r w:rsidR="008E2998" w:rsidRPr="008D7238">
        <w:rPr>
          <w:rFonts w:ascii="David" w:hAnsi="David" w:cs="David" w:hint="cs"/>
          <w:sz w:val="24"/>
          <w:szCs w:val="24"/>
          <w:rtl/>
        </w:rPr>
        <w:t xml:space="preserve">... </w:t>
      </w:r>
      <w:r w:rsidR="008E2998" w:rsidRPr="008D7238">
        <w:rPr>
          <w:rFonts w:ascii="David" w:hAnsi="David" w:cs="David"/>
          <w:sz w:val="24"/>
          <w:szCs w:val="24"/>
          <w:rtl/>
        </w:rPr>
        <w:t>אבל להיפוך</w:t>
      </w:r>
      <w:r w:rsidR="008E2998" w:rsidRPr="008D7238">
        <w:rPr>
          <w:rFonts w:ascii="David" w:hAnsi="David" w:cs="David" w:hint="cs"/>
          <w:sz w:val="24"/>
          <w:szCs w:val="24"/>
          <w:rtl/>
        </w:rPr>
        <w:t>,</w:t>
      </w:r>
      <w:r w:rsidR="008E2998" w:rsidRPr="008D7238">
        <w:rPr>
          <w:rFonts w:ascii="David" w:hAnsi="David" w:cs="David"/>
          <w:sz w:val="24"/>
          <w:szCs w:val="24"/>
          <w:rtl/>
        </w:rPr>
        <w:t xml:space="preserve"> אם יפר קודם ואח"כ מקיים תוך כדי דיבור</w:t>
      </w:r>
      <w:r w:rsidR="008E2998" w:rsidRPr="008D7238">
        <w:rPr>
          <w:rFonts w:ascii="David" w:hAnsi="David" w:cs="David" w:hint="cs"/>
          <w:sz w:val="24"/>
          <w:szCs w:val="24"/>
          <w:rtl/>
        </w:rPr>
        <w:t>,</w:t>
      </w:r>
      <w:r w:rsidR="008E2998" w:rsidRPr="008D7238">
        <w:rPr>
          <w:rFonts w:ascii="David" w:hAnsi="David" w:cs="David"/>
          <w:sz w:val="24"/>
          <w:szCs w:val="24"/>
          <w:rtl/>
        </w:rPr>
        <w:t xml:space="preserve"> הוי שפיר חזרה מההפרה ומהני הקיום. ולא דמי כלל לקדושין דאינו בזה אחר זה כנ"ל. וא"כ לא פשיט הש"ס רק לענין דההפרה לא חלה</w:t>
      </w:r>
      <w:r w:rsidR="008E2998" w:rsidRPr="008D7238">
        <w:rPr>
          <w:rFonts w:ascii="David" w:hAnsi="David" w:cs="David" w:hint="cs"/>
          <w:sz w:val="24"/>
          <w:szCs w:val="24"/>
          <w:rtl/>
        </w:rPr>
        <w:t>,</w:t>
      </w:r>
      <w:r w:rsidR="008E2998" w:rsidRPr="008D7238">
        <w:rPr>
          <w:rFonts w:ascii="David" w:hAnsi="David" w:cs="David"/>
          <w:sz w:val="24"/>
          <w:szCs w:val="24"/>
          <w:rtl/>
        </w:rPr>
        <w:t xml:space="preserve"> דאינו בזה אחר זה אחר ההקמה. אבל ההקמה שפיר חיילא</w:t>
      </w:r>
      <w:r w:rsidR="00171B86">
        <w:rPr>
          <w:rFonts w:ascii="David" w:hAnsi="David" w:cs="David" w:hint="cs"/>
          <w:sz w:val="24"/>
          <w:szCs w:val="24"/>
          <w:rtl/>
        </w:rPr>
        <w:t>,</w:t>
      </w:r>
      <w:r w:rsidR="008E2998" w:rsidRPr="008D7238">
        <w:rPr>
          <w:rFonts w:ascii="David" w:hAnsi="David" w:cs="David"/>
          <w:sz w:val="24"/>
          <w:szCs w:val="24"/>
          <w:rtl/>
        </w:rPr>
        <w:t xml:space="preserve"> דישנה זה אחר זה תוך כדי דיבור דהפרה</w:t>
      </w:r>
      <w:r w:rsidR="008E2998" w:rsidRPr="008D7238">
        <w:rPr>
          <w:rStyle w:val="a5"/>
          <w:rFonts w:ascii="David" w:hAnsi="David" w:cs="David"/>
          <w:sz w:val="24"/>
          <w:szCs w:val="24"/>
          <w:rtl/>
        </w:rPr>
        <w:footnoteReference w:id="16"/>
      </w:r>
      <w:r w:rsidR="008E2998" w:rsidRPr="008D7238">
        <w:rPr>
          <w:rFonts w:ascii="David" w:hAnsi="David" w:cs="David" w:hint="cs"/>
          <w:sz w:val="24"/>
          <w:szCs w:val="24"/>
          <w:rtl/>
        </w:rPr>
        <w:t>".</w:t>
      </w:r>
    </w:p>
    <w:p w14:paraId="47216BAA" w14:textId="7F8DA479" w:rsidR="00940CD0" w:rsidRPr="008D7238" w:rsidRDefault="008E2998" w:rsidP="00940CD0">
      <w:pPr>
        <w:spacing w:after="0" w:line="360" w:lineRule="auto"/>
        <w:rPr>
          <w:rFonts w:ascii="David" w:hAnsi="David" w:cs="David"/>
          <w:sz w:val="24"/>
          <w:szCs w:val="24"/>
          <w:rtl/>
        </w:rPr>
      </w:pPr>
      <w:r w:rsidRPr="008D7238">
        <w:rPr>
          <w:rFonts w:ascii="David" w:hAnsi="David" w:cs="David" w:hint="cs"/>
          <w:sz w:val="24"/>
          <w:szCs w:val="24"/>
          <w:rtl/>
        </w:rPr>
        <w:t xml:space="preserve">6. </w:t>
      </w:r>
      <w:r w:rsidR="00940CD0" w:rsidRPr="008D7238">
        <w:rPr>
          <w:rFonts w:ascii="David" w:hAnsi="David" w:cs="David" w:hint="cs"/>
          <w:sz w:val="24"/>
          <w:szCs w:val="24"/>
          <w:rtl/>
        </w:rPr>
        <w:t>"</w:t>
      </w:r>
      <w:r w:rsidR="00940CD0" w:rsidRPr="008D7238">
        <w:rPr>
          <w:rFonts w:ascii="David" w:hAnsi="David" w:cs="David"/>
          <w:sz w:val="24"/>
          <w:szCs w:val="24"/>
          <w:rtl/>
        </w:rPr>
        <w:t>יש מפרשים את דברי הרמב"ם, שבגמרא בקידושין</w:t>
      </w:r>
      <w:r w:rsidR="00940CD0" w:rsidRPr="00171B86">
        <w:rPr>
          <w:rFonts w:ascii="David" w:hAnsi="David" w:cs="David"/>
          <w:sz w:val="18"/>
          <w:szCs w:val="18"/>
          <w:rtl/>
        </w:rPr>
        <w:t xml:space="preserve"> </w:t>
      </w:r>
      <w:r w:rsidR="00171B86" w:rsidRPr="00171B86">
        <w:rPr>
          <w:rFonts w:ascii="David" w:hAnsi="David" w:cs="David" w:hint="cs"/>
          <w:sz w:val="18"/>
          <w:szCs w:val="18"/>
          <w:rtl/>
        </w:rPr>
        <w:t>(</w:t>
      </w:r>
      <w:r w:rsidR="00940CD0" w:rsidRPr="008D7238">
        <w:rPr>
          <w:rFonts w:ascii="David" w:hAnsi="David" w:cs="David"/>
          <w:sz w:val="18"/>
          <w:szCs w:val="18"/>
          <w:rtl/>
        </w:rPr>
        <w:t xml:space="preserve">נ א] </w:t>
      </w:r>
      <w:r w:rsidR="00940CD0" w:rsidRPr="008D7238">
        <w:rPr>
          <w:rFonts w:ascii="David" w:hAnsi="David" w:cs="David"/>
          <w:sz w:val="24"/>
          <w:szCs w:val="24"/>
          <w:rtl/>
        </w:rPr>
        <w:t xml:space="preserve">נאמר כי בדבר שיכול לחול אפילו בטעות, אין את הדין "כל שאינו בזה אחר זה אפילו בבת אחת אינו". ואם כן, אפשר לומר ששיטת הרמב"ם היא שקיום חל גם בטעות </w:t>
      </w:r>
      <w:r w:rsidR="00940CD0" w:rsidRPr="008D7238">
        <w:rPr>
          <w:rFonts w:ascii="David" w:hAnsi="David" w:cs="David"/>
          <w:sz w:val="18"/>
          <w:szCs w:val="18"/>
          <w:rtl/>
        </w:rPr>
        <w:t>(זוהי שיטת הרשב"א וכן נפסק בשו"ע)</w:t>
      </w:r>
      <w:r w:rsidR="00940CD0" w:rsidRPr="008D7238">
        <w:rPr>
          <w:rFonts w:ascii="David" w:hAnsi="David" w:cs="David"/>
          <w:sz w:val="24"/>
          <w:szCs w:val="24"/>
          <w:rtl/>
        </w:rPr>
        <w:t>, ולכן חל הקיום אפילו שהוא סותר להפרה. אבל ההפרה אינה חלה, כיון שהפרה בטעות אינה הפרה</w:t>
      </w:r>
      <w:r w:rsidR="00171B86">
        <w:rPr>
          <w:rFonts w:ascii="David" w:hAnsi="David" w:cs="David" w:hint="cs"/>
          <w:sz w:val="24"/>
          <w:szCs w:val="24"/>
          <w:rtl/>
        </w:rPr>
        <w:t>.</w:t>
      </w:r>
      <w:r w:rsidR="00940CD0" w:rsidRPr="008D7238">
        <w:rPr>
          <w:rFonts w:ascii="David" w:hAnsi="David" w:cs="David"/>
          <w:sz w:val="24"/>
          <w:szCs w:val="24"/>
          <w:rtl/>
        </w:rPr>
        <w:t xml:space="preserve"> ולכן אינה יכולה לחול משום שאינו בזה אחר זה</w:t>
      </w:r>
      <w:r w:rsidR="00940CD0" w:rsidRPr="008D7238">
        <w:rPr>
          <w:rStyle w:val="a5"/>
          <w:rFonts w:ascii="David" w:hAnsi="David" w:cs="David"/>
          <w:sz w:val="24"/>
          <w:szCs w:val="24"/>
          <w:rtl/>
        </w:rPr>
        <w:footnoteReference w:id="17"/>
      </w:r>
      <w:r w:rsidR="00940CD0" w:rsidRPr="008D7238">
        <w:rPr>
          <w:rFonts w:ascii="David" w:hAnsi="David" w:cs="David" w:hint="cs"/>
          <w:sz w:val="24"/>
          <w:szCs w:val="24"/>
          <w:rtl/>
        </w:rPr>
        <w:t>"</w:t>
      </w:r>
      <w:r w:rsidR="00940CD0" w:rsidRPr="008D7238">
        <w:rPr>
          <w:rFonts w:ascii="David" w:hAnsi="David" w:cs="David"/>
          <w:sz w:val="24"/>
          <w:szCs w:val="24"/>
          <w:rtl/>
        </w:rPr>
        <w:t xml:space="preserve">. </w:t>
      </w:r>
    </w:p>
    <w:p w14:paraId="202ACFDF" w14:textId="682C24BC" w:rsidR="00940CD0" w:rsidRPr="008D7238" w:rsidRDefault="00940CD0" w:rsidP="005A537F">
      <w:pPr>
        <w:spacing w:after="0" w:line="360" w:lineRule="auto"/>
        <w:rPr>
          <w:rFonts w:ascii="David" w:hAnsi="David" w:cs="David"/>
          <w:sz w:val="24"/>
          <w:szCs w:val="24"/>
          <w:rtl/>
        </w:rPr>
      </w:pPr>
    </w:p>
    <w:p w14:paraId="0F3B6BD1" w14:textId="137D8DC5" w:rsidR="006B7CDD" w:rsidRPr="008D7238" w:rsidRDefault="006B7CDD" w:rsidP="00D21F4F">
      <w:pPr>
        <w:spacing w:after="0" w:line="360" w:lineRule="auto"/>
        <w:rPr>
          <w:rFonts w:asciiTheme="majorBidi" w:hAnsiTheme="majorBidi" w:cstheme="majorBidi"/>
          <w:sz w:val="24"/>
          <w:szCs w:val="24"/>
          <w:rtl/>
        </w:rPr>
      </w:pPr>
    </w:p>
    <w:p w14:paraId="009555FF" w14:textId="2C10AE7F" w:rsidR="00776933" w:rsidRPr="008D7238" w:rsidRDefault="006B7CDD" w:rsidP="00D21F4F">
      <w:pPr>
        <w:spacing w:after="0" w:line="360" w:lineRule="auto"/>
        <w:rPr>
          <w:rFonts w:ascii="David" w:hAnsi="David" w:cs="David"/>
          <w:sz w:val="24"/>
          <w:szCs w:val="24"/>
          <w:rtl/>
        </w:rPr>
      </w:pPr>
      <w:r w:rsidRPr="008D7238">
        <w:rPr>
          <w:rFonts w:ascii="David" w:hAnsi="David" w:cs="David" w:hint="cs"/>
          <w:sz w:val="24"/>
          <w:szCs w:val="24"/>
          <w:rtl/>
        </w:rPr>
        <w:t xml:space="preserve"> </w:t>
      </w:r>
    </w:p>
    <w:p w14:paraId="5D5785EE" w14:textId="01B9DC46" w:rsidR="00776933" w:rsidRPr="008D7238" w:rsidRDefault="00776933" w:rsidP="00776933">
      <w:pPr>
        <w:spacing w:after="0" w:line="360" w:lineRule="auto"/>
        <w:rPr>
          <w:rFonts w:ascii="David" w:hAnsi="David" w:cs="David"/>
          <w:sz w:val="24"/>
          <w:szCs w:val="24"/>
          <w:rtl/>
        </w:rPr>
      </w:pPr>
    </w:p>
    <w:p w14:paraId="5244109E" w14:textId="183E572B" w:rsidR="00776933" w:rsidRPr="008D7238" w:rsidRDefault="00776933" w:rsidP="00776933">
      <w:pPr>
        <w:spacing w:after="0" w:line="360" w:lineRule="auto"/>
        <w:rPr>
          <w:rFonts w:ascii="David" w:hAnsi="David" w:cs="David"/>
          <w:sz w:val="24"/>
          <w:szCs w:val="24"/>
          <w:rtl/>
        </w:rPr>
      </w:pPr>
    </w:p>
    <w:p w14:paraId="2AA2C7F7" w14:textId="77777777" w:rsidR="00776933" w:rsidRPr="008D7238" w:rsidRDefault="00776933" w:rsidP="00776933">
      <w:pPr>
        <w:spacing w:after="0" w:line="360" w:lineRule="auto"/>
        <w:rPr>
          <w:rFonts w:ascii="David" w:hAnsi="David" w:cs="David"/>
          <w:sz w:val="24"/>
          <w:szCs w:val="24"/>
          <w:rtl/>
        </w:rPr>
      </w:pPr>
    </w:p>
    <w:p w14:paraId="1F4E4DFE" w14:textId="688F47D8" w:rsidR="005C46AE" w:rsidRPr="008D7238" w:rsidRDefault="00114C16" w:rsidP="005C46AE">
      <w:pPr>
        <w:spacing w:after="0" w:line="360" w:lineRule="auto"/>
        <w:rPr>
          <w:rFonts w:ascii="David" w:hAnsi="David" w:cs="David"/>
          <w:sz w:val="24"/>
          <w:szCs w:val="24"/>
          <w:rtl/>
        </w:rPr>
      </w:pPr>
      <w:r w:rsidRPr="008D7238">
        <w:rPr>
          <w:rFonts w:asciiTheme="majorBidi" w:hAnsiTheme="majorBidi" w:cs="Times New Roman" w:hint="cs"/>
          <w:sz w:val="24"/>
          <w:szCs w:val="24"/>
          <w:rtl/>
        </w:rPr>
        <w:t xml:space="preserve"> </w:t>
      </w:r>
    </w:p>
    <w:p w14:paraId="4E85F417" w14:textId="1F55070F" w:rsidR="00FD02D1" w:rsidRPr="008D7238" w:rsidRDefault="00940CD0" w:rsidP="00FD02D1">
      <w:pPr>
        <w:spacing w:after="0" w:line="360" w:lineRule="auto"/>
        <w:rPr>
          <w:rFonts w:asciiTheme="majorBidi" w:hAnsiTheme="majorBidi" w:cs="Times New Roman"/>
          <w:sz w:val="24"/>
          <w:szCs w:val="24"/>
        </w:rPr>
      </w:pPr>
      <w:r w:rsidRPr="008D7238">
        <w:rPr>
          <w:rFonts w:asciiTheme="majorBidi" w:hAnsiTheme="majorBidi" w:cstheme="majorBidi" w:hint="cs"/>
          <w:sz w:val="24"/>
          <w:szCs w:val="24"/>
          <w:rtl/>
        </w:rPr>
        <w:t xml:space="preserve"> </w:t>
      </w:r>
    </w:p>
    <w:p w14:paraId="3C4625E5" w14:textId="6A289390" w:rsidR="007A424C" w:rsidRPr="008D7238" w:rsidRDefault="007A424C" w:rsidP="00FD02D1">
      <w:pPr>
        <w:spacing w:after="0" w:line="360" w:lineRule="auto"/>
        <w:rPr>
          <w:rFonts w:asciiTheme="majorBidi" w:hAnsiTheme="majorBidi" w:cs="Times New Roman"/>
          <w:sz w:val="24"/>
          <w:szCs w:val="24"/>
          <w:rtl/>
        </w:rPr>
      </w:pPr>
    </w:p>
    <w:p w14:paraId="50109BAD" w14:textId="5A112ED4" w:rsidR="007A424C" w:rsidRPr="008D7238" w:rsidRDefault="008E2998" w:rsidP="007A424C">
      <w:pPr>
        <w:spacing w:after="0" w:line="360" w:lineRule="auto"/>
        <w:rPr>
          <w:rFonts w:ascii="David" w:hAnsi="David" w:cs="David"/>
          <w:sz w:val="24"/>
          <w:szCs w:val="24"/>
          <w:rtl/>
        </w:rPr>
      </w:pPr>
      <w:r w:rsidRPr="008D7238">
        <w:rPr>
          <w:rFonts w:asciiTheme="majorBidi" w:hAnsiTheme="majorBidi" w:cs="Times New Roman" w:hint="cs"/>
          <w:sz w:val="24"/>
          <w:szCs w:val="24"/>
          <w:rtl/>
        </w:rPr>
        <w:t xml:space="preserve"> </w:t>
      </w:r>
    </w:p>
    <w:p w14:paraId="0EAD4F0B" w14:textId="51D72C67" w:rsidR="007A424C" w:rsidRPr="008D7238" w:rsidRDefault="008E2998" w:rsidP="007A424C">
      <w:pPr>
        <w:spacing w:after="0" w:line="360" w:lineRule="auto"/>
        <w:rPr>
          <w:rFonts w:ascii="David" w:hAnsi="David" w:cs="David"/>
          <w:sz w:val="24"/>
          <w:szCs w:val="24"/>
          <w:rtl/>
        </w:rPr>
      </w:pPr>
      <w:r w:rsidRPr="008D7238">
        <w:rPr>
          <w:rFonts w:ascii="David" w:hAnsi="David" w:cs="David" w:hint="cs"/>
          <w:sz w:val="24"/>
          <w:szCs w:val="24"/>
          <w:rtl/>
        </w:rPr>
        <w:t xml:space="preserve"> </w:t>
      </w:r>
    </w:p>
    <w:sectPr w:rsidR="007A424C" w:rsidRPr="008D7238"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6031" w14:textId="77777777" w:rsidR="00125EB7" w:rsidRDefault="00125EB7" w:rsidP="00864C59">
      <w:pPr>
        <w:spacing w:after="0" w:line="240" w:lineRule="auto"/>
      </w:pPr>
      <w:r>
        <w:separator/>
      </w:r>
    </w:p>
  </w:endnote>
  <w:endnote w:type="continuationSeparator" w:id="0">
    <w:p w14:paraId="160E2A9F" w14:textId="77777777" w:rsidR="00125EB7" w:rsidRDefault="00125EB7" w:rsidP="0086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CBCF" w14:textId="77777777" w:rsidR="00125EB7" w:rsidRDefault="00125EB7" w:rsidP="00864C59">
      <w:pPr>
        <w:spacing w:after="0" w:line="240" w:lineRule="auto"/>
      </w:pPr>
      <w:r>
        <w:separator/>
      </w:r>
    </w:p>
  </w:footnote>
  <w:footnote w:type="continuationSeparator" w:id="0">
    <w:p w14:paraId="61EFCE1F" w14:textId="77777777" w:rsidR="00125EB7" w:rsidRDefault="00125EB7" w:rsidP="00864C59">
      <w:pPr>
        <w:spacing w:after="0" w:line="240" w:lineRule="auto"/>
      </w:pPr>
      <w:r>
        <w:continuationSeparator/>
      </w:r>
    </w:p>
  </w:footnote>
  <w:footnote w:id="1">
    <w:p w14:paraId="2DC3D2CD" w14:textId="34FB021C" w:rsidR="00033BEF" w:rsidRPr="008D7238" w:rsidRDefault="00033BEF" w:rsidP="008D7238">
      <w:pPr>
        <w:pStyle w:val="a3"/>
        <w:spacing w:line="360" w:lineRule="auto"/>
        <w:rPr>
          <w:rFonts w:asciiTheme="majorBidi" w:hAnsiTheme="majorBidi" w:cstheme="majorBidi"/>
        </w:rPr>
      </w:pPr>
      <w:r w:rsidRPr="008D7238">
        <w:rPr>
          <w:rStyle w:val="a5"/>
          <w:rFonts w:asciiTheme="majorBidi" w:hAnsiTheme="majorBidi" w:cstheme="majorBidi"/>
        </w:rPr>
        <w:footnoteRef/>
      </w:r>
      <w:r w:rsidRPr="008D7238">
        <w:rPr>
          <w:rFonts w:asciiTheme="majorBidi" w:hAnsiTheme="majorBidi" w:cstheme="majorBidi"/>
          <w:rtl/>
        </w:rPr>
        <w:t xml:space="preserve"> רבי אברהם מן ההר, תחילת דף סט עמוד ב.ויש להסתפק בדעתו מה יהא הדי</w:t>
      </w:r>
      <w:r w:rsidR="00AA08C0">
        <w:rPr>
          <w:rFonts w:asciiTheme="majorBidi" w:hAnsiTheme="majorBidi" w:cstheme="majorBidi" w:hint="cs"/>
          <w:rtl/>
        </w:rPr>
        <w:t>ן</w:t>
      </w:r>
      <w:r w:rsidRPr="008D7238">
        <w:rPr>
          <w:rFonts w:asciiTheme="majorBidi" w:hAnsiTheme="majorBidi" w:cstheme="majorBidi"/>
          <w:rtl/>
        </w:rPr>
        <w:t xml:space="preserve"> כשאמר: 'קיים ומופר לך'</w:t>
      </w:r>
      <w:r w:rsidRPr="008D7238">
        <w:rPr>
          <w:rFonts w:asciiTheme="majorBidi" w:hAnsiTheme="majorBidi" w:cstheme="majorBidi" w:hint="cs"/>
          <w:rtl/>
        </w:rPr>
        <w:t xml:space="preserve"> (בירור הלכה)</w:t>
      </w:r>
      <w:r w:rsidRPr="008D7238">
        <w:rPr>
          <w:rFonts w:asciiTheme="majorBidi" w:hAnsiTheme="majorBidi" w:cstheme="majorBidi"/>
          <w:rtl/>
        </w:rPr>
        <w:t>.</w:t>
      </w:r>
    </w:p>
  </w:footnote>
  <w:footnote w:id="2">
    <w:p w14:paraId="36552503" w14:textId="77777777" w:rsidR="0076242A" w:rsidRPr="008D7238" w:rsidRDefault="0076242A" w:rsidP="008D7238">
      <w:pPr>
        <w:pStyle w:val="a3"/>
        <w:spacing w:line="360" w:lineRule="auto"/>
        <w:rPr>
          <w:rFonts w:asciiTheme="majorBidi" w:hAnsiTheme="majorBidi" w:cstheme="majorBidi"/>
        </w:rPr>
      </w:pPr>
      <w:r w:rsidRPr="008D7238">
        <w:rPr>
          <w:rStyle w:val="a5"/>
          <w:rFonts w:asciiTheme="majorBidi" w:hAnsiTheme="majorBidi" w:cstheme="majorBidi"/>
        </w:rPr>
        <w:footnoteRef/>
      </w:r>
      <w:r w:rsidRPr="008D7238">
        <w:rPr>
          <w:rFonts w:asciiTheme="majorBidi" w:hAnsiTheme="majorBidi" w:cstheme="majorBidi"/>
          <w:rtl/>
        </w:rPr>
        <w:t xml:space="preserve"> בסוף העמוד.</w:t>
      </w:r>
    </w:p>
  </w:footnote>
  <w:footnote w:id="3">
    <w:p w14:paraId="76A4BC62" w14:textId="0B33C4C4" w:rsidR="00EC2016" w:rsidRPr="008D7238" w:rsidRDefault="00EC2016" w:rsidP="008D7238">
      <w:pPr>
        <w:pStyle w:val="a3"/>
        <w:spacing w:line="360" w:lineRule="auto"/>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דף סט עמוד ב אות ד.</w:t>
      </w:r>
    </w:p>
  </w:footnote>
  <w:footnote w:id="4">
    <w:p w14:paraId="764F7F81" w14:textId="3D399F6E" w:rsidR="00EC2016" w:rsidRPr="008D7238" w:rsidRDefault="00EC2016" w:rsidP="008D7238">
      <w:pPr>
        <w:pStyle w:val="a3"/>
        <w:spacing w:line="360" w:lineRule="auto"/>
        <w:rPr>
          <w:rFonts w:asciiTheme="majorBidi" w:hAnsiTheme="majorBidi" w:cstheme="majorBidi"/>
        </w:rPr>
      </w:pPr>
      <w:r w:rsidRPr="008D7238">
        <w:rPr>
          <w:rStyle w:val="a5"/>
          <w:rFonts w:asciiTheme="majorBidi" w:hAnsiTheme="majorBidi" w:cstheme="majorBidi"/>
        </w:rPr>
        <w:footnoteRef/>
      </w:r>
      <w:r w:rsidRPr="008D7238">
        <w:rPr>
          <w:rFonts w:asciiTheme="majorBidi" w:hAnsiTheme="majorBidi" w:cstheme="majorBidi"/>
          <w:rtl/>
        </w:rPr>
        <w:t xml:space="preserve"> נראה שצ"ל: רבי מאיר.</w:t>
      </w:r>
    </w:p>
  </w:footnote>
  <w:footnote w:id="5">
    <w:p w14:paraId="7A76FA69" w14:textId="6878E056" w:rsidR="00114C16" w:rsidRPr="008D7238" w:rsidRDefault="00EC2016" w:rsidP="008D7238">
      <w:pPr>
        <w:pStyle w:val="a3"/>
        <w:spacing w:line="360" w:lineRule="auto"/>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בירור הלכה דף סט עמוד ב ציון ג לקראת סוף אות א. </w:t>
      </w:r>
    </w:p>
  </w:footnote>
  <w:footnote w:id="6">
    <w:p w14:paraId="59646904" w14:textId="4F4C0B29" w:rsidR="00114C16" w:rsidRPr="008D7238" w:rsidRDefault="00114C16" w:rsidP="00114C16">
      <w:pPr>
        <w:spacing w:after="0" w:line="240" w:lineRule="auto"/>
        <w:rPr>
          <w:rFonts w:ascii="David" w:hAnsi="David" w:cs="David"/>
          <w:sz w:val="20"/>
          <w:szCs w:val="20"/>
          <w:rtl/>
        </w:rPr>
      </w:pPr>
      <w:r w:rsidRPr="008D7238">
        <w:rPr>
          <w:rStyle w:val="a5"/>
          <w:sz w:val="20"/>
          <w:szCs w:val="20"/>
        </w:rPr>
        <w:footnoteRef/>
      </w:r>
      <w:r w:rsidRPr="008D7238">
        <w:rPr>
          <w:sz w:val="20"/>
          <w:szCs w:val="20"/>
          <w:rtl/>
        </w:rPr>
        <w:t xml:space="preserve"> </w:t>
      </w:r>
      <w:r w:rsidRPr="008D7238">
        <w:rPr>
          <w:rFonts w:ascii="David" w:hAnsi="David" w:cs="David" w:hint="cs"/>
          <w:sz w:val="20"/>
          <w:szCs w:val="20"/>
          <w:rtl/>
        </w:rPr>
        <w:t>"</w:t>
      </w:r>
      <w:r w:rsidRPr="008D7238">
        <w:rPr>
          <w:rFonts w:ascii="David" w:hAnsi="David" w:cs="David"/>
          <w:sz w:val="20"/>
          <w:szCs w:val="20"/>
          <w:rtl/>
        </w:rPr>
        <w:t>ולא נתבאר איזה סברא איכא בזה</w:t>
      </w:r>
      <w:r w:rsidR="00AA08C0">
        <w:rPr>
          <w:rFonts w:ascii="David" w:hAnsi="David" w:cs="David" w:hint="cs"/>
          <w:sz w:val="20"/>
          <w:szCs w:val="20"/>
          <w:rtl/>
        </w:rPr>
        <w:t>,</w:t>
      </w:r>
      <w:r w:rsidRPr="008D7238">
        <w:rPr>
          <w:rFonts w:ascii="David" w:hAnsi="David" w:cs="David"/>
          <w:sz w:val="20"/>
          <w:szCs w:val="20"/>
          <w:rtl/>
        </w:rPr>
        <w:t xml:space="preserve"> דכיון דאמר בבת אחת הקמה והפרה, זה הוי סיבה שתחול ההפרה.</w:t>
      </w:r>
    </w:p>
    <w:p w14:paraId="7C1DA9F9" w14:textId="77777777" w:rsidR="00114C16" w:rsidRPr="008D7238" w:rsidRDefault="00114C16" w:rsidP="00114C16">
      <w:pPr>
        <w:spacing w:after="0" w:line="240" w:lineRule="auto"/>
        <w:rPr>
          <w:rFonts w:ascii="David" w:hAnsi="David" w:cs="David"/>
          <w:sz w:val="20"/>
          <w:szCs w:val="20"/>
          <w:rtl/>
        </w:rPr>
      </w:pPr>
      <w:r w:rsidRPr="008D7238">
        <w:rPr>
          <w:rFonts w:ascii="David" w:hAnsi="David" w:cs="David"/>
          <w:sz w:val="20"/>
          <w:szCs w:val="20"/>
          <w:rtl/>
        </w:rPr>
        <w:t>ואולי סובר דאי לאו כללא דכל שאינו בזא"ז אף בבת אחת אינו, הוי חיילא כאן ההפרה, דכיון דההפרה הא עושה היתר בהנדר, ואין מפריע עדיין, והוי הפרה, וממילא ליכא נדר לחול הקמה.</w:t>
      </w:r>
    </w:p>
    <w:p w14:paraId="190EA866" w14:textId="3EC0679B" w:rsidR="00114C16" w:rsidRPr="008D7238" w:rsidRDefault="00114C16" w:rsidP="00114C16">
      <w:pPr>
        <w:spacing w:after="0" w:line="240" w:lineRule="auto"/>
        <w:rPr>
          <w:rFonts w:ascii="David" w:hAnsi="David" w:cs="David"/>
          <w:sz w:val="20"/>
          <w:szCs w:val="20"/>
          <w:rtl/>
        </w:rPr>
      </w:pPr>
      <w:r w:rsidRPr="008D7238">
        <w:rPr>
          <w:rFonts w:ascii="David" w:hAnsi="David" w:cs="David"/>
          <w:sz w:val="20"/>
          <w:szCs w:val="20"/>
          <w:rtl/>
        </w:rPr>
        <w:t>ואולי טעמא הוי, כיון דעל ההקמה הרי אמר אחריה הפרה, וכיון דהוי בבת אחת הרי מבטל בזה את מה שאמר הקמה, וממילא דהקמה לא חיילא, אבל אחר הפרה הרי לא אמר כלום, וממילא חיילא הפרה</w:t>
      </w:r>
      <w:r w:rsidRPr="008D7238">
        <w:rPr>
          <w:rFonts w:ascii="David" w:hAnsi="David" w:cs="David" w:hint="cs"/>
          <w:sz w:val="20"/>
          <w:szCs w:val="20"/>
          <w:rtl/>
        </w:rPr>
        <w:t xml:space="preserve">" </w:t>
      </w:r>
      <w:r w:rsidR="00AA08C0">
        <w:rPr>
          <w:rFonts w:ascii="David" w:hAnsi="David" w:cs="David" w:hint="cs"/>
          <w:sz w:val="20"/>
          <w:szCs w:val="20"/>
          <w:rtl/>
        </w:rPr>
        <w:t>(,</w:t>
      </w:r>
      <w:r w:rsidRPr="008D7238">
        <w:rPr>
          <w:rFonts w:asciiTheme="majorBidi" w:hAnsiTheme="majorBidi" w:cstheme="majorBidi" w:hint="cs"/>
          <w:sz w:val="20"/>
          <w:szCs w:val="20"/>
          <w:rtl/>
        </w:rPr>
        <w:t>ר' דוד כהן, אות קיא</w:t>
      </w:r>
      <w:r w:rsidRPr="008D7238">
        <w:rPr>
          <w:rFonts w:ascii="David" w:hAnsi="David" w:cs="David" w:hint="cs"/>
          <w:sz w:val="20"/>
          <w:szCs w:val="20"/>
          <w:rtl/>
        </w:rPr>
        <w:t>)</w:t>
      </w:r>
      <w:r w:rsidRPr="008D7238">
        <w:rPr>
          <w:rFonts w:ascii="David" w:hAnsi="David" w:cs="David"/>
          <w:sz w:val="20"/>
          <w:szCs w:val="20"/>
          <w:rtl/>
        </w:rPr>
        <w:t>.</w:t>
      </w:r>
    </w:p>
    <w:p w14:paraId="0656DBFA" w14:textId="625F1D1B" w:rsidR="00114C16" w:rsidRPr="008D7238" w:rsidRDefault="00114C16">
      <w:pPr>
        <w:pStyle w:val="a3"/>
      </w:pPr>
    </w:p>
  </w:footnote>
  <w:footnote w:id="7">
    <w:p w14:paraId="3FF45FEA" w14:textId="5FCE9675" w:rsidR="004B2311" w:rsidRPr="00AA08C0" w:rsidRDefault="004B2311">
      <w:pPr>
        <w:pStyle w:val="a3"/>
        <w:rPr>
          <w:rFonts w:asciiTheme="majorBidi" w:hAnsiTheme="majorBidi" w:cstheme="majorBidi"/>
        </w:rPr>
      </w:pPr>
      <w:r w:rsidRPr="008D7238">
        <w:rPr>
          <w:rStyle w:val="a5"/>
          <w:rFonts w:asciiTheme="majorBidi" w:hAnsiTheme="majorBidi" w:cstheme="majorBidi"/>
        </w:rPr>
        <w:footnoteRef/>
      </w:r>
      <w:r w:rsidRPr="008D7238">
        <w:rPr>
          <w:rFonts w:asciiTheme="majorBidi" w:hAnsiTheme="majorBidi" w:cstheme="majorBidi"/>
          <w:rtl/>
        </w:rPr>
        <w:t xml:space="preserve"> אמנם להלכה נקט (אות ד)  כדברי הר"ן לקמן, שלא חל דבר, ולכאורה אין אפשרות זו כאחד צדדי הספק שפירש כאן, </w:t>
      </w:r>
      <w:r w:rsidRPr="00AA08C0">
        <w:rPr>
          <w:rFonts w:asciiTheme="majorBidi" w:hAnsiTheme="majorBidi" w:cstheme="majorBidi"/>
          <w:rtl/>
        </w:rPr>
        <w:t>וצל"ע.</w:t>
      </w:r>
      <w:r w:rsidR="00AA08C0" w:rsidRPr="00AA08C0">
        <w:rPr>
          <w:rFonts w:asciiTheme="majorBidi" w:hAnsiTheme="majorBidi" w:cstheme="majorBidi" w:hint="cs"/>
          <w:rtl/>
        </w:rPr>
        <w:t xml:space="preserve"> אולי כדבריו במשך, חלות שניהם כ'</w:t>
      </w:r>
      <w:r w:rsidR="00AA08C0" w:rsidRPr="00AA08C0">
        <w:rPr>
          <w:rFonts w:ascii="David" w:hAnsi="David" w:cs="David"/>
          <w:rtl/>
        </w:rPr>
        <w:t>לא כלום דמי</w:t>
      </w:r>
      <w:r w:rsidR="00AA08C0" w:rsidRPr="00AA08C0">
        <w:rPr>
          <w:rFonts w:ascii="David" w:hAnsi="David" w:cs="David" w:hint="cs"/>
          <w:rtl/>
        </w:rPr>
        <w:t>'.</w:t>
      </w:r>
    </w:p>
  </w:footnote>
  <w:footnote w:id="8">
    <w:p w14:paraId="3DBB12F5" w14:textId="65BEBAD4" w:rsidR="00776933" w:rsidRPr="008D7238" w:rsidRDefault="00776933" w:rsidP="008D7238">
      <w:pPr>
        <w:spacing w:after="0" w:line="360" w:lineRule="auto"/>
        <w:rPr>
          <w:rFonts w:asciiTheme="majorBidi" w:hAnsiTheme="majorBidi" w:cstheme="majorBidi"/>
          <w:sz w:val="20"/>
          <w:szCs w:val="20"/>
        </w:rPr>
      </w:pPr>
      <w:r w:rsidRPr="008D7238">
        <w:rPr>
          <w:rStyle w:val="a5"/>
          <w:rFonts w:asciiTheme="majorBidi" w:hAnsiTheme="majorBidi" w:cstheme="majorBidi"/>
          <w:sz w:val="20"/>
          <w:szCs w:val="20"/>
        </w:rPr>
        <w:footnoteRef/>
      </w:r>
      <w:r w:rsidRPr="008D7238">
        <w:rPr>
          <w:rFonts w:asciiTheme="majorBidi" w:hAnsiTheme="majorBidi" w:cstheme="majorBidi"/>
          <w:sz w:val="20"/>
          <w:szCs w:val="20"/>
          <w:rtl/>
        </w:rPr>
        <w:t xml:space="preserve"> הלכות נדרים פרק יג הלכה כב.</w:t>
      </w:r>
    </w:p>
  </w:footnote>
  <w:footnote w:id="9">
    <w:p w14:paraId="0C17DEC3" w14:textId="469B418C" w:rsidR="004B2311" w:rsidRPr="008D7238" w:rsidRDefault="004B2311" w:rsidP="008D7238">
      <w:pPr>
        <w:pStyle w:val="a3"/>
        <w:spacing w:line="360" w:lineRule="auto"/>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יו"ד סימן רלד סעיף מד.</w:t>
      </w:r>
    </w:p>
  </w:footnote>
  <w:footnote w:id="10">
    <w:p w14:paraId="21E4047C" w14:textId="050EC457" w:rsidR="00463ECE" w:rsidRPr="008D7238" w:rsidRDefault="00463ECE" w:rsidP="008D7238">
      <w:pPr>
        <w:pStyle w:val="a3"/>
        <w:spacing w:line="360" w:lineRule="auto"/>
        <w:rPr>
          <w:rFonts w:asciiTheme="majorBidi" w:hAnsiTheme="majorBidi" w:cstheme="majorBidi"/>
        </w:rPr>
      </w:pPr>
      <w:r w:rsidRPr="008D7238">
        <w:rPr>
          <w:rStyle w:val="a5"/>
          <w:rFonts w:asciiTheme="majorBidi" w:hAnsiTheme="majorBidi" w:cstheme="majorBidi"/>
        </w:rPr>
        <w:footnoteRef/>
      </w:r>
      <w:r w:rsidRPr="008D7238">
        <w:rPr>
          <w:rFonts w:asciiTheme="majorBidi" w:hAnsiTheme="majorBidi" w:cstheme="majorBidi"/>
          <w:rtl/>
        </w:rPr>
        <w:t xml:space="preserve"> חיל המלך, לרב חיים יעקב לוין.</w:t>
      </w:r>
    </w:p>
  </w:footnote>
  <w:footnote w:id="11">
    <w:p w14:paraId="5211BA99" w14:textId="77777777" w:rsidR="008D7238" w:rsidRPr="008D7238" w:rsidRDefault="008D7238" w:rsidP="008D7238">
      <w:pPr>
        <w:pStyle w:val="a3"/>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כפי שמציע גם באור שמח. אמנם הוא מקשה:  </w:t>
      </w:r>
      <w:r w:rsidRPr="008D7238">
        <w:rPr>
          <w:rFonts w:ascii="David" w:hAnsi="David" w:cs="David" w:hint="cs"/>
          <w:rtl/>
        </w:rPr>
        <w:t>"</w:t>
      </w:r>
      <w:r w:rsidRPr="008D7238">
        <w:rPr>
          <w:rFonts w:ascii="David" w:hAnsi="David" w:cs="David"/>
          <w:rtl/>
        </w:rPr>
        <w:t>כי קיים בלבו באופן שגמר להוציא ההקמה בפה, בזה ודאי לא הוי הקמה במחשבתו בלבד</w:t>
      </w:r>
      <w:r w:rsidRPr="008D7238">
        <w:rPr>
          <w:rFonts w:ascii="David" w:hAnsi="David" w:cs="David" w:hint="cs"/>
          <w:rtl/>
        </w:rPr>
        <w:t>".</w:t>
      </w:r>
      <w:r w:rsidRPr="008D7238">
        <w:rPr>
          <w:rFonts w:asciiTheme="majorBidi" w:hAnsiTheme="majorBidi" w:cstheme="majorBidi" w:hint="cs"/>
          <w:rtl/>
        </w:rPr>
        <w:t xml:space="preserve"> להרחבה נוספת בהבנת הכסף משנה יעויין בשלמי נדרים.</w:t>
      </w:r>
    </w:p>
    <w:p w14:paraId="0D3058D3" w14:textId="77777777" w:rsidR="008D7238" w:rsidRPr="008D7238" w:rsidRDefault="008D7238" w:rsidP="008D7238">
      <w:pPr>
        <w:pStyle w:val="a3"/>
        <w:rPr>
          <w:rFonts w:asciiTheme="majorBidi" w:hAnsiTheme="majorBidi" w:cstheme="majorBidi"/>
        </w:rPr>
      </w:pPr>
    </w:p>
  </w:footnote>
  <w:footnote w:id="12">
    <w:p w14:paraId="595F5297" w14:textId="69864053" w:rsidR="00776933" w:rsidRPr="008D7238" w:rsidRDefault="00776933">
      <w:pPr>
        <w:pStyle w:val="a3"/>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ט"ז יורה דעה סימן רלד אות לח.</w:t>
      </w:r>
      <w:r w:rsidR="008D7238" w:rsidRPr="008D7238">
        <w:rPr>
          <w:rFonts w:asciiTheme="majorBidi" w:hAnsiTheme="majorBidi" w:cstheme="majorBidi" w:hint="cs"/>
          <w:rtl/>
        </w:rPr>
        <w:t xml:space="preserve"> לפי מרכבת המשנה נראה, שאם הוסיף את המילים 'בבת אחת' אכן לא יחול דבר (בירור הלכה).</w:t>
      </w:r>
    </w:p>
  </w:footnote>
  <w:footnote w:id="13">
    <w:p w14:paraId="36A9BC93" w14:textId="45630850" w:rsidR="008D7238" w:rsidRDefault="008D7238">
      <w:pPr>
        <w:pStyle w:val="a3"/>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בירור הלכה, שם אות ב.</w:t>
      </w:r>
    </w:p>
    <w:p w14:paraId="0342B491" w14:textId="77777777" w:rsidR="008D7238" w:rsidRPr="008D7238" w:rsidRDefault="008D7238">
      <w:pPr>
        <w:pStyle w:val="a3"/>
        <w:rPr>
          <w:rFonts w:asciiTheme="majorBidi" w:hAnsiTheme="majorBidi" w:cstheme="majorBidi"/>
        </w:rPr>
      </w:pPr>
    </w:p>
  </w:footnote>
  <w:footnote w:id="14">
    <w:p w14:paraId="751EC4F9" w14:textId="6F43D709" w:rsidR="00384ECC" w:rsidRPr="008D7238" w:rsidRDefault="006B7CDD" w:rsidP="00384ECC">
      <w:pPr>
        <w:spacing w:after="0" w:line="240" w:lineRule="auto"/>
        <w:rPr>
          <w:rFonts w:asciiTheme="majorBidi" w:hAnsiTheme="majorBidi" w:cstheme="majorBidi"/>
          <w:sz w:val="24"/>
          <w:szCs w:val="24"/>
          <w:rtl/>
        </w:rPr>
      </w:pPr>
      <w:r w:rsidRPr="008D7238">
        <w:rPr>
          <w:rStyle w:val="a5"/>
          <w:rFonts w:asciiTheme="majorBidi" w:hAnsiTheme="majorBidi" w:cstheme="majorBidi"/>
        </w:rPr>
        <w:footnoteRef/>
      </w:r>
      <w:r w:rsidRPr="008D7238">
        <w:rPr>
          <w:rFonts w:asciiTheme="majorBidi" w:hAnsiTheme="majorBidi" w:cstheme="majorBidi"/>
          <w:rtl/>
        </w:rPr>
        <w:t xml:space="preserve"> </w:t>
      </w:r>
      <w:r w:rsidRPr="008D7238">
        <w:rPr>
          <w:rFonts w:asciiTheme="majorBidi" w:hAnsiTheme="majorBidi" w:cstheme="majorBidi"/>
          <w:sz w:val="20"/>
          <w:szCs w:val="20"/>
          <w:rtl/>
        </w:rPr>
        <w:t>אישים ושיט</w:t>
      </w:r>
      <w:r w:rsidR="00384ECC" w:rsidRPr="008D7238">
        <w:rPr>
          <w:rFonts w:asciiTheme="majorBidi" w:hAnsiTheme="majorBidi" w:cstheme="majorBidi" w:hint="cs"/>
          <w:sz w:val="20"/>
          <w:szCs w:val="20"/>
          <w:rtl/>
        </w:rPr>
        <w:t>ו</w:t>
      </w:r>
      <w:r w:rsidRPr="008D7238">
        <w:rPr>
          <w:rFonts w:asciiTheme="majorBidi" w:hAnsiTheme="majorBidi" w:cstheme="majorBidi"/>
          <w:sz w:val="20"/>
          <w:szCs w:val="20"/>
          <w:rtl/>
        </w:rPr>
        <w:t>ת לרב זוין, עמוד 57 במהדורת תשל"ח.</w:t>
      </w:r>
      <w:r w:rsidR="00384ECC" w:rsidRPr="008D7238">
        <w:rPr>
          <w:rFonts w:asciiTheme="majorBidi" w:hAnsiTheme="majorBidi" w:cstheme="majorBidi" w:hint="cs"/>
          <w:rtl/>
        </w:rPr>
        <w:t xml:space="preserve"> </w:t>
      </w:r>
      <w:r w:rsidR="00384ECC" w:rsidRPr="008D7238">
        <w:rPr>
          <w:rFonts w:ascii="David" w:hAnsi="David" w:cs="David"/>
          <w:sz w:val="20"/>
          <w:szCs w:val="20"/>
          <w:rtl/>
        </w:rPr>
        <w:t xml:space="preserve"> </w:t>
      </w:r>
      <w:r w:rsidR="00384ECC" w:rsidRPr="008D7238">
        <w:rPr>
          <w:rFonts w:ascii="David" w:hAnsi="David" w:cs="David" w:hint="cs"/>
          <w:sz w:val="20"/>
          <w:szCs w:val="20"/>
          <w:rtl/>
        </w:rPr>
        <w:t>"</w:t>
      </w:r>
      <w:r w:rsidR="00384ECC" w:rsidRPr="008D7238">
        <w:rPr>
          <w:rFonts w:ascii="David" w:hAnsi="David" w:cs="David"/>
          <w:sz w:val="20"/>
          <w:szCs w:val="20"/>
          <w:rtl/>
        </w:rPr>
        <w:t xml:space="preserve">ותמה החזון איש </w:t>
      </w:r>
      <w:r w:rsidR="00384ECC" w:rsidRPr="008D7238">
        <w:rPr>
          <w:rFonts w:ascii="David" w:hAnsi="David" w:cs="David"/>
          <w:sz w:val="16"/>
          <w:szCs w:val="16"/>
          <w:rtl/>
        </w:rPr>
        <w:t xml:space="preserve">[בהגהותיו על ספרו של הגר"ח] </w:t>
      </w:r>
      <w:r w:rsidR="00384ECC" w:rsidRPr="008D7238">
        <w:rPr>
          <w:rFonts w:ascii="David" w:hAnsi="David" w:cs="David"/>
          <w:sz w:val="20"/>
          <w:szCs w:val="20"/>
          <w:rtl/>
        </w:rPr>
        <w:t>מדוע לא תחשב ההפרה כשלילת ההקמה? והרי מהות ההפרה היא ביטול הנדר, וביטול הנדר הוא שלילת קיום הנדר! ועוד טוען החזון איש: זה שאין הפרה מועילה אחר הקמה, הוא משום שמסרה התורה את כח ההכרעה של הנדר, להקמתו או להפרתו, באופן חד פעמי לבעל ולאב. וכיון שהשתמשו הבעל והאב פעם אחת בכח ההכרעה שנתנה להם התורה, שוב הם אינם בעלים על הנדר. ולכן, גם אם אחר ההפרה היה נשאר הנדר, לא היתה אפשרות להקימו, משום שכבר בטל כח ההכרעה, לאחר שנעשה בו פעם אחת שימוש, בהפרה. ונמצא שההפרה אינה רק "היכי תימצי" שלא יהא הנדר קיים, כדברי הגר"ח, אלא שהשימוש בהפרה שולל את כח ההכרעה של הקמה, כיון שנעשה כבר פעם אחת שימוש בכח ההכרעה. וכיון שההפרה שוללת את ההקמה כשם שההקמה שוללת את ההפרה, בהפגשם כאחת, שניהם אינם צריכים לחול</w:t>
      </w:r>
      <w:r w:rsidR="00384ECC" w:rsidRPr="008D7238">
        <w:rPr>
          <w:rFonts w:ascii="David" w:hAnsi="David" w:cs="David" w:hint="cs"/>
          <w:sz w:val="20"/>
          <w:szCs w:val="20"/>
          <w:rtl/>
        </w:rPr>
        <w:t>"</w:t>
      </w:r>
      <w:r w:rsidR="00384ECC" w:rsidRPr="008D7238">
        <w:rPr>
          <w:rFonts w:asciiTheme="majorBidi" w:hAnsiTheme="majorBidi" w:cs="Times New Roman" w:hint="cs"/>
          <w:sz w:val="20"/>
          <w:szCs w:val="20"/>
          <w:rtl/>
        </w:rPr>
        <w:t xml:space="preserve"> (</w:t>
      </w:r>
      <w:r w:rsidR="00384ECC" w:rsidRPr="008D7238">
        <w:rPr>
          <w:rFonts w:asciiTheme="majorBidi" w:hAnsiTheme="majorBidi" w:cs="Times New Roman"/>
          <w:sz w:val="20"/>
          <w:szCs w:val="20"/>
          <w:rtl/>
        </w:rPr>
        <w:t xml:space="preserve">חברותא - הערות </w:t>
      </w:r>
      <w:r w:rsidR="00384ECC" w:rsidRPr="008D7238">
        <w:rPr>
          <w:rFonts w:asciiTheme="majorBidi" w:hAnsiTheme="majorBidi" w:cs="Times New Roman" w:hint="cs"/>
          <w:sz w:val="20"/>
          <w:szCs w:val="20"/>
          <w:rtl/>
        </w:rPr>
        <w:t xml:space="preserve"> </w:t>
      </w:r>
      <w:r w:rsidR="00384ECC" w:rsidRPr="008D7238">
        <w:rPr>
          <w:rFonts w:asciiTheme="majorBidi" w:hAnsiTheme="majorBidi" w:cs="Times New Roman"/>
          <w:sz w:val="20"/>
          <w:szCs w:val="20"/>
          <w:rtl/>
        </w:rPr>
        <w:t>דף סט עמוד ב הערה 18</w:t>
      </w:r>
      <w:r w:rsidR="00384ECC" w:rsidRPr="008D7238">
        <w:rPr>
          <w:rFonts w:asciiTheme="majorBidi" w:hAnsiTheme="majorBidi" w:cs="Times New Roman" w:hint="cs"/>
          <w:sz w:val="20"/>
          <w:szCs w:val="20"/>
          <w:rtl/>
        </w:rPr>
        <w:t>)</w:t>
      </w:r>
      <w:r w:rsidR="00384ECC" w:rsidRPr="008D7238">
        <w:rPr>
          <w:rFonts w:asciiTheme="majorBidi" w:hAnsiTheme="majorBidi" w:cstheme="majorBidi" w:hint="cs"/>
          <w:sz w:val="20"/>
          <w:szCs w:val="20"/>
          <w:rtl/>
        </w:rPr>
        <w:t>.</w:t>
      </w:r>
    </w:p>
    <w:p w14:paraId="1B2967C9" w14:textId="38777573" w:rsidR="006B7CDD" w:rsidRPr="008D7238" w:rsidRDefault="00384ECC" w:rsidP="00384ECC">
      <w:pPr>
        <w:pStyle w:val="a3"/>
        <w:rPr>
          <w:rFonts w:asciiTheme="majorBidi" w:hAnsiTheme="majorBidi" w:cstheme="majorBidi"/>
          <w:rtl/>
        </w:rPr>
      </w:pPr>
      <w:r w:rsidRPr="008D7238">
        <w:rPr>
          <w:rFonts w:asciiTheme="majorBidi" w:hAnsiTheme="majorBidi" w:cs="Times New Roman"/>
          <w:sz w:val="24"/>
          <w:szCs w:val="24"/>
          <w:rtl/>
        </w:rPr>
        <w:t>.</w:t>
      </w:r>
    </w:p>
  </w:footnote>
  <w:footnote w:id="15">
    <w:p w14:paraId="201BA783" w14:textId="796FCDF2" w:rsidR="008C1169" w:rsidRPr="008D7238" w:rsidRDefault="005A537F" w:rsidP="008C1169">
      <w:pPr>
        <w:pStyle w:val="a3"/>
        <w:rPr>
          <w:rFonts w:asciiTheme="majorBidi" w:hAnsiTheme="majorBidi" w:cstheme="majorBidi"/>
          <w:rtl/>
        </w:rPr>
      </w:pPr>
      <w:r w:rsidRPr="008D7238">
        <w:rPr>
          <w:rStyle w:val="a5"/>
          <w:rFonts w:asciiTheme="majorBidi" w:hAnsiTheme="majorBidi" w:cstheme="majorBidi"/>
        </w:rPr>
        <w:footnoteRef/>
      </w:r>
      <w:r w:rsidRPr="008D7238">
        <w:rPr>
          <w:rFonts w:asciiTheme="majorBidi" w:hAnsiTheme="majorBidi" w:cstheme="majorBidi"/>
          <w:rtl/>
        </w:rPr>
        <w:t xml:space="preserve"> שיעורי ר' דוד אות קיז. באות קיח הוא מוצא מקור לדברי ר' חיים בדעת התוספות: </w:t>
      </w:r>
    </w:p>
    <w:p w14:paraId="513CC907" w14:textId="10C90136" w:rsidR="008C1169" w:rsidRPr="008D7238" w:rsidRDefault="008C1169" w:rsidP="008C1169">
      <w:pPr>
        <w:pStyle w:val="a3"/>
        <w:rPr>
          <w:rFonts w:asciiTheme="majorBidi" w:hAnsiTheme="majorBidi" w:cstheme="majorBidi"/>
          <w:rtl/>
        </w:rPr>
      </w:pPr>
      <w:r w:rsidRPr="008D7238">
        <w:rPr>
          <w:rFonts w:ascii="David" w:hAnsi="David" w:cs="David" w:hint="cs"/>
          <w:rtl/>
        </w:rPr>
        <w:t>"</w:t>
      </w:r>
      <w:r w:rsidRPr="008D7238">
        <w:rPr>
          <w:rFonts w:ascii="David" w:hAnsi="David" w:cs="David"/>
          <w:rtl/>
        </w:rPr>
        <w:t>לא שייך כל שאינו בזה אחר זה אלא היכא שהראשון מונע את השני מלחול</w:t>
      </w:r>
      <w:r w:rsidRPr="008D7238">
        <w:rPr>
          <w:rFonts w:ascii="David" w:hAnsi="David" w:cs="David" w:hint="cs"/>
          <w:rtl/>
        </w:rPr>
        <w:t>,</w:t>
      </w:r>
      <w:r w:rsidRPr="008D7238">
        <w:rPr>
          <w:rFonts w:ascii="David" w:hAnsi="David" w:cs="David"/>
          <w:rtl/>
        </w:rPr>
        <w:t xml:space="preserve"> כמו בשתי אחיות שמונעים קידושי הראשונה מלחול קידושי שניה</w:t>
      </w:r>
      <w:r w:rsidRPr="008D7238">
        <w:rPr>
          <w:rFonts w:ascii="David" w:hAnsi="David" w:cs="David" w:hint="cs"/>
          <w:rtl/>
        </w:rPr>
        <w:t>,</w:t>
      </w:r>
      <w:r w:rsidRPr="008D7238">
        <w:rPr>
          <w:rFonts w:ascii="David" w:hAnsi="David" w:cs="David"/>
          <w:rtl/>
        </w:rPr>
        <w:t xml:space="preserve"> אבל הכא הא דלא קני שני בזה אחר זה</w:t>
      </w:r>
      <w:r w:rsidRPr="008D7238">
        <w:rPr>
          <w:rFonts w:ascii="David" w:hAnsi="David" w:cs="David" w:hint="cs"/>
          <w:rtl/>
        </w:rPr>
        <w:t>,</w:t>
      </w:r>
      <w:r w:rsidRPr="008D7238">
        <w:rPr>
          <w:rFonts w:ascii="David" w:hAnsi="David" w:cs="David"/>
          <w:rtl/>
        </w:rPr>
        <w:t xml:space="preserve"> לאו משום דלא חזי לקנות אלא משום דכבר נסתלק הנותן ואין לו בהן כלום</w:t>
      </w:r>
      <w:r w:rsidRPr="008D7238">
        <w:rPr>
          <w:rFonts w:ascii="David" w:hAnsi="David" w:cs="David" w:hint="cs"/>
          <w:rtl/>
        </w:rPr>
        <w:t xml:space="preserve">" </w:t>
      </w:r>
      <w:r w:rsidRPr="008D7238">
        <w:rPr>
          <w:rFonts w:asciiTheme="majorBidi" w:hAnsiTheme="majorBidi" w:cs="Times New Roman" w:hint="cs"/>
          <w:rtl/>
        </w:rPr>
        <w:t>(</w:t>
      </w:r>
      <w:r w:rsidRPr="008D7238">
        <w:rPr>
          <w:rFonts w:asciiTheme="majorBidi" w:hAnsiTheme="majorBidi" w:cs="Times New Roman"/>
          <w:rtl/>
        </w:rPr>
        <w:t>תוספות מסכת גיטין דף מב עמוד א</w:t>
      </w:r>
      <w:r w:rsidRPr="008D7238">
        <w:rPr>
          <w:rFonts w:asciiTheme="majorBidi" w:hAnsiTheme="majorBidi" w:cstheme="majorBidi" w:hint="cs"/>
          <w:rtl/>
        </w:rPr>
        <w:t xml:space="preserve"> ד"ה הא).</w:t>
      </w:r>
    </w:p>
    <w:p w14:paraId="267264FB" w14:textId="23F90529" w:rsidR="005A537F" w:rsidRPr="008D7238" w:rsidRDefault="005A537F" w:rsidP="008C1169">
      <w:pPr>
        <w:pStyle w:val="a3"/>
        <w:rPr>
          <w:rFonts w:ascii="David" w:hAnsi="David" w:cs="David"/>
          <w:rtl/>
        </w:rPr>
      </w:pPr>
    </w:p>
  </w:footnote>
  <w:footnote w:id="16">
    <w:p w14:paraId="72BAED0C" w14:textId="62381785" w:rsidR="008E2998" w:rsidRPr="00357937" w:rsidRDefault="008E2998" w:rsidP="00357937">
      <w:pPr>
        <w:pStyle w:val="a3"/>
        <w:spacing w:line="360" w:lineRule="auto"/>
        <w:rPr>
          <w:rFonts w:asciiTheme="majorBidi" w:hAnsiTheme="majorBidi" w:cstheme="majorBidi"/>
        </w:rPr>
      </w:pPr>
      <w:r w:rsidRPr="00357937">
        <w:rPr>
          <w:rStyle w:val="a5"/>
          <w:rFonts w:asciiTheme="majorBidi" w:hAnsiTheme="majorBidi" w:cstheme="majorBidi"/>
        </w:rPr>
        <w:footnoteRef/>
      </w:r>
      <w:r w:rsidRPr="00357937">
        <w:rPr>
          <w:rFonts w:asciiTheme="majorBidi" w:hAnsiTheme="majorBidi" w:cstheme="majorBidi"/>
          <w:rtl/>
        </w:rPr>
        <w:t xml:space="preserve"> חידושי הרי"ם.</w:t>
      </w:r>
    </w:p>
  </w:footnote>
  <w:footnote w:id="17">
    <w:p w14:paraId="1C30EFF7" w14:textId="4F9449B0" w:rsidR="00940CD0" w:rsidRPr="008D7238" w:rsidRDefault="00940CD0" w:rsidP="00357937">
      <w:pPr>
        <w:pStyle w:val="a3"/>
        <w:spacing w:line="360" w:lineRule="auto"/>
        <w:rPr>
          <w:rtl/>
        </w:rPr>
      </w:pPr>
      <w:r w:rsidRPr="008D7238">
        <w:rPr>
          <w:rStyle w:val="a5"/>
        </w:rPr>
        <w:footnoteRef/>
      </w:r>
      <w:r w:rsidRPr="008D7238">
        <w:rPr>
          <w:rtl/>
        </w:rPr>
        <w:t xml:space="preserve"> </w:t>
      </w:r>
      <w:r w:rsidR="00357937">
        <w:rPr>
          <w:rFonts w:ascii="David" w:hAnsi="David" w:cs="David" w:hint="cs"/>
          <w:rtl/>
        </w:rPr>
        <w:t>"</w:t>
      </w:r>
      <w:r w:rsidRPr="008D7238">
        <w:rPr>
          <w:rFonts w:ascii="David" w:hAnsi="David" w:cs="David"/>
          <w:rtl/>
        </w:rPr>
        <w:t>עפ"י בד קודש</w:t>
      </w:r>
      <w:r w:rsidR="00357937">
        <w:rPr>
          <w:rFonts w:asciiTheme="majorBidi" w:hAnsiTheme="majorBidi" w:cs="Times New Roman" w:hint="cs"/>
          <w:rtl/>
        </w:rPr>
        <w:t>"</w:t>
      </w:r>
      <w:r w:rsidRPr="008D7238">
        <w:rPr>
          <w:rFonts w:asciiTheme="majorBidi" w:hAnsiTheme="majorBidi" w:cs="Times New Roman" w:hint="cs"/>
          <w:rtl/>
        </w:rPr>
        <w:t xml:space="preserve"> (</w:t>
      </w:r>
      <w:r w:rsidRPr="008D7238">
        <w:rPr>
          <w:rFonts w:asciiTheme="majorBidi" w:hAnsiTheme="majorBidi" w:cs="Times New Roman"/>
          <w:rtl/>
        </w:rPr>
        <w:t xml:space="preserve">חברותא - הערות נדרים דף סט עמוד ב הערה </w:t>
      </w:r>
      <w:r w:rsidRPr="008D7238">
        <w:rPr>
          <w:rFonts w:asciiTheme="majorBidi" w:hAnsiTheme="majorBidi" w:cs="Times New Roman" w:hint="cs"/>
          <w:rtl/>
        </w:rPr>
        <w:t xml:space="preserve"> </w:t>
      </w:r>
      <w:r w:rsidRPr="008D7238">
        <w:rPr>
          <w:rFonts w:asciiTheme="majorBidi" w:hAnsiTheme="majorBidi" w:cs="Times New Roman"/>
          <w:rtl/>
        </w:rPr>
        <w:t>18</w:t>
      </w:r>
      <w:r w:rsidRPr="008D7238">
        <w:rPr>
          <w:rFonts w:asciiTheme="majorBidi" w:hAnsiTheme="majorBidi" w:cs="Times New Roman"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00302415"/>
      <w:docPartObj>
        <w:docPartGallery w:val="Page Numbers (Top of Page)"/>
        <w:docPartUnique/>
      </w:docPartObj>
    </w:sdtPr>
    <w:sdtContent>
      <w:p w14:paraId="03C77B76" w14:textId="799154F9" w:rsidR="00E0075D" w:rsidRDefault="00E0075D">
        <w:pPr>
          <w:pStyle w:val="a6"/>
        </w:pPr>
        <w:r>
          <w:fldChar w:fldCharType="begin"/>
        </w:r>
        <w:r>
          <w:instrText>PAGE   \* MERGEFORMAT</w:instrText>
        </w:r>
        <w:r>
          <w:fldChar w:fldCharType="separate"/>
        </w:r>
        <w:r>
          <w:rPr>
            <w:rtl/>
            <w:lang w:val="he-IL"/>
          </w:rPr>
          <w:t>2</w:t>
        </w:r>
        <w:r>
          <w:fldChar w:fldCharType="end"/>
        </w:r>
      </w:p>
    </w:sdtContent>
  </w:sdt>
  <w:p w14:paraId="6332BA62" w14:textId="77777777" w:rsidR="00E0075D" w:rsidRDefault="00E0075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8B4"/>
    <w:multiLevelType w:val="hybridMultilevel"/>
    <w:tmpl w:val="5B762B70"/>
    <w:lvl w:ilvl="0" w:tplc="331AEA68">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991EC9"/>
    <w:multiLevelType w:val="hybridMultilevel"/>
    <w:tmpl w:val="FA9CCEC2"/>
    <w:lvl w:ilvl="0" w:tplc="182CA8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252938">
    <w:abstractNumId w:val="1"/>
  </w:num>
  <w:num w:numId="2" w16cid:durableId="124957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0A"/>
    <w:rsid w:val="00033BEF"/>
    <w:rsid w:val="00063F91"/>
    <w:rsid w:val="00074768"/>
    <w:rsid w:val="00114C16"/>
    <w:rsid w:val="00125EB7"/>
    <w:rsid w:val="0013757B"/>
    <w:rsid w:val="00171B86"/>
    <w:rsid w:val="00293330"/>
    <w:rsid w:val="0029757D"/>
    <w:rsid w:val="00357937"/>
    <w:rsid w:val="00384ECC"/>
    <w:rsid w:val="00463ECE"/>
    <w:rsid w:val="004B2311"/>
    <w:rsid w:val="0050569A"/>
    <w:rsid w:val="005867AE"/>
    <w:rsid w:val="005A537F"/>
    <w:rsid w:val="005C46AE"/>
    <w:rsid w:val="006B7CDD"/>
    <w:rsid w:val="006C5FCA"/>
    <w:rsid w:val="0076242A"/>
    <w:rsid w:val="00776933"/>
    <w:rsid w:val="00790D05"/>
    <w:rsid w:val="007A424C"/>
    <w:rsid w:val="007A4B93"/>
    <w:rsid w:val="00864C59"/>
    <w:rsid w:val="008C1169"/>
    <w:rsid w:val="008D7238"/>
    <w:rsid w:val="008E2998"/>
    <w:rsid w:val="009170B8"/>
    <w:rsid w:val="00940CD0"/>
    <w:rsid w:val="009813C3"/>
    <w:rsid w:val="00A547FD"/>
    <w:rsid w:val="00A82CF4"/>
    <w:rsid w:val="00A950D8"/>
    <w:rsid w:val="00AA08C0"/>
    <w:rsid w:val="00AA530A"/>
    <w:rsid w:val="00B04AA2"/>
    <w:rsid w:val="00B65AAA"/>
    <w:rsid w:val="00D21F4F"/>
    <w:rsid w:val="00E0075D"/>
    <w:rsid w:val="00E530EA"/>
    <w:rsid w:val="00EC2016"/>
    <w:rsid w:val="00FD02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83D3"/>
  <w15:chartTrackingRefBased/>
  <w15:docId w15:val="{73AA56A3-3D2F-4240-8619-4AFAD4AA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64C59"/>
    <w:pPr>
      <w:spacing w:after="0" w:line="240" w:lineRule="auto"/>
    </w:pPr>
    <w:rPr>
      <w:sz w:val="20"/>
      <w:szCs w:val="20"/>
    </w:rPr>
  </w:style>
  <w:style w:type="character" w:customStyle="1" w:styleId="a4">
    <w:name w:val="טקסט הערת שוליים תו"/>
    <w:basedOn w:val="a0"/>
    <w:link w:val="a3"/>
    <w:uiPriority w:val="99"/>
    <w:semiHidden/>
    <w:rsid w:val="00864C59"/>
    <w:rPr>
      <w:noProof/>
      <w:sz w:val="20"/>
      <w:szCs w:val="20"/>
    </w:rPr>
  </w:style>
  <w:style w:type="character" w:styleId="a5">
    <w:name w:val="footnote reference"/>
    <w:basedOn w:val="a0"/>
    <w:uiPriority w:val="99"/>
    <w:semiHidden/>
    <w:unhideWhenUsed/>
    <w:rsid w:val="00864C59"/>
    <w:rPr>
      <w:vertAlign w:val="superscript"/>
    </w:rPr>
  </w:style>
  <w:style w:type="paragraph" w:styleId="a6">
    <w:name w:val="header"/>
    <w:basedOn w:val="a"/>
    <w:link w:val="a7"/>
    <w:uiPriority w:val="99"/>
    <w:unhideWhenUsed/>
    <w:rsid w:val="00E0075D"/>
    <w:pPr>
      <w:tabs>
        <w:tab w:val="center" w:pos="4153"/>
        <w:tab w:val="right" w:pos="8306"/>
      </w:tabs>
      <w:spacing w:after="0" w:line="240" w:lineRule="auto"/>
    </w:pPr>
  </w:style>
  <w:style w:type="character" w:customStyle="1" w:styleId="a7">
    <w:name w:val="כותרת עליונה תו"/>
    <w:basedOn w:val="a0"/>
    <w:link w:val="a6"/>
    <w:uiPriority w:val="99"/>
    <w:rsid w:val="00E0075D"/>
    <w:rPr>
      <w:noProof/>
    </w:rPr>
  </w:style>
  <w:style w:type="paragraph" w:styleId="a8">
    <w:name w:val="footer"/>
    <w:basedOn w:val="a"/>
    <w:link w:val="a9"/>
    <w:uiPriority w:val="99"/>
    <w:unhideWhenUsed/>
    <w:rsid w:val="00E0075D"/>
    <w:pPr>
      <w:tabs>
        <w:tab w:val="center" w:pos="4153"/>
        <w:tab w:val="right" w:pos="8306"/>
      </w:tabs>
      <w:spacing w:after="0" w:line="240" w:lineRule="auto"/>
    </w:pPr>
  </w:style>
  <w:style w:type="character" w:customStyle="1" w:styleId="a9">
    <w:name w:val="כותרת תחתונה תו"/>
    <w:basedOn w:val="a0"/>
    <w:link w:val="a8"/>
    <w:uiPriority w:val="99"/>
    <w:rsid w:val="00E0075D"/>
    <w:rPr>
      <w:noProof/>
    </w:rPr>
  </w:style>
  <w:style w:type="paragraph" w:styleId="aa">
    <w:name w:val="List Paragraph"/>
    <w:basedOn w:val="a"/>
    <w:uiPriority w:val="34"/>
    <w:qFormat/>
    <w:rsid w:val="008D7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C90B-52E5-448C-8AF7-AFFC3D60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Pages>4</Pages>
  <Words>1159</Words>
  <Characters>5795</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2022-09-14T15:12:00Z</dcterms:created>
  <dcterms:modified xsi:type="dcterms:W3CDTF">2022-12-06T07:39:00Z</dcterms:modified>
</cp:coreProperties>
</file>