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2D48E" w14:textId="52B67291" w:rsidR="00863EFD" w:rsidRPr="00863EFD" w:rsidRDefault="00863EFD" w:rsidP="00863EFD">
      <w:pPr>
        <w:spacing w:after="0" w:line="360" w:lineRule="auto"/>
        <w:rPr>
          <w:rFonts w:asciiTheme="majorBidi" w:hAnsiTheme="majorBidi" w:cstheme="majorBidi"/>
          <w:sz w:val="24"/>
          <w:szCs w:val="24"/>
          <w:rtl/>
        </w:rPr>
      </w:pPr>
      <w:r w:rsidRPr="00863EFD">
        <w:rPr>
          <w:rFonts w:asciiTheme="majorBidi" w:hAnsiTheme="majorBidi" w:cstheme="majorBidi"/>
          <w:sz w:val="24"/>
          <w:szCs w:val="24"/>
          <w:rtl/>
        </w:rPr>
        <w:t xml:space="preserve">  מסכת נזיר דף מד עמוד א</w:t>
      </w:r>
    </w:p>
    <w:p w14:paraId="6CB35EBF" w14:textId="52A3D684" w:rsidR="00A82CF4" w:rsidRPr="00863EFD" w:rsidRDefault="00863EFD" w:rsidP="00863EFD">
      <w:pPr>
        <w:spacing w:after="0" w:line="360" w:lineRule="auto"/>
        <w:rPr>
          <w:rFonts w:asciiTheme="majorBidi" w:hAnsiTheme="majorBidi" w:cstheme="majorBidi"/>
          <w:sz w:val="24"/>
          <w:szCs w:val="24"/>
          <w:rtl/>
        </w:rPr>
      </w:pPr>
      <w:r w:rsidRPr="00863EFD">
        <w:rPr>
          <w:rFonts w:asciiTheme="majorBidi" w:hAnsiTheme="majorBidi" w:cstheme="majorBidi"/>
          <w:sz w:val="24"/>
          <w:szCs w:val="24"/>
          <w:rtl/>
        </w:rPr>
        <w:t>מתני'. שלשה מינין אסורין בנזיר: הטומאה, והתגלחת, והיוצא מן הגפן. חומר בטומאה ובתגלחת מביוצא מן הגפן, שהטומאה והתגלחת סותרין, והיוצא מן הגפן אינו סותר; חומר ביוצא מן הגפן מבטומאה ובתגלחת, שהיוצא מן הגפן לא הותר מכללו, וטומאה ותגלחת הותרו מכללן, בתגלחת מצוה ובמת מצוה; וחומר בטומאה מבתגלחת, שהטומאה סותרת את הכל, וחייבין עליה קרבן, ותגלחת אינה סותרת אלא שלשים, ואין חייבין עליה קרבן.</w:t>
      </w:r>
    </w:p>
    <w:p w14:paraId="72695DEB" w14:textId="778E16F2" w:rsidR="00863EFD" w:rsidRDefault="00863EFD" w:rsidP="00863EFD">
      <w:pPr>
        <w:spacing w:after="0" w:line="360" w:lineRule="auto"/>
        <w:rPr>
          <w:rFonts w:asciiTheme="majorBidi" w:hAnsiTheme="majorBidi" w:cstheme="majorBidi"/>
          <w:sz w:val="24"/>
          <w:szCs w:val="24"/>
          <w:rtl/>
        </w:rPr>
      </w:pPr>
      <w:r w:rsidRPr="00863EFD">
        <w:rPr>
          <w:rFonts w:asciiTheme="majorBidi" w:hAnsiTheme="majorBidi" w:cstheme="majorBidi"/>
          <w:sz w:val="24"/>
          <w:szCs w:val="24"/>
          <w:rtl/>
        </w:rPr>
        <w:t>גמרא... וטומאה נעשה בה מטמא כמיטמא, ק"ו מתגלחת: ומה תגלחת שאינה סותרת אלא שלשים - עשה בה מגלח כמתגלח, טומאה שהיא סותרת את הכל - אינו דין שנעשה בה מטמא כמיטמא! אמר קרא: וטמא ראש נזרו, למטמא ראש נזרו... ותגלחת לא תסתור כלל, קל וחומר מיין: ומה יין שלא הותר מכללו אינו סותר, תגלחת שהותרה מכללה אינו דין שלא תסתור! בעינן גידול שער והא ליכא. ויין יסתור שלשים יום, ק"ו מתגלחת: ומה תגלחת שהותרה מכללה סותרת, יין שלא הותר מכללו אינו דין שיסתור! מידי הוא טעמא אלא משום גידול שער, גבי יין הא קאים שערו.</w:t>
      </w:r>
    </w:p>
    <w:p w14:paraId="21133D19" w14:textId="2DBF5D2D" w:rsidR="00A55904" w:rsidRDefault="00A55904" w:rsidP="00A55904">
      <w:pPr>
        <w:spacing w:after="0" w:line="360" w:lineRule="auto"/>
        <w:jc w:val="center"/>
        <w:rPr>
          <w:rFonts w:asciiTheme="majorBidi" w:hAnsiTheme="majorBidi" w:cstheme="majorBidi"/>
          <w:b/>
          <w:bCs/>
          <w:sz w:val="28"/>
          <w:szCs w:val="28"/>
          <w:u w:val="single"/>
          <w:rtl/>
        </w:rPr>
      </w:pPr>
      <w:r w:rsidRPr="00A55904">
        <w:rPr>
          <w:rFonts w:asciiTheme="majorBidi" w:hAnsiTheme="majorBidi" w:cstheme="majorBidi" w:hint="cs"/>
          <w:b/>
          <w:bCs/>
          <w:sz w:val="28"/>
          <w:szCs w:val="28"/>
          <w:u w:val="single"/>
          <w:rtl/>
        </w:rPr>
        <w:t>היחס בין איסורי הנזיר</w:t>
      </w:r>
    </w:p>
    <w:p w14:paraId="21664970" w14:textId="689C6ADA" w:rsidR="00A55904" w:rsidRDefault="00A86BC1" w:rsidP="00A55904">
      <w:pPr>
        <w:spacing w:after="0" w:line="360" w:lineRule="auto"/>
        <w:rPr>
          <w:rFonts w:asciiTheme="majorBidi" w:hAnsiTheme="majorBidi" w:cstheme="majorBidi"/>
          <w:sz w:val="24"/>
          <w:szCs w:val="24"/>
          <w:rtl/>
        </w:rPr>
      </w:pPr>
      <w:r>
        <w:rPr>
          <w:rFonts w:asciiTheme="majorBidi" w:hAnsiTheme="majorBidi" w:cstheme="majorBidi" w:hint="cs"/>
          <w:b/>
          <w:bCs/>
          <w:sz w:val="24"/>
          <w:szCs w:val="24"/>
          <w:rtl/>
        </w:rPr>
        <w:t xml:space="preserve">א. </w:t>
      </w:r>
      <w:r w:rsidR="00853A7E">
        <w:rPr>
          <w:rFonts w:asciiTheme="majorBidi" w:hAnsiTheme="majorBidi" w:cstheme="majorBidi" w:hint="cs"/>
          <w:b/>
          <w:bCs/>
          <w:sz w:val="24"/>
          <w:szCs w:val="24"/>
          <w:rtl/>
        </w:rPr>
        <w:t xml:space="preserve">ההבדלים      </w:t>
      </w:r>
      <w:r w:rsidR="00A55904">
        <w:rPr>
          <w:rFonts w:asciiTheme="majorBidi" w:hAnsiTheme="majorBidi" w:cstheme="majorBidi" w:hint="cs"/>
          <w:sz w:val="24"/>
          <w:szCs w:val="24"/>
          <w:rtl/>
        </w:rPr>
        <w:t xml:space="preserve">קיימים </w:t>
      </w:r>
      <w:r w:rsidR="00A55904" w:rsidRPr="00A55904">
        <w:rPr>
          <w:rFonts w:asciiTheme="majorBidi" w:hAnsiTheme="majorBidi" w:cstheme="majorBidi" w:hint="cs"/>
          <w:sz w:val="24"/>
          <w:szCs w:val="24"/>
          <w:rtl/>
        </w:rPr>
        <w:t xml:space="preserve">הבדלים </w:t>
      </w:r>
      <w:r w:rsidR="00A55904">
        <w:rPr>
          <w:rFonts w:asciiTheme="majorBidi" w:hAnsiTheme="majorBidi" w:cstheme="majorBidi" w:hint="cs"/>
          <w:sz w:val="24"/>
          <w:szCs w:val="24"/>
          <w:rtl/>
        </w:rPr>
        <w:t>רבים בין האיסורים השונים של נזיר. אלו הפסוקים הנוגעים לענייננו:</w:t>
      </w:r>
    </w:p>
    <w:p w14:paraId="46B3FD0D" w14:textId="791E1E7C" w:rsidR="00A55904" w:rsidRPr="00A55904" w:rsidRDefault="00A55904" w:rsidP="001D6EC6">
      <w:pPr>
        <w:spacing w:after="0" w:line="240" w:lineRule="auto"/>
        <w:rPr>
          <w:rFonts w:asciiTheme="minorBidi" w:hAnsiTheme="minorBidi"/>
          <w:rtl/>
        </w:rPr>
      </w:pPr>
      <w:r w:rsidRPr="00A55904">
        <w:rPr>
          <w:rFonts w:asciiTheme="minorBidi" w:hAnsiTheme="minorBidi"/>
          <w:rtl/>
        </w:rPr>
        <w:t xml:space="preserve">(א) וַיְדַבֵּ֥ר </w:t>
      </w:r>
      <w:r>
        <w:rPr>
          <w:rFonts w:asciiTheme="minorBidi" w:hAnsiTheme="minorBidi" w:hint="cs"/>
          <w:rtl/>
        </w:rPr>
        <w:t>ה'</w:t>
      </w:r>
      <w:r w:rsidRPr="00A55904">
        <w:rPr>
          <w:rFonts w:asciiTheme="minorBidi" w:hAnsiTheme="minorBidi"/>
          <w:rtl/>
        </w:rPr>
        <w:t xml:space="preserve"> אֶל־מֹשֶׁ֥ה לֵּאמֹֽר:</w:t>
      </w:r>
      <w:r w:rsidR="00853A7E">
        <w:rPr>
          <w:rFonts w:asciiTheme="minorBidi" w:hAnsiTheme="minorBidi" w:hint="cs"/>
          <w:rtl/>
        </w:rPr>
        <w:t xml:space="preserve">  </w:t>
      </w:r>
      <w:r w:rsidRPr="00A55904">
        <w:rPr>
          <w:rFonts w:asciiTheme="minorBidi" w:hAnsiTheme="minorBidi"/>
          <w:rtl/>
        </w:rPr>
        <w:t>(ב) דַּבֵּר֙ אֶל־בְּנֵ֣י יִשְׂרָאֵ֔ל וְאָמַרְתָּ֖ אֲלֵהֶ֑ם אִ֣ישׁ אֽוֹ־אִשָּׁ֗ה כִּ֤י יַפְלִא֙ לִנְדֹּר֙ נֶ֣דֶר נָזִ֔יר לְהַזִּ֖יר לַֽ</w:t>
      </w:r>
      <w:r>
        <w:rPr>
          <w:rFonts w:asciiTheme="minorBidi" w:hAnsiTheme="minorBidi" w:hint="cs"/>
          <w:rtl/>
        </w:rPr>
        <w:t>ה'</w:t>
      </w:r>
      <w:r w:rsidRPr="00A55904">
        <w:rPr>
          <w:rFonts w:asciiTheme="minorBidi" w:hAnsiTheme="minorBidi"/>
          <w:rtl/>
        </w:rPr>
        <w:t>:</w:t>
      </w:r>
      <w:r w:rsidR="00853A7E">
        <w:rPr>
          <w:rFonts w:asciiTheme="minorBidi" w:hAnsiTheme="minorBidi" w:hint="cs"/>
          <w:rtl/>
        </w:rPr>
        <w:t xml:space="preserve">     </w:t>
      </w:r>
      <w:r w:rsidRPr="00A55904">
        <w:rPr>
          <w:rFonts w:asciiTheme="minorBidi" w:hAnsiTheme="minorBidi"/>
          <w:rtl/>
        </w:rPr>
        <w:t>(ג) מִיַּ֤יִן וְשֵׁכָר֙ יַזִּ֔יר חֹ֥מֶץ יַ֛יִן וְחֹ֥מֶץ שֵׁכָ֖ר לֹ֣א יִשְׁתֶּ֑ה וְכָל־מִשְׁרַ֤ת עֲנָבִים֙ לֹ֣א יִשְׁתֶּ֔ה וַעֲנָבִ֛ים לַחִ֥ים וִיבֵשִׁ֖ים לֹ֥א יֹאכֵֽל:</w:t>
      </w:r>
      <w:r>
        <w:rPr>
          <w:rFonts w:asciiTheme="minorBidi" w:hAnsiTheme="minorBidi" w:hint="cs"/>
          <w:rtl/>
        </w:rPr>
        <w:t xml:space="preserve"> </w:t>
      </w:r>
      <w:r w:rsidRPr="00A55904">
        <w:rPr>
          <w:rFonts w:asciiTheme="minorBidi" w:hAnsiTheme="minorBidi"/>
          <w:rtl/>
        </w:rPr>
        <w:t>(ד) כֹּ֖ל יְמֵ֣י נִזְר֑וֹ מִכֹּל֩ אֲשֶׁ֨ר יֵעָשֶׂ֜ה מִגֶּ֣פֶן הַיַּ֗יִן מֵחַרְצַנִּ֛ים וְעַד־זָ֖ג לֹ֥א יֹאכֵֽל:</w:t>
      </w:r>
    </w:p>
    <w:p w14:paraId="01D3E35F" w14:textId="77777777" w:rsidR="00853A7E" w:rsidRDefault="00A55904" w:rsidP="00853A7E">
      <w:pPr>
        <w:spacing w:after="0" w:line="240" w:lineRule="auto"/>
        <w:rPr>
          <w:rFonts w:asciiTheme="minorBidi" w:hAnsiTheme="minorBidi"/>
          <w:rtl/>
        </w:rPr>
      </w:pPr>
      <w:r w:rsidRPr="00A55904">
        <w:rPr>
          <w:rFonts w:asciiTheme="minorBidi" w:hAnsiTheme="minorBidi"/>
          <w:rtl/>
        </w:rPr>
        <w:t>(ה) כָּל־יְמֵי֙ נֶ֣דֶר נִזְר֔וֹ תַּ֖עַר לֹא־יַעֲבֹ֣ר עַל־רֹאשׁ֑וֹ עַד־מְלֹ֨את הַיָּמִ֜ם אֲשֶׁר־יַזִּ֤יר לַ</w:t>
      </w:r>
      <w:r>
        <w:rPr>
          <w:rFonts w:asciiTheme="minorBidi" w:hAnsiTheme="minorBidi" w:hint="cs"/>
          <w:rtl/>
        </w:rPr>
        <w:t xml:space="preserve">ה' </w:t>
      </w:r>
      <w:r w:rsidRPr="00A55904">
        <w:rPr>
          <w:rFonts w:asciiTheme="minorBidi" w:hAnsiTheme="minorBidi"/>
          <w:rtl/>
        </w:rPr>
        <w:t>קָדֹ֣שׁ יִהְיֶ֔ה גַּדֵּ֥ל פֶּ֖רַע שְׂעַ֥ר רֹאשֽׁוֹ:</w:t>
      </w:r>
      <w:r w:rsidR="00853A7E">
        <w:rPr>
          <w:rFonts w:asciiTheme="minorBidi" w:hAnsiTheme="minorBidi" w:hint="cs"/>
          <w:rtl/>
        </w:rPr>
        <w:t xml:space="preserve">                                                          </w:t>
      </w:r>
    </w:p>
    <w:p w14:paraId="75A56197" w14:textId="6216C4FB" w:rsidR="00A55904" w:rsidRPr="00A55904" w:rsidRDefault="00A55904" w:rsidP="00853A7E">
      <w:pPr>
        <w:spacing w:after="0" w:line="240" w:lineRule="auto"/>
        <w:rPr>
          <w:rFonts w:asciiTheme="minorBidi" w:hAnsiTheme="minorBidi"/>
          <w:rtl/>
        </w:rPr>
      </w:pPr>
      <w:r w:rsidRPr="00A55904">
        <w:rPr>
          <w:rFonts w:asciiTheme="minorBidi" w:hAnsiTheme="minorBidi"/>
          <w:rtl/>
        </w:rPr>
        <w:t>(ו) כָּל־יְמֵ֥י הַזִּיר֖וֹ לַ</w:t>
      </w:r>
      <w:r>
        <w:rPr>
          <w:rFonts w:asciiTheme="minorBidi" w:hAnsiTheme="minorBidi" w:hint="cs"/>
          <w:rtl/>
        </w:rPr>
        <w:t>ה'</w:t>
      </w:r>
      <w:r w:rsidRPr="00A55904">
        <w:rPr>
          <w:rFonts w:asciiTheme="minorBidi" w:hAnsiTheme="minorBidi"/>
          <w:rtl/>
        </w:rPr>
        <w:t xml:space="preserve"> עַל־נֶ֥פֶשׁ מֵ֖ת לֹ֥א יָבֹֽא:</w:t>
      </w:r>
      <w:r w:rsidR="00853A7E">
        <w:rPr>
          <w:rFonts w:asciiTheme="minorBidi" w:hAnsiTheme="minorBidi" w:hint="cs"/>
          <w:rtl/>
        </w:rPr>
        <w:t xml:space="preserve"> </w:t>
      </w:r>
      <w:r w:rsidRPr="00A55904">
        <w:rPr>
          <w:rFonts w:asciiTheme="minorBidi" w:hAnsiTheme="minorBidi"/>
          <w:rtl/>
        </w:rPr>
        <w:t>(ז) לְאָבִ֣יו וּלְאִמּ֗וֹ לְאָחִיו֙ וּלְאַ֣חֹת֔וֹ לֹא־יִטַּמָּ֥א לָהֶ֖ם בְּמֹתָ֑ם כִּ֛י נֵ֥זֶר אֱלֹהָ֖יו עַל־רֹאשֽׁוֹ:</w:t>
      </w:r>
      <w:r w:rsidR="00853A7E">
        <w:rPr>
          <w:rFonts w:asciiTheme="minorBidi" w:hAnsiTheme="minorBidi" w:hint="cs"/>
          <w:rtl/>
        </w:rPr>
        <w:t xml:space="preserve">  </w:t>
      </w:r>
      <w:r w:rsidRPr="00A55904">
        <w:rPr>
          <w:rFonts w:asciiTheme="minorBidi" w:hAnsiTheme="minorBidi"/>
          <w:rtl/>
        </w:rPr>
        <w:t>(ח) כֹּ֖ל יְמֵ֣י נִזְר֑וֹ קָדֹ֥שׁ ה֖וּא לַֽ</w:t>
      </w:r>
      <w:r>
        <w:rPr>
          <w:rFonts w:asciiTheme="minorBidi" w:hAnsiTheme="minorBidi" w:hint="cs"/>
          <w:rtl/>
        </w:rPr>
        <w:t>ה'</w:t>
      </w:r>
      <w:r w:rsidRPr="00A55904">
        <w:rPr>
          <w:rFonts w:asciiTheme="minorBidi" w:hAnsiTheme="minorBidi"/>
          <w:rtl/>
        </w:rPr>
        <w:t>:</w:t>
      </w:r>
    </w:p>
    <w:p w14:paraId="649DC913" w14:textId="77777777" w:rsidR="00A55904" w:rsidRPr="00A55904" w:rsidRDefault="00A55904" w:rsidP="00A55904">
      <w:pPr>
        <w:spacing w:after="0" w:line="240" w:lineRule="auto"/>
        <w:rPr>
          <w:rFonts w:asciiTheme="minorBidi" w:hAnsiTheme="minorBidi"/>
          <w:rtl/>
        </w:rPr>
      </w:pPr>
      <w:r w:rsidRPr="00A55904">
        <w:rPr>
          <w:rFonts w:asciiTheme="minorBidi" w:hAnsiTheme="minorBidi"/>
          <w:rtl/>
        </w:rPr>
        <w:t>(ט) וְכִֽי־יָמ֨וּת מֵ֤ת עָלָיו֙ בְּפֶ֣תַע פִּתְאֹ֔ם וְטִמֵּ֖א רֹ֣אשׁ נִזְר֑וֹ וְגִלַּ֤ח רֹאשׁוֹ֙ בְּי֣וֹם טָהֳרָת֔וֹ בַּיּ֥וֹם הַשְּׁבִיעִ֖י יְגַלְּחֶֽנּוּ:</w:t>
      </w:r>
    </w:p>
    <w:p w14:paraId="2FE9FB03" w14:textId="08F3CC35" w:rsidR="00A55904" w:rsidRPr="00A55904" w:rsidRDefault="00153010" w:rsidP="00153010">
      <w:pPr>
        <w:spacing w:after="0" w:line="240" w:lineRule="auto"/>
        <w:rPr>
          <w:rFonts w:asciiTheme="minorBidi" w:hAnsiTheme="minorBidi"/>
          <w:rtl/>
        </w:rPr>
      </w:pPr>
      <w:r>
        <w:rPr>
          <w:rFonts w:asciiTheme="minorBidi" w:hAnsiTheme="minorBidi" w:hint="cs"/>
          <w:rtl/>
        </w:rPr>
        <w:t xml:space="preserve">... </w:t>
      </w:r>
      <w:r w:rsidR="00A55904" w:rsidRPr="00A55904">
        <w:rPr>
          <w:rFonts w:asciiTheme="minorBidi" w:hAnsiTheme="minorBidi"/>
          <w:rtl/>
        </w:rPr>
        <w:t>וְהַיָּמִ֤ים הָרִאשֹׁנִים֙ יִפְּל֔וּ כִּ֥י טָמֵ֖א נִזְרֽוֹ:</w:t>
      </w:r>
    </w:p>
    <w:p w14:paraId="600BE9D9" w14:textId="424B1558" w:rsidR="00153010" w:rsidRDefault="00A55904" w:rsidP="00153010">
      <w:pPr>
        <w:spacing w:after="0" w:line="240" w:lineRule="auto"/>
        <w:rPr>
          <w:rFonts w:asciiTheme="minorBidi" w:hAnsiTheme="minorBidi"/>
          <w:rtl/>
        </w:rPr>
      </w:pPr>
      <w:r w:rsidRPr="00A55904">
        <w:rPr>
          <w:rFonts w:asciiTheme="minorBidi" w:hAnsiTheme="minorBidi"/>
          <w:rtl/>
        </w:rPr>
        <w:t>(יג) וְזֹ֥את תּוֹרַ֖ת הַנָּזִ֑יר בְּי֗וֹם מְלֹאת֙ יְמֵ֣י נִזְר֔וֹ יָבִ֣יא אֹת֔וֹ אֶל־פֶּ֖תַח אֹ֥הֶל מוֹעֵֽד:</w:t>
      </w:r>
      <w:r w:rsidR="00153010">
        <w:rPr>
          <w:rFonts w:asciiTheme="minorBidi" w:hAnsiTheme="minorBidi" w:hint="cs"/>
          <w:rtl/>
        </w:rPr>
        <w:t>...</w:t>
      </w:r>
    </w:p>
    <w:p w14:paraId="2411F18E" w14:textId="750ECD00" w:rsidR="00A55904" w:rsidRDefault="00153010" w:rsidP="00153010">
      <w:pPr>
        <w:spacing w:after="0" w:line="240" w:lineRule="auto"/>
        <w:rPr>
          <w:rFonts w:asciiTheme="minorBidi" w:hAnsiTheme="minorBidi"/>
          <w:rtl/>
        </w:rPr>
      </w:pPr>
      <w:r w:rsidRPr="00153010">
        <w:rPr>
          <w:rFonts w:asciiTheme="minorBidi" w:hAnsiTheme="minorBidi" w:cs="Arial"/>
          <w:rtl/>
        </w:rPr>
        <w:t>(יח) וְגִלַּ֣ח הַנָּזִ֗יר פֶּ֛תַח אֹ֥הֶל מוֹעֵ֖ד אֶת־רֹ֣אשׁ נִזְר֑וֹ וְלָקַ֗ח אֶת־שְׂעַר֙ רֹ֣אשׁ נִזְר֔וֹ וְנָתַן֙ עַל־הָאֵ֔שׁ אֲשֶׁר־תַּ֖חַת זֶ֥בַח הַשְּׁלָמִֽים:</w:t>
      </w:r>
      <w:r>
        <w:rPr>
          <w:rFonts w:asciiTheme="minorBidi" w:hAnsiTheme="minorBidi" w:hint="cs"/>
          <w:rtl/>
        </w:rPr>
        <w:t xml:space="preserve">...   </w:t>
      </w:r>
      <w:r w:rsidR="00A55904" w:rsidRPr="00A55904">
        <w:rPr>
          <w:rFonts w:asciiTheme="minorBidi" w:hAnsiTheme="minorBidi"/>
          <w:rtl/>
        </w:rPr>
        <w:t>וְאַחַ֛ר יִשְׁתֶּ֥ה הַנָּזִ֖יר יָֽיִן</w:t>
      </w:r>
      <w:r w:rsidR="00853A7E">
        <w:rPr>
          <w:rStyle w:val="a5"/>
          <w:rFonts w:asciiTheme="minorBidi" w:hAnsiTheme="minorBidi"/>
          <w:rtl/>
        </w:rPr>
        <w:footnoteReference w:id="1"/>
      </w:r>
      <w:r w:rsidR="00A55904" w:rsidRPr="00A55904">
        <w:rPr>
          <w:rFonts w:asciiTheme="minorBidi" w:hAnsiTheme="minorBidi"/>
          <w:rtl/>
        </w:rPr>
        <w:t>:</w:t>
      </w:r>
    </w:p>
    <w:p w14:paraId="74609BEA" w14:textId="394A6408" w:rsidR="00153010" w:rsidRDefault="00153010" w:rsidP="00153010">
      <w:pPr>
        <w:spacing w:after="0" w:line="240" w:lineRule="auto"/>
        <w:rPr>
          <w:rFonts w:asciiTheme="minorBidi" w:hAnsiTheme="minorBidi"/>
          <w:rtl/>
        </w:rPr>
      </w:pPr>
    </w:p>
    <w:p w14:paraId="75EC62D7" w14:textId="7F05E2B8" w:rsidR="00153010" w:rsidRDefault="00153010" w:rsidP="00153010">
      <w:pPr>
        <w:spacing w:after="0" w:line="240" w:lineRule="auto"/>
        <w:rPr>
          <w:rFonts w:asciiTheme="majorBidi" w:hAnsiTheme="majorBidi" w:cstheme="majorBidi"/>
          <w:sz w:val="24"/>
          <w:szCs w:val="24"/>
          <w:rtl/>
        </w:rPr>
      </w:pPr>
      <w:r>
        <w:rPr>
          <w:rFonts w:asciiTheme="majorBidi" w:hAnsiTheme="majorBidi" w:cstheme="majorBidi" w:hint="cs"/>
          <w:sz w:val="24"/>
          <w:szCs w:val="24"/>
          <w:rtl/>
        </w:rPr>
        <w:t>נסקור את ההבדלים העולים מן הפסוקים ומן סוגייתנו</w:t>
      </w:r>
      <w:r>
        <w:rPr>
          <w:rStyle w:val="a5"/>
          <w:rFonts w:asciiTheme="majorBidi" w:hAnsiTheme="majorBidi" w:cstheme="majorBidi"/>
          <w:sz w:val="24"/>
          <w:szCs w:val="24"/>
          <w:rtl/>
        </w:rPr>
        <w:footnoteReference w:id="2"/>
      </w:r>
      <w:r>
        <w:rPr>
          <w:rFonts w:asciiTheme="majorBidi" w:hAnsiTheme="majorBidi" w:cstheme="majorBidi" w:hint="cs"/>
          <w:sz w:val="24"/>
          <w:szCs w:val="24"/>
          <w:rtl/>
        </w:rPr>
        <w:t>:</w:t>
      </w:r>
    </w:p>
    <w:tbl>
      <w:tblPr>
        <w:tblStyle w:val="a6"/>
        <w:bidiVisual/>
        <w:tblW w:w="0" w:type="auto"/>
        <w:tblLook w:val="04A0" w:firstRow="1" w:lastRow="0" w:firstColumn="1" w:lastColumn="0" w:noHBand="0" w:noVBand="1"/>
      </w:tblPr>
      <w:tblGrid>
        <w:gridCol w:w="820"/>
        <w:gridCol w:w="1377"/>
        <w:gridCol w:w="2716"/>
        <w:gridCol w:w="3383"/>
      </w:tblGrid>
      <w:tr w:rsidR="00153010" w14:paraId="5B85FB43" w14:textId="77777777" w:rsidTr="00853A7E">
        <w:tc>
          <w:tcPr>
            <w:tcW w:w="503" w:type="dxa"/>
          </w:tcPr>
          <w:p w14:paraId="5EAA14BE" w14:textId="56DC4ABF" w:rsidR="00153010" w:rsidRDefault="00153010" w:rsidP="00153010">
            <w:pPr>
              <w:rPr>
                <w:rFonts w:asciiTheme="majorBidi" w:hAnsiTheme="majorBidi" w:cstheme="majorBidi"/>
                <w:sz w:val="24"/>
                <w:szCs w:val="24"/>
                <w:rtl/>
              </w:rPr>
            </w:pPr>
            <w:r>
              <w:rPr>
                <w:rFonts w:asciiTheme="majorBidi" w:hAnsiTheme="majorBidi" w:cstheme="majorBidi" w:hint="cs"/>
                <w:sz w:val="24"/>
                <w:szCs w:val="24"/>
                <w:rtl/>
              </w:rPr>
              <w:t>האיסור</w:t>
            </w:r>
          </w:p>
        </w:tc>
        <w:tc>
          <w:tcPr>
            <w:tcW w:w="1418" w:type="dxa"/>
          </w:tcPr>
          <w:p w14:paraId="3DEA98D0" w14:textId="3BCA1F0E" w:rsidR="00153010" w:rsidRDefault="00153010" w:rsidP="00153010">
            <w:pPr>
              <w:rPr>
                <w:rFonts w:asciiTheme="majorBidi" w:hAnsiTheme="majorBidi" w:cstheme="majorBidi"/>
                <w:sz w:val="24"/>
                <w:szCs w:val="24"/>
                <w:rtl/>
              </w:rPr>
            </w:pPr>
            <w:r>
              <w:rPr>
                <w:rFonts w:asciiTheme="majorBidi" w:hAnsiTheme="majorBidi" w:cstheme="majorBidi" w:hint="cs"/>
                <w:sz w:val="24"/>
                <w:szCs w:val="24"/>
                <w:rtl/>
              </w:rPr>
              <w:t>יין</w:t>
            </w:r>
          </w:p>
        </w:tc>
        <w:tc>
          <w:tcPr>
            <w:tcW w:w="2835" w:type="dxa"/>
          </w:tcPr>
          <w:p w14:paraId="6BF52A98" w14:textId="396F6736" w:rsidR="00153010" w:rsidRDefault="00153010" w:rsidP="00153010">
            <w:pPr>
              <w:rPr>
                <w:rFonts w:asciiTheme="majorBidi" w:hAnsiTheme="majorBidi" w:cstheme="majorBidi"/>
                <w:sz w:val="24"/>
                <w:szCs w:val="24"/>
                <w:rtl/>
              </w:rPr>
            </w:pPr>
            <w:r>
              <w:rPr>
                <w:rFonts w:asciiTheme="majorBidi" w:hAnsiTheme="majorBidi" w:cstheme="majorBidi" w:hint="cs"/>
                <w:sz w:val="24"/>
                <w:szCs w:val="24"/>
                <w:rtl/>
              </w:rPr>
              <w:t>תגלחת</w:t>
            </w:r>
          </w:p>
        </w:tc>
        <w:tc>
          <w:tcPr>
            <w:tcW w:w="3540" w:type="dxa"/>
          </w:tcPr>
          <w:p w14:paraId="376FEA8D" w14:textId="55226CF4" w:rsidR="00153010" w:rsidRDefault="00153010" w:rsidP="00153010">
            <w:pPr>
              <w:rPr>
                <w:rFonts w:asciiTheme="majorBidi" w:hAnsiTheme="majorBidi" w:cstheme="majorBidi"/>
                <w:sz w:val="24"/>
                <w:szCs w:val="24"/>
                <w:rtl/>
              </w:rPr>
            </w:pPr>
            <w:r>
              <w:rPr>
                <w:rFonts w:asciiTheme="majorBidi" w:hAnsiTheme="majorBidi" w:cstheme="majorBidi" w:hint="cs"/>
                <w:sz w:val="24"/>
                <w:szCs w:val="24"/>
                <w:rtl/>
              </w:rPr>
              <w:t>טומאה</w:t>
            </w:r>
          </w:p>
        </w:tc>
      </w:tr>
      <w:tr w:rsidR="00153010" w14:paraId="4588B710" w14:textId="77777777" w:rsidTr="00853A7E">
        <w:tc>
          <w:tcPr>
            <w:tcW w:w="503" w:type="dxa"/>
          </w:tcPr>
          <w:p w14:paraId="3E052397" w14:textId="77777777" w:rsidR="00153010" w:rsidRDefault="00153010" w:rsidP="00153010">
            <w:pPr>
              <w:rPr>
                <w:rFonts w:asciiTheme="majorBidi" w:hAnsiTheme="majorBidi" w:cstheme="majorBidi"/>
                <w:sz w:val="24"/>
                <w:szCs w:val="24"/>
                <w:rtl/>
              </w:rPr>
            </w:pPr>
          </w:p>
        </w:tc>
        <w:tc>
          <w:tcPr>
            <w:tcW w:w="1418" w:type="dxa"/>
          </w:tcPr>
          <w:p w14:paraId="6633210F" w14:textId="7B283E24" w:rsidR="00153010" w:rsidRDefault="00153010" w:rsidP="00153010">
            <w:pPr>
              <w:rPr>
                <w:rFonts w:asciiTheme="majorBidi" w:hAnsiTheme="majorBidi" w:cstheme="majorBidi"/>
                <w:sz w:val="24"/>
                <w:szCs w:val="24"/>
                <w:rtl/>
              </w:rPr>
            </w:pPr>
            <w:r>
              <w:rPr>
                <w:rFonts w:asciiTheme="majorBidi" w:hAnsiTheme="majorBidi" w:cstheme="majorBidi" w:hint="cs"/>
                <w:sz w:val="24"/>
                <w:szCs w:val="24"/>
                <w:rtl/>
              </w:rPr>
              <w:t>פרטים רבים</w:t>
            </w:r>
          </w:p>
        </w:tc>
        <w:tc>
          <w:tcPr>
            <w:tcW w:w="2835" w:type="dxa"/>
          </w:tcPr>
          <w:p w14:paraId="5288280C" w14:textId="71BE171E" w:rsidR="00153010" w:rsidRDefault="00153010" w:rsidP="00153010">
            <w:pPr>
              <w:rPr>
                <w:rFonts w:asciiTheme="majorBidi" w:hAnsiTheme="majorBidi" w:cstheme="majorBidi"/>
                <w:sz w:val="24"/>
                <w:szCs w:val="24"/>
                <w:rtl/>
              </w:rPr>
            </w:pPr>
            <w:r>
              <w:rPr>
                <w:rFonts w:asciiTheme="majorBidi" w:hAnsiTheme="majorBidi" w:cstheme="majorBidi" w:hint="cs"/>
                <w:sz w:val="24"/>
                <w:szCs w:val="24"/>
                <w:rtl/>
              </w:rPr>
              <w:t>גם מצוות עשה: 'גדל פרע'</w:t>
            </w:r>
          </w:p>
        </w:tc>
        <w:tc>
          <w:tcPr>
            <w:tcW w:w="3540" w:type="dxa"/>
            <w:vMerge w:val="restart"/>
          </w:tcPr>
          <w:p w14:paraId="7CC65A0C" w14:textId="77777777" w:rsidR="00853A7E" w:rsidRDefault="00153010" w:rsidP="00153010">
            <w:pPr>
              <w:rPr>
                <w:rFonts w:asciiTheme="majorBidi" w:hAnsiTheme="majorBidi" w:cstheme="majorBidi"/>
                <w:sz w:val="24"/>
                <w:szCs w:val="24"/>
                <w:rtl/>
              </w:rPr>
            </w:pPr>
            <w:r>
              <w:rPr>
                <w:rFonts w:asciiTheme="majorBidi" w:hAnsiTheme="majorBidi" w:cstheme="majorBidi" w:hint="cs"/>
                <w:sz w:val="24"/>
                <w:szCs w:val="24"/>
                <w:rtl/>
              </w:rPr>
              <w:t>עם נימוק הקשור לתגלחת:</w:t>
            </w:r>
          </w:p>
          <w:p w14:paraId="4C7527E7" w14:textId="31A407A7" w:rsidR="00153010" w:rsidRDefault="00153010" w:rsidP="00153010">
            <w:pPr>
              <w:rPr>
                <w:rFonts w:asciiTheme="majorBidi" w:hAnsiTheme="majorBidi" w:cstheme="majorBidi"/>
                <w:sz w:val="24"/>
                <w:szCs w:val="24"/>
                <w:rtl/>
              </w:rPr>
            </w:pPr>
            <w:r>
              <w:rPr>
                <w:rFonts w:asciiTheme="majorBidi" w:hAnsiTheme="majorBidi" w:cstheme="majorBidi" w:hint="cs"/>
                <w:sz w:val="24"/>
                <w:szCs w:val="24"/>
                <w:rtl/>
              </w:rPr>
              <w:t xml:space="preserve"> 'נזר אלוקיו על ראשו'</w:t>
            </w:r>
          </w:p>
        </w:tc>
      </w:tr>
      <w:tr w:rsidR="00153010" w14:paraId="1A7DEE41" w14:textId="77777777" w:rsidTr="00853A7E">
        <w:tc>
          <w:tcPr>
            <w:tcW w:w="503" w:type="dxa"/>
          </w:tcPr>
          <w:p w14:paraId="28E3BB1A" w14:textId="77777777" w:rsidR="00153010" w:rsidRDefault="00153010" w:rsidP="00153010">
            <w:pPr>
              <w:rPr>
                <w:rFonts w:asciiTheme="majorBidi" w:hAnsiTheme="majorBidi" w:cstheme="majorBidi"/>
                <w:sz w:val="24"/>
                <w:szCs w:val="24"/>
                <w:rtl/>
              </w:rPr>
            </w:pPr>
          </w:p>
        </w:tc>
        <w:tc>
          <w:tcPr>
            <w:tcW w:w="1418" w:type="dxa"/>
          </w:tcPr>
          <w:p w14:paraId="438DA990" w14:textId="19AB548A" w:rsidR="00153010" w:rsidRDefault="00153010" w:rsidP="00153010">
            <w:pPr>
              <w:rPr>
                <w:rFonts w:asciiTheme="majorBidi" w:hAnsiTheme="majorBidi" w:cstheme="majorBidi"/>
                <w:sz w:val="24"/>
                <w:szCs w:val="24"/>
                <w:rtl/>
              </w:rPr>
            </w:pPr>
            <w:r>
              <w:rPr>
                <w:rFonts w:asciiTheme="majorBidi" w:hAnsiTheme="majorBidi" w:cstheme="majorBidi" w:hint="cs"/>
                <w:sz w:val="24"/>
                <w:szCs w:val="24"/>
                <w:rtl/>
              </w:rPr>
              <w:t>כמה לאוים</w:t>
            </w:r>
          </w:p>
        </w:tc>
        <w:tc>
          <w:tcPr>
            <w:tcW w:w="2835" w:type="dxa"/>
          </w:tcPr>
          <w:p w14:paraId="2CAEE057" w14:textId="089CDEF6" w:rsidR="00153010" w:rsidRDefault="00153010" w:rsidP="00153010">
            <w:pPr>
              <w:rPr>
                <w:rFonts w:asciiTheme="majorBidi" w:hAnsiTheme="majorBidi" w:cstheme="majorBidi"/>
                <w:sz w:val="24"/>
                <w:szCs w:val="24"/>
                <w:rtl/>
              </w:rPr>
            </w:pPr>
            <w:r>
              <w:rPr>
                <w:rFonts w:asciiTheme="majorBidi" w:hAnsiTheme="majorBidi" w:cstheme="majorBidi" w:hint="cs"/>
                <w:sz w:val="24"/>
                <w:szCs w:val="24"/>
                <w:rtl/>
              </w:rPr>
              <w:t xml:space="preserve">מוזכרת קדושת </w:t>
            </w:r>
            <w:r w:rsidR="00A86BC1">
              <w:rPr>
                <w:rFonts w:asciiTheme="majorBidi" w:hAnsiTheme="majorBidi" w:cstheme="majorBidi" w:hint="cs"/>
                <w:sz w:val="24"/>
                <w:szCs w:val="24"/>
                <w:rtl/>
              </w:rPr>
              <w:t>נזיר</w:t>
            </w:r>
            <w:r>
              <w:rPr>
                <w:rFonts w:asciiTheme="majorBidi" w:hAnsiTheme="majorBidi" w:cstheme="majorBidi" w:hint="cs"/>
                <w:sz w:val="24"/>
                <w:szCs w:val="24"/>
                <w:rtl/>
              </w:rPr>
              <w:t>.</w:t>
            </w:r>
          </w:p>
        </w:tc>
        <w:tc>
          <w:tcPr>
            <w:tcW w:w="3540" w:type="dxa"/>
            <w:vMerge/>
          </w:tcPr>
          <w:p w14:paraId="4BE13A14" w14:textId="77777777" w:rsidR="00153010" w:rsidRDefault="00153010" w:rsidP="00153010">
            <w:pPr>
              <w:rPr>
                <w:rFonts w:asciiTheme="majorBidi" w:hAnsiTheme="majorBidi" w:cstheme="majorBidi"/>
                <w:sz w:val="24"/>
                <w:szCs w:val="24"/>
                <w:rtl/>
              </w:rPr>
            </w:pPr>
          </w:p>
        </w:tc>
      </w:tr>
      <w:tr w:rsidR="005551DC" w14:paraId="52FDD4F6" w14:textId="77777777" w:rsidTr="00853A7E">
        <w:tc>
          <w:tcPr>
            <w:tcW w:w="503" w:type="dxa"/>
          </w:tcPr>
          <w:p w14:paraId="6C29F70C" w14:textId="77777777" w:rsidR="005551DC" w:rsidRDefault="005551DC" w:rsidP="00153010">
            <w:pPr>
              <w:rPr>
                <w:rFonts w:asciiTheme="majorBidi" w:hAnsiTheme="majorBidi" w:cstheme="majorBidi"/>
                <w:sz w:val="24"/>
                <w:szCs w:val="24"/>
                <w:rtl/>
              </w:rPr>
            </w:pPr>
          </w:p>
        </w:tc>
        <w:tc>
          <w:tcPr>
            <w:tcW w:w="1418" w:type="dxa"/>
          </w:tcPr>
          <w:p w14:paraId="20F7737C" w14:textId="6B826CB8" w:rsidR="005551DC" w:rsidRDefault="005551DC" w:rsidP="00153010">
            <w:pPr>
              <w:rPr>
                <w:rFonts w:asciiTheme="majorBidi" w:hAnsiTheme="majorBidi" w:cstheme="majorBidi"/>
                <w:sz w:val="24"/>
                <w:szCs w:val="24"/>
                <w:rtl/>
              </w:rPr>
            </w:pPr>
            <w:r>
              <w:rPr>
                <w:rFonts w:asciiTheme="majorBidi" w:hAnsiTheme="majorBidi" w:cstheme="majorBidi" w:hint="cs"/>
                <w:sz w:val="24"/>
                <w:szCs w:val="24"/>
                <w:rtl/>
              </w:rPr>
              <w:t>נזכר ראשון</w:t>
            </w:r>
          </w:p>
        </w:tc>
        <w:tc>
          <w:tcPr>
            <w:tcW w:w="6375" w:type="dxa"/>
            <w:gridSpan w:val="2"/>
          </w:tcPr>
          <w:p w14:paraId="79FF521B" w14:textId="276F58B0" w:rsidR="005551DC" w:rsidRDefault="005551DC" w:rsidP="00153010">
            <w:pPr>
              <w:rPr>
                <w:rFonts w:asciiTheme="majorBidi" w:hAnsiTheme="majorBidi" w:cstheme="majorBidi"/>
                <w:sz w:val="24"/>
                <w:szCs w:val="24"/>
                <w:rtl/>
              </w:rPr>
            </w:pPr>
            <w:r>
              <w:rPr>
                <w:rFonts w:asciiTheme="majorBidi" w:hAnsiTheme="majorBidi" w:cstheme="majorBidi" w:hint="cs"/>
                <w:sz w:val="24"/>
                <w:szCs w:val="24"/>
                <w:rtl/>
              </w:rPr>
              <w:t xml:space="preserve">             קיימים קשרים בין תגלחת לטומאה</w:t>
            </w:r>
          </w:p>
        </w:tc>
      </w:tr>
      <w:tr w:rsidR="00153010" w14:paraId="65987875" w14:textId="77777777" w:rsidTr="00853A7E">
        <w:tc>
          <w:tcPr>
            <w:tcW w:w="503" w:type="dxa"/>
          </w:tcPr>
          <w:p w14:paraId="6EDFC4A5" w14:textId="77777777" w:rsidR="00153010" w:rsidRDefault="00153010" w:rsidP="00153010">
            <w:pPr>
              <w:rPr>
                <w:rFonts w:asciiTheme="majorBidi" w:hAnsiTheme="majorBidi" w:cstheme="majorBidi"/>
                <w:sz w:val="24"/>
                <w:szCs w:val="24"/>
                <w:rtl/>
              </w:rPr>
            </w:pPr>
          </w:p>
        </w:tc>
        <w:tc>
          <w:tcPr>
            <w:tcW w:w="1418" w:type="dxa"/>
          </w:tcPr>
          <w:p w14:paraId="1987E1A2" w14:textId="41226782" w:rsidR="00153010" w:rsidRDefault="005551DC" w:rsidP="00153010">
            <w:pPr>
              <w:rPr>
                <w:rFonts w:asciiTheme="majorBidi" w:hAnsiTheme="majorBidi" w:cstheme="majorBidi"/>
                <w:sz w:val="24"/>
                <w:szCs w:val="24"/>
                <w:rtl/>
              </w:rPr>
            </w:pPr>
            <w:r>
              <w:rPr>
                <w:rFonts w:asciiTheme="majorBidi" w:hAnsiTheme="majorBidi" w:cstheme="majorBidi" w:hint="cs"/>
                <w:sz w:val="24"/>
                <w:szCs w:val="24"/>
                <w:rtl/>
              </w:rPr>
              <w:t>מותר בסוף</w:t>
            </w:r>
            <w:r>
              <w:rPr>
                <w:rStyle w:val="a5"/>
                <w:rFonts w:asciiTheme="majorBidi" w:hAnsiTheme="majorBidi" w:cstheme="majorBidi"/>
                <w:sz w:val="24"/>
                <w:szCs w:val="24"/>
                <w:rtl/>
              </w:rPr>
              <w:footnoteReference w:id="3"/>
            </w:r>
          </w:p>
        </w:tc>
        <w:tc>
          <w:tcPr>
            <w:tcW w:w="2835" w:type="dxa"/>
          </w:tcPr>
          <w:p w14:paraId="0CE7C8B7" w14:textId="4B8C0896" w:rsidR="00153010" w:rsidRDefault="005551DC" w:rsidP="00153010">
            <w:pPr>
              <w:rPr>
                <w:rFonts w:asciiTheme="majorBidi" w:hAnsiTheme="majorBidi" w:cstheme="majorBidi"/>
                <w:sz w:val="24"/>
                <w:szCs w:val="24"/>
                <w:rtl/>
              </w:rPr>
            </w:pPr>
            <w:r>
              <w:rPr>
                <w:rFonts w:asciiTheme="majorBidi" w:hAnsiTheme="majorBidi" w:cstheme="majorBidi" w:hint="cs"/>
                <w:sz w:val="24"/>
                <w:szCs w:val="24"/>
                <w:rtl/>
              </w:rPr>
              <w:t>מסיימת נזירות כמצווה</w:t>
            </w:r>
          </w:p>
        </w:tc>
        <w:tc>
          <w:tcPr>
            <w:tcW w:w="3540" w:type="dxa"/>
          </w:tcPr>
          <w:p w14:paraId="330BC52F" w14:textId="5ECE8EA1" w:rsidR="00153010" w:rsidRDefault="00153010" w:rsidP="00153010">
            <w:pPr>
              <w:rPr>
                <w:rFonts w:asciiTheme="majorBidi" w:hAnsiTheme="majorBidi" w:cstheme="majorBidi"/>
                <w:sz w:val="24"/>
                <w:szCs w:val="24"/>
                <w:rtl/>
              </w:rPr>
            </w:pPr>
            <w:r>
              <w:rPr>
                <w:rFonts w:asciiTheme="majorBidi" w:hAnsiTheme="majorBidi" w:cstheme="majorBidi" w:hint="cs"/>
                <w:sz w:val="24"/>
                <w:szCs w:val="24"/>
                <w:rtl/>
              </w:rPr>
              <w:t>טומאה סותרת נזירות</w:t>
            </w:r>
          </w:p>
        </w:tc>
      </w:tr>
      <w:tr w:rsidR="00153010" w14:paraId="0EB9D976" w14:textId="77777777" w:rsidTr="001D6EC6">
        <w:trPr>
          <w:trHeight w:val="329"/>
        </w:trPr>
        <w:tc>
          <w:tcPr>
            <w:tcW w:w="503" w:type="dxa"/>
          </w:tcPr>
          <w:p w14:paraId="25521F49" w14:textId="77777777" w:rsidR="00153010" w:rsidRDefault="00153010" w:rsidP="00153010">
            <w:pPr>
              <w:rPr>
                <w:rFonts w:asciiTheme="majorBidi" w:hAnsiTheme="majorBidi" w:cstheme="majorBidi"/>
                <w:sz w:val="24"/>
                <w:szCs w:val="24"/>
                <w:rtl/>
              </w:rPr>
            </w:pPr>
          </w:p>
        </w:tc>
        <w:tc>
          <w:tcPr>
            <w:tcW w:w="1418" w:type="dxa"/>
          </w:tcPr>
          <w:p w14:paraId="5A86F3E2" w14:textId="77777777" w:rsidR="00153010" w:rsidRDefault="00153010" w:rsidP="00153010">
            <w:pPr>
              <w:rPr>
                <w:rFonts w:asciiTheme="majorBidi" w:hAnsiTheme="majorBidi" w:cstheme="majorBidi"/>
                <w:sz w:val="24"/>
                <w:szCs w:val="24"/>
                <w:rtl/>
              </w:rPr>
            </w:pPr>
          </w:p>
        </w:tc>
        <w:tc>
          <w:tcPr>
            <w:tcW w:w="2835" w:type="dxa"/>
          </w:tcPr>
          <w:p w14:paraId="06470011" w14:textId="0B2B8F7C" w:rsidR="00153010" w:rsidRDefault="00153010" w:rsidP="00153010">
            <w:pPr>
              <w:rPr>
                <w:rFonts w:asciiTheme="majorBidi" w:hAnsiTheme="majorBidi" w:cstheme="majorBidi"/>
                <w:sz w:val="24"/>
                <w:szCs w:val="24"/>
                <w:rtl/>
              </w:rPr>
            </w:pPr>
          </w:p>
        </w:tc>
        <w:tc>
          <w:tcPr>
            <w:tcW w:w="3540" w:type="dxa"/>
          </w:tcPr>
          <w:p w14:paraId="0ACC929E" w14:textId="52998D5A" w:rsidR="00153010" w:rsidRDefault="00153010" w:rsidP="00153010">
            <w:pPr>
              <w:rPr>
                <w:rFonts w:asciiTheme="majorBidi" w:hAnsiTheme="majorBidi" w:cstheme="majorBidi"/>
                <w:sz w:val="24"/>
                <w:szCs w:val="24"/>
                <w:rtl/>
              </w:rPr>
            </w:pPr>
            <w:r>
              <w:rPr>
                <w:rFonts w:asciiTheme="majorBidi" w:hAnsiTheme="majorBidi" w:cstheme="majorBidi" w:hint="cs"/>
                <w:sz w:val="24"/>
                <w:szCs w:val="24"/>
                <w:rtl/>
              </w:rPr>
              <w:t>הנטמא חייב לגלח</w:t>
            </w:r>
          </w:p>
          <w:p w14:paraId="67D0A3B0" w14:textId="77777777" w:rsidR="001D6EC6" w:rsidRDefault="001D6EC6" w:rsidP="00153010">
            <w:pPr>
              <w:rPr>
                <w:rFonts w:asciiTheme="majorBidi" w:hAnsiTheme="majorBidi" w:cstheme="majorBidi"/>
                <w:sz w:val="24"/>
                <w:szCs w:val="24"/>
                <w:rtl/>
              </w:rPr>
            </w:pPr>
          </w:p>
          <w:p w14:paraId="4CBAB44F" w14:textId="77777777" w:rsidR="00853A7E" w:rsidRDefault="00853A7E" w:rsidP="00153010">
            <w:pPr>
              <w:rPr>
                <w:rFonts w:asciiTheme="majorBidi" w:hAnsiTheme="majorBidi" w:cstheme="majorBidi"/>
                <w:sz w:val="24"/>
                <w:szCs w:val="24"/>
                <w:rtl/>
              </w:rPr>
            </w:pPr>
          </w:p>
          <w:p w14:paraId="6CDA5348" w14:textId="65216208" w:rsidR="00853A7E" w:rsidRDefault="00853A7E" w:rsidP="00153010">
            <w:pPr>
              <w:rPr>
                <w:rFonts w:asciiTheme="majorBidi" w:hAnsiTheme="majorBidi" w:cstheme="majorBidi"/>
                <w:sz w:val="24"/>
                <w:szCs w:val="24"/>
                <w:rtl/>
              </w:rPr>
            </w:pPr>
          </w:p>
        </w:tc>
      </w:tr>
      <w:tr w:rsidR="005551DC" w14:paraId="3DDA9806" w14:textId="77777777" w:rsidTr="00853A7E">
        <w:tc>
          <w:tcPr>
            <w:tcW w:w="503" w:type="dxa"/>
          </w:tcPr>
          <w:p w14:paraId="0AD8315A" w14:textId="2E750312" w:rsidR="005551DC" w:rsidRDefault="005551DC" w:rsidP="005551DC">
            <w:pPr>
              <w:rPr>
                <w:rFonts w:asciiTheme="majorBidi" w:hAnsiTheme="majorBidi" w:cstheme="majorBidi"/>
                <w:sz w:val="24"/>
                <w:szCs w:val="24"/>
                <w:rtl/>
              </w:rPr>
            </w:pPr>
            <w:r>
              <w:rPr>
                <w:rFonts w:asciiTheme="majorBidi" w:hAnsiTheme="majorBidi" w:cstheme="majorBidi" w:hint="cs"/>
                <w:sz w:val="24"/>
                <w:szCs w:val="24"/>
                <w:rtl/>
              </w:rPr>
              <w:lastRenderedPageBreak/>
              <w:t>משנתנו</w:t>
            </w:r>
          </w:p>
        </w:tc>
        <w:tc>
          <w:tcPr>
            <w:tcW w:w="1418" w:type="dxa"/>
          </w:tcPr>
          <w:p w14:paraId="22EA06FD" w14:textId="1B69A54D" w:rsidR="005551DC" w:rsidRDefault="005551DC" w:rsidP="005551DC">
            <w:pPr>
              <w:rPr>
                <w:rFonts w:asciiTheme="majorBidi" w:hAnsiTheme="majorBidi" w:cstheme="majorBidi"/>
                <w:sz w:val="24"/>
                <w:szCs w:val="24"/>
                <w:rtl/>
              </w:rPr>
            </w:pPr>
            <w:r>
              <w:rPr>
                <w:rFonts w:asciiTheme="majorBidi" w:hAnsiTheme="majorBidi" w:cstheme="majorBidi" w:hint="cs"/>
                <w:sz w:val="24"/>
                <w:szCs w:val="24"/>
                <w:rtl/>
              </w:rPr>
              <w:t>יין</w:t>
            </w:r>
          </w:p>
        </w:tc>
        <w:tc>
          <w:tcPr>
            <w:tcW w:w="2835" w:type="dxa"/>
          </w:tcPr>
          <w:p w14:paraId="071AE1B8" w14:textId="3EF7302C" w:rsidR="005551DC" w:rsidRDefault="005551DC" w:rsidP="005551DC">
            <w:pPr>
              <w:rPr>
                <w:rFonts w:asciiTheme="majorBidi" w:hAnsiTheme="majorBidi" w:cstheme="majorBidi"/>
                <w:sz w:val="24"/>
                <w:szCs w:val="24"/>
                <w:rtl/>
              </w:rPr>
            </w:pPr>
            <w:r>
              <w:rPr>
                <w:rFonts w:asciiTheme="majorBidi" w:hAnsiTheme="majorBidi" w:cstheme="majorBidi" w:hint="cs"/>
                <w:sz w:val="24"/>
                <w:szCs w:val="24"/>
                <w:rtl/>
              </w:rPr>
              <w:t>תגלחת</w:t>
            </w:r>
          </w:p>
        </w:tc>
        <w:tc>
          <w:tcPr>
            <w:tcW w:w="3540" w:type="dxa"/>
          </w:tcPr>
          <w:p w14:paraId="2D520019" w14:textId="2BFFE07A" w:rsidR="005551DC" w:rsidRDefault="005551DC" w:rsidP="005551DC">
            <w:pPr>
              <w:rPr>
                <w:rFonts w:asciiTheme="majorBidi" w:hAnsiTheme="majorBidi" w:cstheme="majorBidi"/>
                <w:sz w:val="24"/>
                <w:szCs w:val="24"/>
                <w:rtl/>
              </w:rPr>
            </w:pPr>
            <w:r>
              <w:rPr>
                <w:rFonts w:asciiTheme="majorBidi" w:hAnsiTheme="majorBidi" w:cstheme="majorBidi" w:hint="cs"/>
                <w:sz w:val="24"/>
                <w:szCs w:val="24"/>
                <w:rtl/>
              </w:rPr>
              <w:t>טומאה</w:t>
            </w:r>
          </w:p>
        </w:tc>
      </w:tr>
      <w:tr w:rsidR="00153010" w14:paraId="20A5B49D" w14:textId="77777777" w:rsidTr="00853A7E">
        <w:tc>
          <w:tcPr>
            <w:tcW w:w="503" w:type="dxa"/>
          </w:tcPr>
          <w:p w14:paraId="0606E8F6" w14:textId="0CC98146" w:rsidR="00153010" w:rsidRDefault="005551DC" w:rsidP="00153010">
            <w:pPr>
              <w:rPr>
                <w:rFonts w:asciiTheme="majorBidi" w:hAnsiTheme="majorBidi" w:cstheme="majorBidi"/>
                <w:sz w:val="24"/>
                <w:szCs w:val="24"/>
                <w:rtl/>
              </w:rPr>
            </w:pPr>
            <w:r>
              <w:rPr>
                <w:rFonts w:asciiTheme="majorBidi" w:hAnsiTheme="majorBidi" w:cstheme="majorBidi" w:hint="cs"/>
                <w:sz w:val="24"/>
                <w:szCs w:val="24"/>
                <w:rtl/>
              </w:rPr>
              <w:t>סתירה</w:t>
            </w:r>
            <w:r w:rsidR="00DC4D1A">
              <w:rPr>
                <w:rStyle w:val="a5"/>
                <w:rFonts w:asciiTheme="majorBidi" w:hAnsiTheme="majorBidi" w:cstheme="majorBidi"/>
                <w:sz w:val="24"/>
                <w:szCs w:val="24"/>
                <w:rtl/>
              </w:rPr>
              <w:footnoteReference w:id="4"/>
            </w:r>
          </w:p>
        </w:tc>
        <w:tc>
          <w:tcPr>
            <w:tcW w:w="1418" w:type="dxa"/>
          </w:tcPr>
          <w:p w14:paraId="5223E37B" w14:textId="475C0834" w:rsidR="00153010" w:rsidRDefault="005551DC" w:rsidP="00153010">
            <w:pPr>
              <w:rPr>
                <w:rFonts w:asciiTheme="majorBidi" w:hAnsiTheme="majorBidi" w:cstheme="majorBidi"/>
                <w:sz w:val="24"/>
                <w:szCs w:val="24"/>
                <w:rtl/>
              </w:rPr>
            </w:pPr>
            <w:r>
              <w:rPr>
                <w:rFonts w:asciiTheme="majorBidi" w:hAnsiTheme="majorBidi" w:cstheme="majorBidi" w:hint="cs"/>
                <w:sz w:val="24"/>
                <w:szCs w:val="24"/>
                <w:rtl/>
              </w:rPr>
              <w:t>אין</w:t>
            </w:r>
          </w:p>
        </w:tc>
        <w:tc>
          <w:tcPr>
            <w:tcW w:w="2835" w:type="dxa"/>
          </w:tcPr>
          <w:p w14:paraId="45DAD5C7" w14:textId="1E882662" w:rsidR="00153010" w:rsidRDefault="005551DC" w:rsidP="00153010">
            <w:pPr>
              <w:rPr>
                <w:rFonts w:asciiTheme="majorBidi" w:hAnsiTheme="majorBidi" w:cstheme="majorBidi"/>
                <w:sz w:val="24"/>
                <w:szCs w:val="24"/>
                <w:rtl/>
              </w:rPr>
            </w:pPr>
            <w:r>
              <w:rPr>
                <w:rFonts w:asciiTheme="majorBidi" w:hAnsiTheme="majorBidi" w:cstheme="majorBidi" w:hint="cs"/>
                <w:sz w:val="24"/>
                <w:szCs w:val="24"/>
                <w:rtl/>
              </w:rPr>
              <w:t>סותר 30 יום</w:t>
            </w:r>
            <w:r>
              <w:rPr>
                <w:rStyle w:val="a5"/>
                <w:rFonts w:asciiTheme="majorBidi" w:hAnsiTheme="majorBidi" w:cstheme="majorBidi"/>
                <w:sz w:val="24"/>
                <w:szCs w:val="24"/>
                <w:rtl/>
              </w:rPr>
              <w:footnoteReference w:id="5"/>
            </w:r>
          </w:p>
        </w:tc>
        <w:tc>
          <w:tcPr>
            <w:tcW w:w="3540" w:type="dxa"/>
          </w:tcPr>
          <w:p w14:paraId="774802F0" w14:textId="054ADE54" w:rsidR="00153010" w:rsidRDefault="005551DC" w:rsidP="00153010">
            <w:pPr>
              <w:rPr>
                <w:rFonts w:asciiTheme="majorBidi" w:hAnsiTheme="majorBidi" w:cstheme="majorBidi"/>
                <w:sz w:val="24"/>
                <w:szCs w:val="24"/>
                <w:rtl/>
              </w:rPr>
            </w:pPr>
            <w:r>
              <w:rPr>
                <w:rFonts w:asciiTheme="majorBidi" w:hAnsiTheme="majorBidi" w:cstheme="majorBidi" w:hint="cs"/>
                <w:sz w:val="24"/>
                <w:szCs w:val="24"/>
                <w:rtl/>
              </w:rPr>
              <w:t>סותר את ה</w:t>
            </w:r>
            <w:r w:rsidR="00A86BC1">
              <w:rPr>
                <w:rFonts w:asciiTheme="majorBidi" w:hAnsiTheme="majorBidi" w:cstheme="majorBidi" w:hint="cs"/>
                <w:sz w:val="24"/>
                <w:szCs w:val="24"/>
                <w:rtl/>
              </w:rPr>
              <w:t>נזירות</w:t>
            </w:r>
            <w:r w:rsidR="00DC4D1A">
              <w:rPr>
                <w:rFonts w:asciiTheme="majorBidi" w:hAnsiTheme="majorBidi" w:cstheme="majorBidi" w:hint="cs"/>
                <w:sz w:val="24"/>
                <w:szCs w:val="24"/>
                <w:rtl/>
              </w:rPr>
              <w:t>.</w:t>
            </w:r>
          </w:p>
        </w:tc>
      </w:tr>
      <w:tr w:rsidR="005551DC" w14:paraId="75720225" w14:textId="77777777" w:rsidTr="00853A7E">
        <w:tc>
          <w:tcPr>
            <w:tcW w:w="503" w:type="dxa"/>
          </w:tcPr>
          <w:p w14:paraId="57FA4755" w14:textId="06528818" w:rsidR="005551DC" w:rsidRDefault="00DC4D1A" w:rsidP="00153010">
            <w:pPr>
              <w:rPr>
                <w:rFonts w:asciiTheme="majorBidi" w:hAnsiTheme="majorBidi" w:cstheme="majorBidi"/>
                <w:sz w:val="24"/>
                <w:szCs w:val="24"/>
                <w:rtl/>
              </w:rPr>
            </w:pPr>
            <w:r>
              <w:rPr>
                <w:rFonts w:asciiTheme="majorBidi" w:hAnsiTheme="majorBidi" w:cstheme="majorBidi" w:hint="cs"/>
                <w:sz w:val="24"/>
                <w:szCs w:val="24"/>
                <w:rtl/>
              </w:rPr>
              <w:t>היתר מכללו</w:t>
            </w:r>
          </w:p>
        </w:tc>
        <w:tc>
          <w:tcPr>
            <w:tcW w:w="1418" w:type="dxa"/>
          </w:tcPr>
          <w:p w14:paraId="378F5B0D" w14:textId="7EBA8737" w:rsidR="005551DC" w:rsidRDefault="00DC4D1A" w:rsidP="00153010">
            <w:pPr>
              <w:rPr>
                <w:rFonts w:asciiTheme="majorBidi" w:hAnsiTheme="majorBidi" w:cstheme="majorBidi"/>
                <w:sz w:val="24"/>
                <w:szCs w:val="24"/>
                <w:rtl/>
              </w:rPr>
            </w:pPr>
            <w:r>
              <w:rPr>
                <w:rFonts w:asciiTheme="majorBidi" w:hAnsiTheme="majorBidi" w:cstheme="majorBidi" w:hint="cs"/>
                <w:sz w:val="24"/>
                <w:szCs w:val="24"/>
                <w:rtl/>
              </w:rPr>
              <w:t>אין</w:t>
            </w:r>
          </w:p>
        </w:tc>
        <w:tc>
          <w:tcPr>
            <w:tcW w:w="2835" w:type="dxa"/>
          </w:tcPr>
          <w:p w14:paraId="11A4CD07" w14:textId="66994F02" w:rsidR="005551DC" w:rsidRDefault="00DC4D1A" w:rsidP="00153010">
            <w:pPr>
              <w:rPr>
                <w:rFonts w:asciiTheme="majorBidi" w:hAnsiTheme="majorBidi" w:cstheme="majorBidi"/>
                <w:sz w:val="24"/>
                <w:szCs w:val="24"/>
                <w:rtl/>
              </w:rPr>
            </w:pPr>
            <w:r>
              <w:rPr>
                <w:rFonts w:asciiTheme="majorBidi" w:hAnsiTheme="majorBidi" w:cstheme="majorBidi" w:hint="cs"/>
                <w:sz w:val="24"/>
                <w:szCs w:val="24"/>
                <w:rtl/>
              </w:rPr>
              <w:t>תגלחת מצווה</w:t>
            </w:r>
          </w:p>
        </w:tc>
        <w:tc>
          <w:tcPr>
            <w:tcW w:w="3540" w:type="dxa"/>
          </w:tcPr>
          <w:p w14:paraId="7A5A4E12" w14:textId="0295AAA6" w:rsidR="005551DC" w:rsidRDefault="00DC4D1A" w:rsidP="00153010">
            <w:pPr>
              <w:rPr>
                <w:rFonts w:asciiTheme="majorBidi" w:hAnsiTheme="majorBidi" w:cstheme="majorBidi"/>
                <w:sz w:val="24"/>
                <w:szCs w:val="24"/>
                <w:rtl/>
              </w:rPr>
            </w:pPr>
            <w:r>
              <w:rPr>
                <w:rFonts w:asciiTheme="majorBidi" w:hAnsiTheme="majorBidi" w:cstheme="majorBidi" w:hint="cs"/>
                <w:sz w:val="24"/>
                <w:szCs w:val="24"/>
                <w:rtl/>
              </w:rPr>
              <w:t>מת מצווה</w:t>
            </w:r>
          </w:p>
        </w:tc>
      </w:tr>
      <w:tr w:rsidR="005551DC" w14:paraId="0885B26A" w14:textId="77777777" w:rsidTr="00853A7E">
        <w:tc>
          <w:tcPr>
            <w:tcW w:w="503" w:type="dxa"/>
          </w:tcPr>
          <w:p w14:paraId="2C43BCB6" w14:textId="31CE154C" w:rsidR="005551DC" w:rsidRDefault="00DC4D1A" w:rsidP="00153010">
            <w:pPr>
              <w:rPr>
                <w:rFonts w:asciiTheme="majorBidi" w:hAnsiTheme="majorBidi" w:cstheme="majorBidi"/>
                <w:sz w:val="24"/>
                <w:szCs w:val="24"/>
                <w:rtl/>
              </w:rPr>
            </w:pPr>
            <w:r>
              <w:rPr>
                <w:rFonts w:asciiTheme="majorBidi" w:hAnsiTheme="majorBidi" w:cstheme="majorBidi" w:hint="cs"/>
                <w:sz w:val="24"/>
                <w:szCs w:val="24"/>
                <w:rtl/>
              </w:rPr>
              <w:t>קרבן</w:t>
            </w:r>
          </w:p>
        </w:tc>
        <w:tc>
          <w:tcPr>
            <w:tcW w:w="1418" w:type="dxa"/>
          </w:tcPr>
          <w:p w14:paraId="3DAB4F7C" w14:textId="77777777" w:rsidR="005551DC" w:rsidRDefault="005551DC" w:rsidP="00153010">
            <w:pPr>
              <w:rPr>
                <w:rFonts w:asciiTheme="majorBidi" w:hAnsiTheme="majorBidi" w:cstheme="majorBidi"/>
                <w:sz w:val="24"/>
                <w:szCs w:val="24"/>
                <w:rtl/>
              </w:rPr>
            </w:pPr>
          </w:p>
        </w:tc>
        <w:tc>
          <w:tcPr>
            <w:tcW w:w="2835" w:type="dxa"/>
          </w:tcPr>
          <w:p w14:paraId="701518D1" w14:textId="5432A89F" w:rsidR="005551DC" w:rsidRDefault="00853A7E" w:rsidP="00153010">
            <w:pPr>
              <w:rPr>
                <w:rFonts w:asciiTheme="majorBidi" w:hAnsiTheme="majorBidi" w:cstheme="majorBidi"/>
                <w:sz w:val="24"/>
                <w:szCs w:val="24"/>
                <w:rtl/>
              </w:rPr>
            </w:pPr>
            <w:r>
              <w:rPr>
                <w:rFonts w:asciiTheme="majorBidi" w:hAnsiTheme="majorBidi" w:cstheme="majorBidi" w:hint="cs"/>
                <w:sz w:val="24"/>
                <w:szCs w:val="24"/>
                <w:rtl/>
              </w:rPr>
              <w:t xml:space="preserve">גמרא: </w:t>
            </w:r>
            <w:r w:rsidRPr="00863EFD">
              <w:rPr>
                <w:rFonts w:asciiTheme="majorBidi" w:hAnsiTheme="majorBidi" w:cstheme="majorBidi"/>
                <w:sz w:val="24"/>
                <w:szCs w:val="24"/>
                <w:rtl/>
              </w:rPr>
              <w:t>עשה בה מגלח כמתגלח</w:t>
            </w:r>
          </w:p>
        </w:tc>
        <w:tc>
          <w:tcPr>
            <w:tcW w:w="3540" w:type="dxa"/>
          </w:tcPr>
          <w:p w14:paraId="746602C8" w14:textId="2AA0D8DB" w:rsidR="005551DC" w:rsidRDefault="00DC4D1A" w:rsidP="00153010">
            <w:pPr>
              <w:rPr>
                <w:rFonts w:asciiTheme="majorBidi" w:hAnsiTheme="majorBidi" w:cstheme="majorBidi"/>
                <w:sz w:val="24"/>
                <w:szCs w:val="24"/>
                <w:rtl/>
              </w:rPr>
            </w:pPr>
            <w:r>
              <w:rPr>
                <w:rFonts w:asciiTheme="majorBidi" w:hAnsiTheme="majorBidi" w:cstheme="majorBidi" w:hint="cs"/>
                <w:sz w:val="24"/>
                <w:szCs w:val="24"/>
                <w:rtl/>
              </w:rPr>
              <w:t>מחייב</w:t>
            </w:r>
          </w:p>
        </w:tc>
      </w:tr>
    </w:tbl>
    <w:p w14:paraId="1FD798D1" w14:textId="77777777" w:rsidR="00153010" w:rsidRPr="00153010" w:rsidRDefault="00153010" w:rsidP="00153010">
      <w:pPr>
        <w:spacing w:after="0" w:line="240" w:lineRule="auto"/>
        <w:rPr>
          <w:rFonts w:asciiTheme="majorBidi" w:hAnsiTheme="majorBidi" w:cstheme="majorBidi"/>
          <w:sz w:val="24"/>
          <w:szCs w:val="24"/>
          <w:rtl/>
        </w:rPr>
      </w:pPr>
    </w:p>
    <w:p w14:paraId="1431B4EC" w14:textId="69124B99" w:rsidR="00863EFD" w:rsidRDefault="00A86BC1" w:rsidP="00A55904">
      <w:pPr>
        <w:spacing w:after="0" w:line="240" w:lineRule="auto"/>
        <w:rPr>
          <w:rFonts w:asciiTheme="majorBidi" w:hAnsiTheme="majorBidi" w:cstheme="majorBidi"/>
          <w:b/>
          <w:bCs/>
          <w:sz w:val="24"/>
          <w:szCs w:val="24"/>
          <w:rtl/>
        </w:rPr>
      </w:pPr>
      <w:r>
        <w:rPr>
          <w:rFonts w:asciiTheme="majorBidi" w:hAnsiTheme="majorBidi" w:cstheme="majorBidi" w:hint="cs"/>
          <w:b/>
          <w:bCs/>
          <w:sz w:val="24"/>
          <w:szCs w:val="24"/>
          <w:rtl/>
        </w:rPr>
        <w:t xml:space="preserve">ב. </w:t>
      </w:r>
      <w:r w:rsidR="00853A7E">
        <w:rPr>
          <w:rFonts w:asciiTheme="majorBidi" w:hAnsiTheme="majorBidi" w:cstheme="majorBidi" w:hint="cs"/>
          <w:b/>
          <w:bCs/>
          <w:sz w:val="24"/>
          <w:szCs w:val="24"/>
          <w:rtl/>
        </w:rPr>
        <w:t xml:space="preserve">איפיון </w:t>
      </w:r>
    </w:p>
    <w:p w14:paraId="1C3B6820" w14:textId="0C6550BB" w:rsidR="00853A7E" w:rsidRDefault="00853A7E" w:rsidP="00853A7E">
      <w:pPr>
        <w:pStyle w:val="a7"/>
        <w:numPr>
          <w:ilvl w:val="0"/>
          <w:numId w:val="2"/>
        </w:numPr>
        <w:spacing w:after="0" w:line="360" w:lineRule="auto"/>
        <w:ind w:left="1077" w:hanging="357"/>
        <w:rPr>
          <w:rFonts w:ascii="David" w:hAnsi="David" w:cs="David"/>
          <w:sz w:val="24"/>
          <w:szCs w:val="24"/>
        </w:rPr>
      </w:pPr>
      <w:r w:rsidRPr="00853A7E">
        <w:rPr>
          <w:rFonts w:ascii="David" w:hAnsi="David" w:cs="David"/>
          <w:sz w:val="24"/>
          <w:szCs w:val="24"/>
          <w:rtl/>
        </w:rPr>
        <w:t>"אי</w:t>
      </w:r>
      <w:r>
        <w:rPr>
          <w:rFonts w:ascii="David" w:hAnsi="David" w:cs="David" w:hint="cs"/>
          <w:sz w:val="24"/>
          <w:szCs w:val="24"/>
          <w:rtl/>
        </w:rPr>
        <w:t>סור היין מהווה את עיקר הרובד האיסורי הקיים ב</w:t>
      </w:r>
      <w:r w:rsidR="00A86BC1">
        <w:rPr>
          <w:rFonts w:ascii="David" w:hAnsi="David" w:cs="David" w:hint="cs"/>
          <w:sz w:val="24"/>
          <w:szCs w:val="24"/>
          <w:rtl/>
        </w:rPr>
        <w:t>נזיר</w:t>
      </w:r>
      <w:r>
        <w:rPr>
          <w:rFonts w:ascii="David" w:hAnsi="David" w:cs="David" w:hint="cs"/>
          <w:sz w:val="24"/>
          <w:szCs w:val="24"/>
          <w:rtl/>
        </w:rPr>
        <w:t>.</w:t>
      </w:r>
    </w:p>
    <w:p w14:paraId="7CCC89B7" w14:textId="3CC2C9C4" w:rsidR="00853A7E" w:rsidRDefault="00853A7E" w:rsidP="00853A7E">
      <w:pPr>
        <w:pStyle w:val="a7"/>
        <w:numPr>
          <w:ilvl w:val="0"/>
          <w:numId w:val="2"/>
        </w:numPr>
        <w:spacing w:after="0" w:line="360" w:lineRule="auto"/>
        <w:ind w:left="1077" w:hanging="357"/>
        <w:rPr>
          <w:rFonts w:ascii="David" w:hAnsi="David" w:cs="David"/>
          <w:sz w:val="24"/>
          <w:szCs w:val="24"/>
        </w:rPr>
      </w:pPr>
      <w:r>
        <w:rPr>
          <w:rFonts w:ascii="David" w:hAnsi="David" w:cs="David" w:hint="cs"/>
          <w:sz w:val="24"/>
          <w:szCs w:val="24"/>
          <w:rtl/>
        </w:rPr>
        <w:t>איסור התגלחת יוצר את עיקר קדושת ה</w:t>
      </w:r>
      <w:r w:rsidR="00A86BC1">
        <w:rPr>
          <w:rFonts w:ascii="David" w:hAnsi="David" w:cs="David" w:hint="cs"/>
          <w:sz w:val="24"/>
          <w:szCs w:val="24"/>
          <w:rtl/>
        </w:rPr>
        <w:t>נזירות</w:t>
      </w:r>
      <w:r>
        <w:rPr>
          <w:rFonts w:ascii="David" w:hAnsi="David" w:cs="David" w:hint="cs"/>
          <w:sz w:val="24"/>
          <w:szCs w:val="24"/>
          <w:rtl/>
        </w:rPr>
        <w:t xml:space="preserve"> - התקדשות ה</w:t>
      </w:r>
      <w:r w:rsidR="00A86BC1">
        <w:rPr>
          <w:rFonts w:ascii="David" w:hAnsi="David" w:cs="David" w:hint="cs"/>
          <w:sz w:val="24"/>
          <w:szCs w:val="24"/>
          <w:rtl/>
        </w:rPr>
        <w:t>נזיר</w:t>
      </w:r>
      <w:r>
        <w:rPr>
          <w:rFonts w:ascii="David" w:hAnsi="David" w:cs="David" w:hint="cs"/>
          <w:sz w:val="24"/>
          <w:szCs w:val="24"/>
          <w:rtl/>
        </w:rPr>
        <w:t xml:space="preserve"> בכתר/נזר הנוצר משערות ראשו המוקדשות לה', היא שמטביעה בו את קדושת ה</w:t>
      </w:r>
      <w:r w:rsidR="00A86BC1">
        <w:rPr>
          <w:rFonts w:ascii="David" w:hAnsi="David" w:cs="David" w:hint="cs"/>
          <w:sz w:val="24"/>
          <w:szCs w:val="24"/>
          <w:rtl/>
        </w:rPr>
        <w:t>נזירות</w:t>
      </w:r>
      <w:r>
        <w:rPr>
          <w:rFonts w:ascii="David" w:hAnsi="David" w:cs="David" w:hint="cs"/>
          <w:sz w:val="24"/>
          <w:szCs w:val="24"/>
          <w:rtl/>
        </w:rPr>
        <w:t>.</w:t>
      </w:r>
    </w:p>
    <w:p w14:paraId="754F3AF1" w14:textId="352220D8" w:rsidR="00853A7E" w:rsidRDefault="00853A7E" w:rsidP="00853A7E">
      <w:pPr>
        <w:pStyle w:val="a7"/>
        <w:numPr>
          <w:ilvl w:val="0"/>
          <w:numId w:val="2"/>
        </w:numPr>
        <w:spacing w:after="0" w:line="360" w:lineRule="auto"/>
        <w:ind w:left="1077" w:hanging="357"/>
        <w:rPr>
          <w:rFonts w:ascii="David" w:hAnsi="David" w:cs="David"/>
          <w:sz w:val="24"/>
          <w:szCs w:val="24"/>
        </w:rPr>
      </w:pPr>
      <w:r>
        <w:rPr>
          <w:rFonts w:ascii="David" w:hAnsi="David" w:cs="David" w:hint="cs"/>
          <w:sz w:val="24"/>
          <w:szCs w:val="24"/>
          <w:rtl/>
        </w:rPr>
        <w:t xml:space="preserve">איסור הטומאה מהווה נספח לאיסור התגלחת ולעניין השיער </w:t>
      </w:r>
      <w:r>
        <w:rPr>
          <w:rFonts w:ascii="David" w:hAnsi="David" w:cs="David"/>
          <w:sz w:val="24"/>
          <w:szCs w:val="24"/>
          <w:rtl/>
        </w:rPr>
        <w:t>–</w:t>
      </w:r>
      <w:r>
        <w:rPr>
          <w:rFonts w:ascii="David" w:hAnsi="David" w:cs="David" w:hint="cs"/>
          <w:sz w:val="24"/>
          <w:szCs w:val="24"/>
          <w:rtl/>
        </w:rPr>
        <w:t xml:space="preserve"> הואיל וה</w:t>
      </w:r>
      <w:r w:rsidR="00A86BC1">
        <w:rPr>
          <w:rFonts w:ascii="David" w:hAnsi="David" w:cs="David" w:hint="cs"/>
          <w:sz w:val="24"/>
          <w:szCs w:val="24"/>
          <w:rtl/>
        </w:rPr>
        <w:t>נזיר</w:t>
      </w:r>
      <w:r>
        <w:rPr>
          <w:rFonts w:ascii="David" w:hAnsi="David" w:cs="David" w:hint="cs"/>
          <w:sz w:val="24"/>
          <w:szCs w:val="24"/>
          <w:rtl/>
        </w:rPr>
        <w:t xml:space="preserve">נתקדש, אסור לו להיטמא, ולחילופין </w:t>
      </w:r>
      <w:r>
        <w:rPr>
          <w:rFonts w:ascii="David" w:hAnsi="David" w:cs="David"/>
          <w:sz w:val="24"/>
          <w:szCs w:val="24"/>
          <w:rtl/>
        </w:rPr>
        <w:t>–</w:t>
      </w:r>
      <w:r>
        <w:rPr>
          <w:rFonts w:ascii="David" w:hAnsi="David" w:cs="David" w:hint="cs"/>
          <w:sz w:val="24"/>
          <w:szCs w:val="24"/>
          <w:rtl/>
        </w:rPr>
        <w:t xml:space="preserve"> אסור לו לטמא את הנזר</w:t>
      </w:r>
      <w:r>
        <w:rPr>
          <w:rStyle w:val="a5"/>
          <w:rFonts w:ascii="David" w:hAnsi="David" w:cs="David"/>
          <w:sz w:val="24"/>
          <w:szCs w:val="24"/>
          <w:rtl/>
        </w:rPr>
        <w:footnoteReference w:id="6"/>
      </w:r>
      <w:r>
        <w:rPr>
          <w:rFonts w:ascii="David" w:hAnsi="David" w:cs="David" w:hint="cs"/>
          <w:sz w:val="24"/>
          <w:szCs w:val="24"/>
          <w:rtl/>
        </w:rPr>
        <w:t>".</w:t>
      </w:r>
    </w:p>
    <w:p w14:paraId="44D13E87" w14:textId="73CBCCC4" w:rsidR="00853A7E" w:rsidRDefault="00A86BC1" w:rsidP="00853A7E">
      <w:p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 xml:space="preserve">ג. </w:t>
      </w:r>
      <w:r w:rsidR="00853A7E">
        <w:rPr>
          <w:rFonts w:asciiTheme="majorBidi" w:hAnsiTheme="majorBidi" w:cstheme="majorBidi" w:hint="cs"/>
          <w:b/>
          <w:bCs/>
          <w:sz w:val="24"/>
          <w:szCs w:val="24"/>
          <w:rtl/>
        </w:rPr>
        <w:t>איסור יין</w:t>
      </w:r>
    </w:p>
    <w:p w14:paraId="0D5E84E0" w14:textId="7E9FCAB7" w:rsidR="009D6398" w:rsidRDefault="00853A7E" w:rsidP="009D6398">
      <w:pPr>
        <w:spacing w:after="0" w:line="360" w:lineRule="auto"/>
        <w:rPr>
          <w:rFonts w:ascii="David" w:hAnsi="David" w:cs="David"/>
          <w:sz w:val="24"/>
          <w:szCs w:val="24"/>
          <w:rtl/>
        </w:rPr>
      </w:pPr>
      <w:r>
        <w:rPr>
          <w:rFonts w:asciiTheme="majorBidi" w:hAnsiTheme="majorBidi" w:cstheme="majorBidi" w:hint="cs"/>
          <w:sz w:val="24"/>
          <w:szCs w:val="24"/>
          <w:rtl/>
        </w:rPr>
        <w:t>"</w:t>
      </w:r>
      <w:r>
        <w:rPr>
          <w:rFonts w:ascii="David" w:hAnsi="David" w:cs="David" w:hint="cs"/>
          <w:sz w:val="24"/>
          <w:szCs w:val="24"/>
          <w:rtl/>
        </w:rPr>
        <w:t xml:space="preserve">דווקא באיסור זה </w:t>
      </w:r>
      <w:r w:rsidR="009D6398">
        <w:rPr>
          <w:rFonts w:ascii="David" w:hAnsi="David" w:cs="David" w:hint="cs"/>
          <w:sz w:val="24"/>
          <w:szCs w:val="24"/>
          <w:rtl/>
        </w:rPr>
        <w:t xml:space="preserve">ישנה חזרה מרובה על הוראת הלאו, וכן פירוט מרובה של מיני איסורים שונים, ש.. איסור זה הוא שמדגיש את </w:t>
      </w:r>
      <w:r w:rsidR="009D6398" w:rsidRPr="001D6EC6">
        <w:rPr>
          <w:rFonts w:ascii="David" w:hAnsi="David" w:cs="David" w:hint="cs"/>
          <w:b/>
          <w:bCs/>
          <w:sz w:val="24"/>
          <w:szCs w:val="24"/>
          <w:rtl/>
        </w:rPr>
        <w:t>המימד האיסורי</w:t>
      </w:r>
      <w:r w:rsidR="009D6398">
        <w:rPr>
          <w:rFonts w:ascii="David" w:hAnsi="David" w:cs="David" w:hint="cs"/>
          <w:sz w:val="24"/>
          <w:szCs w:val="24"/>
          <w:rtl/>
        </w:rPr>
        <w:t xml:space="preserve"> ב</w:t>
      </w:r>
      <w:r w:rsidR="00A86BC1">
        <w:rPr>
          <w:rFonts w:ascii="David" w:hAnsi="David" w:cs="David" w:hint="cs"/>
          <w:sz w:val="24"/>
          <w:szCs w:val="24"/>
          <w:rtl/>
        </w:rPr>
        <w:t>נזירות</w:t>
      </w:r>
      <w:r w:rsidR="009D6398">
        <w:rPr>
          <w:rFonts w:ascii="David" w:hAnsi="David" w:cs="David" w:hint="cs"/>
          <w:sz w:val="24"/>
          <w:szCs w:val="24"/>
          <w:rtl/>
        </w:rPr>
        <w:t>. כמו כן מובן מדוע בסיום ה</w:t>
      </w:r>
      <w:r w:rsidR="00A86BC1">
        <w:rPr>
          <w:rFonts w:ascii="David" w:hAnsi="David" w:cs="David" w:hint="cs"/>
          <w:sz w:val="24"/>
          <w:szCs w:val="24"/>
          <w:rtl/>
        </w:rPr>
        <w:t>נזירות</w:t>
      </w:r>
      <w:r w:rsidR="001D6EC6">
        <w:rPr>
          <w:rFonts w:ascii="David" w:hAnsi="David" w:cs="David" w:hint="cs"/>
          <w:sz w:val="24"/>
          <w:szCs w:val="24"/>
          <w:rtl/>
        </w:rPr>
        <w:t>,</w:t>
      </w:r>
      <w:r w:rsidR="009D6398">
        <w:rPr>
          <w:rFonts w:ascii="David" w:hAnsi="David" w:cs="David" w:hint="cs"/>
          <w:sz w:val="24"/>
          <w:szCs w:val="24"/>
          <w:rtl/>
        </w:rPr>
        <w:t xml:space="preserve"> התורה טורחת להדגיש שהותר ל</w:t>
      </w:r>
      <w:r w:rsidR="00A86BC1">
        <w:rPr>
          <w:rFonts w:ascii="David" w:hAnsi="David" w:cs="David" w:hint="cs"/>
          <w:sz w:val="24"/>
          <w:szCs w:val="24"/>
          <w:rtl/>
        </w:rPr>
        <w:t>נזיר</w:t>
      </w:r>
      <w:r w:rsidR="009D6398">
        <w:rPr>
          <w:rFonts w:ascii="David" w:hAnsi="David" w:cs="David" w:hint="cs"/>
          <w:sz w:val="24"/>
          <w:szCs w:val="24"/>
          <w:rtl/>
        </w:rPr>
        <w:t xml:space="preserve"> דווקא איסור היין.. ש..מהווה את האיסור העיקרי</w:t>
      </w:r>
      <w:r w:rsidR="009D6398">
        <w:rPr>
          <w:rStyle w:val="a5"/>
          <w:rFonts w:ascii="David" w:hAnsi="David" w:cs="David"/>
          <w:sz w:val="24"/>
          <w:szCs w:val="24"/>
          <w:rtl/>
        </w:rPr>
        <w:footnoteReference w:id="7"/>
      </w:r>
      <w:r w:rsidR="009D6398">
        <w:rPr>
          <w:rFonts w:ascii="David" w:hAnsi="David" w:cs="David" w:hint="cs"/>
          <w:sz w:val="24"/>
          <w:szCs w:val="24"/>
          <w:rtl/>
        </w:rPr>
        <w:t xml:space="preserve">". </w:t>
      </w:r>
      <w:r w:rsidR="009D6398">
        <w:rPr>
          <w:rFonts w:asciiTheme="majorBidi" w:hAnsiTheme="majorBidi" w:cstheme="majorBidi" w:hint="cs"/>
          <w:sz w:val="24"/>
          <w:szCs w:val="24"/>
          <w:rtl/>
        </w:rPr>
        <w:t>לכן הבינו ששתיית יין בסיום ה</w:t>
      </w:r>
      <w:r w:rsidR="00A86BC1">
        <w:rPr>
          <w:rFonts w:asciiTheme="majorBidi" w:hAnsiTheme="majorBidi" w:cstheme="majorBidi" w:hint="cs"/>
          <w:sz w:val="24"/>
          <w:szCs w:val="24"/>
          <w:rtl/>
        </w:rPr>
        <w:t>נזירות</w:t>
      </w:r>
      <w:r w:rsidR="009D6398">
        <w:rPr>
          <w:rFonts w:asciiTheme="majorBidi" w:hAnsiTheme="majorBidi" w:cstheme="majorBidi" w:hint="cs"/>
          <w:sz w:val="24"/>
          <w:szCs w:val="24"/>
          <w:rtl/>
        </w:rPr>
        <w:t xml:space="preserve"> היא היתר ולא מצווה. שכל מה שהיה קודם הוא איסור, ולא מהגדרת ה</w:t>
      </w:r>
      <w:r w:rsidR="00A86BC1">
        <w:rPr>
          <w:rFonts w:asciiTheme="majorBidi" w:hAnsiTheme="majorBidi" w:cstheme="majorBidi" w:hint="cs"/>
          <w:sz w:val="24"/>
          <w:szCs w:val="24"/>
          <w:rtl/>
        </w:rPr>
        <w:t>נזירות</w:t>
      </w:r>
      <w:r w:rsidR="009D6398">
        <w:rPr>
          <w:rFonts w:asciiTheme="majorBidi" w:hAnsiTheme="majorBidi" w:cstheme="majorBidi" w:hint="cs"/>
          <w:sz w:val="24"/>
          <w:szCs w:val="24"/>
          <w:rtl/>
        </w:rPr>
        <w:t>. זו הסיבה שאיסור יין מופיע ראשון.</w:t>
      </w:r>
      <w:r w:rsidR="009D6398">
        <w:rPr>
          <w:rFonts w:ascii="David" w:hAnsi="David" w:cs="David" w:hint="cs"/>
          <w:sz w:val="24"/>
          <w:szCs w:val="24"/>
          <w:rtl/>
        </w:rPr>
        <w:t xml:space="preserve"> "הפרישה מן היין היא הקומה הבסיסית ב</w:t>
      </w:r>
      <w:r w:rsidR="00A86BC1">
        <w:rPr>
          <w:rFonts w:ascii="David" w:hAnsi="David" w:cs="David" w:hint="cs"/>
          <w:sz w:val="24"/>
          <w:szCs w:val="24"/>
          <w:rtl/>
        </w:rPr>
        <w:t>נזירות</w:t>
      </w:r>
      <w:r w:rsidR="009D6398">
        <w:rPr>
          <w:rFonts w:ascii="David" w:hAnsi="David" w:cs="David" w:hint="cs"/>
          <w:sz w:val="24"/>
          <w:szCs w:val="24"/>
          <w:rtl/>
        </w:rPr>
        <w:t>, התשתית הראשונית, שהרי הפרישות</w:t>
      </w:r>
      <w:r w:rsidR="001D6EC6">
        <w:rPr>
          <w:rFonts w:ascii="David" w:hAnsi="David" w:cs="David" w:hint="cs"/>
          <w:sz w:val="24"/>
          <w:szCs w:val="24"/>
          <w:rtl/>
        </w:rPr>
        <w:t>,</w:t>
      </w:r>
      <w:r w:rsidR="009D6398">
        <w:rPr>
          <w:rFonts w:ascii="David" w:hAnsi="David" w:cs="David" w:hint="cs"/>
          <w:sz w:val="24"/>
          <w:szCs w:val="24"/>
          <w:rtl/>
        </w:rPr>
        <w:t xml:space="preserve"> לעולם קודמת לקדושה". </w:t>
      </w:r>
      <w:r w:rsidR="009D6398">
        <w:rPr>
          <w:rFonts w:asciiTheme="majorBidi" w:hAnsiTheme="majorBidi" w:cstheme="majorBidi" w:hint="cs"/>
          <w:sz w:val="24"/>
          <w:szCs w:val="24"/>
          <w:rtl/>
        </w:rPr>
        <w:t>על כן, בסדר הפוך, היתר</w:t>
      </w:r>
      <w:r w:rsidR="001D6EC6">
        <w:rPr>
          <w:rFonts w:asciiTheme="majorBidi" w:hAnsiTheme="majorBidi" w:cstheme="majorBidi" w:hint="cs"/>
          <w:sz w:val="24"/>
          <w:szCs w:val="24"/>
          <w:rtl/>
        </w:rPr>
        <w:t xml:space="preserve"> היין</w:t>
      </w:r>
      <w:r w:rsidR="009D6398">
        <w:rPr>
          <w:rFonts w:asciiTheme="majorBidi" w:hAnsiTheme="majorBidi" w:cstheme="majorBidi" w:hint="cs"/>
          <w:sz w:val="24"/>
          <w:szCs w:val="24"/>
          <w:rtl/>
        </w:rPr>
        <w:t xml:space="preserve"> מופיע אחרון. המשנה פתחה בהבדל בין </w:t>
      </w:r>
      <w:r w:rsidR="001D6EC6">
        <w:rPr>
          <w:rFonts w:asciiTheme="majorBidi" w:hAnsiTheme="majorBidi" w:cstheme="majorBidi" w:hint="cs"/>
          <w:sz w:val="24"/>
          <w:szCs w:val="24"/>
          <w:rtl/>
        </w:rPr>
        <w:t xml:space="preserve">עבירה על איסור </w:t>
      </w:r>
      <w:r w:rsidR="009D6398">
        <w:rPr>
          <w:rFonts w:asciiTheme="majorBidi" w:hAnsiTheme="majorBidi" w:cstheme="majorBidi" w:hint="cs"/>
          <w:sz w:val="24"/>
          <w:szCs w:val="24"/>
          <w:rtl/>
        </w:rPr>
        <w:t>יין לשאר איסורים, לגבי ביטול ה</w:t>
      </w:r>
      <w:r w:rsidR="00A86BC1">
        <w:rPr>
          <w:rFonts w:asciiTheme="majorBidi" w:hAnsiTheme="majorBidi" w:cstheme="majorBidi" w:hint="cs"/>
          <w:sz w:val="24"/>
          <w:szCs w:val="24"/>
          <w:rtl/>
        </w:rPr>
        <w:t>נזירות</w:t>
      </w:r>
      <w:r w:rsidR="009D6398">
        <w:rPr>
          <w:rFonts w:asciiTheme="majorBidi" w:hAnsiTheme="majorBidi" w:cstheme="majorBidi" w:hint="cs"/>
          <w:sz w:val="24"/>
          <w:szCs w:val="24"/>
          <w:rtl/>
        </w:rPr>
        <w:t xml:space="preserve">, שכן היא המבררת הגדרת </w:t>
      </w:r>
      <w:r w:rsidR="00A86BC1">
        <w:rPr>
          <w:rFonts w:asciiTheme="majorBidi" w:hAnsiTheme="majorBidi" w:cstheme="majorBidi" w:hint="cs"/>
          <w:sz w:val="24"/>
          <w:szCs w:val="24"/>
          <w:rtl/>
        </w:rPr>
        <w:t>נזירות</w:t>
      </w:r>
      <w:r w:rsidR="001D6EC6">
        <w:rPr>
          <w:rFonts w:asciiTheme="majorBidi" w:hAnsiTheme="majorBidi" w:cstheme="majorBidi" w:hint="cs"/>
          <w:sz w:val="24"/>
          <w:szCs w:val="24"/>
          <w:rtl/>
        </w:rPr>
        <w:t>, שדווקא בשתיית יין אין בטול נזירות</w:t>
      </w:r>
      <w:r w:rsidR="009D6398">
        <w:rPr>
          <w:rFonts w:asciiTheme="majorBidi" w:hAnsiTheme="majorBidi" w:cstheme="majorBidi" w:hint="cs"/>
          <w:sz w:val="24"/>
          <w:szCs w:val="24"/>
          <w:rtl/>
        </w:rPr>
        <w:t>. מכל מקום אין היתר לאיסור יין</w:t>
      </w:r>
      <w:r w:rsidR="001D6EC6">
        <w:rPr>
          <w:rFonts w:asciiTheme="majorBidi" w:hAnsiTheme="majorBidi" w:cstheme="majorBidi" w:hint="cs"/>
          <w:sz w:val="24"/>
          <w:szCs w:val="24"/>
          <w:rtl/>
        </w:rPr>
        <w:t>:</w:t>
      </w:r>
      <w:r w:rsidR="009D6398">
        <w:rPr>
          <w:rFonts w:asciiTheme="majorBidi" w:hAnsiTheme="majorBidi" w:cstheme="majorBidi" w:hint="cs"/>
          <w:sz w:val="24"/>
          <w:szCs w:val="24"/>
          <w:rtl/>
        </w:rPr>
        <w:t xml:space="preserve"> </w:t>
      </w:r>
      <w:r w:rsidR="009D6398">
        <w:rPr>
          <w:rFonts w:ascii="David" w:hAnsi="David" w:cs="David" w:hint="cs"/>
          <w:sz w:val="24"/>
          <w:szCs w:val="24"/>
          <w:rtl/>
        </w:rPr>
        <w:t>"</w:t>
      </w:r>
      <w:r w:rsidR="009D6398" w:rsidRPr="00863EFD">
        <w:rPr>
          <w:rFonts w:ascii="David" w:hAnsi="David" w:cs="David"/>
          <w:sz w:val="24"/>
          <w:szCs w:val="24"/>
          <w:rtl/>
        </w:rPr>
        <w:t>לאסור יין מצוה כיין הרשות</w:t>
      </w:r>
      <w:r w:rsidR="009D6398">
        <w:rPr>
          <w:rFonts w:ascii="David" w:hAnsi="David" w:cs="David" w:hint="cs"/>
          <w:sz w:val="24"/>
          <w:szCs w:val="24"/>
          <w:rtl/>
        </w:rPr>
        <w:t>.</w:t>
      </w:r>
      <w:r w:rsidR="009D6398" w:rsidRPr="00863EFD">
        <w:rPr>
          <w:rFonts w:ascii="David" w:hAnsi="David" w:cs="David"/>
          <w:sz w:val="24"/>
          <w:szCs w:val="24"/>
          <w:rtl/>
        </w:rPr>
        <w:t xml:space="preserve"> שאם נשבע שאשתה ואח"כ נדר בנזיר</w:t>
      </w:r>
      <w:r w:rsidR="001D6EC6">
        <w:rPr>
          <w:rFonts w:ascii="David" w:hAnsi="David" w:cs="David" w:hint="cs"/>
          <w:sz w:val="24"/>
          <w:szCs w:val="24"/>
          <w:rtl/>
        </w:rPr>
        <w:t>,</w:t>
      </w:r>
      <w:r w:rsidR="009D6398" w:rsidRPr="00863EFD">
        <w:rPr>
          <w:rFonts w:ascii="David" w:hAnsi="David" w:cs="David"/>
          <w:sz w:val="24"/>
          <w:szCs w:val="24"/>
          <w:rtl/>
        </w:rPr>
        <w:t xml:space="preserve"> אסור [ביין]</w:t>
      </w:r>
      <w:r w:rsidR="009D6398">
        <w:rPr>
          <w:rStyle w:val="a5"/>
          <w:rFonts w:ascii="David" w:hAnsi="David" w:cs="David"/>
          <w:sz w:val="24"/>
          <w:szCs w:val="24"/>
          <w:rtl/>
        </w:rPr>
        <w:footnoteReference w:id="8"/>
      </w:r>
      <w:r w:rsidR="009D6398">
        <w:rPr>
          <w:rFonts w:ascii="David" w:hAnsi="David" w:cs="David" w:hint="cs"/>
          <w:sz w:val="24"/>
          <w:szCs w:val="24"/>
          <w:rtl/>
        </w:rPr>
        <w:t>". "שכיוון שאיסורי היין הם עיקר האיסור ב</w:t>
      </w:r>
      <w:r w:rsidR="00A86BC1">
        <w:rPr>
          <w:rFonts w:ascii="David" w:hAnsi="David" w:cs="David" w:hint="cs"/>
          <w:sz w:val="24"/>
          <w:szCs w:val="24"/>
          <w:rtl/>
        </w:rPr>
        <w:t>נזירות</w:t>
      </w:r>
      <w:r w:rsidR="009D6398">
        <w:rPr>
          <w:rFonts w:ascii="David" w:hAnsi="David" w:cs="David" w:hint="cs"/>
          <w:sz w:val="24"/>
          <w:szCs w:val="24"/>
          <w:rtl/>
        </w:rPr>
        <w:t>, ממילא חומרתו רבה יותר ועל כן הוא לא הותר מכללו</w:t>
      </w:r>
      <w:r w:rsidR="009D6398">
        <w:rPr>
          <w:rStyle w:val="a5"/>
          <w:rFonts w:ascii="David" w:hAnsi="David" w:cs="David"/>
          <w:sz w:val="24"/>
          <w:szCs w:val="24"/>
          <w:rtl/>
        </w:rPr>
        <w:footnoteReference w:id="9"/>
      </w:r>
      <w:r w:rsidR="009D6398">
        <w:rPr>
          <w:rFonts w:ascii="David" w:hAnsi="David" w:cs="David" w:hint="cs"/>
          <w:sz w:val="24"/>
          <w:szCs w:val="24"/>
          <w:rtl/>
        </w:rPr>
        <w:t>".</w:t>
      </w:r>
    </w:p>
    <w:p w14:paraId="59371ADC" w14:textId="61089BD5" w:rsidR="00837BD7" w:rsidRDefault="00837BD7" w:rsidP="009D6398">
      <w:pPr>
        <w:spacing w:after="0" w:line="360" w:lineRule="auto"/>
        <w:rPr>
          <w:rFonts w:ascii="David" w:hAnsi="David" w:cs="David"/>
          <w:sz w:val="24"/>
          <w:szCs w:val="24"/>
          <w:rtl/>
        </w:rPr>
      </w:pPr>
      <w:r>
        <w:rPr>
          <w:rFonts w:asciiTheme="majorBidi" w:hAnsiTheme="majorBidi" w:cstheme="majorBidi" w:hint="cs"/>
          <w:sz w:val="24"/>
          <w:szCs w:val="24"/>
          <w:rtl/>
        </w:rPr>
        <w:lastRenderedPageBreak/>
        <w:t>עבד שהתחייב ב</w:t>
      </w:r>
      <w:r w:rsidR="00A86BC1">
        <w:rPr>
          <w:rFonts w:asciiTheme="majorBidi" w:hAnsiTheme="majorBidi" w:cstheme="majorBidi" w:hint="cs"/>
          <w:sz w:val="24"/>
          <w:szCs w:val="24"/>
          <w:rtl/>
        </w:rPr>
        <w:t>נזירות</w:t>
      </w:r>
      <w:r>
        <w:rPr>
          <w:rFonts w:asciiTheme="majorBidi" w:hAnsiTheme="majorBidi" w:cstheme="majorBidi" w:hint="cs"/>
          <w:sz w:val="24"/>
          <w:szCs w:val="24"/>
          <w:rtl/>
        </w:rPr>
        <w:t>,  ברור שרבו רשאי לכוף אותו לשתות יין</w:t>
      </w:r>
      <w:r>
        <w:rPr>
          <w:rStyle w:val="a5"/>
          <w:rFonts w:asciiTheme="majorBidi" w:hAnsiTheme="majorBidi" w:cstheme="majorBidi"/>
          <w:sz w:val="24"/>
          <w:szCs w:val="24"/>
          <w:rtl/>
        </w:rPr>
        <w:footnoteReference w:id="10"/>
      </w:r>
      <w:r>
        <w:rPr>
          <w:rFonts w:asciiTheme="majorBidi" w:hAnsiTheme="majorBidi" w:cstheme="majorBidi" w:hint="cs"/>
          <w:sz w:val="24"/>
          <w:szCs w:val="24"/>
          <w:rtl/>
        </w:rPr>
        <w:t xml:space="preserve">, ולהפר בכך </w:t>
      </w:r>
      <w:r w:rsidR="00A86BC1">
        <w:rPr>
          <w:rFonts w:asciiTheme="majorBidi" w:hAnsiTheme="majorBidi" w:cstheme="majorBidi" w:hint="cs"/>
          <w:sz w:val="24"/>
          <w:szCs w:val="24"/>
          <w:rtl/>
        </w:rPr>
        <w:t>נזירות</w:t>
      </w:r>
      <w:r>
        <w:rPr>
          <w:rFonts w:asciiTheme="majorBidi" w:hAnsiTheme="majorBidi" w:cstheme="majorBidi" w:hint="cs"/>
          <w:sz w:val="24"/>
          <w:szCs w:val="24"/>
          <w:rtl/>
        </w:rPr>
        <w:t xml:space="preserve">ו. </w:t>
      </w:r>
      <w:r>
        <w:rPr>
          <w:rFonts w:ascii="David" w:hAnsi="David" w:cs="David" w:hint="cs"/>
          <w:sz w:val="24"/>
          <w:szCs w:val="24"/>
          <w:rtl/>
        </w:rPr>
        <w:t>"שלאדון יש יכולת לשלוט על העבד רק בצד המעשי ולא בצד הרוחני</w:t>
      </w:r>
      <w:r>
        <w:rPr>
          <w:rStyle w:val="a5"/>
          <w:rFonts w:ascii="David" w:hAnsi="David" w:cs="David"/>
          <w:sz w:val="24"/>
          <w:szCs w:val="24"/>
          <w:rtl/>
        </w:rPr>
        <w:footnoteReference w:id="11"/>
      </w:r>
      <w:r>
        <w:rPr>
          <w:rFonts w:ascii="David" w:hAnsi="David" w:cs="David" w:hint="cs"/>
          <w:sz w:val="24"/>
          <w:szCs w:val="24"/>
          <w:rtl/>
        </w:rPr>
        <w:t>".</w:t>
      </w:r>
    </w:p>
    <w:p w14:paraId="6D000576" w14:textId="1AA82216" w:rsidR="00837BD7" w:rsidRDefault="001E4607" w:rsidP="009D6398">
      <w:p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 xml:space="preserve">ד1. </w:t>
      </w:r>
      <w:r w:rsidR="00837BD7">
        <w:rPr>
          <w:rFonts w:asciiTheme="majorBidi" w:hAnsiTheme="majorBidi" w:cstheme="majorBidi" w:hint="cs"/>
          <w:b/>
          <w:bCs/>
          <w:sz w:val="24"/>
          <w:szCs w:val="24"/>
          <w:rtl/>
        </w:rPr>
        <w:t xml:space="preserve">איסור תגלחת </w:t>
      </w:r>
    </w:p>
    <w:p w14:paraId="0C4AFF4C" w14:textId="1261C228" w:rsidR="00837BD7" w:rsidRPr="001E4607" w:rsidRDefault="00837BD7" w:rsidP="001E4607">
      <w:pPr>
        <w:spacing w:after="0" w:line="360" w:lineRule="auto"/>
        <w:rPr>
          <w:rFonts w:asciiTheme="minorBidi" w:hAnsiTheme="minorBidi"/>
          <w:rtl/>
        </w:rPr>
      </w:pPr>
      <w:r>
        <w:rPr>
          <w:rFonts w:asciiTheme="majorBidi" w:hAnsiTheme="majorBidi" w:cstheme="majorBidi" w:hint="cs"/>
          <w:sz w:val="24"/>
          <w:szCs w:val="24"/>
          <w:rtl/>
        </w:rPr>
        <w:t xml:space="preserve">בהיותו </w:t>
      </w:r>
      <w:r w:rsidR="00D73A96">
        <w:rPr>
          <w:rFonts w:asciiTheme="majorBidi" w:hAnsiTheme="majorBidi" w:cstheme="majorBidi" w:hint="cs"/>
          <w:sz w:val="24"/>
          <w:szCs w:val="24"/>
          <w:rtl/>
        </w:rPr>
        <w:t xml:space="preserve">איסור תגלחת </w:t>
      </w:r>
      <w:r>
        <w:rPr>
          <w:rFonts w:asciiTheme="majorBidi" w:hAnsiTheme="majorBidi" w:cstheme="majorBidi" w:hint="cs"/>
          <w:sz w:val="24"/>
          <w:szCs w:val="24"/>
          <w:rtl/>
        </w:rPr>
        <w:t>מ</w:t>
      </w:r>
      <w:r w:rsidR="00D73A96">
        <w:rPr>
          <w:rFonts w:asciiTheme="majorBidi" w:hAnsiTheme="majorBidi" w:cstheme="majorBidi" w:hint="cs"/>
          <w:sz w:val="24"/>
          <w:szCs w:val="24"/>
          <w:rtl/>
        </w:rPr>
        <w:t>עיקר קדושת ה</w:t>
      </w:r>
      <w:r w:rsidR="00A86BC1">
        <w:rPr>
          <w:rFonts w:asciiTheme="majorBidi" w:hAnsiTheme="majorBidi" w:cstheme="majorBidi" w:hint="cs"/>
          <w:sz w:val="24"/>
          <w:szCs w:val="24"/>
          <w:rtl/>
        </w:rPr>
        <w:t>נזיר</w:t>
      </w:r>
      <w:r w:rsidR="00D73A96">
        <w:rPr>
          <w:rFonts w:asciiTheme="majorBidi" w:hAnsiTheme="majorBidi" w:cstheme="majorBidi" w:hint="cs"/>
          <w:sz w:val="24"/>
          <w:szCs w:val="24"/>
          <w:rtl/>
        </w:rPr>
        <w:t>, ה</w:t>
      </w:r>
      <w:r w:rsidR="001E4607">
        <w:rPr>
          <w:rFonts w:asciiTheme="majorBidi" w:hAnsiTheme="majorBidi" w:cstheme="majorBidi" w:hint="cs"/>
          <w:sz w:val="24"/>
          <w:szCs w:val="24"/>
          <w:rtl/>
        </w:rPr>
        <w:t>קדושה</w:t>
      </w:r>
      <w:r w:rsidR="00D73A96">
        <w:rPr>
          <w:rFonts w:asciiTheme="majorBidi" w:hAnsiTheme="majorBidi" w:cstheme="majorBidi" w:hint="cs"/>
          <w:sz w:val="24"/>
          <w:szCs w:val="24"/>
          <w:rtl/>
        </w:rPr>
        <w:t xml:space="preserve"> מוזכרת דווקא לגביו</w:t>
      </w:r>
      <w:r w:rsidR="001E4607" w:rsidRPr="001E4607">
        <w:rPr>
          <w:rFonts w:asciiTheme="majorBidi" w:hAnsiTheme="majorBidi" w:cstheme="majorBidi" w:hint="cs"/>
          <w:sz w:val="24"/>
          <w:szCs w:val="24"/>
          <w:rtl/>
        </w:rPr>
        <w:t xml:space="preserve"> </w:t>
      </w:r>
      <w:r w:rsidR="001E4607">
        <w:rPr>
          <w:rFonts w:asciiTheme="majorBidi" w:hAnsiTheme="majorBidi" w:cstheme="majorBidi" w:hint="cs"/>
          <w:sz w:val="24"/>
          <w:szCs w:val="24"/>
          <w:rtl/>
        </w:rPr>
        <w:t>ועל כן נוספה בו מצוות עשה:</w:t>
      </w:r>
      <w:r w:rsidR="001E4607" w:rsidRPr="001E4607">
        <w:rPr>
          <w:rFonts w:asciiTheme="minorBidi" w:hAnsiTheme="minorBidi"/>
          <w:rtl/>
        </w:rPr>
        <w:t xml:space="preserve"> </w:t>
      </w:r>
      <w:r w:rsidR="001E4607">
        <w:rPr>
          <w:rFonts w:asciiTheme="minorBidi" w:hAnsiTheme="minorBidi" w:hint="cs"/>
          <w:rtl/>
        </w:rPr>
        <w:t>"</w:t>
      </w:r>
      <w:r w:rsidR="001E4607" w:rsidRPr="00A55904">
        <w:rPr>
          <w:rFonts w:asciiTheme="minorBidi" w:hAnsiTheme="minorBidi"/>
          <w:rtl/>
        </w:rPr>
        <w:t>קָדֹ֣שׁ יִהְיֶ֔ה גַּדֵּ֥ל פֶּ֖רַע שְׂעַ֥ר רֹאשֽׁוֹ:</w:t>
      </w:r>
      <w:r w:rsidR="001E4607">
        <w:rPr>
          <w:rFonts w:asciiTheme="minorBidi" w:hAnsiTheme="minorBidi" w:hint="cs"/>
          <w:rtl/>
        </w:rPr>
        <w:t xml:space="preserve">".  </w:t>
      </w:r>
      <w:r w:rsidR="00D73A96">
        <w:rPr>
          <w:rFonts w:asciiTheme="majorBidi" w:hAnsiTheme="majorBidi" w:cstheme="majorBidi" w:hint="cs"/>
          <w:sz w:val="24"/>
          <w:szCs w:val="24"/>
          <w:rtl/>
        </w:rPr>
        <w:t>חכמים ביארו שאף שאין הדבר מפורש</w:t>
      </w:r>
      <w:r w:rsidR="001E4607">
        <w:rPr>
          <w:rFonts w:asciiTheme="majorBidi" w:hAnsiTheme="majorBidi" w:cstheme="majorBidi" w:hint="cs"/>
          <w:sz w:val="24"/>
          <w:szCs w:val="24"/>
          <w:rtl/>
        </w:rPr>
        <w:t xml:space="preserve">, תגלחת </w:t>
      </w:r>
      <w:r w:rsidR="00D73A96">
        <w:rPr>
          <w:rFonts w:asciiTheme="majorBidi" w:hAnsiTheme="majorBidi" w:cstheme="majorBidi" w:hint="cs"/>
          <w:sz w:val="24"/>
          <w:szCs w:val="24"/>
          <w:rtl/>
        </w:rPr>
        <w:t xml:space="preserve"> סותר</w:t>
      </w:r>
      <w:r w:rsidR="001E4607">
        <w:rPr>
          <w:rFonts w:asciiTheme="majorBidi" w:hAnsiTheme="majorBidi" w:cstheme="majorBidi" w:hint="cs"/>
          <w:sz w:val="24"/>
          <w:szCs w:val="24"/>
          <w:rtl/>
        </w:rPr>
        <w:t>ת</w:t>
      </w:r>
      <w:r w:rsidR="00D73A96">
        <w:rPr>
          <w:rFonts w:asciiTheme="majorBidi" w:hAnsiTheme="majorBidi" w:cstheme="majorBidi" w:hint="cs"/>
          <w:sz w:val="24"/>
          <w:szCs w:val="24"/>
          <w:rtl/>
        </w:rPr>
        <w:t xml:space="preserve"> </w:t>
      </w:r>
      <w:r w:rsidR="00A86BC1">
        <w:rPr>
          <w:rFonts w:asciiTheme="majorBidi" w:hAnsiTheme="majorBidi" w:cstheme="majorBidi" w:hint="cs"/>
          <w:sz w:val="24"/>
          <w:szCs w:val="24"/>
          <w:rtl/>
        </w:rPr>
        <w:t>נזירות</w:t>
      </w:r>
      <w:r w:rsidR="00D73A96">
        <w:rPr>
          <w:rFonts w:asciiTheme="majorBidi" w:hAnsiTheme="majorBidi" w:cstheme="majorBidi" w:hint="cs"/>
          <w:sz w:val="24"/>
          <w:szCs w:val="24"/>
          <w:rtl/>
        </w:rPr>
        <w:t>. סיום ה</w:t>
      </w:r>
      <w:r w:rsidR="00A86BC1">
        <w:rPr>
          <w:rFonts w:asciiTheme="majorBidi" w:hAnsiTheme="majorBidi" w:cstheme="majorBidi" w:hint="cs"/>
          <w:sz w:val="24"/>
          <w:szCs w:val="24"/>
          <w:rtl/>
        </w:rPr>
        <w:t>נזירות</w:t>
      </w:r>
      <w:r w:rsidR="00D73A96">
        <w:rPr>
          <w:rFonts w:asciiTheme="majorBidi" w:hAnsiTheme="majorBidi" w:cstheme="majorBidi" w:hint="cs"/>
          <w:sz w:val="24"/>
          <w:szCs w:val="24"/>
          <w:rtl/>
        </w:rPr>
        <w:t xml:space="preserve"> כרוך במצוות תגלחת. </w:t>
      </w:r>
      <w:r w:rsidR="00D73A96">
        <w:rPr>
          <w:rFonts w:ascii="David" w:hAnsi="David" w:cs="David" w:hint="cs"/>
          <w:sz w:val="24"/>
          <w:szCs w:val="24"/>
          <w:rtl/>
        </w:rPr>
        <w:t>"שיער ה</w:t>
      </w:r>
      <w:r w:rsidR="00A86BC1">
        <w:rPr>
          <w:rFonts w:ascii="David" w:hAnsi="David" w:cs="David" w:hint="cs"/>
          <w:sz w:val="24"/>
          <w:szCs w:val="24"/>
          <w:rtl/>
        </w:rPr>
        <w:t>נזיר</w:t>
      </w:r>
      <w:r w:rsidR="00D73A96">
        <w:rPr>
          <w:rFonts w:ascii="David" w:hAnsi="David" w:cs="David" w:hint="cs"/>
          <w:sz w:val="24"/>
          <w:szCs w:val="24"/>
          <w:rtl/>
        </w:rPr>
        <w:t xml:space="preserve"> הוא עיקר קדושת ה</w:t>
      </w:r>
      <w:r w:rsidR="00A86BC1">
        <w:rPr>
          <w:rFonts w:ascii="David" w:hAnsi="David" w:cs="David" w:hint="cs"/>
          <w:sz w:val="24"/>
          <w:szCs w:val="24"/>
          <w:rtl/>
        </w:rPr>
        <w:t>נזירות</w:t>
      </w:r>
      <w:r w:rsidR="00D73A96">
        <w:rPr>
          <w:rFonts w:ascii="David" w:hAnsi="David" w:cs="David" w:hint="cs"/>
          <w:sz w:val="24"/>
          <w:szCs w:val="24"/>
          <w:rtl/>
        </w:rPr>
        <w:t xml:space="preserve">, ולכן מרגע שפוקעת </w:t>
      </w:r>
      <w:r w:rsidR="00A86BC1">
        <w:rPr>
          <w:rFonts w:ascii="David" w:hAnsi="David" w:cs="David" w:hint="cs"/>
          <w:sz w:val="24"/>
          <w:szCs w:val="24"/>
          <w:rtl/>
        </w:rPr>
        <w:t>נזירות</w:t>
      </w:r>
      <w:r w:rsidR="00D73A96">
        <w:rPr>
          <w:rFonts w:ascii="David" w:hAnsi="David" w:cs="David" w:hint="cs"/>
          <w:sz w:val="24"/>
          <w:szCs w:val="24"/>
          <w:rtl/>
        </w:rPr>
        <w:t>ו, והוא אינו קדוש, אסור לו לשאת את נזר הקודש וחובה עליו להשיבו למקורו. לכן..</w:t>
      </w:r>
      <w:r w:rsidR="001D6EC6">
        <w:rPr>
          <w:rFonts w:ascii="David" w:hAnsi="David" w:cs="David" w:hint="cs"/>
          <w:sz w:val="24"/>
          <w:szCs w:val="24"/>
          <w:rtl/>
        </w:rPr>
        <w:t xml:space="preserve"> </w:t>
      </w:r>
      <w:r w:rsidR="00D73A96">
        <w:rPr>
          <w:rFonts w:ascii="David" w:hAnsi="David" w:cs="David" w:hint="cs"/>
          <w:sz w:val="24"/>
          <w:szCs w:val="24"/>
          <w:rtl/>
        </w:rPr>
        <w:t>השיער מושם תחת הזבח</w:t>
      </w:r>
      <w:r w:rsidR="00D73A96">
        <w:rPr>
          <w:rStyle w:val="a5"/>
          <w:rFonts w:ascii="David" w:hAnsi="David" w:cs="David"/>
          <w:sz w:val="24"/>
          <w:szCs w:val="24"/>
          <w:rtl/>
        </w:rPr>
        <w:footnoteReference w:id="12"/>
      </w:r>
      <w:r w:rsidR="00D73A96">
        <w:rPr>
          <w:rFonts w:ascii="David" w:hAnsi="David" w:cs="David" w:hint="cs"/>
          <w:sz w:val="24"/>
          <w:szCs w:val="24"/>
          <w:rtl/>
        </w:rPr>
        <w:t xml:space="preserve">". </w:t>
      </w:r>
      <w:r w:rsidR="00064078">
        <w:rPr>
          <w:rFonts w:asciiTheme="majorBidi" w:hAnsiTheme="majorBidi" w:cstheme="majorBidi" w:hint="cs"/>
          <w:sz w:val="24"/>
          <w:szCs w:val="24"/>
          <w:rtl/>
        </w:rPr>
        <w:t xml:space="preserve">מרכזיותו של איסור גילוח בולט </w:t>
      </w:r>
      <w:r w:rsidR="001E4607">
        <w:rPr>
          <w:rFonts w:asciiTheme="majorBidi" w:hAnsiTheme="majorBidi" w:cstheme="majorBidi" w:hint="cs"/>
          <w:sz w:val="24"/>
          <w:szCs w:val="24"/>
          <w:rtl/>
        </w:rPr>
        <w:t>ל</w:t>
      </w:r>
      <w:r w:rsidR="00064078">
        <w:rPr>
          <w:rFonts w:asciiTheme="majorBidi" w:hAnsiTheme="majorBidi" w:cstheme="majorBidi" w:hint="cs"/>
          <w:sz w:val="24"/>
          <w:szCs w:val="24"/>
          <w:rtl/>
        </w:rPr>
        <w:t>גבי שמשון, שרק הסרת שיערו נטלה את כוחו, ועל טומאת מתים אף לא צווה</w:t>
      </w:r>
      <w:r w:rsidR="00701766">
        <w:rPr>
          <w:rStyle w:val="a5"/>
          <w:rFonts w:asciiTheme="majorBidi" w:hAnsiTheme="majorBidi" w:cstheme="majorBidi"/>
          <w:sz w:val="24"/>
          <w:szCs w:val="24"/>
          <w:rtl/>
        </w:rPr>
        <w:footnoteReference w:id="13"/>
      </w:r>
      <w:r w:rsidR="00064078">
        <w:rPr>
          <w:rFonts w:asciiTheme="majorBidi" w:hAnsiTheme="majorBidi" w:cstheme="majorBidi" w:hint="cs"/>
          <w:sz w:val="24"/>
          <w:szCs w:val="24"/>
          <w:rtl/>
        </w:rPr>
        <w:t xml:space="preserve">. </w:t>
      </w:r>
      <w:r w:rsidR="00064078" w:rsidRPr="00064078">
        <w:rPr>
          <w:rFonts w:asciiTheme="majorBidi" w:hAnsiTheme="majorBidi" w:cstheme="majorBidi"/>
          <w:sz w:val="24"/>
          <w:szCs w:val="24"/>
          <w:rtl/>
        </w:rPr>
        <w:t xml:space="preserve">אמנם </w:t>
      </w:r>
      <w:r w:rsidR="00D73A96">
        <w:rPr>
          <w:rFonts w:asciiTheme="majorBidi" w:hAnsiTheme="majorBidi" w:cstheme="majorBidi" w:hint="cs"/>
          <w:sz w:val="24"/>
          <w:szCs w:val="24"/>
          <w:rtl/>
        </w:rPr>
        <w:t>המגלח סותר רק שלושים יום, כיוון ש</w:t>
      </w:r>
      <w:r w:rsidR="00D73A96">
        <w:rPr>
          <w:rFonts w:ascii="David" w:hAnsi="David" w:cs="David" w:hint="cs"/>
          <w:sz w:val="24"/>
          <w:szCs w:val="24"/>
          <w:rtl/>
        </w:rPr>
        <w:t>"הסרת הנזר היא בעצם הפסקה של פעולת ה</w:t>
      </w:r>
      <w:r w:rsidR="00A86BC1">
        <w:rPr>
          <w:rFonts w:ascii="David" w:hAnsi="David" w:cs="David" w:hint="cs"/>
          <w:sz w:val="24"/>
          <w:szCs w:val="24"/>
          <w:rtl/>
        </w:rPr>
        <w:t>נזירות</w:t>
      </w:r>
      <w:r w:rsidR="00D73A96">
        <w:rPr>
          <w:rFonts w:ascii="David" w:hAnsi="David" w:cs="David" w:hint="cs"/>
          <w:sz w:val="24"/>
          <w:szCs w:val="24"/>
          <w:rtl/>
        </w:rPr>
        <w:t>. פעולה זו לגיטימית כשלעצמה, אלא שכעת טרם הגיע זמנה. לכן התוצאה שלה היא 'רק' חובה להשיב את הנזר, דהיינו למנות שלושים יום- כדי גידול שיער- ואין חובת קרבן</w:t>
      </w:r>
      <w:r w:rsidR="00D73A96">
        <w:rPr>
          <w:rStyle w:val="a5"/>
          <w:rFonts w:ascii="David" w:hAnsi="David" w:cs="David"/>
          <w:sz w:val="24"/>
          <w:szCs w:val="24"/>
          <w:rtl/>
        </w:rPr>
        <w:footnoteReference w:id="14"/>
      </w:r>
      <w:r w:rsidR="00D73A96">
        <w:rPr>
          <w:rFonts w:ascii="David" w:hAnsi="David" w:cs="David" w:hint="cs"/>
          <w:sz w:val="24"/>
          <w:szCs w:val="24"/>
          <w:rtl/>
        </w:rPr>
        <w:t>".</w:t>
      </w:r>
    </w:p>
    <w:p w14:paraId="7C845AFE" w14:textId="3478D5A0" w:rsidR="00D73A96" w:rsidRDefault="001E4607" w:rsidP="009D6398">
      <w:pPr>
        <w:spacing w:after="0" w:line="360" w:lineRule="auto"/>
        <w:rPr>
          <w:rFonts w:ascii="David" w:hAnsi="David" w:cs="David"/>
          <w:b/>
          <w:bCs/>
          <w:sz w:val="24"/>
          <w:szCs w:val="24"/>
          <w:rtl/>
        </w:rPr>
      </w:pPr>
      <w:r>
        <w:rPr>
          <w:rFonts w:ascii="David" w:hAnsi="David" w:cs="David" w:hint="cs"/>
          <w:b/>
          <w:bCs/>
          <w:sz w:val="24"/>
          <w:szCs w:val="24"/>
          <w:rtl/>
        </w:rPr>
        <w:t xml:space="preserve">ד2. </w:t>
      </w:r>
      <w:r w:rsidR="00D73A96">
        <w:rPr>
          <w:rFonts w:ascii="David" w:hAnsi="David" w:cs="David" w:hint="cs"/>
          <w:b/>
          <w:bCs/>
          <w:sz w:val="24"/>
          <w:szCs w:val="24"/>
          <w:rtl/>
        </w:rPr>
        <w:t>המגלח כמתגלח</w:t>
      </w:r>
    </w:p>
    <w:p w14:paraId="386E792E" w14:textId="40630463" w:rsidR="00CC51A3" w:rsidRPr="00CC51A3" w:rsidRDefault="00D73A96" w:rsidP="00CC51A3">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הלכה זו, איננה נזכרת במשנה. </w:t>
      </w:r>
      <w:r w:rsidR="00CC51A3">
        <w:rPr>
          <w:rFonts w:asciiTheme="majorBidi" w:hAnsiTheme="majorBidi" w:cstheme="majorBidi" w:hint="cs"/>
          <w:sz w:val="24"/>
          <w:szCs w:val="24"/>
          <w:rtl/>
        </w:rPr>
        <w:t xml:space="preserve">אולם בירושלמי מובאת ברייתא: </w:t>
      </w:r>
      <w:r w:rsidR="00CC51A3" w:rsidRPr="00CC51A3">
        <w:rPr>
          <w:rFonts w:asciiTheme="majorBidi" w:hAnsiTheme="majorBidi" w:cs="Times New Roman"/>
          <w:sz w:val="24"/>
          <w:szCs w:val="24"/>
          <w:rtl/>
        </w:rPr>
        <w:t xml:space="preserve"> </w:t>
      </w:r>
    </w:p>
    <w:p w14:paraId="29364F42" w14:textId="4B62220B" w:rsidR="00D73A96" w:rsidRDefault="00CC51A3" w:rsidP="00CC51A3">
      <w:pPr>
        <w:spacing w:after="0" w:line="360" w:lineRule="auto"/>
        <w:rPr>
          <w:rFonts w:ascii="David" w:hAnsi="David" w:cs="David"/>
          <w:sz w:val="24"/>
          <w:szCs w:val="24"/>
          <w:rtl/>
        </w:rPr>
      </w:pPr>
      <w:r w:rsidRPr="00CC51A3">
        <w:rPr>
          <w:rFonts w:ascii="David" w:hAnsi="David" w:cs="David"/>
          <w:sz w:val="24"/>
          <w:szCs w:val="24"/>
          <w:rtl/>
        </w:rPr>
        <w:t>"חומר בתגלחת שעשה בה המגלח כמתגלח</w:t>
      </w:r>
      <w:r w:rsidR="001D6EC6">
        <w:rPr>
          <w:rFonts w:ascii="David" w:hAnsi="David" w:cs="David" w:hint="cs"/>
          <w:sz w:val="24"/>
          <w:szCs w:val="24"/>
          <w:rtl/>
        </w:rPr>
        <w:t>,</w:t>
      </w:r>
      <w:r w:rsidRPr="00CC51A3">
        <w:rPr>
          <w:rFonts w:ascii="David" w:hAnsi="David" w:cs="David"/>
          <w:sz w:val="24"/>
          <w:szCs w:val="24"/>
          <w:rtl/>
        </w:rPr>
        <w:t xml:space="preserve"> והטמא לא עשה בה המטמא כמיטמא</w:t>
      </w:r>
      <w:r w:rsidRPr="00CC51A3">
        <w:rPr>
          <w:rStyle w:val="a5"/>
          <w:rFonts w:ascii="David" w:hAnsi="David" w:cs="David"/>
          <w:sz w:val="24"/>
          <w:szCs w:val="24"/>
          <w:rtl/>
        </w:rPr>
        <w:footnoteReference w:id="15"/>
      </w:r>
      <w:r w:rsidRPr="00CC51A3">
        <w:rPr>
          <w:rFonts w:ascii="David" w:hAnsi="David" w:cs="David"/>
          <w:sz w:val="24"/>
          <w:szCs w:val="24"/>
          <w:rtl/>
        </w:rPr>
        <w:t>".</w:t>
      </w:r>
    </w:p>
    <w:p w14:paraId="57840C52" w14:textId="0EC0CB9A" w:rsidR="001E4607" w:rsidRDefault="00CC51A3" w:rsidP="001E4607">
      <w:pPr>
        <w:spacing w:after="0" w:line="360" w:lineRule="auto"/>
        <w:rPr>
          <w:rFonts w:ascii="David" w:hAnsi="David" w:cs="David"/>
          <w:sz w:val="24"/>
          <w:szCs w:val="24"/>
          <w:rtl/>
        </w:rPr>
      </w:pPr>
      <w:r w:rsidRPr="00D919CF">
        <w:rPr>
          <w:rFonts w:asciiTheme="majorBidi" w:hAnsiTheme="majorBidi" w:cstheme="majorBidi"/>
          <w:sz w:val="24"/>
          <w:szCs w:val="24"/>
          <w:rtl/>
        </w:rPr>
        <w:t>מדוע לא שנתה משנתנו הבדל זה</w:t>
      </w:r>
      <w:r w:rsidR="00D919CF" w:rsidRPr="00D919CF">
        <w:rPr>
          <w:rStyle w:val="a5"/>
          <w:rFonts w:asciiTheme="majorBidi" w:hAnsiTheme="majorBidi" w:cstheme="majorBidi"/>
          <w:sz w:val="24"/>
          <w:szCs w:val="24"/>
          <w:rtl/>
        </w:rPr>
        <w:footnoteReference w:id="16"/>
      </w:r>
      <w:r w:rsidRPr="00D919CF">
        <w:rPr>
          <w:rFonts w:asciiTheme="majorBidi" w:hAnsiTheme="majorBidi" w:cstheme="majorBidi"/>
          <w:sz w:val="24"/>
          <w:szCs w:val="24"/>
          <w:rtl/>
        </w:rPr>
        <w:t>?</w:t>
      </w:r>
      <w:r>
        <w:rPr>
          <w:rFonts w:ascii="David" w:hAnsi="David" w:cs="David" w:hint="cs"/>
          <w:sz w:val="24"/>
          <w:szCs w:val="24"/>
          <w:rtl/>
        </w:rPr>
        <w:t xml:space="preserve"> "</w:t>
      </w:r>
      <w:r w:rsidRPr="00863EFD">
        <w:rPr>
          <w:rFonts w:ascii="David" w:hAnsi="David" w:cs="David"/>
          <w:sz w:val="24"/>
          <w:szCs w:val="24"/>
          <w:rtl/>
        </w:rPr>
        <w:t>אפשר דלא חשיב רק לענין הנזיר עצמו אבל לא מה שעל אחר</w:t>
      </w:r>
      <w:r>
        <w:rPr>
          <w:rStyle w:val="a5"/>
          <w:rFonts w:ascii="David" w:hAnsi="David" w:cs="David"/>
          <w:sz w:val="24"/>
          <w:szCs w:val="24"/>
          <w:rtl/>
        </w:rPr>
        <w:footnoteReference w:id="17"/>
      </w:r>
      <w:r w:rsidR="00D919CF">
        <w:rPr>
          <w:rFonts w:ascii="David" w:hAnsi="David" w:cs="David" w:hint="cs"/>
          <w:sz w:val="24"/>
          <w:szCs w:val="24"/>
          <w:rtl/>
        </w:rPr>
        <w:t>". "קפידת התורה אינה על המעשה (שעליו היה מוזהר רק ה</w:t>
      </w:r>
      <w:r w:rsidR="00A86BC1">
        <w:rPr>
          <w:rFonts w:ascii="David" w:hAnsi="David" w:cs="David" w:hint="cs"/>
          <w:sz w:val="24"/>
          <w:szCs w:val="24"/>
          <w:rtl/>
        </w:rPr>
        <w:t>נזיר</w:t>
      </w:r>
      <w:r w:rsidR="00D919CF">
        <w:rPr>
          <w:rFonts w:ascii="David" w:hAnsi="David" w:cs="David" w:hint="cs"/>
          <w:sz w:val="24"/>
          <w:szCs w:val="24"/>
          <w:rtl/>
        </w:rPr>
        <w:t xml:space="preserve">) , אלא על התוצאה, ולכן גם מי שאינו </w:t>
      </w:r>
      <w:r w:rsidR="00A86BC1">
        <w:rPr>
          <w:rFonts w:ascii="David" w:hAnsi="David" w:cs="David" w:hint="cs"/>
          <w:sz w:val="24"/>
          <w:szCs w:val="24"/>
          <w:rtl/>
        </w:rPr>
        <w:t>נזיר</w:t>
      </w:r>
      <w:r w:rsidR="00D919CF">
        <w:rPr>
          <w:rFonts w:ascii="David" w:hAnsi="David" w:cs="David" w:hint="cs"/>
          <w:sz w:val="24"/>
          <w:szCs w:val="24"/>
          <w:rtl/>
        </w:rPr>
        <w:t xml:space="preserve"> מוזהר על כך.. </w:t>
      </w:r>
      <w:r w:rsidR="00D919CF">
        <w:rPr>
          <w:rFonts w:asciiTheme="majorBidi" w:hAnsiTheme="majorBidi" w:cstheme="majorBidi" w:hint="cs"/>
          <w:sz w:val="24"/>
          <w:szCs w:val="24"/>
          <w:rtl/>
        </w:rPr>
        <w:t xml:space="preserve">לפחות לפי הברייתא, </w:t>
      </w:r>
      <w:r w:rsidR="00D919CF">
        <w:rPr>
          <w:rFonts w:ascii="David" w:hAnsi="David" w:cs="David" w:hint="cs"/>
          <w:sz w:val="24"/>
          <w:szCs w:val="24"/>
          <w:rtl/>
        </w:rPr>
        <w:t>כיוון שהשיער הוא הנזר, והוא זה שיוצר את קדושת ה</w:t>
      </w:r>
      <w:r w:rsidR="00A86BC1">
        <w:rPr>
          <w:rFonts w:ascii="David" w:hAnsi="David" w:cs="David" w:hint="cs"/>
          <w:sz w:val="24"/>
          <w:szCs w:val="24"/>
          <w:rtl/>
        </w:rPr>
        <w:t>נזירות</w:t>
      </w:r>
      <w:r w:rsidR="00D919CF">
        <w:rPr>
          <w:rFonts w:ascii="David" w:hAnsi="David" w:cs="David" w:hint="cs"/>
          <w:sz w:val="24"/>
          <w:szCs w:val="24"/>
          <w:rtl/>
        </w:rPr>
        <w:t>, ממילא יש לאו על כל אדם שלא לפגוע בו ולהסירו</w:t>
      </w:r>
      <w:r w:rsidR="00D919CF">
        <w:rPr>
          <w:rStyle w:val="a5"/>
          <w:rFonts w:ascii="David" w:hAnsi="David" w:cs="David"/>
          <w:sz w:val="24"/>
          <w:szCs w:val="24"/>
          <w:rtl/>
        </w:rPr>
        <w:footnoteReference w:id="18"/>
      </w:r>
      <w:r w:rsidR="00D919CF">
        <w:rPr>
          <w:rFonts w:ascii="David" w:hAnsi="David" w:cs="David" w:hint="cs"/>
          <w:sz w:val="24"/>
          <w:szCs w:val="24"/>
          <w:rtl/>
        </w:rPr>
        <w:t>".</w:t>
      </w:r>
    </w:p>
    <w:p w14:paraId="154F90FD" w14:textId="2879FCAC" w:rsidR="001D6EC6" w:rsidRDefault="001D6EC6" w:rsidP="001E4607">
      <w:pPr>
        <w:spacing w:after="0" w:line="360" w:lineRule="auto"/>
        <w:rPr>
          <w:rFonts w:ascii="David" w:hAnsi="David" w:cs="David"/>
          <w:sz w:val="24"/>
          <w:szCs w:val="24"/>
          <w:rtl/>
        </w:rPr>
      </w:pPr>
    </w:p>
    <w:p w14:paraId="6ADF2640" w14:textId="0DCB684E" w:rsidR="001D6EC6" w:rsidRDefault="001D6EC6" w:rsidP="001E4607">
      <w:pPr>
        <w:spacing w:after="0" w:line="360" w:lineRule="auto"/>
        <w:rPr>
          <w:rFonts w:ascii="David" w:hAnsi="David" w:cs="David"/>
          <w:sz w:val="24"/>
          <w:szCs w:val="24"/>
          <w:rtl/>
        </w:rPr>
      </w:pPr>
    </w:p>
    <w:p w14:paraId="4F6D1FF9" w14:textId="287070AB" w:rsidR="001D6EC6" w:rsidRDefault="001D6EC6" w:rsidP="001E4607">
      <w:pPr>
        <w:spacing w:after="0" w:line="360" w:lineRule="auto"/>
        <w:rPr>
          <w:rFonts w:ascii="David" w:hAnsi="David" w:cs="David"/>
          <w:sz w:val="24"/>
          <w:szCs w:val="24"/>
          <w:rtl/>
        </w:rPr>
      </w:pPr>
    </w:p>
    <w:p w14:paraId="7C9F2875" w14:textId="77777777" w:rsidR="001D6EC6" w:rsidRDefault="001D6EC6" w:rsidP="001E4607">
      <w:pPr>
        <w:spacing w:after="0" w:line="360" w:lineRule="auto"/>
        <w:rPr>
          <w:rFonts w:ascii="David" w:hAnsi="David" w:cs="David"/>
          <w:sz w:val="24"/>
          <w:szCs w:val="24"/>
          <w:rtl/>
        </w:rPr>
      </w:pPr>
    </w:p>
    <w:p w14:paraId="5A64AA58" w14:textId="414D4954" w:rsidR="00D919CF" w:rsidRDefault="001E4607" w:rsidP="00CC51A3">
      <w:p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lastRenderedPageBreak/>
        <w:t xml:space="preserve">ה. </w:t>
      </w:r>
      <w:r w:rsidR="00D919CF">
        <w:rPr>
          <w:rFonts w:asciiTheme="majorBidi" w:hAnsiTheme="majorBidi" w:cstheme="majorBidi" w:hint="cs"/>
          <w:b/>
          <w:bCs/>
          <w:sz w:val="24"/>
          <w:szCs w:val="24"/>
          <w:rtl/>
        </w:rPr>
        <w:t>איסור טומאה</w:t>
      </w:r>
    </w:p>
    <w:p w14:paraId="73B1B9BD" w14:textId="15D64324" w:rsidR="00064078" w:rsidRPr="00A55904" w:rsidRDefault="00D919CF" w:rsidP="00064078">
      <w:pPr>
        <w:spacing w:after="0" w:line="360" w:lineRule="auto"/>
        <w:rPr>
          <w:rFonts w:asciiTheme="minorBidi" w:hAnsiTheme="minorBidi"/>
          <w:rtl/>
        </w:rPr>
      </w:pPr>
      <w:r>
        <w:rPr>
          <w:rFonts w:ascii="David" w:hAnsi="David" w:cs="David" w:hint="cs"/>
          <w:sz w:val="24"/>
          <w:szCs w:val="24"/>
          <w:rtl/>
        </w:rPr>
        <w:t>"הטומאה היא איסור נספח הנובע מתוך מימד הקדושה שב</w:t>
      </w:r>
      <w:r w:rsidR="00A86BC1">
        <w:rPr>
          <w:rFonts w:ascii="David" w:hAnsi="David" w:cs="David" w:hint="cs"/>
          <w:sz w:val="24"/>
          <w:szCs w:val="24"/>
          <w:rtl/>
        </w:rPr>
        <w:t>נזירות</w:t>
      </w:r>
      <w:r>
        <w:rPr>
          <w:rFonts w:ascii="David" w:hAnsi="David" w:cs="David" w:hint="cs"/>
          <w:sz w:val="24"/>
          <w:szCs w:val="24"/>
          <w:rtl/>
        </w:rPr>
        <w:t xml:space="preserve">.. </w:t>
      </w:r>
      <w:r>
        <w:rPr>
          <w:rFonts w:asciiTheme="majorBidi" w:hAnsiTheme="majorBidi" w:cstheme="majorBidi" w:hint="cs"/>
          <w:sz w:val="24"/>
          <w:szCs w:val="24"/>
          <w:rtl/>
        </w:rPr>
        <w:t xml:space="preserve">לפיכך </w:t>
      </w:r>
      <w:r>
        <w:rPr>
          <w:rFonts w:ascii="David" w:hAnsi="David" w:cs="David" w:hint="cs"/>
          <w:sz w:val="24"/>
          <w:szCs w:val="24"/>
          <w:rtl/>
        </w:rPr>
        <w:t>הוא נמצא תמיד בצילו של איסור התגלחת וגידול השיער.. איסור הטומאה מוצג כאיסור לטמא את הראש (דהיינו השיער)</w:t>
      </w:r>
      <w:r w:rsidR="00064078">
        <w:rPr>
          <w:rStyle w:val="a5"/>
          <w:rFonts w:ascii="David" w:hAnsi="David" w:cs="David"/>
          <w:sz w:val="24"/>
          <w:szCs w:val="24"/>
          <w:rtl/>
        </w:rPr>
        <w:footnoteReference w:id="19"/>
      </w:r>
      <w:r w:rsidR="00064078">
        <w:rPr>
          <w:rFonts w:ascii="David" w:hAnsi="David" w:cs="David" w:hint="cs"/>
          <w:sz w:val="24"/>
          <w:szCs w:val="24"/>
          <w:rtl/>
        </w:rPr>
        <w:t>": "</w:t>
      </w:r>
      <w:r w:rsidR="00064078" w:rsidRPr="00A55904">
        <w:rPr>
          <w:rFonts w:asciiTheme="minorBidi" w:hAnsiTheme="minorBidi"/>
          <w:rtl/>
        </w:rPr>
        <w:t>עַל־נֶ֥פֶשׁ מֵ֖ת לֹ֥א יָבֹֽא</w:t>
      </w:r>
      <w:r w:rsidR="00064078">
        <w:rPr>
          <w:rFonts w:asciiTheme="minorBidi" w:hAnsiTheme="minorBidi" w:hint="cs"/>
          <w:rtl/>
        </w:rPr>
        <w:t>...</w:t>
      </w:r>
      <w:r w:rsidR="00064078" w:rsidRPr="00A55904">
        <w:rPr>
          <w:rFonts w:asciiTheme="minorBidi" w:hAnsiTheme="minorBidi"/>
          <w:rtl/>
        </w:rPr>
        <w:t xml:space="preserve"> </w:t>
      </w:r>
      <w:r w:rsidR="00064078" w:rsidRPr="00064078">
        <w:rPr>
          <w:rFonts w:asciiTheme="minorBidi" w:hAnsiTheme="minorBidi"/>
          <w:b/>
          <w:bCs/>
          <w:rtl/>
        </w:rPr>
        <w:t>כִּ֛י נֵ֥זֶר אֱלֹהָ֖יו עַל־רֹאשֽׁוֹ:</w:t>
      </w:r>
      <w:r w:rsidR="00064078">
        <w:rPr>
          <w:rFonts w:asciiTheme="minorBidi" w:hAnsiTheme="minorBidi" w:hint="cs"/>
          <w:rtl/>
        </w:rPr>
        <w:t xml:space="preserve">  </w:t>
      </w:r>
      <w:r w:rsidR="00064078" w:rsidRPr="00A55904">
        <w:rPr>
          <w:rFonts w:asciiTheme="minorBidi" w:hAnsiTheme="minorBidi"/>
          <w:rtl/>
        </w:rPr>
        <w:t>(ח) כֹּ֖ל יְמֵ֣י נִזְר֑וֹ קָדֹ֥שׁ ה֖וּא לַֽ</w:t>
      </w:r>
      <w:r w:rsidR="00064078">
        <w:rPr>
          <w:rFonts w:asciiTheme="minorBidi" w:hAnsiTheme="minorBidi" w:hint="cs"/>
          <w:rtl/>
        </w:rPr>
        <w:t>ה'</w:t>
      </w:r>
      <w:r w:rsidR="00064078" w:rsidRPr="00A55904">
        <w:rPr>
          <w:rFonts w:asciiTheme="minorBidi" w:hAnsiTheme="minorBidi"/>
          <w:rtl/>
        </w:rPr>
        <w:t>:</w:t>
      </w:r>
    </w:p>
    <w:p w14:paraId="60773E6A" w14:textId="67E850AD" w:rsidR="00D919CF" w:rsidRDefault="00064078" w:rsidP="00064078">
      <w:pPr>
        <w:spacing w:after="0" w:line="360" w:lineRule="auto"/>
        <w:rPr>
          <w:rFonts w:ascii="David" w:hAnsi="David" w:cs="David"/>
          <w:sz w:val="24"/>
          <w:szCs w:val="24"/>
          <w:rtl/>
        </w:rPr>
      </w:pPr>
      <w:r w:rsidRPr="00A55904">
        <w:rPr>
          <w:rFonts w:asciiTheme="minorBidi" w:hAnsiTheme="minorBidi"/>
          <w:rtl/>
        </w:rPr>
        <w:t xml:space="preserve">(ט) וְכִֽי־יָמ֨וּת מֵ֤ת עָלָיו֙ בְּפֶ֣תַע פִּתְאֹ֔ם </w:t>
      </w:r>
      <w:r w:rsidRPr="00064078">
        <w:rPr>
          <w:rFonts w:asciiTheme="minorBidi" w:hAnsiTheme="minorBidi"/>
          <w:b/>
          <w:bCs/>
          <w:rtl/>
        </w:rPr>
        <w:t>וְטִמֵּ֖א רֹ֣אשׁ נִזְר֑וֹ</w:t>
      </w:r>
      <w:r>
        <w:rPr>
          <w:rFonts w:asciiTheme="minorBidi" w:hAnsiTheme="minorBidi" w:hint="cs"/>
          <w:rtl/>
        </w:rPr>
        <w:t>..".</w:t>
      </w:r>
      <w:r>
        <w:rPr>
          <w:rFonts w:ascii="Arial" w:hAnsi="Arial" w:cs="Arial" w:hint="cs"/>
          <w:rtl/>
        </w:rPr>
        <w:t xml:space="preserve">     </w:t>
      </w:r>
      <w:r>
        <w:rPr>
          <w:rFonts w:asciiTheme="majorBidi" w:hAnsiTheme="majorBidi" w:cstheme="majorBidi" w:hint="cs"/>
          <w:sz w:val="24"/>
          <w:szCs w:val="24"/>
          <w:rtl/>
        </w:rPr>
        <w:t>בשל תפקידו המשני אין איסור הטומאה נזכר בסיום ה</w:t>
      </w:r>
      <w:r w:rsidR="00A86BC1">
        <w:rPr>
          <w:rFonts w:asciiTheme="majorBidi" w:hAnsiTheme="majorBidi" w:cstheme="majorBidi" w:hint="cs"/>
          <w:sz w:val="24"/>
          <w:szCs w:val="24"/>
          <w:rtl/>
        </w:rPr>
        <w:t>נזירות</w:t>
      </w:r>
      <w:r>
        <w:rPr>
          <w:rFonts w:asciiTheme="majorBidi" w:hAnsiTheme="majorBidi" w:cstheme="majorBidi" w:hint="cs"/>
          <w:sz w:val="24"/>
          <w:szCs w:val="24"/>
          <w:rtl/>
        </w:rPr>
        <w:t xml:space="preserve">. אמנם יש לבאר מדוע דווקא טומאה סותרת </w:t>
      </w:r>
      <w:r w:rsidR="00A86BC1">
        <w:rPr>
          <w:rFonts w:asciiTheme="majorBidi" w:hAnsiTheme="majorBidi" w:cstheme="majorBidi" w:hint="cs"/>
          <w:sz w:val="24"/>
          <w:szCs w:val="24"/>
          <w:rtl/>
        </w:rPr>
        <w:t>נזירות</w:t>
      </w:r>
      <w:r>
        <w:rPr>
          <w:rFonts w:asciiTheme="majorBidi" w:hAnsiTheme="majorBidi" w:cstheme="majorBidi" w:hint="cs"/>
          <w:sz w:val="24"/>
          <w:szCs w:val="24"/>
          <w:rtl/>
        </w:rPr>
        <w:t xml:space="preserve"> לחלוטין ואף מחייבת קרבן: </w:t>
      </w:r>
      <w:r>
        <w:rPr>
          <w:rFonts w:ascii="David" w:hAnsi="David" w:cs="David" w:hint="cs"/>
          <w:sz w:val="24"/>
          <w:szCs w:val="24"/>
          <w:rtl/>
        </w:rPr>
        <w:t xml:space="preserve">"כאשר </w:t>
      </w:r>
      <w:r w:rsidR="00A86BC1">
        <w:rPr>
          <w:rFonts w:ascii="David" w:hAnsi="David" w:cs="David" w:hint="cs"/>
          <w:sz w:val="24"/>
          <w:szCs w:val="24"/>
          <w:rtl/>
        </w:rPr>
        <w:t>נזיר</w:t>
      </w:r>
      <w:r>
        <w:rPr>
          <w:rFonts w:ascii="David" w:hAnsi="David" w:cs="David" w:hint="cs"/>
          <w:sz w:val="24"/>
          <w:szCs w:val="24"/>
          <w:rtl/>
        </w:rPr>
        <w:t xml:space="preserve"> נטמא, הוא פוגם ומחלל את הנזר. פעולה זו כלל לא לגיטימית </w:t>
      </w:r>
      <w:r>
        <w:rPr>
          <w:rFonts w:asciiTheme="majorBidi" w:hAnsiTheme="majorBidi" w:cstheme="majorBidi" w:hint="cs"/>
          <w:sz w:val="20"/>
          <w:szCs w:val="20"/>
          <w:rtl/>
        </w:rPr>
        <w:t>(בניגוד לתגלחת האמורה ממילא להוות חלק מתהליך סיום ה</w:t>
      </w:r>
      <w:r w:rsidR="00A86BC1">
        <w:rPr>
          <w:rFonts w:asciiTheme="majorBidi" w:hAnsiTheme="majorBidi" w:cstheme="majorBidi" w:hint="cs"/>
          <w:sz w:val="20"/>
          <w:szCs w:val="20"/>
          <w:rtl/>
        </w:rPr>
        <w:t>נזירות</w:t>
      </w:r>
      <w:r>
        <w:rPr>
          <w:rFonts w:asciiTheme="majorBidi" w:hAnsiTheme="majorBidi" w:cstheme="majorBidi" w:hint="cs"/>
          <w:sz w:val="20"/>
          <w:szCs w:val="20"/>
          <w:rtl/>
        </w:rPr>
        <w:t xml:space="preserve">), </w:t>
      </w:r>
      <w:r>
        <w:rPr>
          <w:rFonts w:ascii="David" w:hAnsi="David" w:cs="David" w:hint="cs"/>
          <w:sz w:val="24"/>
          <w:szCs w:val="24"/>
          <w:rtl/>
        </w:rPr>
        <w:t>ולכן היא גוררת בנוסף לסתירת ה</w:t>
      </w:r>
      <w:r w:rsidR="00A86BC1">
        <w:rPr>
          <w:rFonts w:ascii="David" w:hAnsi="David" w:cs="David" w:hint="cs"/>
          <w:sz w:val="24"/>
          <w:szCs w:val="24"/>
          <w:rtl/>
        </w:rPr>
        <w:t>נזירות</w:t>
      </w:r>
      <w:r>
        <w:rPr>
          <w:rFonts w:ascii="David" w:hAnsi="David" w:cs="David" w:hint="cs"/>
          <w:sz w:val="24"/>
          <w:szCs w:val="24"/>
          <w:rtl/>
        </w:rPr>
        <w:t xml:space="preserve"> גם קרבן. כאשר הנזר מחולל</w:t>
      </w:r>
      <w:r w:rsidR="001D6EC6">
        <w:rPr>
          <w:rFonts w:ascii="David" w:hAnsi="David" w:cs="David" w:hint="cs"/>
          <w:sz w:val="24"/>
          <w:szCs w:val="24"/>
          <w:rtl/>
        </w:rPr>
        <w:t>,</w:t>
      </w:r>
      <w:r>
        <w:rPr>
          <w:rFonts w:ascii="David" w:hAnsi="David" w:cs="David" w:hint="cs"/>
          <w:sz w:val="24"/>
          <w:szCs w:val="24"/>
          <w:rtl/>
        </w:rPr>
        <w:t xml:space="preserve"> ה</w:t>
      </w:r>
      <w:r w:rsidR="00A86BC1">
        <w:rPr>
          <w:rFonts w:ascii="David" w:hAnsi="David" w:cs="David" w:hint="cs"/>
          <w:sz w:val="24"/>
          <w:szCs w:val="24"/>
          <w:rtl/>
        </w:rPr>
        <w:t>נזירות</w:t>
      </w:r>
      <w:r>
        <w:rPr>
          <w:rFonts w:ascii="David" w:hAnsi="David" w:cs="David" w:hint="cs"/>
          <w:sz w:val="24"/>
          <w:szCs w:val="24"/>
          <w:rtl/>
        </w:rPr>
        <w:t xml:space="preserve"> הקודמת נמחקת לגמרי</w:t>
      </w:r>
      <w:r>
        <w:rPr>
          <w:rStyle w:val="a5"/>
          <w:rFonts w:ascii="David" w:hAnsi="David" w:cs="David"/>
          <w:sz w:val="24"/>
          <w:szCs w:val="24"/>
          <w:rtl/>
        </w:rPr>
        <w:footnoteReference w:id="20"/>
      </w:r>
      <w:r>
        <w:rPr>
          <w:rFonts w:ascii="David" w:hAnsi="David" w:cs="David" w:hint="cs"/>
          <w:sz w:val="24"/>
          <w:szCs w:val="24"/>
          <w:rtl/>
        </w:rPr>
        <w:t>".</w:t>
      </w:r>
      <w:r w:rsidR="00701766">
        <w:rPr>
          <w:rFonts w:asciiTheme="majorBidi" w:hAnsiTheme="majorBidi" w:cstheme="majorBidi" w:hint="cs"/>
          <w:sz w:val="24"/>
          <w:szCs w:val="24"/>
          <w:rtl/>
        </w:rPr>
        <w:t xml:space="preserve"> בניגוד למגלח, אין איסור ישיר על המטמא את ה</w:t>
      </w:r>
      <w:r w:rsidR="00A86BC1">
        <w:rPr>
          <w:rFonts w:asciiTheme="majorBidi" w:hAnsiTheme="majorBidi" w:cstheme="majorBidi" w:hint="cs"/>
          <w:sz w:val="24"/>
          <w:szCs w:val="24"/>
          <w:rtl/>
        </w:rPr>
        <w:t>נזיר</w:t>
      </w:r>
      <w:r w:rsidR="00701766">
        <w:rPr>
          <w:rFonts w:asciiTheme="majorBidi" w:hAnsiTheme="majorBidi" w:cstheme="majorBidi" w:hint="cs"/>
          <w:sz w:val="24"/>
          <w:szCs w:val="24"/>
          <w:rtl/>
        </w:rPr>
        <w:t>, שכן</w:t>
      </w:r>
      <w:r w:rsidR="00701766">
        <w:rPr>
          <w:rFonts w:ascii="David" w:hAnsi="David" w:cs="David" w:hint="cs"/>
          <w:sz w:val="24"/>
          <w:szCs w:val="24"/>
          <w:rtl/>
        </w:rPr>
        <w:t xml:space="preserve"> "הרחבת החיוב והאחריות לאדם אחר להימנע מפגיעה בנזר, נאמרה רק ביחס לפגיעה ישירה, ואילו האחריות להימנע גם מפגיעות עקיפות בנזר</w:t>
      </w:r>
      <w:r w:rsidR="00A93FA9">
        <w:rPr>
          <w:rFonts w:ascii="David" w:hAnsi="David" w:cs="David" w:hint="cs"/>
          <w:sz w:val="24"/>
          <w:szCs w:val="24"/>
          <w:rtl/>
        </w:rPr>
        <w:t>,</w:t>
      </w:r>
      <w:r w:rsidR="00701766">
        <w:rPr>
          <w:rFonts w:ascii="David" w:hAnsi="David" w:cs="David" w:hint="cs"/>
          <w:sz w:val="24"/>
          <w:szCs w:val="24"/>
          <w:rtl/>
        </w:rPr>
        <w:t xml:space="preserve"> מוטלת רק על האדם עצמו</w:t>
      </w:r>
      <w:r w:rsidR="00701766">
        <w:rPr>
          <w:rStyle w:val="a5"/>
          <w:rFonts w:ascii="David" w:hAnsi="David" w:cs="David"/>
          <w:sz w:val="24"/>
          <w:szCs w:val="24"/>
          <w:rtl/>
        </w:rPr>
        <w:footnoteReference w:id="21"/>
      </w:r>
      <w:r w:rsidR="00701766">
        <w:rPr>
          <w:rFonts w:ascii="David" w:hAnsi="David" w:cs="David" w:hint="cs"/>
          <w:sz w:val="24"/>
          <w:szCs w:val="24"/>
          <w:rtl/>
        </w:rPr>
        <w:t>".</w:t>
      </w:r>
    </w:p>
    <w:p w14:paraId="6CF18B76" w14:textId="6478BFDD" w:rsidR="00701766" w:rsidRDefault="001E4607" w:rsidP="00064078">
      <w:p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 xml:space="preserve">ו. </w:t>
      </w:r>
      <w:r w:rsidR="00701766">
        <w:rPr>
          <w:rFonts w:asciiTheme="majorBidi" w:hAnsiTheme="majorBidi" w:cstheme="majorBidi" w:hint="cs"/>
          <w:b/>
          <w:bCs/>
          <w:sz w:val="24"/>
          <w:szCs w:val="24"/>
          <w:rtl/>
        </w:rPr>
        <w:t>נזירויות חלקיות</w:t>
      </w:r>
    </w:p>
    <w:p w14:paraId="5711DF01" w14:textId="409A8147" w:rsidR="009A16EF" w:rsidRPr="009A16EF" w:rsidRDefault="009A16EF" w:rsidP="009A16EF">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 בסוגיה בנדרים</w:t>
      </w:r>
      <w:r>
        <w:rPr>
          <w:rStyle w:val="a5"/>
          <w:rFonts w:asciiTheme="majorBidi" w:hAnsiTheme="majorBidi" w:cstheme="majorBidi"/>
          <w:sz w:val="24"/>
          <w:szCs w:val="24"/>
          <w:rtl/>
        </w:rPr>
        <w:footnoteReference w:id="22"/>
      </w:r>
      <w:r>
        <w:rPr>
          <w:rFonts w:asciiTheme="majorBidi" w:hAnsiTheme="majorBidi" w:cstheme="majorBidi" w:hint="cs"/>
          <w:sz w:val="24"/>
          <w:szCs w:val="24"/>
          <w:rtl/>
        </w:rPr>
        <w:t xml:space="preserve"> מחלוקת שמואל ורבי יוחנן: </w:t>
      </w:r>
      <w:r>
        <w:rPr>
          <w:rFonts w:asciiTheme="majorBidi" w:hAnsiTheme="majorBidi" w:cs="Times New Roman" w:hint="cs"/>
          <w:sz w:val="24"/>
          <w:szCs w:val="24"/>
          <w:rtl/>
        </w:rPr>
        <w:t xml:space="preserve"> </w:t>
      </w:r>
      <w:r w:rsidRPr="009A16EF">
        <w:rPr>
          <w:rFonts w:asciiTheme="majorBidi" w:hAnsiTheme="majorBidi" w:cs="Times New Roman"/>
          <w:sz w:val="24"/>
          <w:szCs w:val="24"/>
          <w:rtl/>
        </w:rPr>
        <w:t xml:space="preserve"> </w:t>
      </w:r>
    </w:p>
    <w:p w14:paraId="24B7B6D2" w14:textId="10256837" w:rsidR="009D28F5" w:rsidRPr="009A16EF" w:rsidRDefault="009A16EF" w:rsidP="009D28F5">
      <w:pPr>
        <w:spacing w:after="0" w:line="360" w:lineRule="auto"/>
        <w:rPr>
          <w:rFonts w:ascii="David" w:hAnsi="David" w:cs="David"/>
          <w:sz w:val="24"/>
          <w:szCs w:val="24"/>
          <w:rtl/>
        </w:rPr>
      </w:pPr>
      <w:r w:rsidRPr="009A16EF">
        <w:rPr>
          <w:rFonts w:ascii="David" w:hAnsi="David" w:cs="David"/>
          <w:sz w:val="24"/>
          <w:szCs w:val="24"/>
          <w:rtl/>
        </w:rPr>
        <w:t>"אמר רב יהודה אמר שמואל: נדרה משתי ככרות, באחת מתענה ובאחת אין מתענה, מתוך שהוא מפר למתענה - מפר לשאינו מתענה; ורב אסי אמר ר' יוחנן: מפר למתענה, ואין מפר לשאין מתענה".</w:t>
      </w:r>
      <w:r>
        <w:rPr>
          <w:rFonts w:ascii="David" w:hAnsi="David" w:cs="David" w:hint="cs"/>
          <w:sz w:val="24"/>
          <w:szCs w:val="24"/>
          <w:rtl/>
        </w:rPr>
        <w:t xml:space="preserve"> </w:t>
      </w:r>
      <w:r>
        <w:rPr>
          <w:rFonts w:asciiTheme="majorBidi" w:hAnsiTheme="majorBidi" w:cstheme="majorBidi" w:hint="cs"/>
          <w:sz w:val="24"/>
          <w:szCs w:val="24"/>
          <w:rtl/>
        </w:rPr>
        <w:t xml:space="preserve">על הפרדה זו מקשה הגמרא ממשנה: </w:t>
      </w:r>
      <w:r>
        <w:rPr>
          <w:rFonts w:asciiTheme="majorBidi" w:hAnsiTheme="majorBidi" w:cs="Times New Roman" w:hint="cs"/>
          <w:sz w:val="24"/>
          <w:szCs w:val="24"/>
          <w:rtl/>
        </w:rPr>
        <w:t>"</w:t>
      </w:r>
      <w:r w:rsidRPr="009A16EF">
        <w:rPr>
          <w:rFonts w:ascii="David" w:hAnsi="David" w:cs="David"/>
          <w:sz w:val="24"/>
          <w:szCs w:val="24"/>
          <w:rtl/>
        </w:rPr>
        <w:t>האשה שנדרה בנזיר והיתה שותה ביין ומיטמאה למתים הרי זו סופגת את הארבעים</w:t>
      </w:r>
      <w:r>
        <w:rPr>
          <w:rFonts w:ascii="David" w:hAnsi="David" w:cs="David" w:hint="cs"/>
          <w:sz w:val="24"/>
          <w:szCs w:val="24"/>
          <w:rtl/>
        </w:rPr>
        <w:t>.</w:t>
      </w:r>
      <w:r w:rsidRPr="009A16EF">
        <w:rPr>
          <w:rFonts w:ascii="David" w:hAnsi="David" w:cs="David"/>
          <w:sz w:val="24"/>
          <w:szCs w:val="24"/>
          <w:rtl/>
        </w:rPr>
        <w:t xml:space="preserve"> הפר לה בעלה והיא לא ידעה שהפר לה בעלה והיתה שותה ביין ומיטמאה למתים </w:t>
      </w:r>
      <w:r>
        <w:rPr>
          <w:rFonts w:ascii="David" w:hAnsi="David" w:cs="David" w:hint="cs"/>
          <w:sz w:val="24"/>
          <w:szCs w:val="24"/>
          <w:rtl/>
        </w:rPr>
        <w:t>-</w:t>
      </w:r>
      <w:r w:rsidRPr="009A16EF">
        <w:rPr>
          <w:rFonts w:ascii="David" w:hAnsi="David" w:cs="David"/>
          <w:sz w:val="24"/>
          <w:szCs w:val="24"/>
          <w:rtl/>
        </w:rPr>
        <w:t>אינה סופגת את הארבעים</w:t>
      </w:r>
      <w:r>
        <w:rPr>
          <w:rStyle w:val="a5"/>
          <w:rFonts w:ascii="David" w:hAnsi="David" w:cs="David"/>
          <w:sz w:val="24"/>
          <w:szCs w:val="24"/>
          <w:rtl/>
        </w:rPr>
        <w:footnoteReference w:id="23"/>
      </w:r>
      <w:r>
        <w:rPr>
          <w:rFonts w:ascii="David" w:hAnsi="David" w:cs="David" w:hint="cs"/>
          <w:sz w:val="24"/>
          <w:szCs w:val="24"/>
          <w:rtl/>
        </w:rPr>
        <w:t>".</w:t>
      </w:r>
      <w:r>
        <w:rPr>
          <w:rFonts w:asciiTheme="majorBidi" w:hAnsiTheme="majorBidi" w:cstheme="majorBidi" w:hint="cs"/>
          <w:sz w:val="24"/>
          <w:szCs w:val="24"/>
          <w:rtl/>
        </w:rPr>
        <w:t xml:space="preserve"> </w:t>
      </w:r>
      <w:r w:rsidR="009D28F5">
        <w:rPr>
          <w:rFonts w:ascii="David" w:hAnsi="David" w:cs="David" w:hint="cs"/>
          <w:sz w:val="24"/>
          <w:szCs w:val="24"/>
          <w:rtl/>
        </w:rPr>
        <w:t>"</w:t>
      </w:r>
      <w:r w:rsidR="009D28F5" w:rsidRPr="009A16EF">
        <w:rPr>
          <w:rFonts w:ascii="David" w:hAnsi="David" w:cs="David"/>
          <w:sz w:val="24"/>
          <w:szCs w:val="24"/>
          <w:rtl/>
        </w:rPr>
        <w:t xml:space="preserve">ואי אמרת מפר למתענה ואין מפר לשאין מתענה, דלמא מן יין דאית לה צערא הפר לה, מן חרצן ומן זג לא הפר לה, דהא לא אית לה צערא, ותספוג את הארבעים! אמר רב יוסף: </w:t>
      </w:r>
      <w:r w:rsidR="009D28F5" w:rsidRPr="009A16EF">
        <w:rPr>
          <w:rFonts w:ascii="David" w:hAnsi="David" w:cs="David"/>
          <w:b/>
          <w:bCs/>
          <w:sz w:val="24"/>
          <w:szCs w:val="24"/>
          <w:rtl/>
        </w:rPr>
        <w:t>אין נזירות לחצאין</w:t>
      </w:r>
      <w:r w:rsidR="009D28F5">
        <w:rPr>
          <w:rFonts w:ascii="David" w:hAnsi="David" w:cs="David" w:hint="cs"/>
          <w:sz w:val="24"/>
          <w:szCs w:val="24"/>
          <w:rtl/>
        </w:rPr>
        <w:t xml:space="preserve">...  </w:t>
      </w:r>
    </w:p>
    <w:p w14:paraId="36ED5CA6" w14:textId="77777777" w:rsidR="009D28F5" w:rsidRPr="009A16EF" w:rsidRDefault="009D28F5" w:rsidP="009D28F5">
      <w:pPr>
        <w:spacing w:after="0" w:line="360" w:lineRule="auto"/>
        <w:rPr>
          <w:rFonts w:ascii="David" w:hAnsi="David" w:cs="David"/>
          <w:sz w:val="24"/>
          <w:szCs w:val="24"/>
          <w:rtl/>
        </w:rPr>
      </w:pPr>
      <w:r w:rsidRPr="009A16EF">
        <w:rPr>
          <w:rFonts w:ascii="David" w:hAnsi="David" w:cs="David"/>
          <w:sz w:val="24"/>
          <w:szCs w:val="24"/>
          <w:rtl/>
        </w:rPr>
        <w:t xml:space="preserve">איתיביה: האשה שנדרה בנזיר ונטמאת, ואחר כך הפר לה בעלה - מביאה חטאת העוף ואין מביאה עולת העוף; ואי אמרת מפר למתענה ואין מפר לשאין מתענה, </w:t>
      </w:r>
      <w:r>
        <w:rPr>
          <w:rFonts w:ascii="David" w:hAnsi="David" w:cs="David" w:hint="cs"/>
          <w:sz w:val="24"/>
          <w:szCs w:val="24"/>
          <w:rtl/>
        </w:rPr>
        <w:t xml:space="preserve"> </w:t>
      </w:r>
    </w:p>
    <w:p w14:paraId="6A30EB70" w14:textId="42C3A63E" w:rsidR="009D28F5" w:rsidRDefault="009D28F5" w:rsidP="009D28F5">
      <w:pPr>
        <w:spacing w:after="0" w:line="360" w:lineRule="auto"/>
        <w:rPr>
          <w:rFonts w:asciiTheme="majorBidi" w:hAnsiTheme="majorBidi" w:cs="Times New Roman"/>
          <w:sz w:val="24"/>
          <w:szCs w:val="24"/>
          <w:rtl/>
        </w:rPr>
      </w:pPr>
      <w:r w:rsidRPr="009A16EF">
        <w:rPr>
          <w:rFonts w:ascii="David" w:hAnsi="David" w:cs="David"/>
          <w:sz w:val="24"/>
          <w:szCs w:val="24"/>
          <w:rtl/>
        </w:rPr>
        <w:t xml:space="preserve">דלמא מיין דאית לה צערא, הפר לה, מטומאת מת דלית לה צערא לא הפר לה! אמרי: </w:t>
      </w:r>
      <w:r w:rsidRPr="009D28F5">
        <w:rPr>
          <w:rFonts w:ascii="David" w:hAnsi="David" w:cs="David"/>
          <w:b/>
          <w:bCs/>
          <w:sz w:val="24"/>
          <w:szCs w:val="24"/>
          <w:rtl/>
        </w:rPr>
        <w:t>טומאת מת נמי אית לה צערא</w:t>
      </w:r>
      <w:r>
        <w:rPr>
          <w:rStyle w:val="a5"/>
          <w:rtl/>
        </w:rPr>
        <w:footnoteReference w:id="24"/>
      </w:r>
      <w:r>
        <w:rPr>
          <w:rFonts w:hint="cs"/>
          <w:rtl/>
        </w:rPr>
        <w:t xml:space="preserve">".  </w:t>
      </w:r>
      <w:r>
        <w:rPr>
          <w:rFonts w:asciiTheme="majorBidi" w:hAnsiTheme="majorBidi" w:cstheme="majorBidi" w:hint="cs"/>
          <w:sz w:val="24"/>
          <w:szCs w:val="24"/>
          <w:rtl/>
        </w:rPr>
        <w:t>במקום התירוץ האחרון, יכלה לכאורה הגמרא להשתמש בתירוץ הקודם, שלא ניתן להפר חלק מאיסורי ה</w:t>
      </w:r>
      <w:r w:rsidR="00A86BC1">
        <w:rPr>
          <w:rFonts w:asciiTheme="majorBidi" w:hAnsiTheme="majorBidi" w:cstheme="majorBidi" w:hint="cs"/>
          <w:sz w:val="24"/>
          <w:szCs w:val="24"/>
          <w:rtl/>
        </w:rPr>
        <w:t>נזירות</w:t>
      </w:r>
      <w:r>
        <w:rPr>
          <w:rFonts w:asciiTheme="majorBidi" w:hAnsiTheme="majorBidi" w:cstheme="majorBidi" w:hint="cs"/>
          <w:sz w:val="24"/>
          <w:szCs w:val="24"/>
          <w:rtl/>
        </w:rPr>
        <w:t xml:space="preserve">, מאחר שאין </w:t>
      </w:r>
      <w:r w:rsidR="00A86BC1">
        <w:rPr>
          <w:rFonts w:asciiTheme="majorBidi" w:hAnsiTheme="majorBidi" w:cstheme="majorBidi" w:hint="cs"/>
          <w:sz w:val="24"/>
          <w:szCs w:val="24"/>
          <w:rtl/>
        </w:rPr>
        <w:t>נזירות</w:t>
      </w:r>
      <w:r>
        <w:rPr>
          <w:rFonts w:asciiTheme="majorBidi" w:hAnsiTheme="majorBidi" w:cstheme="majorBidi" w:hint="cs"/>
          <w:sz w:val="24"/>
          <w:szCs w:val="24"/>
          <w:rtl/>
        </w:rPr>
        <w:t xml:space="preserve"> למחצה. הר"ן</w:t>
      </w:r>
      <w:r>
        <w:rPr>
          <w:rStyle w:val="a5"/>
          <w:rFonts w:asciiTheme="majorBidi" w:hAnsiTheme="majorBidi" w:cstheme="majorBidi"/>
          <w:sz w:val="24"/>
          <w:szCs w:val="24"/>
          <w:rtl/>
        </w:rPr>
        <w:footnoteReference w:id="25"/>
      </w:r>
      <w:r>
        <w:rPr>
          <w:rFonts w:asciiTheme="majorBidi" w:hAnsiTheme="majorBidi" w:cstheme="majorBidi" w:hint="cs"/>
          <w:sz w:val="24"/>
          <w:szCs w:val="24"/>
          <w:rtl/>
        </w:rPr>
        <w:t xml:space="preserve"> עומד על כך: </w:t>
      </w:r>
    </w:p>
    <w:p w14:paraId="1BAAF137" w14:textId="70FB75CB" w:rsidR="00935771" w:rsidRPr="00935771" w:rsidRDefault="009D28F5" w:rsidP="00935771">
      <w:pPr>
        <w:spacing w:after="0" w:line="360" w:lineRule="auto"/>
        <w:rPr>
          <w:rFonts w:asciiTheme="majorBidi" w:hAnsiTheme="majorBidi" w:cstheme="majorBidi"/>
          <w:sz w:val="24"/>
          <w:szCs w:val="24"/>
          <w:rtl/>
        </w:rPr>
      </w:pPr>
      <w:r w:rsidRPr="009D28F5">
        <w:rPr>
          <w:rFonts w:ascii="David" w:hAnsi="David" w:cs="David"/>
          <w:sz w:val="24"/>
          <w:szCs w:val="24"/>
          <w:rtl/>
        </w:rPr>
        <w:t>"טומאה אינה תלויה בנזירות, דאשכחן נזירות בלא טומאה</w:t>
      </w:r>
      <w:r>
        <w:rPr>
          <w:rFonts w:ascii="David" w:hAnsi="David" w:cs="David" w:hint="cs"/>
          <w:sz w:val="24"/>
          <w:szCs w:val="24"/>
          <w:rtl/>
        </w:rPr>
        <w:t>,</w:t>
      </w:r>
      <w:r w:rsidRPr="009D28F5">
        <w:rPr>
          <w:rFonts w:ascii="David" w:hAnsi="David" w:cs="David"/>
          <w:sz w:val="24"/>
          <w:szCs w:val="24"/>
          <w:rtl/>
        </w:rPr>
        <w:t xml:space="preserve"> שהרי נזיר שמשון אסור ביין ומטמא למתים </w:t>
      </w:r>
      <w:r w:rsidRPr="009D28F5">
        <w:rPr>
          <w:rFonts w:ascii="David" w:hAnsi="David" w:cs="David"/>
          <w:sz w:val="20"/>
          <w:szCs w:val="20"/>
          <w:rtl/>
        </w:rPr>
        <w:t>כדאיתא פרק קמא דמס' נזיר (ד)</w:t>
      </w:r>
      <w:r>
        <w:rPr>
          <w:rFonts w:ascii="David" w:hAnsi="David" w:cs="David" w:hint="cs"/>
          <w:sz w:val="20"/>
          <w:szCs w:val="20"/>
          <w:rtl/>
        </w:rPr>
        <w:t>,</w:t>
      </w:r>
      <w:r w:rsidRPr="009D28F5">
        <w:rPr>
          <w:rFonts w:ascii="David" w:hAnsi="David" w:cs="David"/>
          <w:sz w:val="24"/>
          <w:szCs w:val="24"/>
          <w:rtl/>
        </w:rPr>
        <w:t xml:space="preserve"> וכיון דלא תליא טומאה בנזירות</w:t>
      </w:r>
      <w:r>
        <w:rPr>
          <w:rFonts w:ascii="David" w:hAnsi="David" w:cs="David" w:hint="cs"/>
          <w:sz w:val="24"/>
          <w:szCs w:val="24"/>
          <w:rtl/>
        </w:rPr>
        <w:t>,</w:t>
      </w:r>
      <w:r w:rsidRPr="009D28F5">
        <w:rPr>
          <w:rFonts w:ascii="David" w:hAnsi="David" w:cs="David"/>
          <w:sz w:val="24"/>
          <w:szCs w:val="24"/>
          <w:rtl/>
        </w:rPr>
        <w:t xml:space="preserve"> </w:t>
      </w:r>
      <w:r w:rsidRPr="009D28F5">
        <w:rPr>
          <w:rFonts w:ascii="David" w:hAnsi="David" w:cs="David"/>
          <w:b/>
          <w:bCs/>
          <w:sz w:val="24"/>
          <w:szCs w:val="24"/>
          <w:rtl/>
        </w:rPr>
        <w:t>אפשר נמי דאיתא לאיסור טומאה בלא איסור שאר דיני נזירות</w:t>
      </w:r>
      <w:r>
        <w:rPr>
          <w:rStyle w:val="a5"/>
          <w:rFonts w:ascii="David" w:hAnsi="David" w:cs="David"/>
          <w:b/>
          <w:bCs/>
          <w:sz w:val="24"/>
          <w:szCs w:val="24"/>
          <w:rtl/>
        </w:rPr>
        <w:footnoteReference w:id="26"/>
      </w:r>
      <w:r w:rsidRPr="009D28F5">
        <w:rPr>
          <w:rFonts w:ascii="David" w:hAnsi="David" w:cs="David"/>
          <w:b/>
          <w:bCs/>
          <w:sz w:val="24"/>
          <w:szCs w:val="24"/>
          <w:rtl/>
        </w:rPr>
        <w:t>".</w:t>
      </w:r>
      <w:r w:rsidR="00935771">
        <w:rPr>
          <w:rFonts w:ascii="David" w:hAnsi="David" w:cs="David" w:hint="cs"/>
          <w:b/>
          <w:bCs/>
          <w:sz w:val="24"/>
          <w:szCs w:val="24"/>
          <w:rtl/>
        </w:rPr>
        <w:t xml:space="preserve"> </w:t>
      </w:r>
      <w:r w:rsidR="00935771">
        <w:rPr>
          <w:rFonts w:asciiTheme="majorBidi" w:hAnsiTheme="majorBidi" w:cstheme="majorBidi" w:hint="cs"/>
          <w:sz w:val="24"/>
          <w:szCs w:val="24"/>
          <w:rtl/>
        </w:rPr>
        <w:t xml:space="preserve">הרש"ש תמה ממשנה:  </w:t>
      </w:r>
    </w:p>
    <w:p w14:paraId="6F42FEDF" w14:textId="0F1B0C99" w:rsidR="00935771" w:rsidRDefault="00935771" w:rsidP="00935771">
      <w:pPr>
        <w:spacing w:after="0" w:line="360" w:lineRule="auto"/>
        <w:rPr>
          <w:rFonts w:asciiTheme="majorBidi" w:hAnsiTheme="majorBidi" w:cstheme="majorBidi"/>
          <w:sz w:val="24"/>
          <w:szCs w:val="24"/>
          <w:rtl/>
        </w:rPr>
      </w:pPr>
      <w:r w:rsidRPr="00935771">
        <w:rPr>
          <w:rFonts w:ascii="David" w:hAnsi="David" w:cs="David"/>
          <w:sz w:val="24"/>
          <w:szCs w:val="24"/>
          <w:rtl/>
        </w:rPr>
        <w:lastRenderedPageBreak/>
        <w:t>"</w:t>
      </w:r>
      <w:r w:rsidR="00A93FA9">
        <w:rPr>
          <w:rFonts w:ascii="David" w:hAnsi="David" w:cs="David" w:hint="cs"/>
          <w:sz w:val="24"/>
          <w:szCs w:val="24"/>
          <w:rtl/>
        </w:rPr>
        <w:t xml:space="preserve"> '</w:t>
      </w:r>
      <w:r w:rsidRPr="00935771">
        <w:rPr>
          <w:rFonts w:ascii="David" w:hAnsi="David" w:cs="David"/>
          <w:sz w:val="24"/>
          <w:szCs w:val="24"/>
          <w:rtl/>
        </w:rPr>
        <w:t>הריני נזיר מן החרצנים ומן הזגים ומן התגלחת ומן הטומאה</w:t>
      </w:r>
      <w:r w:rsidR="00A93FA9">
        <w:rPr>
          <w:rFonts w:ascii="David" w:hAnsi="David" w:cs="David" w:hint="cs"/>
          <w:sz w:val="24"/>
          <w:szCs w:val="24"/>
          <w:rtl/>
        </w:rPr>
        <w:t>' -</w:t>
      </w:r>
      <w:r w:rsidRPr="00935771">
        <w:rPr>
          <w:rFonts w:ascii="David" w:hAnsi="David" w:cs="David"/>
          <w:sz w:val="24"/>
          <w:szCs w:val="24"/>
          <w:rtl/>
        </w:rPr>
        <w:t xml:space="preserve"> הרי זה נזיר וכל דקדוקי נזירות עליו</w:t>
      </w:r>
      <w:r w:rsidRPr="00935771">
        <w:rPr>
          <w:rStyle w:val="a5"/>
          <w:rFonts w:ascii="David" w:hAnsi="David" w:cs="David"/>
          <w:sz w:val="24"/>
          <w:szCs w:val="24"/>
          <w:rtl/>
        </w:rPr>
        <w:footnoteReference w:id="27"/>
      </w:r>
      <w:r w:rsidRPr="00935771">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ובגמרא: "</w:t>
      </w:r>
      <w:r w:rsidRPr="00935771">
        <w:rPr>
          <w:rFonts w:ascii="David" w:hAnsi="David" w:cs="David"/>
          <w:sz w:val="24"/>
          <w:szCs w:val="24"/>
          <w:rtl/>
        </w:rPr>
        <w:t>רבנן אמרי: אפילו לא נזר אלא בחד מנהון הוי נזיר</w:t>
      </w:r>
      <w:r w:rsidRPr="00935771">
        <w:rPr>
          <w:rStyle w:val="a5"/>
          <w:rFonts w:ascii="David" w:hAnsi="David" w:cs="David"/>
          <w:sz w:val="24"/>
          <w:szCs w:val="24"/>
          <w:rtl/>
        </w:rPr>
        <w:footnoteReference w:id="28"/>
      </w:r>
      <w:r>
        <w:rPr>
          <w:rFonts w:ascii="David" w:hAnsi="David" w:cs="David" w:hint="cs"/>
          <w:sz w:val="24"/>
          <w:szCs w:val="24"/>
          <w:rtl/>
        </w:rPr>
        <w:t>"</w:t>
      </w:r>
      <w:r w:rsidRPr="00935771">
        <w:rPr>
          <w:rFonts w:ascii="David" w:hAnsi="David" w:cs="David"/>
          <w:sz w:val="24"/>
          <w:szCs w:val="24"/>
          <w:rtl/>
        </w:rPr>
        <w:t>.</w:t>
      </w:r>
      <w:r>
        <w:rPr>
          <w:rFonts w:ascii="David" w:hAnsi="David" w:cs="David" w:hint="cs"/>
          <w:sz w:val="24"/>
          <w:szCs w:val="24"/>
          <w:rtl/>
        </w:rPr>
        <w:t xml:space="preserve"> </w:t>
      </w:r>
      <w:r w:rsidRPr="00935771">
        <w:rPr>
          <w:rFonts w:asciiTheme="majorBidi" w:hAnsiTheme="majorBidi" w:cstheme="majorBidi"/>
          <w:sz w:val="24"/>
          <w:szCs w:val="24"/>
          <w:rtl/>
        </w:rPr>
        <w:t>מוסיף להקשות בקרן אורה:</w:t>
      </w:r>
      <w:r>
        <w:rPr>
          <w:rFonts w:asciiTheme="majorBidi" w:hAnsiTheme="majorBidi" w:cstheme="majorBidi" w:hint="cs"/>
          <w:sz w:val="24"/>
          <w:szCs w:val="24"/>
          <w:rtl/>
        </w:rPr>
        <w:t xml:space="preserve"> "</w:t>
      </w:r>
      <w:r w:rsidRPr="00935771">
        <w:rPr>
          <w:rFonts w:ascii="David" w:hAnsi="David" w:cs="David"/>
          <w:sz w:val="24"/>
          <w:szCs w:val="24"/>
          <w:rtl/>
        </w:rPr>
        <w:t xml:space="preserve">נזירות סתם ודאי לא הוי אלא בכולהו, </w:t>
      </w:r>
      <w:r w:rsidRPr="00935771">
        <w:rPr>
          <w:rFonts w:ascii="David" w:hAnsi="David" w:cs="David"/>
          <w:sz w:val="20"/>
          <w:szCs w:val="20"/>
          <w:rtl/>
        </w:rPr>
        <w:t>וכדתנן בנזיר (י"א ע"א),</w:t>
      </w:r>
      <w:r w:rsidRPr="00935771">
        <w:rPr>
          <w:rFonts w:ascii="David" w:hAnsi="David" w:cs="David"/>
          <w:sz w:val="24"/>
          <w:szCs w:val="24"/>
          <w:rtl/>
        </w:rPr>
        <w:t xml:space="preserve"> ונזירות שמשון גזירת הכתוב הוא</w:t>
      </w:r>
      <w:r>
        <w:rPr>
          <w:rStyle w:val="a5"/>
          <w:rFonts w:ascii="David" w:hAnsi="David" w:cs="David"/>
          <w:sz w:val="24"/>
          <w:szCs w:val="24"/>
          <w:rtl/>
        </w:rPr>
        <w:footnoteReference w:id="29"/>
      </w:r>
      <w:r w:rsidRPr="00935771">
        <w:rPr>
          <w:rFonts w:ascii="David" w:hAnsi="David" w:cs="David"/>
          <w:sz w:val="24"/>
          <w:szCs w:val="24"/>
          <w:rtl/>
        </w:rPr>
        <w:t xml:space="preserve">. ועוד דהא ילפינן </w:t>
      </w:r>
      <w:r w:rsidRPr="00935771">
        <w:rPr>
          <w:rFonts w:ascii="David" w:hAnsi="David" w:cs="David"/>
          <w:sz w:val="20"/>
          <w:szCs w:val="20"/>
          <w:rtl/>
        </w:rPr>
        <w:t>לעיל (ג' ע"א)</w:t>
      </w:r>
      <w:r w:rsidRPr="00935771">
        <w:rPr>
          <w:rFonts w:ascii="David" w:hAnsi="David" w:cs="David"/>
          <w:sz w:val="24"/>
          <w:szCs w:val="24"/>
          <w:rtl/>
        </w:rPr>
        <w:t xml:space="preserve"> בהיקשא דהבעל מיפר נזירות אשתו, משמע דלגמרי מצי מיפר אפילו מטומאה.</w:t>
      </w:r>
      <w:r>
        <w:rPr>
          <w:rFonts w:ascii="David" w:hAnsi="David" w:cs="David" w:hint="cs"/>
          <w:sz w:val="24"/>
          <w:szCs w:val="24"/>
          <w:rtl/>
        </w:rPr>
        <w:t xml:space="preserve">.. </w:t>
      </w:r>
      <w:r w:rsidRPr="00935771">
        <w:rPr>
          <w:rFonts w:ascii="David" w:hAnsi="David" w:cs="David"/>
          <w:sz w:val="24"/>
          <w:szCs w:val="24"/>
          <w:rtl/>
        </w:rPr>
        <w:t xml:space="preserve">ועוד דאי אסירי בטומאה. אם כן </w:t>
      </w:r>
      <w:r w:rsidRPr="00935771">
        <w:rPr>
          <w:rFonts w:ascii="David" w:hAnsi="David" w:cs="David"/>
          <w:b/>
          <w:bCs/>
          <w:sz w:val="24"/>
          <w:szCs w:val="24"/>
          <w:rtl/>
        </w:rPr>
        <w:t>אימתי מישתרי</w:t>
      </w:r>
      <w:r w:rsidRPr="00935771">
        <w:rPr>
          <w:rFonts w:ascii="David" w:hAnsi="David" w:cs="David"/>
          <w:sz w:val="24"/>
          <w:szCs w:val="24"/>
          <w:rtl/>
        </w:rPr>
        <w:t>, דהא קרבן לא מצי לאתויי על איסור טומאה לחוד, ובלא קרבן לא מצינו לנזיר דמישתרי</w:t>
      </w:r>
      <w:r>
        <w:rPr>
          <w:rFonts w:ascii="David" w:hAnsi="David" w:cs="David" w:hint="cs"/>
          <w:sz w:val="24"/>
          <w:szCs w:val="24"/>
          <w:rtl/>
        </w:rPr>
        <w:t>"</w:t>
      </w:r>
      <w:r w:rsidRPr="00935771">
        <w:rPr>
          <w:rFonts w:ascii="David" w:hAnsi="David" w:cs="David"/>
          <w:sz w:val="24"/>
          <w:szCs w:val="24"/>
          <w:rtl/>
        </w:rPr>
        <w:t>.</w:t>
      </w:r>
    </w:p>
    <w:p w14:paraId="727848B4" w14:textId="774CD027" w:rsidR="00935771" w:rsidRPr="00A86BC1" w:rsidRDefault="00935771" w:rsidP="00935771">
      <w:pPr>
        <w:spacing w:after="0" w:line="360" w:lineRule="auto"/>
        <w:rPr>
          <w:rFonts w:asciiTheme="majorBidi" w:hAnsiTheme="majorBidi" w:cstheme="majorBidi"/>
          <w:sz w:val="24"/>
          <w:szCs w:val="24"/>
          <w:rtl/>
        </w:rPr>
      </w:pPr>
      <w:r>
        <w:rPr>
          <w:rFonts w:asciiTheme="majorBidi" w:hAnsiTheme="majorBidi" w:cstheme="majorBidi" w:hint="cs"/>
          <w:sz w:val="24"/>
          <w:szCs w:val="24"/>
          <w:rtl/>
        </w:rPr>
        <w:t>מכל מקום לדעת הר"ן נראה שהפרדת איסור מ</w:t>
      </w:r>
      <w:r w:rsidR="00A86BC1">
        <w:rPr>
          <w:rFonts w:asciiTheme="majorBidi" w:hAnsiTheme="majorBidi" w:cstheme="majorBidi" w:hint="cs"/>
          <w:sz w:val="24"/>
          <w:szCs w:val="24"/>
          <w:rtl/>
        </w:rPr>
        <w:t>נזירות</w:t>
      </w:r>
      <w:r>
        <w:rPr>
          <w:rFonts w:asciiTheme="majorBidi" w:hAnsiTheme="majorBidi" w:cstheme="majorBidi" w:hint="cs"/>
          <w:sz w:val="24"/>
          <w:szCs w:val="24"/>
          <w:rtl/>
        </w:rPr>
        <w:t xml:space="preserve"> תיתכן רק באיסור טומאה. לפי מה שהתבאר, </w:t>
      </w:r>
      <w:r>
        <w:rPr>
          <w:rFonts w:ascii="David" w:hAnsi="David" w:cs="David" w:hint="cs"/>
          <w:sz w:val="24"/>
          <w:szCs w:val="24"/>
          <w:rtl/>
        </w:rPr>
        <w:t xml:space="preserve">"הכרחי שבכל </w:t>
      </w:r>
      <w:r w:rsidR="00A86BC1">
        <w:rPr>
          <w:rFonts w:ascii="David" w:hAnsi="David" w:cs="David" w:hint="cs"/>
          <w:sz w:val="24"/>
          <w:szCs w:val="24"/>
          <w:rtl/>
        </w:rPr>
        <w:t>נזירות</w:t>
      </w:r>
      <w:r>
        <w:rPr>
          <w:rFonts w:ascii="David" w:hAnsi="David" w:cs="David" w:hint="cs"/>
          <w:sz w:val="24"/>
          <w:szCs w:val="24"/>
          <w:rtl/>
        </w:rPr>
        <w:t xml:space="preserve"> יהיה איסור יין </w:t>
      </w:r>
      <w:r>
        <w:rPr>
          <w:rFonts w:ascii="David" w:hAnsi="David" w:cs="David"/>
          <w:sz w:val="24"/>
          <w:szCs w:val="24"/>
          <w:rtl/>
        </w:rPr>
        <w:t>–</w:t>
      </w:r>
      <w:r>
        <w:rPr>
          <w:rFonts w:ascii="David" w:hAnsi="David" w:cs="David" w:hint="cs"/>
          <w:sz w:val="24"/>
          <w:szCs w:val="24"/>
          <w:rtl/>
        </w:rPr>
        <w:t xml:space="preserve"> שהוא הרובד של האיסור, וכן איסור תגלחת- שהוא הרובד של הקדושה. לעומתם איסור טומאה אינו שייך לעצם האיסור או הקדושה, אלא הוא רק נספח לצד הקדושה.. ולכן איסור טומאה הוא היסור היחיד עליו ניתן לוותר עקרונית".</w:t>
      </w:r>
      <w:r w:rsidR="00A86BC1">
        <w:rPr>
          <w:rFonts w:ascii="David" w:hAnsi="David" w:cs="David" w:hint="cs"/>
          <w:sz w:val="24"/>
          <w:szCs w:val="24"/>
          <w:rtl/>
        </w:rPr>
        <w:t xml:space="preserve"> </w:t>
      </w:r>
      <w:r w:rsidR="00A86BC1">
        <w:rPr>
          <w:rFonts w:asciiTheme="majorBidi" w:hAnsiTheme="majorBidi" w:cstheme="majorBidi" w:hint="cs"/>
          <w:sz w:val="24"/>
          <w:szCs w:val="24"/>
          <w:rtl/>
        </w:rPr>
        <w:t>הרוגאצ'ובר</w:t>
      </w:r>
      <w:r w:rsidR="00A86BC1">
        <w:rPr>
          <w:rStyle w:val="a5"/>
          <w:rFonts w:asciiTheme="majorBidi" w:hAnsiTheme="majorBidi" w:cstheme="majorBidi"/>
          <w:sz w:val="24"/>
          <w:szCs w:val="24"/>
          <w:rtl/>
        </w:rPr>
        <w:footnoteReference w:id="30"/>
      </w:r>
      <w:r w:rsidR="00A86BC1">
        <w:rPr>
          <w:rFonts w:asciiTheme="majorBidi" w:hAnsiTheme="majorBidi" w:cstheme="majorBidi" w:hint="cs"/>
          <w:sz w:val="24"/>
          <w:szCs w:val="24"/>
          <w:rtl/>
        </w:rPr>
        <w:t xml:space="preserve"> מבסס את דברי הר"ן על פי עקרון של הרמב"ם: </w:t>
      </w:r>
      <w:r w:rsidR="00A86BC1" w:rsidRPr="00A86BC1">
        <w:rPr>
          <w:rFonts w:ascii="David" w:hAnsi="David" w:cs="David"/>
          <w:sz w:val="24"/>
          <w:szCs w:val="24"/>
          <w:rtl/>
        </w:rPr>
        <w:t xml:space="preserve">"אריסטו הקדים הנחה, והיא שכאשר נמצא דבר אחד מורכב משני דברים, ואחד משני הדברים נמצא לחוד מחוץ לדבר המורכב הזה- </w:t>
      </w:r>
      <w:r w:rsidR="00A86BC1" w:rsidRPr="00A86BC1">
        <w:rPr>
          <w:rFonts w:ascii="David" w:hAnsi="David" w:cs="David"/>
          <w:b/>
          <w:bCs/>
          <w:sz w:val="24"/>
          <w:szCs w:val="24"/>
          <w:rtl/>
        </w:rPr>
        <w:t>מתחייב בהכרח שגם הדבר השני יימצא מחוץ לאותו דבר מורכב</w:t>
      </w:r>
      <w:r w:rsidR="00A86BC1" w:rsidRPr="00A86BC1">
        <w:rPr>
          <w:rFonts w:ascii="David" w:hAnsi="David" w:cs="David"/>
          <w:sz w:val="24"/>
          <w:szCs w:val="24"/>
          <w:rtl/>
        </w:rPr>
        <w:t>, שכן אילו היתה מציאותם מחייבת שלא יימצאו אלא ביחד - כמו החומר והצורה הטבעית - לא היה אחד מהם נמצא מבלי השני בשום אופן. מציאותו של אחד מהם לחוד היא אפוא ראיה להֶעְדֵּר תלות הדדית, ומכאן שהשני יימצא בהכרח (לבדו)</w:t>
      </w:r>
      <w:r w:rsidR="00A86BC1" w:rsidRPr="00A86BC1">
        <w:rPr>
          <w:rStyle w:val="a5"/>
          <w:rFonts w:ascii="David" w:hAnsi="David" w:cs="David"/>
          <w:sz w:val="24"/>
          <w:szCs w:val="24"/>
          <w:rtl/>
        </w:rPr>
        <w:footnoteReference w:id="31"/>
      </w:r>
      <w:r w:rsidR="00A86BC1" w:rsidRPr="00A86BC1">
        <w:rPr>
          <w:rFonts w:ascii="David" w:hAnsi="David" w:cs="David"/>
          <w:sz w:val="24"/>
          <w:szCs w:val="24"/>
          <w:rtl/>
        </w:rPr>
        <w:t>".</w:t>
      </w:r>
      <w:r w:rsidR="00A86BC1">
        <w:rPr>
          <w:rFonts w:asciiTheme="majorBidi" w:hAnsiTheme="majorBidi" w:cstheme="majorBidi" w:hint="cs"/>
          <w:sz w:val="24"/>
          <w:szCs w:val="24"/>
          <w:rtl/>
        </w:rPr>
        <w:t xml:space="preserve"> כמובן, עקרון זה מקדם גם את ההרחבה של הרשב"א, לאפש</w:t>
      </w:r>
      <w:r w:rsidR="00112BE4">
        <w:rPr>
          <w:rFonts w:asciiTheme="majorBidi" w:hAnsiTheme="majorBidi" w:cstheme="majorBidi" w:hint="cs"/>
          <w:sz w:val="24"/>
          <w:szCs w:val="24"/>
          <w:rtl/>
        </w:rPr>
        <w:t>ר</w:t>
      </w:r>
      <w:r w:rsidR="00A86BC1">
        <w:rPr>
          <w:rFonts w:asciiTheme="majorBidi" w:hAnsiTheme="majorBidi" w:cstheme="majorBidi" w:hint="cs"/>
          <w:sz w:val="24"/>
          <w:szCs w:val="24"/>
          <w:rtl/>
        </w:rPr>
        <w:t xml:space="preserve"> נזירות אף ללא איסורי יין.</w:t>
      </w:r>
    </w:p>
    <w:p w14:paraId="45A97A30" w14:textId="77777777" w:rsidR="00701766" w:rsidRPr="009D28F5" w:rsidRDefault="00701766" w:rsidP="00064078">
      <w:pPr>
        <w:spacing w:after="0" w:line="360" w:lineRule="auto"/>
        <w:rPr>
          <w:rFonts w:ascii="David" w:hAnsi="David" w:cs="David"/>
          <w:b/>
          <w:bCs/>
          <w:sz w:val="24"/>
          <w:szCs w:val="24"/>
          <w:rtl/>
        </w:rPr>
      </w:pPr>
    </w:p>
    <w:p w14:paraId="3EA6C64D" w14:textId="7E1C4908" w:rsidR="00853A7E" w:rsidRPr="009D6398" w:rsidRDefault="00853A7E" w:rsidP="00853A7E">
      <w:pPr>
        <w:spacing w:after="0" w:line="360" w:lineRule="auto"/>
        <w:rPr>
          <w:rFonts w:asciiTheme="majorBidi" w:hAnsiTheme="majorBidi" w:cstheme="majorBidi"/>
          <w:sz w:val="24"/>
          <w:szCs w:val="24"/>
          <w:rtl/>
        </w:rPr>
      </w:pPr>
    </w:p>
    <w:p w14:paraId="767CEFFA" w14:textId="7C53BDB9" w:rsidR="00863EFD" w:rsidRDefault="009D6398" w:rsidP="00863EFD">
      <w:pPr>
        <w:spacing w:after="0" w:line="360" w:lineRule="auto"/>
        <w:rPr>
          <w:rFonts w:ascii="David" w:hAnsi="David" w:cs="David"/>
          <w:sz w:val="24"/>
          <w:szCs w:val="24"/>
          <w:rtl/>
        </w:rPr>
      </w:pPr>
      <w:r>
        <w:rPr>
          <w:rFonts w:ascii="David" w:hAnsi="David" w:cs="David" w:hint="cs"/>
          <w:sz w:val="24"/>
          <w:szCs w:val="24"/>
          <w:rtl/>
        </w:rPr>
        <w:t xml:space="preserve"> </w:t>
      </w:r>
    </w:p>
    <w:p w14:paraId="35BF5DC1" w14:textId="097C90FB" w:rsidR="00863EFD" w:rsidRDefault="00863EFD" w:rsidP="00863EFD">
      <w:pPr>
        <w:spacing w:after="0" w:line="360" w:lineRule="auto"/>
        <w:rPr>
          <w:rFonts w:ascii="David" w:hAnsi="David" w:cs="David"/>
          <w:sz w:val="24"/>
          <w:szCs w:val="24"/>
          <w:rtl/>
        </w:rPr>
      </w:pPr>
    </w:p>
    <w:p w14:paraId="553768E6" w14:textId="49C02143" w:rsidR="00863EFD" w:rsidRDefault="00863EFD" w:rsidP="00863EFD">
      <w:pPr>
        <w:spacing w:after="0" w:line="360" w:lineRule="auto"/>
        <w:rPr>
          <w:rFonts w:ascii="David" w:hAnsi="David" w:cs="David"/>
          <w:sz w:val="24"/>
          <w:szCs w:val="24"/>
          <w:rtl/>
        </w:rPr>
      </w:pPr>
    </w:p>
    <w:p w14:paraId="0B661139" w14:textId="6E73E854" w:rsidR="00863EFD" w:rsidRDefault="00CC51A3" w:rsidP="00863EFD">
      <w:pPr>
        <w:spacing w:after="0" w:line="360" w:lineRule="auto"/>
        <w:rPr>
          <w:rFonts w:ascii="David" w:hAnsi="David" w:cs="David"/>
          <w:sz w:val="24"/>
          <w:szCs w:val="24"/>
          <w:rtl/>
        </w:rPr>
      </w:pPr>
      <w:r>
        <w:rPr>
          <w:rFonts w:ascii="David" w:hAnsi="David" w:cs="David" w:hint="cs"/>
          <w:sz w:val="24"/>
          <w:szCs w:val="24"/>
          <w:rtl/>
        </w:rPr>
        <w:t xml:space="preserve"> </w:t>
      </w:r>
    </w:p>
    <w:p w14:paraId="165F2ADB" w14:textId="7AA386B6" w:rsidR="00863EFD" w:rsidRDefault="00CC51A3" w:rsidP="00863EFD">
      <w:pPr>
        <w:spacing w:after="0" w:line="360" w:lineRule="auto"/>
        <w:rPr>
          <w:rFonts w:ascii="David" w:hAnsi="David" w:cs="David"/>
          <w:sz w:val="24"/>
          <w:szCs w:val="24"/>
          <w:rtl/>
        </w:rPr>
      </w:pPr>
      <w:r>
        <w:rPr>
          <w:rFonts w:ascii="David" w:hAnsi="David" w:cs="David" w:hint="cs"/>
          <w:sz w:val="24"/>
          <w:szCs w:val="24"/>
          <w:rtl/>
        </w:rPr>
        <w:t xml:space="preserve"> </w:t>
      </w:r>
    </w:p>
    <w:p w14:paraId="1B12C3B0" w14:textId="39E9FB59" w:rsidR="006B5B1D" w:rsidRDefault="006B5B1D" w:rsidP="00863EFD">
      <w:pPr>
        <w:spacing w:after="0" w:line="360" w:lineRule="auto"/>
        <w:rPr>
          <w:rFonts w:ascii="David" w:hAnsi="David" w:cs="David"/>
          <w:sz w:val="24"/>
          <w:szCs w:val="24"/>
          <w:rtl/>
        </w:rPr>
      </w:pPr>
    </w:p>
    <w:p w14:paraId="4C9EC6E0" w14:textId="4D44BD4C" w:rsidR="006B5B1D" w:rsidRPr="006B5B1D" w:rsidRDefault="00112BE4" w:rsidP="006B5B1D">
      <w:pPr>
        <w:spacing w:after="0" w:line="360" w:lineRule="auto"/>
        <w:rPr>
          <w:rFonts w:ascii="David" w:hAnsi="David" w:cs="David"/>
          <w:color w:val="FF0000"/>
          <w:sz w:val="24"/>
          <w:szCs w:val="24"/>
          <w:rtl/>
        </w:rPr>
      </w:pPr>
      <w:r>
        <w:rPr>
          <w:rFonts w:ascii="David" w:hAnsi="David" w:cs="David" w:hint="cs"/>
          <w:sz w:val="24"/>
          <w:szCs w:val="24"/>
          <w:rtl/>
        </w:rPr>
        <w:t xml:space="preserve"> </w:t>
      </w:r>
    </w:p>
    <w:p w14:paraId="140C6B63" w14:textId="2588314B" w:rsidR="006B5B1D" w:rsidRDefault="00112BE4" w:rsidP="006B5B1D">
      <w:pPr>
        <w:spacing w:after="0" w:line="360" w:lineRule="auto"/>
        <w:rPr>
          <w:rFonts w:ascii="David" w:hAnsi="David" w:cs="David"/>
          <w:color w:val="FF0000"/>
          <w:sz w:val="24"/>
          <w:szCs w:val="24"/>
          <w:rtl/>
        </w:rPr>
      </w:pPr>
      <w:r>
        <w:rPr>
          <w:rFonts w:ascii="David" w:hAnsi="David" w:cs="David" w:hint="cs"/>
          <w:color w:val="FF0000"/>
          <w:sz w:val="24"/>
          <w:szCs w:val="24"/>
          <w:rtl/>
        </w:rPr>
        <w:t xml:space="preserve"> </w:t>
      </w:r>
    </w:p>
    <w:p w14:paraId="74E42192" w14:textId="361E8B38" w:rsidR="006B5B1D" w:rsidRPr="006B5B1D" w:rsidRDefault="00112BE4" w:rsidP="006B5B1D">
      <w:pPr>
        <w:spacing w:after="0" w:line="360" w:lineRule="auto"/>
        <w:rPr>
          <w:rFonts w:ascii="David" w:hAnsi="David" w:cs="David"/>
          <w:color w:val="FF0000"/>
          <w:sz w:val="24"/>
          <w:szCs w:val="24"/>
          <w:rtl/>
        </w:rPr>
      </w:pPr>
      <w:r>
        <w:rPr>
          <w:rFonts w:ascii="David" w:hAnsi="David" w:cs="David" w:hint="cs"/>
          <w:color w:val="FF0000"/>
          <w:sz w:val="24"/>
          <w:szCs w:val="24"/>
          <w:rtl/>
        </w:rPr>
        <w:t xml:space="preserve"> </w:t>
      </w:r>
    </w:p>
    <w:p w14:paraId="6EE8D3C0" w14:textId="27827C2D" w:rsidR="006B5B1D" w:rsidRPr="006B5B1D" w:rsidRDefault="00112BE4" w:rsidP="006B5B1D">
      <w:pPr>
        <w:spacing w:after="0" w:line="360" w:lineRule="auto"/>
        <w:rPr>
          <w:rFonts w:ascii="David" w:hAnsi="David" w:cs="David"/>
          <w:color w:val="FF0000"/>
          <w:sz w:val="24"/>
          <w:szCs w:val="24"/>
          <w:rtl/>
        </w:rPr>
      </w:pPr>
      <w:r>
        <w:rPr>
          <w:rFonts w:ascii="David" w:hAnsi="David" w:cs="David" w:hint="cs"/>
          <w:color w:val="FF0000"/>
          <w:sz w:val="24"/>
          <w:szCs w:val="24"/>
          <w:rtl/>
        </w:rPr>
        <w:t xml:space="preserve"> </w:t>
      </w:r>
    </w:p>
    <w:p w14:paraId="7510545F" w14:textId="15ACC724" w:rsidR="006B5B1D" w:rsidRPr="006B5B1D" w:rsidRDefault="00112BE4" w:rsidP="006B5B1D">
      <w:pPr>
        <w:spacing w:after="0" w:line="360" w:lineRule="auto"/>
        <w:rPr>
          <w:rFonts w:ascii="David" w:hAnsi="David" w:cs="David"/>
          <w:color w:val="FF0000"/>
          <w:sz w:val="24"/>
          <w:szCs w:val="24"/>
          <w:rtl/>
        </w:rPr>
      </w:pPr>
      <w:r>
        <w:rPr>
          <w:rFonts w:ascii="David" w:hAnsi="David" w:cs="David" w:hint="cs"/>
          <w:color w:val="FF0000"/>
          <w:sz w:val="24"/>
          <w:szCs w:val="24"/>
          <w:rtl/>
        </w:rPr>
        <w:t xml:space="preserve"> </w:t>
      </w:r>
    </w:p>
    <w:sectPr w:rsidR="006B5B1D" w:rsidRPr="006B5B1D" w:rsidSect="00293330">
      <w:head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022F1" w14:textId="77777777" w:rsidR="00B612C6" w:rsidRDefault="00B612C6" w:rsidP="00153010">
      <w:pPr>
        <w:spacing w:after="0" w:line="240" w:lineRule="auto"/>
      </w:pPr>
      <w:r>
        <w:separator/>
      </w:r>
    </w:p>
  </w:endnote>
  <w:endnote w:type="continuationSeparator" w:id="0">
    <w:p w14:paraId="670B9FA3" w14:textId="77777777" w:rsidR="00B612C6" w:rsidRDefault="00B612C6" w:rsidP="00153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53749" w14:textId="77777777" w:rsidR="00B612C6" w:rsidRDefault="00B612C6" w:rsidP="00153010">
      <w:pPr>
        <w:spacing w:after="0" w:line="240" w:lineRule="auto"/>
      </w:pPr>
      <w:r>
        <w:separator/>
      </w:r>
    </w:p>
  </w:footnote>
  <w:footnote w:type="continuationSeparator" w:id="0">
    <w:p w14:paraId="7A3D01BF" w14:textId="77777777" w:rsidR="00B612C6" w:rsidRDefault="00B612C6" w:rsidP="00153010">
      <w:pPr>
        <w:spacing w:after="0" w:line="240" w:lineRule="auto"/>
      </w:pPr>
      <w:r>
        <w:continuationSeparator/>
      </w:r>
    </w:p>
  </w:footnote>
  <w:footnote w:id="1">
    <w:p w14:paraId="53DB6F29" w14:textId="6093164B" w:rsidR="00853A7E" w:rsidRPr="00853A7E" w:rsidRDefault="00853A7E" w:rsidP="00853A7E">
      <w:pPr>
        <w:spacing w:after="0" w:line="360" w:lineRule="auto"/>
        <w:rPr>
          <w:rFonts w:asciiTheme="majorBidi" w:hAnsiTheme="majorBidi" w:cstheme="majorBidi"/>
          <w:sz w:val="20"/>
          <w:szCs w:val="20"/>
          <w:rtl/>
        </w:rPr>
      </w:pPr>
      <w:r w:rsidRPr="00853A7E">
        <w:rPr>
          <w:rStyle w:val="a5"/>
          <w:sz w:val="20"/>
          <w:szCs w:val="20"/>
        </w:rPr>
        <w:footnoteRef/>
      </w:r>
      <w:r w:rsidRPr="00853A7E">
        <w:rPr>
          <w:sz w:val="20"/>
          <w:szCs w:val="20"/>
          <w:rtl/>
        </w:rPr>
        <w:t xml:space="preserve"> </w:t>
      </w:r>
      <w:r w:rsidRPr="00853A7E">
        <w:rPr>
          <w:rFonts w:asciiTheme="majorBidi" w:hAnsiTheme="majorBidi" w:cs="Times New Roman"/>
          <w:sz w:val="20"/>
          <w:szCs w:val="20"/>
          <w:rtl/>
        </w:rPr>
        <w:t>במדבר פרק ו</w:t>
      </w:r>
      <w:r w:rsidRPr="00853A7E">
        <w:rPr>
          <w:rFonts w:asciiTheme="majorBidi" w:hAnsiTheme="majorBidi" w:cs="Times New Roman" w:hint="cs"/>
          <w:sz w:val="20"/>
          <w:szCs w:val="20"/>
          <w:rtl/>
        </w:rPr>
        <w:t>.</w:t>
      </w:r>
    </w:p>
  </w:footnote>
  <w:footnote w:id="2">
    <w:p w14:paraId="67525BAB" w14:textId="34B97778" w:rsidR="00153010" w:rsidRDefault="00153010">
      <w:pPr>
        <w:pStyle w:val="a3"/>
        <w:rPr>
          <w:rFonts w:asciiTheme="majorBidi" w:hAnsiTheme="majorBidi" w:cstheme="majorBidi"/>
          <w:rtl/>
        </w:rPr>
      </w:pPr>
      <w:r w:rsidRPr="00153010">
        <w:rPr>
          <w:rStyle w:val="a5"/>
          <w:rFonts w:asciiTheme="majorBidi" w:hAnsiTheme="majorBidi" w:cstheme="majorBidi"/>
        </w:rPr>
        <w:footnoteRef/>
      </w:r>
      <w:r w:rsidRPr="00153010">
        <w:rPr>
          <w:rFonts w:asciiTheme="majorBidi" w:hAnsiTheme="majorBidi" w:cstheme="majorBidi"/>
          <w:rtl/>
        </w:rPr>
        <w:t xml:space="preserve"> במאמר זה צעדתי בעקבות הרב נעם ורשנר, בספרו  ראשית הנזר סימן טו. מצאתי שסלל דרך בהירה ומקיפה לתפארת. תודתי נתונה לו על הרשות לצטט מספרו. כל ציוני העמודים בהמשך ללא מקור נוסף, לקוחים מספרו זה.</w:t>
      </w:r>
    </w:p>
    <w:p w14:paraId="4A28FF33" w14:textId="77777777" w:rsidR="005551DC" w:rsidRPr="00153010" w:rsidRDefault="005551DC">
      <w:pPr>
        <w:pStyle w:val="a3"/>
        <w:rPr>
          <w:rFonts w:asciiTheme="majorBidi" w:hAnsiTheme="majorBidi" w:cstheme="majorBidi"/>
        </w:rPr>
      </w:pPr>
    </w:p>
  </w:footnote>
  <w:footnote w:id="3">
    <w:p w14:paraId="7CB883CF" w14:textId="0ABF4353" w:rsidR="005551DC" w:rsidRPr="005551DC" w:rsidRDefault="005551DC" w:rsidP="005551DC">
      <w:pPr>
        <w:pStyle w:val="a3"/>
        <w:rPr>
          <w:rFonts w:asciiTheme="majorBidi" w:hAnsiTheme="majorBidi" w:cstheme="majorBidi"/>
          <w:rtl/>
        </w:rPr>
      </w:pPr>
      <w:r>
        <w:rPr>
          <w:rStyle w:val="a5"/>
        </w:rPr>
        <w:footnoteRef/>
      </w:r>
      <w:r>
        <w:rPr>
          <w:rtl/>
        </w:rPr>
        <w:t xml:space="preserve"> </w:t>
      </w:r>
      <w:r>
        <w:rPr>
          <w:rFonts w:asciiTheme="majorBidi" w:hAnsiTheme="majorBidi" w:cstheme="majorBidi" w:hint="cs"/>
          <w:rtl/>
        </w:rPr>
        <w:t xml:space="preserve">אך אין זו מצווה. </w:t>
      </w:r>
      <w:r>
        <w:rPr>
          <w:rFonts w:asciiTheme="majorBidi" w:hAnsiTheme="majorBidi" w:cs="Times New Roman" w:hint="cs"/>
          <w:rtl/>
        </w:rPr>
        <w:t>(</w:t>
      </w:r>
      <w:r w:rsidRPr="005551DC">
        <w:rPr>
          <w:rFonts w:asciiTheme="majorBidi" w:hAnsiTheme="majorBidi" w:cs="Times New Roman"/>
          <w:rtl/>
        </w:rPr>
        <w:t>משנה פרק ו</w:t>
      </w:r>
      <w:r>
        <w:rPr>
          <w:rFonts w:asciiTheme="majorBidi" w:hAnsiTheme="majorBidi" w:cstheme="majorBidi" w:hint="cs"/>
          <w:rtl/>
        </w:rPr>
        <w:t xml:space="preserve"> משנה ט).</w:t>
      </w:r>
    </w:p>
    <w:p w14:paraId="5FE9BCFE" w14:textId="34F4F721" w:rsidR="005551DC" w:rsidRPr="005551DC" w:rsidRDefault="005551DC" w:rsidP="005551DC">
      <w:pPr>
        <w:pStyle w:val="a3"/>
        <w:rPr>
          <w:rFonts w:asciiTheme="majorBidi" w:hAnsiTheme="majorBidi" w:cstheme="majorBidi"/>
        </w:rPr>
      </w:pPr>
    </w:p>
  </w:footnote>
  <w:footnote w:id="4">
    <w:p w14:paraId="297106DD" w14:textId="7B71D2A9" w:rsidR="00DC4D1A" w:rsidRDefault="00DC4D1A" w:rsidP="00DC4D1A">
      <w:pPr>
        <w:pStyle w:val="a3"/>
        <w:spacing w:before="240"/>
        <w:rPr>
          <w:rFonts w:ascii="David" w:hAnsi="David" w:cs="David"/>
          <w:rtl/>
        </w:rPr>
      </w:pPr>
      <w:r>
        <w:rPr>
          <w:rStyle w:val="a5"/>
        </w:rPr>
        <w:footnoteRef/>
      </w:r>
      <w:r>
        <w:rPr>
          <w:rtl/>
        </w:rPr>
        <w:t xml:space="preserve"> </w:t>
      </w:r>
      <w:r>
        <w:rPr>
          <w:rFonts w:ascii="David" w:hAnsi="David" w:cs="David" w:hint="cs"/>
          <w:rtl/>
        </w:rPr>
        <w:t>"כאשר ה</w:t>
      </w:r>
      <w:r w:rsidR="00A86BC1">
        <w:rPr>
          <w:rFonts w:ascii="David" w:hAnsi="David" w:cs="David" w:hint="cs"/>
          <w:rtl/>
        </w:rPr>
        <w:t>נזיר</w:t>
      </w:r>
      <w:r>
        <w:rPr>
          <w:rFonts w:ascii="David" w:hAnsi="David" w:cs="David" w:hint="cs"/>
          <w:rtl/>
        </w:rPr>
        <w:t xml:space="preserve"> נטמא, הטומאה מותירה בו רושם המחייב אותו להיטהר. לעומת זאת שתיית יין אינה מותירה רושם לאחר זמן מה, ולכן אינה סותרת. במובן זה גילוח נמצא בעמדת ביניים: מחד הוא דומה לטומאה   כיוון שנותר בו רושם, ומאידך זהו רושם מוגבל בזמן, שיחלוף מאליו לאחר גידול השיער" (</w:t>
      </w:r>
      <w:r w:rsidRPr="00A86BC1">
        <w:rPr>
          <w:rFonts w:asciiTheme="majorBidi" w:hAnsiTheme="majorBidi" w:cstheme="majorBidi"/>
          <w:rtl/>
        </w:rPr>
        <w:t>עמוד 241).</w:t>
      </w:r>
    </w:p>
    <w:p w14:paraId="45758749" w14:textId="77777777" w:rsidR="00DC4D1A" w:rsidRPr="00DC4D1A" w:rsidRDefault="00DC4D1A" w:rsidP="00DC4D1A">
      <w:pPr>
        <w:pStyle w:val="a3"/>
        <w:spacing w:before="240"/>
        <w:rPr>
          <w:rFonts w:ascii="David" w:hAnsi="David" w:cs="David"/>
        </w:rPr>
      </w:pPr>
    </w:p>
  </w:footnote>
  <w:footnote w:id="5">
    <w:p w14:paraId="5E47EE2C" w14:textId="46FAA18E" w:rsidR="005551DC" w:rsidRDefault="005551DC" w:rsidP="00DC4D1A">
      <w:pPr>
        <w:pStyle w:val="a3"/>
        <w:rPr>
          <w:rFonts w:asciiTheme="majorBidi" w:hAnsiTheme="majorBidi" w:cstheme="majorBidi"/>
          <w:rtl/>
        </w:rPr>
      </w:pPr>
      <w:r w:rsidRPr="005551DC">
        <w:rPr>
          <w:rStyle w:val="a5"/>
          <w:rFonts w:asciiTheme="majorBidi" w:hAnsiTheme="majorBidi" w:cstheme="majorBidi"/>
        </w:rPr>
        <w:footnoteRef/>
      </w:r>
      <w:r w:rsidRPr="005551DC">
        <w:rPr>
          <w:rFonts w:asciiTheme="majorBidi" w:hAnsiTheme="majorBidi" w:cstheme="majorBidi"/>
          <w:rtl/>
        </w:rPr>
        <w:t xml:space="preserve"> </w:t>
      </w:r>
      <w:r w:rsidR="00DC4D1A">
        <w:rPr>
          <w:rFonts w:asciiTheme="majorBidi" w:hAnsiTheme="majorBidi" w:cstheme="majorBidi" w:hint="cs"/>
          <w:rtl/>
        </w:rPr>
        <w:t>"</w:t>
      </w:r>
      <w:r w:rsidRPr="005551DC">
        <w:rPr>
          <w:rFonts w:ascii="David" w:hAnsi="David" w:cs="David"/>
          <w:rtl/>
        </w:rPr>
        <w:t xml:space="preserve">תער לא יעבור על ראשו הא עבר חייב </w:t>
      </w:r>
      <w:r w:rsidRPr="005551DC">
        <w:rPr>
          <w:rFonts w:ascii="David" w:hAnsi="David" w:cs="David"/>
          <w:sz w:val="16"/>
          <w:szCs w:val="16"/>
          <w:rtl/>
        </w:rPr>
        <w:t>[במדבר ו ה]</w:t>
      </w:r>
      <w:r w:rsidRPr="005551DC">
        <w:rPr>
          <w:rFonts w:ascii="David" w:hAnsi="David" w:cs="David"/>
          <w:rtl/>
        </w:rPr>
        <w:t xml:space="preserve"> גדל פרע שער ראשו</w:t>
      </w:r>
      <w:r w:rsidR="001E4607">
        <w:rPr>
          <w:rFonts w:ascii="David" w:hAnsi="David" w:cs="David" w:hint="cs"/>
          <w:rtl/>
        </w:rPr>
        <w:t>.</w:t>
      </w:r>
      <w:r w:rsidRPr="005551DC">
        <w:rPr>
          <w:rFonts w:ascii="David" w:hAnsi="David" w:cs="David"/>
          <w:rtl/>
        </w:rPr>
        <w:t xml:space="preserve"> כמה הוא גידול שיער שלשים יום</w:t>
      </w:r>
      <w:r>
        <w:rPr>
          <w:rFonts w:ascii="David" w:hAnsi="David" w:cs="David" w:hint="cs"/>
          <w:rtl/>
        </w:rPr>
        <w:t xml:space="preserve">" </w:t>
      </w:r>
    </w:p>
    <w:p w14:paraId="6835423C" w14:textId="5330CE28" w:rsidR="005551DC" w:rsidRDefault="005551DC" w:rsidP="005551DC">
      <w:pPr>
        <w:pStyle w:val="a3"/>
        <w:rPr>
          <w:rFonts w:asciiTheme="majorBidi" w:hAnsiTheme="majorBidi" w:cstheme="majorBidi"/>
          <w:rtl/>
        </w:rPr>
      </w:pPr>
      <w:r>
        <w:rPr>
          <w:rFonts w:asciiTheme="majorBidi" w:hAnsiTheme="majorBidi" w:cstheme="majorBidi" w:hint="cs"/>
          <w:rtl/>
        </w:rPr>
        <w:t>(</w:t>
      </w:r>
      <w:r w:rsidRPr="005551DC">
        <w:rPr>
          <w:rFonts w:asciiTheme="majorBidi" w:hAnsiTheme="majorBidi" w:cstheme="majorBidi"/>
          <w:rtl/>
        </w:rPr>
        <w:t>תלמוד ירושלמי</w:t>
      </w:r>
      <w:r>
        <w:rPr>
          <w:rFonts w:asciiTheme="majorBidi" w:hAnsiTheme="majorBidi" w:cstheme="majorBidi" w:hint="cs"/>
          <w:rtl/>
        </w:rPr>
        <w:t xml:space="preserve"> </w:t>
      </w:r>
      <w:r w:rsidRPr="005551DC">
        <w:rPr>
          <w:rFonts w:asciiTheme="majorBidi" w:hAnsiTheme="majorBidi" w:cstheme="majorBidi"/>
          <w:rtl/>
        </w:rPr>
        <w:t>פרק ו</w:t>
      </w:r>
      <w:r>
        <w:rPr>
          <w:rFonts w:asciiTheme="majorBidi" w:hAnsiTheme="majorBidi" w:cstheme="majorBidi" w:hint="cs"/>
          <w:rtl/>
        </w:rPr>
        <w:t xml:space="preserve"> תחילת הלכה ג).</w:t>
      </w:r>
      <w:r>
        <w:rPr>
          <w:rFonts w:ascii="David" w:hAnsi="David" w:cs="David" w:hint="cs"/>
          <w:rtl/>
        </w:rPr>
        <w:t xml:space="preserve"> </w:t>
      </w:r>
      <w:r w:rsidRPr="00DC4D1A">
        <w:rPr>
          <w:rFonts w:asciiTheme="majorBidi" w:hAnsiTheme="majorBidi" w:cstheme="majorBidi"/>
          <w:rtl/>
        </w:rPr>
        <w:t xml:space="preserve">בקרבן העדה הבין שכיוון שיש מלקות </w:t>
      </w:r>
      <w:r w:rsidR="00DC4D1A" w:rsidRPr="00DC4D1A">
        <w:rPr>
          <w:rFonts w:asciiTheme="majorBidi" w:hAnsiTheme="majorBidi" w:cstheme="majorBidi"/>
          <w:rtl/>
        </w:rPr>
        <w:t>יש סתירה מלאה</w:t>
      </w:r>
      <w:r w:rsidR="001E4607">
        <w:rPr>
          <w:rFonts w:asciiTheme="majorBidi" w:hAnsiTheme="majorBidi" w:cstheme="majorBidi" w:hint="cs"/>
          <w:rtl/>
        </w:rPr>
        <w:t xml:space="preserve"> של הנזירות</w:t>
      </w:r>
      <w:r w:rsidR="00DC4D1A" w:rsidRPr="00DC4D1A">
        <w:rPr>
          <w:rFonts w:asciiTheme="majorBidi" w:hAnsiTheme="majorBidi" w:cstheme="majorBidi"/>
          <w:rtl/>
        </w:rPr>
        <w:t xml:space="preserve">, והלימוד מצמצם ל-30 יום. </w:t>
      </w:r>
      <w:r w:rsidR="00DC4D1A">
        <w:rPr>
          <w:rFonts w:asciiTheme="majorBidi" w:hAnsiTheme="majorBidi" w:cstheme="majorBidi" w:hint="cs"/>
          <w:rtl/>
        </w:rPr>
        <w:t>לפי הפני משה</w:t>
      </w:r>
      <w:r w:rsidR="001D6EC6">
        <w:rPr>
          <w:rFonts w:asciiTheme="majorBidi" w:hAnsiTheme="majorBidi" w:cstheme="majorBidi" w:hint="cs"/>
          <w:rtl/>
        </w:rPr>
        <w:t>,</w:t>
      </w:r>
      <w:r w:rsidR="00DC4D1A">
        <w:rPr>
          <w:rFonts w:asciiTheme="majorBidi" w:hAnsiTheme="majorBidi" w:cstheme="majorBidi" w:hint="cs"/>
          <w:rtl/>
        </w:rPr>
        <w:t xml:space="preserve"> המילים 'גדל פרע שער ראשו' מלמדות שסותר 30 יום, כדי גידול פרע. הרב ורשנר סבור שלפנינו מעין לאו הניתק לעשה: אם עבר יגדל פרע. לדעתו, לפי התלמוד הבבלי אין צורך במקור, כיוון שהגילוח הוא חלק מהותי מתהליך סיום ה</w:t>
      </w:r>
      <w:r w:rsidR="00A86BC1">
        <w:rPr>
          <w:rFonts w:asciiTheme="majorBidi" w:hAnsiTheme="majorBidi" w:cstheme="majorBidi" w:hint="cs"/>
          <w:rtl/>
        </w:rPr>
        <w:t>נזירות</w:t>
      </w:r>
      <w:r w:rsidR="00DC4D1A">
        <w:rPr>
          <w:rFonts w:asciiTheme="majorBidi" w:hAnsiTheme="majorBidi" w:cstheme="majorBidi" w:hint="cs"/>
          <w:rtl/>
        </w:rPr>
        <w:t xml:space="preserve">, </w:t>
      </w:r>
      <w:r w:rsidR="00DC4D1A">
        <w:rPr>
          <w:rFonts w:ascii="David" w:hAnsi="David" w:cs="David" w:hint="cs"/>
          <w:rtl/>
        </w:rPr>
        <w:t>"אם ל</w:t>
      </w:r>
      <w:r w:rsidR="00A86BC1">
        <w:rPr>
          <w:rFonts w:ascii="David" w:hAnsi="David" w:cs="David" w:hint="cs"/>
          <w:rtl/>
        </w:rPr>
        <w:t>נזיר</w:t>
      </w:r>
      <w:r w:rsidR="00DC4D1A">
        <w:rPr>
          <w:rFonts w:ascii="David" w:hAnsi="David" w:cs="David" w:hint="cs"/>
          <w:rtl/>
        </w:rPr>
        <w:t xml:space="preserve"> לא יהיה שיער, באופן טכני לא יהיה מה לגלח, וממילא הוא לא יוכל לקיים את תהליך סיום </w:t>
      </w:r>
      <w:r w:rsidR="00A86BC1">
        <w:rPr>
          <w:rFonts w:ascii="David" w:hAnsi="David" w:cs="David" w:hint="cs"/>
          <w:rtl/>
        </w:rPr>
        <w:t>נזירות</w:t>
      </w:r>
      <w:r w:rsidR="00DC4D1A">
        <w:rPr>
          <w:rFonts w:ascii="David" w:hAnsi="David" w:cs="David" w:hint="cs"/>
          <w:rtl/>
        </w:rPr>
        <w:t>ו. לכן עליו בהכרח לגדל קודם שיער ב</w:t>
      </w:r>
      <w:r w:rsidR="00853A7E">
        <w:rPr>
          <w:rFonts w:ascii="David" w:hAnsi="David" w:cs="David" w:hint="cs"/>
          <w:rtl/>
        </w:rPr>
        <w:t>מ</w:t>
      </w:r>
      <w:r w:rsidR="00DC4D1A">
        <w:rPr>
          <w:rFonts w:ascii="David" w:hAnsi="David" w:cs="David" w:hint="cs"/>
          <w:rtl/>
        </w:rPr>
        <w:t xml:space="preserve">שך שלושים יום" </w:t>
      </w:r>
      <w:r w:rsidR="00DC4D1A">
        <w:rPr>
          <w:rFonts w:asciiTheme="majorBidi" w:hAnsiTheme="majorBidi" w:cstheme="majorBidi" w:hint="cs"/>
          <w:rtl/>
        </w:rPr>
        <w:t>(עמוד 240).</w:t>
      </w:r>
    </w:p>
    <w:p w14:paraId="5241A20B" w14:textId="77777777" w:rsidR="00853A7E" w:rsidRPr="00DC4D1A" w:rsidRDefault="00853A7E" w:rsidP="005551DC">
      <w:pPr>
        <w:pStyle w:val="a3"/>
        <w:rPr>
          <w:rFonts w:asciiTheme="majorBidi" w:hAnsiTheme="majorBidi" w:cstheme="majorBidi"/>
          <w:rtl/>
        </w:rPr>
      </w:pPr>
    </w:p>
  </w:footnote>
  <w:footnote w:id="6">
    <w:p w14:paraId="1DE72D00" w14:textId="5122F233" w:rsidR="00853A7E" w:rsidRPr="001E4607" w:rsidRDefault="00853A7E" w:rsidP="001E4607">
      <w:pPr>
        <w:pStyle w:val="a3"/>
        <w:spacing w:line="360" w:lineRule="auto"/>
        <w:rPr>
          <w:rFonts w:asciiTheme="majorBidi" w:hAnsiTheme="majorBidi" w:cstheme="majorBidi"/>
        </w:rPr>
      </w:pPr>
      <w:r w:rsidRPr="001E4607">
        <w:rPr>
          <w:rStyle w:val="a5"/>
          <w:rFonts w:asciiTheme="majorBidi" w:hAnsiTheme="majorBidi" w:cstheme="majorBidi"/>
        </w:rPr>
        <w:footnoteRef/>
      </w:r>
      <w:r w:rsidRPr="001E4607">
        <w:rPr>
          <w:rFonts w:asciiTheme="majorBidi" w:hAnsiTheme="majorBidi" w:cstheme="majorBidi"/>
          <w:rtl/>
        </w:rPr>
        <w:t xml:space="preserve"> עמוד 275.</w:t>
      </w:r>
    </w:p>
  </w:footnote>
  <w:footnote w:id="7">
    <w:p w14:paraId="09804B1D" w14:textId="5407366A" w:rsidR="009D6398" w:rsidRPr="001E4607" w:rsidRDefault="009D6398" w:rsidP="001E4607">
      <w:pPr>
        <w:pStyle w:val="a3"/>
        <w:spacing w:line="360" w:lineRule="auto"/>
        <w:rPr>
          <w:rFonts w:asciiTheme="majorBidi" w:hAnsiTheme="majorBidi" w:cstheme="majorBidi"/>
          <w:rtl/>
        </w:rPr>
      </w:pPr>
      <w:r w:rsidRPr="001E4607">
        <w:rPr>
          <w:rStyle w:val="a5"/>
          <w:rFonts w:asciiTheme="majorBidi" w:hAnsiTheme="majorBidi" w:cstheme="majorBidi"/>
        </w:rPr>
        <w:footnoteRef/>
      </w:r>
      <w:r w:rsidRPr="001E4607">
        <w:rPr>
          <w:rFonts w:asciiTheme="majorBidi" w:hAnsiTheme="majorBidi" w:cstheme="majorBidi"/>
          <w:rtl/>
        </w:rPr>
        <w:t xml:space="preserve"> שם.</w:t>
      </w:r>
    </w:p>
  </w:footnote>
  <w:footnote w:id="8">
    <w:p w14:paraId="2688AA08" w14:textId="605E1680" w:rsidR="009D6398" w:rsidRPr="001E4607" w:rsidRDefault="009D6398" w:rsidP="001E4607">
      <w:pPr>
        <w:spacing w:after="0" w:line="360" w:lineRule="auto"/>
        <w:rPr>
          <w:rFonts w:asciiTheme="majorBidi" w:hAnsiTheme="majorBidi" w:cstheme="majorBidi"/>
          <w:sz w:val="20"/>
          <w:szCs w:val="20"/>
          <w:rtl/>
        </w:rPr>
      </w:pPr>
      <w:r w:rsidRPr="001E4607">
        <w:rPr>
          <w:rStyle w:val="a5"/>
          <w:sz w:val="20"/>
          <w:szCs w:val="20"/>
        </w:rPr>
        <w:footnoteRef/>
      </w:r>
      <w:r w:rsidRPr="001E4607">
        <w:rPr>
          <w:sz w:val="20"/>
          <w:szCs w:val="20"/>
          <w:rtl/>
        </w:rPr>
        <w:t xml:space="preserve"> </w:t>
      </w:r>
      <w:r w:rsidRPr="001E4607">
        <w:rPr>
          <w:rFonts w:asciiTheme="majorBidi" w:hAnsiTheme="majorBidi" w:cstheme="majorBidi"/>
          <w:sz w:val="20"/>
          <w:szCs w:val="20"/>
          <w:rtl/>
        </w:rPr>
        <w:t>תוד"ה חומר.</w:t>
      </w:r>
    </w:p>
  </w:footnote>
  <w:footnote w:id="9">
    <w:p w14:paraId="1D92DC66" w14:textId="76D5D35B" w:rsidR="009D6398" w:rsidRPr="001E4607" w:rsidRDefault="009D6398" w:rsidP="001E4607">
      <w:pPr>
        <w:pStyle w:val="a3"/>
        <w:spacing w:line="360" w:lineRule="auto"/>
        <w:rPr>
          <w:rFonts w:asciiTheme="majorBidi" w:hAnsiTheme="majorBidi" w:cstheme="majorBidi"/>
        </w:rPr>
      </w:pPr>
      <w:r w:rsidRPr="001E4607">
        <w:rPr>
          <w:rStyle w:val="a5"/>
          <w:rFonts w:asciiTheme="majorBidi" w:hAnsiTheme="majorBidi" w:cstheme="majorBidi"/>
        </w:rPr>
        <w:footnoteRef/>
      </w:r>
      <w:r w:rsidRPr="001E4607">
        <w:rPr>
          <w:rFonts w:asciiTheme="majorBidi" w:hAnsiTheme="majorBidi" w:cstheme="majorBidi"/>
          <w:rtl/>
        </w:rPr>
        <w:t xml:space="preserve"> עמוד 280.</w:t>
      </w:r>
    </w:p>
  </w:footnote>
  <w:footnote w:id="10">
    <w:p w14:paraId="42D2A55A" w14:textId="6F99427B" w:rsidR="00837BD7" w:rsidRDefault="00837BD7">
      <w:pPr>
        <w:pStyle w:val="a3"/>
        <w:rPr>
          <w:rFonts w:asciiTheme="majorBidi" w:hAnsiTheme="majorBidi" w:cstheme="majorBidi"/>
          <w:rtl/>
        </w:rPr>
      </w:pPr>
      <w:r>
        <w:rPr>
          <w:rStyle w:val="a5"/>
        </w:rPr>
        <w:footnoteRef/>
      </w:r>
      <w:r>
        <w:rPr>
          <w:rtl/>
        </w:rPr>
        <w:t xml:space="preserve"> </w:t>
      </w:r>
      <w:r>
        <w:rPr>
          <w:rFonts w:asciiTheme="majorBidi" w:hAnsiTheme="majorBidi" w:cstheme="majorBidi" w:hint="cs"/>
          <w:rtl/>
        </w:rPr>
        <w:t>ורק שתיית יין (קרן אורה בשם הרא"ש, דף סא עמוד א ד"ה גמרא).</w:t>
      </w:r>
    </w:p>
    <w:p w14:paraId="65984E96" w14:textId="77777777" w:rsidR="00837BD7" w:rsidRPr="00837BD7" w:rsidRDefault="00837BD7">
      <w:pPr>
        <w:pStyle w:val="a3"/>
        <w:rPr>
          <w:rFonts w:asciiTheme="majorBidi" w:hAnsiTheme="majorBidi" w:cstheme="majorBidi"/>
        </w:rPr>
      </w:pPr>
    </w:p>
  </w:footnote>
  <w:footnote w:id="11">
    <w:p w14:paraId="603F28A2" w14:textId="43995CD4" w:rsidR="00837BD7" w:rsidRPr="001E4607" w:rsidRDefault="00837BD7" w:rsidP="00D73A96">
      <w:pPr>
        <w:pStyle w:val="a3"/>
        <w:rPr>
          <w:rFonts w:asciiTheme="majorBidi" w:hAnsiTheme="majorBidi" w:cstheme="majorBidi"/>
          <w:rtl/>
        </w:rPr>
      </w:pPr>
      <w:r w:rsidRPr="00837BD7">
        <w:rPr>
          <w:rStyle w:val="a5"/>
          <w:rFonts w:asciiTheme="majorBidi" w:hAnsiTheme="majorBidi" w:cstheme="majorBidi"/>
        </w:rPr>
        <w:footnoteRef/>
      </w:r>
      <w:r w:rsidRPr="00837BD7">
        <w:rPr>
          <w:rFonts w:asciiTheme="majorBidi" w:hAnsiTheme="majorBidi" w:cstheme="majorBidi"/>
          <w:rtl/>
        </w:rPr>
        <w:t xml:space="preserve"> עמוד 288. אמנם שם מבואר שלפי הירושלמי משמע שיכול האדון לכופו בכל שלושת האיסורים, ושהרמב"ם פוסק, כנראה בעקבות התוספתא, שיכול לכופ</w:t>
      </w:r>
      <w:r>
        <w:rPr>
          <w:rFonts w:asciiTheme="majorBidi" w:hAnsiTheme="majorBidi" w:cstheme="majorBidi" w:hint="cs"/>
          <w:rtl/>
        </w:rPr>
        <w:t>ו</w:t>
      </w:r>
      <w:r w:rsidRPr="00837BD7">
        <w:rPr>
          <w:rFonts w:asciiTheme="majorBidi" w:hAnsiTheme="majorBidi" w:cstheme="majorBidi"/>
          <w:rtl/>
        </w:rPr>
        <w:t xml:space="preserve"> לשתות יין ולהיטמא למתים. </w:t>
      </w:r>
      <w:r>
        <w:rPr>
          <w:rFonts w:asciiTheme="majorBidi" w:hAnsiTheme="majorBidi" w:cstheme="majorBidi" w:hint="cs"/>
          <w:rtl/>
        </w:rPr>
        <w:t>מכל מקום "</w:t>
      </w:r>
      <w:r>
        <w:rPr>
          <w:rFonts w:ascii="David" w:hAnsi="David" w:cs="David" w:hint="cs"/>
          <w:rtl/>
        </w:rPr>
        <w:t>נוצר מדרג ברור בין האיסורים".</w:t>
      </w:r>
      <w:r w:rsidR="001E4607">
        <w:rPr>
          <w:rFonts w:ascii="David" w:hAnsi="David" w:cs="David" w:hint="cs"/>
          <w:rtl/>
        </w:rPr>
        <w:t xml:space="preserve"> </w:t>
      </w:r>
      <w:r w:rsidR="001E4607">
        <w:rPr>
          <w:rFonts w:asciiTheme="majorBidi" w:hAnsiTheme="majorBidi" w:cstheme="majorBidi" w:hint="cs"/>
          <w:rtl/>
        </w:rPr>
        <w:t>פירוט רב שם ב'ראשית הנזר'.</w:t>
      </w:r>
    </w:p>
    <w:p w14:paraId="5169472F" w14:textId="77777777" w:rsidR="00D73A96" w:rsidRPr="00837BD7" w:rsidRDefault="00D73A96" w:rsidP="00D73A96">
      <w:pPr>
        <w:pStyle w:val="a3"/>
        <w:rPr>
          <w:rFonts w:ascii="David" w:hAnsi="David" w:cs="David"/>
        </w:rPr>
      </w:pPr>
    </w:p>
  </w:footnote>
  <w:footnote w:id="12">
    <w:p w14:paraId="5556888A" w14:textId="5A558D86" w:rsidR="00D73A96" w:rsidRPr="00D73A96" w:rsidRDefault="00D73A96" w:rsidP="00701766">
      <w:pPr>
        <w:pStyle w:val="a3"/>
        <w:spacing w:line="360" w:lineRule="auto"/>
        <w:rPr>
          <w:rFonts w:asciiTheme="majorBidi" w:hAnsiTheme="majorBidi" w:cstheme="majorBidi"/>
        </w:rPr>
      </w:pPr>
      <w:r w:rsidRPr="00D73A96">
        <w:rPr>
          <w:rStyle w:val="a5"/>
          <w:rFonts w:asciiTheme="majorBidi" w:hAnsiTheme="majorBidi" w:cstheme="majorBidi"/>
        </w:rPr>
        <w:footnoteRef/>
      </w:r>
      <w:r w:rsidRPr="00D73A96">
        <w:rPr>
          <w:rFonts w:asciiTheme="majorBidi" w:hAnsiTheme="majorBidi" w:cstheme="majorBidi"/>
          <w:rtl/>
        </w:rPr>
        <w:t xml:space="preserve"> עמוד 276.</w:t>
      </w:r>
    </w:p>
  </w:footnote>
  <w:footnote w:id="13">
    <w:p w14:paraId="494C0D00" w14:textId="1B432ACF" w:rsidR="00701766" w:rsidRDefault="00701766" w:rsidP="001E4607">
      <w:pPr>
        <w:pStyle w:val="a3"/>
        <w:rPr>
          <w:rFonts w:asciiTheme="majorBidi" w:hAnsiTheme="majorBidi" w:cstheme="majorBidi"/>
          <w:rtl/>
        </w:rPr>
      </w:pPr>
      <w:r>
        <w:rPr>
          <w:rStyle w:val="a5"/>
        </w:rPr>
        <w:footnoteRef/>
      </w:r>
      <w:r>
        <w:rPr>
          <w:rtl/>
        </w:rPr>
        <w:t xml:space="preserve"> </w:t>
      </w:r>
      <w:r w:rsidRPr="00701766">
        <w:rPr>
          <w:rFonts w:ascii="David" w:hAnsi="David" w:cs="David"/>
          <w:rtl/>
        </w:rPr>
        <w:t xml:space="preserve">"תניא, ר' יהודה אומר: נזיר שמשון מותר ליטמא למתים, שכן מצינו בשמשון שנטמא" </w:t>
      </w:r>
      <w:r>
        <w:rPr>
          <w:rFonts w:asciiTheme="majorBidi" w:hAnsiTheme="majorBidi" w:cstheme="majorBidi" w:hint="cs"/>
          <w:rtl/>
        </w:rPr>
        <w:t>(</w:t>
      </w:r>
      <w:r w:rsidRPr="00701766">
        <w:rPr>
          <w:rFonts w:asciiTheme="majorBidi" w:hAnsiTheme="majorBidi" w:cstheme="majorBidi"/>
          <w:rtl/>
        </w:rPr>
        <w:t>דף ד עמוד ב</w:t>
      </w:r>
      <w:r>
        <w:rPr>
          <w:rFonts w:ascii="David" w:hAnsi="David" w:cs="David" w:hint="cs"/>
          <w:rtl/>
        </w:rPr>
        <w:t>).</w:t>
      </w:r>
      <w:r w:rsidR="001E4607">
        <w:rPr>
          <w:rFonts w:hint="cs"/>
          <w:rtl/>
        </w:rPr>
        <w:t xml:space="preserve"> </w:t>
      </w:r>
      <w:r w:rsidR="001E4607" w:rsidRPr="001E4607">
        <w:rPr>
          <w:rFonts w:asciiTheme="majorBidi" w:hAnsiTheme="majorBidi" w:cstheme="majorBidi"/>
          <w:rtl/>
        </w:rPr>
        <w:t>נחזור לנושא זה בהמשך הדברים.</w:t>
      </w:r>
    </w:p>
    <w:p w14:paraId="7ACDF8E0" w14:textId="77777777" w:rsidR="001E4607" w:rsidRPr="001E4607" w:rsidRDefault="001E4607" w:rsidP="001E4607">
      <w:pPr>
        <w:pStyle w:val="a3"/>
        <w:rPr>
          <w:rFonts w:asciiTheme="majorBidi" w:hAnsiTheme="majorBidi" w:cstheme="majorBidi"/>
        </w:rPr>
      </w:pPr>
    </w:p>
  </w:footnote>
  <w:footnote w:id="14">
    <w:p w14:paraId="408D350B" w14:textId="6AE059C6" w:rsidR="00D73A96" w:rsidRPr="00D73A96" w:rsidRDefault="00D73A96" w:rsidP="00701766">
      <w:pPr>
        <w:pStyle w:val="a3"/>
        <w:spacing w:line="360" w:lineRule="auto"/>
        <w:rPr>
          <w:rFonts w:asciiTheme="majorBidi" w:hAnsiTheme="majorBidi" w:cstheme="majorBidi"/>
          <w:rtl/>
        </w:rPr>
      </w:pPr>
      <w:r w:rsidRPr="00D73A96">
        <w:rPr>
          <w:rStyle w:val="a5"/>
          <w:rFonts w:asciiTheme="majorBidi" w:hAnsiTheme="majorBidi" w:cstheme="majorBidi"/>
        </w:rPr>
        <w:footnoteRef/>
      </w:r>
      <w:r w:rsidRPr="00D73A96">
        <w:rPr>
          <w:rFonts w:asciiTheme="majorBidi" w:hAnsiTheme="majorBidi" w:cstheme="majorBidi"/>
          <w:rtl/>
        </w:rPr>
        <w:t xml:space="preserve"> עמוד 280.</w:t>
      </w:r>
    </w:p>
  </w:footnote>
  <w:footnote w:id="15">
    <w:p w14:paraId="30A7ACE2" w14:textId="520CEB73" w:rsidR="00CC51A3" w:rsidRDefault="00CC51A3" w:rsidP="00CC51A3">
      <w:pPr>
        <w:pStyle w:val="a3"/>
        <w:rPr>
          <w:rFonts w:asciiTheme="majorBidi" w:hAnsiTheme="majorBidi" w:cstheme="majorBidi"/>
          <w:rtl/>
        </w:rPr>
      </w:pPr>
      <w:r w:rsidRPr="00CC51A3">
        <w:rPr>
          <w:rStyle w:val="a5"/>
          <w:rFonts w:asciiTheme="majorBidi" w:hAnsiTheme="majorBidi" w:cstheme="majorBidi"/>
        </w:rPr>
        <w:footnoteRef/>
      </w:r>
      <w:r w:rsidRPr="00CC51A3">
        <w:rPr>
          <w:rFonts w:asciiTheme="majorBidi" w:hAnsiTheme="majorBidi" w:cstheme="majorBidi"/>
          <w:rtl/>
        </w:rPr>
        <w:t xml:space="preserve"> פרק ו סוף הלכה ה. ויין אף לא הזכיר לפטור </w:t>
      </w:r>
      <w:r>
        <w:rPr>
          <w:rFonts w:asciiTheme="majorBidi" w:hAnsiTheme="majorBidi" w:cstheme="majorBidi" w:hint="cs"/>
          <w:rtl/>
        </w:rPr>
        <w:t xml:space="preserve">את </w:t>
      </w:r>
      <w:r w:rsidRPr="00CC51A3">
        <w:rPr>
          <w:rFonts w:asciiTheme="majorBidi" w:hAnsiTheme="majorBidi" w:cstheme="majorBidi"/>
          <w:rtl/>
        </w:rPr>
        <w:t>משקה</w:t>
      </w:r>
      <w:r w:rsidR="001E4607">
        <w:rPr>
          <w:rFonts w:asciiTheme="majorBidi" w:hAnsiTheme="majorBidi" w:cstheme="majorBidi" w:hint="cs"/>
          <w:rtl/>
        </w:rPr>
        <w:t xml:space="preserve"> הנזיר</w:t>
      </w:r>
      <w:r w:rsidRPr="00CC51A3">
        <w:rPr>
          <w:rFonts w:asciiTheme="majorBidi" w:hAnsiTheme="majorBidi" w:cstheme="majorBidi"/>
          <w:rtl/>
        </w:rPr>
        <w:t xml:space="preserve">, </w:t>
      </w:r>
      <w:r w:rsidR="00064078" w:rsidRPr="00064078">
        <w:rPr>
          <w:rFonts w:asciiTheme="majorBidi" w:hAnsiTheme="majorBidi" w:cstheme="majorBidi"/>
          <w:rtl/>
        </w:rPr>
        <w:t>שהדבר פשוט</w:t>
      </w:r>
      <w:r w:rsidR="00064078">
        <w:rPr>
          <w:rFonts w:ascii="David" w:hAnsi="David" w:cs="David" w:hint="cs"/>
          <w:rtl/>
        </w:rPr>
        <w:t xml:space="preserve">: </w:t>
      </w:r>
      <w:r>
        <w:rPr>
          <w:rFonts w:ascii="David" w:hAnsi="David" w:cs="David" w:hint="cs"/>
          <w:rtl/>
        </w:rPr>
        <w:t>"הרי באיסור היין המוקד הוא בוודאי בפעולה, ולכן הוא שייך רק כלפי האדם שקיבל על עצמו את ה</w:t>
      </w:r>
      <w:r w:rsidR="00A86BC1">
        <w:rPr>
          <w:rFonts w:ascii="David" w:hAnsi="David" w:cs="David" w:hint="cs"/>
          <w:rtl/>
        </w:rPr>
        <w:t>נזירות</w:t>
      </w:r>
      <w:r>
        <w:rPr>
          <w:rFonts w:ascii="David" w:hAnsi="David" w:cs="David" w:hint="cs"/>
          <w:rtl/>
        </w:rPr>
        <w:t xml:space="preserve">" (עמוד 282). </w:t>
      </w:r>
      <w:r>
        <w:rPr>
          <w:rFonts w:asciiTheme="majorBidi" w:hAnsiTheme="majorBidi" w:cstheme="majorBidi" w:hint="cs"/>
          <w:rtl/>
        </w:rPr>
        <w:t>אמנם, ישנה גרסה בתוספתא לפיה גם המטמא חייב (שם הערה 13).</w:t>
      </w:r>
      <w:r w:rsidR="00112BE4">
        <w:rPr>
          <w:rFonts w:asciiTheme="majorBidi" w:hAnsiTheme="majorBidi" w:cstheme="majorBidi" w:hint="cs"/>
          <w:rtl/>
        </w:rPr>
        <w:t xml:space="preserve"> לעניין המטמא כהן לרמב"ם שיטה ייחודית. בקרן אורה ובחידושי הגרי"ז האריכו לדון בזה. </w:t>
      </w:r>
    </w:p>
    <w:p w14:paraId="688BA2B3" w14:textId="77777777" w:rsidR="001E4607" w:rsidRPr="00CC51A3" w:rsidRDefault="001E4607" w:rsidP="00CC51A3">
      <w:pPr>
        <w:pStyle w:val="a3"/>
        <w:rPr>
          <w:rFonts w:asciiTheme="majorBidi" w:hAnsiTheme="majorBidi" w:cstheme="majorBidi"/>
        </w:rPr>
      </w:pPr>
    </w:p>
  </w:footnote>
  <w:footnote w:id="16">
    <w:p w14:paraId="221BAB5C" w14:textId="75E060F8" w:rsidR="00D919CF" w:rsidRPr="00D919CF" w:rsidRDefault="00D919CF" w:rsidP="00064078">
      <w:pPr>
        <w:pStyle w:val="a3"/>
        <w:spacing w:line="360" w:lineRule="auto"/>
        <w:rPr>
          <w:rFonts w:asciiTheme="majorBidi" w:hAnsiTheme="majorBidi" w:cstheme="majorBidi"/>
          <w:rtl/>
        </w:rPr>
      </w:pPr>
      <w:r w:rsidRPr="00D919CF">
        <w:rPr>
          <w:rStyle w:val="a5"/>
          <w:rFonts w:asciiTheme="majorBidi" w:hAnsiTheme="majorBidi" w:cstheme="majorBidi"/>
        </w:rPr>
        <w:footnoteRef/>
      </w:r>
      <w:r w:rsidRPr="00D919CF">
        <w:rPr>
          <w:rFonts w:asciiTheme="majorBidi" w:hAnsiTheme="majorBidi" w:cstheme="majorBidi"/>
          <w:rtl/>
        </w:rPr>
        <w:t xml:space="preserve"> שיטה מקובצת, ד"ה חומר.</w:t>
      </w:r>
    </w:p>
  </w:footnote>
  <w:footnote w:id="17">
    <w:p w14:paraId="5F0D77CE" w14:textId="75378DBA" w:rsidR="00CC51A3" w:rsidRPr="00CC51A3" w:rsidRDefault="00CC51A3" w:rsidP="00064078">
      <w:pPr>
        <w:pStyle w:val="a3"/>
        <w:spacing w:line="360" w:lineRule="auto"/>
        <w:rPr>
          <w:rFonts w:asciiTheme="majorBidi" w:hAnsiTheme="majorBidi" w:cstheme="majorBidi"/>
          <w:rtl/>
        </w:rPr>
      </w:pPr>
      <w:r w:rsidRPr="00CC51A3">
        <w:rPr>
          <w:rStyle w:val="a5"/>
          <w:rFonts w:asciiTheme="majorBidi" w:hAnsiTheme="majorBidi" w:cstheme="majorBidi"/>
        </w:rPr>
        <w:footnoteRef/>
      </w:r>
      <w:r w:rsidRPr="00CC51A3">
        <w:rPr>
          <w:rFonts w:asciiTheme="majorBidi" w:hAnsiTheme="majorBidi" w:cstheme="majorBidi"/>
          <w:rtl/>
        </w:rPr>
        <w:t xml:space="preserve"> רע"א. אך מקשה שישנו הבדל שניתן להוסיף.</w:t>
      </w:r>
    </w:p>
  </w:footnote>
  <w:footnote w:id="18">
    <w:p w14:paraId="78983C9A" w14:textId="7D93BE9F" w:rsidR="00D919CF" w:rsidRPr="00064078" w:rsidRDefault="00D919CF">
      <w:pPr>
        <w:pStyle w:val="a3"/>
        <w:rPr>
          <w:rFonts w:asciiTheme="majorBidi" w:hAnsiTheme="majorBidi" w:cstheme="majorBidi"/>
          <w:rtl/>
        </w:rPr>
      </w:pPr>
      <w:r w:rsidRPr="00064078">
        <w:rPr>
          <w:rStyle w:val="a5"/>
          <w:rFonts w:asciiTheme="majorBidi" w:hAnsiTheme="majorBidi" w:cstheme="majorBidi"/>
        </w:rPr>
        <w:footnoteRef/>
      </w:r>
      <w:r w:rsidRPr="00064078">
        <w:rPr>
          <w:rFonts w:asciiTheme="majorBidi" w:hAnsiTheme="majorBidi" w:cstheme="majorBidi"/>
          <w:rtl/>
        </w:rPr>
        <w:t xml:space="preserve"> עמוד 282.</w:t>
      </w:r>
    </w:p>
  </w:footnote>
  <w:footnote w:id="19">
    <w:p w14:paraId="29D6C3A5" w14:textId="1896C6C0" w:rsidR="00064078" w:rsidRPr="00064078" w:rsidRDefault="00064078">
      <w:pPr>
        <w:pStyle w:val="a3"/>
        <w:rPr>
          <w:rFonts w:asciiTheme="majorBidi" w:hAnsiTheme="majorBidi" w:cstheme="majorBidi"/>
        </w:rPr>
      </w:pPr>
      <w:r w:rsidRPr="00064078">
        <w:rPr>
          <w:rStyle w:val="a5"/>
          <w:rFonts w:asciiTheme="majorBidi" w:hAnsiTheme="majorBidi" w:cstheme="majorBidi"/>
        </w:rPr>
        <w:footnoteRef/>
      </w:r>
      <w:r w:rsidRPr="00064078">
        <w:rPr>
          <w:rFonts w:asciiTheme="majorBidi" w:hAnsiTheme="majorBidi" w:cstheme="majorBidi"/>
          <w:rtl/>
        </w:rPr>
        <w:t xml:space="preserve"> </w:t>
      </w:r>
      <w:r w:rsidRPr="00064078">
        <w:rPr>
          <w:rFonts w:asciiTheme="majorBidi" w:hAnsiTheme="majorBidi" w:cstheme="majorBidi"/>
          <w:rtl/>
        </w:rPr>
        <w:t>עמוד 277 בשינוי סדר המשפטים.</w:t>
      </w:r>
    </w:p>
  </w:footnote>
  <w:footnote w:id="20">
    <w:p w14:paraId="6A8B830D" w14:textId="6E13814D" w:rsidR="00064078" w:rsidRPr="00064078" w:rsidRDefault="00064078">
      <w:pPr>
        <w:pStyle w:val="a3"/>
        <w:rPr>
          <w:rFonts w:asciiTheme="majorBidi" w:hAnsiTheme="majorBidi" w:cstheme="majorBidi"/>
        </w:rPr>
      </w:pPr>
      <w:r w:rsidRPr="00064078">
        <w:rPr>
          <w:rStyle w:val="a5"/>
          <w:rFonts w:asciiTheme="majorBidi" w:hAnsiTheme="majorBidi" w:cstheme="majorBidi"/>
        </w:rPr>
        <w:footnoteRef/>
      </w:r>
      <w:r w:rsidRPr="00064078">
        <w:rPr>
          <w:rFonts w:asciiTheme="majorBidi" w:hAnsiTheme="majorBidi" w:cstheme="majorBidi"/>
          <w:rtl/>
        </w:rPr>
        <w:t xml:space="preserve"> עמודים 280-281.</w:t>
      </w:r>
    </w:p>
  </w:footnote>
  <w:footnote w:id="21">
    <w:p w14:paraId="77117359" w14:textId="738311EB" w:rsidR="001E4607" w:rsidRPr="00701766" w:rsidRDefault="00701766" w:rsidP="001E4607">
      <w:pPr>
        <w:pStyle w:val="a3"/>
        <w:spacing w:line="360" w:lineRule="auto"/>
        <w:rPr>
          <w:rFonts w:asciiTheme="majorBidi" w:hAnsiTheme="majorBidi" w:cstheme="majorBidi"/>
        </w:rPr>
      </w:pPr>
      <w:r w:rsidRPr="00701766">
        <w:rPr>
          <w:rStyle w:val="a5"/>
          <w:rFonts w:asciiTheme="majorBidi" w:hAnsiTheme="majorBidi" w:cstheme="majorBidi"/>
        </w:rPr>
        <w:footnoteRef/>
      </w:r>
      <w:r w:rsidRPr="00701766">
        <w:rPr>
          <w:rFonts w:asciiTheme="majorBidi" w:hAnsiTheme="majorBidi" w:cstheme="majorBidi"/>
          <w:rtl/>
        </w:rPr>
        <w:t xml:space="preserve"> </w:t>
      </w:r>
      <w:r w:rsidRPr="00701766">
        <w:rPr>
          <w:rFonts w:asciiTheme="majorBidi" w:hAnsiTheme="majorBidi" w:cstheme="majorBidi"/>
          <w:rtl/>
        </w:rPr>
        <w:t>עמוד 283.</w:t>
      </w:r>
    </w:p>
  </w:footnote>
  <w:footnote w:id="22">
    <w:p w14:paraId="3770E5AC" w14:textId="55E02DB0" w:rsidR="009A16EF" w:rsidRDefault="009A16EF" w:rsidP="001E4607">
      <w:pPr>
        <w:pStyle w:val="a3"/>
        <w:spacing w:line="360" w:lineRule="auto"/>
        <w:rPr>
          <w:rtl/>
        </w:rPr>
      </w:pPr>
      <w:r>
        <w:rPr>
          <w:rStyle w:val="a5"/>
        </w:rPr>
        <w:footnoteRef/>
      </w:r>
      <w:r>
        <w:rPr>
          <w:rtl/>
        </w:rPr>
        <w:t xml:space="preserve"> </w:t>
      </w:r>
      <w:r w:rsidRPr="009A16EF">
        <w:rPr>
          <w:rFonts w:asciiTheme="majorBidi" w:hAnsiTheme="majorBidi" w:cs="Times New Roman"/>
          <w:rtl/>
        </w:rPr>
        <w:t>דף פב עמוד ב</w:t>
      </w:r>
      <w:r>
        <w:rPr>
          <w:rFonts w:hint="cs"/>
          <w:rtl/>
        </w:rPr>
        <w:t>.</w:t>
      </w:r>
    </w:p>
  </w:footnote>
  <w:footnote w:id="23">
    <w:p w14:paraId="7A4BD910" w14:textId="77777777" w:rsidR="009A16EF" w:rsidRPr="009A16EF" w:rsidRDefault="009A16EF" w:rsidP="001E4607">
      <w:pPr>
        <w:pStyle w:val="a3"/>
        <w:spacing w:line="360" w:lineRule="auto"/>
        <w:rPr>
          <w:rtl/>
        </w:rPr>
      </w:pPr>
      <w:r w:rsidRPr="009A16EF">
        <w:rPr>
          <w:rStyle w:val="a5"/>
        </w:rPr>
        <w:footnoteRef/>
      </w:r>
      <w:r w:rsidRPr="009A16EF">
        <w:rPr>
          <w:rtl/>
        </w:rPr>
        <w:t xml:space="preserve"> </w:t>
      </w:r>
      <w:r w:rsidRPr="009A16EF">
        <w:rPr>
          <w:rFonts w:asciiTheme="majorBidi" w:hAnsiTheme="majorBidi" w:cs="Times New Roman"/>
          <w:rtl/>
        </w:rPr>
        <w:t>פרק ד</w:t>
      </w:r>
      <w:r w:rsidRPr="009A16EF">
        <w:rPr>
          <w:rFonts w:asciiTheme="majorBidi" w:hAnsiTheme="majorBidi" w:cstheme="majorBidi" w:hint="cs"/>
          <w:rtl/>
        </w:rPr>
        <w:t xml:space="preserve"> משנה ג</w:t>
      </w:r>
      <w:r w:rsidRPr="009A16EF">
        <w:rPr>
          <w:rFonts w:hint="cs"/>
          <w:rtl/>
        </w:rPr>
        <w:t>.</w:t>
      </w:r>
    </w:p>
  </w:footnote>
  <w:footnote w:id="24">
    <w:p w14:paraId="718F64B3" w14:textId="18A24A68" w:rsidR="009D28F5" w:rsidRPr="001E4607" w:rsidRDefault="009D28F5" w:rsidP="001E4607">
      <w:pPr>
        <w:pStyle w:val="a3"/>
        <w:spacing w:line="360" w:lineRule="auto"/>
        <w:rPr>
          <w:rFonts w:asciiTheme="majorBidi" w:hAnsiTheme="majorBidi" w:cstheme="majorBidi"/>
          <w:rtl/>
        </w:rPr>
      </w:pPr>
      <w:r w:rsidRPr="001E4607">
        <w:rPr>
          <w:rStyle w:val="a5"/>
          <w:rFonts w:asciiTheme="majorBidi" w:hAnsiTheme="majorBidi" w:cstheme="majorBidi"/>
        </w:rPr>
        <w:footnoteRef/>
      </w:r>
      <w:r w:rsidRPr="001E4607">
        <w:rPr>
          <w:rFonts w:asciiTheme="majorBidi" w:hAnsiTheme="majorBidi" w:cstheme="majorBidi"/>
          <w:rtl/>
        </w:rPr>
        <w:t xml:space="preserve"> נדרים דף פג.</w:t>
      </w:r>
    </w:p>
  </w:footnote>
  <w:footnote w:id="25">
    <w:p w14:paraId="2014B6EF" w14:textId="033A0C4A" w:rsidR="009D28F5" w:rsidRPr="001E4607" w:rsidRDefault="009D28F5" w:rsidP="001E4607">
      <w:pPr>
        <w:pStyle w:val="a3"/>
        <w:spacing w:line="360" w:lineRule="auto"/>
        <w:rPr>
          <w:rFonts w:asciiTheme="majorBidi" w:hAnsiTheme="majorBidi" w:cstheme="majorBidi"/>
          <w:rtl/>
        </w:rPr>
      </w:pPr>
      <w:r w:rsidRPr="001E4607">
        <w:rPr>
          <w:rStyle w:val="a5"/>
          <w:rFonts w:asciiTheme="majorBidi" w:hAnsiTheme="majorBidi" w:cstheme="majorBidi"/>
        </w:rPr>
        <w:footnoteRef/>
      </w:r>
      <w:r w:rsidRPr="001E4607">
        <w:rPr>
          <w:rFonts w:asciiTheme="majorBidi" w:hAnsiTheme="majorBidi" w:cstheme="majorBidi"/>
          <w:rtl/>
        </w:rPr>
        <w:t xml:space="preserve"> ד"ה אמרי בתירוצו הראשון.</w:t>
      </w:r>
    </w:p>
  </w:footnote>
  <w:footnote w:id="26">
    <w:p w14:paraId="293F77F5" w14:textId="52103483" w:rsidR="009D28F5" w:rsidRPr="009D28F5" w:rsidRDefault="009D28F5" w:rsidP="009D28F5">
      <w:pPr>
        <w:pStyle w:val="a3"/>
        <w:rPr>
          <w:rFonts w:asciiTheme="majorBidi" w:hAnsiTheme="majorBidi" w:cstheme="majorBidi"/>
          <w:rtl/>
        </w:rPr>
      </w:pPr>
      <w:r w:rsidRPr="009D28F5">
        <w:rPr>
          <w:rStyle w:val="a5"/>
          <w:rFonts w:asciiTheme="majorBidi" w:hAnsiTheme="majorBidi" w:cstheme="majorBidi"/>
        </w:rPr>
        <w:footnoteRef/>
      </w:r>
      <w:r w:rsidRPr="009D28F5">
        <w:rPr>
          <w:rFonts w:asciiTheme="majorBidi" w:hAnsiTheme="majorBidi" w:cstheme="majorBidi"/>
          <w:rtl/>
        </w:rPr>
        <w:t xml:space="preserve"> הרשב"א (ד"ה טומאת) מצמצם עוד יותר את הכלל 'אין </w:t>
      </w:r>
      <w:r w:rsidR="00A86BC1">
        <w:rPr>
          <w:rFonts w:asciiTheme="majorBidi" w:hAnsiTheme="majorBidi" w:cstheme="majorBidi"/>
          <w:rtl/>
        </w:rPr>
        <w:t>נזירות</w:t>
      </w:r>
      <w:r w:rsidRPr="009D28F5">
        <w:rPr>
          <w:rFonts w:asciiTheme="majorBidi" w:hAnsiTheme="majorBidi" w:cstheme="majorBidi"/>
          <w:rtl/>
        </w:rPr>
        <w:t xml:space="preserve"> למחצה' לשלילת חלוקה בתוך איסורי יין בלבד: </w:t>
      </w:r>
    </w:p>
    <w:p w14:paraId="059A9945" w14:textId="77B662BC" w:rsidR="009D28F5" w:rsidRPr="009D28F5" w:rsidRDefault="009D28F5" w:rsidP="009D28F5">
      <w:pPr>
        <w:pStyle w:val="a3"/>
        <w:rPr>
          <w:rFonts w:asciiTheme="majorBidi" w:hAnsiTheme="majorBidi" w:cstheme="majorBidi"/>
          <w:rtl/>
        </w:rPr>
      </w:pPr>
      <w:r>
        <w:rPr>
          <w:rFonts w:ascii="David" w:hAnsi="David" w:cs="David" w:hint="cs"/>
          <w:rtl/>
        </w:rPr>
        <w:t>"</w:t>
      </w:r>
      <w:r w:rsidRPr="009D28F5">
        <w:rPr>
          <w:rFonts w:ascii="David" w:hAnsi="David" w:cs="David"/>
          <w:rtl/>
        </w:rPr>
        <w:t>טומאה לא תליא באיסור שתיית יין כיון דמשכחת נזירות בלא איסור טומאה דהיינו נזיר שמשון, אף על גב דלא אשכחן נזיר טומאה בלא איסור יין וחרצן, אבל אי אפשר לנזירות יין בלא חרצן וחרצן בלא יין</w:t>
      </w:r>
      <w:r>
        <w:rPr>
          <w:rFonts w:ascii="David" w:hAnsi="David" w:cs="David" w:hint="cs"/>
          <w:rtl/>
        </w:rPr>
        <w:t xml:space="preserve">". </w:t>
      </w:r>
      <w:r>
        <w:rPr>
          <w:rFonts w:asciiTheme="majorBidi" w:hAnsiTheme="majorBidi" w:cstheme="majorBidi" w:hint="cs"/>
          <w:rtl/>
        </w:rPr>
        <w:t xml:space="preserve">הרי שתיתכן </w:t>
      </w:r>
      <w:r w:rsidR="00A86BC1">
        <w:rPr>
          <w:rFonts w:asciiTheme="majorBidi" w:hAnsiTheme="majorBidi" w:cstheme="majorBidi" w:hint="cs"/>
          <w:rtl/>
        </w:rPr>
        <w:t>נזירות</w:t>
      </w:r>
      <w:r>
        <w:rPr>
          <w:rFonts w:asciiTheme="majorBidi" w:hAnsiTheme="majorBidi" w:cstheme="majorBidi" w:hint="cs"/>
          <w:rtl/>
        </w:rPr>
        <w:t xml:space="preserve"> אפילו בלי איסורי יין!</w:t>
      </w:r>
    </w:p>
  </w:footnote>
  <w:footnote w:id="27">
    <w:p w14:paraId="579173AD" w14:textId="397C71C5" w:rsidR="00935771" w:rsidRPr="001E4607" w:rsidRDefault="00935771" w:rsidP="001E4607">
      <w:pPr>
        <w:pStyle w:val="a3"/>
        <w:spacing w:line="360" w:lineRule="auto"/>
        <w:rPr>
          <w:rtl/>
        </w:rPr>
      </w:pPr>
      <w:r w:rsidRPr="001E4607">
        <w:rPr>
          <w:rStyle w:val="a5"/>
        </w:rPr>
        <w:footnoteRef/>
      </w:r>
      <w:r w:rsidRPr="001E4607">
        <w:rPr>
          <w:rtl/>
        </w:rPr>
        <w:t xml:space="preserve"> </w:t>
      </w:r>
      <w:r w:rsidRPr="001E4607">
        <w:rPr>
          <w:rFonts w:asciiTheme="majorBidi" w:hAnsiTheme="majorBidi" w:cs="Times New Roman"/>
          <w:rtl/>
        </w:rPr>
        <w:t>פרק א</w:t>
      </w:r>
      <w:r w:rsidRPr="001E4607">
        <w:rPr>
          <w:rFonts w:asciiTheme="majorBidi" w:hAnsiTheme="majorBidi" w:cstheme="majorBidi" w:hint="cs"/>
          <w:rtl/>
        </w:rPr>
        <w:t xml:space="preserve"> משנה ב</w:t>
      </w:r>
      <w:r w:rsidRPr="001E4607">
        <w:rPr>
          <w:rFonts w:hint="cs"/>
          <w:rtl/>
        </w:rPr>
        <w:t>.</w:t>
      </w:r>
    </w:p>
  </w:footnote>
  <w:footnote w:id="28">
    <w:p w14:paraId="1EB60D8A" w14:textId="496117A5" w:rsidR="00935771" w:rsidRPr="001E4607" w:rsidRDefault="00935771" w:rsidP="001E4607">
      <w:pPr>
        <w:spacing w:after="0" w:line="360" w:lineRule="auto"/>
        <w:rPr>
          <w:rFonts w:asciiTheme="majorBidi" w:hAnsiTheme="majorBidi" w:cstheme="majorBidi"/>
          <w:sz w:val="20"/>
          <w:szCs w:val="20"/>
        </w:rPr>
      </w:pPr>
      <w:r w:rsidRPr="001E4607">
        <w:rPr>
          <w:rStyle w:val="a5"/>
          <w:sz w:val="20"/>
          <w:szCs w:val="20"/>
        </w:rPr>
        <w:footnoteRef/>
      </w:r>
      <w:r w:rsidRPr="001E4607">
        <w:rPr>
          <w:sz w:val="20"/>
          <w:szCs w:val="20"/>
          <w:rtl/>
        </w:rPr>
        <w:t xml:space="preserve"> </w:t>
      </w:r>
      <w:r w:rsidRPr="001E4607">
        <w:rPr>
          <w:rFonts w:asciiTheme="majorBidi" w:hAnsiTheme="majorBidi" w:cs="Times New Roman" w:hint="cs"/>
          <w:sz w:val="20"/>
          <w:szCs w:val="20"/>
          <w:rtl/>
        </w:rPr>
        <w:t xml:space="preserve"> </w:t>
      </w:r>
      <w:r w:rsidRPr="001E4607">
        <w:rPr>
          <w:rFonts w:asciiTheme="majorBidi" w:hAnsiTheme="majorBidi" w:cs="Times New Roman"/>
          <w:sz w:val="20"/>
          <w:szCs w:val="20"/>
          <w:rtl/>
        </w:rPr>
        <w:t xml:space="preserve"> מסכת נזיר דף ג עמוד ב</w:t>
      </w:r>
      <w:r w:rsidR="001E4607">
        <w:rPr>
          <w:rFonts w:asciiTheme="majorBidi" w:hAnsiTheme="majorBidi" w:cs="Times New Roman" w:hint="cs"/>
          <w:sz w:val="20"/>
          <w:szCs w:val="20"/>
          <w:rtl/>
        </w:rPr>
        <w:t>.</w:t>
      </w:r>
    </w:p>
  </w:footnote>
  <w:footnote w:id="29">
    <w:p w14:paraId="2B3A8878" w14:textId="5F700A05" w:rsidR="00935771" w:rsidRPr="001E4607" w:rsidRDefault="00935771" w:rsidP="001E4607">
      <w:pPr>
        <w:pStyle w:val="a3"/>
        <w:spacing w:line="360" w:lineRule="auto"/>
        <w:rPr>
          <w:rFonts w:asciiTheme="majorBidi" w:hAnsiTheme="majorBidi" w:cstheme="majorBidi"/>
        </w:rPr>
      </w:pPr>
      <w:r w:rsidRPr="001E4607">
        <w:rPr>
          <w:rStyle w:val="a5"/>
          <w:rFonts w:asciiTheme="majorBidi" w:hAnsiTheme="majorBidi" w:cstheme="majorBidi"/>
        </w:rPr>
        <w:footnoteRef/>
      </w:r>
      <w:r w:rsidRPr="001E4607">
        <w:rPr>
          <w:rFonts w:asciiTheme="majorBidi" w:hAnsiTheme="majorBidi" w:cstheme="majorBidi"/>
          <w:rtl/>
        </w:rPr>
        <w:t xml:space="preserve"> שניתן להבינה היטב אם נזכור ששמשון הרג רבים ב</w:t>
      </w:r>
      <w:r w:rsidR="00A86BC1" w:rsidRPr="001E4607">
        <w:rPr>
          <w:rFonts w:asciiTheme="majorBidi" w:hAnsiTheme="majorBidi" w:cstheme="majorBidi"/>
          <w:rtl/>
        </w:rPr>
        <w:t>מגע, כשלחי חמור בידיו.</w:t>
      </w:r>
    </w:p>
  </w:footnote>
  <w:footnote w:id="30">
    <w:p w14:paraId="78B71C3E" w14:textId="007B7B86" w:rsidR="00A86BC1" w:rsidRPr="001E4607" w:rsidRDefault="00A86BC1" w:rsidP="001E4607">
      <w:pPr>
        <w:pStyle w:val="a3"/>
        <w:spacing w:line="360" w:lineRule="auto"/>
        <w:rPr>
          <w:rFonts w:asciiTheme="majorBidi" w:hAnsiTheme="majorBidi" w:cstheme="majorBidi"/>
        </w:rPr>
      </w:pPr>
      <w:r w:rsidRPr="001E4607">
        <w:rPr>
          <w:rStyle w:val="a5"/>
          <w:rFonts w:asciiTheme="majorBidi" w:hAnsiTheme="majorBidi" w:cstheme="majorBidi"/>
        </w:rPr>
        <w:footnoteRef/>
      </w:r>
      <w:r w:rsidRPr="001E4607">
        <w:rPr>
          <w:rFonts w:asciiTheme="majorBidi" w:hAnsiTheme="majorBidi" w:cstheme="majorBidi"/>
          <w:rtl/>
        </w:rPr>
        <w:t xml:space="preserve"> מובא באישים ושיטות לרב זוין, עמוד 100 במהדורת תשל"ח.</w:t>
      </w:r>
    </w:p>
  </w:footnote>
  <w:footnote w:id="31">
    <w:p w14:paraId="111B90D6" w14:textId="7CD3E451" w:rsidR="00A86BC1" w:rsidRPr="001E4607" w:rsidRDefault="00A86BC1" w:rsidP="001E4607">
      <w:pPr>
        <w:pStyle w:val="a3"/>
        <w:spacing w:line="360" w:lineRule="auto"/>
        <w:rPr>
          <w:rFonts w:asciiTheme="majorBidi" w:hAnsiTheme="majorBidi" w:cstheme="majorBidi"/>
          <w:rtl/>
        </w:rPr>
      </w:pPr>
      <w:r w:rsidRPr="001E4607">
        <w:rPr>
          <w:rStyle w:val="a5"/>
          <w:rFonts w:asciiTheme="majorBidi" w:hAnsiTheme="majorBidi" w:cstheme="majorBidi"/>
        </w:rPr>
        <w:footnoteRef/>
      </w:r>
      <w:r w:rsidRPr="001E4607">
        <w:rPr>
          <w:rFonts w:asciiTheme="majorBidi" w:hAnsiTheme="majorBidi" w:cstheme="majorBidi"/>
          <w:rtl/>
        </w:rPr>
        <w:t xml:space="preserve"> מורה נבוכים חלק ב פרק א, בתרגום פרופסור מיכאל שורץ. תודתי נתונה לבנו ידידי ד"ר דוד צרי על עזרתו.</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933786867"/>
      <w:docPartObj>
        <w:docPartGallery w:val="Page Numbers (Top of Page)"/>
        <w:docPartUnique/>
      </w:docPartObj>
    </w:sdtPr>
    <w:sdtContent>
      <w:p w14:paraId="34D86572" w14:textId="59234887" w:rsidR="007B5136" w:rsidRDefault="007B5136">
        <w:pPr>
          <w:pStyle w:val="a8"/>
        </w:pPr>
        <w:r>
          <w:fldChar w:fldCharType="begin"/>
        </w:r>
        <w:r>
          <w:instrText>PAGE   \* MERGEFORMAT</w:instrText>
        </w:r>
        <w:r>
          <w:fldChar w:fldCharType="separate"/>
        </w:r>
        <w:r>
          <w:rPr>
            <w:rtl/>
            <w:lang w:val="he-IL"/>
          </w:rPr>
          <w:t>2</w:t>
        </w:r>
        <w:r>
          <w:fldChar w:fldCharType="end"/>
        </w:r>
      </w:p>
    </w:sdtContent>
  </w:sdt>
  <w:p w14:paraId="7539BDC2" w14:textId="77777777" w:rsidR="007B5136" w:rsidRDefault="007B5136">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9573DD"/>
    <w:multiLevelType w:val="hybridMultilevel"/>
    <w:tmpl w:val="1F486A34"/>
    <w:lvl w:ilvl="0" w:tplc="6D4EA2FC">
      <w:start w:val="1"/>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0D3F3D"/>
    <w:multiLevelType w:val="hybridMultilevel"/>
    <w:tmpl w:val="27BA686E"/>
    <w:lvl w:ilvl="0" w:tplc="AEDA69DA">
      <w:start w:val="1"/>
      <w:numFmt w:val="bullet"/>
      <w:lvlText w:val=""/>
      <w:lvlJc w:val="left"/>
      <w:pPr>
        <w:ind w:left="1080" w:hanging="360"/>
      </w:pPr>
      <w:rPr>
        <w:rFonts w:ascii="Symbol" w:eastAsiaTheme="minorHAnsi" w:hAnsi="Symbol" w:cs="Davi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10971269">
    <w:abstractNumId w:val="0"/>
  </w:num>
  <w:num w:numId="2" w16cid:durableId="5765929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EFD"/>
    <w:rsid w:val="00064078"/>
    <w:rsid w:val="00112BE4"/>
    <w:rsid w:val="00153010"/>
    <w:rsid w:val="001D6EC6"/>
    <w:rsid w:val="001E4607"/>
    <w:rsid w:val="00293330"/>
    <w:rsid w:val="003B6272"/>
    <w:rsid w:val="005551DC"/>
    <w:rsid w:val="006B5B1D"/>
    <w:rsid w:val="00701766"/>
    <w:rsid w:val="007B5136"/>
    <w:rsid w:val="00837BD7"/>
    <w:rsid w:val="00853A7E"/>
    <w:rsid w:val="00863EFD"/>
    <w:rsid w:val="00935771"/>
    <w:rsid w:val="009A16EF"/>
    <w:rsid w:val="009D28F5"/>
    <w:rsid w:val="009D6398"/>
    <w:rsid w:val="00A55904"/>
    <w:rsid w:val="00A82CF4"/>
    <w:rsid w:val="00A86BC1"/>
    <w:rsid w:val="00A93FA9"/>
    <w:rsid w:val="00B612C6"/>
    <w:rsid w:val="00CC51A3"/>
    <w:rsid w:val="00D73A96"/>
    <w:rsid w:val="00D919CF"/>
    <w:rsid w:val="00DC4D1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A1F8A"/>
  <w15:chartTrackingRefBased/>
  <w15:docId w15:val="{801A6444-1213-40F4-A8F4-67B4AE9B1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153010"/>
    <w:pPr>
      <w:spacing w:after="0" w:line="240" w:lineRule="auto"/>
    </w:pPr>
    <w:rPr>
      <w:sz w:val="20"/>
      <w:szCs w:val="20"/>
    </w:rPr>
  </w:style>
  <w:style w:type="character" w:customStyle="1" w:styleId="a4">
    <w:name w:val="טקסט הערת שוליים תו"/>
    <w:basedOn w:val="a0"/>
    <w:link w:val="a3"/>
    <w:uiPriority w:val="99"/>
    <w:semiHidden/>
    <w:rsid w:val="00153010"/>
    <w:rPr>
      <w:noProof/>
      <w:sz w:val="20"/>
      <w:szCs w:val="20"/>
    </w:rPr>
  </w:style>
  <w:style w:type="character" w:styleId="a5">
    <w:name w:val="footnote reference"/>
    <w:basedOn w:val="a0"/>
    <w:uiPriority w:val="99"/>
    <w:semiHidden/>
    <w:unhideWhenUsed/>
    <w:rsid w:val="00153010"/>
    <w:rPr>
      <w:vertAlign w:val="superscript"/>
    </w:rPr>
  </w:style>
  <w:style w:type="table" w:styleId="a6">
    <w:name w:val="Table Grid"/>
    <w:basedOn w:val="a1"/>
    <w:uiPriority w:val="39"/>
    <w:rsid w:val="001530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853A7E"/>
    <w:pPr>
      <w:ind w:left="720"/>
      <w:contextualSpacing/>
    </w:pPr>
  </w:style>
  <w:style w:type="paragraph" w:styleId="a8">
    <w:name w:val="header"/>
    <w:basedOn w:val="a"/>
    <w:link w:val="a9"/>
    <w:uiPriority w:val="99"/>
    <w:unhideWhenUsed/>
    <w:rsid w:val="007B5136"/>
    <w:pPr>
      <w:tabs>
        <w:tab w:val="center" w:pos="4153"/>
        <w:tab w:val="right" w:pos="8306"/>
      </w:tabs>
      <w:spacing w:after="0" w:line="240" w:lineRule="auto"/>
    </w:pPr>
  </w:style>
  <w:style w:type="character" w:customStyle="1" w:styleId="a9">
    <w:name w:val="כותרת עליונה תו"/>
    <w:basedOn w:val="a0"/>
    <w:link w:val="a8"/>
    <w:uiPriority w:val="99"/>
    <w:rsid w:val="007B5136"/>
    <w:rPr>
      <w:noProof/>
    </w:rPr>
  </w:style>
  <w:style w:type="paragraph" w:styleId="aa">
    <w:name w:val="footer"/>
    <w:basedOn w:val="a"/>
    <w:link w:val="ab"/>
    <w:uiPriority w:val="99"/>
    <w:unhideWhenUsed/>
    <w:rsid w:val="007B5136"/>
    <w:pPr>
      <w:tabs>
        <w:tab w:val="center" w:pos="4153"/>
        <w:tab w:val="right" w:pos="8306"/>
      </w:tabs>
      <w:spacing w:after="0" w:line="240" w:lineRule="auto"/>
    </w:pPr>
  </w:style>
  <w:style w:type="character" w:customStyle="1" w:styleId="ab">
    <w:name w:val="כותרת תחתונה תו"/>
    <w:basedOn w:val="a0"/>
    <w:link w:val="aa"/>
    <w:uiPriority w:val="99"/>
    <w:rsid w:val="007B5136"/>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A87251-216D-49F6-98BB-EF6784A35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3528</TotalTime>
  <Pages>5</Pages>
  <Words>1490</Words>
  <Characters>7455</Characters>
  <Application>Microsoft Office Word</Application>
  <DocSecurity>0</DocSecurity>
  <Lines>62</Lines>
  <Paragraphs>17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paz peleg</dc:creator>
  <cp:keywords/>
  <dc:description/>
  <cp:lastModifiedBy>paz peleg</cp:lastModifiedBy>
  <cp:revision>6</cp:revision>
  <dcterms:created xsi:type="dcterms:W3CDTF">2022-11-17T08:34:00Z</dcterms:created>
  <dcterms:modified xsi:type="dcterms:W3CDTF">2022-12-23T11:13:00Z</dcterms:modified>
</cp:coreProperties>
</file>