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A0A5" w14:textId="55DE0834" w:rsidR="00D116B0" w:rsidRPr="00D116B0" w:rsidRDefault="00D116B0" w:rsidP="00D116B0">
      <w:pPr>
        <w:spacing w:after="0" w:line="360" w:lineRule="auto"/>
        <w:rPr>
          <w:rFonts w:asciiTheme="majorBidi" w:hAnsiTheme="majorBidi" w:cstheme="majorBidi"/>
          <w:sz w:val="24"/>
          <w:szCs w:val="24"/>
          <w:rtl/>
        </w:rPr>
      </w:pPr>
      <w:r w:rsidRPr="00D116B0">
        <w:rPr>
          <w:rFonts w:asciiTheme="majorBidi" w:hAnsiTheme="majorBidi" w:cstheme="majorBidi"/>
          <w:sz w:val="24"/>
          <w:szCs w:val="24"/>
          <w:rtl/>
        </w:rPr>
        <w:t>משנה  פרק ז משנה ב</w:t>
      </w:r>
    </w:p>
    <w:p w14:paraId="6C122010" w14:textId="3EB99F66" w:rsidR="001F5043" w:rsidRPr="00D116B0" w:rsidRDefault="00D116B0" w:rsidP="00D116B0">
      <w:pPr>
        <w:spacing w:after="0" w:line="360" w:lineRule="auto"/>
        <w:rPr>
          <w:rFonts w:asciiTheme="majorBidi" w:hAnsiTheme="majorBidi" w:cstheme="majorBidi"/>
          <w:sz w:val="24"/>
          <w:szCs w:val="24"/>
          <w:rtl/>
        </w:rPr>
      </w:pPr>
      <w:r w:rsidRPr="00D116B0">
        <w:rPr>
          <w:rFonts w:asciiTheme="majorBidi" w:hAnsiTheme="majorBidi" w:cstheme="majorBidi"/>
          <w:sz w:val="24"/>
          <w:szCs w:val="24"/>
          <w:rtl/>
        </w:rPr>
        <w:t>על אלו טומאות הנזיר מגלח על המת ועל כזית מן המת ועל כזית נצל ועל מלא תרווד רקב על השדרה ועל הגולגולת ועל אבר מן המת ועל אבר מן החי שיש עליו בשר כראוי ועל חצי קב עצמות ועל חצי לוג דם על מגען ועל משאן ועל אהלן ועל עצם כשעורה על מגעו ועל משאו על אלו הנזיר מגלח ומזה בשלישי ובשביעי וסותר את הקודמין ואינו מתחיל למנות אלא עד שיטהר ומביא את קרבנותיו:</w:t>
      </w:r>
    </w:p>
    <w:p w14:paraId="0AAD5C2E" w14:textId="322F0D25" w:rsidR="00D116B0" w:rsidRPr="00D116B0" w:rsidRDefault="00D116B0" w:rsidP="00D116B0">
      <w:pPr>
        <w:spacing w:after="0" w:line="360" w:lineRule="auto"/>
        <w:rPr>
          <w:rFonts w:asciiTheme="majorBidi" w:hAnsiTheme="majorBidi" w:cstheme="majorBidi"/>
          <w:sz w:val="24"/>
          <w:szCs w:val="24"/>
          <w:rtl/>
        </w:rPr>
      </w:pPr>
      <w:r w:rsidRPr="00D116B0">
        <w:rPr>
          <w:rFonts w:asciiTheme="majorBidi" w:hAnsiTheme="majorBidi" w:cstheme="majorBidi"/>
          <w:sz w:val="24"/>
          <w:szCs w:val="24"/>
          <w:rtl/>
        </w:rPr>
        <w:t>משנה פרק ז משנה ג</w:t>
      </w:r>
    </w:p>
    <w:p w14:paraId="520C9700" w14:textId="41ED853D" w:rsidR="001F5043" w:rsidRDefault="00D116B0" w:rsidP="00D116B0">
      <w:pPr>
        <w:spacing w:after="0" w:line="360" w:lineRule="auto"/>
        <w:rPr>
          <w:rFonts w:asciiTheme="majorBidi" w:hAnsiTheme="majorBidi" w:cstheme="majorBidi"/>
          <w:sz w:val="24"/>
          <w:szCs w:val="24"/>
          <w:rtl/>
        </w:rPr>
      </w:pPr>
      <w:r w:rsidRPr="00D116B0">
        <w:rPr>
          <w:rFonts w:asciiTheme="majorBidi" w:hAnsiTheme="majorBidi" w:cstheme="majorBidi"/>
          <w:sz w:val="24"/>
          <w:szCs w:val="24"/>
          <w:rtl/>
        </w:rPr>
        <w:t>אבל הסככות והפרעות ובית הפרס וארץ העמים והגולל והדופק ורביעית דם ואהל ורובע עצמות וכלים הנוגעים במת וימי ספרו וימי גמרו על אלו אין הנזיר מגלח ומזה בשלישי ובשביעי ואינו סותר את הקודמים ומתחיל ומונה מיד וקרבן אין לו באמת אמרו ימי הזב והזבה וימי הסגרו של מצורע הרי אלו עולין לו:</w:t>
      </w:r>
    </w:p>
    <w:p w14:paraId="501D578A" w14:textId="07AF002A" w:rsidR="00D116B0" w:rsidRPr="00D116B0" w:rsidRDefault="00D116B0" w:rsidP="00D116B0">
      <w:pPr>
        <w:spacing w:after="0" w:line="360" w:lineRule="auto"/>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החלוקה בין טומאות ש</w:t>
      </w:r>
      <w:r w:rsidR="009E0867">
        <w:rPr>
          <w:rFonts w:asciiTheme="majorBidi" w:hAnsiTheme="majorBidi" w:cstheme="majorBidi" w:hint="cs"/>
          <w:b/>
          <w:bCs/>
          <w:sz w:val="28"/>
          <w:szCs w:val="28"/>
          <w:u w:val="single"/>
          <w:rtl/>
        </w:rPr>
        <w:t>נזיר</w:t>
      </w:r>
      <w:r>
        <w:rPr>
          <w:rFonts w:asciiTheme="majorBidi" w:hAnsiTheme="majorBidi" w:cstheme="majorBidi" w:hint="cs"/>
          <w:b/>
          <w:bCs/>
          <w:sz w:val="28"/>
          <w:szCs w:val="28"/>
          <w:u w:val="single"/>
          <w:rtl/>
        </w:rPr>
        <w:t xml:space="preserve"> מגלח עליהן לבין </w:t>
      </w:r>
      <w:r w:rsidR="009E0867">
        <w:rPr>
          <w:rFonts w:asciiTheme="majorBidi" w:hAnsiTheme="majorBidi" w:cstheme="majorBidi" w:hint="cs"/>
          <w:b/>
          <w:bCs/>
          <w:sz w:val="28"/>
          <w:szCs w:val="28"/>
          <w:u w:val="single"/>
          <w:rtl/>
        </w:rPr>
        <w:t>טומאות</w:t>
      </w:r>
      <w:r>
        <w:rPr>
          <w:rFonts w:asciiTheme="majorBidi" w:hAnsiTheme="majorBidi" w:cstheme="majorBidi" w:hint="cs"/>
          <w:b/>
          <w:bCs/>
          <w:sz w:val="28"/>
          <w:szCs w:val="28"/>
          <w:u w:val="single"/>
          <w:rtl/>
        </w:rPr>
        <w:t xml:space="preserve"> שאינו מגלח עליהן</w:t>
      </w:r>
    </w:p>
    <w:p w14:paraId="6E3533A1" w14:textId="7CBB08CF" w:rsidR="00D116B0" w:rsidRDefault="00765048" w:rsidP="002D5E5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להבין מהו העיקרון המבדיל בין ה</w:t>
      </w:r>
      <w:r w:rsidR="009E0867">
        <w:rPr>
          <w:rFonts w:asciiTheme="majorBidi" w:hAnsiTheme="majorBidi" w:cstheme="majorBidi" w:hint="cs"/>
          <w:sz w:val="24"/>
          <w:szCs w:val="24"/>
          <w:rtl/>
        </w:rPr>
        <w:t>טומאות</w:t>
      </w:r>
      <w:r>
        <w:rPr>
          <w:rFonts w:asciiTheme="majorBidi" w:hAnsiTheme="majorBidi" w:cstheme="majorBidi" w:hint="cs"/>
          <w:sz w:val="24"/>
          <w:szCs w:val="24"/>
          <w:rtl/>
        </w:rPr>
        <w:t xml:space="preserve"> הסותרות </w:t>
      </w:r>
      <w:r w:rsidR="009E0867">
        <w:rPr>
          <w:rFonts w:asciiTheme="majorBidi" w:hAnsiTheme="majorBidi" w:cstheme="majorBidi" w:hint="cs"/>
          <w:sz w:val="24"/>
          <w:szCs w:val="24"/>
          <w:rtl/>
        </w:rPr>
        <w:t>נזיר</w:t>
      </w:r>
      <w:r>
        <w:rPr>
          <w:rFonts w:asciiTheme="majorBidi" w:hAnsiTheme="majorBidi" w:cstheme="majorBidi" w:hint="cs"/>
          <w:sz w:val="24"/>
          <w:szCs w:val="24"/>
          <w:rtl/>
        </w:rPr>
        <w:t xml:space="preserve">ות במשנה הראשונה, לבין אלו שלא </w:t>
      </w:r>
      <w:r w:rsidR="000D15CA">
        <w:rPr>
          <w:rFonts w:asciiTheme="majorBidi" w:hAnsiTheme="majorBidi" w:cstheme="majorBidi" w:hint="cs"/>
          <w:sz w:val="24"/>
          <w:szCs w:val="24"/>
          <w:rtl/>
        </w:rPr>
        <w:t xml:space="preserve">סותרות, המופיעות </w:t>
      </w:r>
      <w:r>
        <w:rPr>
          <w:rFonts w:asciiTheme="majorBidi" w:hAnsiTheme="majorBidi" w:cstheme="majorBidi" w:hint="cs"/>
          <w:sz w:val="24"/>
          <w:szCs w:val="24"/>
          <w:rtl/>
        </w:rPr>
        <w:t xml:space="preserve">במשנה השניה. </w:t>
      </w:r>
    </w:p>
    <w:p w14:paraId="0638237A" w14:textId="11254353" w:rsidR="002D5E5C" w:rsidRPr="002D5E5C" w:rsidRDefault="008820A1" w:rsidP="00654AAF">
      <w:pPr>
        <w:spacing w:after="0" w:line="360" w:lineRule="auto"/>
        <w:rPr>
          <w:rFonts w:asciiTheme="majorBidi" w:hAnsiTheme="majorBidi" w:cstheme="majorBidi"/>
          <w:sz w:val="24"/>
          <w:szCs w:val="24"/>
          <w:rtl/>
        </w:rPr>
      </w:pPr>
      <w:r>
        <w:rPr>
          <w:rFonts w:asciiTheme="majorBidi" w:hAnsiTheme="majorBidi" w:cs="Times New Roman" w:hint="cs"/>
          <w:b/>
          <w:bCs/>
          <w:sz w:val="24"/>
          <w:szCs w:val="24"/>
          <w:rtl/>
        </w:rPr>
        <w:t>א.</w:t>
      </w:r>
      <w:r w:rsidRPr="008820A1">
        <w:rPr>
          <w:rFonts w:asciiTheme="majorBidi" w:hAnsiTheme="majorBidi" w:cs="Times New Roman" w:hint="cs"/>
          <w:b/>
          <w:bCs/>
          <w:sz w:val="24"/>
          <w:szCs w:val="24"/>
          <w:rtl/>
        </w:rPr>
        <w:t xml:space="preserve">אין מגלחים על איסורים דרבנן </w:t>
      </w:r>
      <w:r w:rsidR="00765048" w:rsidRPr="008820A1">
        <w:rPr>
          <w:rFonts w:asciiTheme="majorBidi" w:hAnsiTheme="majorBidi" w:cs="Times New Roman" w:hint="cs"/>
          <w:sz w:val="24"/>
          <w:szCs w:val="24"/>
          <w:rtl/>
        </w:rPr>
        <w:t>ב</w:t>
      </w:r>
      <w:r w:rsidR="00765048" w:rsidRPr="008820A1">
        <w:rPr>
          <w:rFonts w:asciiTheme="majorBidi" w:hAnsiTheme="majorBidi" w:cs="Times New Roman"/>
          <w:sz w:val="24"/>
          <w:szCs w:val="24"/>
          <w:rtl/>
        </w:rPr>
        <w:t xml:space="preserve">שיטה מקובצת </w:t>
      </w:r>
      <w:r w:rsidR="00765048" w:rsidRPr="008820A1">
        <w:rPr>
          <w:rFonts w:asciiTheme="majorBidi" w:hAnsiTheme="majorBidi" w:cs="Times New Roman" w:hint="cs"/>
          <w:sz w:val="24"/>
          <w:szCs w:val="24"/>
          <w:rtl/>
        </w:rPr>
        <w:t xml:space="preserve">כותב בשם הרב עזריאל: </w:t>
      </w:r>
      <w:r w:rsidR="00765048" w:rsidRPr="008820A1">
        <w:rPr>
          <w:rFonts w:ascii="David" w:hAnsi="David" w:cs="David"/>
          <w:sz w:val="24"/>
          <w:szCs w:val="24"/>
          <w:rtl/>
        </w:rPr>
        <w:t>"וכל אלו טמאות דחשיב הכא דרבנן נינהו".</w:t>
      </w:r>
      <w:r w:rsidR="00765048" w:rsidRPr="008820A1">
        <w:rPr>
          <w:rFonts w:asciiTheme="majorBidi" w:hAnsiTheme="majorBidi" w:cstheme="majorBidi" w:hint="cs"/>
          <w:sz w:val="24"/>
          <w:szCs w:val="24"/>
          <w:rtl/>
        </w:rPr>
        <w:t xml:space="preserve"> אפשר לנמק בפשטות, שאין לו ל</w:t>
      </w:r>
      <w:r w:rsidR="009E0867">
        <w:rPr>
          <w:rFonts w:asciiTheme="majorBidi" w:hAnsiTheme="majorBidi" w:cstheme="majorBidi" w:hint="cs"/>
          <w:sz w:val="24"/>
          <w:szCs w:val="24"/>
          <w:rtl/>
        </w:rPr>
        <w:t>נזיר</w:t>
      </w:r>
      <w:r w:rsidR="00765048" w:rsidRPr="008820A1">
        <w:rPr>
          <w:rFonts w:asciiTheme="majorBidi" w:hAnsiTheme="majorBidi" w:cstheme="majorBidi" w:hint="cs"/>
          <w:sz w:val="24"/>
          <w:szCs w:val="24"/>
          <w:rtl/>
        </w:rPr>
        <w:t xml:space="preserve"> לגלח על טומאה דרבנן, בשעה שהגילוח אסור ל</w:t>
      </w:r>
      <w:r w:rsidR="009E0867">
        <w:rPr>
          <w:rFonts w:asciiTheme="majorBidi" w:hAnsiTheme="majorBidi" w:cstheme="majorBidi" w:hint="cs"/>
          <w:sz w:val="24"/>
          <w:szCs w:val="24"/>
          <w:rtl/>
        </w:rPr>
        <w:t>נזיר</w:t>
      </w:r>
      <w:r w:rsidR="00765048" w:rsidRPr="008820A1">
        <w:rPr>
          <w:rFonts w:asciiTheme="majorBidi" w:hAnsiTheme="majorBidi" w:cstheme="majorBidi" w:hint="cs"/>
          <w:sz w:val="24"/>
          <w:szCs w:val="24"/>
          <w:rtl/>
        </w:rPr>
        <w:t xml:space="preserve"> תוך ימי </w:t>
      </w:r>
      <w:r w:rsidR="009E0867">
        <w:rPr>
          <w:rFonts w:asciiTheme="majorBidi" w:hAnsiTheme="majorBidi" w:cstheme="majorBidi" w:hint="cs"/>
          <w:sz w:val="24"/>
          <w:szCs w:val="24"/>
          <w:rtl/>
        </w:rPr>
        <w:t>נזיר</w:t>
      </w:r>
      <w:r w:rsidR="00765048" w:rsidRPr="008820A1">
        <w:rPr>
          <w:rFonts w:asciiTheme="majorBidi" w:hAnsiTheme="majorBidi" w:cstheme="majorBidi" w:hint="cs"/>
          <w:sz w:val="24"/>
          <w:szCs w:val="24"/>
          <w:rtl/>
        </w:rPr>
        <w:t xml:space="preserve">ותו. </w:t>
      </w:r>
      <w:r w:rsidR="00654AAF">
        <w:rPr>
          <w:rFonts w:asciiTheme="majorBidi" w:hAnsiTheme="majorBidi" w:cstheme="majorBidi" w:hint="cs"/>
          <w:sz w:val="24"/>
          <w:szCs w:val="24"/>
          <w:rtl/>
        </w:rPr>
        <w:t xml:space="preserve">     </w:t>
      </w:r>
      <w:r w:rsidR="002D5E5C">
        <w:rPr>
          <w:rFonts w:asciiTheme="majorBidi" w:hAnsiTheme="majorBidi" w:cstheme="majorBidi" w:hint="cs"/>
          <w:sz w:val="24"/>
          <w:szCs w:val="24"/>
          <w:rtl/>
        </w:rPr>
        <w:t>מקור לדב</w:t>
      </w:r>
      <w:r w:rsidR="00654AAF">
        <w:rPr>
          <w:rFonts w:asciiTheme="majorBidi" w:hAnsiTheme="majorBidi" w:cstheme="majorBidi" w:hint="cs"/>
          <w:sz w:val="24"/>
          <w:szCs w:val="24"/>
          <w:rtl/>
        </w:rPr>
        <w:t>ר</w:t>
      </w:r>
      <w:r w:rsidR="002D5E5C">
        <w:rPr>
          <w:rFonts w:asciiTheme="majorBidi" w:hAnsiTheme="majorBidi" w:cstheme="majorBidi" w:hint="cs"/>
          <w:sz w:val="24"/>
          <w:szCs w:val="24"/>
          <w:rtl/>
        </w:rPr>
        <w:t xml:space="preserve">יו ניתן למצוא בתוספתא:  </w:t>
      </w:r>
      <w:r w:rsidR="002D5E5C">
        <w:rPr>
          <w:rFonts w:ascii="David" w:hAnsi="David" w:cs="David" w:hint="cs"/>
          <w:sz w:val="24"/>
          <w:szCs w:val="24"/>
          <w:rtl/>
        </w:rPr>
        <w:t>"</w:t>
      </w:r>
      <w:r w:rsidR="002D5E5C" w:rsidRPr="002D5E5C">
        <w:rPr>
          <w:rFonts w:ascii="David" w:hAnsi="David" w:cs="David"/>
          <w:sz w:val="24"/>
          <w:szCs w:val="24"/>
          <w:rtl/>
        </w:rPr>
        <w:t>זה הכלל</w:t>
      </w:r>
      <w:r w:rsidR="002D5E5C">
        <w:rPr>
          <w:rFonts w:ascii="David" w:hAnsi="David" w:cs="David" w:hint="cs"/>
          <w:sz w:val="24"/>
          <w:szCs w:val="24"/>
          <w:rtl/>
        </w:rPr>
        <w:t>:</w:t>
      </w:r>
      <w:r w:rsidR="002D5E5C" w:rsidRPr="002D5E5C">
        <w:rPr>
          <w:rFonts w:ascii="David" w:hAnsi="David" w:cs="David"/>
          <w:sz w:val="24"/>
          <w:szCs w:val="24"/>
          <w:rtl/>
        </w:rPr>
        <w:t xml:space="preserve"> כל טומאה מן המת שהנזיר מגלח עליה</w:t>
      </w:r>
      <w:r w:rsidR="002D5E5C">
        <w:rPr>
          <w:rFonts w:ascii="David" w:hAnsi="David" w:cs="David" w:hint="cs"/>
          <w:sz w:val="24"/>
          <w:szCs w:val="24"/>
          <w:rtl/>
        </w:rPr>
        <w:t>-</w:t>
      </w:r>
      <w:r w:rsidR="002D5E5C" w:rsidRPr="002D5E5C">
        <w:rPr>
          <w:rFonts w:ascii="David" w:hAnsi="David" w:cs="David"/>
          <w:sz w:val="24"/>
          <w:szCs w:val="24"/>
          <w:rtl/>
        </w:rPr>
        <w:t xml:space="preserve"> לוקה עליה את הארבעים</w:t>
      </w:r>
      <w:r w:rsidR="002D5E5C">
        <w:rPr>
          <w:rFonts w:ascii="David" w:hAnsi="David" w:cs="David" w:hint="cs"/>
          <w:sz w:val="24"/>
          <w:szCs w:val="24"/>
          <w:rtl/>
        </w:rPr>
        <w:t>.</w:t>
      </w:r>
      <w:r w:rsidR="002D5E5C" w:rsidRPr="002D5E5C">
        <w:rPr>
          <w:rFonts w:ascii="David" w:hAnsi="David" w:cs="David"/>
          <w:sz w:val="24"/>
          <w:szCs w:val="24"/>
          <w:rtl/>
        </w:rPr>
        <w:t xml:space="preserve"> וכל טומאה מן המת שאין הנזיר מגלח עליה אין לוקה עליה את הארבעים</w:t>
      </w:r>
      <w:r w:rsidR="002D5E5C" w:rsidRPr="002D5E5C">
        <w:rPr>
          <w:rStyle w:val="a5"/>
          <w:rFonts w:ascii="David" w:hAnsi="David" w:cs="David"/>
          <w:sz w:val="24"/>
          <w:szCs w:val="24"/>
          <w:rtl/>
        </w:rPr>
        <w:footnoteReference w:id="1"/>
      </w:r>
      <w:r w:rsidR="002D5E5C">
        <w:rPr>
          <w:rFonts w:ascii="David" w:hAnsi="David" w:cs="David" w:hint="cs"/>
          <w:sz w:val="24"/>
          <w:szCs w:val="24"/>
          <w:rtl/>
        </w:rPr>
        <w:t xml:space="preserve">". </w:t>
      </w:r>
      <w:r w:rsidR="002D5E5C">
        <w:rPr>
          <w:rFonts w:asciiTheme="majorBidi" w:hAnsiTheme="majorBidi" w:cstheme="majorBidi" w:hint="cs"/>
          <w:sz w:val="24"/>
          <w:szCs w:val="24"/>
          <w:rtl/>
        </w:rPr>
        <w:t>'מלקות ארבעים</w:t>
      </w:r>
      <w:r w:rsidR="002D5E5C">
        <w:rPr>
          <w:rStyle w:val="a5"/>
          <w:rFonts w:asciiTheme="majorBidi" w:hAnsiTheme="majorBidi" w:cstheme="majorBidi"/>
          <w:sz w:val="24"/>
          <w:szCs w:val="24"/>
          <w:rtl/>
        </w:rPr>
        <w:footnoteReference w:id="2"/>
      </w:r>
      <w:r w:rsidR="002D5E5C">
        <w:rPr>
          <w:rFonts w:asciiTheme="majorBidi" w:hAnsiTheme="majorBidi" w:cstheme="majorBidi" w:hint="cs"/>
          <w:sz w:val="24"/>
          <w:szCs w:val="24"/>
          <w:rtl/>
        </w:rPr>
        <w:t>' מאפיינים רק איסורי דאורייתא.</w:t>
      </w:r>
    </w:p>
    <w:p w14:paraId="658EB8B6" w14:textId="25248CBE" w:rsidR="00765048" w:rsidRPr="00765048" w:rsidRDefault="00765048" w:rsidP="0076504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אולם הדברים אינם פשוטים. בתפארת ישראל נדרש להלכה למשה מסיני שתחלק:</w:t>
      </w:r>
    </w:p>
    <w:p w14:paraId="11331D5B" w14:textId="1275D034" w:rsidR="00A82CF4" w:rsidRDefault="00D116B0" w:rsidP="00D116B0">
      <w:pPr>
        <w:spacing w:after="0" w:line="360" w:lineRule="auto"/>
        <w:rPr>
          <w:rFonts w:ascii="David" w:hAnsi="David" w:cs="David"/>
          <w:sz w:val="24"/>
          <w:szCs w:val="24"/>
          <w:rtl/>
        </w:rPr>
      </w:pPr>
      <w:r>
        <w:rPr>
          <w:rFonts w:ascii="David" w:hAnsi="David" w:cs="David" w:hint="cs"/>
          <w:sz w:val="24"/>
          <w:szCs w:val="24"/>
          <w:rtl/>
        </w:rPr>
        <w:t>"</w:t>
      </w:r>
      <w:r w:rsidR="00CE3B98" w:rsidRPr="001F5043">
        <w:rPr>
          <w:rFonts w:ascii="David" w:hAnsi="David" w:cs="David"/>
          <w:sz w:val="24"/>
          <w:szCs w:val="24"/>
          <w:rtl/>
        </w:rPr>
        <w:t>אף על גב דרובע קב מטמא באהל מדאורייתא, בנזיר הלכה למשה מסיני דצריך חצי קב דלסתור נזירותו:</w:t>
      </w:r>
      <w:r>
        <w:rPr>
          <w:rFonts w:ascii="David" w:hAnsi="David" w:cs="David" w:hint="cs"/>
          <w:sz w:val="24"/>
          <w:szCs w:val="24"/>
          <w:rtl/>
        </w:rPr>
        <w:t xml:space="preserve">  </w:t>
      </w:r>
      <w:r w:rsidR="00CE3B98" w:rsidRPr="001F5043">
        <w:rPr>
          <w:rFonts w:ascii="David" w:hAnsi="David" w:cs="David"/>
          <w:sz w:val="24"/>
          <w:szCs w:val="24"/>
          <w:rtl/>
        </w:rPr>
        <w:t>ועל חצי לוג דם. רביעית מטמא באהל מדאורייתא, ומיהו הלכה למשה מסיני דבנזיר אינו סותר נזירותו בפחות מב' רביעיות</w:t>
      </w:r>
      <w:r>
        <w:rPr>
          <w:rStyle w:val="a5"/>
          <w:rFonts w:ascii="David" w:hAnsi="David" w:cs="David"/>
          <w:sz w:val="24"/>
          <w:szCs w:val="24"/>
          <w:rtl/>
        </w:rPr>
        <w:footnoteReference w:id="3"/>
      </w:r>
      <w:r>
        <w:rPr>
          <w:rFonts w:ascii="David" w:hAnsi="David" w:cs="David" w:hint="cs"/>
          <w:sz w:val="24"/>
          <w:szCs w:val="24"/>
          <w:rtl/>
        </w:rPr>
        <w:t>".</w:t>
      </w:r>
    </w:p>
    <w:p w14:paraId="171B2827" w14:textId="4EA8B58D" w:rsidR="00216FE7" w:rsidRPr="008820A1" w:rsidRDefault="008820A1" w:rsidP="008820A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לכאורה </w:t>
      </w:r>
      <w:r w:rsidR="004A2F38" w:rsidRPr="004A2F38">
        <w:rPr>
          <w:rFonts w:asciiTheme="majorBidi" w:hAnsiTheme="majorBidi" w:cstheme="majorBidi"/>
          <w:sz w:val="24"/>
          <w:szCs w:val="24"/>
          <w:rtl/>
        </w:rPr>
        <w:t xml:space="preserve">נראה שהרמב"ם הלך בדרכו של רבי עזריאל: </w:t>
      </w:r>
      <w:r w:rsidR="004A2F38">
        <w:rPr>
          <w:rFonts w:ascii="David" w:hAnsi="David" w:cs="David" w:hint="cs"/>
          <w:sz w:val="24"/>
          <w:szCs w:val="24"/>
          <w:rtl/>
        </w:rPr>
        <w:t>"</w:t>
      </w:r>
      <w:r w:rsidR="004A2F38" w:rsidRPr="004A2F38">
        <w:rPr>
          <w:rFonts w:ascii="David" w:hAnsi="David" w:cs="David"/>
          <w:sz w:val="24"/>
          <w:szCs w:val="24"/>
          <w:rtl/>
        </w:rPr>
        <w:t>וטומאת רביעית דם</w:t>
      </w:r>
      <w:r w:rsidR="000F0223">
        <w:rPr>
          <w:rFonts w:ascii="David" w:hAnsi="David" w:cs="David" w:hint="cs"/>
          <w:sz w:val="24"/>
          <w:szCs w:val="24"/>
          <w:rtl/>
        </w:rPr>
        <w:t>,</w:t>
      </w:r>
      <w:r w:rsidR="004A2F38" w:rsidRPr="004A2F38">
        <w:rPr>
          <w:rFonts w:ascii="David" w:hAnsi="David" w:cs="David"/>
          <w:sz w:val="24"/>
          <w:szCs w:val="24"/>
          <w:rtl/>
        </w:rPr>
        <w:t xml:space="preserve"> וטומאת אבר שאין עליו בשר כראוי בין מן המת בין מן החי</w:t>
      </w:r>
      <w:r w:rsidR="000F0223">
        <w:rPr>
          <w:rFonts w:ascii="David" w:hAnsi="David" w:cs="David" w:hint="cs"/>
          <w:sz w:val="24"/>
          <w:szCs w:val="24"/>
          <w:rtl/>
        </w:rPr>
        <w:t>,</w:t>
      </w:r>
      <w:r w:rsidR="004A2F38" w:rsidRPr="004A2F38">
        <w:rPr>
          <w:rFonts w:ascii="David" w:hAnsi="David" w:cs="David"/>
          <w:sz w:val="24"/>
          <w:szCs w:val="24"/>
          <w:rtl/>
        </w:rPr>
        <w:t xml:space="preserve"> יראה לי שכולן טומאתן </w:t>
      </w:r>
      <w:r w:rsidR="004A2F38" w:rsidRPr="000F0223">
        <w:rPr>
          <w:rFonts w:ascii="David" w:hAnsi="David" w:cs="David"/>
          <w:sz w:val="24"/>
          <w:szCs w:val="24"/>
          <w:rtl/>
        </w:rPr>
        <w:t>אינן דין תורה שהרי אין הנזיר מגלח עליהן</w:t>
      </w:r>
      <w:r w:rsidR="004A2F38" w:rsidRPr="004A2F38">
        <w:rPr>
          <w:rFonts w:ascii="David" w:hAnsi="David" w:cs="David"/>
          <w:sz w:val="24"/>
          <w:szCs w:val="24"/>
          <w:rtl/>
        </w:rPr>
        <w:t xml:space="preserve"> כמו שביארנו בנזירות</w:t>
      </w:r>
      <w:r w:rsidR="000F0223">
        <w:rPr>
          <w:rFonts w:ascii="David" w:hAnsi="David" w:cs="David" w:hint="cs"/>
          <w:sz w:val="24"/>
          <w:szCs w:val="24"/>
          <w:rtl/>
        </w:rPr>
        <w:t>,</w:t>
      </w:r>
      <w:r w:rsidR="004A2F38" w:rsidRPr="004A2F38">
        <w:rPr>
          <w:rFonts w:ascii="David" w:hAnsi="David" w:cs="David"/>
          <w:sz w:val="24"/>
          <w:szCs w:val="24"/>
          <w:rtl/>
        </w:rPr>
        <w:t xml:space="preserve"> ואין חייבין עליהן על ביאת המקדש, ועל טמא בטומאה של תורה חייב על ביאת המקדש, לפיכך אני אומר </w:t>
      </w:r>
      <w:r w:rsidR="004A2F38" w:rsidRPr="000F0223">
        <w:rPr>
          <w:rFonts w:ascii="David" w:hAnsi="David" w:cs="David"/>
          <w:sz w:val="24"/>
          <w:szCs w:val="24"/>
          <w:rtl/>
        </w:rPr>
        <w:t>ש</w:t>
      </w:r>
      <w:r w:rsidR="004A2F38" w:rsidRPr="000F0223">
        <w:rPr>
          <w:rFonts w:ascii="David" w:hAnsi="David" w:cs="David"/>
          <w:b/>
          <w:bCs/>
          <w:sz w:val="24"/>
          <w:szCs w:val="24"/>
          <w:rtl/>
        </w:rPr>
        <w:t>כל טומאה מן המת שאין הנזיר מגלח עליה אינה דין תורה</w:t>
      </w:r>
      <w:r w:rsidR="004A2F38">
        <w:rPr>
          <w:rStyle w:val="a5"/>
          <w:rFonts w:ascii="David" w:hAnsi="David" w:cs="David"/>
          <w:sz w:val="24"/>
          <w:szCs w:val="24"/>
          <w:rtl/>
        </w:rPr>
        <w:footnoteReference w:id="4"/>
      </w:r>
      <w:r w:rsidR="004A2F38">
        <w:rPr>
          <w:rFonts w:ascii="David" w:hAnsi="David" w:cs="David" w:hint="cs"/>
          <w:sz w:val="24"/>
          <w:szCs w:val="24"/>
          <w:rtl/>
        </w:rPr>
        <w:t>"</w:t>
      </w:r>
      <w:r w:rsidR="004A2F38" w:rsidRPr="004A2F38">
        <w:rPr>
          <w:rFonts w:ascii="David" w:hAnsi="David" w:cs="David"/>
          <w:sz w:val="24"/>
          <w:szCs w:val="24"/>
          <w:rtl/>
        </w:rPr>
        <w:t>.</w:t>
      </w:r>
      <w:r w:rsidR="00216FE7">
        <w:rPr>
          <w:rFonts w:ascii="David" w:hAnsi="David" w:cs="David" w:hint="cs"/>
          <w:sz w:val="24"/>
          <w:szCs w:val="24"/>
          <w:rtl/>
        </w:rPr>
        <w:t xml:space="preserve"> </w:t>
      </w:r>
      <w:r w:rsidR="00216FE7" w:rsidRPr="00216FE7">
        <w:rPr>
          <w:rFonts w:asciiTheme="majorBidi" w:hAnsiTheme="majorBidi" w:cstheme="majorBidi"/>
          <w:sz w:val="24"/>
          <w:szCs w:val="24"/>
          <w:rtl/>
        </w:rPr>
        <w:t>בשפת אמת דן בזה:</w:t>
      </w:r>
      <w:r w:rsidR="00216FE7">
        <w:rPr>
          <w:rFonts w:ascii="David" w:hAnsi="David" w:cs="David" w:hint="cs"/>
          <w:sz w:val="24"/>
          <w:szCs w:val="24"/>
          <w:rtl/>
        </w:rPr>
        <w:t xml:space="preserve"> </w:t>
      </w:r>
    </w:p>
    <w:p w14:paraId="4CC110D7" w14:textId="38091713" w:rsidR="004A2F38" w:rsidRDefault="00216FE7" w:rsidP="00216FE7">
      <w:pPr>
        <w:spacing w:after="0" w:line="360" w:lineRule="auto"/>
        <w:rPr>
          <w:rFonts w:ascii="David" w:hAnsi="David" w:cs="David"/>
          <w:sz w:val="24"/>
          <w:szCs w:val="24"/>
          <w:rtl/>
        </w:rPr>
      </w:pPr>
      <w:r>
        <w:rPr>
          <w:rFonts w:ascii="David" w:hAnsi="David" w:cs="David" w:hint="cs"/>
          <w:sz w:val="24"/>
          <w:szCs w:val="24"/>
          <w:rtl/>
        </w:rPr>
        <w:t>"</w:t>
      </w:r>
      <w:r w:rsidRPr="00216FE7">
        <w:rPr>
          <w:rFonts w:ascii="David" w:hAnsi="David" w:cs="David"/>
          <w:sz w:val="24"/>
          <w:szCs w:val="24"/>
          <w:rtl/>
        </w:rPr>
        <w:t xml:space="preserve">כתב בספר יפה תואר באיכה, דאיתא שם דירמיה קבר רביעית דם של יאשיה המלך, והקשה דרביעית דם דאורייתא, ולא ראה שהרמב"ם פוסק דהוי רק דרבנן, ומשם נמי סיעתא להרמב"ם. אלא מיהו תמוה לי דבמשנה </w:t>
      </w:r>
      <w:r w:rsidRPr="00216FE7">
        <w:rPr>
          <w:rFonts w:ascii="David" w:hAnsi="David" w:cs="David"/>
          <w:sz w:val="18"/>
          <w:szCs w:val="18"/>
          <w:rtl/>
        </w:rPr>
        <w:t>סוף פרקין [נ"ו ע"ב]</w:t>
      </w:r>
      <w:r w:rsidRPr="00216FE7">
        <w:rPr>
          <w:rFonts w:ascii="David" w:hAnsi="David" w:cs="David"/>
          <w:sz w:val="24"/>
          <w:szCs w:val="24"/>
          <w:rtl/>
        </w:rPr>
        <w:t xml:space="preserve"> דקאמר ר' עקיבא ק"ו דרביעית דם דמטמא באהל </w:t>
      </w:r>
      <w:r w:rsidRPr="00216FE7">
        <w:rPr>
          <w:rFonts w:ascii="David" w:hAnsi="David" w:cs="David"/>
          <w:sz w:val="24"/>
          <w:szCs w:val="24"/>
          <w:rtl/>
        </w:rPr>
        <w:lastRenderedPageBreak/>
        <w:t>וכו' והשיבו לו אין דנין ק"ו מהלכה, משמע בהדיא דרביעית דם דאורייתא וצ"ע. גם בהקדמת הרמב"ם לסדר טהרות משמע מלשונו דרביעית דם מן התורה</w:t>
      </w:r>
      <w:r>
        <w:rPr>
          <w:rFonts w:ascii="David" w:hAnsi="David" w:cs="David" w:hint="cs"/>
          <w:sz w:val="24"/>
          <w:szCs w:val="24"/>
          <w:rtl/>
        </w:rPr>
        <w:t>.</w:t>
      </w:r>
      <w:r w:rsidRPr="00216FE7">
        <w:rPr>
          <w:rFonts w:ascii="David" w:hAnsi="David" w:cs="David"/>
          <w:sz w:val="24"/>
          <w:szCs w:val="24"/>
          <w:rtl/>
        </w:rPr>
        <w:t xml:space="preserve"> ואיני יודע לכוין דעתו בזה</w:t>
      </w:r>
      <w:r>
        <w:rPr>
          <w:rFonts w:ascii="David" w:hAnsi="David" w:cs="David" w:hint="cs"/>
          <w:sz w:val="24"/>
          <w:szCs w:val="24"/>
          <w:rtl/>
        </w:rPr>
        <w:t>"</w:t>
      </w:r>
      <w:r w:rsidRPr="00216FE7">
        <w:rPr>
          <w:rFonts w:ascii="David" w:hAnsi="David" w:cs="David"/>
          <w:sz w:val="24"/>
          <w:szCs w:val="24"/>
          <w:rtl/>
        </w:rPr>
        <w:t>.</w:t>
      </w:r>
    </w:p>
    <w:p w14:paraId="4FC70367" w14:textId="7BEB4CB5" w:rsidR="00216FE7" w:rsidRDefault="008820A1" w:rsidP="008820A1">
      <w:pPr>
        <w:spacing w:after="0" w:line="360" w:lineRule="auto"/>
        <w:rPr>
          <w:rFonts w:asciiTheme="majorBidi" w:hAnsiTheme="majorBidi" w:cstheme="majorBidi"/>
          <w:sz w:val="24"/>
          <w:szCs w:val="24"/>
          <w:rtl/>
        </w:rPr>
      </w:pPr>
      <w:r w:rsidRPr="008820A1">
        <w:rPr>
          <w:rFonts w:asciiTheme="majorBidi" w:hAnsiTheme="majorBidi" w:cstheme="majorBidi" w:hint="cs"/>
          <w:b/>
          <w:bCs/>
          <w:sz w:val="24"/>
          <w:szCs w:val="24"/>
          <w:rtl/>
        </w:rPr>
        <w:t>ב. ספקות</w:t>
      </w:r>
      <w:r>
        <w:rPr>
          <w:rFonts w:asciiTheme="majorBidi" w:hAnsiTheme="majorBidi" w:cstheme="majorBidi" w:hint="cs"/>
          <w:sz w:val="24"/>
          <w:szCs w:val="24"/>
          <w:rtl/>
        </w:rPr>
        <w:t xml:space="preserve"> </w:t>
      </w:r>
      <w:r w:rsidR="00216FE7" w:rsidRPr="00216FE7">
        <w:rPr>
          <w:rFonts w:asciiTheme="majorBidi" w:hAnsiTheme="majorBidi" w:cstheme="majorBidi"/>
          <w:sz w:val="24"/>
          <w:szCs w:val="24"/>
          <w:rtl/>
        </w:rPr>
        <w:t xml:space="preserve">בתוספות רי"ד הקשה:  </w:t>
      </w:r>
      <w:r>
        <w:rPr>
          <w:rFonts w:asciiTheme="majorBidi" w:hAnsiTheme="majorBidi" w:cstheme="majorBidi" w:hint="cs"/>
          <w:sz w:val="24"/>
          <w:szCs w:val="24"/>
          <w:rtl/>
        </w:rPr>
        <w:t xml:space="preserve"> </w:t>
      </w:r>
      <w:r w:rsidR="00216FE7">
        <w:rPr>
          <w:rFonts w:ascii="David" w:hAnsi="David" w:cs="David" w:hint="cs"/>
          <w:sz w:val="24"/>
          <w:szCs w:val="24"/>
          <w:rtl/>
        </w:rPr>
        <w:t>"</w:t>
      </w:r>
      <w:r w:rsidR="00216FE7" w:rsidRPr="00216FE7">
        <w:rPr>
          <w:rFonts w:ascii="David" w:hAnsi="David" w:cs="David"/>
          <w:sz w:val="24"/>
          <w:szCs w:val="24"/>
          <w:rtl/>
        </w:rPr>
        <w:t>ק"ל</w:t>
      </w:r>
      <w:r w:rsidR="00216FE7">
        <w:rPr>
          <w:rFonts w:ascii="David" w:hAnsi="David" w:cs="David" w:hint="cs"/>
          <w:sz w:val="24"/>
          <w:szCs w:val="24"/>
          <w:rtl/>
        </w:rPr>
        <w:t>:</w:t>
      </w:r>
      <w:r w:rsidR="00216FE7" w:rsidRPr="00216FE7">
        <w:rPr>
          <w:rFonts w:ascii="David" w:hAnsi="David" w:cs="David"/>
          <w:sz w:val="24"/>
          <w:szCs w:val="24"/>
          <w:rtl/>
        </w:rPr>
        <w:t xml:space="preserve"> דבשלמ' סככות ופרעות ובית הפרס וארץ העמים שהן ספק</w:t>
      </w:r>
      <w:r w:rsidR="00216FE7">
        <w:rPr>
          <w:rFonts w:ascii="David" w:hAnsi="David" w:cs="David" w:hint="cs"/>
          <w:sz w:val="24"/>
          <w:szCs w:val="24"/>
          <w:rtl/>
        </w:rPr>
        <w:t>-</w:t>
      </w:r>
      <w:r w:rsidR="00216FE7" w:rsidRPr="00216FE7">
        <w:rPr>
          <w:rFonts w:ascii="David" w:hAnsi="David" w:cs="David"/>
          <w:sz w:val="24"/>
          <w:szCs w:val="24"/>
          <w:rtl/>
        </w:rPr>
        <w:t xml:space="preserve"> אינו מגלח עליהן </w:t>
      </w:r>
      <w:r w:rsidR="00216FE7" w:rsidRPr="00216FE7">
        <w:rPr>
          <w:rFonts w:ascii="David" w:hAnsi="David" w:cs="David"/>
          <w:b/>
          <w:bCs/>
          <w:sz w:val="24"/>
          <w:szCs w:val="24"/>
          <w:rtl/>
        </w:rPr>
        <w:t>שלא יביא חולין לעזרה</w:t>
      </w:r>
      <w:r w:rsidR="00216FE7" w:rsidRPr="00216FE7">
        <w:rPr>
          <w:rFonts w:ascii="David" w:hAnsi="David" w:cs="David" w:hint="cs"/>
          <w:b/>
          <w:bCs/>
          <w:sz w:val="24"/>
          <w:szCs w:val="24"/>
          <w:rtl/>
        </w:rPr>
        <w:t>.</w:t>
      </w:r>
      <w:r w:rsidR="00216FE7" w:rsidRPr="00216FE7">
        <w:rPr>
          <w:rFonts w:ascii="David" w:hAnsi="David" w:cs="David"/>
          <w:sz w:val="24"/>
          <w:szCs w:val="24"/>
          <w:rtl/>
        </w:rPr>
        <w:t xml:space="preserve"> רביעית דם ואוהל רובע עצמות </w:t>
      </w:r>
      <w:r w:rsidR="00216FE7">
        <w:rPr>
          <w:rFonts w:ascii="David" w:hAnsi="David" w:cs="David" w:hint="cs"/>
          <w:sz w:val="24"/>
          <w:szCs w:val="24"/>
          <w:rtl/>
        </w:rPr>
        <w:t xml:space="preserve">- </w:t>
      </w:r>
      <w:r w:rsidR="00216FE7" w:rsidRPr="00216FE7">
        <w:rPr>
          <w:rFonts w:ascii="David" w:hAnsi="David" w:cs="David"/>
          <w:sz w:val="24"/>
          <w:szCs w:val="24"/>
          <w:rtl/>
        </w:rPr>
        <w:t>נמי טומאתן מדרבנן</w:t>
      </w:r>
      <w:r w:rsidR="00216FE7">
        <w:rPr>
          <w:rFonts w:ascii="David" w:hAnsi="David" w:cs="David" w:hint="cs"/>
          <w:sz w:val="24"/>
          <w:szCs w:val="24"/>
          <w:rtl/>
        </w:rPr>
        <w:t xml:space="preserve">. </w:t>
      </w:r>
      <w:r w:rsidR="00216FE7" w:rsidRPr="00216FE7">
        <w:rPr>
          <w:rFonts w:ascii="David" w:hAnsi="David" w:cs="David"/>
          <w:sz w:val="24"/>
          <w:szCs w:val="24"/>
          <w:rtl/>
        </w:rPr>
        <w:t xml:space="preserve"> אלא גולל ודופק דטומאה מן התורה כדכתבית לעיל וכלים הנוגעים במתני' דמיטמו אדם מדאוריית</w:t>
      </w:r>
      <w:r w:rsidR="00216FE7">
        <w:rPr>
          <w:rFonts w:ascii="David" w:hAnsi="David" w:cs="David" w:hint="cs"/>
          <w:sz w:val="24"/>
          <w:szCs w:val="24"/>
          <w:rtl/>
        </w:rPr>
        <w:t xml:space="preserve">א.. </w:t>
      </w:r>
      <w:r w:rsidR="00216FE7" w:rsidRPr="00216FE7">
        <w:rPr>
          <w:rFonts w:ascii="David" w:hAnsi="David" w:cs="David"/>
          <w:sz w:val="24"/>
          <w:szCs w:val="24"/>
          <w:rtl/>
        </w:rPr>
        <w:t>אמאי אין הנזיר מגלח עליהן</w:t>
      </w:r>
      <w:r w:rsidR="00216FE7">
        <w:rPr>
          <w:rFonts w:ascii="David" w:hAnsi="David" w:cs="David" w:hint="cs"/>
          <w:sz w:val="24"/>
          <w:szCs w:val="24"/>
          <w:rtl/>
        </w:rPr>
        <w:t xml:space="preserve">?". </w:t>
      </w:r>
      <w:r w:rsidR="00216FE7" w:rsidRPr="00216FE7">
        <w:rPr>
          <w:rFonts w:asciiTheme="majorBidi" w:hAnsiTheme="majorBidi" w:cstheme="majorBidi"/>
          <w:sz w:val="24"/>
          <w:szCs w:val="24"/>
          <w:rtl/>
        </w:rPr>
        <w:t>חידש התוספות רי"ד</w:t>
      </w:r>
      <w:r w:rsidR="00216FE7">
        <w:rPr>
          <w:rFonts w:asciiTheme="majorBidi" w:hAnsiTheme="majorBidi" w:cstheme="majorBidi" w:hint="cs"/>
          <w:sz w:val="24"/>
          <w:szCs w:val="24"/>
          <w:rtl/>
        </w:rPr>
        <w:t>,</w:t>
      </w:r>
      <w:r w:rsidR="00216FE7" w:rsidRPr="00216FE7">
        <w:rPr>
          <w:rFonts w:asciiTheme="majorBidi" w:hAnsiTheme="majorBidi" w:cstheme="majorBidi"/>
          <w:sz w:val="24"/>
          <w:szCs w:val="24"/>
          <w:rtl/>
        </w:rPr>
        <w:t xml:space="preserve"> שהחשש הוא להביא חולין בעזרה, ומפני כך גם ספקות</w:t>
      </w:r>
      <w:r w:rsidR="00D2031B">
        <w:rPr>
          <w:rFonts w:asciiTheme="majorBidi" w:hAnsiTheme="majorBidi" w:cstheme="majorBidi" w:hint="cs"/>
          <w:sz w:val="24"/>
          <w:szCs w:val="24"/>
          <w:rtl/>
        </w:rPr>
        <w:t>,</w:t>
      </w:r>
      <w:r w:rsidR="00216FE7" w:rsidRPr="00216FE7">
        <w:rPr>
          <w:rFonts w:asciiTheme="majorBidi" w:hAnsiTheme="majorBidi" w:cstheme="majorBidi"/>
          <w:sz w:val="24"/>
          <w:szCs w:val="24"/>
          <w:rtl/>
        </w:rPr>
        <w:t xml:space="preserve"> דינם שלא יסתרו </w:t>
      </w:r>
      <w:r w:rsidR="009E0867">
        <w:rPr>
          <w:rFonts w:asciiTheme="majorBidi" w:hAnsiTheme="majorBidi" w:cstheme="majorBidi"/>
          <w:sz w:val="24"/>
          <w:szCs w:val="24"/>
          <w:rtl/>
        </w:rPr>
        <w:t>נזיר</w:t>
      </w:r>
      <w:r w:rsidR="00216FE7" w:rsidRPr="00216FE7">
        <w:rPr>
          <w:rFonts w:asciiTheme="majorBidi" w:hAnsiTheme="majorBidi" w:cstheme="majorBidi"/>
          <w:sz w:val="24"/>
          <w:szCs w:val="24"/>
          <w:rtl/>
        </w:rPr>
        <w:t>ות</w:t>
      </w:r>
      <w:r w:rsidR="006218EE">
        <w:rPr>
          <w:rStyle w:val="a5"/>
          <w:rFonts w:asciiTheme="majorBidi" w:hAnsiTheme="majorBidi" w:cstheme="majorBidi"/>
          <w:sz w:val="24"/>
          <w:szCs w:val="24"/>
          <w:rtl/>
        </w:rPr>
        <w:footnoteReference w:id="5"/>
      </w:r>
      <w:r w:rsidR="00216FE7" w:rsidRPr="00216FE7">
        <w:rPr>
          <w:rFonts w:asciiTheme="majorBidi" w:hAnsiTheme="majorBidi" w:cstheme="majorBidi"/>
          <w:sz w:val="24"/>
          <w:szCs w:val="24"/>
          <w:rtl/>
        </w:rPr>
        <w:t>.</w:t>
      </w:r>
      <w:r w:rsidR="00216FE7">
        <w:rPr>
          <w:rFonts w:asciiTheme="majorBidi" w:hAnsiTheme="majorBidi" w:cstheme="majorBidi" w:hint="cs"/>
          <w:sz w:val="24"/>
          <w:szCs w:val="24"/>
          <w:rtl/>
        </w:rPr>
        <w:t xml:space="preserve"> </w:t>
      </w:r>
      <w:r w:rsidR="002D5E5C">
        <w:rPr>
          <w:rFonts w:asciiTheme="majorBidi" w:hAnsiTheme="majorBidi" w:cstheme="majorBidi" w:hint="cs"/>
          <w:sz w:val="24"/>
          <w:szCs w:val="24"/>
          <w:rtl/>
        </w:rPr>
        <w:t>גם התוספתא מתאימה לדברים, שכן ניתן להבין שאין לוקים על ספקות</w:t>
      </w:r>
      <w:r w:rsidR="002D5E5C">
        <w:rPr>
          <w:rStyle w:val="a5"/>
          <w:rFonts w:asciiTheme="majorBidi" w:hAnsiTheme="majorBidi" w:cstheme="majorBidi"/>
          <w:sz w:val="24"/>
          <w:szCs w:val="24"/>
          <w:rtl/>
        </w:rPr>
        <w:footnoteReference w:id="6"/>
      </w:r>
      <w:r w:rsidR="002D5E5C">
        <w:rPr>
          <w:rFonts w:asciiTheme="majorBidi" w:hAnsiTheme="majorBidi" w:cstheme="majorBidi" w:hint="cs"/>
          <w:sz w:val="24"/>
          <w:szCs w:val="24"/>
          <w:rtl/>
        </w:rPr>
        <w:t xml:space="preserve">. </w:t>
      </w:r>
      <w:r w:rsidR="00D2031B">
        <w:rPr>
          <w:rFonts w:asciiTheme="majorBidi" w:hAnsiTheme="majorBidi" w:cstheme="majorBidi" w:hint="cs"/>
          <w:sz w:val="24"/>
          <w:szCs w:val="24"/>
          <w:rtl/>
        </w:rPr>
        <w:t xml:space="preserve">תוקף </w:t>
      </w:r>
      <w:r w:rsidR="00216FE7">
        <w:rPr>
          <w:rFonts w:asciiTheme="majorBidi" w:hAnsiTheme="majorBidi" w:cstheme="majorBidi" w:hint="cs"/>
          <w:sz w:val="24"/>
          <w:szCs w:val="24"/>
          <w:rtl/>
        </w:rPr>
        <w:t>איסור הבאת חולין בעזרה</w:t>
      </w:r>
      <w:r w:rsidR="00D2031B">
        <w:rPr>
          <w:rFonts w:asciiTheme="majorBidi" w:hAnsiTheme="majorBidi" w:cstheme="majorBidi" w:hint="cs"/>
          <w:sz w:val="24"/>
          <w:szCs w:val="24"/>
          <w:rtl/>
        </w:rPr>
        <w:t xml:space="preserve"> נתון במחלוקת תנאים, ואף בדעת הרמב"ם בעניין, קיימות סתירות</w:t>
      </w:r>
      <w:r w:rsidR="00D2031B">
        <w:rPr>
          <w:rStyle w:val="a5"/>
          <w:rFonts w:asciiTheme="majorBidi" w:hAnsiTheme="majorBidi" w:cstheme="majorBidi"/>
          <w:sz w:val="24"/>
          <w:szCs w:val="24"/>
          <w:rtl/>
        </w:rPr>
        <w:footnoteReference w:id="7"/>
      </w:r>
      <w:r w:rsidR="00D2031B">
        <w:rPr>
          <w:rFonts w:asciiTheme="majorBidi" w:hAnsiTheme="majorBidi" w:cstheme="majorBidi" w:hint="cs"/>
          <w:sz w:val="24"/>
          <w:szCs w:val="24"/>
          <w:rtl/>
        </w:rPr>
        <w:t xml:space="preserve">. </w:t>
      </w:r>
      <w:r w:rsidR="001834EA">
        <w:rPr>
          <w:rFonts w:asciiTheme="majorBidi" w:hAnsiTheme="majorBidi" w:cstheme="majorBidi" w:hint="cs"/>
          <w:sz w:val="24"/>
          <w:szCs w:val="24"/>
          <w:rtl/>
        </w:rPr>
        <w:t>יש לשאול</w:t>
      </w:r>
      <w:r w:rsidR="001834EA">
        <w:rPr>
          <w:rStyle w:val="a5"/>
          <w:rFonts w:asciiTheme="majorBidi" w:hAnsiTheme="majorBidi" w:cstheme="majorBidi"/>
          <w:sz w:val="24"/>
          <w:szCs w:val="24"/>
          <w:rtl/>
        </w:rPr>
        <w:footnoteReference w:id="8"/>
      </w:r>
      <w:r w:rsidR="001834EA">
        <w:rPr>
          <w:rFonts w:asciiTheme="majorBidi" w:hAnsiTheme="majorBidi" w:cstheme="majorBidi" w:hint="cs"/>
          <w:sz w:val="24"/>
          <w:szCs w:val="24"/>
          <w:rtl/>
        </w:rPr>
        <w:t xml:space="preserve"> על שיטת הרי"ד: במסכתנו ריש לקיש מסביר שאב יכול להדיר בנו כ</w:t>
      </w:r>
      <w:r w:rsidR="009E0867">
        <w:rPr>
          <w:rFonts w:asciiTheme="majorBidi" w:hAnsiTheme="majorBidi" w:cstheme="majorBidi" w:hint="cs"/>
          <w:sz w:val="24"/>
          <w:szCs w:val="24"/>
          <w:rtl/>
        </w:rPr>
        <w:t>נזיר</w:t>
      </w:r>
      <w:r w:rsidR="001834EA">
        <w:rPr>
          <w:rFonts w:asciiTheme="majorBidi" w:hAnsiTheme="majorBidi" w:cstheme="majorBidi" w:hint="cs"/>
          <w:sz w:val="24"/>
          <w:szCs w:val="24"/>
          <w:rtl/>
        </w:rPr>
        <w:t xml:space="preserve">, כדי לחנכו במצוות. שואלת הגמרא: </w:t>
      </w:r>
      <w:r w:rsidR="001834EA" w:rsidRPr="001834EA">
        <w:rPr>
          <w:rFonts w:ascii="David" w:hAnsi="David" w:cs="David"/>
          <w:sz w:val="24"/>
          <w:szCs w:val="24"/>
          <w:rtl/>
        </w:rPr>
        <w:t>"הא קא מייתי חולין לעזרה! קסבר: חולין בעזרה לאו דאורייתא</w:t>
      </w:r>
      <w:r w:rsidR="001834EA" w:rsidRPr="001834EA">
        <w:rPr>
          <w:rStyle w:val="a5"/>
          <w:rFonts w:ascii="David" w:hAnsi="David" w:cs="David"/>
          <w:sz w:val="24"/>
          <w:szCs w:val="24"/>
          <w:rtl/>
        </w:rPr>
        <w:footnoteReference w:id="9"/>
      </w:r>
      <w:r w:rsidR="001834EA" w:rsidRPr="001834EA">
        <w:rPr>
          <w:rFonts w:ascii="David" w:hAnsi="David" w:cs="David"/>
          <w:sz w:val="24"/>
          <w:szCs w:val="24"/>
          <w:rtl/>
        </w:rPr>
        <w:t>".</w:t>
      </w:r>
      <w:r w:rsidR="001834EA">
        <w:rPr>
          <w:rFonts w:ascii="David" w:hAnsi="David" w:cs="David" w:hint="cs"/>
          <w:sz w:val="24"/>
          <w:szCs w:val="24"/>
          <w:rtl/>
        </w:rPr>
        <w:t xml:space="preserve"> </w:t>
      </w:r>
      <w:r w:rsidR="001834EA" w:rsidRPr="001834EA">
        <w:rPr>
          <w:rFonts w:asciiTheme="majorBidi" w:hAnsiTheme="majorBidi" w:cstheme="majorBidi"/>
          <w:sz w:val="24"/>
          <w:szCs w:val="24"/>
          <w:rtl/>
        </w:rPr>
        <w:t xml:space="preserve">הרי שלפי ריש לקיש, אין בעיה להקריב קרבן </w:t>
      </w:r>
      <w:r w:rsidR="009E0867">
        <w:rPr>
          <w:rFonts w:asciiTheme="majorBidi" w:hAnsiTheme="majorBidi" w:cstheme="majorBidi"/>
          <w:sz w:val="24"/>
          <w:szCs w:val="24"/>
          <w:rtl/>
        </w:rPr>
        <w:t>נזיר</w:t>
      </w:r>
      <w:r w:rsidR="001834EA" w:rsidRPr="001834EA">
        <w:rPr>
          <w:rFonts w:asciiTheme="majorBidi" w:hAnsiTheme="majorBidi" w:cstheme="majorBidi"/>
          <w:sz w:val="24"/>
          <w:szCs w:val="24"/>
          <w:rtl/>
        </w:rPr>
        <w:t xml:space="preserve"> מדרבנן.</w:t>
      </w:r>
    </w:p>
    <w:p w14:paraId="167551DA" w14:textId="059539D9" w:rsidR="002D5E5C" w:rsidRPr="002D5E5C" w:rsidRDefault="001834EA" w:rsidP="002D5E5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ניתן להסביר שלדעת הרי"ד חולין בעזרה דאורייתא. אכן הוא כותב: </w:t>
      </w:r>
      <w:r>
        <w:rPr>
          <w:rFonts w:ascii="David" w:hAnsi="David" w:cs="David" w:hint="cs"/>
          <w:sz w:val="24"/>
          <w:szCs w:val="24"/>
          <w:rtl/>
        </w:rPr>
        <w:t>"</w:t>
      </w:r>
      <w:r w:rsidRPr="001834EA">
        <w:rPr>
          <w:rFonts w:ascii="David" w:hAnsi="David" w:cs="David"/>
          <w:sz w:val="24"/>
          <w:szCs w:val="24"/>
          <w:rtl/>
        </w:rPr>
        <w:t>עיין בפ' הזרוע במהדורא תליתאה</w:t>
      </w:r>
      <w:r w:rsidR="006218EE">
        <w:rPr>
          <w:rFonts w:ascii="David" w:hAnsi="David" w:cs="David" w:hint="cs"/>
          <w:sz w:val="24"/>
          <w:szCs w:val="24"/>
          <w:rtl/>
        </w:rPr>
        <w:t>,</w:t>
      </w:r>
      <w:r w:rsidRPr="001834EA">
        <w:rPr>
          <w:rFonts w:ascii="David" w:hAnsi="David" w:cs="David"/>
          <w:sz w:val="24"/>
          <w:szCs w:val="24"/>
          <w:rtl/>
        </w:rPr>
        <w:t xml:space="preserve"> שהוכחתי שאיסור להכניס חולין בעזרה הוא מדאורייתא</w:t>
      </w:r>
      <w:r w:rsidRPr="001834EA">
        <w:rPr>
          <w:rStyle w:val="a5"/>
          <w:rFonts w:ascii="David" w:hAnsi="David" w:cs="David"/>
          <w:sz w:val="24"/>
          <w:szCs w:val="24"/>
          <w:rtl/>
        </w:rPr>
        <w:footnoteReference w:id="10"/>
      </w:r>
      <w:r>
        <w:rPr>
          <w:rFonts w:ascii="David" w:hAnsi="David" w:cs="David" w:hint="cs"/>
          <w:sz w:val="24"/>
          <w:szCs w:val="24"/>
          <w:rtl/>
        </w:rPr>
        <w:t>"</w:t>
      </w:r>
      <w:r w:rsidR="006218EE">
        <w:rPr>
          <w:rFonts w:ascii="David" w:hAnsi="David" w:cs="David" w:hint="cs"/>
          <w:sz w:val="24"/>
          <w:szCs w:val="24"/>
          <w:rtl/>
        </w:rPr>
        <w:t>.</w:t>
      </w:r>
      <w:r w:rsidR="006218EE">
        <w:rPr>
          <w:rFonts w:asciiTheme="majorBidi" w:hAnsiTheme="majorBidi" w:cstheme="majorBidi" w:hint="cs"/>
          <w:sz w:val="24"/>
          <w:szCs w:val="24"/>
          <w:rtl/>
        </w:rPr>
        <w:t xml:space="preserve"> אמנם, אפילו אם האיסור דרבנן </w:t>
      </w:r>
      <w:r w:rsidR="006218EE">
        <w:rPr>
          <w:rFonts w:ascii="David" w:hAnsi="David" w:cs="David" w:hint="cs"/>
          <w:sz w:val="24"/>
          <w:szCs w:val="24"/>
          <w:rtl/>
        </w:rPr>
        <w:t xml:space="preserve">"יש לחלק בין </w:t>
      </w:r>
      <w:r w:rsidR="009E0867">
        <w:rPr>
          <w:rFonts w:ascii="David" w:hAnsi="David" w:cs="David" w:hint="cs"/>
          <w:sz w:val="24"/>
          <w:szCs w:val="24"/>
          <w:rtl/>
        </w:rPr>
        <w:t>נזיר</w:t>
      </w:r>
      <w:r w:rsidR="006218EE">
        <w:rPr>
          <w:rFonts w:ascii="David" w:hAnsi="David" w:cs="David" w:hint="cs"/>
          <w:sz w:val="24"/>
          <w:szCs w:val="24"/>
          <w:rtl/>
        </w:rPr>
        <w:t xml:space="preserve">ות דרבנן לבין טומאה דרבנן. </w:t>
      </w:r>
      <w:r w:rsidR="009E0867">
        <w:rPr>
          <w:rFonts w:ascii="David" w:hAnsi="David" w:cs="David" w:hint="cs"/>
          <w:sz w:val="24"/>
          <w:szCs w:val="24"/>
          <w:rtl/>
        </w:rPr>
        <w:t>נזיר</w:t>
      </w:r>
      <w:r w:rsidR="006218EE">
        <w:rPr>
          <w:rFonts w:ascii="David" w:hAnsi="David" w:cs="David" w:hint="cs"/>
          <w:sz w:val="24"/>
          <w:szCs w:val="24"/>
          <w:rtl/>
        </w:rPr>
        <w:t xml:space="preserve">ות דרבנן יוצרת חיוב להבאת קרבן, ועל כן בהכרח האפשרות ליצירת </w:t>
      </w:r>
      <w:r w:rsidR="009E0867">
        <w:rPr>
          <w:rFonts w:ascii="David" w:hAnsi="David" w:cs="David" w:hint="cs"/>
          <w:sz w:val="24"/>
          <w:szCs w:val="24"/>
          <w:rtl/>
        </w:rPr>
        <w:t>נזיר</w:t>
      </w:r>
      <w:r w:rsidR="006218EE">
        <w:rPr>
          <w:rFonts w:ascii="David" w:hAnsi="David" w:cs="David" w:hint="cs"/>
          <w:sz w:val="24"/>
          <w:szCs w:val="24"/>
          <w:rtl/>
        </w:rPr>
        <w:t>ות כזו מתירה הבאת חולין בעזרה (למ"ד שהבאת חולין בעזרה אסורה רק מדרבנן). ואילו טומאה מדרבנן יוצרת רק 'במקרה' חיוב לקרבן ועל כן אינה מתירה הבאת חולין בעזרה גם למ"ד שהבאת חולין בעזרה</w:t>
      </w:r>
      <w:r w:rsidR="006218EE" w:rsidRPr="006218EE">
        <w:rPr>
          <w:rFonts w:ascii="David" w:hAnsi="David" w:cs="David" w:hint="cs"/>
          <w:sz w:val="24"/>
          <w:szCs w:val="24"/>
          <w:rtl/>
        </w:rPr>
        <w:t xml:space="preserve"> </w:t>
      </w:r>
      <w:r w:rsidR="006218EE">
        <w:rPr>
          <w:rFonts w:ascii="David" w:hAnsi="David" w:cs="David" w:hint="cs"/>
          <w:sz w:val="24"/>
          <w:szCs w:val="24"/>
          <w:rtl/>
        </w:rPr>
        <w:t>אסורה רק מדרבנן</w:t>
      </w:r>
      <w:r w:rsidR="006218EE">
        <w:rPr>
          <w:rStyle w:val="a5"/>
          <w:rFonts w:ascii="David" w:hAnsi="David" w:cs="David"/>
          <w:sz w:val="24"/>
          <w:szCs w:val="24"/>
          <w:rtl/>
        </w:rPr>
        <w:footnoteReference w:id="11"/>
      </w:r>
      <w:r w:rsidR="006218EE">
        <w:rPr>
          <w:rFonts w:ascii="David" w:hAnsi="David" w:cs="David" w:hint="cs"/>
          <w:sz w:val="24"/>
          <w:szCs w:val="24"/>
          <w:rtl/>
        </w:rPr>
        <w:t>".</w:t>
      </w:r>
      <w:r w:rsidR="002D5E5C">
        <w:rPr>
          <w:rFonts w:ascii="David" w:hAnsi="David" w:cs="David" w:hint="cs"/>
          <w:sz w:val="24"/>
          <w:szCs w:val="24"/>
          <w:rtl/>
        </w:rPr>
        <w:t xml:space="preserve"> </w:t>
      </w:r>
      <w:r w:rsidR="008820A1">
        <w:rPr>
          <w:rFonts w:asciiTheme="majorBidi" w:hAnsiTheme="majorBidi" w:cstheme="majorBidi" w:hint="cs"/>
          <w:sz w:val="24"/>
          <w:szCs w:val="24"/>
          <w:rtl/>
        </w:rPr>
        <w:t xml:space="preserve"> </w:t>
      </w:r>
    </w:p>
    <w:p w14:paraId="1BF33AFF" w14:textId="0D952454" w:rsidR="002D5E5C" w:rsidRDefault="002D5E5C" w:rsidP="001834EA">
      <w:pPr>
        <w:spacing w:after="0" w:line="360" w:lineRule="auto"/>
        <w:rPr>
          <w:rFonts w:ascii="David" w:hAnsi="David" w:cs="David"/>
          <w:sz w:val="24"/>
          <w:szCs w:val="24"/>
          <w:rtl/>
        </w:rPr>
      </w:pPr>
      <w:r>
        <w:rPr>
          <w:rFonts w:ascii="David" w:hAnsi="David" w:cs="David" w:hint="cs"/>
          <w:sz w:val="24"/>
          <w:szCs w:val="24"/>
          <w:rtl/>
        </w:rPr>
        <w:t>"ר</w:t>
      </w:r>
      <w:r w:rsidR="008820A1">
        <w:rPr>
          <w:rFonts w:ascii="David" w:hAnsi="David" w:cs="David" w:hint="cs"/>
          <w:sz w:val="24"/>
          <w:szCs w:val="24"/>
          <w:rtl/>
        </w:rPr>
        <w:t>בינו עזריאל לא משתמש בנימוק הנוסף שהובא בתוספות רי"ד, ולפיו חלק מן הטומאות במשנה הן אמנם מן התורה, אך הן רק טומאות של ספק. ונראה לומר בפשטות שנחלקו בשאלה האם ספק דאורייתא לחומרא מן התורה או מדרבנן. לדעת הרי"ד ספק דאורייתא לחומרא מן התורה, ולכן מדובר בקטגוריא נפרדת, ולדעת רבינו עזריאל ספק דאורייתא לחומרא מדרבנן, ולכן כל הטומאות במשנה כלולות תחת כותרת אחת של 'טומאות דרבנן</w:t>
      </w:r>
      <w:r w:rsidR="008820A1">
        <w:rPr>
          <w:rStyle w:val="a5"/>
          <w:rFonts w:ascii="David" w:hAnsi="David" w:cs="David"/>
          <w:sz w:val="24"/>
          <w:szCs w:val="24"/>
          <w:rtl/>
        </w:rPr>
        <w:footnoteReference w:id="12"/>
      </w:r>
      <w:r w:rsidR="008820A1">
        <w:rPr>
          <w:rFonts w:ascii="David" w:hAnsi="David" w:cs="David" w:hint="cs"/>
          <w:sz w:val="24"/>
          <w:szCs w:val="24"/>
          <w:rtl/>
        </w:rPr>
        <w:t>".</w:t>
      </w:r>
    </w:p>
    <w:p w14:paraId="2D9F645D" w14:textId="07FB5407" w:rsidR="00A81580" w:rsidRPr="00A81580" w:rsidRDefault="00A81580" w:rsidP="001834EA">
      <w:pPr>
        <w:spacing w:after="0" w:line="360" w:lineRule="auto"/>
        <w:rPr>
          <w:rFonts w:asciiTheme="majorBidi" w:hAnsiTheme="majorBidi" w:cstheme="majorBidi"/>
          <w:b/>
          <w:bCs/>
          <w:sz w:val="24"/>
          <w:szCs w:val="24"/>
          <w:rtl/>
        </w:rPr>
      </w:pPr>
      <w:r w:rsidRPr="00A81580">
        <w:rPr>
          <w:rFonts w:asciiTheme="majorBidi" w:hAnsiTheme="majorBidi" w:cstheme="majorBidi" w:hint="cs"/>
          <w:b/>
          <w:bCs/>
          <w:sz w:val="24"/>
          <w:szCs w:val="24"/>
          <w:rtl/>
        </w:rPr>
        <w:t>ג. טומאה עצמית</w:t>
      </w:r>
      <w:r>
        <w:rPr>
          <w:rFonts w:asciiTheme="majorBidi" w:hAnsiTheme="majorBidi" w:cstheme="majorBidi" w:hint="cs"/>
          <w:b/>
          <w:bCs/>
          <w:sz w:val="24"/>
          <w:szCs w:val="24"/>
          <w:rtl/>
        </w:rPr>
        <w:t xml:space="preserve"> </w:t>
      </w:r>
      <w:r w:rsidRPr="00A81580">
        <w:rPr>
          <w:rFonts w:asciiTheme="majorBidi" w:hAnsiTheme="majorBidi" w:cstheme="majorBidi" w:hint="cs"/>
          <w:sz w:val="24"/>
          <w:szCs w:val="24"/>
          <w:rtl/>
        </w:rPr>
        <w:t>לאמיתו של דבר הרמב"ם הקדים חילוק</w:t>
      </w:r>
      <w:r>
        <w:rPr>
          <w:rFonts w:asciiTheme="majorBidi" w:hAnsiTheme="majorBidi" w:cstheme="majorBidi" w:hint="cs"/>
          <w:b/>
          <w:bCs/>
          <w:sz w:val="24"/>
          <w:szCs w:val="24"/>
          <w:rtl/>
        </w:rPr>
        <w:t xml:space="preserve"> </w:t>
      </w:r>
      <w:r w:rsidRPr="00A81580">
        <w:rPr>
          <w:rFonts w:asciiTheme="majorBidi" w:hAnsiTheme="majorBidi" w:cstheme="majorBidi" w:hint="cs"/>
          <w:sz w:val="24"/>
          <w:szCs w:val="24"/>
          <w:rtl/>
        </w:rPr>
        <w:t>עקרוני עוד טרם שהזכיר איסורי דרבנן:</w:t>
      </w:r>
      <w:r>
        <w:rPr>
          <w:rFonts w:asciiTheme="majorBidi" w:hAnsiTheme="majorBidi" w:cstheme="majorBidi" w:hint="cs"/>
          <w:b/>
          <w:bCs/>
          <w:sz w:val="24"/>
          <w:szCs w:val="24"/>
          <w:rtl/>
        </w:rPr>
        <w:t xml:space="preserve"> </w:t>
      </w:r>
    </w:p>
    <w:p w14:paraId="2706BAF5" w14:textId="7AEBBC82" w:rsidR="00216FE7" w:rsidRPr="00654AAF" w:rsidRDefault="008E1FB2" w:rsidP="00654AAF">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8E1FB2">
        <w:rPr>
          <w:rFonts w:ascii="David" w:hAnsi="David" w:cs="David"/>
          <w:sz w:val="24"/>
          <w:szCs w:val="24"/>
          <w:rtl/>
        </w:rPr>
        <w:t>אינו חייב תגלחת ואינו סותר הימים הראשונים אלא בטומאות ידועות</w:t>
      </w:r>
      <w:r>
        <w:rPr>
          <w:rFonts w:ascii="David" w:hAnsi="David" w:cs="David" w:hint="cs"/>
          <w:sz w:val="24"/>
          <w:szCs w:val="24"/>
          <w:rtl/>
        </w:rPr>
        <w:t>,</w:t>
      </w:r>
      <w:r w:rsidRPr="008E1FB2">
        <w:rPr>
          <w:rFonts w:ascii="David" w:hAnsi="David" w:cs="David"/>
          <w:sz w:val="24"/>
          <w:szCs w:val="24"/>
          <w:rtl/>
        </w:rPr>
        <w:t xml:space="preserve"> והן טומאות </w:t>
      </w:r>
      <w:r w:rsidRPr="008E1FB2">
        <w:rPr>
          <w:rFonts w:ascii="David" w:hAnsi="David" w:cs="David"/>
          <w:b/>
          <w:bCs/>
          <w:sz w:val="24"/>
          <w:szCs w:val="24"/>
          <w:rtl/>
        </w:rPr>
        <w:t>שהן מעצמו של מת</w:t>
      </w:r>
      <w:r>
        <w:rPr>
          <w:rFonts w:ascii="David" w:hAnsi="David" w:cs="David" w:hint="cs"/>
          <w:b/>
          <w:bCs/>
          <w:sz w:val="24"/>
          <w:szCs w:val="24"/>
          <w:rtl/>
        </w:rPr>
        <w:t xml:space="preserve"> </w:t>
      </w:r>
      <w:r w:rsidRPr="008E1FB2">
        <w:rPr>
          <w:rFonts w:ascii="David" w:hAnsi="David" w:cs="David"/>
          <w:sz w:val="24"/>
          <w:szCs w:val="24"/>
          <w:rtl/>
        </w:rPr>
        <w:t>שנ' וכי ימות</w:t>
      </w:r>
      <w:r w:rsidRPr="008E1FB2">
        <w:rPr>
          <w:rFonts w:ascii="David" w:hAnsi="David" w:cs="David"/>
          <w:b/>
          <w:bCs/>
          <w:sz w:val="24"/>
          <w:szCs w:val="24"/>
          <w:rtl/>
        </w:rPr>
        <w:t xml:space="preserve"> מת עליו </w:t>
      </w:r>
      <w:r w:rsidRPr="008E1FB2">
        <w:rPr>
          <w:rFonts w:ascii="David" w:hAnsi="David" w:cs="David"/>
          <w:sz w:val="24"/>
          <w:szCs w:val="24"/>
          <w:rtl/>
        </w:rPr>
        <w:t>וכו' ולא נאמר וכי יטמא לנפש וטמא את ראש נזרו</w:t>
      </w:r>
      <w:r>
        <w:rPr>
          <w:rStyle w:val="a5"/>
          <w:rFonts w:ascii="David" w:hAnsi="David" w:cs="David"/>
          <w:sz w:val="24"/>
          <w:szCs w:val="24"/>
          <w:rtl/>
        </w:rPr>
        <w:footnoteReference w:id="13"/>
      </w:r>
      <w:r>
        <w:rPr>
          <w:rFonts w:ascii="David" w:hAnsi="David" w:cs="David" w:hint="cs"/>
          <w:sz w:val="24"/>
          <w:szCs w:val="24"/>
          <w:rtl/>
        </w:rPr>
        <w:t xml:space="preserve">". </w:t>
      </w:r>
      <w:r>
        <w:rPr>
          <w:rFonts w:asciiTheme="majorBidi" w:hAnsiTheme="majorBidi" w:cstheme="majorBidi" w:hint="cs"/>
          <w:sz w:val="24"/>
          <w:szCs w:val="24"/>
          <w:rtl/>
        </w:rPr>
        <w:t>רק לאחר מכן הוסיף הרמב"ם, שגם בטומאות מעצמו של מת אין מגלחים עליהן אם הן מדרבנן.</w:t>
      </w:r>
      <w:r w:rsidR="00D306F1">
        <w:rPr>
          <w:rFonts w:asciiTheme="majorBidi" w:hAnsiTheme="majorBidi" w:cstheme="majorBidi" w:hint="cs"/>
          <w:sz w:val="24"/>
          <w:szCs w:val="24"/>
          <w:rtl/>
        </w:rPr>
        <w:t xml:space="preserve"> </w:t>
      </w:r>
      <w:r w:rsidR="00D306F1">
        <w:rPr>
          <w:rFonts w:ascii="David" w:hAnsi="David" w:cs="David" w:hint="cs"/>
          <w:sz w:val="24"/>
          <w:szCs w:val="24"/>
          <w:rtl/>
        </w:rPr>
        <w:t>"לכן למרות שלשיטת הרמב"ם טומאת כלים או קבר הינן טומאות ודאיות מן התורה, הן לא גור</w:t>
      </w:r>
      <w:r w:rsidR="00654AAF">
        <w:rPr>
          <w:rFonts w:ascii="David" w:hAnsi="David" w:cs="David" w:hint="cs"/>
          <w:sz w:val="24"/>
          <w:szCs w:val="24"/>
          <w:rtl/>
        </w:rPr>
        <w:t>מ</w:t>
      </w:r>
      <w:r w:rsidR="00D306F1">
        <w:rPr>
          <w:rFonts w:ascii="David" w:hAnsi="David" w:cs="David" w:hint="cs"/>
          <w:sz w:val="24"/>
          <w:szCs w:val="24"/>
          <w:rtl/>
        </w:rPr>
        <w:t xml:space="preserve">ות לסתירת </w:t>
      </w:r>
      <w:r w:rsidR="009E0867">
        <w:rPr>
          <w:rFonts w:ascii="David" w:hAnsi="David" w:cs="David" w:hint="cs"/>
          <w:sz w:val="24"/>
          <w:szCs w:val="24"/>
          <w:rtl/>
        </w:rPr>
        <w:t>נזיר</w:t>
      </w:r>
      <w:r w:rsidR="00D306F1">
        <w:rPr>
          <w:rFonts w:ascii="David" w:hAnsi="David" w:cs="David" w:hint="cs"/>
          <w:sz w:val="24"/>
          <w:szCs w:val="24"/>
          <w:rtl/>
        </w:rPr>
        <w:t>ות או לחיוב תגלחת הטומאה, מפני שאין בהם טומאה הנובעת מחלק ממשי של מת</w:t>
      </w:r>
      <w:r w:rsidR="00D306F1">
        <w:rPr>
          <w:rStyle w:val="a5"/>
          <w:rFonts w:ascii="David" w:hAnsi="David" w:cs="David"/>
          <w:sz w:val="24"/>
          <w:szCs w:val="24"/>
          <w:rtl/>
        </w:rPr>
        <w:footnoteReference w:id="14"/>
      </w:r>
      <w:r w:rsidR="00D306F1">
        <w:rPr>
          <w:rFonts w:ascii="David" w:hAnsi="David" w:cs="David" w:hint="cs"/>
          <w:sz w:val="24"/>
          <w:szCs w:val="24"/>
          <w:rtl/>
        </w:rPr>
        <w:t xml:space="preserve">". </w:t>
      </w:r>
      <w:r w:rsidR="00D306F1">
        <w:rPr>
          <w:rFonts w:asciiTheme="majorBidi" w:hAnsiTheme="majorBidi" w:cstheme="majorBidi" w:hint="cs"/>
          <w:sz w:val="24"/>
          <w:szCs w:val="24"/>
          <w:rtl/>
        </w:rPr>
        <w:t xml:space="preserve">במשנה תורה דורש הרמב"ם: </w:t>
      </w:r>
      <w:r w:rsidR="00D306F1">
        <w:rPr>
          <w:rFonts w:ascii="David" w:hAnsi="David" w:cs="David" w:hint="cs"/>
          <w:sz w:val="24"/>
          <w:szCs w:val="24"/>
          <w:rtl/>
        </w:rPr>
        <w:t xml:space="preserve">"לפי שלא נאמר בו "וכי יטמא לנפש", אלא: "כי ימות מת עליו" </w:t>
      </w:r>
      <w:r w:rsidR="00D306F1">
        <w:rPr>
          <w:rFonts w:ascii="David" w:hAnsi="David" w:cs="David"/>
          <w:sz w:val="24"/>
          <w:szCs w:val="24"/>
          <w:rtl/>
        </w:rPr>
        <w:t>–</w:t>
      </w:r>
      <w:r w:rsidR="00D306F1">
        <w:rPr>
          <w:rFonts w:ascii="David" w:hAnsi="David" w:cs="David" w:hint="cs"/>
          <w:sz w:val="24"/>
          <w:szCs w:val="24"/>
          <w:rtl/>
        </w:rPr>
        <w:t xml:space="preserve"> עד שיטמא מטומאות שהן מעצמו של מת</w:t>
      </w:r>
      <w:r w:rsidR="00D306F1">
        <w:rPr>
          <w:rStyle w:val="a5"/>
          <w:rFonts w:ascii="David" w:hAnsi="David" w:cs="David"/>
          <w:sz w:val="24"/>
          <w:szCs w:val="24"/>
          <w:rtl/>
        </w:rPr>
        <w:footnoteReference w:id="15"/>
      </w:r>
      <w:r w:rsidR="00D306F1">
        <w:rPr>
          <w:rFonts w:ascii="David" w:hAnsi="David" w:cs="David" w:hint="cs"/>
          <w:sz w:val="24"/>
          <w:szCs w:val="24"/>
          <w:rtl/>
        </w:rPr>
        <w:t xml:space="preserve">". </w:t>
      </w:r>
      <w:r w:rsidR="004377E0">
        <w:rPr>
          <w:rFonts w:asciiTheme="majorBidi" w:hAnsiTheme="majorBidi" w:cstheme="majorBidi" w:hint="cs"/>
          <w:sz w:val="24"/>
          <w:szCs w:val="24"/>
          <w:rtl/>
        </w:rPr>
        <w:t xml:space="preserve">דרשה זו של הרמב"ם היא ייחודית. לא זו בלבד שדרשה זו אינה לפנינו, אלא שישנה דרשה אלטרנטיבית מן הפסוק, הלומדת </w:t>
      </w:r>
      <w:r w:rsidR="00654AAF">
        <w:rPr>
          <w:rFonts w:asciiTheme="majorBidi" w:hAnsiTheme="majorBidi" w:cstheme="majorBidi" w:hint="cs"/>
          <w:sz w:val="24"/>
          <w:szCs w:val="24"/>
          <w:rtl/>
        </w:rPr>
        <w:t xml:space="preserve">ממנוהלכה אחרת, </w:t>
      </w:r>
      <w:r w:rsidR="004377E0">
        <w:rPr>
          <w:rFonts w:asciiTheme="majorBidi" w:hAnsiTheme="majorBidi" w:cstheme="majorBidi" w:hint="cs"/>
          <w:sz w:val="24"/>
          <w:szCs w:val="24"/>
          <w:rtl/>
        </w:rPr>
        <w:t xml:space="preserve">שאין מגלחים על טומאת תהום: </w:t>
      </w:r>
      <w:r w:rsidR="00654AAF">
        <w:rPr>
          <w:rFonts w:asciiTheme="majorBidi" w:hAnsiTheme="majorBidi" w:cstheme="majorBidi" w:hint="cs"/>
          <w:sz w:val="24"/>
          <w:szCs w:val="24"/>
          <w:rtl/>
        </w:rPr>
        <w:t xml:space="preserve"> </w:t>
      </w:r>
      <w:r w:rsidR="004377E0">
        <w:rPr>
          <w:rFonts w:ascii="David" w:hAnsi="David" w:cs="David" w:hint="cs"/>
          <w:sz w:val="24"/>
          <w:szCs w:val="24"/>
          <w:rtl/>
        </w:rPr>
        <w:t>"</w:t>
      </w:r>
      <w:r w:rsidR="004377E0" w:rsidRPr="004377E0">
        <w:rPr>
          <w:rFonts w:ascii="David" w:hAnsi="David" w:cs="David"/>
          <w:sz w:val="24"/>
          <w:szCs w:val="24"/>
          <w:rtl/>
        </w:rPr>
        <w:t>אמר ר"א, דאמר קרא: וכי ימות מת עליו בפתע פתאום, עליו - במחוורת לו</w:t>
      </w:r>
      <w:r w:rsidR="004377E0" w:rsidRPr="004377E0">
        <w:rPr>
          <w:rStyle w:val="a5"/>
          <w:rFonts w:ascii="David" w:hAnsi="David" w:cs="David"/>
          <w:sz w:val="24"/>
          <w:szCs w:val="24"/>
          <w:rtl/>
        </w:rPr>
        <w:footnoteReference w:id="16"/>
      </w:r>
      <w:r w:rsidR="004377E0">
        <w:rPr>
          <w:rFonts w:ascii="David" w:hAnsi="David" w:cs="David" w:hint="cs"/>
          <w:sz w:val="24"/>
          <w:szCs w:val="24"/>
          <w:rtl/>
        </w:rPr>
        <w:t>"</w:t>
      </w:r>
      <w:r w:rsidR="004377E0" w:rsidRPr="004377E0">
        <w:rPr>
          <w:rFonts w:ascii="David" w:hAnsi="David" w:cs="David"/>
          <w:sz w:val="24"/>
          <w:szCs w:val="24"/>
          <w:rtl/>
        </w:rPr>
        <w:t>.</w:t>
      </w:r>
    </w:p>
    <w:p w14:paraId="69341346" w14:textId="42983D51" w:rsidR="002E5D58" w:rsidRDefault="009E0867" w:rsidP="004377E0">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2E5D58">
        <w:rPr>
          <w:rFonts w:asciiTheme="majorBidi" w:hAnsiTheme="majorBidi" w:cstheme="majorBidi" w:hint="cs"/>
          <w:b/>
          <w:bCs/>
          <w:sz w:val="24"/>
          <w:szCs w:val="24"/>
          <w:rtl/>
        </w:rPr>
        <w:t>המקור של הרמב"ם</w:t>
      </w:r>
    </w:p>
    <w:p w14:paraId="39269A74" w14:textId="70548D83" w:rsidR="00587967" w:rsidRDefault="008A6170" w:rsidP="00FF4797">
      <w:pPr>
        <w:spacing w:after="0" w:line="360" w:lineRule="auto"/>
        <w:rPr>
          <w:rFonts w:ascii="David" w:hAnsi="David" w:cs="David"/>
          <w:sz w:val="24"/>
          <w:szCs w:val="24"/>
          <w:rtl/>
        </w:rPr>
      </w:pPr>
      <w:r w:rsidRPr="008A6170">
        <w:rPr>
          <w:rFonts w:asciiTheme="majorBidi" w:hAnsiTheme="majorBidi" w:cstheme="majorBidi" w:hint="cs"/>
          <w:sz w:val="24"/>
          <w:szCs w:val="24"/>
          <w:rtl/>
        </w:rPr>
        <w:t xml:space="preserve">בערוך השולחן הציע שהרמב"ם דייק בשינוי לשון הפסוקים: </w:t>
      </w:r>
      <w:r>
        <w:rPr>
          <w:rFonts w:asciiTheme="majorBidi" w:hAnsiTheme="majorBidi" w:cstheme="majorBidi" w:hint="cs"/>
          <w:sz w:val="24"/>
          <w:szCs w:val="24"/>
          <w:rtl/>
        </w:rPr>
        <w:t>"</w:t>
      </w:r>
      <w:r w:rsidRPr="00E5084F">
        <w:rPr>
          <w:rFonts w:ascii="David" w:eastAsia="Times New Roman" w:hAnsi="David" w:cs="David"/>
          <w:noProof w:val="0"/>
          <w:color w:val="222222"/>
          <w:sz w:val="24"/>
          <w:szCs w:val="24"/>
          <w:rtl/>
        </w:rPr>
        <w:t>הרמב"ם בשכלו הזך מצא רמז בתורה והוא באמת רמז נפלא, שהרי בכל התורה כתיב כי יטמא וטמא וכיוצא בזה וכאן כתיב שינוי לשון</w:t>
      </w:r>
      <w:r>
        <w:rPr>
          <w:rFonts w:ascii="David" w:eastAsia="Times New Roman" w:hAnsi="David" w:cs="David" w:hint="cs"/>
          <w:noProof w:val="0"/>
          <w:color w:val="222222"/>
          <w:sz w:val="24"/>
          <w:szCs w:val="24"/>
          <w:rtl/>
        </w:rPr>
        <w:t>:</w:t>
      </w:r>
      <w:r w:rsidRPr="00E5084F">
        <w:rPr>
          <w:rFonts w:ascii="David" w:eastAsia="Times New Roman" w:hAnsi="David" w:cs="David"/>
          <w:noProof w:val="0"/>
          <w:color w:val="222222"/>
          <w:sz w:val="24"/>
          <w:szCs w:val="24"/>
          <w:rtl/>
        </w:rPr>
        <w:t xml:space="preserve"> </w:t>
      </w:r>
      <w:r>
        <w:rPr>
          <w:rFonts w:ascii="David" w:eastAsia="Times New Roman" w:hAnsi="David" w:cs="David" w:hint="cs"/>
          <w:noProof w:val="0"/>
          <w:color w:val="222222"/>
          <w:sz w:val="24"/>
          <w:szCs w:val="24"/>
          <w:rtl/>
        </w:rPr>
        <w:t>'</w:t>
      </w:r>
      <w:r w:rsidRPr="00E5084F">
        <w:rPr>
          <w:rFonts w:ascii="David" w:eastAsia="Times New Roman" w:hAnsi="David" w:cs="David"/>
          <w:noProof w:val="0"/>
          <w:color w:val="222222"/>
          <w:sz w:val="24"/>
          <w:szCs w:val="24"/>
          <w:rtl/>
        </w:rPr>
        <w:t>וכי ימות מת</w:t>
      </w:r>
      <w:r>
        <w:rPr>
          <w:rFonts w:ascii="David" w:eastAsia="Times New Roman" w:hAnsi="David" w:cs="David" w:hint="cs"/>
          <w:noProof w:val="0"/>
          <w:color w:val="222222"/>
          <w:sz w:val="24"/>
          <w:szCs w:val="24"/>
          <w:rtl/>
        </w:rPr>
        <w:t>'</w:t>
      </w:r>
      <w:r w:rsidRPr="00E5084F">
        <w:rPr>
          <w:rFonts w:ascii="David" w:eastAsia="Times New Roman" w:hAnsi="David" w:cs="David"/>
          <w:noProof w:val="0"/>
          <w:color w:val="222222"/>
          <w:sz w:val="24"/>
          <w:szCs w:val="24"/>
          <w:rtl/>
        </w:rPr>
        <w:t xml:space="preserve"> עליו להורות שיש טומאות מן המת שאין הנזיר מגלח עליהן ופרטי הדינים נמסרו למשה מסיני, וזה שכתב מהן דברי סופרים היינו שיש להם רמז בפסוק ומ"מ אין זה מפורש בתורה</w:t>
      </w:r>
      <w:r>
        <w:rPr>
          <w:rStyle w:val="a5"/>
          <w:rFonts w:ascii="David" w:hAnsi="David" w:cs="David"/>
          <w:sz w:val="24"/>
          <w:szCs w:val="24"/>
          <w:rtl/>
        </w:rPr>
        <w:footnoteReference w:id="17"/>
      </w:r>
      <w:r>
        <w:rPr>
          <w:rFonts w:ascii="David" w:hAnsi="David" w:cs="David" w:hint="cs"/>
          <w:sz w:val="24"/>
          <w:szCs w:val="24"/>
          <w:rtl/>
        </w:rPr>
        <w:t>".</w:t>
      </w:r>
      <w:r w:rsidR="00FF4797">
        <w:rPr>
          <w:rFonts w:ascii="David" w:hAnsi="David" w:cs="David" w:hint="cs"/>
          <w:sz w:val="24"/>
          <w:szCs w:val="24"/>
          <w:rtl/>
        </w:rPr>
        <w:t xml:space="preserve">  </w:t>
      </w:r>
      <w:r w:rsidR="0026798B" w:rsidRPr="0026798B">
        <w:rPr>
          <w:rFonts w:asciiTheme="majorBidi" w:hAnsiTheme="majorBidi" w:cstheme="majorBidi"/>
          <w:sz w:val="24"/>
          <w:szCs w:val="24"/>
          <w:rtl/>
        </w:rPr>
        <w:t>המגדל עוז מצא  מקור לדברים בתוספתא:</w:t>
      </w:r>
      <w:r w:rsidR="0026798B">
        <w:rPr>
          <w:rFonts w:ascii="David" w:hAnsi="David" w:cs="David" w:hint="cs"/>
          <w:sz w:val="24"/>
          <w:szCs w:val="24"/>
          <w:rtl/>
        </w:rPr>
        <w:t xml:space="preserve"> "</w:t>
      </w:r>
      <w:r w:rsidR="00343E86" w:rsidRPr="00343E86">
        <w:rPr>
          <w:rFonts w:ascii="David" w:hAnsi="David" w:cs="David"/>
          <w:sz w:val="24"/>
          <w:szCs w:val="24"/>
          <w:rtl/>
        </w:rPr>
        <w:t>אין הנזיר מגלח אלא על המת בלב</w:t>
      </w:r>
      <w:r w:rsidR="0026798B">
        <w:rPr>
          <w:rFonts w:ascii="David" w:hAnsi="David" w:cs="David" w:hint="cs"/>
          <w:sz w:val="24"/>
          <w:szCs w:val="24"/>
          <w:rtl/>
        </w:rPr>
        <w:t xml:space="preserve">ד </w:t>
      </w:r>
      <w:r w:rsidR="00343E86">
        <w:rPr>
          <w:rStyle w:val="a5"/>
          <w:rFonts w:ascii="David" w:hAnsi="David" w:cs="David"/>
          <w:sz w:val="24"/>
          <w:szCs w:val="24"/>
        </w:rPr>
        <w:footnoteReference w:id="18"/>
      </w:r>
      <w:r w:rsidR="0026798B">
        <w:rPr>
          <w:rFonts w:ascii="David" w:hAnsi="David" w:cs="David" w:hint="cs"/>
          <w:sz w:val="24"/>
          <w:szCs w:val="24"/>
          <w:rtl/>
        </w:rPr>
        <w:t>".</w:t>
      </w:r>
      <w:r w:rsidR="00587967">
        <w:rPr>
          <w:rFonts w:ascii="David" w:hAnsi="David" w:cs="David" w:hint="cs"/>
          <w:sz w:val="24"/>
          <w:szCs w:val="24"/>
          <w:rtl/>
        </w:rPr>
        <w:t xml:space="preserve"> </w:t>
      </w:r>
    </w:p>
    <w:p w14:paraId="3797805B" w14:textId="40ABAEA1" w:rsidR="00587967" w:rsidRPr="002E5D58" w:rsidRDefault="00587967" w:rsidP="002E5D5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במשנה נאמר: </w:t>
      </w:r>
      <w:r w:rsidRPr="00DB4F26">
        <w:rPr>
          <w:rFonts w:ascii="David" w:hAnsi="David" w:cs="David"/>
          <w:sz w:val="24"/>
          <w:szCs w:val="24"/>
          <w:rtl/>
        </w:rPr>
        <w:t>"אמר רבי אליעזר משום רבי יהושע: כל טומאה מן המת שהנזיר מגלח עליה חייבין עליה על ביאת מקדש וכל טומאה מן המת שאין הנזיר מגלח עליה אין חייבין עליה על ביאת מקדש. אמר רבי מאיר: לא תהא זו קלה מן השרץ. אמר רבי עקיבא, דנתי לפני רבי אליעזר: מה אם עצם כשעורה שאינו מטמא אדם באהל- הנזיר מגלח על מגעו ועל משאו, רביעית דם שהוא מטמא אדם באהל- אינו דין שיהא הנזיר מגלח על מגעה ועל משאה! אמר לי: מה זה עקיבא? אין דנין כאן מקל וחומר. וכשבאתי והרציתי דברים לפני רבי יהושע, אמר לי: יפה אמרת</w:t>
      </w:r>
      <w:r w:rsidR="00654AAF">
        <w:rPr>
          <w:rFonts w:ascii="David" w:hAnsi="David" w:cs="David" w:hint="cs"/>
          <w:sz w:val="24"/>
          <w:szCs w:val="24"/>
          <w:rtl/>
        </w:rPr>
        <w:t>,</w:t>
      </w:r>
      <w:r w:rsidRPr="00DB4F26">
        <w:rPr>
          <w:rFonts w:ascii="David" w:hAnsi="David" w:cs="David"/>
          <w:sz w:val="24"/>
          <w:szCs w:val="24"/>
          <w:rtl/>
        </w:rPr>
        <w:t xml:space="preserve"> אלא כן אמרו הלכה</w:t>
      </w:r>
      <w:r w:rsidRPr="00DB4F26">
        <w:rPr>
          <w:rStyle w:val="a5"/>
          <w:rFonts w:ascii="David" w:hAnsi="David" w:cs="David"/>
          <w:sz w:val="24"/>
          <w:szCs w:val="24"/>
          <w:rtl/>
        </w:rPr>
        <w:footnoteReference w:id="19"/>
      </w:r>
      <w:r w:rsidRPr="00DB4F26">
        <w:rPr>
          <w:rFonts w:ascii="David" w:hAnsi="David" w:cs="David"/>
          <w:sz w:val="24"/>
          <w:szCs w:val="24"/>
          <w:rtl/>
        </w:rPr>
        <w:t>"</w:t>
      </w:r>
      <w:r w:rsidR="00DB4F26">
        <w:rPr>
          <w:rFonts w:ascii="David" w:hAnsi="David" w:cs="David" w:hint="cs"/>
          <w:sz w:val="24"/>
          <w:szCs w:val="24"/>
          <w:rtl/>
        </w:rPr>
        <w:t>.</w:t>
      </w:r>
    </w:p>
    <w:p w14:paraId="0C2E55FE" w14:textId="7ED3161A" w:rsidR="00DB4F26" w:rsidRDefault="00DB4F26" w:rsidP="00DB4F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לפנינו קישור בין חיוב על ביאת מקדש לבין תגלחת </w:t>
      </w:r>
      <w:r w:rsidR="009E0867">
        <w:rPr>
          <w:rFonts w:asciiTheme="majorBidi" w:hAnsiTheme="majorBidi" w:cstheme="majorBidi" w:hint="cs"/>
          <w:sz w:val="24"/>
          <w:szCs w:val="24"/>
          <w:rtl/>
        </w:rPr>
        <w:t>נזיר</w:t>
      </w:r>
      <w:r>
        <w:rPr>
          <w:rFonts w:asciiTheme="majorBidi" w:hAnsiTheme="majorBidi" w:cstheme="majorBidi" w:hint="cs"/>
          <w:sz w:val="24"/>
          <w:szCs w:val="24"/>
          <w:rtl/>
        </w:rPr>
        <w:t xml:space="preserve">. לפי הרי"ד ורבינו עזריאל, ניתן להסביר שגם על ביאת מקדש חייבים רק בטומאה וודאית. אך הירושלמי אומר: </w:t>
      </w:r>
    </w:p>
    <w:p w14:paraId="1F469169" w14:textId="2EF46EF0" w:rsidR="009E0867" w:rsidRDefault="00DB4F26" w:rsidP="00DB4F26">
      <w:pPr>
        <w:spacing w:after="0" w:line="360" w:lineRule="auto"/>
        <w:rPr>
          <w:rFonts w:ascii="David" w:hAnsi="David" w:cs="David"/>
          <w:color w:val="FF0000"/>
          <w:sz w:val="24"/>
          <w:szCs w:val="24"/>
          <w:rtl/>
        </w:rPr>
      </w:pPr>
      <w:r w:rsidRPr="00DB4F26">
        <w:rPr>
          <w:rFonts w:ascii="David" w:hAnsi="David" w:cs="David"/>
          <w:sz w:val="24"/>
          <w:szCs w:val="24"/>
          <w:rtl/>
        </w:rPr>
        <w:t>"ר' יוחנן בשם רבי ינאי</w:t>
      </w:r>
      <w:r w:rsidR="00A745A0">
        <w:rPr>
          <w:rFonts w:ascii="David" w:hAnsi="David" w:cs="David" w:hint="cs"/>
          <w:sz w:val="24"/>
          <w:szCs w:val="24"/>
          <w:rtl/>
        </w:rPr>
        <w:t xml:space="preserve">: </w:t>
      </w:r>
      <w:r w:rsidRPr="00DB4F26">
        <w:rPr>
          <w:rFonts w:ascii="David" w:hAnsi="David" w:cs="David"/>
          <w:sz w:val="24"/>
          <w:szCs w:val="24"/>
          <w:rtl/>
        </w:rPr>
        <w:t xml:space="preserve"> וכולהון תורה הן אצל תרומה</w:t>
      </w:r>
      <w:r w:rsidR="00654AAF">
        <w:rPr>
          <w:rFonts w:ascii="David" w:hAnsi="David" w:cs="David" w:hint="cs"/>
          <w:sz w:val="24"/>
          <w:szCs w:val="24"/>
          <w:rtl/>
        </w:rPr>
        <w:t>,</w:t>
      </w:r>
      <w:r w:rsidRPr="00DB4F26">
        <w:rPr>
          <w:rFonts w:ascii="David" w:hAnsi="David" w:cs="David"/>
          <w:sz w:val="24"/>
          <w:szCs w:val="24"/>
          <w:rtl/>
        </w:rPr>
        <w:t xml:space="preserve"> אבל על ביאת המקדש אינו חייב אלא על שני שנגע בראשון.. אמר ר' אילא הוא עצמו שנגע במת חייב</w:t>
      </w:r>
      <w:r w:rsidRPr="00DB4F26">
        <w:rPr>
          <w:rStyle w:val="a5"/>
          <w:rFonts w:ascii="David" w:hAnsi="David" w:cs="David"/>
          <w:sz w:val="24"/>
          <w:szCs w:val="24"/>
          <w:rtl/>
        </w:rPr>
        <w:footnoteReference w:id="20"/>
      </w:r>
      <w:r w:rsidRPr="00DB4F26">
        <w:rPr>
          <w:rFonts w:ascii="David" w:hAnsi="David" w:cs="David"/>
          <w:sz w:val="24"/>
          <w:szCs w:val="24"/>
          <w:rtl/>
        </w:rPr>
        <w:t>".</w:t>
      </w:r>
      <w:r>
        <w:rPr>
          <w:rFonts w:asciiTheme="majorBidi" w:hAnsiTheme="majorBidi" w:cs="Times New Roman" w:hint="cs"/>
          <w:sz w:val="24"/>
          <w:szCs w:val="24"/>
          <w:rtl/>
        </w:rPr>
        <w:t xml:space="preserve"> דהיינו, שלרבי יוחנן חייבים על ביאת </w:t>
      </w:r>
      <w:r>
        <w:rPr>
          <w:rFonts w:asciiTheme="majorBidi" w:hAnsiTheme="majorBidi" w:cs="Times New Roman" w:hint="cs"/>
          <w:sz w:val="24"/>
          <w:szCs w:val="24"/>
          <w:rtl/>
        </w:rPr>
        <w:lastRenderedPageBreak/>
        <w:t>מקדש רק בטומאה שחייבים עליה הזאה שלישי ושביעי. רבי איל</w:t>
      </w:r>
      <w:r w:rsidR="00A745A0">
        <w:rPr>
          <w:rFonts w:asciiTheme="majorBidi" w:hAnsiTheme="majorBidi" w:cs="Times New Roman" w:hint="cs"/>
          <w:sz w:val="24"/>
          <w:szCs w:val="24"/>
          <w:rtl/>
        </w:rPr>
        <w:t>א</w:t>
      </w:r>
      <w:r>
        <w:rPr>
          <w:rFonts w:asciiTheme="majorBidi" w:hAnsiTheme="majorBidi" w:cs="Times New Roman" w:hint="cs"/>
          <w:sz w:val="24"/>
          <w:szCs w:val="24"/>
          <w:rtl/>
        </w:rPr>
        <w:t xml:space="preserve"> מגביל זאת עוד יותר, ומחייב רק מי שנ</w:t>
      </w:r>
      <w:r w:rsidR="00654AAF">
        <w:rPr>
          <w:rFonts w:asciiTheme="majorBidi" w:hAnsiTheme="majorBidi" w:cs="Times New Roman" w:hint="cs"/>
          <w:sz w:val="24"/>
          <w:szCs w:val="24"/>
          <w:rtl/>
        </w:rPr>
        <w:t>טמ</w:t>
      </w:r>
      <w:r>
        <w:rPr>
          <w:rFonts w:asciiTheme="majorBidi" w:hAnsiTheme="majorBidi" w:cs="Times New Roman" w:hint="cs"/>
          <w:sz w:val="24"/>
          <w:szCs w:val="24"/>
          <w:rtl/>
        </w:rPr>
        <w:t xml:space="preserve">א מאדם ולא מכלים. </w:t>
      </w:r>
      <w:r>
        <w:rPr>
          <w:rFonts w:ascii="David" w:hAnsi="David" w:cs="David" w:hint="cs"/>
          <w:sz w:val="24"/>
          <w:szCs w:val="24"/>
          <w:rtl/>
        </w:rPr>
        <w:t xml:space="preserve">"מפורש לפנינו שלא כל טומאה דאורייתא מחייבת באיסור ביאת מקדש. לאור הקישור שעשתה המשנה בין איסור </w:t>
      </w:r>
      <w:r w:rsidR="005B3006">
        <w:rPr>
          <w:rFonts w:ascii="David" w:hAnsi="David" w:cs="David" w:hint="cs"/>
          <w:sz w:val="24"/>
          <w:szCs w:val="24"/>
          <w:rtl/>
        </w:rPr>
        <w:t xml:space="preserve">ביאת מקדש ובין תגלחת </w:t>
      </w:r>
      <w:r w:rsidR="009E0867">
        <w:rPr>
          <w:rFonts w:ascii="David" w:hAnsi="David" w:cs="David" w:hint="cs"/>
          <w:sz w:val="24"/>
          <w:szCs w:val="24"/>
          <w:rtl/>
        </w:rPr>
        <w:t>נזיר</w:t>
      </w:r>
      <w:r w:rsidR="00654AAF">
        <w:rPr>
          <w:rFonts w:ascii="David" w:hAnsi="David" w:cs="David" w:hint="cs"/>
          <w:sz w:val="24"/>
          <w:szCs w:val="24"/>
          <w:rtl/>
        </w:rPr>
        <w:t>,</w:t>
      </w:r>
      <w:r w:rsidR="005B3006">
        <w:rPr>
          <w:rFonts w:ascii="David" w:hAnsi="David" w:cs="David" w:hint="cs"/>
          <w:sz w:val="24"/>
          <w:szCs w:val="24"/>
          <w:rtl/>
        </w:rPr>
        <w:t xml:space="preserve"> עולה שבדומה לאיסור ביאת מקדש, גם תגלחת </w:t>
      </w:r>
      <w:r w:rsidR="009E0867">
        <w:rPr>
          <w:rFonts w:ascii="David" w:hAnsi="David" w:cs="David" w:hint="cs"/>
          <w:sz w:val="24"/>
          <w:szCs w:val="24"/>
          <w:rtl/>
        </w:rPr>
        <w:t>נזיר</w:t>
      </w:r>
      <w:r w:rsidR="005B3006">
        <w:rPr>
          <w:rFonts w:ascii="David" w:hAnsi="David" w:cs="David" w:hint="cs"/>
          <w:sz w:val="24"/>
          <w:szCs w:val="24"/>
          <w:rtl/>
        </w:rPr>
        <w:t xml:space="preserve"> אינה מחוייבת בעקבות כל </w:t>
      </w:r>
      <w:r w:rsidR="009E0867">
        <w:rPr>
          <w:rFonts w:ascii="David" w:hAnsi="David" w:cs="David" w:hint="cs"/>
          <w:sz w:val="24"/>
          <w:szCs w:val="24"/>
          <w:rtl/>
        </w:rPr>
        <w:t>טומאות</w:t>
      </w:r>
      <w:r w:rsidR="005B3006">
        <w:rPr>
          <w:rFonts w:ascii="David" w:hAnsi="David" w:cs="David" w:hint="cs"/>
          <w:sz w:val="24"/>
          <w:szCs w:val="24"/>
          <w:rtl/>
        </w:rPr>
        <w:t xml:space="preserve"> דאורייתא. לפי זה יוצא שמשמעות הקישור שבמשנה היא שכמו לאיסור ביאת מקדש, כך גם ל</w:t>
      </w:r>
      <w:r w:rsidR="009E0867">
        <w:rPr>
          <w:rFonts w:ascii="David" w:hAnsi="David" w:cs="David" w:hint="cs"/>
          <w:sz w:val="24"/>
          <w:szCs w:val="24"/>
          <w:rtl/>
        </w:rPr>
        <w:t>טומאות</w:t>
      </w:r>
      <w:r w:rsidR="005B3006">
        <w:rPr>
          <w:rFonts w:ascii="David" w:hAnsi="David" w:cs="David" w:hint="cs"/>
          <w:sz w:val="24"/>
          <w:szCs w:val="24"/>
          <w:rtl/>
        </w:rPr>
        <w:t xml:space="preserve"> ב</w:t>
      </w:r>
      <w:r w:rsidR="009E0867">
        <w:rPr>
          <w:rFonts w:ascii="David" w:hAnsi="David" w:cs="David" w:hint="cs"/>
          <w:sz w:val="24"/>
          <w:szCs w:val="24"/>
          <w:rtl/>
        </w:rPr>
        <w:t>נזיר</w:t>
      </w:r>
      <w:r w:rsidR="005B3006">
        <w:rPr>
          <w:rFonts w:ascii="David" w:hAnsi="David" w:cs="David" w:hint="cs"/>
          <w:sz w:val="24"/>
          <w:szCs w:val="24"/>
          <w:rtl/>
        </w:rPr>
        <w:t xml:space="preserve">ות ישנם מאפיינים מיוחדים, ושניהם לא חלים ביחס לכל </w:t>
      </w:r>
      <w:r w:rsidR="009E0867">
        <w:rPr>
          <w:rFonts w:ascii="David" w:hAnsi="David" w:cs="David" w:hint="cs"/>
          <w:sz w:val="24"/>
          <w:szCs w:val="24"/>
          <w:rtl/>
        </w:rPr>
        <w:t>טומאות</w:t>
      </w:r>
      <w:r w:rsidR="005B3006">
        <w:rPr>
          <w:rFonts w:ascii="David" w:hAnsi="David" w:cs="David" w:hint="cs"/>
          <w:sz w:val="24"/>
          <w:szCs w:val="24"/>
          <w:rtl/>
        </w:rPr>
        <w:t xml:space="preserve"> דאורייתא</w:t>
      </w:r>
      <w:r w:rsidR="005B3006">
        <w:rPr>
          <w:rStyle w:val="a5"/>
          <w:rFonts w:ascii="David" w:hAnsi="David" w:cs="David"/>
          <w:sz w:val="24"/>
          <w:szCs w:val="24"/>
          <w:rtl/>
        </w:rPr>
        <w:footnoteReference w:id="21"/>
      </w:r>
      <w:r w:rsidR="005B3006">
        <w:rPr>
          <w:rFonts w:ascii="David" w:hAnsi="David" w:cs="David" w:hint="cs"/>
          <w:sz w:val="24"/>
          <w:szCs w:val="24"/>
          <w:rtl/>
        </w:rPr>
        <w:t>".</w:t>
      </w:r>
      <w:r w:rsidR="002E5D58">
        <w:rPr>
          <w:rFonts w:ascii="David" w:hAnsi="David" w:cs="David" w:hint="cs"/>
          <w:sz w:val="24"/>
          <w:szCs w:val="24"/>
          <w:rtl/>
        </w:rPr>
        <w:t xml:space="preserve"> </w:t>
      </w:r>
    </w:p>
    <w:p w14:paraId="3E906466" w14:textId="19003254" w:rsidR="00587967" w:rsidRPr="00587967" w:rsidRDefault="00587967" w:rsidP="00587967">
      <w:pPr>
        <w:spacing w:after="0" w:line="360" w:lineRule="auto"/>
        <w:rPr>
          <w:rFonts w:asciiTheme="majorBidi" w:hAnsiTheme="majorBidi" w:cstheme="majorBidi"/>
          <w:sz w:val="24"/>
          <w:szCs w:val="24"/>
          <w:rtl/>
        </w:rPr>
      </w:pPr>
      <w:r w:rsidRPr="00587967">
        <w:rPr>
          <w:rFonts w:asciiTheme="majorBidi" w:hAnsiTheme="majorBidi" w:cstheme="majorBidi"/>
          <w:sz w:val="24"/>
          <w:szCs w:val="24"/>
          <w:rtl/>
        </w:rPr>
        <w:t xml:space="preserve">הגרי"ז מזהה חזרה מדוייקת בפסוקים: </w:t>
      </w:r>
    </w:p>
    <w:p w14:paraId="4F6A852E" w14:textId="63A24A84" w:rsidR="00587967" w:rsidRDefault="00587967" w:rsidP="00587967">
      <w:pPr>
        <w:spacing w:after="0" w:line="360" w:lineRule="auto"/>
        <w:rPr>
          <w:rFonts w:ascii="David" w:hAnsi="David" w:cs="David"/>
          <w:sz w:val="24"/>
          <w:szCs w:val="24"/>
          <w:rtl/>
        </w:rPr>
      </w:pPr>
      <w:r>
        <w:rPr>
          <w:rFonts w:ascii="David" w:hAnsi="David" w:cs="David" w:hint="cs"/>
          <w:sz w:val="24"/>
          <w:szCs w:val="24"/>
          <w:rtl/>
        </w:rPr>
        <w:t>"</w:t>
      </w:r>
      <w:r w:rsidRPr="00587967">
        <w:rPr>
          <w:rFonts w:ascii="David" w:hAnsi="David" w:cs="David"/>
          <w:sz w:val="24"/>
          <w:szCs w:val="24"/>
          <w:rtl/>
        </w:rPr>
        <w:t xml:space="preserve">חקת </w:t>
      </w:r>
      <w:r w:rsidRPr="00587967">
        <w:rPr>
          <w:rFonts w:ascii="David" w:hAnsi="David" w:cs="David"/>
          <w:sz w:val="18"/>
          <w:szCs w:val="18"/>
          <w:rtl/>
        </w:rPr>
        <w:t>(י"ט, י"א)</w:t>
      </w:r>
      <w:r w:rsidRPr="00587967">
        <w:rPr>
          <w:rFonts w:ascii="David" w:hAnsi="David" w:cs="David"/>
          <w:sz w:val="24"/>
          <w:szCs w:val="24"/>
          <w:rtl/>
        </w:rPr>
        <w:t xml:space="preserve"> הנגע במת לכל נפש אדם וטמא שבעת ימים וגו' כל הנגע במת בנפש האדם אשר ימות ולא יתחטא את משכן ה' טמא וגו'.</w:t>
      </w:r>
    </w:p>
    <w:p w14:paraId="7A6619DB" w14:textId="5215CF5F" w:rsidR="00343E86" w:rsidRDefault="00587967" w:rsidP="00587967">
      <w:pPr>
        <w:spacing w:after="0" w:line="360" w:lineRule="auto"/>
        <w:rPr>
          <w:rFonts w:ascii="David" w:hAnsi="David" w:cs="David"/>
          <w:sz w:val="24"/>
          <w:szCs w:val="24"/>
          <w:rtl/>
        </w:rPr>
      </w:pPr>
      <w:r w:rsidRPr="00587967">
        <w:rPr>
          <w:rFonts w:ascii="David" w:hAnsi="David" w:cs="David"/>
          <w:sz w:val="24"/>
          <w:szCs w:val="24"/>
          <w:rtl/>
        </w:rPr>
        <w:t>קודם אמר "הנגע במת לכל נפש אדם יטמא שבעת ימים", מדבר כאן הכתוב בענין טומאות שאין הנזיר מגלח, דטמא שבעה, אבל אין חייב עליהן על ביאת מקדש. ואח"כ אמר "כל הנגע במת בנפש האדם אשר ימות וגו' את משכן ה' טמא" דכאן מדבר כבר בטומאות שהנזיר מגלח, דאמר "אשר ימות" כדכתיב בפרשת נזיר, ועליהן חייב על ביאת מקדש, כדכתיב "את משכן ה' טמא ונכרתה הנפש</w:t>
      </w:r>
      <w:r>
        <w:rPr>
          <w:rStyle w:val="a5"/>
          <w:rFonts w:ascii="David" w:hAnsi="David" w:cs="David"/>
          <w:sz w:val="24"/>
          <w:szCs w:val="24"/>
          <w:rtl/>
        </w:rPr>
        <w:footnoteReference w:id="22"/>
      </w:r>
      <w:r w:rsidRPr="00587967">
        <w:rPr>
          <w:rFonts w:ascii="David" w:hAnsi="David" w:cs="David"/>
          <w:sz w:val="24"/>
          <w:szCs w:val="24"/>
          <w:rtl/>
        </w:rPr>
        <w:t>".</w:t>
      </w:r>
    </w:p>
    <w:p w14:paraId="29C13E6A" w14:textId="1FA7873E" w:rsidR="002E5D58" w:rsidRDefault="009E0867" w:rsidP="00587967">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2E5D58">
        <w:rPr>
          <w:rFonts w:asciiTheme="majorBidi" w:hAnsiTheme="majorBidi" w:cstheme="majorBidi" w:hint="cs"/>
          <w:b/>
          <w:bCs/>
          <w:sz w:val="24"/>
          <w:szCs w:val="24"/>
          <w:rtl/>
        </w:rPr>
        <w:t>חיוב מלקות</w:t>
      </w:r>
    </w:p>
    <w:p w14:paraId="3C9BBFFF" w14:textId="7250C5C0" w:rsidR="002E5D58" w:rsidRPr="002E5D58" w:rsidRDefault="002E5D58" w:rsidP="002E5D5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לשיטת התוספות רי"ד ורבינו עזריאל ברור ש</w:t>
      </w:r>
      <w:r w:rsidR="009E0867">
        <w:rPr>
          <w:rFonts w:asciiTheme="majorBidi" w:hAnsiTheme="majorBidi" w:cstheme="majorBidi" w:hint="cs"/>
          <w:sz w:val="24"/>
          <w:szCs w:val="24"/>
          <w:rtl/>
        </w:rPr>
        <w:t>טומאות</w:t>
      </w:r>
      <w:r>
        <w:rPr>
          <w:rFonts w:asciiTheme="majorBidi" w:hAnsiTheme="majorBidi" w:cstheme="majorBidi" w:hint="cs"/>
          <w:sz w:val="24"/>
          <w:szCs w:val="24"/>
          <w:rtl/>
        </w:rPr>
        <w:t xml:space="preserve"> שאין מגלחים עליהן, גם אין לוקים עליהן. שאין להלקות על ספק איסור או על איסור דרבנן. אולם לשיטת הרמב"ם, גם ט</w:t>
      </w:r>
      <w:r w:rsidR="00654AAF">
        <w:rPr>
          <w:rFonts w:asciiTheme="majorBidi" w:hAnsiTheme="majorBidi" w:cstheme="majorBidi" w:hint="cs"/>
          <w:sz w:val="24"/>
          <w:szCs w:val="24"/>
          <w:rtl/>
        </w:rPr>
        <w:t>ו</w:t>
      </w:r>
      <w:r>
        <w:rPr>
          <w:rFonts w:asciiTheme="majorBidi" w:hAnsiTheme="majorBidi" w:cstheme="majorBidi" w:hint="cs"/>
          <w:sz w:val="24"/>
          <w:szCs w:val="24"/>
          <w:rtl/>
        </w:rPr>
        <w:t xml:space="preserve">מאות דאורייתא אין מגלחים עליהן, ולפיכך </w:t>
      </w:r>
      <w:r w:rsidRPr="002E5D58">
        <w:rPr>
          <w:rFonts w:ascii="David" w:hAnsi="David" w:cs="David"/>
          <w:sz w:val="24"/>
          <w:szCs w:val="24"/>
          <w:rtl/>
        </w:rPr>
        <w:t xml:space="preserve">"נזיר שנטמא למת טומאת שבעה, בין בטומאות שהוא מגלח עליהן כמו שיתבאר בין </w:t>
      </w:r>
      <w:r w:rsidRPr="002E5D58">
        <w:rPr>
          <w:rFonts w:ascii="David" w:hAnsi="David" w:cs="David"/>
          <w:b/>
          <w:bCs/>
          <w:sz w:val="24"/>
          <w:szCs w:val="24"/>
          <w:rtl/>
        </w:rPr>
        <w:t>בטומאות שאינו מגלח עליהן הרי זה לוקה</w:t>
      </w:r>
      <w:r>
        <w:rPr>
          <w:rStyle w:val="a5"/>
          <w:rFonts w:ascii="David" w:hAnsi="David" w:cs="David"/>
          <w:b/>
          <w:bCs/>
          <w:sz w:val="24"/>
          <w:szCs w:val="24"/>
          <w:rtl/>
        </w:rPr>
        <w:footnoteReference w:id="23"/>
      </w:r>
      <w:r w:rsidRPr="002E5D58">
        <w:rPr>
          <w:rFonts w:ascii="David" w:hAnsi="David" w:cs="David"/>
          <w:b/>
          <w:bCs/>
          <w:sz w:val="24"/>
          <w:szCs w:val="24"/>
          <w:rtl/>
        </w:rPr>
        <w:t>".</w:t>
      </w:r>
      <w:r>
        <w:rPr>
          <w:rFonts w:asciiTheme="majorBidi" w:hAnsiTheme="majorBidi" w:cstheme="majorBidi" w:hint="cs"/>
          <w:sz w:val="24"/>
          <w:szCs w:val="24"/>
          <w:rtl/>
        </w:rPr>
        <w:t xml:space="preserve"> </w:t>
      </w:r>
      <w:r w:rsidR="007C30C6">
        <w:rPr>
          <w:rFonts w:asciiTheme="majorBidi" w:hAnsiTheme="majorBidi" w:cstheme="majorBidi" w:hint="cs"/>
          <w:sz w:val="24"/>
          <w:szCs w:val="24"/>
          <w:rtl/>
        </w:rPr>
        <w:t xml:space="preserve">מצינו חילוק מעין זה. </w:t>
      </w:r>
      <w:r w:rsidR="007C30C6">
        <w:rPr>
          <w:rFonts w:ascii="David" w:hAnsi="David" w:cs="David" w:hint="cs"/>
          <w:sz w:val="24"/>
          <w:szCs w:val="24"/>
          <w:rtl/>
        </w:rPr>
        <w:t>"לדעת רב חסדא</w:t>
      </w:r>
      <w:r w:rsidR="007C30C6">
        <w:rPr>
          <w:rStyle w:val="a5"/>
          <w:rFonts w:ascii="David" w:hAnsi="David" w:cs="David"/>
          <w:sz w:val="24"/>
          <w:szCs w:val="24"/>
          <w:rtl/>
        </w:rPr>
        <w:footnoteReference w:id="24"/>
      </w:r>
      <w:r w:rsidR="007C30C6">
        <w:rPr>
          <w:rFonts w:asciiTheme="majorBidi" w:hAnsiTheme="majorBidi" w:cstheme="majorBidi" w:hint="cs"/>
          <w:sz w:val="24"/>
          <w:szCs w:val="24"/>
          <w:rtl/>
        </w:rPr>
        <w:t xml:space="preserve">, </w:t>
      </w:r>
      <w:r w:rsidR="007C30C6" w:rsidRPr="007C30C6">
        <w:rPr>
          <w:rFonts w:ascii="David" w:hAnsi="David" w:cs="David"/>
          <w:sz w:val="24"/>
          <w:szCs w:val="24"/>
          <w:rtl/>
        </w:rPr>
        <w:t>למרות שחיוב סתירה קיים רק כאשר ה</w:t>
      </w:r>
      <w:r w:rsidR="009E0867">
        <w:rPr>
          <w:rFonts w:ascii="David" w:hAnsi="David" w:cs="David"/>
          <w:sz w:val="24"/>
          <w:szCs w:val="24"/>
          <w:rtl/>
        </w:rPr>
        <w:t>נזיר</w:t>
      </w:r>
      <w:r w:rsidR="007C30C6" w:rsidRPr="007C30C6">
        <w:rPr>
          <w:rFonts w:ascii="David" w:hAnsi="David" w:cs="David"/>
          <w:sz w:val="24"/>
          <w:szCs w:val="24"/>
          <w:rtl/>
        </w:rPr>
        <w:t xml:space="preserve"> מגלח את רוב ראשו, האיסור מן התורה וחיוב המלקות קיימים כבר מן השערה הראשונה</w:t>
      </w:r>
      <w:r w:rsidR="007C30C6">
        <w:rPr>
          <w:rStyle w:val="a5"/>
          <w:rFonts w:ascii="David" w:hAnsi="David" w:cs="David"/>
          <w:sz w:val="24"/>
          <w:szCs w:val="24"/>
          <w:rtl/>
        </w:rPr>
        <w:footnoteReference w:id="25"/>
      </w:r>
      <w:r w:rsidR="007C30C6" w:rsidRPr="007C30C6">
        <w:rPr>
          <w:rFonts w:ascii="David" w:hAnsi="David" w:cs="David"/>
          <w:sz w:val="24"/>
          <w:szCs w:val="24"/>
          <w:rtl/>
        </w:rPr>
        <w:t>".</w:t>
      </w:r>
      <w:r w:rsidR="007C30C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לכאורה הלכה זו עומדת בסתירה לפסק שכבר הבאנו: </w:t>
      </w:r>
      <w:r>
        <w:rPr>
          <w:rFonts w:ascii="David" w:hAnsi="David" w:cs="David" w:hint="cs"/>
          <w:sz w:val="24"/>
          <w:szCs w:val="24"/>
          <w:rtl/>
        </w:rPr>
        <w:t>"</w:t>
      </w:r>
      <w:r w:rsidRPr="007C30C6">
        <w:rPr>
          <w:rFonts w:ascii="David" w:hAnsi="David" w:cs="David"/>
          <w:b/>
          <w:bCs/>
          <w:sz w:val="24"/>
          <w:szCs w:val="24"/>
          <w:rtl/>
        </w:rPr>
        <w:t>ש</w:t>
      </w:r>
      <w:r w:rsidRPr="000F0223">
        <w:rPr>
          <w:rFonts w:ascii="David" w:hAnsi="David" w:cs="David"/>
          <w:b/>
          <w:bCs/>
          <w:sz w:val="24"/>
          <w:szCs w:val="24"/>
          <w:rtl/>
        </w:rPr>
        <w:t>כל טומאה מן המת שאין הנזיר מגלח עליה אינה דין תורה</w:t>
      </w:r>
      <w:r>
        <w:rPr>
          <w:rStyle w:val="a5"/>
          <w:rFonts w:ascii="David" w:hAnsi="David" w:cs="David"/>
          <w:sz w:val="24"/>
          <w:szCs w:val="24"/>
          <w:rtl/>
        </w:rPr>
        <w:footnoteReference w:id="26"/>
      </w:r>
      <w:r>
        <w:rPr>
          <w:rFonts w:ascii="David" w:hAnsi="David" w:cs="David" w:hint="cs"/>
          <w:sz w:val="24"/>
          <w:szCs w:val="24"/>
          <w:rtl/>
        </w:rPr>
        <w:t>"</w:t>
      </w:r>
      <w:r w:rsidRPr="004A2F38">
        <w:rPr>
          <w:rFonts w:ascii="David" w:hAnsi="David" w:cs="David"/>
          <w:sz w:val="24"/>
          <w:szCs w:val="24"/>
          <w:rtl/>
        </w:rPr>
        <w:t>.</w:t>
      </w:r>
    </w:p>
    <w:p w14:paraId="5871263D" w14:textId="55DAB3FA" w:rsidR="005B3006" w:rsidRDefault="009E0867" w:rsidP="00587967">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7C30C6">
        <w:rPr>
          <w:rFonts w:asciiTheme="majorBidi" w:hAnsiTheme="majorBidi" w:cstheme="majorBidi" w:hint="cs"/>
          <w:b/>
          <w:bCs/>
          <w:sz w:val="24"/>
          <w:szCs w:val="24"/>
          <w:rtl/>
        </w:rPr>
        <w:t>שיטת הרמב"ם</w:t>
      </w:r>
    </w:p>
    <w:p w14:paraId="62C8F9B9" w14:textId="6E27C2E7" w:rsidR="0087418D" w:rsidRDefault="0087418D" w:rsidP="009E086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כמה אחרונים, ביניהם </w:t>
      </w:r>
      <w:r w:rsidR="007C30C6" w:rsidRPr="000E2BEA">
        <w:rPr>
          <w:rFonts w:asciiTheme="majorBidi" w:hAnsiTheme="majorBidi" w:cs="Times New Roman"/>
          <w:sz w:val="24"/>
          <w:szCs w:val="24"/>
          <w:rtl/>
        </w:rPr>
        <w:t>מעשה רקח</w:t>
      </w:r>
      <w:r>
        <w:rPr>
          <w:rFonts w:asciiTheme="majorBidi" w:hAnsiTheme="majorBidi" w:cs="Times New Roman" w:hint="cs"/>
          <w:sz w:val="24"/>
          <w:szCs w:val="24"/>
          <w:rtl/>
        </w:rPr>
        <w:t>,</w:t>
      </w:r>
      <w:r w:rsidR="00A745A0" w:rsidRPr="000E2BEA">
        <w:rPr>
          <w:rFonts w:asciiTheme="majorBidi" w:hAnsiTheme="majorBidi" w:cs="Times New Roman" w:hint="cs"/>
          <w:sz w:val="24"/>
          <w:szCs w:val="24"/>
          <w:rtl/>
        </w:rPr>
        <w:t xml:space="preserve"> ביאר</w:t>
      </w:r>
      <w:r>
        <w:rPr>
          <w:rFonts w:asciiTheme="majorBidi" w:hAnsiTheme="majorBidi" w:cs="Times New Roman" w:hint="cs"/>
          <w:sz w:val="24"/>
          <w:szCs w:val="24"/>
          <w:rtl/>
        </w:rPr>
        <w:t>ו</w:t>
      </w:r>
      <w:r w:rsidR="00A745A0" w:rsidRPr="000E2BEA">
        <w:rPr>
          <w:rFonts w:asciiTheme="majorBidi" w:hAnsiTheme="majorBidi" w:cs="Times New Roman" w:hint="cs"/>
          <w:sz w:val="24"/>
          <w:szCs w:val="24"/>
          <w:rtl/>
        </w:rPr>
        <w:t xml:space="preserve"> </w:t>
      </w:r>
      <w:r w:rsidR="00A745A0" w:rsidRPr="000E2BEA">
        <w:rPr>
          <w:rFonts w:ascii="David" w:hAnsi="David" w:cs="David"/>
          <w:sz w:val="24"/>
          <w:szCs w:val="24"/>
          <w:rtl/>
        </w:rPr>
        <w:t>"</w:t>
      </w:r>
      <w:r w:rsidR="007C30C6" w:rsidRPr="000E2BEA">
        <w:rPr>
          <w:rFonts w:ascii="David" w:hAnsi="David" w:cs="David"/>
          <w:sz w:val="24"/>
          <w:szCs w:val="24"/>
          <w:rtl/>
        </w:rPr>
        <w:t>ע"פ מ"ש רבינו בספר המצוות שכל דבר שאינו מפורש בתורה אלא שהוא נדרש מן המקראות</w:t>
      </w:r>
      <w:r w:rsidR="00A745A0" w:rsidRPr="000E2BEA">
        <w:rPr>
          <w:rFonts w:ascii="David" w:hAnsi="David" w:cs="David"/>
          <w:sz w:val="24"/>
          <w:szCs w:val="24"/>
          <w:rtl/>
        </w:rPr>
        <w:t>,</w:t>
      </w:r>
      <w:r w:rsidR="007C30C6" w:rsidRPr="000E2BEA">
        <w:rPr>
          <w:rFonts w:ascii="David" w:hAnsi="David" w:cs="David"/>
          <w:sz w:val="24"/>
          <w:szCs w:val="24"/>
          <w:rtl/>
        </w:rPr>
        <w:t xml:space="preserve"> אף על פי </w:t>
      </w:r>
      <w:r w:rsidR="007C30C6" w:rsidRPr="000E2BEA">
        <w:rPr>
          <w:rFonts w:ascii="David" w:hAnsi="David" w:cs="David"/>
          <w:b/>
          <w:bCs/>
          <w:sz w:val="24"/>
          <w:szCs w:val="24"/>
          <w:rtl/>
        </w:rPr>
        <w:t>שדינן דין תורה</w:t>
      </w:r>
      <w:r w:rsidR="007C30C6" w:rsidRPr="000E2BEA">
        <w:rPr>
          <w:rFonts w:ascii="David" w:hAnsi="David" w:cs="David"/>
          <w:sz w:val="24"/>
          <w:szCs w:val="24"/>
          <w:rtl/>
        </w:rPr>
        <w:t xml:space="preserve"> קורא אותם רבינו ד"ס וכו' ע"כ</w:t>
      </w:r>
      <w:r w:rsidR="00A745A0" w:rsidRPr="000E2BEA">
        <w:rPr>
          <w:rFonts w:ascii="David" w:hAnsi="David" w:cs="David"/>
          <w:sz w:val="24"/>
          <w:szCs w:val="24"/>
          <w:rtl/>
        </w:rPr>
        <w:t>.</w:t>
      </w:r>
      <w:r w:rsidR="007C30C6" w:rsidRPr="000E2BEA">
        <w:rPr>
          <w:rFonts w:ascii="David" w:hAnsi="David" w:cs="David"/>
          <w:sz w:val="24"/>
          <w:szCs w:val="24"/>
          <w:rtl/>
        </w:rPr>
        <w:t xml:space="preserve"> והכי דייקי דברי רבינו שם שכתב אינן דין תורה שהרי לא </w:t>
      </w:r>
      <w:r w:rsidR="007C30C6" w:rsidRPr="000E2BEA">
        <w:rPr>
          <w:rFonts w:ascii="David" w:hAnsi="David" w:cs="David"/>
          <w:b/>
          <w:bCs/>
          <w:sz w:val="24"/>
          <w:szCs w:val="24"/>
          <w:rtl/>
        </w:rPr>
        <w:t xml:space="preserve">נתפרשו </w:t>
      </w:r>
      <w:r w:rsidR="007C30C6" w:rsidRPr="000E2BEA">
        <w:rPr>
          <w:rFonts w:ascii="David" w:hAnsi="David" w:cs="David"/>
          <w:sz w:val="24"/>
          <w:szCs w:val="24"/>
          <w:rtl/>
        </w:rPr>
        <w:t>בתורה וכו' ע"כ דמשמע להדיא דמפני שלא נתפרשו בתורה כותב רבינו שאינן דין תורה אף על פי שדינן דין תורה</w:t>
      </w:r>
      <w:r w:rsidR="00A745A0" w:rsidRPr="000E2BEA">
        <w:rPr>
          <w:rFonts w:ascii="David" w:hAnsi="David" w:cs="David"/>
          <w:sz w:val="24"/>
          <w:szCs w:val="24"/>
          <w:rtl/>
        </w:rPr>
        <w:t>".</w:t>
      </w:r>
      <w:r w:rsidR="0062156E" w:rsidRPr="000E2BEA">
        <w:rPr>
          <w:rFonts w:asciiTheme="majorBidi" w:hAnsiTheme="majorBidi" w:cstheme="majorBidi" w:hint="cs"/>
          <w:sz w:val="24"/>
          <w:szCs w:val="24"/>
          <w:rtl/>
        </w:rPr>
        <w:t xml:space="preserve"> יסוד זה ניתן ללמוד כבר משיטת רבי ישמעאל בתוספתא</w:t>
      </w:r>
      <w:r w:rsidR="000E2BEA">
        <w:rPr>
          <w:rStyle w:val="a5"/>
          <w:rFonts w:asciiTheme="majorBidi" w:hAnsiTheme="majorBidi" w:cstheme="majorBidi"/>
          <w:sz w:val="24"/>
          <w:szCs w:val="24"/>
          <w:rtl/>
        </w:rPr>
        <w:footnoteReference w:id="27"/>
      </w:r>
      <w:r w:rsidR="0062156E" w:rsidRPr="000E2BEA">
        <w:rPr>
          <w:rFonts w:asciiTheme="majorBidi" w:hAnsiTheme="majorBidi" w:cstheme="majorBidi" w:hint="cs"/>
          <w:sz w:val="24"/>
          <w:szCs w:val="24"/>
          <w:rtl/>
        </w:rPr>
        <w:t xml:space="preserve">: </w:t>
      </w:r>
      <w:r w:rsidR="000E2BEA">
        <w:rPr>
          <w:rFonts w:asciiTheme="majorBidi" w:hAnsiTheme="majorBidi" w:cstheme="majorBidi" w:hint="cs"/>
          <w:sz w:val="24"/>
          <w:szCs w:val="24"/>
          <w:rtl/>
        </w:rPr>
        <w:t xml:space="preserve"> </w:t>
      </w:r>
      <w:r w:rsidR="0062156E" w:rsidRPr="000E2BEA">
        <w:rPr>
          <w:rFonts w:ascii="David" w:hAnsi="David" w:cs="David"/>
          <w:sz w:val="24"/>
          <w:szCs w:val="24"/>
          <w:rtl/>
        </w:rPr>
        <w:t xml:space="preserve">"כל הטמאים שבתורה בין שניטמאו טומאה קלה ובין </w:t>
      </w:r>
      <w:r w:rsidR="0062156E" w:rsidRPr="000E2BEA">
        <w:rPr>
          <w:rFonts w:ascii="David" w:hAnsi="David" w:cs="David"/>
          <w:sz w:val="24"/>
          <w:szCs w:val="24"/>
          <w:rtl/>
        </w:rPr>
        <w:lastRenderedPageBreak/>
        <w:t xml:space="preserve">שניטמאו טומאה חמורה חייבין על טומאת מקדש וקדשיו... ר' ישמעאל היה דורש ריבויין ומיעוטין והיה דורש כלל ופרט וכלל... אי אתה דן אלא כעין הפרט.. לומר לך מה הפרט מפורש טמאות </w:t>
      </w:r>
      <w:r w:rsidR="0062156E" w:rsidRPr="000E2BEA">
        <w:rPr>
          <w:rFonts w:ascii="David" w:hAnsi="David" w:cs="David"/>
          <w:b/>
          <w:bCs/>
          <w:sz w:val="24"/>
          <w:szCs w:val="24"/>
          <w:rtl/>
        </w:rPr>
        <w:t>מפורשות מן התורה</w:t>
      </w:r>
      <w:r w:rsidR="0062156E" w:rsidRPr="000E2BEA">
        <w:rPr>
          <w:rFonts w:ascii="David" w:hAnsi="David" w:cs="David"/>
          <w:sz w:val="24"/>
          <w:szCs w:val="24"/>
          <w:rtl/>
        </w:rPr>
        <w:t>, יצא עדר גמלים.. שאין מפורשות מן התורה</w:t>
      </w:r>
      <w:r w:rsidR="0062156E" w:rsidRPr="0062156E">
        <w:rPr>
          <w:rStyle w:val="a5"/>
          <w:rFonts w:ascii="David" w:hAnsi="David" w:cs="David"/>
          <w:sz w:val="24"/>
          <w:szCs w:val="24"/>
          <w:rtl/>
        </w:rPr>
        <w:footnoteReference w:id="28"/>
      </w:r>
      <w:r w:rsidR="0062156E" w:rsidRPr="000E2BEA">
        <w:rPr>
          <w:rFonts w:ascii="David" w:hAnsi="David" w:cs="David"/>
          <w:sz w:val="24"/>
          <w:szCs w:val="24"/>
          <w:rtl/>
        </w:rPr>
        <w:t>".</w:t>
      </w:r>
      <w:r w:rsidR="0062156E" w:rsidRPr="000E2BEA">
        <w:rPr>
          <w:rFonts w:ascii="David" w:hAnsi="David" w:cs="David" w:hint="cs"/>
          <w:sz w:val="24"/>
          <w:szCs w:val="24"/>
          <w:rtl/>
        </w:rPr>
        <w:t xml:space="preserve"> </w:t>
      </w:r>
      <w:r w:rsidR="0062156E" w:rsidRPr="000E2BEA">
        <w:rPr>
          <w:rFonts w:asciiTheme="majorBidi" w:hAnsiTheme="majorBidi" w:cstheme="majorBidi" w:hint="cs"/>
          <w:sz w:val="24"/>
          <w:szCs w:val="24"/>
          <w:rtl/>
        </w:rPr>
        <w:t xml:space="preserve"> על הצעה זו מקשה הרב ורשנר, ש</w:t>
      </w:r>
      <w:r w:rsidR="0062156E" w:rsidRPr="000E2BEA">
        <w:rPr>
          <w:rFonts w:ascii="David" w:hAnsi="David" w:cs="David" w:hint="cs"/>
          <w:sz w:val="24"/>
          <w:szCs w:val="24"/>
          <w:rtl/>
        </w:rPr>
        <w:t xml:space="preserve">"כתב הרמב"ם שהגדר המחייב סתירת </w:t>
      </w:r>
      <w:r w:rsidR="009E0867">
        <w:rPr>
          <w:rFonts w:ascii="David" w:hAnsi="David" w:cs="David" w:hint="cs"/>
          <w:sz w:val="24"/>
          <w:szCs w:val="24"/>
          <w:rtl/>
        </w:rPr>
        <w:t>נזיר</w:t>
      </w:r>
      <w:r w:rsidR="000E2BEA" w:rsidRPr="000E2BEA">
        <w:rPr>
          <w:rFonts w:ascii="David" w:hAnsi="David" w:cs="David" w:hint="cs"/>
          <w:sz w:val="24"/>
          <w:szCs w:val="24"/>
          <w:rtl/>
        </w:rPr>
        <w:t>ות ותגלחת  הוא 'עצמו של מת', ולאו דווקא טומאה המפורשת בתורה</w:t>
      </w:r>
      <w:r w:rsidR="000E2BEA">
        <w:rPr>
          <w:rStyle w:val="a5"/>
          <w:rFonts w:ascii="David" w:hAnsi="David" w:cs="David"/>
          <w:sz w:val="24"/>
          <w:szCs w:val="24"/>
          <w:rtl/>
        </w:rPr>
        <w:footnoteReference w:id="29"/>
      </w:r>
      <w:r w:rsidR="000E2BEA" w:rsidRPr="000E2BEA">
        <w:rPr>
          <w:rFonts w:ascii="David" w:hAnsi="David" w:cs="David" w:hint="cs"/>
          <w:sz w:val="24"/>
          <w:szCs w:val="24"/>
          <w:rtl/>
        </w:rPr>
        <w:t>".</w:t>
      </w:r>
      <w:r w:rsidR="009E0867">
        <w:rPr>
          <w:rFonts w:asciiTheme="majorBidi" w:hAnsiTheme="majorBidi" w:cstheme="majorBidi" w:hint="cs"/>
          <w:sz w:val="24"/>
          <w:szCs w:val="24"/>
          <w:rtl/>
        </w:rPr>
        <w:t xml:space="preserve"> </w:t>
      </w:r>
      <w:r>
        <w:rPr>
          <w:rFonts w:asciiTheme="majorBidi" w:hAnsiTheme="majorBidi" w:cstheme="majorBidi" w:hint="cs"/>
          <w:sz w:val="24"/>
          <w:szCs w:val="24"/>
          <w:rtl/>
        </w:rPr>
        <w:t>על כן הוא מציע דרך אחרת, לחלק בפשטות בין האיסורים השונים. נשווה בין המשניות לבין דברי הרמב"ם:</w:t>
      </w:r>
    </w:p>
    <w:tbl>
      <w:tblPr>
        <w:tblStyle w:val="ab"/>
        <w:bidiVisual/>
        <w:tblW w:w="0" w:type="auto"/>
        <w:tblLook w:val="04A0" w:firstRow="1" w:lastRow="0" w:firstColumn="1" w:lastColumn="0" w:noHBand="0" w:noVBand="1"/>
      </w:tblPr>
      <w:tblGrid>
        <w:gridCol w:w="3029"/>
        <w:gridCol w:w="1985"/>
        <w:gridCol w:w="3508"/>
      </w:tblGrid>
      <w:tr w:rsidR="0087418D" w14:paraId="383F3ABC" w14:textId="77777777" w:rsidTr="009E0867">
        <w:tc>
          <w:tcPr>
            <w:tcW w:w="3029" w:type="dxa"/>
          </w:tcPr>
          <w:p w14:paraId="2798B7B9" w14:textId="77777777" w:rsidR="0087418D" w:rsidRDefault="0087418D" w:rsidP="0087418D">
            <w:pPr>
              <w:rPr>
                <w:rFonts w:asciiTheme="majorBidi" w:hAnsiTheme="majorBidi" w:cs="Times New Roman"/>
                <w:sz w:val="24"/>
                <w:szCs w:val="24"/>
                <w:rtl/>
              </w:rPr>
            </w:pPr>
            <w:r w:rsidRPr="0087418D">
              <w:rPr>
                <w:rFonts w:asciiTheme="majorBidi" w:hAnsiTheme="majorBidi" w:cs="Times New Roman"/>
                <w:sz w:val="24"/>
                <w:szCs w:val="24"/>
                <w:rtl/>
              </w:rPr>
              <w:t xml:space="preserve">על אלו טומאות הנזיר מגלח </w:t>
            </w:r>
          </w:p>
          <w:p w14:paraId="1A871A08" w14:textId="77777777" w:rsidR="009046FB" w:rsidRDefault="0087418D" w:rsidP="0087418D">
            <w:pPr>
              <w:rPr>
                <w:rFonts w:asciiTheme="majorBidi" w:hAnsiTheme="majorBidi" w:cs="Times New Roman"/>
                <w:sz w:val="24"/>
                <w:szCs w:val="24"/>
                <w:rtl/>
              </w:rPr>
            </w:pPr>
            <w:r>
              <w:rPr>
                <w:rFonts w:asciiTheme="majorBidi" w:hAnsiTheme="majorBidi" w:cs="Times New Roman" w:hint="cs"/>
                <w:sz w:val="24"/>
                <w:szCs w:val="24"/>
                <w:rtl/>
              </w:rPr>
              <w:t>1.</w:t>
            </w:r>
            <w:r w:rsidRPr="0087418D">
              <w:rPr>
                <w:rFonts w:asciiTheme="majorBidi" w:hAnsiTheme="majorBidi" w:cs="Times New Roman"/>
                <w:sz w:val="24"/>
                <w:szCs w:val="24"/>
                <w:rtl/>
              </w:rPr>
              <w:t xml:space="preserve">המת </w:t>
            </w:r>
            <w:r>
              <w:rPr>
                <w:rFonts w:asciiTheme="majorBidi" w:hAnsiTheme="majorBidi" w:cs="Times New Roman" w:hint="cs"/>
                <w:sz w:val="24"/>
                <w:szCs w:val="24"/>
                <w:rtl/>
              </w:rPr>
              <w:t>2.</w:t>
            </w:r>
            <w:r w:rsidRPr="0087418D">
              <w:rPr>
                <w:rFonts w:asciiTheme="majorBidi" w:hAnsiTheme="majorBidi" w:cs="Times New Roman"/>
                <w:sz w:val="24"/>
                <w:szCs w:val="24"/>
                <w:rtl/>
              </w:rPr>
              <w:t xml:space="preserve">כזית מן המת </w:t>
            </w:r>
            <w:r>
              <w:rPr>
                <w:rFonts w:asciiTheme="majorBidi" w:hAnsiTheme="majorBidi" w:cs="Times New Roman" w:hint="cs"/>
                <w:sz w:val="24"/>
                <w:szCs w:val="24"/>
                <w:rtl/>
              </w:rPr>
              <w:t>3.</w:t>
            </w:r>
            <w:r w:rsidRPr="0087418D">
              <w:rPr>
                <w:rFonts w:asciiTheme="majorBidi" w:hAnsiTheme="majorBidi" w:cs="Times New Roman"/>
                <w:sz w:val="24"/>
                <w:szCs w:val="24"/>
                <w:rtl/>
              </w:rPr>
              <w:t xml:space="preserve">כזית נצל </w:t>
            </w:r>
            <w:r>
              <w:rPr>
                <w:rFonts w:asciiTheme="majorBidi" w:hAnsiTheme="majorBidi" w:cs="Times New Roman" w:hint="cs"/>
                <w:sz w:val="24"/>
                <w:szCs w:val="24"/>
                <w:rtl/>
              </w:rPr>
              <w:t>4.</w:t>
            </w:r>
            <w:r w:rsidRPr="0087418D">
              <w:rPr>
                <w:rFonts w:asciiTheme="majorBidi" w:hAnsiTheme="majorBidi" w:cs="Times New Roman"/>
                <w:sz w:val="24"/>
                <w:szCs w:val="24"/>
                <w:rtl/>
              </w:rPr>
              <w:t xml:space="preserve">מלא תרווד רקב </w:t>
            </w:r>
            <w:r>
              <w:rPr>
                <w:rFonts w:asciiTheme="majorBidi" w:hAnsiTheme="majorBidi" w:cs="Times New Roman" w:hint="cs"/>
                <w:sz w:val="24"/>
                <w:szCs w:val="24"/>
                <w:rtl/>
              </w:rPr>
              <w:t>5.</w:t>
            </w:r>
            <w:r w:rsidRPr="0087418D">
              <w:rPr>
                <w:rFonts w:asciiTheme="majorBidi" w:hAnsiTheme="majorBidi" w:cs="Times New Roman"/>
                <w:sz w:val="24"/>
                <w:szCs w:val="24"/>
                <w:rtl/>
              </w:rPr>
              <w:t xml:space="preserve">השדרה </w:t>
            </w:r>
            <w:r>
              <w:rPr>
                <w:rFonts w:asciiTheme="majorBidi" w:hAnsiTheme="majorBidi" w:cs="Times New Roman" w:hint="cs"/>
                <w:sz w:val="24"/>
                <w:szCs w:val="24"/>
                <w:rtl/>
              </w:rPr>
              <w:t>6.</w:t>
            </w:r>
            <w:r w:rsidRPr="0087418D">
              <w:rPr>
                <w:rFonts w:asciiTheme="majorBidi" w:hAnsiTheme="majorBidi" w:cs="Times New Roman"/>
                <w:sz w:val="24"/>
                <w:szCs w:val="24"/>
                <w:rtl/>
              </w:rPr>
              <w:t xml:space="preserve">הגולגולת </w:t>
            </w:r>
          </w:p>
          <w:p w14:paraId="5359A21B" w14:textId="1581D5AF" w:rsidR="009046FB" w:rsidRDefault="0087418D" w:rsidP="0087418D">
            <w:pPr>
              <w:rPr>
                <w:rFonts w:asciiTheme="majorBidi" w:hAnsiTheme="majorBidi" w:cs="Times New Roman"/>
                <w:b/>
                <w:bCs/>
                <w:sz w:val="24"/>
                <w:szCs w:val="24"/>
                <w:rtl/>
              </w:rPr>
            </w:pPr>
            <w:r w:rsidRPr="009046FB">
              <w:rPr>
                <w:rFonts w:asciiTheme="majorBidi" w:hAnsiTheme="majorBidi" w:cs="Times New Roman" w:hint="cs"/>
                <w:b/>
                <w:bCs/>
                <w:sz w:val="24"/>
                <w:szCs w:val="24"/>
                <w:rtl/>
              </w:rPr>
              <w:t>7.</w:t>
            </w:r>
            <w:r w:rsidRPr="009046FB">
              <w:rPr>
                <w:rFonts w:asciiTheme="majorBidi" w:hAnsiTheme="majorBidi" w:cs="Times New Roman"/>
                <w:b/>
                <w:bCs/>
                <w:sz w:val="24"/>
                <w:szCs w:val="24"/>
                <w:rtl/>
              </w:rPr>
              <w:t xml:space="preserve">אבר מן המת </w:t>
            </w:r>
            <w:r w:rsidRPr="009046FB">
              <w:rPr>
                <w:rFonts w:asciiTheme="majorBidi" w:hAnsiTheme="majorBidi" w:cs="Times New Roman" w:hint="cs"/>
                <w:b/>
                <w:bCs/>
                <w:sz w:val="24"/>
                <w:szCs w:val="24"/>
                <w:rtl/>
              </w:rPr>
              <w:t>8.</w:t>
            </w:r>
            <w:r w:rsidRPr="009046FB">
              <w:rPr>
                <w:rFonts w:asciiTheme="majorBidi" w:hAnsiTheme="majorBidi" w:cs="Times New Roman"/>
                <w:b/>
                <w:bCs/>
                <w:sz w:val="24"/>
                <w:szCs w:val="24"/>
                <w:rtl/>
              </w:rPr>
              <w:t>אבר מן החי שיש עליו בשר כראוי</w:t>
            </w:r>
            <w:r w:rsidR="00FF4797">
              <w:rPr>
                <w:rStyle w:val="a5"/>
                <w:rFonts w:asciiTheme="majorBidi" w:hAnsiTheme="majorBidi" w:cs="Times New Roman"/>
                <w:b/>
                <w:bCs/>
                <w:sz w:val="24"/>
                <w:szCs w:val="24"/>
                <w:rtl/>
              </w:rPr>
              <w:footnoteReference w:id="30"/>
            </w:r>
          </w:p>
          <w:p w14:paraId="4BAB4944" w14:textId="47AADFD7" w:rsidR="0087418D" w:rsidRDefault="0087418D" w:rsidP="0087418D">
            <w:pPr>
              <w:rPr>
                <w:rFonts w:asciiTheme="majorBidi" w:hAnsiTheme="majorBidi" w:cstheme="majorBidi"/>
                <w:sz w:val="24"/>
                <w:szCs w:val="24"/>
                <w:rtl/>
              </w:rPr>
            </w:pPr>
            <w:r w:rsidRPr="009046FB">
              <w:rPr>
                <w:rFonts w:asciiTheme="majorBidi" w:hAnsiTheme="majorBidi" w:cs="Times New Roman"/>
                <w:b/>
                <w:bCs/>
                <w:sz w:val="24"/>
                <w:szCs w:val="24"/>
                <w:rtl/>
              </w:rPr>
              <w:t xml:space="preserve"> </w:t>
            </w:r>
            <w:r w:rsidRPr="009046FB">
              <w:rPr>
                <w:rFonts w:asciiTheme="majorBidi" w:hAnsiTheme="majorBidi" w:cs="Times New Roman" w:hint="cs"/>
                <w:b/>
                <w:bCs/>
                <w:sz w:val="24"/>
                <w:szCs w:val="24"/>
                <w:rtl/>
              </w:rPr>
              <w:t>9.</w:t>
            </w:r>
            <w:r w:rsidRPr="009046FB">
              <w:rPr>
                <w:rFonts w:asciiTheme="majorBidi" w:hAnsiTheme="majorBidi" w:cs="Times New Roman"/>
                <w:b/>
                <w:bCs/>
                <w:sz w:val="24"/>
                <w:szCs w:val="24"/>
                <w:rtl/>
              </w:rPr>
              <w:t>חצי קב עצמות</w:t>
            </w:r>
            <w:r w:rsidRPr="0087418D">
              <w:rPr>
                <w:rFonts w:asciiTheme="majorBidi" w:hAnsiTheme="majorBidi" w:cs="Times New Roman"/>
                <w:sz w:val="24"/>
                <w:szCs w:val="24"/>
                <w:rtl/>
              </w:rPr>
              <w:t xml:space="preserve"> </w:t>
            </w:r>
            <w:r>
              <w:rPr>
                <w:rFonts w:asciiTheme="majorBidi" w:hAnsiTheme="majorBidi" w:cs="Times New Roman" w:hint="cs"/>
                <w:sz w:val="24"/>
                <w:szCs w:val="24"/>
                <w:rtl/>
              </w:rPr>
              <w:t>10</w:t>
            </w:r>
            <w:r w:rsidRPr="009046FB">
              <w:rPr>
                <w:rFonts w:asciiTheme="majorBidi" w:hAnsiTheme="majorBidi" w:cs="Times New Roman" w:hint="cs"/>
                <w:b/>
                <w:bCs/>
                <w:sz w:val="24"/>
                <w:szCs w:val="24"/>
                <w:rtl/>
              </w:rPr>
              <w:t>.</w:t>
            </w:r>
            <w:r w:rsidRPr="009046FB">
              <w:rPr>
                <w:rFonts w:asciiTheme="majorBidi" w:hAnsiTheme="majorBidi" w:cs="Times New Roman"/>
                <w:b/>
                <w:bCs/>
                <w:sz w:val="24"/>
                <w:szCs w:val="24"/>
                <w:rtl/>
              </w:rPr>
              <w:t xml:space="preserve">חצי לוג דם </w:t>
            </w:r>
            <w:r>
              <w:rPr>
                <w:rFonts w:asciiTheme="majorBidi" w:hAnsiTheme="majorBidi" w:cs="Times New Roman" w:hint="cs"/>
                <w:sz w:val="24"/>
                <w:szCs w:val="24"/>
                <w:rtl/>
              </w:rPr>
              <w:t>11.</w:t>
            </w:r>
            <w:r w:rsidRPr="0087418D">
              <w:rPr>
                <w:rFonts w:asciiTheme="majorBidi" w:hAnsiTheme="majorBidi" w:cs="Times New Roman"/>
                <w:sz w:val="24"/>
                <w:szCs w:val="24"/>
                <w:rtl/>
              </w:rPr>
              <w:t xml:space="preserve">מגען </w:t>
            </w:r>
            <w:r>
              <w:rPr>
                <w:rFonts w:asciiTheme="majorBidi" w:hAnsiTheme="majorBidi" w:cs="Times New Roman" w:hint="cs"/>
                <w:sz w:val="24"/>
                <w:szCs w:val="24"/>
                <w:rtl/>
              </w:rPr>
              <w:t>12.</w:t>
            </w:r>
            <w:r w:rsidRPr="0087418D">
              <w:rPr>
                <w:rFonts w:asciiTheme="majorBidi" w:hAnsiTheme="majorBidi" w:cs="Times New Roman"/>
                <w:sz w:val="24"/>
                <w:szCs w:val="24"/>
                <w:rtl/>
              </w:rPr>
              <w:t xml:space="preserve">משאן </w:t>
            </w:r>
            <w:r>
              <w:rPr>
                <w:rFonts w:asciiTheme="majorBidi" w:hAnsiTheme="majorBidi" w:cs="Times New Roman" w:hint="cs"/>
                <w:sz w:val="24"/>
                <w:szCs w:val="24"/>
                <w:rtl/>
              </w:rPr>
              <w:t>13.</w:t>
            </w:r>
            <w:r w:rsidRPr="0087418D">
              <w:rPr>
                <w:rFonts w:asciiTheme="majorBidi" w:hAnsiTheme="majorBidi" w:cs="Times New Roman"/>
                <w:sz w:val="24"/>
                <w:szCs w:val="24"/>
                <w:rtl/>
              </w:rPr>
              <w:t xml:space="preserve">אהלן </w:t>
            </w:r>
            <w:r>
              <w:rPr>
                <w:rFonts w:asciiTheme="majorBidi" w:hAnsiTheme="majorBidi" w:cs="Times New Roman" w:hint="cs"/>
                <w:sz w:val="24"/>
                <w:szCs w:val="24"/>
                <w:rtl/>
              </w:rPr>
              <w:t>14.</w:t>
            </w:r>
            <w:r w:rsidRPr="0087418D">
              <w:rPr>
                <w:rFonts w:asciiTheme="majorBidi" w:hAnsiTheme="majorBidi" w:cs="Times New Roman"/>
                <w:sz w:val="24"/>
                <w:szCs w:val="24"/>
                <w:rtl/>
              </w:rPr>
              <w:t xml:space="preserve">עצם כשעורה </w:t>
            </w:r>
            <w:r>
              <w:rPr>
                <w:rFonts w:asciiTheme="majorBidi" w:hAnsiTheme="majorBidi" w:cs="Times New Roman" w:hint="cs"/>
                <w:sz w:val="24"/>
                <w:szCs w:val="24"/>
                <w:rtl/>
              </w:rPr>
              <w:t>15.</w:t>
            </w:r>
            <w:r w:rsidRPr="0087418D">
              <w:rPr>
                <w:rFonts w:asciiTheme="majorBidi" w:hAnsiTheme="majorBidi" w:cs="Times New Roman"/>
                <w:sz w:val="24"/>
                <w:szCs w:val="24"/>
                <w:rtl/>
              </w:rPr>
              <w:t>מגעו ועל משאו</w:t>
            </w:r>
            <w:r>
              <w:rPr>
                <w:rStyle w:val="a5"/>
                <w:rFonts w:asciiTheme="majorBidi" w:hAnsiTheme="majorBidi" w:cstheme="majorBidi"/>
                <w:sz w:val="24"/>
                <w:szCs w:val="24"/>
                <w:rtl/>
              </w:rPr>
              <w:footnoteReference w:id="31"/>
            </w:r>
            <w:r w:rsidR="009E0867">
              <w:rPr>
                <w:rFonts w:asciiTheme="majorBidi" w:hAnsiTheme="majorBidi" w:cstheme="majorBidi" w:hint="cs"/>
                <w:sz w:val="24"/>
                <w:szCs w:val="24"/>
                <w:rtl/>
              </w:rPr>
              <w:t>.</w:t>
            </w:r>
          </w:p>
        </w:tc>
        <w:tc>
          <w:tcPr>
            <w:tcW w:w="1985" w:type="dxa"/>
          </w:tcPr>
          <w:p w14:paraId="05269B62" w14:textId="015A0C1B" w:rsidR="0087418D" w:rsidRDefault="0087418D" w:rsidP="0087418D">
            <w:pPr>
              <w:rPr>
                <w:rFonts w:asciiTheme="majorBidi" w:hAnsiTheme="majorBidi" w:cstheme="majorBidi"/>
                <w:sz w:val="24"/>
                <w:szCs w:val="24"/>
                <w:rtl/>
              </w:rPr>
            </w:pPr>
            <w:r w:rsidRPr="0087418D">
              <w:rPr>
                <w:rFonts w:asciiTheme="majorBidi" w:hAnsiTheme="majorBidi" w:cs="Times New Roman"/>
                <w:sz w:val="24"/>
                <w:szCs w:val="24"/>
                <w:rtl/>
              </w:rPr>
              <w:t xml:space="preserve">הסככות והפרעות ובית הפרס וארץ העמים והגולל והדופק </w:t>
            </w:r>
            <w:r w:rsidR="009046FB" w:rsidRPr="009E0867">
              <w:rPr>
                <w:rFonts w:asciiTheme="majorBidi" w:hAnsiTheme="majorBidi" w:cs="Times New Roman" w:hint="cs"/>
                <w:b/>
                <w:bCs/>
                <w:sz w:val="24"/>
                <w:szCs w:val="24"/>
                <w:rtl/>
              </w:rPr>
              <w:t>10.</w:t>
            </w:r>
            <w:r w:rsidRPr="009E0867">
              <w:rPr>
                <w:rFonts w:asciiTheme="majorBidi" w:hAnsiTheme="majorBidi" w:cs="Times New Roman"/>
                <w:b/>
                <w:bCs/>
                <w:sz w:val="24"/>
                <w:szCs w:val="24"/>
                <w:rtl/>
              </w:rPr>
              <w:t xml:space="preserve">ורביעית דם ואהל </w:t>
            </w:r>
            <w:r w:rsidR="009046FB" w:rsidRPr="009E0867">
              <w:rPr>
                <w:rFonts w:asciiTheme="majorBidi" w:hAnsiTheme="majorBidi" w:cs="Times New Roman" w:hint="cs"/>
                <w:b/>
                <w:bCs/>
                <w:sz w:val="24"/>
                <w:szCs w:val="24"/>
                <w:rtl/>
              </w:rPr>
              <w:t>9.</w:t>
            </w:r>
            <w:r w:rsidRPr="009E0867">
              <w:rPr>
                <w:rFonts w:asciiTheme="majorBidi" w:hAnsiTheme="majorBidi" w:cs="Times New Roman"/>
                <w:b/>
                <w:bCs/>
                <w:sz w:val="24"/>
                <w:szCs w:val="24"/>
                <w:rtl/>
              </w:rPr>
              <w:t>ורובע עצמות</w:t>
            </w:r>
            <w:r w:rsidRPr="0087418D">
              <w:rPr>
                <w:rFonts w:asciiTheme="majorBidi" w:hAnsiTheme="majorBidi" w:cs="Times New Roman"/>
                <w:sz w:val="24"/>
                <w:szCs w:val="24"/>
                <w:rtl/>
              </w:rPr>
              <w:t xml:space="preserve"> וכלים הנוגעים במת וימי ספרו וימי גמרו על אלו אין הנזיר מגלח</w:t>
            </w:r>
            <w:r>
              <w:rPr>
                <w:rStyle w:val="a5"/>
                <w:rFonts w:asciiTheme="majorBidi" w:hAnsiTheme="majorBidi" w:cstheme="majorBidi"/>
                <w:sz w:val="24"/>
                <w:szCs w:val="24"/>
                <w:rtl/>
              </w:rPr>
              <w:footnoteReference w:id="32"/>
            </w:r>
            <w:r w:rsidR="009E0867">
              <w:rPr>
                <w:rFonts w:asciiTheme="majorBidi" w:hAnsiTheme="majorBidi" w:cstheme="majorBidi" w:hint="cs"/>
                <w:sz w:val="24"/>
                <w:szCs w:val="24"/>
                <w:rtl/>
              </w:rPr>
              <w:t>.</w:t>
            </w:r>
          </w:p>
        </w:tc>
        <w:tc>
          <w:tcPr>
            <w:tcW w:w="3508" w:type="dxa"/>
          </w:tcPr>
          <w:p w14:paraId="50AF2CD1" w14:textId="6B5721B1" w:rsidR="009E0867" w:rsidRDefault="009046FB" w:rsidP="009046FB">
            <w:pPr>
              <w:rPr>
                <w:rFonts w:asciiTheme="majorBidi" w:hAnsiTheme="majorBidi" w:cs="Times New Roman"/>
                <w:sz w:val="24"/>
                <w:szCs w:val="24"/>
                <w:rtl/>
              </w:rPr>
            </w:pPr>
            <w:r w:rsidRPr="009046FB">
              <w:rPr>
                <w:rFonts w:asciiTheme="majorBidi" w:hAnsiTheme="majorBidi" w:cs="Times New Roman"/>
                <w:sz w:val="24"/>
                <w:szCs w:val="24"/>
                <w:rtl/>
              </w:rPr>
              <w:t xml:space="preserve">הגולל ודופק מטמאין במגע ובאהל כקבר ואינן מטמאין במשא, הרקב מטמא במשא ובאהל ואינו מטמא במגע, </w:t>
            </w:r>
          </w:p>
          <w:p w14:paraId="08B4865B" w14:textId="77777777" w:rsidR="009E0867" w:rsidRDefault="009E0867" w:rsidP="009046FB">
            <w:pPr>
              <w:rPr>
                <w:rFonts w:asciiTheme="majorBidi" w:hAnsiTheme="majorBidi" w:cs="Times New Roman"/>
                <w:sz w:val="24"/>
                <w:szCs w:val="24"/>
                <w:rtl/>
              </w:rPr>
            </w:pPr>
          </w:p>
          <w:p w14:paraId="3523C4BC" w14:textId="768F28D8" w:rsidR="0087418D" w:rsidRDefault="009046FB" w:rsidP="009046FB">
            <w:pPr>
              <w:rPr>
                <w:rFonts w:asciiTheme="majorBidi" w:hAnsiTheme="majorBidi" w:cstheme="majorBidi"/>
                <w:sz w:val="24"/>
                <w:szCs w:val="24"/>
                <w:rtl/>
              </w:rPr>
            </w:pPr>
            <w:r w:rsidRPr="009046FB">
              <w:rPr>
                <w:rFonts w:asciiTheme="majorBidi" w:hAnsiTheme="majorBidi" w:cs="Times New Roman" w:hint="cs"/>
                <w:b/>
                <w:bCs/>
                <w:sz w:val="24"/>
                <w:szCs w:val="24"/>
                <w:rtl/>
              </w:rPr>
              <w:t>9.</w:t>
            </w:r>
            <w:r w:rsidRPr="009046FB">
              <w:rPr>
                <w:rFonts w:asciiTheme="majorBidi" w:hAnsiTheme="majorBidi" w:cs="Times New Roman"/>
                <w:b/>
                <w:bCs/>
                <w:sz w:val="24"/>
                <w:szCs w:val="24"/>
                <w:rtl/>
              </w:rPr>
              <w:t>טומאת רובע עצמות באהל</w:t>
            </w:r>
            <w:r w:rsidRPr="009046FB">
              <w:rPr>
                <w:rFonts w:asciiTheme="majorBidi" w:hAnsiTheme="majorBidi" w:cs="Times New Roman"/>
                <w:sz w:val="24"/>
                <w:szCs w:val="24"/>
                <w:rtl/>
              </w:rPr>
              <w:t xml:space="preserve">, </w:t>
            </w:r>
            <w:r>
              <w:rPr>
                <w:rFonts w:asciiTheme="majorBidi" w:hAnsiTheme="majorBidi" w:cs="Times New Roman" w:hint="cs"/>
                <w:b/>
                <w:bCs/>
                <w:sz w:val="24"/>
                <w:szCs w:val="24"/>
                <w:rtl/>
              </w:rPr>
              <w:t>10.</w:t>
            </w:r>
            <w:r w:rsidRPr="009046FB">
              <w:rPr>
                <w:rFonts w:asciiTheme="majorBidi" w:hAnsiTheme="majorBidi" w:cs="Times New Roman"/>
                <w:b/>
                <w:bCs/>
                <w:sz w:val="24"/>
                <w:szCs w:val="24"/>
                <w:rtl/>
              </w:rPr>
              <w:t>וטומאת רביעית דם</w:t>
            </w:r>
            <w:r w:rsidRPr="009046FB">
              <w:rPr>
                <w:rFonts w:asciiTheme="majorBidi" w:hAnsiTheme="majorBidi" w:cs="Times New Roman"/>
                <w:sz w:val="24"/>
                <w:szCs w:val="24"/>
                <w:rtl/>
              </w:rPr>
              <w:t xml:space="preserve"> וטומאת אבר שאין עליו בשר כראוי </w:t>
            </w:r>
            <w:r w:rsidRPr="009046FB">
              <w:rPr>
                <w:rFonts w:asciiTheme="majorBidi" w:hAnsiTheme="majorBidi" w:cs="Times New Roman" w:hint="cs"/>
                <w:b/>
                <w:bCs/>
                <w:sz w:val="24"/>
                <w:szCs w:val="24"/>
                <w:rtl/>
              </w:rPr>
              <w:t>7.</w:t>
            </w:r>
            <w:r w:rsidRPr="009046FB">
              <w:rPr>
                <w:rFonts w:asciiTheme="majorBidi" w:hAnsiTheme="majorBidi" w:cs="Times New Roman"/>
                <w:b/>
                <w:bCs/>
                <w:sz w:val="24"/>
                <w:szCs w:val="24"/>
                <w:rtl/>
              </w:rPr>
              <w:t xml:space="preserve">בין מן המת </w:t>
            </w:r>
            <w:r w:rsidRPr="009046FB">
              <w:rPr>
                <w:rFonts w:asciiTheme="majorBidi" w:hAnsiTheme="majorBidi" w:cs="Times New Roman" w:hint="cs"/>
                <w:b/>
                <w:bCs/>
                <w:sz w:val="24"/>
                <w:szCs w:val="24"/>
                <w:rtl/>
              </w:rPr>
              <w:t>8.</w:t>
            </w:r>
            <w:r w:rsidRPr="009046FB">
              <w:rPr>
                <w:rFonts w:asciiTheme="majorBidi" w:hAnsiTheme="majorBidi" w:cs="Times New Roman"/>
                <w:b/>
                <w:bCs/>
                <w:sz w:val="24"/>
                <w:szCs w:val="24"/>
                <w:rtl/>
              </w:rPr>
              <w:t>בין מן החי</w:t>
            </w:r>
            <w:r w:rsidRPr="009046FB">
              <w:rPr>
                <w:rFonts w:asciiTheme="majorBidi" w:hAnsiTheme="majorBidi" w:cs="Times New Roman"/>
                <w:sz w:val="24"/>
                <w:szCs w:val="24"/>
                <w:rtl/>
              </w:rPr>
              <w:t xml:space="preserve"> יראה לי שכולן טומאתן אינן דין תורה</w:t>
            </w:r>
            <w:r>
              <w:rPr>
                <w:rStyle w:val="a5"/>
                <w:rFonts w:asciiTheme="majorBidi" w:hAnsiTheme="majorBidi" w:cstheme="majorBidi"/>
                <w:sz w:val="24"/>
                <w:szCs w:val="24"/>
                <w:rtl/>
              </w:rPr>
              <w:footnoteReference w:id="33"/>
            </w:r>
            <w:r w:rsidR="009E0867">
              <w:rPr>
                <w:rFonts w:asciiTheme="majorBidi" w:hAnsiTheme="majorBidi" w:cstheme="majorBidi" w:hint="cs"/>
                <w:sz w:val="24"/>
                <w:szCs w:val="24"/>
                <w:rtl/>
              </w:rPr>
              <w:t>.</w:t>
            </w:r>
          </w:p>
        </w:tc>
      </w:tr>
    </w:tbl>
    <w:p w14:paraId="632F219B" w14:textId="77777777" w:rsidR="0087418D" w:rsidRPr="000E2BEA" w:rsidRDefault="0087418D" w:rsidP="000E2BEA">
      <w:pPr>
        <w:spacing w:after="0" w:line="360" w:lineRule="auto"/>
        <w:rPr>
          <w:rFonts w:asciiTheme="majorBidi" w:hAnsiTheme="majorBidi" w:cstheme="majorBidi"/>
          <w:sz w:val="24"/>
          <w:szCs w:val="24"/>
          <w:rtl/>
        </w:rPr>
      </w:pPr>
    </w:p>
    <w:p w14:paraId="3541A833" w14:textId="16DD30F0" w:rsidR="009046FB" w:rsidRDefault="009046FB" w:rsidP="009046FB">
      <w:pPr>
        <w:spacing w:after="0" w:line="360" w:lineRule="auto"/>
        <w:rPr>
          <w:rFonts w:ascii="David" w:hAnsi="David" w:cs="David"/>
          <w:sz w:val="24"/>
          <w:szCs w:val="24"/>
          <w:rtl/>
        </w:rPr>
      </w:pPr>
      <w:r>
        <w:rPr>
          <w:rFonts w:ascii="David" w:hAnsi="David" w:cs="David" w:hint="cs"/>
          <w:sz w:val="24"/>
          <w:szCs w:val="24"/>
          <w:rtl/>
        </w:rPr>
        <w:t>"בכל ה</w:t>
      </w:r>
      <w:r w:rsidR="009E0867">
        <w:rPr>
          <w:rFonts w:ascii="David" w:hAnsi="David" w:cs="David" w:hint="cs"/>
          <w:sz w:val="24"/>
          <w:szCs w:val="24"/>
          <w:rtl/>
        </w:rPr>
        <w:t>טומאות</w:t>
      </w:r>
      <w:r>
        <w:rPr>
          <w:rFonts w:ascii="David" w:hAnsi="David" w:cs="David" w:hint="cs"/>
          <w:sz w:val="24"/>
          <w:szCs w:val="24"/>
          <w:rtl/>
        </w:rPr>
        <w:t xml:space="preserve"> המנויות בהלכה זו, החיסרון הוא חיסרון בשיעור.. בריבוי ושיעור גדול יותר הן כן יחשבו 'עצמו של מת'..  אלא שהתורה חייבה ב</w:t>
      </w:r>
      <w:r w:rsidR="009E0867">
        <w:rPr>
          <w:rFonts w:ascii="David" w:hAnsi="David" w:cs="David" w:hint="cs"/>
          <w:sz w:val="24"/>
          <w:szCs w:val="24"/>
          <w:rtl/>
        </w:rPr>
        <w:t>טומאות</w:t>
      </w:r>
      <w:r>
        <w:rPr>
          <w:rFonts w:ascii="David" w:hAnsi="David" w:cs="David" w:hint="cs"/>
          <w:sz w:val="24"/>
          <w:szCs w:val="24"/>
          <w:rtl/>
        </w:rPr>
        <w:t xml:space="preserve"> אלו רק בשיעור גדול יותר, ולכן הן מטמאות רק מדרבנן.. </w:t>
      </w:r>
      <w:r w:rsidR="00654AAF">
        <w:rPr>
          <w:rFonts w:ascii="David" w:hAnsi="David" w:cs="David" w:hint="cs"/>
          <w:sz w:val="24"/>
          <w:szCs w:val="24"/>
          <w:rtl/>
        </w:rPr>
        <w:t xml:space="preserve">טומאות </w:t>
      </w:r>
      <w:r>
        <w:rPr>
          <w:rFonts w:ascii="David" w:hAnsi="David" w:cs="David" w:hint="cs"/>
          <w:sz w:val="24"/>
          <w:szCs w:val="24"/>
          <w:rtl/>
        </w:rPr>
        <w:t>ה</w:t>
      </w:r>
      <w:r w:rsidR="009E0867">
        <w:rPr>
          <w:rFonts w:ascii="David" w:hAnsi="David" w:cs="David" w:hint="cs"/>
          <w:sz w:val="24"/>
          <w:szCs w:val="24"/>
          <w:rtl/>
        </w:rPr>
        <w:t>נזיר</w:t>
      </w:r>
      <w:r>
        <w:rPr>
          <w:rFonts w:ascii="David" w:hAnsi="David" w:cs="David" w:hint="cs"/>
          <w:sz w:val="24"/>
          <w:szCs w:val="24"/>
          <w:rtl/>
        </w:rPr>
        <w:t xml:space="preserve"> הנזכרות במשנה שלהן אין מקבילות בריבוי השיעור במשנה הקודמת, כמו כלים שנטמאו במת וגולל ודופק, הן טומאות מדאורייתא, והטעם שאינו מגלח עליהן הוא מפני שאינן עצמו של מת.. ולכן גם לוקה עליהן. ומה שכתב... 'אינה דין תורה'.. כוונתו.. רק לטומאה שיש בה.. חיסרון בשיעור</w:t>
      </w:r>
      <w:r>
        <w:rPr>
          <w:rStyle w:val="a5"/>
          <w:rFonts w:ascii="David" w:hAnsi="David" w:cs="David"/>
          <w:sz w:val="24"/>
          <w:szCs w:val="24"/>
          <w:rtl/>
        </w:rPr>
        <w:footnoteReference w:id="34"/>
      </w:r>
      <w:r>
        <w:rPr>
          <w:rFonts w:ascii="David" w:hAnsi="David" w:cs="David" w:hint="cs"/>
          <w:sz w:val="24"/>
          <w:szCs w:val="24"/>
          <w:rtl/>
        </w:rPr>
        <w:t xml:space="preserve">". </w:t>
      </w:r>
    </w:p>
    <w:p w14:paraId="72454460" w14:textId="77777777" w:rsidR="009E0867" w:rsidRDefault="009E0867" w:rsidP="009046FB">
      <w:pPr>
        <w:spacing w:after="0" w:line="360" w:lineRule="auto"/>
        <w:rPr>
          <w:rFonts w:asciiTheme="majorBidi" w:hAnsiTheme="majorBidi" w:cstheme="majorBidi"/>
          <w:b/>
          <w:bCs/>
          <w:sz w:val="24"/>
          <w:szCs w:val="24"/>
          <w:rtl/>
        </w:rPr>
      </w:pPr>
      <w:r>
        <w:rPr>
          <w:rFonts w:asciiTheme="majorBidi" w:hAnsiTheme="majorBidi" w:cstheme="majorBidi" w:hint="cs"/>
          <w:sz w:val="24"/>
          <w:szCs w:val="24"/>
          <w:rtl/>
        </w:rPr>
        <w:t xml:space="preserve">ז. </w:t>
      </w:r>
      <w:r>
        <w:rPr>
          <w:rFonts w:asciiTheme="majorBidi" w:hAnsiTheme="majorBidi" w:cstheme="majorBidi" w:hint="cs"/>
          <w:b/>
          <w:bCs/>
          <w:sz w:val="24"/>
          <w:szCs w:val="24"/>
          <w:rtl/>
        </w:rPr>
        <w:t>ביאור החילוק של הרמב"ם</w:t>
      </w:r>
    </w:p>
    <w:p w14:paraId="258E4600" w14:textId="3EAB2933" w:rsidR="009046FB" w:rsidRPr="009E0867" w:rsidRDefault="009046FB" w:rsidP="009E086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מסיים הרב ורשנר: </w:t>
      </w:r>
      <w:r w:rsidR="009E0867">
        <w:rPr>
          <w:rFonts w:asciiTheme="majorBidi" w:hAnsiTheme="majorBidi" w:cstheme="majorBidi" w:hint="cs"/>
          <w:sz w:val="24"/>
          <w:szCs w:val="24"/>
          <w:rtl/>
        </w:rPr>
        <w:t xml:space="preserve"> </w:t>
      </w:r>
      <w:r w:rsidR="009E0867" w:rsidRPr="009E0867">
        <w:rPr>
          <w:rFonts w:ascii="David" w:hAnsi="David" w:cs="David"/>
          <w:sz w:val="24"/>
          <w:szCs w:val="24"/>
          <w:rtl/>
        </w:rPr>
        <w:t>"כאשר ה</w:t>
      </w:r>
      <w:r w:rsidR="009E0867">
        <w:rPr>
          <w:rFonts w:ascii="David" w:hAnsi="David" w:cs="David"/>
          <w:sz w:val="24"/>
          <w:szCs w:val="24"/>
          <w:rtl/>
        </w:rPr>
        <w:t>נזיר</w:t>
      </w:r>
      <w:r w:rsidR="009E0867" w:rsidRPr="009E0867">
        <w:rPr>
          <w:rFonts w:ascii="David" w:hAnsi="David" w:cs="David"/>
          <w:sz w:val="24"/>
          <w:szCs w:val="24"/>
          <w:rtl/>
        </w:rPr>
        <w:t xml:space="preserve"> נפגש בטומאה בצורה סמויה.. מבחינת המציאות הרוחנית הוא נטמא, ולכן הוא לוקה, אך מפני שהטומאה ל</w:t>
      </w:r>
      <w:r w:rsidR="00654AAF">
        <w:rPr>
          <w:rFonts w:ascii="David" w:hAnsi="David" w:cs="David" w:hint="cs"/>
          <w:sz w:val="24"/>
          <w:szCs w:val="24"/>
          <w:rtl/>
        </w:rPr>
        <w:t>א</w:t>
      </w:r>
      <w:r w:rsidR="009E0867" w:rsidRPr="009E0867">
        <w:rPr>
          <w:rFonts w:ascii="David" w:hAnsi="David" w:cs="David"/>
          <w:sz w:val="24"/>
          <w:szCs w:val="24"/>
          <w:rtl/>
        </w:rPr>
        <w:t xml:space="preserve"> הייתה נוכחת במציאות הפיזית , דרגת הטומאה שלה קלושה יותר, ומשום כך הוא אינו סותר </w:t>
      </w:r>
      <w:r w:rsidR="009E0867">
        <w:rPr>
          <w:rFonts w:ascii="David" w:hAnsi="David" w:cs="David"/>
          <w:sz w:val="24"/>
          <w:szCs w:val="24"/>
          <w:rtl/>
        </w:rPr>
        <w:t>נזיר</w:t>
      </w:r>
      <w:r w:rsidR="009E0867" w:rsidRPr="009E0867">
        <w:rPr>
          <w:rFonts w:ascii="David" w:hAnsi="David" w:cs="David"/>
          <w:sz w:val="24"/>
          <w:szCs w:val="24"/>
          <w:rtl/>
        </w:rPr>
        <w:t xml:space="preserve">ותו. ברם, כאשר הוא נפגש ב'עצמו של מת'.. המציאות הפיזית הנוכחת יוצרת דרגה של טומאה מוחשית.. תהליך </w:t>
      </w:r>
      <w:r w:rsidR="009E0867">
        <w:rPr>
          <w:rFonts w:ascii="David" w:hAnsi="David" w:cs="David"/>
          <w:sz w:val="24"/>
          <w:szCs w:val="24"/>
          <w:rtl/>
        </w:rPr>
        <w:t>נזיר</w:t>
      </w:r>
      <w:r w:rsidR="009E0867" w:rsidRPr="009E0867">
        <w:rPr>
          <w:rFonts w:ascii="David" w:hAnsi="David" w:cs="David"/>
          <w:sz w:val="24"/>
          <w:szCs w:val="24"/>
          <w:rtl/>
        </w:rPr>
        <w:t>ותו נקטע, ועליו להיטהר ולהתחיל את ה</w:t>
      </w:r>
      <w:r w:rsidR="009E0867">
        <w:rPr>
          <w:rFonts w:ascii="David" w:hAnsi="David" w:cs="David"/>
          <w:sz w:val="24"/>
          <w:szCs w:val="24"/>
          <w:rtl/>
        </w:rPr>
        <w:t>נזיר</w:t>
      </w:r>
      <w:r w:rsidR="009E0867" w:rsidRPr="009E0867">
        <w:rPr>
          <w:rFonts w:ascii="David" w:hAnsi="David" w:cs="David"/>
          <w:sz w:val="24"/>
          <w:szCs w:val="24"/>
          <w:rtl/>
        </w:rPr>
        <w:t>ות מהתחלה...</w:t>
      </w:r>
    </w:p>
    <w:p w14:paraId="4384CBD9" w14:textId="250E3D24" w:rsidR="009E0867" w:rsidRPr="009E0867" w:rsidRDefault="009E0867" w:rsidP="009046FB">
      <w:pPr>
        <w:spacing w:after="0" w:line="360" w:lineRule="auto"/>
        <w:rPr>
          <w:rFonts w:ascii="David" w:hAnsi="David" w:cs="David"/>
          <w:sz w:val="24"/>
          <w:szCs w:val="24"/>
          <w:rtl/>
        </w:rPr>
      </w:pPr>
      <w:r w:rsidRPr="009E0867">
        <w:rPr>
          <w:rFonts w:ascii="David" w:hAnsi="David" w:cs="David"/>
          <w:sz w:val="24"/>
          <w:szCs w:val="24"/>
          <w:rtl/>
        </w:rPr>
        <w:lastRenderedPageBreak/>
        <w:t xml:space="preserve">גם החיוב על ביאת מקדש הוא.. רק כאשר האדם נפגש באופן </w:t>
      </w:r>
      <w:r w:rsidR="00654AAF">
        <w:rPr>
          <w:rFonts w:ascii="David" w:hAnsi="David" w:cs="David" w:hint="cs"/>
          <w:sz w:val="24"/>
          <w:szCs w:val="24"/>
          <w:rtl/>
        </w:rPr>
        <w:t>פ</w:t>
      </w:r>
      <w:r w:rsidRPr="009E0867">
        <w:rPr>
          <w:rFonts w:ascii="David" w:hAnsi="David" w:cs="David"/>
          <w:sz w:val="24"/>
          <w:szCs w:val="24"/>
          <w:rtl/>
        </w:rPr>
        <w:t>יזי עם 'עצמו של מת'. אם האדם שנפגש באופן ישיר ופיזי עם המוות נכנס למקדש, מקום הקודש והחיים, אזי הוא מטמא את המקדש, מביא איתו כביכול את המוות למקום החיים</w:t>
      </w:r>
      <w:r w:rsidRPr="009E0867">
        <w:rPr>
          <w:rStyle w:val="a5"/>
          <w:rFonts w:ascii="David" w:hAnsi="David" w:cs="David"/>
          <w:sz w:val="24"/>
          <w:szCs w:val="24"/>
          <w:rtl/>
        </w:rPr>
        <w:footnoteReference w:id="35"/>
      </w:r>
      <w:r w:rsidRPr="009E0867">
        <w:rPr>
          <w:rFonts w:ascii="David" w:hAnsi="David" w:cs="David"/>
          <w:sz w:val="24"/>
          <w:szCs w:val="24"/>
          <w:rtl/>
        </w:rPr>
        <w:t>".</w:t>
      </w:r>
    </w:p>
    <w:p w14:paraId="278E5D48" w14:textId="77777777" w:rsidR="0026798B" w:rsidRPr="004377E0" w:rsidRDefault="0026798B" w:rsidP="00343E86">
      <w:pPr>
        <w:spacing w:after="0" w:line="360" w:lineRule="auto"/>
        <w:rPr>
          <w:rFonts w:ascii="David" w:hAnsi="David" w:cs="David"/>
          <w:sz w:val="24"/>
          <w:szCs w:val="24"/>
        </w:rPr>
      </w:pPr>
    </w:p>
    <w:sectPr w:rsidR="0026798B" w:rsidRPr="004377E0"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6E6D" w14:textId="77777777" w:rsidR="00B560BE" w:rsidRDefault="00B560BE" w:rsidP="00D116B0">
      <w:pPr>
        <w:spacing w:after="0" w:line="240" w:lineRule="auto"/>
      </w:pPr>
      <w:r>
        <w:separator/>
      </w:r>
    </w:p>
  </w:endnote>
  <w:endnote w:type="continuationSeparator" w:id="0">
    <w:p w14:paraId="77E10C56" w14:textId="77777777" w:rsidR="00B560BE" w:rsidRDefault="00B560BE" w:rsidP="00D1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CEB4" w14:textId="77777777" w:rsidR="00B560BE" w:rsidRDefault="00B560BE" w:rsidP="00D116B0">
      <w:pPr>
        <w:spacing w:after="0" w:line="240" w:lineRule="auto"/>
      </w:pPr>
      <w:r>
        <w:separator/>
      </w:r>
    </w:p>
  </w:footnote>
  <w:footnote w:type="continuationSeparator" w:id="0">
    <w:p w14:paraId="5525A239" w14:textId="77777777" w:rsidR="00B560BE" w:rsidRDefault="00B560BE" w:rsidP="00D116B0">
      <w:pPr>
        <w:spacing w:after="0" w:line="240" w:lineRule="auto"/>
      </w:pPr>
      <w:r>
        <w:continuationSeparator/>
      </w:r>
    </w:p>
  </w:footnote>
  <w:footnote w:id="1">
    <w:p w14:paraId="5751239A" w14:textId="141A0A21" w:rsidR="002D5E5C" w:rsidRPr="008820A1" w:rsidRDefault="002D5E5C" w:rsidP="008820A1">
      <w:pPr>
        <w:pStyle w:val="a3"/>
        <w:spacing w:line="360" w:lineRule="auto"/>
        <w:rPr>
          <w:rFonts w:asciiTheme="majorBidi" w:hAnsiTheme="majorBidi" w:cstheme="majorBidi"/>
          <w:rtl/>
        </w:rPr>
      </w:pPr>
      <w:r w:rsidRPr="008820A1">
        <w:rPr>
          <w:rStyle w:val="a5"/>
          <w:rFonts w:asciiTheme="majorBidi" w:hAnsiTheme="majorBidi" w:cstheme="majorBidi"/>
        </w:rPr>
        <w:footnoteRef/>
      </w:r>
      <w:r w:rsidRPr="008820A1">
        <w:rPr>
          <w:rFonts w:asciiTheme="majorBidi" w:hAnsiTheme="majorBidi" w:cstheme="majorBidi"/>
          <w:rtl/>
        </w:rPr>
        <w:t xml:space="preserve"> תוספתא מסכת מכות  פרק ד הלכה יז.</w:t>
      </w:r>
    </w:p>
  </w:footnote>
  <w:footnote w:id="2">
    <w:p w14:paraId="626AABDD" w14:textId="7B5AF77D" w:rsidR="002D5E5C" w:rsidRPr="008820A1" w:rsidRDefault="002D5E5C" w:rsidP="008820A1">
      <w:pPr>
        <w:pStyle w:val="a3"/>
        <w:spacing w:line="360" w:lineRule="auto"/>
        <w:rPr>
          <w:rFonts w:asciiTheme="majorBidi" w:hAnsiTheme="majorBidi" w:cstheme="majorBidi"/>
        </w:rPr>
      </w:pPr>
      <w:r w:rsidRPr="008820A1">
        <w:rPr>
          <w:rStyle w:val="a5"/>
          <w:rFonts w:asciiTheme="majorBidi" w:hAnsiTheme="majorBidi" w:cstheme="majorBidi"/>
        </w:rPr>
        <w:footnoteRef/>
      </w:r>
      <w:r w:rsidRPr="008820A1">
        <w:rPr>
          <w:rFonts w:asciiTheme="majorBidi" w:hAnsiTheme="majorBidi" w:cstheme="majorBidi"/>
          <w:rtl/>
        </w:rPr>
        <w:t xml:space="preserve"> בניגוד ל'מכת מרדות'.</w:t>
      </w:r>
    </w:p>
  </w:footnote>
  <w:footnote w:id="3">
    <w:p w14:paraId="59CACD25" w14:textId="2228E3CD" w:rsidR="004A2F38" w:rsidRPr="008820A1" w:rsidRDefault="00D116B0" w:rsidP="008820A1">
      <w:pPr>
        <w:spacing w:after="0" w:line="240" w:lineRule="auto"/>
        <w:rPr>
          <w:rFonts w:asciiTheme="majorBidi" w:hAnsiTheme="majorBidi" w:cstheme="majorBidi"/>
          <w:sz w:val="20"/>
          <w:szCs w:val="20"/>
          <w:rtl/>
        </w:rPr>
      </w:pPr>
      <w:r w:rsidRPr="008820A1">
        <w:rPr>
          <w:rStyle w:val="a5"/>
          <w:rFonts w:asciiTheme="majorBidi" w:hAnsiTheme="majorBidi" w:cstheme="majorBidi"/>
          <w:sz w:val="20"/>
          <w:szCs w:val="20"/>
        </w:rPr>
        <w:footnoteRef/>
      </w:r>
      <w:r w:rsidRPr="008820A1">
        <w:rPr>
          <w:rFonts w:asciiTheme="majorBidi" w:hAnsiTheme="majorBidi" w:cstheme="majorBidi"/>
          <w:sz w:val="20"/>
          <w:szCs w:val="20"/>
          <w:rtl/>
        </w:rPr>
        <w:t xml:space="preserve"> תפארת ישראל - יכין מסכת נזיר פרק ז משנה ב אותיות יג-יד.</w:t>
      </w:r>
      <w:r w:rsidR="004A2F38" w:rsidRPr="008820A1">
        <w:rPr>
          <w:rFonts w:asciiTheme="majorBidi" w:hAnsiTheme="majorBidi" w:cstheme="majorBidi"/>
          <w:sz w:val="20"/>
          <w:szCs w:val="20"/>
          <w:rtl/>
        </w:rPr>
        <w:t xml:space="preserve"> דוגמה נוספת ברש"ש: </w:t>
      </w:r>
    </w:p>
    <w:p w14:paraId="022BEDDE" w14:textId="16268532" w:rsidR="00D116B0" w:rsidRPr="004A2F38" w:rsidRDefault="004A2F38" w:rsidP="008820A1">
      <w:pPr>
        <w:spacing w:after="0" w:line="240" w:lineRule="auto"/>
        <w:rPr>
          <w:rFonts w:ascii="David" w:hAnsi="David" w:cs="David"/>
          <w:sz w:val="20"/>
          <w:szCs w:val="20"/>
          <w:rtl/>
        </w:rPr>
      </w:pPr>
      <w:r w:rsidRPr="004A2F38">
        <w:rPr>
          <w:rFonts w:ascii="David" w:hAnsi="David" w:cs="David" w:hint="cs"/>
          <w:sz w:val="20"/>
          <w:szCs w:val="20"/>
          <w:rtl/>
        </w:rPr>
        <w:t>"</w:t>
      </w:r>
      <w:r w:rsidRPr="004A2F38">
        <w:rPr>
          <w:rFonts w:ascii="David" w:hAnsi="David" w:cs="David"/>
          <w:sz w:val="20"/>
          <w:szCs w:val="20"/>
          <w:rtl/>
        </w:rPr>
        <w:t xml:space="preserve">ביה"ק הוא קבר סתום דמטמא אף שלא כנגד הטומאה אם יש בו פותח טפח </w:t>
      </w:r>
      <w:r w:rsidRPr="004A2F38">
        <w:rPr>
          <w:rFonts w:ascii="David" w:hAnsi="David" w:cs="David"/>
          <w:sz w:val="16"/>
          <w:szCs w:val="16"/>
          <w:rtl/>
        </w:rPr>
        <w:t xml:space="preserve">עי' לעיל (נג ב) תד"ה סתום. </w:t>
      </w:r>
      <w:r w:rsidRPr="004A2F38">
        <w:rPr>
          <w:rFonts w:ascii="David" w:hAnsi="David" w:cs="David"/>
          <w:sz w:val="20"/>
          <w:szCs w:val="20"/>
          <w:rtl/>
        </w:rPr>
        <w:t>ואף שהוא מדאורייתא מ</w:t>
      </w:r>
      <w:r>
        <w:rPr>
          <w:rFonts w:ascii="David" w:hAnsi="David" w:cs="David" w:hint="cs"/>
          <w:sz w:val="20"/>
          <w:szCs w:val="20"/>
          <w:rtl/>
        </w:rPr>
        <w:t>'</w:t>
      </w:r>
      <w:r w:rsidRPr="004A2F38">
        <w:rPr>
          <w:rFonts w:ascii="David" w:hAnsi="David" w:cs="David"/>
          <w:sz w:val="20"/>
          <w:szCs w:val="20"/>
          <w:rtl/>
        </w:rPr>
        <w:t>בקבר</w:t>
      </w:r>
      <w:r>
        <w:rPr>
          <w:rFonts w:ascii="David" w:hAnsi="David" w:cs="David" w:hint="cs"/>
          <w:sz w:val="20"/>
          <w:szCs w:val="20"/>
          <w:rtl/>
        </w:rPr>
        <w:t>',</w:t>
      </w:r>
      <w:r w:rsidRPr="004A2F38">
        <w:rPr>
          <w:rFonts w:ascii="David" w:hAnsi="David" w:cs="David"/>
          <w:sz w:val="20"/>
          <w:szCs w:val="20"/>
          <w:rtl/>
        </w:rPr>
        <w:t xml:space="preserve"> מ"מ אין הנזיר מגלח עליו</w:t>
      </w:r>
      <w:r w:rsidRPr="004A2F38">
        <w:rPr>
          <w:rFonts w:ascii="David" w:hAnsi="David" w:cs="David" w:hint="cs"/>
          <w:sz w:val="20"/>
          <w:szCs w:val="20"/>
          <w:rtl/>
        </w:rPr>
        <w:t>"</w:t>
      </w:r>
      <w:r w:rsidRPr="004A2F38">
        <w:rPr>
          <w:rFonts w:ascii="David" w:hAnsi="David" w:cs="David"/>
          <w:sz w:val="20"/>
          <w:szCs w:val="20"/>
          <w:rtl/>
        </w:rPr>
        <w:t>.</w:t>
      </w:r>
    </w:p>
    <w:p w14:paraId="33AAA59B" w14:textId="6A511DB6" w:rsidR="00D116B0" w:rsidRPr="004A2F38" w:rsidRDefault="00D116B0">
      <w:pPr>
        <w:pStyle w:val="a3"/>
      </w:pPr>
    </w:p>
  </w:footnote>
  <w:footnote w:id="4">
    <w:p w14:paraId="73F97F6B" w14:textId="46A1D1C0" w:rsidR="004A2F38" w:rsidRPr="008820A1" w:rsidRDefault="004A2F38">
      <w:pPr>
        <w:pStyle w:val="a3"/>
      </w:pPr>
      <w:r w:rsidRPr="008820A1">
        <w:rPr>
          <w:rStyle w:val="a5"/>
        </w:rPr>
        <w:footnoteRef/>
      </w:r>
      <w:r w:rsidRPr="008820A1">
        <w:rPr>
          <w:rtl/>
        </w:rPr>
        <w:t xml:space="preserve"> </w:t>
      </w:r>
      <w:r w:rsidRPr="008820A1">
        <w:rPr>
          <w:rFonts w:asciiTheme="majorBidi" w:hAnsiTheme="majorBidi" w:cstheme="majorBidi"/>
          <w:rtl/>
        </w:rPr>
        <w:t>רמב"ם הלכות טומאת מת פרק ג הלכה ג</w:t>
      </w:r>
      <w:r w:rsidRPr="008820A1">
        <w:rPr>
          <w:rFonts w:asciiTheme="majorBidi" w:hAnsiTheme="majorBidi" w:cstheme="majorBidi" w:hint="cs"/>
          <w:rtl/>
        </w:rPr>
        <w:t>.</w:t>
      </w:r>
    </w:p>
  </w:footnote>
  <w:footnote w:id="5">
    <w:p w14:paraId="285BFB5E" w14:textId="7AAD53B1" w:rsidR="006218EE" w:rsidRDefault="006218EE">
      <w:pPr>
        <w:pStyle w:val="a3"/>
        <w:rPr>
          <w:rFonts w:asciiTheme="majorBidi" w:hAnsiTheme="majorBidi" w:cstheme="majorBidi"/>
          <w:rtl/>
        </w:rPr>
      </w:pPr>
      <w:r>
        <w:rPr>
          <w:rStyle w:val="a5"/>
        </w:rPr>
        <w:footnoteRef/>
      </w:r>
      <w:r>
        <w:rPr>
          <w:rtl/>
        </w:rPr>
        <w:t xml:space="preserve"> </w:t>
      </w:r>
      <w:r w:rsidRPr="006218EE">
        <w:rPr>
          <w:rFonts w:asciiTheme="majorBidi" w:hAnsiTheme="majorBidi" w:cstheme="majorBidi"/>
          <w:rtl/>
        </w:rPr>
        <w:t>או שלדעתו ההחמרה בספקות דאורייתא היא מדרבנן, כשיטת הרמב"ם, או שנאמר שגם אם היא מן התורה, יש לנהוג לחומרה, אך עדיין</w:t>
      </w:r>
      <w:r>
        <w:rPr>
          <w:rFonts w:hint="cs"/>
          <w:rtl/>
        </w:rPr>
        <w:t xml:space="preserve"> </w:t>
      </w:r>
      <w:r>
        <w:rPr>
          <w:rFonts w:ascii="David" w:hAnsi="David" w:cs="David" w:hint="cs"/>
          <w:rtl/>
        </w:rPr>
        <w:t>"יש לפנינו ספק, ולכן לעניין הבאת חו</w:t>
      </w:r>
      <w:r w:rsidR="00654AAF">
        <w:rPr>
          <w:rFonts w:ascii="David" w:hAnsi="David" w:cs="David" w:hint="cs"/>
          <w:rtl/>
        </w:rPr>
        <w:t>ל</w:t>
      </w:r>
      <w:r>
        <w:rPr>
          <w:rFonts w:ascii="David" w:hAnsi="David" w:cs="David" w:hint="cs"/>
          <w:rtl/>
        </w:rPr>
        <w:t>ין לעזרה שזו קולא.. מניחים שה</w:t>
      </w:r>
      <w:r w:rsidR="009E0867">
        <w:rPr>
          <w:rFonts w:ascii="David" w:hAnsi="David" w:cs="David" w:hint="cs"/>
          <w:rtl/>
        </w:rPr>
        <w:t>נזיר</w:t>
      </w:r>
      <w:r>
        <w:rPr>
          <w:rFonts w:ascii="David" w:hAnsi="David" w:cs="David" w:hint="cs"/>
          <w:rtl/>
        </w:rPr>
        <w:t xml:space="preserve"> לא נטמא, ולכן אסור לו להביא על טומאות אלה קרבן. נראה ש</w:t>
      </w:r>
      <w:r w:rsidR="00256F81">
        <w:rPr>
          <w:rFonts w:ascii="David" w:hAnsi="David" w:cs="David" w:hint="cs"/>
          <w:rtl/>
        </w:rPr>
        <w:t>האופן השני.. מוכרח בדעתו...אם היה  סובר הרי"ד שספק דאורייתא לחומרא מדרבנן.. אסור לו להתגלח... אולם אם הרי"ד סובר שספק דאורייתא לחומרא מן התורה..  על פי הנהגת התורה לחומרא ה</w:t>
      </w:r>
      <w:r w:rsidR="009E0867">
        <w:rPr>
          <w:rFonts w:ascii="David" w:hAnsi="David" w:cs="David" w:hint="cs"/>
          <w:rtl/>
        </w:rPr>
        <w:t>נזיר</w:t>
      </w:r>
      <w:r w:rsidR="00256F81">
        <w:rPr>
          <w:rFonts w:ascii="David" w:hAnsi="David" w:cs="David" w:hint="cs"/>
          <w:rtl/>
        </w:rPr>
        <w:t xml:space="preserve"> חייב לגלח את שערו אף שהטומאה היא רק מספק.. הבאת הקרבן לעזרה מוגדרת כקולא.." </w:t>
      </w:r>
      <w:r w:rsidR="00256F81" w:rsidRPr="00256F81">
        <w:rPr>
          <w:rFonts w:asciiTheme="majorBidi" w:hAnsiTheme="majorBidi" w:cstheme="majorBidi"/>
          <w:rtl/>
        </w:rPr>
        <w:t>(הרב ורשנר, ראשית הנזר סימן יז עמוד 309 הערה</w:t>
      </w:r>
      <w:r w:rsidR="00654AAF">
        <w:rPr>
          <w:rFonts w:asciiTheme="majorBidi" w:hAnsiTheme="majorBidi" w:cstheme="majorBidi"/>
        </w:rPr>
        <w:t xml:space="preserve"> </w:t>
      </w:r>
      <w:r w:rsidR="00256F81">
        <w:rPr>
          <w:rFonts w:asciiTheme="majorBidi" w:hAnsiTheme="majorBidi" w:cstheme="majorBidi" w:hint="cs"/>
          <w:rtl/>
        </w:rPr>
        <w:t>2.</w:t>
      </w:r>
      <w:r w:rsidR="00256F81" w:rsidRPr="00256F81">
        <w:rPr>
          <w:rFonts w:asciiTheme="majorBidi" w:hAnsiTheme="majorBidi" w:cstheme="majorBidi"/>
          <w:rtl/>
        </w:rPr>
        <w:t xml:space="preserve"> גם הפעם נלך בעקבות דבריו</w:t>
      </w:r>
      <w:r w:rsidR="00D306F1">
        <w:rPr>
          <w:rFonts w:asciiTheme="majorBidi" w:hAnsiTheme="majorBidi" w:cstheme="majorBidi" w:hint="cs"/>
          <w:rtl/>
        </w:rPr>
        <w:t>. מכאן ואילך סתם ציון עמוד מרמז ל'ראשית הנזר'</w:t>
      </w:r>
      <w:r w:rsidR="00256F81" w:rsidRPr="00256F81">
        <w:rPr>
          <w:rFonts w:asciiTheme="majorBidi" w:hAnsiTheme="majorBidi" w:cstheme="majorBidi"/>
          <w:rtl/>
        </w:rPr>
        <w:t>).</w:t>
      </w:r>
    </w:p>
    <w:p w14:paraId="70AD42C6" w14:textId="77777777" w:rsidR="002D5E5C" w:rsidRPr="00256F81" w:rsidRDefault="002D5E5C">
      <w:pPr>
        <w:pStyle w:val="a3"/>
        <w:rPr>
          <w:rFonts w:asciiTheme="majorBidi" w:hAnsiTheme="majorBidi" w:cstheme="majorBidi"/>
        </w:rPr>
      </w:pPr>
    </w:p>
  </w:footnote>
  <w:footnote w:id="6">
    <w:p w14:paraId="03568D84" w14:textId="066DDAE7" w:rsidR="002D5E5C" w:rsidRPr="002D5E5C" w:rsidRDefault="002D5E5C" w:rsidP="002D5E5C">
      <w:pPr>
        <w:pStyle w:val="a3"/>
        <w:spacing w:line="360" w:lineRule="auto"/>
        <w:rPr>
          <w:rFonts w:asciiTheme="majorBidi" w:hAnsiTheme="majorBidi" w:cstheme="majorBidi"/>
        </w:rPr>
      </w:pPr>
      <w:r w:rsidRPr="002D5E5C">
        <w:rPr>
          <w:rStyle w:val="a5"/>
          <w:rFonts w:asciiTheme="majorBidi" w:hAnsiTheme="majorBidi" w:cstheme="majorBidi"/>
        </w:rPr>
        <w:footnoteRef/>
      </w:r>
      <w:r w:rsidRPr="002D5E5C">
        <w:rPr>
          <w:rFonts w:asciiTheme="majorBidi" w:hAnsiTheme="majorBidi" w:cstheme="majorBidi"/>
          <w:rtl/>
        </w:rPr>
        <w:t xml:space="preserve"> עמוד 312 הערה 5, על פי דברי רש"י במסכת קידושין דף עג עמוד א ד"ה לאיסורא).</w:t>
      </w:r>
    </w:p>
  </w:footnote>
  <w:footnote w:id="7">
    <w:p w14:paraId="0EB792C8" w14:textId="29D6F970" w:rsidR="00D2031B" w:rsidRPr="002D5E5C" w:rsidRDefault="00D2031B" w:rsidP="002D5E5C">
      <w:pPr>
        <w:pStyle w:val="a3"/>
        <w:spacing w:line="360" w:lineRule="auto"/>
        <w:rPr>
          <w:rFonts w:asciiTheme="majorBidi" w:hAnsiTheme="majorBidi" w:cstheme="majorBidi"/>
        </w:rPr>
      </w:pPr>
      <w:r w:rsidRPr="002D5E5C">
        <w:rPr>
          <w:rStyle w:val="a5"/>
          <w:rFonts w:asciiTheme="majorBidi" w:hAnsiTheme="majorBidi" w:cstheme="majorBidi"/>
        </w:rPr>
        <w:footnoteRef/>
      </w:r>
      <w:r w:rsidRPr="002D5E5C">
        <w:rPr>
          <w:rFonts w:asciiTheme="majorBidi" w:hAnsiTheme="majorBidi" w:cstheme="majorBidi"/>
          <w:rtl/>
        </w:rPr>
        <w:t xml:space="preserve"> עיין בבירור הלכה לפסחים דף כב עמוד א ציון (א).</w:t>
      </w:r>
    </w:p>
  </w:footnote>
  <w:footnote w:id="8">
    <w:p w14:paraId="488815AA" w14:textId="1C8D9E77" w:rsidR="001834EA" w:rsidRPr="002D5E5C" w:rsidRDefault="001834EA" w:rsidP="002D5E5C">
      <w:pPr>
        <w:pStyle w:val="a3"/>
        <w:spacing w:line="360" w:lineRule="auto"/>
        <w:rPr>
          <w:rFonts w:asciiTheme="majorBidi" w:hAnsiTheme="majorBidi" w:cstheme="majorBidi"/>
        </w:rPr>
      </w:pPr>
      <w:r w:rsidRPr="002D5E5C">
        <w:rPr>
          <w:rStyle w:val="a5"/>
          <w:rFonts w:asciiTheme="majorBidi" w:hAnsiTheme="majorBidi" w:cstheme="majorBidi"/>
        </w:rPr>
        <w:footnoteRef/>
      </w:r>
      <w:r w:rsidRPr="002D5E5C">
        <w:rPr>
          <w:rFonts w:asciiTheme="majorBidi" w:hAnsiTheme="majorBidi" w:cstheme="majorBidi"/>
          <w:rtl/>
        </w:rPr>
        <w:t xml:space="preserve"> עמוד 308. </w:t>
      </w:r>
    </w:p>
  </w:footnote>
  <w:footnote w:id="9">
    <w:p w14:paraId="04A58FDF" w14:textId="78F437C6" w:rsidR="001834EA" w:rsidRPr="002D5E5C" w:rsidRDefault="001834EA" w:rsidP="002D5E5C">
      <w:pPr>
        <w:spacing w:after="0" w:line="360" w:lineRule="auto"/>
        <w:rPr>
          <w:rFonts w:asciiTheme="majorBidi" w:hAnsiTheme="majorBidi" w:cstheme="majorBidi"/>
          <w:sz w:val="20"/>
          <w:szCs w:val="20"/>
        </w:rPr>
      </w:pPr>
      <w:r w:rsidRPr="002D5E5C">
        <w:rPr>
          <w:rStyle w:val="a5"/>
          <w:rFonts w:asciiTheme="majorBidi" w:hAnsiTheme="majorBidi" w:cstheme="majorBidi"/>
          <w:sz w:val="20"/>
          <w:szCs w:val="20"/>
        </w:rPr>
        <w:footnoteRef/>
      </w:r>
      <w:r w:rsidRPr="002D5E5C">
        <w:rPr>
          <w:rFonts w:asciiTheme="majorBidi" w:hAnsiTheme="majorBidi" w:cstheme="majorBidi"/>
          <w:sz w:val="20"/>
          <w:szCs w:val="20"/>
          <w:rtl/>
        </w:rPr>
        <w:t xml:space="preserve">  דף כט עמוד א.</w:t>
      </w:r>
    </w:p>
  </w:footnote>
  <w:footnote w:id="10">
    <w:p w14:paraId="1B8E1061" w14:textId="53F7D094" w:rsidR="001834EA" w:rsidRPr="002D5E5C" w:rsidRDefault="001834EA" w:rsidP="002D5E5C">
      <w:pPr>
        <w:pStyle w:val="a3"/>
        <w:spacing w:line="360" w:lineRule="auto"/>
        <w:rPr>
          <w:rFonts w:asciiTheme="majorBidi" w:hAnsiTheme="majorBidi" w:cstheme="majorBidi"/>
          <w:rtl/>
        </w:rPr>
      </w:pPr>
      <w:r w:rsidRPr="002D5E5C">
        <w:rPr>
          <w:rStyle w:val="a5"/>
          <w:rFonts w:asciiTheme="majorBidi" w:hAnsiTheme="majorBidi" w:cstheme="majorBidi"/>
        </w:rPr>
        <w:footnoteRef/>
      </w:r>
      <w:r w:rsidRPr="002D5E5C">
        <w:rPr>
          <w:rFonts w:asciiTheme="majorBidi" w:hAnsiTheme="majorBidi" w:cstheme="majorBidi"/>
          <w:rtl/>
        </w:rPr>
        <w:t xml:space="preserve"> תוספות רי"ד מסכת בבא בתרא דף פא עמוד ב.</w:t>
      </w:r>
    </w:p>
  </w:footnote>
  <w:footnote w:id="11">
    <w:p w14:paraId="5B06DABB" w14:textId="4C655360" w:rsidR="006218EE" w:rsidRPr="002D5E5C" w:rsidRDefault="006218EE" w:rsidP="002D5E5C">
      <w:pPr>
        <w:pStyle w:val="a3"/>
        <w:spacing w:line="360" w:lineRule="auto"/>
        <w:rPr>
          <w:rFonts w:asciiTheme="majorBidi" w:hAnsiTheme="majorBidi" w:cstheme="majorBidi"/>
          <w:rtl/>
        </w:rPr>
      </w:pPr>
      <w:r w:rsidRPr="002D5E5C">
        <w:rPr>
          <w:rStyle w:val="a5"/>
          <w:rFonts w:asciiTheme="majorBidi" w:hAnsiTheme="majorBidi" w:cstheme="majorBidi"/>
        </w:rPr>
        <w:footnoteRef/>
      </w:r>
      <w:r w:rsidRPr="002D5E5C">
        <w:rPr>
          <w:rFonts w:asciiTheme="majorBidi" w:hAnsiTheme="majorBidi" w:cstheme="majorBidi"/>
          <w:rtl/>
        </w:rPr>
        <w:t xml:space="preserve">  עמוד 309.</w:t>
      </w:r>
    </w:p>
  </w:footnote>
  <w:footnote w:id="12">
    <w:p w14:paraId="6EF2EDBE" w14:textId="2C4B5DFD" w:rsidR="008820A1" w:rsidRPr="008820A1" w:rsidRDefault="008820A1">
      <w:pPr>
        <w:pStyle w:val="a3"/>
        <w:rPr>
          <w:rFonts w:asciiTheme="majorBidi" w:hAnsiTheme="majorBidi" w:cstheme="majorBidi"/>
          <w:rtl/>
        </w:rPr>
      </w:pPr>
      <w:r w:rsidRPr="008820A1">
        <w:rPr>
          <w:rStyle w:val="a5"/>
          <w:rFonts w:asciiTheme="majorBidi" w:hAnsiTheme="majorBidi" w:cstheme="majorBidi"/>
        </w:rPr>
        <w:footnoteRef/>
      </w:r>
      <w:r w:rsidRPr="008820A1">
        <w:rPr>
          <w:rFonts w:asciiTheme="majorBidi" w:hAnsiTheme="majorBidi" w:cstheme="majorBidi"/>
          <w:rtl/>
        </w:rPr>
        <w:t xml:space="preserve"> עמוד 311.</w:t>
      </w:r>
    </w:p>
  </w:footnote>
  <w:footnote w:id="13">
    <w:p w14:paraId="56C3F8B8" w14:textId="7A543105" w:rsidR="008E1FB2" w:rsidRPr="00D306F1" w:rsidRDefault="008E1FB2" w:rsidP="00D306F1">
      <w:pPr>
        <w:spacing w:after="0" w:line="360" w:lineRule="auto"/>
        <w:rPr>
          <w:rFonts w:asciiTheme="majorBidi" w:hAnsiTheme="majorBidi" w:cstheme="majorBidi"/>
          <w:sz w:val="20"/>
          <w:szCs w:val="20"/>
        </w:rPr>
      </w:pPr>
      <w:r>
        <w:rPr>
          <w:rStyle w:val="a5"/>
        </w:rPr>
        <w:footnoteRef/>
      </w:r>
      <w:r>
        <w:rPr>
          <w:rtl/>
        </w:rPr>
        <w:t xml:space="preserve"> </w:t>
      </w:r>
      <w:r w:rsidR="004377E0">
        <w:rPr>
          <w:rFonts w:asciiTheme="majorBidi" w:hAnsiTheme="majorBidi" w:cstheme="majorBidi" w:hint="cs"/>
          <w:sz w:val="20"/>
          <w:szCs w:val="20"/>
          <w:rtl/>
        </w:rPr>
        <w:t>פירוש ה</w:t>
      </w:r>
      <w:r w:rsidRPr="008E1FB2">
        <w:rPr>
          <w:rFonts w:asciiTheme="majorBidi" w:hAnsiTheme="majorBidi" w:cstheme="majorBidi"/>
          <w:sz w:val="20"/>
          <w:szCs w:val="20"/>
          <w:rtl/>
        </w:rPr>
        <w:t>רמב"ם על</w:t>
      </w:r>
      <w:r w:rsidR="004377E0">
        <w:rPr>
          <w:rFonts w:asciiTheme="majorBidi" w:hAnsiTheme="majorBidi" w:cstheme="majorBidi" w:hint="cs"/>
          <w:sz w:val="20"/>
          <w:szCs w:val="20"/>
          <w:rtl/>
        </w:rPr>
        <w:t xml:space="preserve"> </w:t>
      </w:r>
      <w:r w:rsidRPr="008E1FB2">
        <w:rPr>
          <w:rFonts w:asciiTheme="majorBidi" w:hAnsiTheme="majorBidi" w:cstheme="majorBidi"/>
          <w:sz w:val="20"/>
          <w:szCs w:val="20"/>
          <w:rtl/>
        </w:rPr>
        <w:t xml:space="preserve"> פרק ז משנה ג</w:t>
      </w:r>
      <w:r>
        <w:rPr>
          <w:rFonts w:asciiTheme="majorBidi" w:hAnsiTheme="majorBidi" w:cstheme="majorBidi" w:hint="cs"/>
          <w:sz w:val="20"/>
          <w:szCs w:val="20"/>
          <w:rtl/>
        </w:rPr>
        <w:t>.</w:t>
      </w:r>
    </w:p>
  </w:footnote>
  <w:footnote w:id="14">
    <w:p w14:paraId="0BC5E9FA" w14:textId="47CB518E" w:rsidR="00D306F1" w:rsidRPr="00D306F1" w:rsidRDefault="00D306F1" w:rsidP="00D306F1">
      <w:pPr>
        <w:pStyle w:val="a3"/>
        <w:spacing w:line="360" w:lineRule="auto"/>
        <w:rPr>
          <w:rFonts w:asciiTheme="majorBidi" w:hAnsiTheme="majorBidi" w:cstheme="majorBidi"/>
          <w:rtl/>
        </w:rPr>
      </w:pPr>
      <w:r w:rsidRPr="00D306F1">
        <w:rPr>
          <w:rStyle w:val="a5"/>
          <w:rFonts w:asciiTheme="majorBidi" w:hAnsiTheme="majorBidi" w:cstheme="majorBidi"/>
        </w:rPr>
        <w:footnoteRef/>
      </w:r>
      <w:r w:rsidRPr="00D306F1">
        <w:rPr>
          <w:rFonts w:asciiTheme="majorBidi" w:hAnsiTheme="majorBidi" w:cstheme="majorBidi"/>
          <w:rtl/>
        </w:rPr>
        <w:t xml:space="preserve"> עמוד 313.</w:t>
      </w:r>
    </w:p>
  </w:footnote>
  <w:footnote w:id="15">
    <w:p w14:paraId="4BE17651" w14:textId="1284A187" w:rsidR="00D306F1" w:rsidRPr="00D306F1" w:rsidRDefault="00D306F1" w:rsidP="00D306F1">
      <w:pPr>
        <w:pStyle w:val="a3"/>
        <w:spacing w:line="360" w:lineRule="auto"/>
        <w:rPr>
          <w:rFonts w:asciiTheme="majorBidi" w:hAnsiTheme="majorBidi" w:cstheme="majorBidi"/>
          <w:rtl/>
        </w:rPr>
      </w:pPr>
      <w:r w:rsidRPr="00D306F1">
        <w:rPr>
          <w:rStyle w:val="a5"/>
          <w:rFonts w:asciiTheme="majorBidi" w:hAnsiTheme="majorBidi" w:cstheme="majorBidi"/>
        </w:rPr>
        <w:footnoteRef/>
      </w:r>
      <w:r w:rsidRPr="00D306F1">
        <w:rPr>
          <w:rFonts w:asciiTheme="majorBidi" w:hAnsiTheme="majorBidi" w:cstheme="majorBidi"/>
          <w:rtl/>
        </w:rPr>
        <w:t xml:space="preserve"> נזירות פרק ז הלכה א.</w:t>
      </w:r>
    </w:p>
  </w:footnote>
  <w:footnote w:id="16">
    <w:p w14:paraId="1CFAAF61" w14:textId="71F6CD9E" w:rsidR="004377E0" w:rsidRDefault="004377E0" w:rsidP="005B3006">
      <w:pPr>
        <w:spacing w:after="0" w:line="240" w:lineRule="auto"/>
        <w:rPr>
          <w:rFonts w:ascii="David" w:hAnsi="David" w:cs="David"/>
          <w:sz w:val="18"/>
          <w:szCs w:val="18"/>
          <w:rtl/>
        </w:rPr>
      </w:pPr>
      <w:r w:rsidRPr="004377E0">
        <w:rPr>
          <w:rStyle w:val="a5"/>
          <w:sz w:val="20"/>
          <w:szCs w:val="20"/>
        </w:rPr>
        <w:footnoteRef/>
      </w:r>
      <w:r w:rsidRPr="004377E0">
        <w:rPr>
          <w:sz w:val="20"/>
          <w:szCs w:val="20"/>
          <w:rtl/>
        </w:rPr>
        <w:t xml:space="preserve"> </w:t>
      </w:r>
      <w:r w:rsidRPr="004377E0">
        <w:rPr>
          <w:rFonts w:asciiTheme="majorBidi" w:hAnsiTheme="majorBidi" w:cs="Times New Roman" w:hint="cs"/>
          <w:sz w:val="20"/>
          <w:szCs w:val="20"/>
          <w:rtl/>
        </w:rPr>
        <w:t xml:space="preserve"> </w:t>
      </w:r>
      <w:r w:rsidRPr="004377E0">
        <w:rPr>
          <w:rFonts w:asciiTheme="majorBidi" w:hAnsiTheme="majorBidi" w:cs="Times New Roman"/>
          <w:sz w:val="20"/>
          <w:szCs w:val="20"/>
          <w:rtl/>
        </w:rPr>
        <w:t xml:space="preserve"> דף סג עמוד א</w:t>
      </w:r>
      <w:r w:rsidRPr="004377E0">
        <w:rPr>
          <w:rFonts w:asciiTheme="majorBidi" w:hAnsiTheme="majorBidi" w:cstheme="majorBidi" w:hint="cs"/>
          <w:sz w:val="20"/>
          <w:szCs w:val="20"/>
          <w:rtl/>
        </w:rPr>
        <w:t>.</w:t>
      </w:r>
      <w:r w:rsidR="005B3006">
        <w:rPr>
          <w:rFonts w:asciiTheme="majorBidi" w:hAnsiTheme="majorBidi" w:cstheme="majorBidi" w:hint="cs"/>
          <w:sz w:val="20"/>
          <w:szCs w:val="20"/>
          <w:rtl/>
        </w:rPr>
        <w:t xml:space="preserve"> אמנם, למסקנת הסוגיה "</w:t>
      </w:r>
      <w:r w:rsidR="005B3006">
        <w:rPr>
          <w:rFonts w:ascii="David" w:hAnsi="David" w:cs="David" w:hint="cs"/>
          <w:sz w:val="20"/>
          <w:szCs w:val="20"/>
          <w:rtl/>
        </w:rPr>
        <w:t xml:space="preserve">טומאת התהום גמרא גמירי לה", "ולפי מסקנה זו הרי שהפסוק פנוי לדרשה אחרת. ואכן הרמב"ם </w:t>
      </w:r>
      <w:r w:rsidR="005B3006">
        <w:rPr>
          <w:rFonts w:ascii="David" w:hAnsi="David" w:cs="David" w:hint="cs"/>
          <w:sz w:val="18"/>
          <w:szCs w:val="18"/>
          <w:rtl/>
        </w:rPr>
        <w:t xml:space="preserve">(נזירות פרק ו הלכה טו) </w:t>
      </w:r>
      <w:r w:rsidR="005B3006" w:rsidRPr="005B3006">
        <w:rPr>
          <w:rFonts w:ascii="David" w:hAnsi="David" w:cs="David" w:hint="cs"/>
          <w:sz w:val="20"/>
          <w:szCs w:val="20"/>
          <w:rtl/>
        </w:rPr>
        <w:t>פוסק בפירוש שדין טומאת התהום הוא 'הלכה</w:t>
      </w:r>
      <w:r w:rsidR="005B3006">
        <w:rPr>
          <w:rFonts w:ascii="David" w:hAnsi="David" w:cs="David" w:hint="cs"/>
          <w:sz w:val="18"/>
          <w:szCs w:val="18"/>
          <w:rtl/>
        </w:rPr>
        <w:t xml:space="preserve"> מפי הקבלה' ואם כן.. הפסוק פנוי.." (עמוד 316).</w:t>
      </w:r>
    </w:p>
    <w:p w14:paraId="243B222F" w14:textId="77777777" w:rsidR="005B3006" w:rsidRPr="005B3006" w:rsidRDefault="005B3006" w:rsidP="005B3006">
      <w:pPr>
        <w:spacing w:after="0" w:line="240" w:lineRule="auto"/>
        <w:rPr>
          <w:rFonts w:ascii="David" w:hAnsi="David" w:cs="David"/>
          <w:sz w:val="18"/>
          <w:szCs w:val="18"/>
        </w:rPr>
      </w:pPr>
    </w:p>
  </w:footnote>
  <w:footnote w:id="17">
    <w:p w14:paraId="0E92E046" w14:textId="120B22F4" w:rsidR="008A6170" w:rsidRPr="00FF4797" w:rsidRDefault="008A6170" w:rsidP="00FF4797">
      <w:pPr>
        <w:pStyle w:val="a3"/>
        <w:spacing w:line="360" w:lineRule="auto"/>
        <w:rPr>
          <w:rFonts w:asciiTheme="majorBidi" w:hAnsiTheme="majorBidi" w:cstheme="majorBidi"/>
          <w:rtl/>
        </w:rPr>
      </w:pPr>
      <w:r w:rsidRPr="00FF4797">
        <w:rPr>
          <w:rStyle w:val="a5"/>
          <w:rFonts w:asciiTheme="majorBidi" w:hAnsiTheme="majorBidi" w:cstheme="majorBidi"/>
        </w:rPr>
        <w:footnoteRef/>
      </w:r>
      <w:r w:rsidRPr="00FF4797">
        <w:rPr>
          <w:rFonts w:asciiTheme="majorBidi" w:hAnsiTheme="majorBidi" w:cstheme="majorBidi"/>
          <w:rtl/>
        </w:rPr>
        <w:t xml:space="preserve"> </w:t>
      </w:r>
      <w:r w:rsidRPr="00FF4797">
        <w:rPr>
          <w:rFonts w:asciiTheme="majorBidi" w:hAnsiTheme="majorBidi" w:cstheme="majorBidi"/>
          <w:rtl/>
        </w:rPr>
        <w:t xml:space="preserve">ערוך השולחן העתיד סימן כא </w:t>
      </w:r>
      <w:r w:rsidR="00FF4797" w:rsidRPr="00FF4797">
        <w:rPr>
          <w:rFonts w:asciiTheme="majorBidi" w:hAnsiTheme="majorBidi" w:cstheme="majorBidi"/>
          <w:rtl/>
        </w:rPr>
        <w:t>סעיף ד.</w:t>
      </w:r>
      <w:r w:rsidRPr="00FF4797">
        <w:rPr>
          <w:rFonts w:asciiTheme="majorBidi" w:hAnsiTheme="majorBidi" w:cstheme="majorBidi"/>
          <w:rtl/>
        </w:rPr>
        <w:t xml:space="preserve"> </w:t>
      </w:r>
    </w:p>
  </w:footnote>
  <w:footnote w:id="18">
    <w:p w14:paraId="300E5E11" w14:textId="704DFFB9" w:rsidR="00343E86" w:rsidRPr="00587967" w:rsidRDefault="00343E86" w:rsidP="00FF4797">
      <w:pPr>
        <w:spacing w:after="0" w:line="360" w:lineRule="auto"/>
        <w:rPr>
          <w:rFonts w:asciiTheme="majorBidi" w:hAnsiTheme="majorBidi" w:cstheme="majorBidi"/>
          <w:sz w:val="20"/>
          <w:szCs w:val="20"/>
          <w:rtl/>
        </w:rPr>
      </w:pPr>
      <w:r>
        <w:rPr>
          <w:rStyle w:val="a5"/>
        </w:rPr>
        <w:footnoteRef/>
      </w:r>
      <w:r>
        <w:rPr>
          <w:rtl/>
        </w:rPr>
        <w:t xml:space="preserve"> </w:t>
      </w:r>
      <w:r w:rsidRPr="00343E86">
        <w:rPr>
          <w:rFonts w:asciiTheme="majorBidi" w:hAnsiTheme="majorBidi" w:cstheme="majorBidi"/>
          <w:sz w:val="20"/>
          <w:szCs w:val="20"/>
          <w:rtl/>
        </w:rPr>
        <w:t>תוספתא מסכת אהלות פרק א סעיף ב</w:t>
      </w:r>
      <w:r>
        <w:rPr>
          <w:rFonts w:asciiTheme="majorBidi" w:hAnsiTheme="majorBidi" w:cstheme="majorBidi" w:hint="cs"/>
          <w:sz w:val="20"/>
          <w:szCs w:val="20"/>
          <w:rtl/>
        </w:rPr>
        <w:t>.</w:t>
      </w:r>
    </w:p>
  </w:footnote>
  <w:footnote w:id="19">
    <w:p w14:paraId="73F7F708" w14:textId="01EB5C97" w:rsidR="00587967" w:rsidRPr="00587967" w:rsidRDefault="00587967" w:rsidP="00DB4F26">
      <w:pPr>
        <w:pStyle w:val="a3"/>
        <w:spacing w:line="360" w:lineRule="auto"/>
      </w:pPr>
      <w:r w:rsidRPr="00587967">
        <w:rPr>
          <w:rStyle w:val="a5"/>
        </w:rPr>
        <w:footnoteRef/>
      </w:r>
      <w:r w:rsidRPr="00587967">
        <w:rPr>
          <w:rtl/>
        </w:rPr>
        <w:t xml:space="preserve"> </w:t>
      </w:r>
      <w:r w:rsidRPr="00587967">
        <w:rPr>
          <w:rFonts w:asciiTheme="majorBidi" w:hAnsiTheme="majorBidi" w:cs="Times New Roman"/>
          <w:rtl/>
        </w:rPr>
        <w:t>משנה מסכת נזיר פרק ז</w:t>
      </w:r>
      <w:r w:rsidRPr="00587967">
        <w:rPr>
          <w:rFonts w:asciiTheme="majorBidi" w:hAnsiTheme="majorBidi" w:cstheme="majorBidi" w:hint="cs"/>
          <w:rtl/>
        </w:rPr>
        <w:t xml:space="preserve"> משנה ד.</w:t>
      </w:r>
    </w:p>
  </w:footnote>
  <w:footnote w:id="20">
    <w:p w14:paraId="5C3E1FA0" w14:textId="4CBE7E9A" w:rsidR="00DB4F26" w:rsidRPr="005B3006" w:rsidRDefault="00DB4F26" w:rsidP="005B3006">
      <w:pPr>
        <w:spacing w:after="0" w:line="360" w:lineRule="auto"/>
        <w:rPr>
          <w:rFonts w:asciiTheme="majorBidi" w:hAnsiTheme="majorBidi" w:cstheme="majorBidi"/>
          <w:sz w:val="20"/>
          <w:szCs w:val="20"/>
        </w:rPr>
      </w:pPr>
      <w:r>
        <w:rPr>
          <w:rStyle w:val="a5"/>
        </w:rPr>
        <w:footnoteRef/>
      </w:r>
      <w:r>
        <w:rPr>
          <w:rtl/>
        </w:rPr>
        <w:t xml:space="preserve"> </w:t>
      </w:r>
      <w:r w:rsidRPr="00DB4F26">
        <w:rPr>
          <w:rFonts w:asciiTheme="majorBidi" w:hAnsiTheme="majorBidi" w:cs="Times New Roman"/>
          <w:sz w:val="20"/>
          <w:szCs w:val="20"/>
          <w:rtl/>
        </w:rPr>
        <w:t xml:space="preserve">ירושלמי  </w:t>
      </w:r>
      <w:r>
        <w:rPr>
          <w:rFonts w:asciiTheme="majorBidi" w:hAnsiTheme="majorBidi" w:cs="Times New Roman" w:hint="cs"/>
          <w:sz w:val="20"/>
          <w:szCs w:val="20"/>
          <w:rtl/>
        </w:rPr>
        <w:t>שם.</w:t>
      </w:r>
    </w:p>
  </w:footnote>
  <w:footnote w:id="21">
    <w:p w14:paraId="05647AA6" w14:textId="21015FA2" w:rsidR="005B3006" w:rsidRPr="007C30C6" w:rsidRDefault="005B3006" w:rsidP="007C30C6">
      <w:pPr>
        <w:pStyle w:val="a3"/>
        <w:spacing w:line="360" w:lineRule="auto"/>
        <w:rPr>
          <w:rFonts w:asciiTheme="majorBidi" w:hAnsiTheme="majorBidi" w:cstheme="majorBidi"/>
        </w:rPr>
      </w:pPr>
      <w:r w:rsidRPr="007C30C6">
        <w:rPr>
          <w:rStyle w:val="a5"/>
          <w:rFonts w:asciiTheme="majorBidi" w:hAnsiTheme="majorBidi" w:cstheme="majorBidi"/>
        </w:rPr>
        <w:footnoteRef/>
      </w:r>
      <w:r w:rsidRPr="007C30C6">
        <w:rPr>
          <w:rFonts w:asciiTheme="majorBidi" w:hAnsiTheme="majorBidi" w:cstheme="majorBidi"/>
          <w:rtl/>
        </w:rPr>
        <w:t xml:space="preserve"> עמוד 314.</w:t>
      </w:r>
    </w:p>
  </w:footnote>
  <w:footnote w:id="22">
    <w:p w14:paraId="33C827CD" w14:textId="12A5E065" w:rsidR="00587967" w:rsidRPr="00587967" w:rsidRDefault="00587967" w:rsidP="007C30C6">
      <w:pPr>
        <w:pStyle w:val="a3"/>
        <w:spacing w:line="360" w:lineRule="auto"/>
        <w:rPr>
          <w:rtl/>
        </w:rPr>
      </w:pPr>
      <w:r w:rsidRPr="00587967">
        <w:rPr>
          <w:rStyle w:val="a5"/>
        </w:rPr>
        <w:footnoteRef/>
      </w:r>
      <w:r w:rsidRPr="00587967">
        <w:rPr>
          <w:rtl/>
        </w:rPr>
        <w:t xml:space="preserve"> </w:t>
      </w:r>
      <w:r w:rsidRPr="00587967">
        <w:rPr>
          <w:rFonts w:asciiTheme="majorBidi" w:hAnsiTheme="majorBidi" w:cstheme="majorBidi"/>
          <w:rtl/>
        </w:rPr>
        <w:t>חידושי הגרי"ז סימן קלד</w:t>
      </w:r>
      <w:r w:rsidRPr="00587967">
        <w:rPr>
          <w:rFonts w:hint="cs"/>
          <w:rtl/>
        </w:rPr>
        <w:t>.</w:t>
      </w:r>
    </w:p>
  </w:footnote>
  <w:footnote w:id="23">
    <w:p w14:paraId="3668757D" w14:textId="465415A9" w:rsidR="002E5D58" w:rsidRPr="00A745A0" w:rsidRDefault="002E5D58" w:rsidP="007C30C6">
      <w:pPr>
        <w:pStyle w:val="a3"/>
        <w:spacing w:line="360" w:lineRule="auto"/>
        <w:rPr>
          <w:rFonts w:asciiTheme="majorBidi" w:hAnsiTheme="majorBidi" w:cstheme="majorBidi"/>
        </w:rPr>
      </w:pPr>
      <w:r w:rsidRPr="00A745A0">
        <w:rPr>
          <w:rStyle w:val="a5"/>
          <w:rFonts w:asciiTheme="majorBidi" w:hAnsiTheme="majorBidi" w:cstheme="majorBidi"/>
        </w:rPr>
        <w:footnoteRef/>
      </w:r>
      <w:r w:rsidRPr="00A745A0">
        <w:rPr>
          <w:rFonts w:asciiTheme="majorBidi" w:hAnsiTheme="majorBidi" w:cstheme="majorBidi"/>
          <w:rtl/>
        </w:rPr>
        <w:t xml:space="preserve"> רמב"ם הלכות נזירות פרק ה הלכה טו.</w:t>
      </w:r>
      <w:r w:rsidR="00A745A0" w:rsidRPr="00A745A0">
        <w:rPr>
          <w:rFonts w:asciiTheme="majorBidi" w:hAnsiTheme="majorBidi" w:cstheme="majorBidi"/>
          <w:rtl/>
        </w:rPr>
        <w:t xml:space="preserve"> אולי שתי הדעות עולות מסוף פרק ז בירושלמי.</w:t>
      </w:r>
    </w:p>
  </w:footnote>
  <w:footnote w:id="24">
    <w:p w14:paraId="603150C7" w14:textId="5B3BC07E" w:rsidR="007C30C6" w:rsidRPr="007C30C6" w:rsidRDefault="007C30C6" w:rsidP="007C30C6">
      <w:pPr>
        <w:pStyle w:val="a3"/>
        <w:spacing w:line="360" w:lineRule="auto"/>
        <w:rPr>
          <w:rFonts w:asciiTheme="majorBidi" w:hAnsiTheme="majorBidi" w:cstheme="majorBidi"/>
        </w:rPr>
      </w:pPr>
      <w:r w:rsidRPr="007C30C6">
        <w:rPr>
          <w:rStyle w:val="a5"/>
          <w:rFonts w:asciiTheme="majorBidi" w:hAnsiTheme="majorBidi" w:cstheme="majorBidi"/>
        </w:rPr>
        <w:footnoteRef/>
      </w:r>
      <w:r w:rsidRPr="007C30C6">
        <w:rPr>
          <w:rFonts w:asciiTheme="majorBidi" w:hAnsiTheme="majorBidi" w:cstheme="majorBidi"/>
          <w:rtl/>
        </w:rPr>
        <w:t xml:space="preserve"> דף מ עמוד א.</w:t>
      </w:r>
    </w:p>
  </w:footnote>
  <w:footnote w:id="25">
    <w:p w14:paraId="262E59D0" w14:textId="4B72EDB9" w:rsidR="007C30C6" w:rsidRPr="007C30C6" w:rsidRDefault="007C30C6" w:rsidP="007C30C6">
      <w:pPr>
        <w:pStyle w:val="a3"/>
        <w:spacing w:line="360" w:lineRule="auto"/>
        <w:rPr>
          <w:rFonts w:asciiTheme="majorBidi" w:hAnsiTheme="majorBidi" w:cstheme="majorBidi"/>
          <w:rtl/>
        </w:rPr>
      </w:pPr>
      <w:r w:rsidRPr="007C30C6">
        <w:rPr>
          <w:rStyle w:val="a5"/>
          <w:rFonts w:asciiTheme="majorBidi" w:hAnsiTheme="majorBidi" w:cstheme="majorBidi"/>
        </w:rPr>
        <w:footnoteRef/>
      </w:r>
      <w:r w:rsidRPr="007C30C6">
        <w:rPr>
          <w:rFonts w:asciiTheme="majorBidi" w:hAnsiTheme="majorBidi" w:cstheme="majorBidi"/>
          <w:rtl/>
        </w:rPr>
        <w:t xml:space="preserve"> עמוד 317, ועייין שם הערה 10.</w:t>
      </w:r>
    </w:p>
  </w:footnote>
  <w:footnote w:id="26">
    <w:p w14:paraId="308B6A2D" w14:textId="38F77FFD" w:rsidR="002E5D58" w:rsidRPr="007C30C6" w:rsidRDefault="002E5D58" w:rsidP="007C30C6">
      <w:pPr>
        <w:pStyle w:val="a3"/>
        <w:spacing w:line="360" w:lineRule="auto"/>
        <w:rPr>
          <w:rFonts w:asciiTheme="majorBidi" w:hAnsiTheme="majorBidi" w:cstheme="majorBidi"/>
        </w:rPr>
      </w:pPr>
      <w:r w:rsidRPr="007C30C6">
        <w:rPr>
          <w:rStyle w:val="a5"/>
          <w:rFonts w:asciiTheme="majorBidi" w:hAnsiTheme="majorBidi" w:cstheme="majorBidi"/>
        </w:rPr>
        <w:footnoteRef/>
      </w:r>
      <w:r w:rsidRPr="007C30C6">
        <w:rPr>
          <w:rFonts w:asciiTheme="majorBidi" w:hAnsiTheme="majorBidi" w:cstheme="majorBidi"/>
          <w:rtl/>
        </w:rPr>
        <w:t xml:space="preserve"> רמב"ם הלכות טומאת מת פרק ג הלכה ג.</w:t>
      </w:r>
      <w:r w:rsidR="007C30C6" w:rsidRPr="007C30C6">
        <w:rPr>
          <w:rFonts w:asciiTheme="majorBidi" w:hAnsiTheme="majorBidi" w:cstheme="majorBidi"/>
          <w:rtl/>
        </w:rPr>
        <w:t xml:space="preserve"> את הקושיה מעלה המשנה למלך</w:t>
      </w:r>
      <w:r w:rsidR="007C30C6">
        <w:rPr>
          <w:rFonts w:asciiTheme="majorBidi" w:hAnsiTheme="majorBidi" w:cstheme="majorBidi" w:hint="cs"/>
          <w:rtl/>
        </w:rPr>
        <w:t xml:space="preserve"> שם</w:t>
      </w:r>
      <w:r w:rsidR="007C30C6" w:rsidRPr="007C30C6">
        <w:rPr>
          <w:rFonts w:asciiTheme="majorBidi" w:hAnsiTheme="majorBidi" w:cstheme="majorBidi"/>
          <w:rtl/>
        </w:rPr>
        <w:t>.</w:t>
      </w:r>
    </w:p>
  </w:footnote>
  <w:footnote w:id="27">
    <w:p w14:paraId="69A1A9F7" w14:textId="29F03B37" w:rsidR="000E2BEA" w:rsidRPr="000E2BEA" w:rsidRDefault="000E2BEA" w:rsidP="000E2BEA">
      <w:pPr>
        <w:pStyle w:val="a3"/>
        <w:spacing w:line="360" w:lineRule="auto"/>
        <w:rPr>
          <w:rFonts w:asciiTheme="majorBidi" w:hAnsiTheme="majorBidi" w:cstheme="majorBidi"/>
        </w:rPr>
      </w:pPr>
      <w:r w:rsidRPr="000E2BEA">
        <w:rPr>
          <w:rStyle w:val="a5"/>
          <w:rFonts w:asciiTheme="majorBidi" w:hAnsiTheme="majorBidi" w:cstheme="majorBidi"/>
        </w:rPr>
        <w:footnoteRef/>
      </w:r>
      <w:r w:rsidRPr="000E2BEA">
        <w:rPr>
          <w:rFonts w:asciiTheme="majorBidi" w:hAnsiTheme="majorBidi" w:cstheme="majorBidi"/>
          <w:rtl/>
        </w:rPr>
        <w:t xml:space="preserve"> חידושי הגרי"ז מסכת נזיר דף נב עמוד ב</w:t>
      </w:r>
      <w:r>
        <w:rPr>
          <w:rFonts w:asciiTheme="majorBidi" w:hAnsiTheme="majorBidi" w:cstheme="majorBidi" w:hint="cs"/>
          <w:rtl/>
        </w:rPr>
        <w:t>. בהמשך דבריו ניסה לחלק בין נימוקי הרמב"ם, ש'אינה של תורה' הוא נימוק לאיסור ביאת מקדש בלבד. עיין בזה עמוד 322.</w:t>
      </w:r>
    </w:p>
  </w:footnote>
  <w:footnote w:id="28">
    <w:p w14:paraId="73A8CB93" w14:textId="5FA60121" w:rsidR="0062156E" w:rsidRPr="009E0867" w:rsidRDefault="0062156E" w:rsidP="009E0867">
      <w:pPr>
        <w:spacing w:after="0" w:line="360" w:lineRule="auto"/>
        <w:rPr>
          <w:rFonts w:asciiTheme="majorBidi" w:hAnsiTheme="majorBidi" w:cstheme="majorBidi"/>
          <w:sz w:val="20"/>
          <w:szCs w:val="20"/>
          <w:rtl/>
        </w:rPr>
      </w:pPr>
      <w:r w:rsidRPr="0062156E">
        <w:rPr>
          <w:rStyle w:val="a5"/>
          <w:sz w:val="20"/>
          <w:szCs w:val="20"/>
        </w:rPr>
        <w:footnoteRef/>
      </w:r>
      <w:r w:rsidRPr="0062156E">
        <w:rPr>
          <w:sz w:val="20"/>
          <w:szCs w:val="20"/>
          <w:rtl/>
        </w:rPr>
        <w:t xml:space="preserve"> </w:t>
      </w:r>
      <w:r w:rsidRPr="0062156E">
        <w:rPr>
          <w:rFonts w:asciiTheme="majorBidi" w:hAnsiTheme="majorBidi" w:cs="Times New Roman"/>
          <w:sz w:val="20"/>
          <w:szCs w:val="20"/>
          <w:rtl/>
        </w:rPr>
        <w:t>תוספתא מסכת שבועות פרק א</w:t>
      </w:r>
      <w:r w:rsidRPr="0062156E">
        <w:rPr>
          <w:rFonts w:asciiTheme="majorBidi" w:hAnsiTheme="majorBidi" w:cs="Times New Roman" w:hint="cs"/>
          <w:sz w:val="20"/>
          <w:szCs w:val="20"/>
          <w:rtl/>
        </w:rPr>
        <w:t xml:space="preserve"> </w:t>
      </w:r>
      <w:r w:rsidRPr="0062156E">
        <w:rPr>
          <w:rFonts w:asciiTheme="majorBidi" w:hAnsiTheme="majorBidi" w:cs="Times New Roman"/>
          <w:sz w:val="20"/>
          <w:szCs w:val="20"/>
          <w:rtl/>
        </w:rPr>
        <w:t>הלכ</w:t>
      </w:r>
      <w:r w:rsidRPr="0062156E">
        <w:rPr>
          <w:rFonts w:asciiTheme="majorBidi" w:hAnsiTheme="majorBidi" w:cs="Times New Roman" w:hint="cs"/>
          <w:sz w:val="20"/>
          <w:szCs w:val="20"/>
          <w:rtl/>
        </w:rPr>
        <w:t>ות</w:t>
      </w:r>
      <w:r w:rsidRPr="0062156E">
        <w:rPr>
          <w:rFonts w:asciiTheme="majorBidi" w:hAnsiTheme="majorBidi" w:cs="Times New Roman"/>
          <w:sz w:val="20"/>
          <w:szCs w:val="20"/>
          <w:rtl/>
        </w:rPr>
        <w:t xml:space="preserve"> ה</w:t>
      </w:r>
      <w:r w:rsidRPr="0062156E">
        <w:rPr>
          <w:rFonts w:asciiTheme="majorBidi" w:hAnsiTheme="majorBidi" w:cs="Times New Roman" w:hint="cs"/>
          <w:sz w:val="20"/>
          <w:szCs w:val="20"/>
          <w:rtl/>
        </w:rPr>
        <w:t>,ז</w:t>
      </w:r>
      <w:r w:rsidRPr="0062156E">
        <w:rPr>
          <w:rFonts w:asciiTheme="majorBidi" w:hAnsiTheme="majorBidi" w:cstheme="majorBidi" w:hint="cs"/>
          <w:sz w:val="20"/>
          <w:szCs w:val="20"/>
          <w:rtl/>
        </w:rPr>
        <w:t>.</w:t>
      </w:r>
    </w:p>
  </w:footnote>
  <w:footnote w:id="29">
    <w:p w14:paraId="485D3B3D" w14:textId="78B4C738" w:rsidR="000E2BEA" w:rsidRPr="009E0867" w:rsidRDefault="000E2BEA" w:rsidP="009046FB">
      <w:pPr>
        <w:pStyle w:val="a3"/>
        <w:spacing w:line="360" w:lineRule="auto"/>
        <w:rPr>
          <w:rFonts w:asciiTheme="majorBidi" w:hAnsiTheme="majorBidi" w:cstheme="majorBidi"/>
        </w:rPr>
      </w:pPr>
      <w:r w:rsidRPr="009E0867">
        <w:rPr>
          <w:rStyle w:val="a5"/>
          <w:rFonts w:asciiTheme="majorBidi" w:hAnsiTheme="majorBidi" w:cstheme="majorBidi"/>
        </w:rPr>
        <w:footnoteRef/>
      </w:r>
      <w:r w:rsidRPr="009E0867">
        <w:rPr>
          <w:rFonts w:asciiTheme="majorBidi" w:hAnsiTheme="majorBidi" w:cstheme="majorBidi"/>
          <w:rtl/>
        </w:rPr>
        <w:t xml:space="preserve"> </w:t>
      </w:r>
      <w:r w:rsidR="009E0867">
        <w:rPr>
          <w:rFonts w:asciiTheme="majorBidi" w:hAnsiTheme="majorBidi" w:cstheme="majorBidi" w:hint="cs"/>
          <w:rtl/>
        </w:rPr>
        <w:t xml:space="preserve"> עמוד 321</w:t>
      </w:r>
      <w:r w:rsidRPr="009E0867">
        <w:rPr>
          <w:rFonts w:asciiTheme="majorBidi" w:hAnsiTheme="majorBidi" w:cstheme="majorBidi"/>
          <w:rtl/>
        </w:rPr>
        <w:t>.</w:t>
      </w:r>
    </w:p>
  </w:footnote>
  <w:footnote w:id="30">
    <w:p w14:paraId="30EF698D" w14:textId="3B3ACCA1" w:rsidR="00FF4797" w:rsidRDefault="00FF4797">
      <w:pPr>
        <w:pStyle w:val="a3"/>
        <w:rPr>
          <w:rFonts w:ascii="David" w:hAnsi="David" w:cs="David"/>
          <w:rtl/>
        </w:rPr>
      </w:pPr>
      <w:r w:rsidRPr="00FF4797">
        <w:rPr>
          <w:rStyle w:val="a5"/>
          <w:rFonts w:ascii="David" w:hAnsi="David" w:cs="David"/>
        </w:rPr>
        <w:footnoteRef/>
      </w:r>
      <w:r w:rsidRPr="00FF4797">
        <w:rPr>
          <w:rFonts w:ascii="David" w:hAnsi="David" w:cs="David"/>
          <w:rtl/>
        </w:rPr>
        <w:t xml:space="preserve"> </w:t>
      </w:r>
      <w:r w:rsidRPr="00FF4797">
        <w:rPr>
          <w:rFonts w:ascii="David" w:eastAsia="Times New Roman" w:hAnsi="David" w:cs="David"/>
          <w:noProof w:val="0"/>
          <w:color w:val="222222"/>
          <w:rtl/>
        </w:rPr>
        <w:t>"</w:t>
      </w:r>
      <w:r w:rsidRPr="00E5084F">
        <w:rPr>
          <w:rFonts w:ascii="David" w:eastAsia="Times New Roman" w:hAnsi="David" w:cs="David"/>
          <w:noProof w:val="0"/>
          <w:color w:val="222222"/>
          <w:rtl/>
        </w:rPr>
        <w:t>יש בספרי טעות הדפוס שהרי אבר מן החי ואבר מן המת שאין עליהן בשר כראוי אין הנזיר מגלח עליהן כמו שיתבאר</w:t>
      </w:r>
      <w:r>
        <w:rPr>
          <w:rFonts w:ascii="David" w:eastAsia="Times New Roman" w:hAnsi="David" w:cs="David" w:hint="cs"/>
          <w:noProof w:val="0"/>
          <w:color w:val="222222"/>
          <w:rtl/>
        </w:rPr>
        <w:t xml:space="preserve">. </w:t>
      </w:r>
      <w:r w:rsidRPr="00E5084F">
        <w:rPr>
          <w:rFonts w:ascii="David" w:eastAsia="Times New Roman" w:hAnsi="David" w:cs="David"/>
          <w:noProof w:val="0"/>
          <w:color w:val="222222"/>
          <w:rtl/>
        </w:rPr>
        <w:t xml:space="preserve"> ואולי אין כאן טעות והספרי סובר </w:t>
      </w:r>
      <w:proofErr w:type="spellStart"/>
      <w:r w:rsidRPr="00E5084F">
        <w:rPr>
          <w:rFonts w:ascii="David" w:eastAsia="Times New Roman" w:hAnsi="David" w:cs="David"/>
          <w:noProof w:val="0"/>
          <w:color w:val="222222"/>
          <w:rtl/>
        </w:rPr>
        <w:t>כר"ל</w:t>
      </w:r>
      <w:proofErr w:type="spellEnd"/>
      <w:r w:rsidRPr="00E5084F">
        <w:rPr>
          <w:rFonts w:ascii="David" w:eastAsia="Times New Roman" w:hAnsi="David" w:cs="David"/>
          <w:noProof w:val="0"/>
          <w:color w:val="222222"/>
          <w:rtl/>
        </w:rPr>
        <w:t xml:space="preserve"> </w:t>
      </w:r>
      <w:proofErr w:type="spellStart"/>
      <w:r w:rsidRPr="00E5084F">
        <w:rPr>
          <w:rFonts w:ascii="David" w:eastAsia="Times New Roman" w:hAnsi="David" w:cs="David"/>
          <w:noProof w:val="0"/>
          <w:color w:val="222222"/>
          <w:rtl/>
        </w:rPr>
        <w:t>דאמר</w:t>
      </w:r>
      <w:proofErr w:type="spellEnd"/>
      <w:r w:rsidRPr="00E5084F">
        <w:rPr>
          <w:rFonts w:ascii="David" w:eastAsia="Times New Roman" w:hAnsi="David" w:cs="David"/>
          <w:noProof w:val="0"/>
          <w:color w:val="222222"/>
          <w:rtl/>
        </w:rPr>
        <w:t xml:space="preserve"> </w:t>
      </w:r>
      <w:r w:rsidRPr="00E5084F">
        <w:rPr>
          <w:rFonts w:ascii="David" w:eastAsia="Times New Roman" w:hAnsi="David" w:cs="David"/>
          <w:noProof w:val="0"/>
          <w:color w:val="222222"/>
          <w:sz w:val="16"/>
          <w:szCs w:val="16"/>
          <w:rtl/>
        </w:rPr>
        <w:t>בנזיר [נ"ג ב]</w:t>
      </w:r>
      <w:r w:rsidRPr="00E5084F">
        <w:rPr>
          <w:rFonts w:ascii="David" w:eastAsia="Times New Roman" w:hAnsi="David" w:cs="David"/>
          <w:noProof w:val="0"/>
          <w:color w:val="222222"/>
          <w:rtl/>
        </w:rPr>
        <w:t xml:space="preserve"> </w:t>
      </w:r>
      <w:proofErr w:type="spellStart"/>
      <w:r w:rsidRPr="00E5084F">
        <w:rPr>
          <w:rFonts w:ascii="David" w:eastAsia="Times New Roman" w:hAnsi="David" w:cs="David"/>
          <w:noProof w:val="0"/>
          <w:color w:val="222222"/>
          <w:rtl/>
        </w:rPr>
        <w:t>דמגלח</w:t>
      </w:r>
      <w:proofErr w:type="spellEnd"/>
      <w:r w:rsidRPr="00E5084F">
        <w:rPr>
          <w:rFonts w:ascii="David" w:eastAsia="Times New Roman" w:hAnsi="David" w:cs="David"/>
          <w:noProof w:val="0"/>
          <w:color w:val="222222"/>
          <w:rtl/>
        </w:rPr>
        <w:t xml:space="preserve"> עליהן ע"ש ואנן </w:t>
      </w:r>
      <w:proofErr w:type="spellStart"/>
      <w:r w:rsidRPr="00E5084F">
        <w:rPr>
          <w:rFonts w:ascii="David" w:eastAsia="Times New Roman" w:hAnsi="David" w:cs="David"/>
          <w:noProof w:val="0"/>
          <w:color w:val="222222"/>
          <w:rtl/>
        </w:rPr>
        <w:t>קיי"ל</w:t>
      </w:r>
      <w:proofErr w:type="spellEnd"/>
      <w:r w:rsidRPr="00E5084F">
        <w:rPr>
          <w:rFonts w:ascii="David" w:eastAsia="Times New Roman" w:hAnsi="David" w:cs="David"/>
          <w:noProof w:val="0"/>
          <w:color w:val="222222"/>
          <w:rtl/>
        </w:rPr>
        <w:t xml:space="preserve"> </w:t>
      </w:r>
      <w:proofErr w:type="spellStart"/>
      <w:r w:rsidRPr="00E5084F">
        <w:rPr>
          <w:rFonts w:ascii="David" w:eastAsia="Times New Roman" w:hAnsi="David" w:cs="David"/>
          <w:noProof w:val="0"/>
          <w:color w:val="222222"/>
          <w:rtl/>
        </w:rPr>
        <w:t>כר"י</w:t>
      </w:r>
      <w:proofErr w:type="spellEnd"/>
      <w:r w:rsidRPr="00E5084F">
        <w:rPr>
          <w:rFonts w:ascii="David" w:eastAsia="Times New Roman" w:hAnsi="David" w:cs="David"/>
          <w:noProof w:val="0"/>
          <w:color w:val="222222"/>
          <w:rtl/>
        </w:rPr>
        <w:t xml:space="preserve"> שם דאינו מגלח ועל עצם כשעורה מגלח</w:t>
      </w:r>
      <w:r w:rsidRPr="00FF4797">
        <w:rPr>
          <w:rFonts w:ascii="David" w:eastAsia="Times New Roman" w:hAnsi="David" w:cs="David"/>
          <w:noProof w:val="0"/>
          <w:color w:val="222222"/>
          <w:rtl/>
        </w:rPr>
        <w:t>"</w:t>
      </w:r>
      <w:r>
        <w:rPr>
          <w:rFonts w:ascii="David" w:eastAsia="Times New Roman" w:hAnsi="David" w:cs="David" w:hint="cs"/>
          <w:noProof w:val="0"/>
          <w:color w:val="222222"/>
          <w:rtl/>
        </w:rPr>
        <w:t xml:space="preserve"> </w:t>
      </w:r>
      <w:r>
        <w:rPr>
          <w:rFonts w:asciiTheme="majorBidi" w:hAnsiTheme="majorBidi" w:cstheme="majorBidi" w:hint="cs"/>
          <w:rtl/>
        </w:rPr>
        <w:t>(</w:t>
      </w:r>
      <w:r w:rsidRPr="00FF4797">
        <w:rPr>
          <w:rFonts w:asciiTheme="majorBidi" w:hAnsiTheme="majorBidi" w:cstheme="majorBidi"/>
          <w:rtl/>
        </w:rPr>
        <w:t xml:space="preserve">ערוך השולחן העתיד סימן כא סעיף </w:t>
      </w:r>
      <w:r>
        <w:rPr>
          <w:rFonts w:asciiTheme="majorBidi" w:hAnsiTheme="majorBidi" w:cstheme="majorBidi" w:hint="cs"/>
          <w:rtl/>
        </w:rPr>
        <w:t>ה)</w:t>
      </w:r>
      <w:r w:rsidRPr="00FF4797">
        <w:rPr>
          <w:rFonts w:asciiTheme="majorBidi" w:hAnsiTheme="majorBidi" w:cstheme="majorBidi"/>
          <w:rtl/>
        </w:rPr>
        <w:t>.</w:t>
      </w:r>
    </w:p>
    <w:p w14:paraId="5A5AF6F9" w14:textId="77777777" w:rsidR="00FF4797" w:rsidRPr="00FF4797" w:rsidRDefault="00FF4797">
      <w:pPr>
        <w:pStyle w:val="a3"/>
        <w:rPr>
          <w:rFonts w:ascii="David" w:hAnsi="David" w:cs="David"/>
          <w:rtl/>
        </w:rPr>
      </w:pPr>
    </w:p>
  </w:footnote>
  <w:footnote w:id="31">
    <w:p w14:paraId="7FA1EAB0" w14:textId="604991E6" w:rsidR="0087418D" w:rsidRPr="009E0867" w:rsidRDefault="0087418D" w:rsidP="009046FB">
      <w:pPr>
        <w:spacing w:after="0" w:line="360" w:lineRule="auto"/>
        <w:rPr>
          <w:rFonts w:asciiTheme="majorBidi" w:hAnsiTheme="majorBidi" w:cstheme="majorBidi"/>
          <w:sz w:val="20"/>
          <w:szCs w:val="20"/>
          <w:rtl/>
        </w:rPr>
      </w:pPr>
      <w:r w:rsidRPr="009E0867">
        <w:rPr>
          <w:rStyle w:val="a5"/>
          <w:rFonts w:asciiTheme="majorBidi" w:hAnsiTheme="majorBidi" w:cstheme="majorBidi"/>
          <w:sz w:val="20"/>
          <w:szCs w:val="20"/>
        </w:rPr>
        <w:footnoteRef/>
      </w:r>
      <w:r w:rsidRPr="009E0867">
        <w:rPr>
          <w:rFonts w:asciiTheme="majorBidi" w:hAnsiTheme="majorBidi" w:cstheme="majorBidi"/>
          <w:sz w:val="20"/>
          <w:szCs w:val="20"/>
          <w:rtl/>
        </w:rPr>
        <w:t xml:space="preserve"> </w:t>
      </w:r>
      <w:r w:rsidRPr="009E0867">
        <w:rPr>
          <w:rFonts w:asciiTheme="majorBidi" w:hAnsiTheme="majorBidi" w:cstheme="majorBidi"/>
          <w:sz w:val="20"/>
          <w:szCs w:val="20"/>
          <w:rtl/>
        </w:rPr>
        <w:t>פרק ז משנה ב, בהשמטת המילים 'ועל'.</w:t>
      </w:r>
    </w:p>
  </w:footnote>
  <w:footnote w:id="32">
    <w:p w14:paraId="7507A411" w14:textId="2258AEAA" w:rsidR="0087418D" w:rsidRPr="009E0867" w:rsidRDefault="0087418D" w:rsidP="009046FB">
      <w:pPr>
        <w:pStyle w:val="a3"/>
        <w:spacing w:line="360" w:lineRule="auto"/>
        <w:rPr>
          <w:rFonts w:asciiTheme="majorBidi" w:hAnsiTheme="majorBidi" w:cstheme="majorBidi"/>
          <w:rtl/>
        </w:rPr>
      </w:pPr>
      <w:r w:rsidRPr="009E0867">
        <w:rPr>
          <w:rStyle w:val="a5"/>
          <w:rFonts w:asciiTheme="majorBidi" w:hAnsiTheme="majorBidi" w:cstheme="majorBidi"/>
        </w:rPr>
        <w:footnoteRef/>
      </w:r>
      <w:r w:rsidRPr="009E0867">
        <w:rPr>
          <w:rFonts w:asciiTheme="majorBidi" w:hAnsiTheme="majorBidi" w:cstheme="majorBidi"/>
          <w:rtl/>
        </w:rPr>
        <w:t xml:space="preserve"> שם משנה ג.</w:t>
      </w:r>
    </w:p>
  </w:footnote>
  <w:footnote w:id="33">
    <w:p w14:paraId="7453A677" w14:textId="016F04EB" w:rsidR="009046FB" w:rsidRPr="009E0867" w:rsidRDefault="009046FB" w:rsidP="009046FB">
      <w:pPr>
        <w:spacing w:after="0" w:line="360" w:lineRule="auto"/>
        <w:rPr>
          <w:rFonts w:asciiTheme="majorBidi" w:hAnsiTheme="majorBidi" w:cstheme="majorBidi"/>
          <w:sz w:val="20"/>
          <w:szCs w:val="20"/>
          <w:rtl/>
        </w:rPr>
      </w:pPr>
      <w:r w:rsidRPr="009E0867">
        <w:rPr>
          <w:rStyle w:val="a5"/>
          <w:rFonts w:asciiTheme="majorBidi" w:hAnsiTheme="majorBidi" w:cstheme="majorBidi"/>
          <w:sz w:val="20"/>
          <w:szCs w:val="20"/>
        </w:rPr>
        <w:footnoteRef/>
      </w:r>
      <w:r w:rsidRPr="009E0867">
        <w:rPr>
          <w:rFonts w:asciiTheme="majorBidi" w:hAnsiTheme="majorBidi" w:cstheme="majorBidi"/>
          <w:sz w:val="20"/>
          <w:szCs w:val="20"/>
          <w:rtl/>
        </w:rPr>
        <w:t xml:space="preserve"> רמב"ם הלכות טומאת מת פרק ג הלכה ג.</w:t>
      </w:r>
    </w:p>
  </w:footnote>
  <w:footnote w:id="34">
    <w:p w14:paraId="535437E3" w14:textId="1B1C4F1D" w:rsidR="009046FB" w:rsidRPr="009E0867" w:rsidRDefault="009046FB" w:rsidP="009046FB">
      <w:pPr>
        <w:pStyle w:val="a3"/>
        <w:spacing w:line="360" w:lineRule="auto"/>
        <w:rPr>
          <w:rFonts w:asciiTheme="majorBidi" w:hAnsiTheme="majorBidi" w:cstheme="majorBidi"/>
        </w:rPr>
      </w:pPr>
      <w:r w:rsidRPr="009E0867">
        <w:rPr>
          <w:rStyle w:val="a5"/>
          <w:rFonts w:asciiTheme="majorBidi" w:hAnsiTheme="majorBidi" w:cstheme="majorBidi"/>
        </w:rPr>
        <w:footnoteRef/>
      </w:r>
      <w:r w:rsidRPr="009E0867">
        <w:rPr>
          <w:rFonts w:asciiTheme="majorBidi" w:hAnsiTheme="majorBidi" w:cstheme="majorBidi"/>
          <w:rtl/>
        </w:rPr>
        <w:t xml:space="preserve"> עמוד .323</w:t>
      </w:r>
    </w:p>
  </w:footnote>
  <w:footnote w:id="35">
    <w:p w14:paraId="266C0FC7" w14:textId="6BFF23E7" w:rsidR="009E0867" w:rsidRPr="009E0867" w:rsidRDefault="009E0867">
      <w:pPr>
        <w:pStyle w:val="a3"/>
        <w:rPr>
          <w:rFonts w:asciiTheme="majorBidi" w:hAnsiTheme="majorBidi" w:cstheme="majorBidi"/>
          <w:rtl/>
        </w:rPr>
      </w:pPr>
      <w:r w:rsidRPr="009E0867">
        <w:rPr>
          <w:rStyle w:val="a5"/>
          <w:rFonts w:asciiTheme="majorBidi" w:hAnsiTheme="majorBidi" w:cstheme="majorBidi"/>
        </w:rPr>
        <w:footnoteRef/>
      </w:r>
      <w:r w:rsidRPr="009E0867">
        <w:rPr>
          <w:rFonts w:asciiTheme="majorBidi" w:hAnsiTheme="majorBidi" w:cstheme="majorBidi"/>
          <w:rtl/>
        </w:rPr>
        <w:t xml:space="preserve"> עמוד 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26096167"/>
      <w:docPartObj>
        <w:docPartGallery w:val="Page Numbers (Top of Page)"/>
        <w:docPartUnique/>
      </w:docPartObj>
    </w:sdtPr>
    <w:sdtContent>
      <w:p w14:paraId="7FA2E2C1" w14:textId="6BB32737" w:rsidR="008E1FB2" w:rsidRDefault="008E1FB2">
        <w:pPr>
          <w:pStyle w:val="a7"/>
        </w:pPr>
        <w:r>
          <w:fldChar w:fldCharType="begin"/>
        </w:r>
        <w:r>
          <w:instrText>PAGE   \* MERGEFORMAT</w:instrText>
        </w:r>
        <w:r>
          <w:fldChar w:fldCharType="separate"/>
        </w:r>
        <w:r>
          <w:rPr>
            <w:rtl/>
            <w:lang w:val="he-IL"/>
          </w:rPr>
          <w:t>2</w:t>
        </w:r>
        <w:r>
          <w:fldChar w:fldCharType="end"/>
        </w:r>
      </w:p>
    </w:sdtContent>
  </w:sdt>
  <w:p w14:paraId="50E59E4F" w14:textId="77777777" w:rsidR="008E1FB2" w:rsidRDefault="008E1F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71330"/>
    <w:multiLevelType w:val="hybridMultilevel"/>
    <w:tmpl w:val="9650148C"/>
    <w:lvl w:ilvl="0" w:tplc="9C2A72EE">
      <w:start w:val="1"/>
      <w:numFmt w:val="hebrew1"/>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428D1"/>
    <w:multiLevelType w:val="hybridMultilevel"/>
    <w:tmpl w:val="FAD8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902848">
    <w:abstractNumId w:val="0"/>
  </w:num>
  <w:num w:numId="2" w16cid:durableId="186104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3B98"/>
    <w:rsid w:val="000D15CA"/>
    <w:rsid w:val="000E2BEA"/>
    <w:rsid w:val="000F0223"/>
    <w:rsid w:val="001834EA"/>
    <w:rsid w:val="001F5043"/>
    <w:rsid w:val="00216FE7"/>
    <w:rsid w:val="00233818"/>
    <w:rsid w:val="00256F81"/>
    <w:rsid w:val="0026798B"/>
    <w:rsid w:val="00293330"/>
    <w:rsid w:val="002D5E5C"/>
    <w:rsid w:val="002E5D58"/>
    <w:rsid w:val="00343E86"/>
    <w:rsid w:val="004377E0"/>
    <w:rsid w:val="004A2F38"/>
    <w:rsid w:val="00587967"/>
    <w:rsid w:val="005B3006"/>
    <w:rsid w:val="005E1BFC"/>
    <w:rsid w:val="0062156E"/>
    <w:rsid w:val="006218EE"/>
    <w:rsid w:val="00654AAF"/>
    <w:rsid w:val="00765048"/>
    <w:rsid w:val="007C30C6"/>
    <w:rsid w:val="0083470E"/>
    <w:rsid w:val="0087418D"/>
    <w:rsid w:val="008820A1"/>
    <w:rsid w:val="008A6170"/>
    <w:rsid w:val="008E1FB2"/>
    <w:rsid w:val="009046FB"/>
    <w:rsid w:val="009E0867"/>
    <w:rsid w:val="00A745A0"/>
    <w:rsid w:val="00A81580"/>
    <w:rsid w:val="00A82CF4"/>
    <w:rsid w:val="00B560BE"/>
    <w:rsid w:val="00CE3B98"/>
    <w:rsid w:val="00D116B0"/>
    <w:rsid w:val="00D2031B"/>
    <w:rsid w:val="00D20946"/>
    <w:rsid w:val="00D306F1"/>
    <w:rsid w:val="00DB4F26"/>
    <w:rsid w:val="00DC1BF5"/>
    <w:rsid w:val="00FB6509"/>
    <w:rsid w:val="00FF4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A70C"/>
  <w15:docId w15:val="{A3DAA8BB-0630-4C1D-9376-CD55E2DA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116B0"/>
    <w:pPr>
      <w:spacing w:after="0" w:line="240" w:lineRule="auto"/>
    </w:pPr>
    <w:rPr>
      <w:sz w:val="20"/>
      <w:szCs w:val="20"/>
    </w:rPr>
  </w:style>
  <w:style w:type="character" w:customStyle="1" w:styleId="a4">
    <w:name w:val="טקסט הערת שוליים תו"/>
    <w:basedOn w:val="a0"/>
    <w:link w:val="a3"/>
    <w:uiPriority w:val="99"/>
    <w:semiHidden/>
    <w:rsid w:val="00D116B0"/>
    <w:rPr>
      <w:noProof/>
      <w:sz w:val="20"/>
      <w:szCs w:val="20"/>
    </w:rPr>
  </w:style>
  <w:style w:type="character" w:styleId="a5">
    <w:name w:val="footnote reference"/>
    <w:basedOn w:val="a0"/>
    <w:uiPriority w:val="99"/>
    <w:semiHidden/>
    <w:unhideWhenUsed/>
    <w:rsid w:val="00D116B0"/>
    <w:rPr>
      <w:vertAlign w:val="superscript"/>
    </w:rPr>
  </w:style>
  <w:style w:type="paragraph" w:styleId="a6">
    <w:name w:val="List Paragraph"/>
    <w:basedOn w:val="a"/>
    <w:uiPriority w:val="34"/>
    <w:qFormat/>
    <w:rsid w:val="008820A1"/>
    <w:pPr>
      <w:ind w:left="720"/>
      <w:contextualSpacing/>
    </w:pPr>
  </w:style>
  <w:style w:type="paragraph" w:styleId="a7">
    <w:name w:val="header"/>
    <w:basedOn w:val="a"/>
    <w:link w:val="a8"/>
    <w:uiPriority w:val="99"/>
    <w:unhideWhenUsed/>
    <w:rsid w:val="008E1FB2"/>
    <w:pPr>
      <w:tabs>
        <w:tab w:val="center" w:pos="4153"/>
        <w:tab w:val="right" w:pos="8306"/>
      </w:tabs>
      <w:spacing w:after="0" w:line="240" w:lineRule="auto"/>
    </w:pPr>
  </w:style>
  <w:style w:type="character" w:customStyle="1" w:styleId="a8">
    <w:name w:val="כותרת עליונה תו"/>
    <w:basedOn w:val="a0"/>
    <w:link w:val="a7"/>
    <w:uiPriority w:val="99"/>
    <w:rsid w:val="008E1FB2"/>
    <w:rPr>
      <w:noProof/>
    </w:rPr>
  </w:style>
  <w:style w:type="paragraph" w:styleId="a9">
    <w:name w:val="footer"/>
    <w:basedOn w:val="a"/>
    <w:link w:val="aa"/>
    <w:uiPriority w:val="99"/>
    <w:unhideWhenUsed/>
    <w:rsid w:val="008E1FB2"/>
    <w:pPr>
      <w:tabs>
        <w:tab w:val="center" w:pos="4153"/>
        <w:tab w:val="right" w:pos="8306"/>
      </w:tabs>
      <w:spacing w:after="0" w:line="240" w:lineRule="auto"/>
    </w:pPr>
  </w:style>
  <w:style w:type="character" w:customStyle="1" w:styleId="aa">
    <w:name w:val="כותרת תחתונה תו"/>
    <w:basedOn w:val="a0"/>
    <w:link w:val="a9"/>
    <w:uiPriority w:val="99"/>
    <w:rsid w:val="008E1FB2"/>
    <w:rPr>
      <w:noProof/>
    </w:rPr>
  </w:style>
  <w:style w:type="table" w:styleId="ab">
    <w:name w:val="Table Grid"/>
    <w:basedOn w:val="a1"/>
    <w:uiPriority w:val="39"/>
    <w:rsid w:val="00874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67D29-CD32-4E0D-A8C8-D4E811D9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6</Pages>
  <Words>1679</Words>
  <Characters>8398</Characters>
  <Application>Microsoft Office Word</Application>
  <DocSecurity>0</DocSecurity>
  <Lines>69</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2022-11-21T06:37:00Z</dcterms:created>
  <dcterms:modified xsi:type="dcterms:W3CDTF">2022-12-23T11:23:00Z</dcterms:modified>
</cp:coreProperties>
</file>