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F7A81" w14:textId="328FC15F" w:rsidR="008603C3" w:rsidRPr="008603C3" w:rsidRDefault="008603C3" w:rsidP="008603C3">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8603C3">
        <w:rPr>
          <w:rFonts w:asciiTheme="majorBidi" w:hAnsiTheme="majorBidi" w:cstheme="majorBidi"/>
          <w:sz w:val="24"/>
          <w:szCs w:val="24"/>
          <w:rtl/>
        </w:rPr>
        <w:t xml:space="preserve"> מסכת נזיר דף ח עמוד א</w:t>
      </w:r>
    </w:p>
    <w:p w14:paraId="2ADB9C47" w14:textId="2D82A125" w:rsidR="008603C3" w:rsidRPr="008603C3" w:rsidRDefault="008603C3" w:rsidP="008603C3">
      <w:pPr>
        <w:spacing w:after="0" w:line="360" w:lineRule="auto"/>
        <w:rPr>
          <w:rFonts w:asciiTheme="majorBidi" w:hAnsiTheme="majorBidi" w:cstheme="majorBidi"/>
          <w:sz w:val="24"/>
          <w:szCs w:val="24"/>
          <w:rtl/>
        </w:rPr>
      </w:pPr>
      <w:r w:rsidRPr="008603C3">
        <w:rPr>
          <w:rFonts w:asciiTheme="majorBidi" w:hAnsiTheme="majorBidi" w:cstheme="majorBidi"/>
          <w:sz w:val="24"/>
          <w:szCs w:val="24"/>
          <w:rtl/>
        </w:rPr>
        <w:t xml:space="preserve"> הריני נזיר מלא הבית או מלא הקופה, בודקין אותו, אם אמר אחת גדולה נזרתי - נזיר ל' יום, ואם אמר סתם נזרתי - רואין את הקופה כאילו היא מלאה חרדל, ונזיר כל ימיו.</w:t>
      </w:r>
      <w:r w:rsidR="00580964">
        <w:rPr>
          <w:rFonts w:asciiTheme="majorBidi" w:hAnsiTheme="majorBidi" w:cstheme="majorBidi" w:hint="cs"/>
          <w:sz w:val="24"/>
          <w:szCs w:val="24"/>
          <w:rtl/>
        </w:rPr>
        <w:t>..</w:t>
      </w:r>
    </w:p>
    <w:p w14:paraId="0FDD8B9F" w14:textId="1DB6008A" w:rsidR="00A82CF4" w:rsidRDefault="008603C3" w:rsidP="008603C3">
      <w:pPr>
        <w:spacing w:after="0" w:line="360" w:lineRule="auto"/>
        <w:rPr>
          <w:rFonts w:asciiTheme="majorBidi" w:hAnsiTheme="majorBidi" w:cstheme="majorBidi"/>
          <w:sz w:val="24"/>
          <w:szCs w:val="24"/>
          <w:rtl/>
        </w:rPr>
      </w:pPr>
      <w:r w:rsidRPr="008603C3">
        <w:rPr>
          <w:rFonts w:asciiTheme="majorBidi" w:hAnsiTheme="majorBidi" w:cstheme="majorBidi"/>
          <w:sz w:val="24"/>
          <w:szCs w:val="24"/>
          <w:rtl/>
        </w:rPr>
        <w:t>גמ'. רואין את הקופה כאילו מלאה חרדל, ונזיר כל ימיו. ואמאי? וליחזייה כאילו מלאה קישואין ודלועין, ותיהוי ליה תקנתא! אמר חזקיה: במחלוקת שנויה, ור"ש היא, דאמר: אדם מכניס את עצמו לדבר שספיקו חמור מודאי; דתניא: הריני נזיר ע"מ שיהא בכרי זה מאה כור, והלך ומצאו שנגנב או שאבד - ר"ש אוסר, שספק נזירות להחמיר; ר' יהודה מתיר, שספק נזירות להקל. רבי יוחנן אמר: אפילו תימא רבי יהודה, התם לא נחית ליה לנזירות, הכא נחית ליה לנזירות</w:t>
      </w:r>
    </w:p>
    <w:p w14:paraId="6A3F62BB" w14:textId="076CD9D1" w:rsidR="008603C3" w:rsidRDefault="008603C3" w:rsidP="008603C3">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ספק נזירות להקל</w:t>
      </w:r>
    </w:p>
    <w:p w14:paraId="6B93D0DC" w14:textId="409D750A" w:rsidR="00580964" w:rsidRPr="00413035" w:rsidRDefault="00413035" w:rsidP="00413035">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א.</w:t>
      </w:r>
      <w:r w:rsidR="00580964" w:rsidRPr="00413035">
        <w:rPr>
          <w:rFonts w:asciiTheme="majorBidi" w:hAnsiTheme="majorBidi" w:cstheme="majorBidi" w:hint="cs"/>
          <w:b/>
          <w:bCs/>
          <w:sz w:val="24"/>
          <w:szCs w:val="24"/>
          <w:rtl/>
        </w:rPr>
        <w:t xml:space="preserve">סיכום הסוגיה </w:t>
      </w:r>
      <w:r w:rsidR="00580964" w:rsidRPr="00413035">
        <w:rPr>
          <w:rFonts w:asciiTheme="majorBidi" w:hAnsiTheme="majorBidi" w:cstheme="majorBidi" w:hint="cs"/>
          <w:sz w:val="24"/>
          <w:szCs w:val="24"/>
          <w:rtl/>
        </w:rPr>
        <w:t xml:space="preserve"> הנודר נזירות על מנת שיש בכרי מאה כור, ואבד הכ</w:t>
      </w:r>
      <w:r>
        <w:rPr>
          <w:rFonts w:asciiTheme="majorBidi" w:hAnsiTheme="majorBidi" w:cstheme="majorBidi" w:hint="cs"/>
          <w:sz w:val="24"/>
          <w:szCs w:val="24"/>
          <w:rtl/>
        </w:rPr>
        <w:t>רי</w:t>
      </w:r>
      <w:r w:rsidR="00580964" w:rsidRPr="00413035">
        <w:rPr>
          <w:rFonts w:asciiTheme="majorBidi" w:hAnsiTheme="majorBidi" w:cstheme="majorBidi" w:hint="cs"/>
          <w:sz w:val="24"/>
          <w:szCs w:val="24"/>
          <w:rtl/>
        </w:rPr>
        <w:t xml:space="preserve">, נחלקו בו תנאים. לדעת רבי שמעון </w:t>
      </w:r>
      <w:r w:rsidRPr="00413035">
        <w:rPr>
          <w:rFonts w:asciiTheme="majorBidi" w:hAnsiTheme="majorBidi" w:cstheme="majorBidi" w:hint="cs"/>
          <w:sz w:val="24"/>
          <w:szCs w:val="24"/>
          <w:rtl/>
        </w:rPr>
        <w:t>סתם נזירות</w:t>
      </w:r>
      <w:r w:rsidR="00580964" w:rsidRPr="00413035">
        <w:rPr>
          <w:rFonts w:asciiTheme="majorBidi" w:hAnsiTheme="majorBidi" w:cstheme="majorBidi" w:hint="cs"/>
          <w:sz w:val="24"/>
          <w:szCs w:val="24"/>
          <w:rtl/>
        </w:rPr>
        <w:t xml:space="preserve"> להחמיר, ועליו לנהוג </w:t>
      </w:r>
      <w:r w:rsidRPr="00413035">
        <w:rPr>
          <w:rFonts w:asciiTheme="majorBidi" w:hAnsiTheme="majorBidi" w:cstheme="majorBidi" w:hint="cs"/>
          <w:sz w:val="24"/>
          <w:szCs w:val="24"/>
          <w:rtl/>
        </w:rPr>
        <w:t>נזירות</w:t>
      </w:r>
      <w:r w:rsidR="00580964" w:rsidRPr="00413035">
        <w:rPr>
          <w:rFonts w:asciiTheme="majorBidi" w:hAnsiTheme="majorBidi" w:cstheme="majorBidi" w:hint="cs"/>
          <w:sz w:val="24"/>
          <w:szCs w:val="24"/>
          <w:rtl/>
        </w:rPr>
        <w:t xml:space="preserve">. </w:t>
      </w:r>
      <w:r>
        <w:rPr>
          <w:rFonts w:asciiTheme="majorBidi" w:hAnsiTheme="majorBidi" w:cstheme="majorBidi" w:hint="cs"/>
          <w:sz w:val="24"/>
          <w:szCs w:val="24"/>
          <w:rtl/>
        </w:rPr>
        <w:t>כדי לצאת מן הספקות הוא</w:t>
      </w:r>
    </w:p>
    <w:p w14:paraId="59198B9C" w14:textId="57C4BFE9" w:rsidR="00C64441" w:rsidRPr="00C64441" w:rsidRDefault="00580964" w:rsidP="00C64441">
      <w:pPr>
        <w:spacing w:after="0" w:line="360" w:lineRule="auto"/>
        <w:rPr>
          <w:rFonts w:asciiTheme="majorBidi" w:hAnsiTheme="majorBidi" w:cstheme="majorBidi"/>
          <w:sz w:val="20"/>
          <w:szCs w:val="20"/>
          <w:rtl/>
        </w:rPr>
      </w:pPr>
      <w:r>
        <w:rPr>
          <w:rFonts w:ascii="David" w:hAnsi="David" w:cs="David" w:hint="cs"/>
          <w:sz w:val="24"/>
          <w:szCs w:val="24"/>
          <w:rtl/>
        </w:rPr>
        <w:t>"</w:t>
      </w:r>
      <w:r w:rsidRPr="00580964">
        <w:rPr>
          <w:rFonts w:ascii="David" w:hAnsi="David" w:cs="David"/>
          <w:sz w:val="24"/>
          <w:szCs w:val="24"/>
          <w:rtl/>
        </w:rPr>
        <w:t>אומר קודם שיתחיל למנות ימי נזירותו</w:t>
      </w:r>
      <w:r w:rsidR="00413035">
        <w:rPr>
          <w:rFonts w:ascii="David" w:hAnsi="David" w:cs="David" w:hint="cs"/>
          <w:sz w:val="24"/>
          <w:szCs w:val="24"/>
          <w:rtl/>
        </w:rPr>
        <w:t>:</w:t>
      </w:r>
      <w:r w:rsidRPr="00580964">
        <w:rPr>
          <w:rFonts w:ascii="David" w:hAnsi="David" w:cs="David"/>
          <w:sz w:val="24"/>
          <w:szCs w:val="24"/>
          <w:rtl/>
        </w:rPr>
        <w:t xml:space="preserve"> </w:t>
      </w:r>
      <w:r w:rsidR="00413035">
        <w:rPr>
          <w:rFonts w:ascii="David" w:hAnsi="David" w:cs="David" w:hint="cs"/>
          <w:sz w:val="24"/>
          <w:szCs w:val="24"/>
          <w:rtl/>
        </w:rPr>
        <w:t>'</w:t>
      </w:r>
      <w:r w:rsidRPr="00580964">
        <w:rPr>
          <w:rFonts w:ascii="David" w:hAnsi="David" w:cs="David"/>
          <w:sz w:val="24"/>
          <w:szCs w:val="24"/>
          <w:rtl/>
        </w:rPr>
        <w:t>אם היו בו מאה כור והריני נזיר מדבורי הראשון</w:t>
      </w:r>
      <w:r w:rsidR="00413035">
        <w:rPr>
          <w:rFonts w:ascii="David" w:hAnsi="David" w:cs="David" w:hint="cs"/>
          <w:sz w:val="24"/>
          <w:szCs w:val="24"/>
          <w:rtl/>
        </w:rPr>
        <w:t xml:space="preserve"> -</w:t>
      </w:r>
      <w:r w:rsidRPr="00580964">
        <w:rPr>
          <w:rFonts w:ascii="David" w:hAnsi="David" w:cs="David"/>
          <w:sz w:val="24"/>
          <w:szCs w:val="24"/>
          <w:rtl/>
        </w:rPr>
        <w:t xml:space="preserve"> הנה אשלים נדרי</w:t>
      </w:r>
      <w:r w:rsidR="00413035">
        <w:rPr>
          <w:rFonts w:ascii="David" w:hAnsi="David" w:cs="David" w:hint="cs"/>
          <w:sz w:val="24"/>
          <w:szCs w:val="24"/>
          <w:rtl/>
        </w:rPr>
        <w:t>'</w:t>
      </w:r>
      <w:r w:rsidRPr="00580964">
        <w:rPr>
          <w:rFonts w:ascii="David" w:hAnsi="David" w:cs="David"/>
          <w:sz w:val="24"/>
          <w:szCs w:val="24"/>
          <w:rtl/>
        </w:rPr>
        <w:t xml:space="preserve"> ומביא קרבנותיו</w:t>
      </w:r>
      <w:r w:rsidR="00413035">
        <w:rPr>
          <w:rFonts w:ascii="David" w:hAnsi="David" w:cs="David" w:hint="cs"/>
          <w:sz w:val="24"/>
          <w:szCs w:val="24"/>
          <w:rtl/>
        </w:rPr>
        <w:t>.</w:t>
      </w:r>
      <w:r w:rsidRPr="00580964">
        <w:rPr>
          <w:rFonts w:ascii="David" w:hAnsi="David" w:cs="David"/>
          <w:sz w:val="24"/>
          <w:szCs w:val="24"/>
          <w:rtl/>
        </w:rPr>
        <w:t xml:space="preserve"> </w:t>
      </w:r>
      <w:r w:rsidR="00413035">
        <w:rPr>
          <w:rFonts w:ascii="David" w:hAnsi="David" w:cs="David" w:hint="cs"/>
          <w:sz w:val="24"/>
          <w:szCs w:val="24"/>
          <w:rtl/>
        </w:rPr>
        <w:t>'</w:t>
      </w:r>
      <w:r w:rsidRPr="00580964">
        <w:rPr>
          <w:rFonts w:ascii="David" w:hAnsi="David" w:cs="David"/>
          <w:sz w:val="24"/>
          <w:szCs w:val="24"/>
          <w:rtl/>
        </w:rPr>
        <w:t>ואם לא היו בו מאה כור ואם כן בדבורי לא היה בו ממש</w:t>
      </w:r>
      <w:r w:rsidR="00413035">
        <w:rPr>
          <w:rFonts w:ascii="David" w:hAnsi="David" w:cs="David" w:hint="cs"/>
          <w:sz w:val="24"/>
          <w:szCs w:val="24"/>
          <w:rtl/>
        </w:rPr>
        <w:t>-</w:t>
      </w:r>
      <w:r w:rsidRPr="00580964">
        <w:rPr>
          <w:rFonts w:ascii="David" w:hAnsi="David" w:cs="David"/>
          <w:sz w:val="24"/>
          <w:szCs w:val="24"/>
          <w:rtl/>
        </w:rPr>
        <w:t xml:space="preserve"> הריני נודר בנזיר מעכשיו</w:t>
      </w:r>
      <w:r w:rsidR="00413035">
        <w:rPr>
          <w:rFonts w:ascii="David" w:hAnsi="David" w:cs="David" w:hint="cs"/>
          <w:sz w:val="24"/>
          <w:szCs w:val="24"/>
          <w:rtl/>
        </w:rPr>
        <w:t>',</w:t>
      </w:r>
      <w:r w:rsidRPr="00580964">
        <w:rPr>
          <w:rFonts w:ascii="David" w:hAnsi="David" w:cs="David"/>
          <w:sz w:val="24"/>
          <w:szCs w:val="24"/>
          <w:rtl/>
        </w:rPr>
        <w:t xml:space="preserve"> ויהיה נזיר שלשים יום ויביא קרבנותיו</w:t>
      </w:r>
      <w:r w:rsidR="00413035">
        <w:rPr>
          <w:rFonts w:ascii="David" w:hAnsi="David" w:cs="David" w:hint="cs"/>
          <w:sz w:val="24"/>
          <w:szCs w:val="24"/>
          <w:rtl/>
        </w:rPr>
        <w:t>.</w:t>
      </w:r>
      <w:r w:rsidRPr="00580964">
        <w:rPr>
          <w:rFonts w:ascii="David" w:hAnsi="David" w:cs="David"/>
          <w:sz w:val="24"/>
          <w:szCs w:val="24"/>
          <w:rtl/>
        </w:rPr>
        <w:t xml:space="preserve"> ואין כאן חולין בעזרה כי הוא נזיר שלשים</w:t>
      </w:r>
      <w:r w:rsidR="00413035">
        <w:rPr>
          <w:rFonts w:ascii="David" w:hAnsi="David" w:cs="David" w:hint="cs"/>
          <w:sz w:val="24"/>
          <w:szCs w:val="24"/>
          <w:rtl/>
        </w:rPr>
        <w:t>,</w:t>
      </w:r>
      <w:r w:rsidRPr="00580964">
        <w:rPr>
          <w:rFonts w:ascii="David" w:hAnsi="David" w:cs="David"/>
          <w:sz w:val="24"/>
          <w:szCs w:val="24"/>
          <w:rtl/>
        </w:rPr>
        <w:t xml:space="preserve"> או מכח דיבור הראשון או מכח דיבור השני</w:t>
      </w:r>
      <w:r w:rsidR="00413035">
        <w:rPr>
          <w:rStyle w:val="a5"/>
          <w:rFonts w:ascii="David" w:hAnsi="David" w:cs="David"/>
          <w:sz w:val="24"/>
          <w:szCs w:val="24"/>
          <w:rtl/>
        </w:rPr>
        <w:footnoteReference w:id="1"/>
      </w:r>
      <w:r>
        <w:rPr>
          <w:rFonts w:ascii="David" w:hAnsi="David" w:cs="David" w:hint="cs"/>
          <w:sz w:val="24"/>
          <w:szCs w:val="24"/>
          <w:rtl/>
        </w:rPr>
        <w:t xml:space="preserve">".  </w:t>
      </w:r>
      <w:r>
        <w:rPr>
          <w:rFonts w:asciiTheme="majorBidi" w:hAnsiTheme="majorBidi" w:cstheme="majorBidi" w:hint="cs"/>
          <w:sz w:val="24"/>
          <w:szCs w:val="24"/>
          <w:rtl/>
        </w:rPr>
        <w:t>ה</w:t>
      </w:r>
      <w:r w:rsidR="00413035">
        <w:rPr>
          <w:rFonts w:asciiTheme="majorBidi" w:hAnsiTheme="majorBidi" w:cstheme="majorBidi" w:hint="cs"/>
          <w:sz w:val="24"/>
          <w:szCs w:val="24"/>
          <w:rtl/>
        </w:rPr>
        <w:t>נזירות</w:t>
      </w:r>
      <w:r>
        <w:rPr>
          <w:rFonts w:asciiTheme="majorBidi" w:hAnsiTheme="majorBidi" w:cstheme="majorBidi" w:hint="cs"/>
          <w:sz w:val="24"/>
          <w:szCs w:val="24"/>
          <w:rtl/>
        </w:rPr>
        <w:t xml:space="preserve"> חלה למרות שהוא 'בא לידי חומרה', דהיינו שהוא עלול להיקלע שלא בטובתו למצב חסר מוצא: </w:t>
      </w:r>
      <w:r w:rsidR="008C5D6B">
        <w:rPr>
          <w:rFonts w:asciiTheme="majorBidi" w:hAnsiTheme="majorBidi" w:cstheme="majorBidi" w:hint="cs"/>
          <w:sz w:val="24"/>
          <w:szCs w:val="24"/>
          <w:rtl/>
        </w:rPr>
        <w:t>"</w:t>
      </w:r>
      <w:r w:rsidRPr="00580964">
        <w:rPr>
          <w:rFonts w:ascii="David" w:hAnsi="David" w:cs="David"/>
          <w:sz w:val="24"/>
          <w:szCs w:val="24"/>
          <w:rtl/>
        </w:rPr>
        <w:t>כגון אם נטמא קודם שהתנה</w:t>
      </w:r>
      <w:r w:rsidR="00413035">
        <w:rPr>
          <w:rFonts w:ascii="David" w:hAnsi="David" w:cs="David" w:hint="cs"/>
          <w:sz w:val="24"/>
          <w:szCs w:val="24"/>
          <w:rtl/>
        </w:rPr>
        <w:t>.</w:t>
      </w:r>
      <w:r w:rsidRPr="00580964">
        <w:rPr>
          <w:rFonts w:ascii="David" w:hAnsi="David" w:cs="David"/>
          <w:sz w:val="24"/>
          <w:szCs w:val="24"/>
          <w:rtl/>
        </w:rPr>
        <w:t xml:space="preserve"> דהשתא הוי ספק נזיר טמא</w:t>
      </w:r>
      <w:r w:rsidR="00413035">
        <w:rPr>
          <w:rFonts w:ascii="David" w:hAnsi="David" w:cs="David" w:hint="cs"/>
          <w:sz w:val="24"/>
          <w:szCs w:val="24"/>
          <w:rtl/>
        </w:rPr>
        <w:t>,</w:t>
      </w:r>
      <w:r w:rsidRPr="00580964">
        <w:rPr>
          <w:rFonts w:ascii="David" w:hAnsi="David" w:cs="David"/>
          <w:sz w:val="24"/>
          <w:szCs w:val="24"/>
          <w:rtl/>
        </w:rPr>
        <w:t xml:space="preserve"> ואין לו תקנה</w:t>
      </w:r>
      <w:r w:rsidR="00413035">
        <w:rPr>
          <w:rFonts w:ascii="David" w:hAnsi="David" w:cs="David" w:hint="cs"/>
          <w:sz w:val="24"/>
          <w:szCs w:val="24"/>
          <w:rtl/>
        </w:rPr>
        <w:t>.</w:t>
      </w:r>
      <w:r w:rsidRPr="00580964">
        <w:rPr>
          <w:rFonts w:ascii="David" w:hAnsi="David" w:cs="David"/>
          <w:sz w:val="24"/>
          <w:szCs w:val="24"/>
          <w:rtl/>
        </w:rPr>
        <w:t xml:space="preserve"> דלא יוכל להביא אשם טמא על הספק שלא היו בו מאה כור</w:t>
      </w:r>
      <w:r w:rsidR="00413035">
        <w:rPr>
          <w:rFonts w:ascii="David" w:hAnsi="David" w:cs="David" w:hint="cs"/>
          <w:sz w:val="24"/>
          <w:szCs w:val="24"/>
          <w:rtl/>
        </w:rPr>
        <w:t>,</w:t>
      </w:r>
      <w:r w:rsidRPr="00580964">
        <w:rPr>
          <w:rFonts w:ascii="David" w:hAnsi="David" w:cs="David"/>
          <w:sz w:val="24"/>
          <w:szCs w:val="24"/>
          <w:rtl/>
        </w:rPr>
        <w:t xml:space="preserve"> וקא מייתי חולין בעזרה</w:t>
      </w:r>
      <w:r w:rsidR="00413035">
        <w:rPr>
          <w:rFonts w:ascii="David" w:hAnsi="David" w:cs="David" w:hint="cs"/>
          <w:sz w:val="24"/>
          <w:szCs w:val="24"/>
          <w:rtl/>
        </w:rPr>
        <w:t>.</w:t>
      </w:r>
      <w:r w:rsidRPr="00580964">
        <w:rPr>
          <w:rFonts w:ascii="David" w:hAnsi="David" w:cs="David"/>
          <w:sz w:val="24"/>
          <w:szCs w:val="24"/>
          <w:rtl/>
        </w:rPr>
        <w:t xml:space="preserve"> ואסור ביין ובתגלחת לעולם [דשמא] נזיר הוא</w:t>
      </w:r>
      <w:r w:rsidR="00413035">
        <w:rPr>
          <w:rFonts w:ascii="David" w:hAnsi="David" w:cs="David" w:hint="cs"/>
          <w:sz w:val="24"/>
          <w:szCs w:val="24"/>
          <w:rtl/>
        </w:rPr>
        <w:t>,</w:t>
      </w:r>
      <w:r w:rsidRPr="00580964">
        <w:rPr>
          <w:rFonts w:ascii="David" w:hAnsi="David" w:cs="David"/>
          <w:sz w:val="24"/>
          <w:szCs w:val="24"/>
          <w:rtl/>
        </w:rPr>
        <w:t xml:space="preserve"> ואינו יכול לפטור מנזירותו אם לא בהבאת אשם טומאה</w:t>
      </w:r>
      <w:r w:rsidR="00413035">
        <w:rPr>
          <w:rFonts w:ascii="David" w:hAnsi="David" w:cs="David" w:hint="cs"/>
          <w:sz w:val="24"/>
          <w:szCs w:val="24"/>
          <w:rtl/>
        </w:rPr>
        <w:t>,</w:t>
      </w:r>
      <w:r w:rsidRPr="00580964">
        <w:rPr>
          <w:rFonts w:ascii="David" w:hAnsi="David" w:cs="David"/>
          <w:sz w:val="24"/>
          <w:szCs w:val="24"/>
          <w:rtl/>
        </w:rPr>
        <w:t xml:space="preserve"> וזה אין בא על התנאי</w:t>
      </w:r>
      <w:r>
        <w:rPr>
          <w:rStyle w:val="a5"/>
          <w:rFonts w:asciiTheme="majorBidi" w:hAnsiTheme="majorBidi" w:cstheme="majorBidi"/>
          <w:sz w:val="24"/>
          <w:szCs w:val="24"/>
        </w:rPr>
        <w:footnoteReference w:id="2"/>
      </w:r>
      <w:r>
        <w:rPr>
          <w:rFonts w:asciiTheme="majorBidi" w:hAnsiTheme="majorBidi" w:cstheme="majorBidi" w:hint="cs"/>
          <w:sz w:val="24"/>
          <w:szCs w:val="24"/>
          <w:rtl/>
        </w:rPr>
        <w:t>".</w:t>
      </w:r>
      <w:r w:rsidR="004172AB">
        <w:rPr>
          <w:rFonts w:asciiTheme="majorBidi" w:hAnsiTheme="majorBidi" w:cstheme="majorBidi" w:hint="cs"/>
          <w:sz w:val="24"/>
          <w:szCs w:val="24"/>
          <w:rtl/>
        </w:rPr>
        <w:t xml:space="preserve"> </w:t>
      </w:r>
      <w:r w:rsidR="00C64441">
        <w:rPr>
          <w:rFonts w:asciiTheme="majorBidi" w:hAnsiTheme="majorBidi" w:cstheme="majorBidi" w:hint="cs"/>
          <w:sz w:val="24"/>
          <w:szCs w:val="24"/>
          <w:rtl/>
        </w:rPr>
        <w:t xml:space="preserve">אכן כדאי לו להזדרז טרם שיטמא, </w:t>
      </w:r>
      <w:r w:rsidR="00C64441">
        <w:rPr>
          <w:rFonts w:asciiTheme="majorBidi" w:hAnsiTheme="majorBidi" w:cs="Times New Roman" w:hint="cs"/>
          <w:sz w:val="24"/>
          <w:szCs w:val="24"/>
          <w:rtl/>
        </w:rPr>
        <w:t xml:space="preserve">ולומר: </w:t>
      </w:r>
      <w:r w:rsidR="00C64441" w:rsidRPr="00C64441">
        <w:rPr>
          <w:rFonts w:ascii="David" w:hAnsi="David" w:cs="David"/>
          <w:sz w:val="24"/>
          <w:szCs w:val="24"/>
          <w:rtl/>
        </w:rPr>
        <w:t>"אם לא היו בו מאה כור הריני נזיר</w:t>
      </w:r>
      <w:r w:rsidR="00C64441">
        <w:rPr>
          <w:rStyle w:val="a5"/>
          <w:rFonts w:ascii="David" w:hAnsi="David" w:cs="David"/>
          <w:sz w:val="24"/>
          <w:szCs w:val="24"/>
          <w:rtl/>
        </w:rPr>
        <w:footnoteReference w:id="3"/>
      </w:r>
      <w:r w:rsidR="00C64441" w:rsidRPr="00C64441">
        <w:rPr>
          <w:rFonts w:ascii="David" w:hAnsi="David" w:cs="David"/>
          <w:sz w:val="24"/>
          <w:szCs w:val="24"/>
          <w:rtl/>
        </w:rPr>
        <w:t xml:space="preserve">". </w:t>
      </w:r>
      <w:r w:rsidR="004172AB">
        <w:rPr>
          <w:rFonts w:asciiTheme="majorBidi" w:hAnsiTheme="majorBidi" w:cstheme="majorBidi" w:hint="cs"/>
          <w:sz w:val="24"/>
          <w:szCs w:val="24"/>
          <w:rtl/>
        </w:rPr>
        <w:t xml:space="preserve">כל זה לדעת רבי שמעון. אולם רבי יהודה סבור שספק נזירות להקל. </w:t>
      </w:r>
    </w:p>
    <w:p w14:paraId="75ECE470" w14:textId="320336B2" w:rsidR="00580964" w:rsidRDefault="00C64441" w:rsidP="005816BA">
      <w:pPr>
        <w:spacing w:after="0" w:line="360" w:lineRule="auto"/>
        <w:rPr>
          <w:rFonts w:ascii="David" w:hAnsi="David" w:cs="David"/>
          <w:sz w:val="24"/>
          <w:szCs w:val="24"/>
          <w:rtl/>
        </w:rPr>
      </w:pPr>
      <w:r w:rsidRPr="00745B20">
        <w:rPr>
          <w:rFonts w:ascii="David" w:hAnsi="David" w:cs="David"/>
          <w:sz w:val="24"/>
          <w:szCs w:val="24"/>
          <w:rtl/>
        </w:rPr>
        <w:t>"</w:t>
      </w:r>
      <w:r w:rsidR="00745B20" w:rsidRPr="00745B20">
        <w:rPr>
          <w:rFonts w:ascii="David" w:hAnsi="David" w:cs="David"/>
          <w:sz w:val="24"/>
          <w:szCs w:val="24"/>
          <w:rtl/>
        </w:rPr>
        <w:t>שכך היה דעתו</w:t>
      </w:r>
      <w:r w:rsidR="00413035">
        <w:rPr>
          <w:rFonts w:ascii="David" w:hAnsi="David" w:cs="David" w:hint="cs"/>
          <w:sz w:val="24"/>
          <w:szCs w:val="24"/>
          <w:rtl/>
        </w:rPr>
        <w:t>,</w:t>
      </w:r>
      <w:r w:rsidR="00745B20" w:rsidRPr="00745B20">
        <w:rPr>
          <w:rFonts w:ascii="David" w:hAnsi="David" w:cs="David"/>
          <w:sz w:val="24"/>
          <w:szCs w:val="24"/>
          <w:rtl/>
        </w:rPr>
        <w:t xml:space="preserve"> שאם לא יוכל לברר הדבר שלא יהיה כדבורו</w:t>
      </w:r>
      <w:r w:rsidRPr="00745B20">
        <w:rPr>
          <w:rStyle w:val="a5"/>
          <w:rFonts w:ascii="David" w:hAnsi="David" w:cs="David"/>
          <w:sz w:val="24"/>
          <w:szCs w:val="24"/>
          <w:rtl/>
        </w:rPr>
        <w:footnoteReference w:id="4"/>
      </w:r>
      <w:r w:rsidRPr="00745B20">
        <w:rPr>
          <w:rFonts w:ascii="David" w:hAnsi="David" w:cs="David"/>
          <w:sz w:val="24"/>
          <w:szCs w:val="24"/>
          <w:rtl/>
        </w:rPr>
        <w:t>".</w:t>
      </w:r>
      <w:r>
        <w:rPr>
          <w:rFonts w:asciiTheme="majorBidi" w:hAnsiTheme="majorBidi" w:cs="Times New Roman" w:hint="cs"/>
          <w:sz w:val="24"/>
          <w:szCs w:val="24"/>
          <w:rtl/>
        </w:rPr>
        <w:t xml:space="preserve"> </w:t>
      </w:r>
      <w:r w:rsidRPr="00C64441">
        <w:rPr>
          <w:rFonts w:asciiTheme="majorBidi" w:hAnsiTheme="majorBidi" w:cs="Times New Roman"/>
          <w:sz w:val="24"/>
          <w:szCs w:val="24"/>
          <w:rtl/>
        </w:rPr>
        <w:t xml:space="preserve"> </w:t>
      </w:r>
      <w:r w:rsidR="004172AB">
        <w:rPr>
          <w:rFonts w:asciiTheme="majorBidi" w:hAnsiTheme="majorBidi" w:cstheme="majorBidi" w:hint="cs"/>
          <w:sz w:val="24"/>
          <w:szCs w:val="24"/>
          <w:rtl/>
        </w:rPr>
        <w:t>במשנתנו מצב דומה. אדם מתחייב ל</w:t>
      </w:r>
      <w:r w:rsidR="00413035">
        <w:rPr>
          <w:rFonts w:asciiTheme="majorBidi" w:hAnsiTheme="majorBidi" w:cstheme="majorBidi" w:hint="cs"/>
          <w:sz w:val="24"/>
          <w:szCs w:val="24"/>
          <w:rtl/>
        </w:rPr>
        <w:t>נזירות</w:t>
      </w:r>
      <w:r w:rsidR="004172AB">
        <w:rPr>
          <w:rFonts w:asciiTheme="majorBidi" w:hAnsiTheme="majorBidi" w:cstheme="majorBidi" w:hint="cs"/>
          <w:sz w:val="24"/>
          <w:szCs w:val="24"/>
          <w:rtl/>
        </w:rPr>
        <w:t xml:space="preserve"> בכמות הנכנסת ב'קופה', ומחמירים עליו כאילו היא מלאה גרגירים זעירים, לחייבו </w:t>
      </w:r>
      <w:r w:rsidR="00413035">
        <w:rPr>
          <w:rFonts w:asciiTheme="majorBidi" w:hAnsiTheme="majorBidi" w:cstheme="majorBidi" w:hint="cs"/>
          <w:sz w:val="24"/>
          <w:szCs w:val="24"/>
          <w:rtl/>
        </w:rPr>
        <w:t>נזירות</w:t>
      </w:r>
      <w:r w:rsidR="004172AB">
        <w:rPr>
          <w:rFonts w:asciiTheme="majorBidi" w:hAnsiTheme="majorBidi" w:cstheme="majorBidi" w:hint="cs"/>
          <w:sz w:val="24"/>
          <w:szCs w:val="24"/>
          <w:rtl/>
        </w:rPr>
        <w:t xml:space="preserve"> כל ימי חייו. מציעה הגמרא שגם כאן חלה אותה מחלוקת תנאים. אולם רבי יוחנן מחלק: במשנתנו רבי יהודה מודה, מאחר שבוודאי התחייב לפחות ל</w:t>
      </w:r>
      <w:r w:rsidR="00413035">
        <w:rPr>
          <w:rFonts w:asciiTheme="majorBidi" w:hAnsiTheme="majorBidi" w:cstheme="majorBidi" w:hint="cs"/>
          <w:sz w:val="24"/>
          <w:szCs w:val="24"/>
          <w:rtl/>
        </w:rPr>
        <w:t>נזירות</w:t>
      </w:r>
      <w:r w:rsidR="004172AB">
        <w:rPr>
          <w:rFonts w:asciiTheme="majorBidi" w:hAnsiTheme="majorBidi" w:cstheme="majorBidi" w:hint="cs"/>
          <w:sz w:val="24"/>
          <w:szCs w:val="24"/>
          <w:rtl/>
        </w:rPr>
        <w:t xml:space="preserve"> אחת. </w:t>
      </w:r>
      <w:r w:rsidR="005816BA">
        <w:rPr>
          <w:rFonts w:ascii="David" w:hAnsi="David" w:cs="David" w:hint="cs"/>
          <w:sz w:val="24"/>
          <w:szCs w:val="24"/>
          <w:rtl/>
        </w:rPr>
        <w:t xml:space="preserve"> </w:t>
      </w:r>
      <w:r>
        <w:rPr>
          <w:rFonts w:asciiTheme="majorBidi" w:hAnsiTheme="majorBidi" w:cs="Times New Roman" w:hint="cs"/>
          <w:sz w:val="24"/>
          <w:szCs w:val="24"/>
          <w:rtl/>
        </w:rPr>
        <w:t>"</w:t>
      </w:r>
      <w:r w:rsidRPr="00C64441">
        <w:rPr>
          <w:rFonts w:ascii="David" w:hAnsi="David" w:cs="David"/>
          <w:sz w:val="24"/>
          <w:szCs w:val="24"/>
          <w:rtl/>
        </w:rPr>
        <w:t>וכיון שאתה מורידו לנזירות</w:t>
      </w:r>
      <w:r w:rsidR="005816BA">
        <w:rPr>
          <w:rFonts w:ascii="David" w:hAnsi="David" w:cs="David" w:hint="cs"/>
          <w:sz w:val="24"/>
          <w:szCs w:val="24"/>
          <w:rtl/>
        </w:rPr>
        <w:t>,</w:t>
      </w:r>
      <w:r w:rsidRPr="00C64441">
        <w:rPr>
          <w:rFonts w:ascii="David" w:hAnsi="David" w:cs="David"/>
          <w:sz w:val="24"/>
          <w:szCs w:val="24"/>
          <w:rtl/>
        </w:rPr>
        <w:t xml:space="preserve"> אפילו לרבי יהודה תו לא מצי להסתלק</w:t>
      </w:r>
      <w:r w:rsidR="005816BA">
        <w:rPr>
          <w:rFonts w:ascii="David" w:hAnsi="David" w:cs="David" w:hint="cs"/>
          <w:sz w:val="24"/>
          <w:szCs w:val="24"/>
          <w:rtl/>
        </w:rPr>
        <w:t>,</w:t>
      </w:r>
      <w:r w:rsidRPr="00C64441">
        <w:rPr>
          <w:rFonts w:ascii="David" w:hAnsi="David" w:cs="David"/>
          <w:sz w:val="24"/>
          <w:szCs w:val="24"/>
          <w:rtl/>
        </w:rPr>
        <w:t xml:space="preserve"> דשמא חרדל קביל עליה ונדון עד יום מותו נזירות חד וארוך</w:t>
      </w:r>
      <w:r w:rsidRPr="00C64441">
        <w:rPr>
          <w:rStyle w:val="a5"/>
          <w:rFonts w:ascii="David" w:hAnsi="David" w:cs="David"/>
          <w:sz w:val="24"/>
          <w:szCs w:val="24"/>
          <w:rtl/>
        </w:rPr>
        <w:footnoteReference w:id="5"/>
      </w:r>
      <w:r>
        <w:rPr>
          <w:rFonts w:ascii="David" w:hAnsi="David" w:cs="David" w:hint="cs"/>
          <w:sz w:val="24"/>
          <w:szCs w:val="24"/>
          <w:rtl/>
        </w:rPr>
        <w:t>".</w:t>
      </w:r>
    </w:p>
    <w:p w14:paraId="00C36301" w14:textId="3FCD7A2F" w:rsidR="00A17B41" w:rsidRDefault="00413035" w:rsidP="00C64441">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ב. </w:t>
      </w:r>
      <w:r w:rsidR="00A17B41" w:rsidRPr="00A17B41">
        <w:rPr>
          <w:rFonts w:asciiTheme="majorBidi" w:hAnsiTheme="majorBidi" w:cstheme="majorBidi" w:hint="cs"/>
          <w:b/>
          <w:bCs/>
          <w:sz w:val="24"/>
          <w:szCs w:val="24"/>
          <w:rtl/>
        </w:rPr>
        <w:t>ההלכה העולה מן הסוגיה</w:t>
      </w:r>
    </w:p>
    <w:p w14:paraId="59468FEB" w14:textId="2B3B0B57" w:rsidR="00A17B41" w:rsidRPr="00413035" w:rsidRDefault="00A17B41" w:rsidP="0041303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כתב ב</w:t>
      </w:r>
      <w:r w:rsidRPr="00A17B41">
        <w:rPr>
          <w:rFonts w:asciiTheme="majorBidi" w:hAnsiTheme="majorBidi" w:cs="Times New Roman"/>
          <w:sz w:val="24"/>
          <w:szCs w:val="24"/>
          <w:rtl/>
        </w:rPr>
        <w:t>קרן אורה</w:t>
      </w:r>
      <w:r>
        <w:rPr>
          <w:rFonts w:asciiTheme="majorBidi" w:hAnsiTheme="majorBidi" w:cs="Times New Roman" w:hint="cs"/>
          <w:sz w:val="24"/>
          <w:szCs w:val="24"/>
          <w:rtl/>
        </w:rPr>
        <w:t xml:space="preserve">: </w:t>
      </w:r>
      <w:r w:rsidR="00413035">
        <w:rPr>
          <w:rFonts w:asciiTheme="majorBidi" w:hAnsiTheme="majorBidi" w:cstheme="majorBidi" w:hint="cs"/>
          <w:sz w:val="24"/>
          <w:szCs w:val="24"/>
          <w:rtl/>
        </w:rPr>
        <w:t xml:space="preserve"> </w:t>
      </w:r>
      <w:r w:rsidRPr="00A17B41">
        <w:rPr>
          <w:rFonts w:ascii="David" w:hAnsi="David" w:cs="David"/>
          <w:sz w:val="24"/>
          <w:szCs w:val="24"/>
          <w:rtl/>
        </w:rPr>
        <w:t>"אחר כל הנ"ל</w:t>
      </w:r>
      <w:r w:rsidR="004F0B97">
        <w:rPr>
          <w:rFonts w:ascii="David" w:hAnsi="David" w:cs="David" w:hint="cs"/>
          <w:sz w:val="24"/>
          <w:szCs w:val="24"/>
          <w:rtl/>
        </w:rPr>
        <w:t>,</w:t>
      </w:r>
      <w:r w:rsidRPr="00A17B41">
        <w:rPr>
          <w:rFonts w:ascii="David" w:hAnsi="David" w:cs="David"/>
          <w:sz w:val="24"/>
          <w:szCs w:val="24"/>
          <w:rtl/>
        </w:rPr>
        <w:t xml:space="preserve"> משמע לכולהו פירושי דהא דהוי נזיר כל ימיו הוא מספק לחוד. ונפקא מינה דאינו לוקה אם עבר על נזירותו וגם אינו מגלח כלל לעולם. כיון דספק הוא".</w:t>
      </w:r>
      <w:r w:rsidR="00C451AC" w:rsidRPr="00C451AC">
        <w:rPr>
          <w:rFonts w:asciiTheme="majorBidi" w:hAnsiTheme="majorBidi" w:cstheme="majorBidi" w:hint="cs"/>
          <w:sz w:val="24"/>
          <w:szCs w:val="24"/>
          <w:rtl/>
        </w:rPr>
        <w:t xml:space="preserve"> </w:t>
      </w:r>
      <w:r w:rsidR="00C451AC">
        <w:rPr>
          <w:rFonts w:asciiTheme="majorBidi" w:hAnsiTheme="majorBidi" w:cstheme="majorBidi" w:hint="cs"/>
          <w:sz w:val="24"/>
          <w:szCs w:val="24"/>
          <w:rtl/>
        </w:rPr>
        <w:t xml:space="preserve">לדעת </w:t>
      </w:r>
      <w:r w:rsidR="00C451AC">
        <w:rPr>
          <w:rFonts w:asciiTheme="majorBidi" w:hAnsiTheme="majorBidi" w:cstheme="majorBidi" w:hint="cs"/>
          <w:sz w:val="24"/>
          <w:szCs w:val="24"/>
          <w:rtl/>
        </w:rPr>
        <w:lastRenderedPageBreak/>
        <w:t>רש"י ותוספות באמת לא מגלח לעולם, כ</w:t>
      </w:r>
      <w:r w:rsidR="00413035">
        <w:rPr>
          <w:rFonts w:asciiTheme="majorBidi" w:hAnsiTheme="majorBidi" w:cstheme="majorBidi" w:hint="cs"/>
          <w:sz w:val="24"/>
          <w:szCs w:val="24"/>
          <w:rtl/>
        </w:rPr>
        <w:t>נזירות</w:t>
      </w:r>
      <w:r w:rsidR="00C451AC">
        <w:rPr>
          <w:rFonts w:asciiTheme="majorBidi" w:hAnsiTheme="majorBidi" w:cstheme="majorBidi" w:hint="cs"/>
          <w:sz w:val="24"/>
          <w:szCs w:val="24"/>
          <w:rtl/>
        </w:rPr>
        <w:t xml:space="preserve"> אחת כל ימיו</w:t>
      </w:r>
      <w:r w:rsidR="00C451AC">
        <w:rPr>
          <w:rStyle w:val="a5"/>
          <w:rFonts w:asciiTheme="majorBidi" w:hAnsiTheme="majorBidi" w:cstheme="majorBidi"/>
          <w:sz w:val="24"/>
          <w:szCs w:val="24"/>
          <w:rtl/>
        </w:rPr>
        <w:footnoteReference w:id="6"/>
      </w:r>
      <w:r w:rsidR="00C451AC">
        <w:rPr>
          <w:rFonts w:asciiTheme="majorBidi" w:hAnsiTheme="majorBidi" w:cstheme="majorBidi" w:hint="cs"/>
          <w:sz w:val="24"/>
          <w:szCs w:val="24"/>
          <w:rtl/>
        </w:rPr>
        <w:t xml:space="preserve">. </w:t>
      </w:r>
      <w:r w:rsidR="00C451AC">
        <w:rPr>
          <w:rFonts w:ascii="David" w:hAnsi="David" w:cs="David" w:hint="cs"/>
          <w:sz w:val="24"/>
          <w:szCs w:val="24"/>
          <w:rtl/>
        </w:rPr>
        <w:t xml:space="preserve">  "</w:t>
      </w:r>
      <w:r w:rsidR="00C451AC" w:rsidRPr="00C451AC">
        <w:rPr>
          <w:rFonts w:ascii="David" w:hAnsi="David" w:cs="David"/>
          <w:sz w:val="24"/>
          <w:szCs w:val="24"/>
          <w:rtl/>
        </w:rPr>
        <w:t xml:space="preserve">נמצא שאינו יכול לגלח כלל כל ימי חייו ולא יקל בתער כל עיקר. ויש מפרשים דהוי כנזיר עולם דאבשלום דאם הכביד שערו </w:t>
      </w:r>
      <w:r w:rsidR="00C451AC" w:rsidRPr="00413035">
        <w:rPr>
          <w:rFonts w:ascii="David" w:hAnsi="David" w:cs="David"/>
          <w:b/>
          <w:bCs/>
          <w:sz w:val="24"/>
          <w:szCs w:val="24"/>
          <w:rtl/>
        </w:rPr>
        <w:t>מיקל בתער</w:t>
      </w:r>
      <w:r w:rsidR="00C451AC" w:rsidRPr="00C451AC">
        <w:rPr>
          <w:rFonts w:ascii="David" w:hAnsi="David" w:cs="David"/>
          <w:sz w:val="24"/>
          <w:szCs w:val="24"/>
          <w:rtl/>
        </w:rPr>
        <w:t xml:space="preserve"> ומביא שלש בהמות</w:t>
      </w:r>
      <w:r w:rsidR="00C451AC">
        <w:rPr>
          <w:rStyle w:val="a5"/>
          <w:rFonts w:ascii="David" w:hAnsi="David" w:cs="David"/>
          <w:sz w:val="24"/>
          <w:szCs w:val="24"/>
          <w:rtl/>
        </w:rPr>
        <w:footnoteReference w:id="7"/>
      </w:r>
      <w:r w:rsidR="00C451AC">
        <w:rPr>
          <w:rFonts w:ascii="David" w:hAnsi="David" w:cs="David" w:hint="cs"/>
          <w:sz w:val="24"/>
          <w:szCs w:val="24"/>
          <w:rtl/>
        </w:rPr>
        <w:t>"</w:t>
      </w:r>
      <w:r w:rsidR="00C451AC" w:rsidRPr="00C451AC">
        <w:rPr>
          <w:rFonts w:ascii="David" w:hAnsi="David" w:cs="David"/>
          <w:sz w:val="24"/>
          <w:szCs w:val="24"/>
          <w:rtl/>
        </w:rPr>
        <w:t>.</w:t>
      </w:r>
      <w:r w:rsidR="00C451AC">
        <w:rPr>
          <w:rFonts w:ascii="David" w:hAnsi="David" w:cs="David" w:hint="cs"/>
          <w:sz w:val="24"/>
          <w:szCs w:val="24"/>
          <w:rtl/>
        </w:rPr>
        <w:t xml:space="preserve">   </w:t>
      </w:r>
      <w:r>
        <w:rPr>
          <w:rFonts w:ascii="David" w:hAnsi="David" w:cs="David" w:hint="cs"/>
          <w:sz w:val="24"/>
          <w:szCs w:val="24"/>
          <w:rtl/>
        </w:rPr>
        <w:t xml:space="preserve"> </w:t>
      </w:r>
      <w:r>
        <w:rPr>
          <w:rFonts w:asciiTheme="majorBidi" w:hAnsiTheme="majorBidi" w:cstheme="majorBidi" w:hint="cs"/>
          <w:sz w:val="24"/>
          <w:szCs w:val="24"/>
          <w:rtl/>
        </w:rPr>
        <w:t xml:space="preserve">אולם הרמב"ם פסק: </w:t>
      </w:r>
    </w:p>
    <w:p w14:paraId="4F6F289D" w14:textId="7973EE8B" w:rsidR="00A17B41" w:rsidRPr="00A17B41" w:rsidRDefault="00A17B41" w:rsidP="00A17B41">
      <w:pPr>
        <w:spacing w:after="0" w:line="360" w:lineRule="auto"/>
        <w:rPr>
          <w:rFonts w:ascii="David" w:hAnsi="David" w:cs="David"/>
          <w:sz w:val="24"/>
          <w:szCs w:val="24"/>
          <w:rtl/>
        </w:rPr>
      </w:pPr>
      <w:r w:rsidRPr="00A17B41">
        <w:rPr>
          <w:rFonts w:ascii="David" w:hAnsi="David" w:cs="David"/>
          <w:sz w:val="24"/>
          <w:szCs w:val="24"/>
          <w:rtl/>
        </w:rPr>
        <w:t>"האומר הריני נזיר מלא הבית או מלא הקופה, בודקין אותו</w:t>
      </w:r>
      <w:r w:rsidR="00413035">
        <w:rPr>
          <w:rFonts w:ascii="David" w:hAnsi="David" w:cs="David" w:hint="cs"/>
          <w:sz w:val="24"/>
          <w:szCs w:val="24"/>
          <w:rtl/>
        </w:rPr>
        <w:t>:</w:t>
      </w:r>
      <w:r w:rsidRPr="00A17B41">
        <w:rPr>
          <w:rFonts w:ascii="David" w:hAnsi="David" w:cs="David"/>
          <w:sz w:val="24"/>
          <w:szCs w:val="24"/>
          <w:rtl/>
        </w:rPr>
        <w:t xml:space="preserve"> אם אמר</w:t>
      </w:r>
      <w:r w:rsidR="00413035">
        <w:rPr>
          <w:rFonts w:ascii="David" w:hAnsi="David" w:cs="David" w:hint="cs"/>
          <w:sz w:val="24"/>
          <w:szCs w:val="24"/>
          <w:rtl/>
        </w:rPr>
        <w:t>:</w:t>
      </w:r>
      <w:r w:rsidRPr="00A17B41">
        <w:rPr>
          <w:rFonts w:ascii="David" w:hAnsi="David" w:cs="David"/>
          <w:sz w:val="24"/>
          <w:szCs w:val="24"/>
          <w:rtl/>
        </w:rPr>
        <w:t xml:space="preserve"> </w:t>
      </w:r>
      <w:r w:rsidR="00413035">
        <w:rPr>
          <w:rFonts w:ascii="David" w:hAnsi="David" w:cs="David" w:hint="cs"/>
          <w:sz w:val="24"/>
          <w:szCs w:val="24"/>
          <w:rtl/>
        </w:rPr>
        <w:t>'</w:t>
      </w:r>
      <w:r w:rsidRPr="00A17B41">
        <w:rPr>
          <w:rFonts w:ascii="David" w:hAnsi="David" w:cs="David"/>
          <w:sz w:val="24"/>
          <w:szCs w:val="24"/>
          <w:rtl/>
        </w:rPr>
        <w:t>לא היה בדעתי שאהיה נזיר כל ימי ולא נתכוונתי אלא להאריך זמן הנזירות זמן מרובה</w:t>
      </w:r>
      <w:r w:rsidR="00413035">
        <w:rPr>
          <w:rFonts w:ascii="David" w:hAnsi="David" w:cs="David" w:hint="cs"/>
          <w:sz w:val="24"/>
          <w:szCs w:val="24"/>
          <w:rtl/>
        </w:rPr>
        <w:t>'-</w:t>
      </w:r>
      <w:r w:rsidRPr="00A17B41">
        <w:rPr>
          <w:rFonts w:ascii="David" w:hAnsi="David" w:cs="David"/>
          <w:sz w:val="24"/>
          <w:szCs w:val="24"/>
          <w:rtl/>
        </w:rPr>
        <w:t xml:space="preserve"> הרי זה נזיר שלשים יום בלבד, ואם אמר</w:t>
      </w:r>
      <w:r w:rsidR="00413035">
        <w:rPr>
          <w:rFonts w:ascii="David" w:hAnsi="David" w:cs="David" w:hint="cs"/>
          <w:sz w:val="24"/>
          <w:szCs w:val="24"/>
          <w:rtl/>
        </w:rPr>
        <w:t>:</w:t>
      </w:r>
      <w:r w:rsidRPr="00A17B41">
        <w:rPr>
          <w:rFonts w:ascii="David" w:hAnsi="David" w:cs="David"/>
          <w:sz w:val="24"/>
          <w:szCs w:val="24"/>
          <w:rtl/>
        </w:rPr>
        <w:t xml:space="preserve"> </w:t>
      </w:r>
      <w:r w:rsidR="00413035">
        <w:rPr>
          <w:rFonts w:ascii="David" w:hAnsi="David" w:cs="David" w:hint="cs"/>
          <w:sz w:val="24"/>
          <w:szCs w:val="24"/>
          <w:rtl/>
        </w:rPr>
        <w:t>'</w:t>
      </w:r>
      <w:r w:rsidRPr="00A17B41">
        <w:rPr>
          <w:rFonts w:ascii="David" w:hAnsi="David" w:cs="David"/>
          <w:sz w:val="24"/>
          <w:szCs w:val="24"/>
          <w:rtl/>
        </w:rPr>
        <w:t>סתם נדרתי</w:t>
      </w:r>
      <w:r w:rsidR="00413035">
        <w:rPr>
          <w:rFonts w:ascii="David" w:hAnsi="David" w:cs="David" w:hint="cs"/>
          <w:sz w:val="24"/>
          <w:szCs w:val="24"/>
          <w:rtl/>
        </w:rPr>
        <w:t>',</w:t>
      </w:r>
      <w:r w:rsidRPr="00A17B41">
        <w:rPr>
          <w:rFonts w:ascii="David" w:hAnsi="David" w:cs="David"/>
          <w:sz w:val="24"/>
          <w:szCs w:val="24"/>
          <w:rtl/>
        </w:rPr>
        <w:t xml:space="preserve"> רואים את הקופה כאילו היא מלאה חרדל</w:t>
      </w:r>
      <w:r w:rsidR="00413035">
        <w:rPr>
          <w:rFonts w:ascii="David" w:hAnsi="David" w:cs="David" w:hint="cs"/>
          <w:sz w:val="24"/>
          <w:szCs w:val="24"/>
          <w:rtl/>
        </w:rPr>
        <w:t>,</w:t>
      </w:r>
      <w:r w:rsidRPr="00A17B41">
        <w:rPr>
          <w:rFonts w:ascii="David" w:hAnsi="David" w:cs="David"/>
          <w:sz w:val="24"/>
          <w:szCs w:val="24"/>
          <w:rtl/>
        </w:rPr>
        <w:t xml:space="preserve"> ויהיה נזיר כל ימיו, </w:t>
      </w:r>
      <w:r w:rsidRPr="00A17B41">
        <w:rPr>
          <w:rFonts w:ascii="David" w:hAnsi="David" w:cs="David"/>
          <w:b/>
          <w:bCs/>
          <w:sz w:val="24"/>
          <w:szCs w:val="24"/>
          <w:rtl/>
        </w:rPr>
        <w:t>ויש לו לגלח</w:t>
      </w:r>
      <w:r w:rsidRPr="00A17B41">
        <w:rPr>
          <w:rFonts w:ascii="David" w:hAnsi="David" w:cs="David"/>
          <w:sz w:val="24"/>
          <w:szCs w:val="24"/>
          <w:rtl/>
        </w:rPr>
        <w:t xml:space="preserve"> </w:t>
      </w:r>
      <w:r w:rsidRPr="005816BA">
        <w:rPr>
          <w:rFonts w:ascii="David" w:hAnsi="David" w:cs="David"/>
          <w:b/>
          <w:bCs/>
          <w:sz w:val="24"/>
          <w:szCs w:val="24"/>
          <w:rtl/>
        </w:rPr>
        <w:t>משנים עשר חדש לשנים עשר חדש</w:t>
      </w:r>
      <w:r w:rsidRPr="00A17B41">
        <w:rPr>
          <w:rFonts w:ascii="David" w:hAnsi="David" w:cs="David"/>
          <w:sz w:val="24"/>
          <w:szCs w:val="24"/>
          <w:rtl/>
        </w:rPr>
        <w:t xml:space="preserve"> ויביא קרבנותיו כשאר נזירי עולם</w:t>
      </w:r>
      <w:r>
        <w:rPr>
          <w:rStyle w:val="a5"/>
          <w:rFonts w:ascii="David" w:hAnsi="David" w:cs="David"/>
          <w:sz w:val="24"/>
          <w:szCs w:val="24"/>
          <w:rtl/>
        </w:rPr>
        <w:footnoteReference w:id="8"/>
      </w:r>
      <w:r w:rsidRPr="00A17B41">
        <w:rPr>
          <w:rFonts w:ascii="David" w:hAnsi="David" w:cs="David"/>
          <w:sz w:val="24"/>
          <w:szCs w:val="24"/>
          <w:rtl/>
        </w:rPr>
        <w:t>".</w:t>
      </w:r>
      <w:r>
        <w:rPr>
          <w:rFonts w:ascii="David" w:hAnsi="David" w:cs="David" w:hint="cs"/>
          <w:sz w:val="24"/>
          <w:szCs w:val="24"/>
          <w:rtl/>
        </w:rPr>
        <w:t xml:space="preserve">  </w:t>
      </w:r>
    </w:p>
    <w:p w14:paraId="41EB71E5" w14:textId="7DBFE823" w:rsidR="00C451AC" w:rsidRDefault="00A17B41" w:rsidP="00C451AC">
      <w:pPr>
        <w:spacing w:after="0" w:line="360" w:lineRule="auto"/>
        <w:rPr>
          <w:rFonts w:asciiTheme="majorBidi" w:hAnsiTheme="majorBidi" w:cstheme="majorBidi"/>
          <w:sz w:val="24"/>
          <w:szCs w:val="24"/>
          <w:rtl/>
        </w:rPr>
      </w:pPr>
      <w:r>
        <w:rPr>
          <w:rFonts w:ascii="David" w:hAnsi="David" w:cs="David" w:hint="cs"/>
          <w:sz w:val="24"/>
          <w:szCs w:val="24"/>
          <w:rtl/>
        </w:rPr>
        <w:t>"</w:t>
      </w:r>
      <w:r w:rsidRPr="00A17B41">
        <w:rPr>
          <w:rFonts w:ascii="David" w:hAnsi="David" w:cs="David"/>
          <w:sz w:val="24"/>
          <w:szCs w:val="24"/>
          <w:rtl/>
        </w:rPr>
        <w:t>ודבריו ז"ל נפלאו בשתים. חדא אמאי הוי נזיר ודאי. דהא משמע בשמעתין דלא הוי אלא נזיר מספק והיכי יכול לגלח. ועוד אמאי מגלח לי"ב חודש</w:t>
      </w:r>
      <w:r>
        <w:rPr>
          <w:rFonts w:ascii="David" w:hAnsi="David" w:cs="David" w:hint="cs"/>
          <w:sz w:val="24"/>
          <w:szCs w:val="24"/>
          <w:rtl/>
        </w:rPr>
        <w:t>,</w:t>
      </w:r>
      <w:r w:rsidRPr="00A17B41">
        <w:rPr>
          <w:rFonts w:ascii="David" w:hAnsi="David" w:cs="David"/>
          <w:sz w:val="24"/>
          <w:szCs w:val="24"/>
          <w:rtl/>
        </w:rPr>
        <w:t xml:space="preserve"> כיון דפסק כת"ק דרבי ב</w:t>
      </w:r>
      <w:r w:rsidR="00413035">
        <w:rPr>
          <w:rFonts w:ascii="David" w:hAnsi="David" w:cs="David" w:hint="cs"/>
          <w:sz w:val="24"/>
          <w:szCs w:val="24"/>
          <w:rtl/>
        </w:rPr>
        <w:t>'</w:t>
      </w:r>
      <w:r w:rsidRPr="00A17B41">
        <w:rPr>
          <w:rFonts w:ascii="David" w:hAnsi="David" w:cs="David"/>
          <w:sz w:val="24"/>
          <w:szCs w:val="24"/>
          <w:rtl/>
        </w:rPr>
        <w:t>כשער ראשי</w:t>
      </w:r>
      <w:r w:rsidR="00413035">
        <w:rPr>
          <w:rFonts w:ascii="David" w:hAnsi="David" w:cs="David" w:hint="cs"/>
          <w:sz w:val="24"/>
          <w:szCs w:val="24"/>
          <w:rtl/>
        </w:rPr>
        <w:t>'</w:t>
      </w:r>
      <w:r w:rsidRPr="00A17B41">
        <w:rPr>
          <w:rFonts w:ascii="David" w:hAnsi="David" w:cs="David"/>
          <w:sz w:val="24"/>
          <w:szCs w:val="24"/>
          <w:rtl/>
        </w:rPr>
        <w:t xml:space="preserve"> דמגלח אחת ללמ"ד יום</w:t>
      </w:r>
      <w:r>
        <w:rPr>
          <w:rFonts w:ascii="David" w:hAnsi="David" w:cs="David" w:hint="cs"/>
          <w:sz w:val="24"/>
          <w:szCs w:val="24"/>
          <w:rtl/>
        </w:rPr>
        <w:t>,</w:t>
      </w:r>
      <w:r w:rsidRPr="00A17B41">
        <w:rPr>
          <w:rFonts w:ascii="David" w:hAnsi="David" w:cs="David"/>
          <w:sz w:val="24"/>
          <w:szCs w:val="24"/>
          <w:rtl/>
        </w:rPr>
        <w:t>. הוא הדין הכא</w:t>
      </w:r>
      <w:r>
        <w:rPr>
          <w:rStyle w:val="a5"/>
          <w:rFonts w:ascii="David" w:hAnsi="David" w:cs="David"/>
          <w:sz w:val="24"/>
          <w:szCs w:val="24"/>
          <w:rtl/>
        </w:rPr>
        <w:footnoteReference w:id="9"/>
      </w:r>
      <w:r w:rsidRPr="00A17B41">
        <w:rPr>
          <w:rFonts w:ascii="David" w:hAnsi="David" w:cs="David"/>
          <w:sz w:val="24"/>
          <w:szCs w:val="24"/>
          <w:rtl/>
        </w:rPr>
        <w:t>. וכדמשמע בשמעתין דחד דינא להו</w:t>
      </w:r>
      <w:r>
        <w:rPr>
          <w:rStyle w:val="a5"/>
          <w:rFonts w:ascii="David" w:hAnsi="David" w:cs="David"/>
          <w:sz w:val="24"/>
          <w:szCs w:val="24"/>
          <w:rtl/>
        </w:rPr>
        <w:footnoteReference w:id="10"/>
      </w:r>
      <w:r>
        <w:rPr>
          <w:rFonts w:ascii="David" w:hAnsi="David" w:cs="David" w:hint="cs"/>
          <w:sz w:val="24"/>
          <w:szCs w:val="24"/>
          <w:rtl/>
        </w:rPr>
        <w:t>"</w:t>
      </w:r>
      <w:r w:rsidRPr="00A17B41">
        <w:rPr>
          <w:rFonts w:ascii="David" w:hAnsi="David" w:cs="David"/>
          <w:sz w:val="24"/>
          <w:szCs w:val="24"/>
          <w:rtl/>
        </w:rPr>
        <w:t>.</w:t>
      </w:r>
      <w:r w:rsidR="00C451AC">
        <w:rPr>
          <w:rFonts w:ascii="David" w:hAnsi="David" w:cs="David" w:hint="cs"/>
          <w:sz w:val="24"/>
          <w:szCs w:val="24"/>
          <w:rtl/>
        </w:rPr>
        <w:t xml:space="preserve"> </w:t>
      </w:r>
    </w:p>
    <w:p w14:paraId="59B70E82" w14:textId="2AAA01FE" w:rsidR="00A17B41" w:rsidRDefault="00C451AC" w:rsidP="00C451A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מציע בקרן אורה, שלדעת הרמב"ם </w:t>
      </w:r>
      <w:r w:rsidR="00413035">
        <w:rPr>
          <w:rFonts w:asciiTheme="majorBidi" w:hAnsiTheme="majorBidi" w:cstheme="majorBidi" w:hint="cs"/>
          <w:sz w:val="24"/>
          <w:szCs w:val="24"/>
          <w:rtl/>
        </w:rPr>
        <w:t xml:space="preserve">הנזירות כאן היא וודאית. </w:t>
      </w:r>
      <w:r>
        <w:rPr>
          <w:rFonts w:asciiTheme="majorBidi" w:hAnsiTheme="majorBidi" w:cstheme="majorBidi" w:hint="cs"/>
          <w:sz w:val="24"/>
          <w:szCs w:val="24"/>
          <w:rtl/>
        </w:rPr>
        <w:t xml:space="preserve">אין להחמיר מדיני ספקות, </w:t>
      </w:r>
      <w:r w:rsidRPr="00C451AC">
        <w:rPr>
          <w:rFonts w:ascii="David" w:hAnsi="David" w:cs="David"/>
          <w:sz w:val="24"/>
          <w:szCs w:val="24"/>
          <w:rtl/>
        </w:rPr>
        <w:t>"דר' יהודה מיקל בכל ספק נזירות. אלא כיון דנחית לנזירות</w:t>
      </w:r>
      <w:r w:rsidR="00413035">
        <w:rPr>
          <w:rFonts w:ascii="David" w:hAnsi="David" w:cs="David" w:hint="cs"/>
          <w:sz w:val="24"/>
          <w:szCs w:val="24"/>
          <w:rtl/>
        </w:rPr>
        <w:t>,</w:t>
      </w:r>
      <w:r w:rsidRPr="00C451AC">
        <w:rPr>
          <w:rFonts w:ascii="David" w:hAnsi="David" w:cs="David"/>
          <w:sz w:val="24"/>
          <w:szCs w:val="24"/>
          <w:rtl/>
        </w:rPr>
        <w:t xml:space="preserve"> הוי ודאי נזיר עולם כיון דסתם נדר".</w:t>
      </w:r>
    </w:p>
    <w:p w14:paraId="5D6ED7EE" w14:textId="3CEBCE0A" w:rsidR="008565DD" w:rsidRDefault="00413035" w:rsidP="00C451AC">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8565DD" w:rsidRPr="008565DD">
        <w:rPr>
          <w:rFonts w:asciiTheme="majorBidi" w:hAnsiTheme="majorBidi" w:cstheme="majorBidi"/>
          <w:b/>
          <w:bCs/>
          <w:sz w:val="24"/>
          <w:szCs w:val="24"/>
          <w:rtl/>
        </w:rPr>
        <w:t>סתם נדרים להחמיר</w:t>
      </w:r>
      <w:r w:rsidR="008565DD" w:rsidRPr="008565DD">
        <w:rPr>
          <w:rStyle w:val="a5"/>
          <w:rFonts w:asciiTheme="majorBidi" w:hAnsiTheme="majorBidi" w:cstheme="majorBidi"/>
          <w:b/>
          <w:bCs/>
          <w:sz w:val="24"/>
          <w:szCs w:val="24"/>
          <w:rtl/>
        </w:rPr>
        <w:footnoteReference w:id="11"/>
      </w:r>
    </w:p>
    <w:p w14:paraId="2F441269" w14:textId="230713F0" w:rsidR="008565DD" w:rsidRDefault="008565DD" w:rsidP="00B753F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שלושה טעמים מצאנו לדין זה של המשנה: 1. עצם זה שהנודר דיבר, </w:t>
      </w:r>
      <w:r w:rsidRPr="008565DD">
        <w:rPr>
          <w:rFonts w:ascii="David" w:hAnsi="David" w:cs="David"/>
          <w:sz w:val="24"/>
          <w:szCs w:val="24"/>
          <w:rtl/>
        </w:rPr>
        <w:t>"דסתם הנודר דעתו לאסור</w:t>
      </w:r>
      <w:r>
        <w:rPr>
          <w:rFonts w:ascii="David" w:hAnsi="David" w:cs="David" w:hint="cs"/>
          <w:sz w:val="24"/>
          <w:szCs w:val="24"/>
          <w:rtl/>
        </w:rPr>
        <w:t>,</w:t>
      </w:r>
      <w:r w:rsidRPr="008565DD">
        <w:rPr>
          <w:rFonts w:ascii="David" w:hAnsi="David" w:cs="David"/>
          <w:sz w:val="24"/>
          <w:szCs w:val="24"/>
          <w:rtl/>
        </w:rPr>
        <w:t xml:space="preserve"> מדלא שתק</w:t>
      </w:r>
      <w:r w:rsidRPr="008565DD">
        <w:rPr>
          <w:rStyle w:val="a5"/>
          <w:rFonts w:ascii="David" w:hAnsi="David" w:cs="David"/>
          <w:sz w:val="24"/>
          <w:szCs w:val="24"/>
          <w:rtl/>
        </w:rPr>
        <w:footnoteReference w:id="12"/>
      </w:r>
      <w:r w:rsidRPr="008565DD">
        <w:rPr>
          <w:rFonts w:ascii="David" w:hAnsi="David" w:cs="David"/>
          <w:sz w:val="24"/>
          <w:szCs w:val="24"/>
          <w:rtl/>
        </w:rPr>
        <w:t xml:space="preserve">". </w:t>
      </w:r>
      <w:r>
        <w:rPr>
          <w:rFonts w:asciiTheme="majorBidi" w:hAnsiTheme="majorBidi" w:cstheme="majorBidi" w:hint="cs"/>
          <w:sz w:val="24"/>
          <w:szCs w:val="24"/>
          <w:rtl/>
        </w:rPr>
        <w:t>2.</w:t>
      </w:r>
      <w:r w:rsidR="00B753F5" w:rsidRPr="00B753F5">
        <w:rPr>
          <w:rtl/>
        </w:rPr>
        <w:t xml:space="preserve"> </w:t>
      </w:r>
      <w:r w:rsidR="00B753F5">
        <w:rPr>
          <w:rFonts w:asciiTheme="majorBidi" w:hAnsiTheme="majorBidi" w:cstheme="majorBidi" w:hint="cs"/>
          <w:sz w:val="24"/>
          <w:szCs w:val="24"/>
          <w:rtl/>
        </w:rPr>
        <w:t>"</w:t>
      </w:r>
      <w:r w:rsidR="00B753F5" w:rsidRPr="00B753F5">
        <w:rPr>
          <w:rFonts w:ascii="David" w:hAnsi="David" w:cs="David"/>
          <w:sz w:val="24"/>
          <w:szCs w:val="24"/>
          <w:rtl/>
        </w:rPr>
        <w:t>ואם סתם אסור - פירוש שאמר שנתכוין סתם למה שהלשון משמע</w:t>
      </w:r>
      <w:r w:rsidR="00B753F5" w:rsidRPr="00B753F5">
        <w:rPr>
          <w:rStyle w:val="a5"/>
          <w:rFonts w:ascii="David" w:hAnsi="David" w:cs="David"/>
          <w:sz w:val="24"/>
          <w:szCs w:val="24"/>
          <w:rtl/>
        </w:rPr>
        <w:footnoteReference w:id="13"/>
      </w:r>
      <w:r w:rsidR="00B753F5">
        <w:rPr>
          <w:rFonts w:ascii="David" w:hAnsi="David" w:cs="David" w:hint="cs"/>
          <w:sz w:val="24"/>
          <w:szCs w:val="24"/>
          <w:rtl/>
        </w:rPr>
        <w:t xml:space="preserve">". </w:t>
      </w:r>
      <w:r w:rsidR="00B753F5">
        <w:rPr>
          <w:rFonts w:asciiTheme="majorBidi" w:hAnsiTheme="majorBidi" w:cstheme="majorBidi" w:hint="cs"/>
          <w:sz w:val="24"/>
          <w:szCs w:val="24"/>
          <w:rtl/>
        </w:rPr>
        <w:t>דהיינו, שאם הנודר אינו מפרש דבריו אחרת, הפירוש הסתמי לדבריו חל לחומרה.</w:t>
      </w:r>
    </w:p>
    <w:p w14:paraId="53739BA2" w14:textId="132EC1B4" w:rsidR="00B753F5" w:rsidRPr="00413035" w:rsidRDefault="00B753F5" w:rsidP="008C5D6B">
      <w:pPr>
        <w:spacing w:after="0" w:line="360" w:lineRule="auto"/>
        <w:rPr>
          <w:rFonts w:ascii="David" w:hAnsi="David" w:cs="David"/>
          <w:sz w:val="24"/>
          <w:szCs w:val="24"/>
          <w:rtl/>
        </w:rPr>
      </w:pPr>
      <w:r>
        <w:rPr>
          <w:rFonts w:asciiTheme="majorBidi" w:hAnsiTheme="majorBidi" w:cstheme="majorBidi" w:hint="cs"/>
          <w:sz w:val="24"/>
          <w:szCs w:val="24"/>
          <w:rtl/>
        </w:rPr>
        <w:t>3. בקרן אורה</w:t>
      </w:r>
      <w:r>
        <w:rPr>
          <w:rStyle w:val="a5"/>
          <w:rFonts w:asciiTheme="majorBidi" w:hAnsiTheme="majorBidi" w:cstheme="majorBidi"/>
          <w:sz w:val="24"/>
          <w:szCs w:val="24"/>
          <w:rtl/>
        </w:rPr>
        <w:footnoteReference w:id="14"/>
      </w:r>
      <w:r>
        <w:rPr>
          <w:rFonts w:asciiTheme="majorBidi" w:hAnsiTheme="majorBidi" w:cstheme="majorBidi" w:hint="cs"/>
          <w:sz w:val="24"/>
          <w:szCs w:val="24"/>
          <w:rtl/>
        </w:rPr>
        <w:t xml:space="preserve"> כתב: </w:t>
      </w:r>
      <w:r>
        <w:rPr>
          <w:rFonts w:asciiTheme="majorBidi" w:hAnsiTheme="majorBidi" w:cs="Times New Roman" w:hint="cs"/>
          <w:sz w:val="24"/>
          <w:szCs w:val="24"/>
          <w:rtl/>
        </w:rPr>
        <w:t xml:space="preserve"> </w:t>
      </w:r>
      <w:r w:rsidRPr="00B753F5">
        <w:rPr>
          <w:rFonts w:ascii="David" w:hAnsi="David" w:cs="David"/>
          <w:sz w:val="24"/>
          <w:szCs w:val="24"/>
          <w:rtl/>
        </w:rPr>
        <w:t>"אין לומר דמספיקא אזלינן לחומרא ככל ספיקא דאורייתא, דהא משמע דהוי נדר גמור ולאו מספק".</w:t>
      </w:r>
      <w:r>
        <w:rPr>
          <w:rFonts w:asciiTheme="majorBidi" w:hAnsiTheme="majorBidi" w:cstheme="majorBidi" w:hint="cs"/>
          <w:sz w:val="24"/>
          <w:szCs w:val="24"/>
          <w:rtl/>
        </w:rPr>
        <w:t xml:space="preserve"> הרב נעם ורשנר מציע ליישב </w:t>
      </w:r>
      <w:r w:rsidR="004F0B97">
        <w:rPr>
          <w:rFonts w:asciiTheme="majorBidi" w:hAnsiTheme="majorBidi" w:cstheme="majorBidi" w:hint="cs"/>
          <w:sz w:val="24"/>
          <w:szCs w:val="24"/>
          <w:rtl/>
        </w:rPr>
        <w:t>ב</w:t>
      </w:r>
      <w:r>
        <w:rPr>
          <w:rFonts w:asciiTheme="majorBidi" w:hAnsiTheme="majorBidi" w:cstheme="majorBidi" w:hint="cs"/>
          <w:sz w:val="24"/>
          <w:szCs w:val="24"/>
          <w:rtl/>
        </w:rPr>
        <w:t xml:space="preserve">דרך זו: </w:t>
      </w:r>
      <w:r w:rsidRPr="00413035">
        <w:rPr>
          <w:rFonts w:ascii="David" w:hAnsi="David" w:cs="David"/>
          <w:sz w:val="24"/>
          <w:szCs w:val="24"/>
          <w:rtl/>
        </w:rPr>
        <w:t>"לאחר ההכרעה גדר הדין הוא בתורת וודאי ולא בתורת ספק</w:t>
      </w:r>
      <w:r w:rsidRPr="00413035">
        <w:rPr>
          <w:rStyle w:val="a5"/>
          <w:rFonts w:ascii="David" w:hAnsi="David" w:cs="David"/>
          <w:sz w:val="24"/>
          <w:szCs w:val="24"/>
          <w:rtl/>
        </w:rPr>
        <w:footnoteReference w:id="15"/>
      </w:r>
      <w:r w:rsidRPr="00413035">
        <w:rPr>
          <w:rFonts w:ascii="David" w:hAnsi="David" w:cs="David"/>
          <w:sz w:val="24"/>
          <w:szCs w:val="24"/>
          <w:rtl/>
        </w:rPr>
        <w:t>".</w:t>
      </w:r>
    </w:p>
    <w:p w14:paraId="68C33A66" w14:textId="1319E6D1" w:rsidR="005816BA" w:rsidRDefault="00413035" w:rsidP="00C451AC">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ד. סתם נזירות</w:t>
      </w:r>
      <w:r w:rsidR="005816BA">
        <w:rPr>
          <w:rFonts w:asciiTheme="majorBidi" w:hAnsiTheme="majorBidi" w:cstheme="majorBidi" w:hint="cs"/>
          <w:b/>
          <w:bCs/>
          <w:sz w:val="24"/>
          <w:szCs w:val="24"/>
          <w:rtl/>
        </w:rPr>
        <w:t xml:space="preserve"> להקל</w:t>
      </w:r>
    </w:p>
    <w:p w14:paraId="4053142A" w14:textId="548CB052" w:rsidR="0086245F" w:rsidRPr="0086245F" w:rsidRDefault="005816BA" w:rsidP="0086245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שנינו: </w:t>
      </w:r>
      <w:r w:rsidRPr="005816BA">
        <w:rPr>
          <w:rFonts w:ascii="David" w:hAnsi="David" w:cs="David"/>
          <w:sz w:val="24"/>
          <w:szCs w:val="24"/>
          <w:rtl/>
        </w:rPr>
        <w:t xml:space="preserve">"אלו ספיקות שטיהרו חכמים.. ספק דברי סופרים.. </w:t>
      </w:r>
      <w:r w:rsidRPr="00413035">
        <w:rPr>
          <w:rFonts w:ascii="David" w:hAnsi="David" w:cs="David"/>
          <w:b/>
          <w:bCs/>
          <w:sz w:val="24"/>
          <w:szCs w:val="24"/>
          <w:rtl/>
        </w:rPr>
        <w:t>ספק נזירות</w:t>
      </w:r>
      <w:r w:rsidR="00C32A82">
        <w:rPr>
          <w:rFonts w:ascii="David" w:hAnsi="David" w:cs="David" w:hint="cs"/>
          <w:b/>
          <w:bCs/>
          <w:sz w:val="24"/>
          <w:szCs w:val="24"/>
          <w:rtl/>
        </w:rPr>
        <w:t>,</w:t>
      </w:r>
      <w:r w:rsidRPr="005816BA">
        <w:rPr>
          <w:rFonts w:ascii="David" w:hAnsi="David" w:cs="David"/>
          <w:sz w:val="24"/>
          <w:szCs w:val="24"/>
          <w:rtl/>
        </w:rPr>
        <w:t xml:space="preserve"> ספק בכורות</w:t>
      </w:r>
      <w:r w:rsidR="00C32A82">
        <w:rPr>
          <w:rFonts w:ascii="David" w:hAnsi="David" w:cs="David" w:hint="cs"/>
          <w:sz w:val="24"/>
          <w:szCs w:val="24"/>
          <w:rtl/>
        </w:rPr>
        <w:t>,</w:t>
      </w:r>
      <w:r w:rsidRPr="005816BA">
        <w:rPr>
          <w:rFonts w:ascii="David" w:hAnsi="David" w:cs="David"/>
          <w:sz w:val="24"/>
          <w:szCs w:val="24"/>
          <w:rtl/>
        </w:rPr>
        <w:t xml:space="preserve"> וספק קרבנות</w:t>
      </w:r>
      <w:r>
        <w:rPr>
          <w:rStyle w:val="a5"/>
          <w:rFonts w:ascii="David" w:hAnsi="David" w:cs="David"/>
          <w:sz w:val="24"/>
          <w:szCs w:val="24"/>
          <w:rtl/>
        </w:rPr>
        <w:footnoteReference w:id="16"/>
      </w:r>
      <w:r w:rsidRPr="005816BA">
        <w:rPr>
          <w:rFonts w:ascii="David" w:hAnsi="David" w:cs="David"/>
          <w:sz w:val="24"/>
          <w:szCs w:val="24"/>
          <w:rtl/>
        </w:rPr>
        <w:t xml:space="preserve">". </w:t>
      </w:r>
      <w:r w:rsidR="0086245F">
        <w:rPr>
          <w:rFonts w:asciiTheme="majorBidi" w:hAnsiTheme="majorBidi" w:cs="Times New Roman" w:hint="cs"/>
          <w:sz w:val="24"/>
          <w:szCs w:val="24"/>
          <w:rtl/>
        </w:rPr>
        <w:t xml:space="preserve"> </w:t>
      </w:r>
      <w:r w:rsidR="0086245F" w:rsidRPr="0086245F">
        <w:rPr>
          <w:rFonts w:asciiTheme="majorBidi" w:hAnsiTheme="majorBidi" w:cs="Times New Roman"/>
          <w:sz w:val="24"/>
          <w:szCs w:val="24"/>
          <w:rtl/>
        </w:rPr>
        <w:t xml:space="preserve"> </w:t>
      </w:r>
      <w:r w:rsidR="0086245F">
        <w:rPr>
          <w:rFonts w:asciiTheme="majorBidi" w:hAnsiTheme="majorBidi" w:cs="Times New Roman" w:hint="cs"/>
          <w:sz w:val="24"/>
          <w:szCs w:val="24"/>
          <w:rtl/>
        </w:rPr>
        <w:t>הגמרא</w:t>
      </w:r>
      <w:r w:rsidR="0086245F" w:rsidRPr="0086245F">
        <w:rPr>
          <w:rFonts w:asciiTheme="majorBidi" w:hAnsiTheme="majorBidi" w:cs="Times New Roman"/>
          <w:sz w:val="24"/>
          <w:szCs w:val="24"/>
          <w:rtl/>
        </w:rPr>
        <w:t xml:space="preserve"> </w:t>
      </w:r>
      <w:r w:rsidR="0086245F">
        <w:rPr>
          <w:rFonts w:asciiTheme="majorBidi" w:hAnsiTheme="majorBidi" w:cs="Times New Roman" w:hint="cs"/>
          <w:sz w:val="24"/>
          <w:szCs w:val="24"/>
          <w:rtl/>
        </w:rPr>
        <w:t>ב</w:t>
      </w:r>
      <w:r w:rsidR="0086245F" w:rsidRPr="0086245F">
        <w:rPr>
          <w:rFonts w:asciiTheme="majorBidi" w:hAnsiTheme="majorBidi" w:cs="Times New Roman"/>
          <w:sz w:val="24"/>
          <w:szCs w:val="24"/>
          <w:rtl/>
        </w:rPr>
        <w:t xml:space="preserve">נדרים </w:t>
      </w:r>
      <w:r w:rsidR="0086245F">
        <w:rPr>
          <w:rFonts w:asciiTheme="majorBidi" w:hAnsiTheme="majorBidi" w:cstheme="majorBidi" w:hint="cs"/>
          <w:sz w:val="24"/>
          <w:szCs w:val="24"/>
          <w:rtl/>
        </w:rPr>
        <w:t xml:space="preserve">מקשה ממשנה זו על </w:t>
      </w:r>
      <w:r w:rsidR="008565DD">
        <w:rPr>
          <w:rFonts w:asciiTheme="majorBidi" w:hAnsiTheme="majorBidi" w:cstheme="majorBidi" w:hint="cs"/>
          <w:sz w:val="24"/>
          <w:szCs w:val="24"/>
          <w:rtl/>
        </w:rPr>
        <w:t>ה</w:t>
      </w:r>
      <w:r w:rsidR="0086245F">
        <w:rPr>
          <w:rFonts w:asciiTheme="majorBidi" w:hAnsiTheme="majorBidi" w:cstheme="majorBidi" w:hint="cs"/>
          <w:sz w:val="24"/>
          <w:szCs w:val="24"/>
          <w:rtl/>
        </w:rPr>
        <w:t xml:space="preserve">משנה </w:t>
      </w:r>
      <w:r w:rsidR="008565DD">
        <w:rPr>
          <w:rFonts w:asciiTheme="majorBidi" w:hAnsiTheme="majorBidi" w:cstheme="majorBidi" w:hint="cs"/>
          <w:sz w:val="24"/>
          <w:szCs w:val="24"/>
          <w:rtl/>
        </w:rPr>
        <w:t>ש</w:t>
      </w:r>
      <w:r w:rsidR="00C32A82">
        <w:rPr>
          <w:rFonts w:asciiTheme="majorBidi" w:hAnsiTheme="majorBidi" w:cstheme="majorBidi" w:hint="cs"/>
          <w:sz w:val="24"/>
          <w:szCs w:val="24"/>
          <w:rtl/>
        </w:rPr>
        <w:t>קבע</w:t>
      </w:r>
      <w:r w:rsidR="008565DD">
        <w:rPr>
          <w:rFonts w:asciiTheme="majorBidi" w:hAnsiTheme="majorBidi" w:cstheme="majorBidi" w:hint="cs"/>
          <w:sz w:val="24"/>
          <w:szCs w:val="24"/>
          <w:rtl/>
        </w:rPr>
        <w:t>ה</w:t>
      </w:r>
      <w:r w:rsidR="00C32A82">
        <w:rPr>
          <w:rFonts w:asciiTheme="majorBidi" w:hAnsiTheme="majorBidi" w:cstheme="majorBidi" w:hint="cs"/>
          <w:sz w:val="24"/>
          <w:szCs w:val="24"/>
          <w:rtl/>
        </w:rPr>
        <w:t>:</w:t>
      </w:r>
    </w:p>
    <w:p w14:paraId="091C3A47" w14:textId="0C6DD63D" w:rsidR="005816BA" w:rsidRDefault="0086245F" w:rsidP="0086245F">
      <w:pPr>
        <w:spacing w:after="0" w:line="360" w:lineRule="auto"/>
        <w:rPr>
          <w:rFonts w:asciiTheme="majorBidi" w:hAnsiTheme="majorBidi" w:cstheme="majorBidi"/>
          <w:sz w:val="24"/>
          <w:szCs w:val="24"/>
          <w:rtl/>
        </w:rPr>
      </w:pPr>
      <w:r w:rsidRPr="0086245F">
        <w:rPr>
          <w:rFonts w:ascii="David" w:hAnsi="David" w:cs="David"/>
          <w:sz w:val="24"/>
          <w:szCs w:val="24"/>
          <w:rtl/>
        </w:rPr>
        <w:lastRenderedPageBreak/>
        <w:t>"סתם נדרים להחמיר</w:t>
      </w:r>
      <w:r w:rsidR="008565DD">
        <w:rPr>
          <w:rFonts w:ascii="David" w:hAnsi="David" w:cs="David" w:hint="cs"/>
          <w:sz w:val="24"/>
          <w:szCs w:val="24"/>
          <w:rtl/>
        </w:rPr>
        <w:t>"</w:t>
      </w:r>
      <w:r w:rsidRPr="0086245F">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ומתרצת כמה תירוצים: </w:t>
      </w:r>
    </w:p>
    <w:p w14:paraId="43C3621E" w14:textId="39A0201B" w:rsidR="0086245F" w:rsidRPr="0086245F" w:rsidRDefault="0086245F" w:rsidP="0086245F">
      <w:pPr>
        <w:pStyle w:val="a6"/>
        <w:numPr>
          <w:ilvl w:val="0"/>
          <w:numId w:val="1"/>
        </w:numPr>
        <w:spacing w:after="0" w:line="360" w:lineRule="auto"/>
        <w:rPr>
          <w:rFonts w:ascii="David" w:hAnsi="David" w:cs="David"/>
          <w:sz w:val="24"/>
          <w:szCs w:val="24"/>
        </w:rPr>
      </w:pPr>
      <w:r>
        <w:rPr>
          <w:rFonts w:ascii="David" w:hAnsi="David" w:cs="David" w:hint="cs"/>
          <w:sz w:val="24"/>
          <w:szCs w:val="24"/>
          <w:rtl/>
        </w:rPr>
        <w:t>"</w:t>
      </w:r>
      <w:r w:rsidRPr="0086245F">
        <w:rPr>
          <w:rFonts w:ascii="David" w:hAnsi="David" w:cs="David"/>
          <w:sz w:val="24"/>
          <w:szCs w:val="24"/>
          <w:rtl/>
        </w:rPr>
        <w:t>אמר ר' זירא, לא קשיא: הא ר' אליעזר, הא רבנן</w:t>
      </w:r>
      <w:r>
        <w:rPr>
          <w:rFonts w:ascii="David" w:hAnsi="David" w:cs="David" w:hint="cs"/>
          <w:sz w:val="24"/>
          <w:szCs w:val="24"/>
          <w:rtl/>
        </w:rPr>
        <w:t xml:space="preserve">" </w:t>
      </w:r>
      <w:r>
        <w:rPr>
          <w:rFonts w:asciiTheme="majorBidi" w:hAnsiTheme="majorBidi" w:cstheme="majorBidi" w:hint="cs"/>
          <w:sz w:val="24"/>
          <w:szCs w:val="24"/>
          <w:rtl/>
        </w:rPr>
        <w:t>שנחלקו בדין המקדיש בהמתו האם כלל את הכוי. ל</w:t>
      </w:r>
      <w:r w:rsidR="00C32A82">
        <w:rPr>
          <w:rFonts w:asciiTheme="majorBidi" w:hAnsiTheme="majorBidi" w:cstheme="majorBidi" w:hint="cs"/>
          <w:sz w:val="24"/>
          <w:szCs w:val="24"/>
          <w:rtl/>
        </w:rPr>
        <w:t xml:space="preserve">פי </w:t>
      </w:r>
      <w:r>
        <w:rPr>
          <w:rFonts w:asciiTheme="majorBidi" w:hAnsiTheme="majorBidi" w:cstheme="majorBidi" w:hint="cs"/>
          <w:sz w:val="24"/>
          <w:szCs w:val="24"/>
          <w:rtl/>
        </w:rPr>
        <w:t>חכמים אדם נכנס להקדש מספק. תירוץ זה נדחה בסופו של דבר.</w:t>
      </w:r>
    </w:p>
    <w:p w14:paraId="3BF8D406" w14:textId="54B781D2" w:rsidR="0086245F" w:rsidRPr="00834288" w:rsidRDefault="00834288" w:rsidP="0086245F">
      <w:pPr>
        <w:pStyle w:val="a6"/>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תירוצו של אביי:</w:t>
      </w:r>
      <w:r w:rsidR="0086245F">
        <w:rPr>
          <w:rFonts w:ascii="David" w:hAnsi="David" w:cs="David" w:hint="cs"/>
          <w:sz w:val="24"/>
          <w:szCs w:val="24"/>
          <w:rtl/>
        </w:rPr>
        <w:t xml:space="preserve"> </w:t>
      </w:r>
      <w:r w:rsidR="0086245F" w:rsidRPr="0086245F">
        <w:rPr>
          <w:rFonts w:ascii="David" w:hAnsi="David" w:cs="David"/>
          <w:sz w:val="24"/>
          <w:szCs w:val="24"/>
          <w:rtl/>
        </w:rPr>
        <w:t xml:space="preserve"> </w:t>
      </w:r>
      <w:r w:rsidR="0086245F" w:rsidRPr="0086245F">
        <w:rPr>
          <w:rFonts w:ascii="David" w:hAnsi="David" w:cs="David" w:hint="cs"/>
          <w:sz w:val="24"/>
          <w:szCs w:val="24"/>
          <w:rtl/>
        </w:rPr>
        <w:t>"</w:t>
      </w:r>
      <w:r w:rsidR="0086245F" w:rsidRPr="0086245F">
        <w:rPr>
          <w:rFonts w:ascii="David" w:hAnsi="David" w:cs="David"/>
          <w:sz w:val="24"/>
          <w:szCs w:val="24"/>
          <w:rtl/>
        </w:rPr>
        <w:t>הא רבי יהודה, והא ר"ש</w:t>
      </w:r>
      <w:r w:rsidR="0086245F">
        <w:rPr>
          <w:rStyle w:val="a5"/>
          <w:rFonts w:ascii="David" w:hAnsi="David" w:cs="David"/>
          <w:sz w:val="24"/>
          <w:szCs w:val="24"/>
          <w:rtl/>
        </w:rPr>
        <w:footnoteReference w:id="17"/>
      </w:r>
      <w:r w:rsidR="0086245F" w:rsidRPr="0086245F">
        <w:rPr>
          <w:rFonts w:ascii="David" w:hAnsi="David" w:cs="David" w:hint="cs"/>
          <w:sz w:val="24"/>
          <w:szCs w:val="24"/>
          <w:rtl/>
        </w:rPr>
        <w:t>"</w:t>
      </w:r>
      <w:r w:rsidR="0086245F">
        <w:rPr>
          <w:rFonts w:ascii="David" w:hAnsi="David" w:cs="David" w:hint="cs"/>
          <w:sz w:val="24"/>
          <w:szCs w:val="24"/>
          <w:rtl/>
        </w:rPr>
        <w:t xml:space="preserve">. </w:t>
      </w:r>
      <w:r w:rsidR="0086245F">
        <w:rPr>
          <w:rFonts w:asciiTheme="majorBidi" w:hAnsiTheme="majorBidi" w:cstheme="majorBidi" w:hint="cs"/>
          <w:sz w:val="24"/>
          <w:szCs w:val="24"/>
          <w:rtl/>
        </w:rPr>
        <w:t xml:space="preserve">התימוכין לכך היא הברייתא בסוגייתנו, על </w:t>
      </w:r>
      <w:r w:rsidR="0086245F" w:rsidRPr="00834288">
        <w:rPr>
          <w:rFonts w:asciiTheme="majorBidi" w:hAnsiTheme="majorBidi" w:cstheme="majorBidi"/>
          <w:sz w:val="24"/>
          <w:szCs w:val="24"/>
          <w:rtl/>
        </w:rPr>
        <w:t>כור שנגנב.</w:t>
      </w:r>
      <w:r w:rsidRPr="00834288">
        <w:rPr>
          <w:rFonts w:asciiTheme="majorBidi" w:hAnsiTheme="majorBidi" w:cstheme="majorBidi"/>
          <w:sz w:val="24"/>
          <w:szCs w:val="24"/>
          <w:rtl/>
        </w:rPr>
        <w:t xml:space="preserve"> לפי שני תירוצים אלו, אין כל הבדל בין נדרים לבין </w:t>
      </w:r>
      <w:r w:rsidR="00413035">
        <w:rPr>
          <w:rFonts w:asciiTheme="majorBidi" w:hAnsiTheme="majorBidi" w:cstheme="majorBidi"/>
          <w:sz w:val="24"/>
          <w:szCs w:val="24"/>
          <w:rtl/>
        </w:rPr>
        <w:t>נזירות</w:t>
      </w:r>
      <w:r w:rsidRPr="00834288">
        <w:rPr>
          <w:rFonts w:asciiTheme="majorBidi" w:hAnsiTheme="majorBidi" w:cstheme="majorBidi"/>
          <w:sz w:val="24"/>
          <w:szCs w:val="24"/>
          <w:rtl/>
        </w:rPr>
        <w:t>.</w:t>
      </w:r>
    </w:p>
    <w:p w14:paraId="515EF9F9" w14:textId="74E481D0" w:rsidR="00692D11" w:rsidRDefault="00692D11" w:rsidP="00692D11">
      <w:pPr>
        <w:pStyle w:val="a6"/>
        <w:spacing w:after="0" w:line="360" w:lineRule="auto"/>
        <w:rPr>
          <w:rFonts w:asciiTheme="majorBidi" w:hAnsiTheme="majorBidi" w:cstheme="majorBidi"/>
          <w:sz w:val="24"/>
          <w:szCs w:val="24"/>
          <w:rtl/>
        </w:rPr>
      </w:pPr>
      <w:r w:rsidRPr="00692D11">
        <w:rPr>
          <w:rFonts w:asciiTheme="majorBidi" w:hAnsiTheme="majorBidi" w:cstheme="majorBidi"/>
          <w:sz w:val="24"/>
          <w:szCs w:val="24"/>
          <w:rtl/>
        </w:rPr>
        <w:t>על כך מקשה הגמרא מספק תרומת הלשכה</w:t>
      </w:r>
      <w:r w:rsidR="00994CEA">
        <w:rPr>
          <w:rFonts w:asciiTheme="majorBidi" w:hAnsiTheme="majorBidi" w:cstheme="majorBidi" w:hint="cs"/>
          <w:sz w:val="24"/>
          <w:szCs w:val="24"/>
          <w:rtl/>
        </w:rPr>
        <w:t>,</w:t>
      </w:r>
      <w:r w:rsidRPr="00692D11">
        <w:rPr>
          <w:rFonts w:asciiTheme="majorBidi" w:hAnsiTheme="majorBidi" w:cstheme="majorBidi"/>
          <w:sz w:val="24"/>
          <w:szCs w:val="24"/>
          <w:rtl/>
        </w:rPr>
        <w:t xml:space="preserve"> בו רבי יהודה מחמיר. </w:t>
      </w:r>
      <w:r>
        <w:rPr>
          <w:rFonts w:asciiTheme="majorBidi" w:hAnsiTheme="majorBidi" w:cstheme="majorBidi" w:hint="cs"/>
          <w:sz w:val="24"/>
          <w:szCs w:val="24"/>
          <w:rtl/>
        </w:rPr>
        <w:t>כדי לתרץ זאת מציע רבא קריטריון נוסף, ייחודי ל</w:t>
      </w:r>
      <w:r w:rsidR="00413035">
        <w:rPr>
          <w:rFonts w:asciiTheme="majorBidi" w:hAnsiTheme="majorBidi" w:cstheme="majorBidi" w:hint="cs"/>
          <w:sz w:val="24"/>
          <w:szCs w:val="24"/>
          <w:rtl/>
        </w:rPr>
        <w:t>נזירות</w:t>
      </w:r>
      <w:r>
        <w:rPr>
          <w:rFonts w:asciiTheme="majorBidi" w:hAnsiTheme="majorBidi" w:cstheme="majorBidi" w:hint="cs"/>
          <w:sz w:val="24"/>
          <w:szCs w:val="24"/>
          <w:rtl/>
        </w:rPr>
        <w:t xml:space="preserve">: </w:t>
      </w:r>
    </w:p>
    <w:p w14:paraId="1A97EEA2" w14:textId="6B3CB82A" w:rsidR="00692D11" w:rsidRDefault="00692D11" w:rsidP="00692D11">
      <w:pPr>
        <w:pStyle w:val="a6"/>
        <w:numPr>
          <w:ilvl w:val="0"/>
          <w:numId w:val="1"/>
        </w:numPr>
        <w:spacing w:after="0" w:line="360" w:lineRule="auto"/>
        <w:rPr>
          <w:rFonts w:asciiTheme="majorBidi" w:hAnsiTheme="majorBidi" w:cstheme="majorBidi"/>
          <w:sz w:val="24"/>
          <w:szCs w:val="24"/>
        </w:rPr>
      </w:pPr>
      <w:r>
        <w:rPr>
          <w:rFonts w:asciiTheme="majorBidi" w:hAnsiTheme="majorBidi" w:cs="Times New Roman" w:hint="cs"/>
          <w:sz w:val="24"/>
          <w:szCs w:val="24"/>
          <w:rtl/>
        </w:rPr>
        <w:t xml:space="preserve"> </w:t>
      </w:r>
      <w:r w:rsidRPr="00692D11">
        <w:rPr>
          <w:rFonts w:asciiTheme="majorBidi" w:hAnsiTheme="majorBidi" w:cs="Times New Roman"/>
          <w:sz w:val="24"/>
          <w:szCs w:val="24"/>
          <w:rtl/>
        </w:rPr>
        <w:t xml:space="preserve"> </w:t>
      </w:r>
      <w:r w:rsidRPr="00692D11">
        <w:rPr>
          <w:rFonts w:ascii="David" w:hAnsi="David" w:cs="David"/>
          <w:sz w:val="24"/>
          <w:szCs w:val="24"/>
          <w:rtl/>
        </w:rPr>
        <w:t>"אמר רבא, גבי כרי קסבר: כל שספיקו חמור מודאי לא מעייל נפשיה לספיקא, דאילו גבי נזיר ודאי, מגלח ומביא קרבן ונאכל, על ספיקו לא מצי מגלח</w:t>
      </w:r>
      <w:r w:rsidRPr="00692D11">
        <w:rPr>
          <w:rStyle w:val="a5"/>
          <w:rFonts w:ascii="David" w:hAnsi="David" w:cs="David"/>
          <w:sz w:val="24"/>
          <w:szCs w:val="24"/>
          <w:rtl/>
        </w:rPr>
        <w:footnoteReference w:id="18"/>
      </w:r>
      <w:r w:rsidRPr="00692D11">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הגמרא מקשה, שכלל זה איננו מתאים לכל המקרים, שכן בנזירות שמשון גם בוודאה אין כל דרך לגלח. רבא מנסה לומר שבאמת </w:t>
      </w:r>
      <w:r w:rsidR="00413035">
        <w:rPr>
          <w:rFonts w:asciiTheme="majorBidi" w:hAnsiTheme="majorBidi" w:cstheme="majorBidi" w:hint="cs"/>
          <w:sz w:val="24"/>
          <w:szCs w:val="24"/>
          <w:rtl/>
        </w:rPr>
        <w:t>נזירות</w:t>
      </w:r>
      <w:r>
        <w:rPr>
          <w:rFonts w:asciiTheme="majorBidi" w:hAnsiTheme="majorBidi" w:cstheme="majorBidi" w:hint="cs"/>
          <w:sz w:val="24"/>
          <w:szCs w:val="24"/>
          <w:rtl/>
        </w:rPr>
        <w:t xml:space="preserve"> שמשון איננה כלולה, אולם כשמוצגת לו ברייתא בנושא הוא מקבל ואומר:</w:t>
      </w:r>
    </w:p>
    <w:p w14:paraId="2DBE8526" w14:textId="71DD73E3" w:rsidR="00834288" w:rsidRPr="00834288" w:rsidRDefault="00692D11" w:rsidP="00834288">
      <w:pPr>
        <w:pStyle w:val="a6"/>
        <w:spacing w:after="0" w:line="360" w:lineRule="auto"/>
        <w:rPr>
          <w:rFonts w:asciiTheme="majorBidi" w:hAnsiTheme="majorBidi" w:cstheme="majorBidi"/>
          <w:sz w:val="24"/>
          <w:szCs w:val="24"/>
          <w:rtl/>
        </w:rPr>
      </w:pPr>
      <w:r w:rsidRPr="00692D11">
        <w:rPr>
          <w:rFonts w:ascii="David" w:hAnsi="David" w:cs="David"/>
          <w:sz w:val="24"/>
          <w:szCs w:val="24"/>
          <w:rtl/>
        </w:rPr>
        <w:t xml:space="preserve"> "אי תניא תניא".</w:t>
      </w:r>
      <w:r>
        <w:rPr>
          <w:rFonts w:ascii="David" w:hAnsi="David" w:cs="David" w:hint="cs"/>
          <w:sz w:val="24"/>
          <w:szCs w:val="24"/>
          <w:rtl/>
        </w:rPr>
        <w:t xml:space="preserve"> </w:t>
      </w:r>
      <w:r>
        <w:rPr>
          <w:rFonts w:asciiTheme="majorBidi" w:hAnsiTheme="majorBidi" w:cstheme="majorBidi" w:hint="cs"/>
          <w:sz w:val="24"/>
          <w:szCs w:val="24"/>
          <w:rtl/>
        </w:rPr>
        <w:t xml:space="preserve">הר"ן מציע לכך שני פירושים: </w:t>
      </w:r>
      <w:r w:rsidR="00834288">
        <w:rPr>
          <w:rFonts w:asciiTheme="majorBidi" w:hAnsiTheme="majorBidi" w:cs="Times New Roman" w:hint="cs"/>
          <w:sz w:val="24"/>
          <w:szCs w:val="24"/>
          <w:rtl/>
        </w:rPr>
        <w:t xml:space="preserve"> </w:t>
      </w:r>
    </w:p>
    <w:p w14:paraId="3925336B" w14:textId="4EFC7A1C" w:rsidR="00692D11" w:rsidRDefault="00834288" w:rsidP="00834288">
      <w:pPr>
        <w:pStyle w:val="a6"/>
        <w:spacing w:after="0" w:line="360" w:lineRule="auto"/>
        <w:rPr>
          <w:rFonts w:ascii="David" w:hAnsi="David" w:cs="David"/>
          <w:sz w:val="24"/>
          <w:szCs w:val="24"/>
          <w:rtl/>
        </w:rPr>
      </w:pPr>
      <w:r w:rsidRPr="00834288">
        <w:rPr>
          <w:rFonts w:ascii="David" w:hAnsi="David" w:cs="David"/>
          <w:sz w:val="24"/>
          <w:szCs w:val="24"/>
          <w:rtl/>
        </w:rPr>
        <w:t>"ולא ידענא לפרוקא דלא תקשי..  א"נ</w:t>
      </w:r>
      <w:r w:rsidR="00C32A82">
        <w:rPr>
          <w:rFonts w:ascii="David" w:hAnsi="David" w:cs="David" w:hint="cs"/>
          <w:sz w:val="24"/>
          <w:szCs w:val="24"/>
          <w:rtl/>
        </w:rPr>
        <w:t>,</w:t>
      </w:r>
      <w:r w:rsidRPr="00834288">
        <w:rPr>
          <w:rFonts w:ascii="David" w:hAnsi="David" w:cs="David"/>
          <w:sz w:val="24"/>
          <w:szCs w:val="24"/>
          <w:rtl/>
        </w:rPr>
        <w:t xml:space="preserve"> אי תניא תניא ותרי תנאי אליבא דרבי יהודה".</w:t>
      </w:r>
    </w:p>
    <w:p w14:paraId="613D1F8D" w14:textId="3BD55DAC" w:rsidR="008C5D6B" w:rsidRPr="00814385" w:rsidRDefault="008C5D6B" w:rsidP="00834288">
      <w:pPr>
        <w:pStyle w:val="a6"/>
        <w:spacing w:after="0" w:line="360" w:lineRule="auto"/>
        <w:rPr>
          <w:rFonts w:ascii="David" w:hAnsi="David" w:cs="David"/>
          <w:sz w:val="24"/>
          <w:szCs w:val="24"/>
          <w:rtl/>
        </w:rPr>
      </w:pPr>
      <w:r>
        <w:rPr>
          <w:rFonts w:asciiTheme="majorBidi" w:hAnsiTheme="majorBidi" w:cstheme="majorBidi" w:hint="cs"/>
          <w:sz w:val="24"/>
          <w:szCs w:val="24"/>
          <w:rtl/>
        </w:rPr>
        <w:t>אם נניח שתירוצו של רבא נשאר על כנו, ניתן לבארו בפשטות שקיימת אומדנא חזקה שאדם לא יכנס ל</w:t>
      </w:r>
      <w:r w:rsidR="00413035">
        <w:rPr>
          <w:rFonts w:asciiTheme="majorBidi" w:hAnsiTheme="majorBidi" w:cstheme="majorBidi" w:hint="cs"/>
          <w:sz w:val="24"/>
          <w:szCs w:val="24"/>
          <w:rtl/>
        </w:rPr>
        <w:t>נזירות</w:t>
      </w:r>
      <w:r>
        <w:rPr>
          <w:rFonts w:asciiTheme="majorBidi" w:hAnsiTheme="majorBidi" w:cstheme="majorBidi" w:hint="cs"/>
          <w:sz w:val="24"/>
          <w:szCs w:val="24"/>
          <w:rtl/>
        </w:rPr>
        <w:t xml:space="preserve"> שלא ניתן לסיימה. במקרה כזה יש לחשב בכל מקרה שאין מוצא הלכתי</w:t>
      </w:r>
      <w:r w:rsidR="00C32A82">
        <w:rPr>
          <w:rFonts w:asciiTheme="majorBidi" w:hAnsiTheme="majorBidi" w:cstheme="majorBidi" w:hint="cs"/>
          <w:sz w:val="24"/>
          <w:szCs w:val="24"/>
          <w:rtl/>
        </w:rPr>
        <w:t>, כיצד</w:t>
      </w:r>
      <w:r>
        <w:rPr>
          <w:rFonts w:asciiTheme="majorBidi" w:hAnsiTheme="majorBidi" w:cstheme="majorBidi" w:hint="cs"/>
          <w:sz w:val="24"/>
          <w:szCs w:val="24"/>
          <w:rtl/>
        </w:rPr>
        <w:t xml:space="preserve"> לנדור </w:t>
      </w:r>
      <w:r w:rsidR="00413035">
        <w:rPr>
          <w:rFonts w:asciiTheme="majorBidi" w:hAnsiTheme="majorBidi" w:cstheme="majorBidi" w:hint="cs"/>
          <w:sz w:val="24"/>
          <w:szCs w:val="24"/>
          <w:rtl/>
        </w:rPr>
        <w:t>נזירות</w:t>
      </w:r>
      <w:r>
        <w:rPr>
          <w:rFonts w:asciiTheme="majorBidi" w:hAnsiTheme="majorBidi" w:cstheme="majorBidi" w:hint="cs"/>
          <w:sz w:val="24"/>
          <w:szCs w:val="24"/>
          <w:rtl/>
        </w:rPr>
        <w:t xml:space="preserve"> נוספת בה ניתן לכסות את כל צדדי הספק</w:t>
      </w:r>
      <w:r>
        <w:rPr>
          <w:rStyle w:val="a5"/>
          <w:rFonts w:asciiTheme="majorBidi" w:hAnsiTheme="majorBidi" w:cstheme="majorBidi"/>
          <w:sz w:val="24"/>
          <w:szCs w:val="24"/>
          <w:rtl/>
        </w:rPr>
        <w:footnoteReference w:id="19"/>
      </w:r>
      <w:r>
        <w:rPr>
          <w:rFonts w:asciiTheme="majorBidi" w:hAnsiTheme="majorBidi" w:cstheme="majorBidi" w:hint="cs"/>
          <w:sz w:val="24"/>
          <w:szCs w:val="24"/>
          <w:rtl/>
        </w:rPr>
        <w:t xml:space="preserve">. </w:t>
      </w:r>
      <w:r w:rsidRPr="00814385">
        <w:rPr>
          <w:rFonts w:ascii="David" w:hAnsi="David" w:cs="David"/>
          <w:sz w:val="24"/>
          <w:szCs w:val="24"/>
          <w:rtl/>
        </w:rPr>
        <w:t>"אולם יתכן להציע ש..גלומה כאן נקודה יסודית במהות ה</w:t>
      </w:r>
      <w:r w:rsidR="00413035">
        <w:rPr>
          <w:rFonts w:ascii="David" w:hAnsi="David" w:cs="David"/>
          <w:sz w:val="24"/>
          <w:szCs w:val="24"/>
          <w:rtl/>
        </w:rPr>
        <w:t>נזירות</w:t>
      </w:r>
      <w:r w:rsidRPr="00814385">
        <w:rPr>
          <w:rFonts w:ascii="David" w:hAnsi="David" w:cs="David"/>
          <w:sz w:val="24"/>
          <w:szCs w:val="24"/>
          <w:rtl/>
        </w:rPr>
        <w:t>.. סיום ה</w:t>
      </w:r>
      <w:r w:rsidR="00413035">
        <w:rPr>
          <w:rFonts w:ascii="David" w:hAnsi="David" w:cs="David"/>
          <w:sz w:val="24"/>
          <w:szCs w:val="24"/>
          <w:rtl/>
        </w:rPr>
        <w:t>נזירות</w:t>
      </w:r>
      <w:r w:rsidRPr="00814385">
        <w:rPr>
          <w:rFonts w:ascii="David" w:hAnsi="David" w:cs="David"/>
          <w:sz w:val="24"/>
          <w:szCs w:val="24"/>
          <w:rtl/>
        </w:rPr>
        <w:t xml:space="preserve"> כולל דברים שהתורה לא מאפשרת לאדם רגיל לעשותם, דהיינו הבאת קרבן חטאת כתוצאה מנדר, וגילוח כל הראש... נזירות במהותה אינה קבלה אנושית רגילה</w:t>
      </w:r>
      <w:r w:rsidR="00814385" w:rsidRPr="00814385">
        <w:rPr>
          <w:rFonts w:ascii="David" w:hAnsi="David" w:cs="David"/>
          <w:sz w:val="24"/>
          <w:szCs w:val="24"/>
          <w:rtl/>
        </w:rPr>
        <w:t>, אלא חלות אלוקית, שרק בכוחה לצוות על חטאת ותגלחת. כיוון שה</w:t>
      </w:r>
      <w:r w:rsidR="00413035">
        <w:rPr>
          <w:rFonts w:ascii="David" w:hAnsi="David" w:cs="David"/>
          <w:sz w:val="24"/>
          <w:szCs w:val="24"/>
          <w:rtl/>
        </w:rPr>
        <w:t>נזירות</w:t>
      </w:r>
      <w:r w:rsidR="00814385" w:rsidRPr="00814385">
        <w:rPr>
          <w:rFonts w:ascii="David" w:hAnsi="David" w:cs="David"/>
          <w:sz w:val="24"/>
          <w:szCs w:val="24"/>
          <w:rtl/>
        </w:rPr>
        <w:t xml:space="preserve"> היא חלות אלוקית, הרי שהיא חלה רק במצבי וודאות ולא במצבים מסופקים</w:t>
      </w:r>
      <w:r w:rsidR="00814385">
        <w:rPr>
          <w:rStyle w:val="a5"/>
          <w:rFonts w:ascii="David" w:hAnsi="David" w:cs="David"/>
          <w:sz w:val="24"/>
          <w:szCs w:val="24"/>
          <w:rtl/>
        </w:rPr>
        <w:footnoteReference w:id="20"/>
      </w:r>
      <w:r w:rsidR="00814385" w:rsidRPr="00814385">
        <w:rPr>
          <w:rFonts w:ascii="David" w:hAnsi="David" w:cs="David"/>
          <w:sz w:val="24"/>
          <w:szCs w:val="24"/>
          <w:rtl/>
        </w:rPr>
        <w:t>".</w:t>
      </w:r>
    </w:p>
    <w:p w14:paraId="4CF61DA7" w14:textId="62B549CE" w:rsidR="00834288" w:rsidRPr="00994CEA" w:rsidRDefault="00D31832" w:rsidP="00994CEA">
      <w:pPr>
        <w:pStyle w:val="a6"/>
        <w:numPr>
          <w:ilvl w:val="0"/>
          <w:numId w:val="1"/>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תירוצו של רב אשי</w:t>
      </w:r>
      <w:r w:rsidR="00834288">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w:t>
      </w:r>
      <w:r w:rsidR="00994CEA">
        <w:rPr>
          <w:rFonts w:ascii="David" w:hAnsi="David" w:cs="David" w:hint="cs"/>
          <w:sz w:val="24"/>
          <w:szCs w:val="24"/>
          <w:rtl/>
        </w:rPr>
        <w:t>"</w:t>
      </w:r>
      <w:r w:rsidRPr="00994CEA">
        <w:rPr>
          <w:rFonts w:ascii="David" w:hAnsi="David" w:cs="David"/>
          <w:sz w:val="24"/>
          <w:szCs w:val="24"/>
          <w:rtl/>
        </w:rPr>
        <w:t>רב אשי אמר: ההיא רבי יהודה משום ר"ט היא</w:t>
      </w:r>
      <w:r w:rsidRPr="00994CEA">
        <w:rPr>
          <w:rFonts w:ascii="David" w:hAnsi="David" w:cs="David" w:hint="cs"/>
          <w:sz w:val="24"/>
          <w:szCs w:val="24"/>
          <w:rtl/>
        </w:rPr>
        <w:t>"</w:t>
      </w:r>
      <w:r w:rsidRPr="00994CEA">
        <w:rPr>
          <w:rFonts w:asciiTheme="majorBidi" w:hAnsiTheme="majorBidi" w:cs="Times New Roman" w:hint="cs"/>
          <w:sz w:val="24"/>
          <w:szCs w:val="24"/>
          <w:rtl/>
        </w:rPr>
        <w:t>. ניתן להבין שהכוונה היא,</w:t>
      </w:r>
      <w:r w:rsidRPr="00994CEA">
        <w:rPr>
          <w:rFonts w:asciiTheme="majorBidi" w:hAnsiTheme="majorBidi" w:cs="Times New Roman"/>
          <w:sz w:val="24"/>
          <w:szCs w:val="24"/>
          <w:rtl/>
        </w:rPr>
        <w:t xml:space="preserve"> </w:t>
      </w:r>
      <w:r w:rsidRPr="00994CEA">
        <w:rPr>
          <w:rFonts w:asciiTheme="majorBidi" w:hAnsiTheme="majorBidi" w:cstheme="majorBidi" w:hint="cs"/>
          <w:sz w:val="24"/>
          <w:szCs w:val="24"/>
          <w:rtl/>
        </w:rPr>
        <w:t>ש</w:t>
      </w:r>
      <w:r w:rsidR="00834288" w:rsidRPr="00994CEA">
        <w:rPr>
          <w:rFonts w:asciiTheme="majorBidi" w:hAnsiTheme="majorBidi" w:cstheme="majorBidi" w:hint="cs"/>
          <w:sz w:val="24"/>
          <w:szCs w:val="24"/>
          <w:rtl/>
        </w:rPr>
        <w:t xml:space="preserve">רבי יהודה </w:t>
      </w:r>
      <w:r w:rsidRPr="00994CEA">
        <w:rPr>
          <w:rFonts w:asciiTheme="majorBidi" w:hAnsiTheme="majorBidi" w:cstheme="majorBidi" w:hint="cs"/>
          <w:sz w:val="24"/>
          <w:szCs w:val="24"/>
          <w:rtl/>
        </w:rPr>
        <w:t xml:space="preserve">בפסק שלו לגבי הנודר </w:t>
      </w:r>
      <w:r w:rsidR="00413035" w:rsidRPr="00994CEA">
        <w:rPr>
          <w:rFonts w:asciiTheme="majorBidi" w:hAnsiTheme="majorBidi" w:cstheme="majorBidi" w:hint="cs"/>
          <w:sz w:val="24"/>
          <w:szCs w:val="24"/>
          <w:rtl/>
        </w:rPr>
        <w:t>נזירות</w:t>
      </w:r>
      <w:r w:rsidRPr="00994CEA">
        <w:rPr>
          <w:rFonts w:asciiTheme="majorBidi" w:hAnsiTheme="majorBidi" w:cstheme="majorBidi" w:hint="cs"/>
          <w:sz w:val="24"/>
          <w:szCs w:val="24"/>
          <w:rtl/>
        </w:rPr>
        <w:t xml:space="preserve"> על פי הכור, </w:t>
      </w:r>
      <w:r w:rsidR="00834288" w:rsidRPr="00994CEA">
        <w:rPr>
          <w:rFonts w:asciiTheme="majorBidi" w:hAnsiTheme="majorBidi" w:cstheme="majorBidi" w:hint="cs"/>
          <w:sz w:val="24"/>
          <w:szCs w:val="24"/>
          <w:rtl/>
        </w:rPr>
        <w:t xml:space="preserve">רק מצטט את דעת רבי טרפון: </w:t>
      </w:r>
      <w:r w:rsidR="00834288" w:rsidRPr="00994CEA">
        <w:rPr>
          <w:rFonts w:asciiTheme="majorBidi" w:hAnsiTheme="majorBidi" w:cs="Times New Roman" w:hint="cs"/>
          <w:sz w:val="24"/>
          <w:szCs w:val="24"/>
          <w:rtl/>
        </w:rPr>
        <w:t xml:space="preserve"> </w:t>
      </w:r>
      <w:r w:rsidR="00834288" w:rsidRPr="00994CEA">
        <w:rPr>
          <w:rFonts w:asciiTheme="majorBidi" w:hAnsiTheme="majorBidi" w:cs="Times New Roman"/>
          <w:sz w:val="24"/>
          <w:szCs w:val="24"/>
          <w:rtl/>
        </w:rPr>
        <w:t xml:space="preserve"> </w:t>
      </w:r>
      <w:r w:rsidR="00834288" w:rsidRPr="00994CEA">
        <w:rPr>
          <w:rFonts w:ascii="David" w:hAnsi="David" w:cs="David"/>
          <w:sz w:val="24"/>
          <w:szCs w:val="24"/>
          <w:rtl/>
        </w:rPr>
        <w:t xml:space="preserve">"היו מהלכין בדרך ואחד בא כנגדן, אמר אחד מהן הריני נזיר שזה פלוני, ואחד אמר הריני נזיר שאין זה פלוני, הריני נזיר שאחד מכם נזיר, שאין אחד מכם נזיר, ששניכם נזירים, שכולכם נזירים - בית שמאי אומרים: כולן נזירין, וב"ה אומרים: אינו נזיר אלא מי שלא נתקיימו דבריו, </w:t>
      </w:r>
      <w:r w:rsidR="00834288" w:rsidRPr="00994CEA">
        <w:rPr>
          <w:rFonts w:ascii="David" w:hAnsi="David" w:cs="David"/>
          <w:b/>
          <w:bCs/>
          <w:sz w:val="24"/>
          <w:szCs w:val="24"/>
          <w:rtl/>
        </w:rPr>
        <w:t>ור"ט אומר: אין אחד מהם נזיר</w:t>
      </w:r>
      <w:r w:rsidR="00834288" w:rsidRPr="00834288">
        <w:rPr>
          <w:rStyle w:val="a5"/>
          <w:rFonts w:ascii="David" w:hAnsi="David" w:cs="David"/>
          <w:sz w:val="24"/>
          <w:szCs w:val="24"/>
          <w:rtl/>
        </w:rPr>
        <w:footnoteReference w:id="21"/>
      </w:r>
      <w:r w:rsidR="00834288" w:rsidRPr="00994CEA">
        <w:rPr>
          <w:rFonts w:ascii="David" w:hAnsi="David" w:cs="David"/>
          <w:sz w:val="24"/>
          <w:szCs w:val="24"/>
          <w:rtl/>
        </w:rPr>
        <w:t xml:space="preserve">".   </w:t>
      </w:r>
      <w:r w:rsidR="00834288" w:rsidRPr="00994CEA">
        <w:rPr>
          <w:rFonts w:ascii="David" w:hAnsi="David" w:cs="David" w:hint="cs"/>
          <w:sz w:val="24"/>
          <w:szCs w:val="24"/>
          <w:rtl/>
        </w:rPr>
        <w:t xml:space="preserve"> </w:t>
      </w:r>
    </w:p>
    <w:p w14:paraId="5F4DB765" w14:textId="2E00907D" w:rsidR="008565DD" w:rsidRPr="008565DD" w:rsidRDefault="00834288" w:rsidP="008565DD">
      <w:pPr>
        <w:pStyle w:val="a6"/>
        <w:spacing w:after="0" w:line="360" w:lineRule="auto"/>
        <w:rPr>
          <w:rFonts w:asciiTheme="majorBidi" w:hAnsiTheme="majorBidi" w:cstheme="majorBidi"/>
          <w:sz w:val="20"/>
          <w:szCs w:val="20"/>
          <w:rtl/>
        </w:rPr>
      </w:pPr>
      <w:r>
        <w:rPr>
          <w:rFonts w:ascii="David" w:hAnsi="David" w:cs="David" w:hint="cs"/>
          <w:sz w:val="24"/>
          <w:szCs w:val="24"/>
          <w:rtl/>
        </w:rPr>
        <w:lastRenderedPageBreak/>
        <w:t>"</w:t>
      </w:r>
      <w:r w:rsidRPr="00834288">
        <w:rPr>
          <w:rFonts w:ascii="David" w:hAnsi="David" w:cs="David"/>
          <w:sz w:val="24"/>
          <w:szCs w:val="24"/>
          <w:rtl/>
        </w:rPr>
        <w:t>תניא, ר' יהודה אומר משום ר' טרפון: אין אחד מהן נזיר, לפי שלא נתנה נזירות אלא להפלאה</w:t>
      </w:r>
      <w:r>
        <w:rPr>
          <w:rStyle w:val="a5"/>
          <w:rFonts w:ascii="David" w:hAnsi="David" w:cs="David"/>
          <w:sz w:val="24"/>
          <w:szCs w:val="24"/>
          <w:rtl/>
        </w:rPr>
        <w:footnoteReference w:id="22"/>
      </w:r>
      <w:r w:rsidRPr="00834288">
        <w:rPr>
          <w:rFonts w:ascii="David" w:hAnsi="David" w:cs="David"/>
          <w:sz w:val="24"/>
          <w:szCs w:val="24"/>
          <w:rtl/>
        </w:rPr>
        <w:t>!</w:t>
      </w:r>
      <w:r>
        <w:rPr>
          <w:rFonts w:ascii="David" w:hAnsi="David" w:cs="David" w:hint="cs"/>
          <w:sz w:val="24"/>
          <w:szCs w:val="24"/>
          <w:rtl/>
        </w:rPr>
        <w:t xml:space="preserve">". </w:t>
      </w:r>
      <w:r w:rsidRPr="00D31832">
        <w:rPr>
          <w:rFonts w:asciiTheme="majorBidi" w:hAnsiTheme="majorBidi" w:cstheme="majorBidi" w:hint="cs"/>
          <w:sz w:val="24"/>
          <w:szCs w:val="24"/>
          <w:rtl/>
        </w:rPr>
        <w:t>בסוגיה בנדרים מעירים, שלפי רבי טרפון</w:t>
      </w:r>
      <w:r w:rsidR="00D31832" w:rsidRPr="00D31832">
        <w:rPr>
          <w:rFonts w:asciiTheme="majorBidi" w:hAnsiTheme="majorBidi" w:cstheme="majorBidi" w:hint="cs"/>
          <w:sz w:val="24"/>
          <w:szCs w:val="24"/>
          <w:rtl/>
        </w:rPr>
        <w:t>,</w:t>
      </w:r>
      <w:r w:rsidRPr="00D31832">
        <w:rPr>
          <w:rFonts w:asciiTheme="majorBidi" w:hAnsiTheme="majorBidi" w:cstheme="majorBidi" w:hint="cs"/>
          <w:sz w:val="24"/>
          <w:szCs w:val="24"/>
          <w:rtl/>
        </w:rPr>
        <w:t xml:space="preserve"> אפילו נמצא בכרי מאה כור כדבריו, אין ה</w:t>
      </w:r>
      <w:r w:rsidR="00413035">
        <w:rPr>
          <w:rFonts w:asciiTheme="majorBidi" w:hAnsiTheme="majorBidi" w:cstheme="majorBidi" w:hint="cs"/>
          <w:sz w:val="24"/>
          <w:szCs w:val="24"/>
          <w:rtl/>
        </w:rPr>
        <w:t>נזירות</w:t>
      </w:r>
      <w:r w:rsidRPr="00D31832">
        <w:rPr>
          <w:rFonts w:asciiTheme="majorBidi" w:hAnsiTheme="majorBidi" w:cstheme="majorBidi" w:hint="cs"/>
          <w:sz w:val="24"/>
          <w:szCs w:val="24"/>
          <w:rtl/>
        </w:rPr>
        <w:t xml:space="preserve"> חלה, לפי שלא היה בטוח </w:t>
      </w:r>
      <w:r w:rsidR="00C32A82">
        <w:rPr>
          <w:rFonts w:asciiTheme="majorBidi" w:hAnsiTheme="majorBidi" w:cstheme="majorBidi" w:hint="cs"/>
          <w:sz w:val="24"/>
          <w:szCs w:val="24"/>
          <w:rtl/>
        </w:rPr>
        <w:t xml:space="preserve">במילוי התנאי </w:t>
      </w:r>
      <w:r w:rsidRPr="00D31832">
        <w:rPr>
          <w:rFonts w:asciiTheme="majorBidi" w:hAnsiTheme="majorBidi" w:cstheme="majorBidi" w:hint="cs"/>
          <w:sz w:val="24"/>
          <w:szCs w:val="24"/>
          <w:rtl/>
        </w:rPr>
        <w:t>כשנדר.</w:t>
      </w:r>
      <w:r w:rsidR="00D31832" w:rsidRPr="00D31832">
        <w:rPr>
          <w:rFonts w:asciiTheme="majorBidi" w:hAnsiTheme="majorBidi" w:cstheme="majorBidi" w:hint="cs"/>
          <w:sz w:val="24"/>
          <w:szCs w:val="24"/>
          <w:rtl/>
        </w:rPr>
        <w:t xml:space="preserve"> </w:t>
      </w:r>
      <w:r w:rsidR="00D31832">
        <w:rPr>
          <w:rFonts w:asciiTheme="majorBidi" w:hAnsiTheme="majorBidi" w:cstheme="majorBidi" w:hint="cs"/>
          <w:sz w:val="24"/>
          <w:szCs w:val="24"/>
          <w:rtl/>
        </w:rPr>
        <w:t xml:space="preserve"> אולם, הסוגיה בדף לד מנגדת בין דעת רבי טרפון לדעת רבי יהודה בכור שאבד. לפיכך מסיקים בעלי התוספות שתירוצו של רב אשי הוא השלמה של דברי רבא</w:t>
      </w:r>
      <w:r w:rsidR="008565DD">
        <w:rPr>
          <w:rFonts w:asciiTheme="majorBidi" w:hAnsiTheme="majorBidi" w:cstheme="majorBidi" w:hint="cs"/>
          <w:sz w:val="24"/>
          <w:szCs w:val="24"/>
          <w:rtl/>
        </w:rPr>
        <w:t xml:space="preserve">, ותירוץ על הקושיה האחרונה של דבריו: </w:t>
      </w:r>
    </w:p>
    <w:p w14:paraId="674E3AD9" w14:textId="60C0A0BF" w:rsidR="008565DD" w:rsidRPr="008565DD" w:rsidRDefault="008565DD" w:rsidP="008565DD">
      <w:pPr>
        <w:pStyle w:val="a6"/>
        <w:spacing w:after="0" w:line="360" w:lineRule="auto"/>
        <w:rPr>
          <w:rFonts w:asciiTheme="majorBidi" w:hAnsiTheme="majorBidi" w:cstheme="majorBidi"/>
          <w:sz w:val="24"/>
          <w:szCs w:val="24"/>
          <w:rtl/>
        </w:rPr>
      </w:pPr>
      <w:r w:rsidRPr="008565DD">
        <w:rPr>
          <w:rFonts w:ascii="David" w:hAnsi="David" w:cs="David"/>
          <w:sz w:val="24"/>
          <w:szCs w:val="24"/>
          <w:rtl/>
        </w:rPr>
        <w:t>"ההיא דנזיר שמשון דפליג רבי יהודה, לאו רבי יהודה אליבא דנפשיה היא. דודאי מודה רבי יהודה גבי נזיר שמשון כיון דאין ספיקו חמור מודאי. אלא ר"י משום רבי טרפון היא דבעי הפלאה</w:t>
      </w:r>
      <w:r w:rsidRPr="008565DD">
        <w:rPr>
          <w:rStyle w:val="a5"/>
          <w:rFonts w:ascii="David" w:hAnsi="David" w:cs="David"/>
          <w:sz w:val="24"/>
          <w:szCs w:val="24"/>
          <w:rtl/>
        </w:rPr>
        <w:footnoteReference w:id="23"/>
      </w:r>
      <w:r>
        <w:rPr>
          <w:rFonts w:ascii="David" w:hAnsi="David" w:cs="David" w:hint="cs"/>
          <w:sz w:val="24"/>
          <w:szCs w:val="24"/>
          <w:rtl/>
        </w:rPr>
        <w:t>"</w:t>
      </w:r>
      <w:r w:rsidRPr="008565DD">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אולם הרא"ש נוקט כפירוש הראשון שהביאו בתוספות, שהציטוט של רבי טרפון מסביר </w:t>
      </w:r>
      <w:r w:rsidR="00994CEA">
        <w:rPr>
          <w:rFonts w:asciiTheme="majorBidi" w:hAnsiTheme="majorBidi" w:cstheme="majorBidi" w:hint="cs"/>
          <w:sz w:val="24"/>
          <w:szCs w:val="24"/>
          <w:rtl/>
        </w:rPr>
        <w:t xml:space="preserve">גם </w:t>
      </w:r>
      <w:r>
        <w:rPr>
          <w:rFonts w:asciiTheme="majorBidi" w:hAnsiTheme="majorBidi" w:cstheme="majorBidi" w:hint="cs"/>
          <w:sz w:val="24"/>
          <w:szCs w:val="24"/>
          <w:rtl/>
        </w:rPr>
        <w:t xml:space="preserve">את דברי רבי יהודה </w:t>
      </w:r>
      <w:r w:rsidR="00C32A82">
        <w:rPr>
          <w:rFonts w:asciiTheme="majorBidi" w:hAnsiTheme="majorBidi" w:cstheme="majorBidi" w:hint="cs"/>
          <w:sz w:val="24"/>
          <w:szCs w:val="24"/>
          <w:rtl/>
        </w:rPr>
        <w:t xml:space="preserve">לגבי </w:t>
      </w:r>
      <w:r>
        <w:rPr>
          <w:rFonts w:asciiTheme="majorBidi" w:hAnsiTheme="majorBidi" w:cstheme="majorBidi" w:hint="cs"/>
          <w:sz w:val="24"/>
          <w:szCs w:val="24"/>
          <w:rtl/>
        </w:rPr>
        <w:t xml:space="preserve">כור: </w:t>
      </w:r>
      <w:r>
        <w:rPr>
          <w:rFonts w:asciiTheme="majorBidi" w:hAnsiTheme="majorBidi" w:cs="Times New Roman" w:hint="cs"/>
          <w:sz w:val="24"/>
          <w:szCs w:val="24"/>
          <w:rtl/>
        </w:rPr>
        <w:t xml:space="preserve"> </w:t>
      </w:r>
    </w:p>
    <w:p w14:paraId="253A580F" w14:textId="05FA9238" w:rsidR="00834288" w:rsidRDefault="008565DD" w:rsidP="0024496C">
      <w:pPr>
        <w:pStyle w:val="a6"/>
        <w:spacing w:after="0" w:line="360" w:lineRule="auto"/>
        <w:rPr>
          <w:rFonts w:asciiTheme="majorBidi" w:hAnsiTheme="majorBidi" w:cstheme="majorBidi"/>
          <w:sz w:val="24"/>
          <w:szCs w:val="24"/>
          <w:rtl/>
        </w:rPr>
      </w:pPr>
      <w:r w:rsidRPr="008565DD">
        <w:rPr>
          <w:rFonts w:ascii="David" w:hAnsi="David" w:cs="David"/>
          <w:sz w:val="24"/>
          <w:szCs w:val="24"/>
          <w:rtl/>
        </w:rPr>
        <w:t>"דר"י דכרי</w:t>
      </w:r>
      <w:r w:rsidR="0024496C">
        <w:rPr>
          <w:rFonts w:ascii="David" w:hAnsi="David" w:cs="David" w:hint="cs"/>
          <w:sz w:val="24"/>
          <w:szCs w:val="24"/>
          <w:rtl/>
        </w:rPr>
        <w:t>,</w:t>
      </w:r>
      <w:r w:rsidRPr="008565DD">
        <w:rPr>
          <w:rFonts w:ascii="David" w:hAnsi="David" w:cs="David"/>
          <w:sz w:val="24"/>
          <w:szCs w:val="24"/>
          <w:rtl/>
        </w:rPr>
        <w:t xml:space="preserve"> היינו ר"י משום ר"ט</w:t>
      </w:r>
      <w:r w:rsidR="0024496C">
        <w:rPr>
          <w:rFonts w:ascii="David" w:hAnsi="David" w:cs="David" w:hint="cs"/>
          <w:sz w:val="24"/>
          <w:szCs w:val="24"/>
          <w:rtl/>
        </w:rPr>
        <w:t>,</w:t>
      </w:r>
      <w:r w:rsidRPr="008565DD">
        <w:rPr>
          <w:rFonts w:ascii="David" w:hAnsi="David" w:cs="David"/>
          <w:sz w:val="24"/>
          <w:szCs w:val="24"/>
          <w:rtl/>
        </w:rPr>
        <w:t xml:space="preserve"> ולא משום דעייל נפשיה לספיקא</w:t>
      </w:r>
      <w:r w:rsidR="003A2BD6">
        <w:rPr>
          <w:rFonts w:ascii="David" w:hAnsi="David" w:cs="David" w:hint="cs"/>
          <w:sz w:val="24"/>
          <w:szCs w:val="24"/>
          <w:rtl/>
        </w:rPr>
        <w:t>,</w:t>
      </w:r>
      <w:r w:rsidRPr="008565DD">
        <w:rPr>
          <w:rFonts w:ascii="David" w:hAnsi="David" w:cs="David"/>
          <w:sz w:val="24"/>
          <w:szCs w:val="24"/>
          <w:rtl/>
        </w:rPr>
        <w:t xml:space="preserve"> דאפי' נמדד הכרי ואפי' היו בו מאה כור לא הוי נזיר</w:t>
      </w:r>
      <w:r w:rsidR="0024496C">
        <w:rPr>
          <w:rFonts w:ascii="David" w:hAnsi="David" w:cs="David" w:hint="cs"/>
          <w:sz w:val="24"/>
          <w:szCs w:val="24"/>
          <w:rtl/>
        </w:rPr>
        <w:t>.</w:t>
      </w:r>
      <w:r w:rsidRPr="008565DD">
        <w:rPr>
          <w:rFonts w:ascii="David" w:hAnsi="David" w:cs="David"/>
          <w:sz w:val="24"/>
          <w:szCs w:val="24"/>
          <w:rtl/>
        </w:rPr>
        <w:t xml:space="preserve"> כיון דבשעה שקבל עליו הנזירות לא היה ברור לו אם יהיה בכרי מאה כור".</w:t>
      </w:r>
      <w:r w:rsidR="0024496C">
        <w:rPr>
          <w:rFonts w:ascii="David" w:hAnsi="David" w:cs="David" w:hint="cs"/>
          <w:sz w:val="24"/>
          <w:szCs w:val="24"/>
          <w:rtl/>
        </w:rPr>
        <w:t xml:space="preserve"> </w:t>
      </w:r>
      <w:r w:rsidR="0024496C">
        <w:rPr>
          <w:rFonts w:asciiTheme="majorBidi" w:hAnsiTheme="majorBidi" w:cstheme="majorBidi" w:hint="cs"/>
          <w:sz w:val="24"/>
          <w:szCs w:val="24"/>
          <w:rtl/>
        </w:rPr>
        <w:t xml:space="preserve"> </w:t>
      </w:r>
    </w:p>
    <w:p w14:paraId="313FF09B" w14:textId="36052C68" w:rsidR="003A2BD6" w:rsidRDefault="0024496C" w:rsidP="00994CEA">
      <w:pPr>
        <w:pStyle w:val="a6"/>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את תירוצו של רב אשי ניתן להבין בשתי צורות. הראשונה היא לומר שהמשנה בטהרות היא דעת רבי טרפון, והמשנה בנדרים כדעת חכמים. שיטת רבי טרפון אמורה גם לגבי נדרים. כך למדנו: </w:t>
      </w:r>
      <w:r>
        <w:rPr>
          <w:rFonts w:asciiTheme="majorBidi" w:hAnsiTheme="majorBidi" w:cs="Times New Roman" w:hint="cs"/>
          <w:sz w:val="24"/>
          <w:szCs w:val="24"/>
          <w:rtl/>
        </w:rPr>
        <w:t xml:space="preserve"> </w:t>
      </w:r>
      <w:r w:rsidRPr="0024496C">
        <w:rPr>
          <w:rFonts w:asciiTheme="majorBidi" w:hAnsiTheme="majorBidi" w:cs="Times New Roman"/>
          <w:sz w:val="24"/>
          <w:szCs w:val="24"/>
          <w:rtl/>
        </w:rPr>
        <w:t xml:space="preserve"> </w:t>
      </w:r>
      <w:r w:rsidRPr="0024496C">
        <w:rPr>
          <w:rFonts w:ascii="David" w:hAnsi="David" w:cs="David" w:hint="cs"/>
          <w:sz w:val="24"/>
          <w:szCs w:val="24"/>
          <w:rtl/>
        </w:rPr>
        <w:t>"</w:t>
      </w:r>
      <w:r w:rsidRPr="0024496C">
        <w:rPr>
          <w:rFonts w:ascii="David" w:hAnsi="David" w:cs="David"/>
          <w:sz w:val="24"/>
          <w:szCs w:val="24"/>
          <w:rtl/>
        </w:rPr>
        <w:t xml:space="preserve">אמר ליה רבי אבא בר ממל לרבי אמי, אמרת לן משמיה דרבי יהודה נשיאה: מאן תנא ארבעה </w:t>
      </w:r>
      <w:r w:rsidRPr="00994CEA">
        <w:rPr>
          <w:rFonts w:ascii="David" w:hAnsi="David" w:cs="David"/>
          <w:b/>
          <w:bCs/>
          <w:sz w:val="24"/>
          <w:szCs w:val="24"/>
          <w:rtl/>
        </w:rPr>
        <w:t>נדרים</w:t>
      </w:r>
      <w:r w:rsidRPr="0024496C">
        <w:rPr>
          <w:rFonts w:ascii="David" w:hAnsi="David" w:cs="David"/>
          <w:sz w:val="24"/>
          <w:szCs w:val="24"/>
          <w:rtl/>
        </w:rPr>
        <w:t>? ר' יהודה היא, דאמר משום רבי טרפון: לעולם אין אחד מהן נזיר, לפי שלא ניתנה נזירות אלא להפלאה</w:t>
      </w:r>
      <w:r w:rsidRPr="0024496C">
        <w:rPr>
          <w:rStyle w:val="a5"/>
          <w:rFonts w:ascii="David" w:hAnsi="David" w:cs="David"/>
          <w:sz w:val="24"/>
          <w:szCs w:val="24"/>
          <w:rtl/>
        </w:rPr>
        <w:footnoteReference w:id="24"/>
      </w:r>
      <w:r>
        <w:rPr>
          <w:rFonts w:ascii="David" w:hAnsi="David" w:cs="David" w:hint="cs"/>
          <w:sz w:val="24"/>
          <w:szCs w:val="24"/>
          <w:rtl/>
        </w:rPr>
        <w:t>"</w:t>
      </w:r>
      <w:r w:rsidRPr="0024496C">
        <w:rPr>
          <w:rFonts w:ascii="David" w:hAnsi="David" w:cs="David"/>
          <w:sz w:val="24"/>
          <w:szCs w:val="24"/>
          <w:rtl/>
        </w:rPr>
        <w:t>.</w:t>
      </w:r>
      <w:r>
        <w:rPr>
          <w:rFonts w:ascii="David" w:hAnsi="David" w:cs="David" w:hint="cs"/>
          <w:sz w:val="24"/>
          <w:szCs w:val="24"/>
          <w:rtl/>
        </w:rPr>
        <w:t xml:space="preserve"> </w:t>
      </w:r>
      <w:r w:rsidR="00994CEA">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w:t>
      </w:r>
    </w:p>
    <w:p w14:paraId="20E16B2C" w14:textId="3C5B8597" w:rsidR="0024496C" w:rsidRDefault="003A2BD6" w:rsidP="0024496C">
      <w:pPr>
        <w:pStyle w:val="a6"/>
        <w:spacing w:after="0" w:line="360" w:lineRule="auto"/>
        <w:rPr>
          <w:rFonts w:ascii="David" w:hAnsi="David" w:cs="David"/>
          <w:sz w:val="24"/>
          <w:szCs w:val="24"/>
          <w:rtl/>
        </w:rPr>
      </w:pPr>
      <w:r w:rsidRPr="008C5D6B">
        <w:rPr>
          <w:rFonts w:ascii="David" w:hAnsi="David" w:cs="David"/>
          <w:sz w:val="24"/>
          <w:szCs w:val="24"/>
          <w:rtl/>
        </w:rPr>
        <w:t>"נסכם בתמצית את מסקנת הסוגיה לפי התירוצים השונים. לפי שני התירוצים הראשונים, וכן לפי התירוץ הרביעי על פי ביאור רבותינו הראשונים, יוצא שאין חילוק לגבי ספקות בין נדרים ל</w:t>
      </w:r>
      <w:r w:rsidR="00413035">
        <w:rPr>
          <w:rFonts w:ascii="David" w:hAnsi="David" w:cs="David"/>
          <w:sz w:val="24"/>
          <w:szCs w:val="24"/>
          <w:rtl/>
        </w:rPr>
        <w:t>נזירות</w:t>
      </w:r>
      <w:r w:rsidRPr="008C5D6B">
        <w:rPr>
          <w:rFonts w:ascii="David" w:hAnsi="David" w:cs="David"/>
          <w:sz w:val="24"/>
          <w:szCs w:val="24"/>
          <w:rtl/>
        </w:rPr>
        <w:t>, אלא מחלוקת תנאים האם יש להקל בין שני התחומים  או להחמיר בהם (לתירוץ א' המחלוקת היא בין ר"א לחכמים, לתירוץ ב' בין רבי יהודה לרבי שמעון, ולתירוץ ד' בין רבי טרפון לחכמים). לעומת זאת לפי התירוץ השלישי יוצא שיש חילוק בין נדרים ונזירות בעניין ספקות</w:t>
      </w:r>
      <w:r w:rsidR="008C5D6B" w:rsidRPr="008C5D6B">
        <w:rPr>
          <w:rFonts w:ascii="David" w:hAnsi="David" w:cs="David"/>
          <w:sz w:val="24"/>
          <w:szCs w:val="24"/>
          <w:rtl/>
        </w:rPr>
        <w:t>, חילוק הנובע מהכלל של 'ספקו חמור מוודאי', אשר קיים ב</w:t>
      </w:r>
      <w:r w:rsidR="00413035">
        <w:rPr>
          <w:rFonts w:ascii="David" w:hAnsi="David" w:cs="David"/>
          <w:sz w:val="24"/>
          <w:szCs w:val="24"/>
          <w:rtl/>
        </w:rPr>
        <w:t>נזירות</w:t>
      </w:r>
      <w:r w:rsidR="008C5D6B" w:rsidRPr="008C5D6B">
        <w:rPr>
          <w:rFonts w:ascii="David" w:hAnsi="David" w:cs="David"/>
          <w:sz w:val="24"/>
          <w:szCs w:val="24"/>
          <w:rtl/>
        </w:rPr>
        <w:t>.. ולא קיים בנדרים</w:t>
      </w:r>
      <w:r w:rsidR="008C5D6B">
        <w:rPr>
          <w:rStyle w:val="a5"/>
          <w:rFonts w:ascii="David" w:hAnsi="David" w:cs="David"/>
          <w:sz w:val="24"/>
          <w:szCs w:val="24"/>
          <w:rtl/>
        </w:rPr>
        <w:footnoteReference w:id="25"/>
      </w:r>
      <w:r w:rsidR="008C5D6B" w:rsidRPr="008C5D6B">
        <w:rPr>
          <w:rFonts w:ascii="David" w:hAnsi="David" w:cs="David"/>
          <w:sz w:val="24"/>
          <w:szCs w:val="24"/>
          <w:rtl/>
        </w:rPr>
        <w:t>".</w:t>
      </w:r>
    </w:p>
    <w:p w14:paraId="5D80F67D" w14:textId="2EDC5684" w:rsidR="008C5D6B" w:rsidRPr="00C32A82" w:rsidRDefault="008C5D6B" w:rsidP="00C32A82">
      <w:pPr>
        <w:pStyle w:val="a6"/>
        <w:spacing w:after="0" w:line="360" w:lineRule="auto"/>
        <w:rPr>
          <w:rFonts w:asciiTheme="majorBidi" w:hAnsiTheme="majorBidi" w:cstheme="majorBidi"/>
          <w:sz w:val="24"/>
          <w:szCs w:val="24"/>
          <w:rtl/>
        </w:rPr>
      </w:pPr>
      <w:r>
        <w:rPr>
          <w:rFonts w:asciiTheme="majorBidi" w:hAnsiTheme="majorBidi" w:cstheme="majorBidi" w:hint="cs"/>
          <w:sz w:val="24"/>
          <w:szCs w:val="24"/>
          <w:rtl/>
        </w:rPr>
        <w:t>אלא שאם נאמץ את דרכם של בעלי התוספות, שרב אשי ממשיך את דברי רבא, ניתן לומר שקיים הבדל בין התחומים, ולא בין תנאים. בנזירות נדרשת הפלאה, ובנדרים יש להחמיר בספקות.</w:t>
      </w:r>
      <w:r w:rsidR="00994CEA">
        <w:rPr>
          <w:rFonts w:asciiTheme="majorBidi" w:hAnsiTheme="majorBidi" w:cstheme="majorBidi" w:hint="cs"/>
          <w:sz w:val="24"/>
          <w:szCs w:val="24"/>
          <w:rtl/>
        </w:rPr>
        <w:t xml:space="preserve"> רבי טרפון אמר את דבריו רק בנזירות</w:t>
      </w:r>
      <w:r w:rsidR="00994CEA">
        <w:rPr>
          <w:rStyle w:val="a5"/>
          <w:rFonts w:asciiTheme="majorBidi" w:hAnsiTheme="majorBidi" w:cstheme="majorBidi"/>
          <w:sz w:val="24"/>
          <w:szCs w:val="24"/>
          <w:rtl/>
        </w:rPr>
        <w:footnoteReference w:id="26"/>
      </w:r>
      <w:r w:rsidR="00994CEA">
        <w:rPr>
          <w:rFonts w:asciiTheme="majorBidi" w:hAnsiTheme="majorBidi" w:cstheme="majorBidi" w:hint="cs"/>
          <w:sz w:val="24"/>
          <w:szCs w:val="24"/>
          <w:rtl/>
        </w:rPr>
        <w:t xml:space="preserve">. והוא מסכים עם המשנה בנדרים להחמיר בספק נדרים.  </w:t>
      </w:r>
    </w:p>
    <w:p w14:paraId="15D7DE5B" w14:textId="315E792D" w:rsidR="00814385" w:rsidRDefault="00994CEA" w:rsidP="0024496C">
      <w:pPr>
        <w:pStyle w:val="a6"/>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ה. </w:t>
      </w:r>
      <w:r w:rsidR="00814385">
        <w:rPr>
          <w:rFonts w:asciiTheme="majorBidi" w:hAnsiTheme="majorBidi" w:cstheme="majorBidi" w:hint="cs"/>
          <w:b/>
          <w:bCs/>
          <w:sz w:val="24"/>
          <w:szCs w:val="24"/>
          <w:rtl/>
        </w:rPr>
        <w:t xml:space="preserve">פסקי הרמב"ם </w:t>
      </w:r>
    </w:p>
    <w:p w14:paraId="647E60A7" w14:textId="16BACFB1" w:rsidR="004A4E17" w:rsidRPr="004A4E17" w:rsidRDefault="004A4E17" w:rsidP="004A4E17">
      <w:pPr>
        <w:pStyle w:val="a6"/>
        <w:spacing w:after="0" w:line="360" w:lineRule="auto"/>
        <w:rPr>
          <w:rFonts w:ascii="David" w:hAnsi="David" w:cs="David"/>
          <w:sz w:val="24"/>
          <w:szCs w:val="24"/>
          <w:rtl/>
        </w:rPr>
      </w:pPr>
      <w:r>
        <w:rPr>
          <w:rFonts w:asciiTheme="majorBidi" w:hAnsiTheme="majorBidi" w:cstheme="majorBidi" w:hint="cs"/>
          <w:sz w:val="24"/>
          <w:szCs w:val="24"/>
          <w:rtl/>
        </w:rPr>
        <w:t xml:space="preserve">הרמב"ם פסק: </w:t>
      </w:r>
      <w:r w:rsidRPr="004A4E17">
        <w:rPr>
          <w:rFonts w:ascii="David" w:hAnsi="David" w:cs="David"/>
          <w:sz w:val="24"/>
          <w:szCs w:val="24"/>
          <w:rtl/>
        </w:rPr>
        <w:t>1. "נדר או נשבע מן הכבוש</w:t>
      </w:r>
      <w:r w:rsidR="00C32A82">
        <w:rPr>
          <w:rFonts w:ascii="David" w:hAnsi="David" w:cs="David" w:hint="cs"/>
          <w:sz w:val="24"/>
          <w:szCs w:val="24"/>
          <w:rtl/>
        </w:rPr>
        <w:t>,</w:t>
      </w:r>
      <w:r w:rsidRPr="004A4E17">
        <w:rPr>
          <w:rFonts w:ascii="David" w:hAnsi="David" w:cs="David"/>
          <w:sz w:val="24"/>
          <w:szCs w:val="24"/>
          <w:rtl/>
        </w:rPr>
        <w:t xml:space="preserve"> אם דרכם לקרות כבוש לכל הכבושים הרי זה אסור בכל</w:t>
      </w:r>
      <w:r w:rsidR="00C32A82">
        <w:rPr>
          <w:rFonts w:ascii="David" w:hAnsi="David" w:cs="David" w:hint="cs"/>
          <w:sz w:val="24"/>
          <w:szCs w:val="24"/>
          <w:rtl/>
        </w:rPr>
        <w:t>.</w:t>
      </w:r>
      <w:r w:rsidRPr="004A4E17">
        <w:rPr>
          <w:rFonts w:ascii="David" w:hAnsi="David" w:cs="David"/>
          <w:sz w:val="24"/>
          <w:szCs w:val="24"/>
          <w:rtl/>
        </w:rPr>
        <w:t xml:space="preserve"> ואם אין דרכם לקרות כבוש אלא לירק כבוש בלבד</w:t>
      </w:r>
      <w:r w:rsidR="00C32A82">
        <w:rPr>
          <w:rFonts w:ascii="David" w:hAnsi="David" w:cs="David" w:hint="cs"/>
          <w:sz w:val="24"/>
          <w:szCs w:val="24"/>
          <w:rtl/>
        </w:rPr>
        <w:t>,</w:t>
      </w:r>
      <w:r w:rsidRPr="004A4E17">
        <w:rPr>
          <w:rFonts w:ascii="David" w:hAnsi="David" w:cs="David"/>
          <w:sz w:val="24"/>
          <w:szCs w:val="24"/>
          <w:rtl/>
        </w:rPr>
        <w:t xml:space="preserve"> אינו אסור אלא בכבוש של </w:t>
      </w:r>
      <w:r w:rsidRPr="004A4E17">
        <w:rPr>
          <w:rFonts w:ascii="David" w:hAnsi="David" w:cs="David"/>
          <w:sz w:val="24"/>
          <w:szCs w:val="24"/>
          <w:rtl/>
        </w:rPr>
        <w:lastRenderedPageBreak/>
        <w:t>ירק.. היו מקצת בני המקום קורין לו כך ומקצתם אין קורין</w:t>
      </w:r>
      <w:r w:rsidR="00C32A82">
        <w:rPr>
          <w:rFonts w:ascii="David" w:hAnsi="David" w:cs="David" w:hint="cs"/>
          <w:sz w:val="24"/>
          <w:szCs w:val="24"/>
          <w:rtl/>
        </w:rPr>
        <w:t>,</w:t>
      </w:r>
      <w:r w:rsidRPr="004A4E17">
        <w:rPr>
          <w:rFonts w:ascii="David" w:hAnsi="David" w:cs="David"/>
          <w:sz w:val="24"/>
          <w:szCs w:val="24"/>
          <w:rtl/>
        </w:rPr>
        <w:t xml:space="preserve"> אין הולכין אחר הרוב אלא הרי זה ספק נדרים</w:t>
      </w:r>
      <w:r w:rsidR="00C32A82">
        <w:rPr>
          <w:rFonts w:ascii="David" w:hAnsi="David" w:cs="David" w:hint="cs"/>
          <w:sz w:val="24"/>
          <w:szCs w:val="24"/>
          <w:rtl/>
        </w:rPr>
        <w:t>,</w:t>
      </w:r>
      <w:r w:rsidRPr="004A4E17">
        <w:rPr>
          <w:rFonts w:ascii="David" w:hAnsi="David" w:cs="David"/>
          <w:sz w:val="24"/>
          <w:szCs w:val="24"/>
          <w:rtl/>
        </w:rPr>
        <w:t xml:space="preserve"> וכל </w:t>
      </w:r>
      <w:r w:rsidRPr="004A4E17">
        <w:rPr>
          <w:rFonts w:ascii="David" w:hAnsi="David" w:cs="David"/>
          <w:b/>
          <w:bCs/>
          <w:sz w:val="24"/>
          <w:szCs w:val="24"/>
          <w:rtl/>
        </w:rPr>
        <w:t>ספק נדרים להחמיר</w:t>
      </w:r>
      <w:r w:rsidR="00C32A82">
        <w:rPr>
          <w:rFonts w:ascii="David" w:hAnsi="David" w:cs="David" w:hint="cs"/>
          <w:b/>
          <w:bCs/>
          <w:sz w:val="24"/>
          <w:szCs w:val="24"/>
          <w:rtl/>
        </w:rPr>
        <w:t>.</w:t>
      </w:r>
      <w:r w:rsidRPr="004A4E17">
        <w:rPr>
          <w:rFonts w:ascii="David" w:hAnsi="David" w:cs="David"/>
          <w:b/>
          <w:bCs/>
          <w:sz w:val="24"/>
          <w:szCs w:val="24"/>
          <w:rtl/>
        </w:rPr>
        <w:t xml:space="preserve"> </w:t>
      </w:r>
      <w:r w:rsidRPr="004A4E17">
        <w:rPr>
          <w:rFonts w:ascii="David" w:hAnsi="David" w:cs="David"/>
          <w:sz w:val="24"/>
          <w:szCs w:val="24"/>
          <w:rtl/>
        </w:rPr>
        <w:t>ואם עבר אינו לוקה</w:t>
      </w:r>
      <w:r w:rsidRPr="004A4E17">
        <w:rPr>
          <w:rStyle w:val="a5"/>
          <w:rFonts w:ascii="David" w:hAnsi="David" w:cs="David"/>
          <w:sz w:val="24"/>
          <w:szCs w:val="24"/>
          <w:rtl/>
        </w:rPr>
        <w:footnoteReference w:id="27"/>
      </w:r>
      <w:r w:rsidRPr="004A4E17">
        <w:rPr>
          <w:rFonts w:ascii="David" w:hAnsi="David" w:cs="David"/>
          <w:sz w:val="24"/>
          <w:szCs w:val="24"/>
          <w:rtl/>
        </w:rPr>
        <w:t>".</w:t>
      </w:r>
    </w:p>
    <w:p w14:paraId="382226AD" w14:textId="4CAEB262" w:rsidR="006615C6" w:rsidRPr="00C32A82" w:rsidRDefault="004A4E17" w:rsidP="00C32A82">
      <w:pPr>
        <w:pStyle w:val="a6"/>
        <w:spacing w:after="0" w:line="360" w:lineRule="auto"/>
        <w:rPr>
          <w:rFonts w:ascii="David" w:hAnsi="David" w:cs="David"/>
          <w:sz w:val="24"/>
          <w:szCs w:val="24"/>
          <w:rtl/>
        </w:rPr>
      </w:pPr>
      <w:r w:rsidRPr="004A4E17">
        <w:rPr>
          <w:rFonts w:ascii="David" w:hAnsi="David" w:cs="David"/>
          <w:sz w:val="24"/>
          <w:szCs w:val="24"/>
          <w:rtl/>
        </w:rPr>
        <w:t>2. "האומר</w:t>
      </w:r>
      <w:r w:rsidR="00C32A82">
        <w:rPr>
          <w:rFonts w:ascii="David" w:hAnsi="David" w:cs="David" w:hint="cs"/>
          <w:sz w:val="24"/>
          <w:szCs w:val="24"/>
          <w:rtl/>
        </w:rPr>
        <w:t>:</w:t>
      </w:r>
      <w:r w:rsidRPr="004A4E17">
        <w:rPr>
          <w:rFonts w:ascii="David" w:hAnsi="David" w:cs="David"/>
          <w:sz w:val="24"/>
          <w:szCs w:val="24"/>
          <w:rtl/>
        </w:rPr>
        <w:t xml:space="preserve"> </w:t>
      </w:r>
      <w:r w:rsidR="00C32A82">
        <w:rPr>
          <w:rFonts w:ascii="David" w:hAnsi="David" w:cs="David" w:hint="cs"/>
          <w:sz w:val="24"/>
          <w:szCs w:val="24"/>
          <w:rtl/>
        </w:rPr>
        <w:t>'</w:t>
      </w:r>
      <w:r w:rsidRPr="004A4E17">
        <w:rPr>
          <w:rFonts w:ascii="David" w:hAnsi="David" w:cs="David"/>
          <w:sz w:val="24"/>
          <w:szCs w:val="24"/>
          <w:rtl/>
        </w:rPr>
        <w:t>הריני נזיר כשיהיה לפלוני בן</w:t>
      </w:r>
      <w:r w:rsidR="00C32A82">
        <w:rPr>
          <w:rFonts w:ascii="David" w:hAnsi="David" w:cs="David" w:hint="cs"/>
          <w:sz w:val="24"/>
          <w:szCs w:val="24"/>
          <w:rtl/>
        </w:rPr>
        <w:t>',</w:t>
      </w:r>
      <w:r w:rsidRPr="004A4E17">
        <w:rPr>
          <w:rFonts w:ascii="David" w:hAnsi="David" w:cs="David"/>
          <w:sz w:val="24"/>
          <w:szCs w:val="24"/>
          <w:rtl/>
        </w:rPr>
        <w:t xml:space="preserve"> ושמע חבירו ואמר</w:t>
      </w:r>
      <w:r w:rsidR="00C32A82">
        <w:rPr>
          <w:rFonts w:ascii="David" w:hAnsi="David" w:cs="David" w:hint="cs"/>
          <w:sz w:val="24"/>
          <w:szCs w:val="24"/>
          <w:rtl/>
        </w:rPr>
        <w:t>:</w:t>
      </w:r>
      <w:r w:rsidRPr="004A4E17">
        <w:rPr>
          <w:rFonts w:ascii="David" w:hAnsi="David" w:cs="David"/>
          <w:sz w:val="24"/>
          <w:szCs w:val="24"/>
          <w:rtl/>
        </w:rPr>
        <w:t xml:space="preserve"> </w:t>
      </w:r>
      <w:r w:rsidR="00C32A82">
        <w:rPr>
          <w:rFonts w:ascii="David" w:hAnsi="David" w:cs="David" w:hint="cs"/>
          <w:sz w:val="24"/>
          <w:szCs w:val="24"/>
          <w:rtl/>
        </w:rPr>
        <w:t>'</w:t>
      </w:r>
      <w:r w:rsidRPr="004A4E17">
        <w:rPr>
          <w:rFonts w:ascii="David" w:hAnsi="David" w:cs="David"/>
          <w:sz w:val="24"/>
          <w:szCs w:val="24"/>
          <w:rtl/>
        </w:rPr>
        <w:t>אני</w:t>
      </w:r>
      <w:r w:rsidR="00C32A82">
        <w:rPr>
          <w:rFonts w:ascii="David" w:hAnsi="David" w:cs="David" w:hint="cs"/>
          <w:sz w:val="24"/>
          <w:szCs w:val="24"/>
          <w:rtl/>
        </w:rPr>
        <w:t>'</w:t>
      </w:r>
      <w:r w:rsidRPr="004A4E17">
        <w:rPr>
          <w:rFonts w:ascii="David" w:hAnsi="David" w:cs="David"/>
          <w:sz w:val="24"/>
          <w:szCs w:val="24"/>
          <w:rtl/>
        </w:rPr>
        <w:t>, הרי זה ספק שמא לא נתכוון אלא להיות נזיר כמותו או לומר</w:t>
      </w:r>
      <w:r w:rsidR="00C32A82">
        <w:rPr>
          <w:rFonts w:ascii="David" w:hAnsi="David" w:cs="David" w:hint="cs"/>
          <w:sz w:val="24"/>
          <w:szCs w:val="24"/>
          <w:rtl/>
        </w:rPr>
        <w:t>:</w:t>
      </w:r>
      <w:r w:rsidRPr="004A4E17">
        <w:rPr>
          <w:rFonts w:ascii="David" w:hAnsi="David" w:cs="David"/>
          <w:sz w:val="24"/>
          <w:szCs w:val="24"/>
          <w:rtl/>
        </w:rPr>
        <w:t xml:space="preserve"> </w:t>
      </w:r>
      <w:r w:rsidR="00C32A82">
        <w:rPr>
          <w:rFonts w:ascii="David" w:hAnsi="David" w:cs="David" w:hint="cs"/>
          <w:sz w:val="24"/>
          <w:szCs w:val="24"/>
          <w:rtl/>
        </w:rPr>
        <w:t>'</w:t>
      </w:r>
      <w:r w:rsidRPr="004A4E17">
        <w:rPr>
          <w:rFonts w:ascii="David" w:hAnsi="David" w:cs="David"/>
          <w:sz w:val="24"/>
          <w:szCs w:val="24"/>
          <w:rtl/>
        </w:rPr>
        <w:t>שאני אוהב אותו כמותך</w:t>
      </w:r>
      <w:r w:rsidR="00C32A82">
        <w:rPr>
          <w:rFonts w:ascii="David" w:hAnsi="David" w:cs="David" w:hint="cs"/>
          <w:sz w:val="24"/>
          <w:szCs w:val="24"/>
          <w:rtl/>
        </w:rPr>
        <w:t>'</w:t>
      </w:r>
      <w:r w:rsidRPr="004A4E17">
        <w:rPr>
          <w:rFonts w:ascii="David" w:hAnsi="David" w:cs="David"/>
          <w:sz w:val="24"/>
          <w:szCs w:val="24"/>
          <w:rtl/>
        </w:rPr>
        <w:t>, וספק נזירות להקל</w:t>
      </w:r>
      <w:r w:rsidRPr="004A4E17">
        <w:rPr>
          <w:rStyle w:val="a5"/>
          <w:rFonts w:ascii="David" w:hAnsi="David" w:cs="David"/>
          <w:sz w:val="24"/>
          <w:szCs w:val="24"/>
          <w:rtl/>
        </w:rPr>
        <w:footnoteReference w:id="28"/>
      </w:r>
      <w:r w:rsidRPr="004A4E17">
        <w:rPr>
          <w:rFonts w:ascii="David" w:hAnsi="David" w:cs="David"/>
          <w:sz w:val="24"/>
          <w:szCs w:val="24"/>
          <w:rtl/>
        </w:rPr>
        <w:t>".</w:t>
      </w:r>
      <w:r w:rsidR="00C32A82">
        <w:rPr>
          <w:rFonts w:ascii="David" w:hAnsi="David" w:cs="David" w:hint="cs"/>
          <w:sz w:val="24"/>
          <w:szCs w:val="24"/>
          <w:rtl/>
        </w:rPr>
        <w:t xml:space="preserve"> </w:t>
      </w:r>
      <w:r w:rsidR="006615C6" w:rsidRPr="00C32A82">
        <w:rPr>
          <w:rFonts w:asciiTheme="majorBidi" w:hAnsiTheme="majorBidi" w:cstheme="majorBidi" w:hint="cs"/>
          <w:sz w:val="24"/>
          <w:szCs w:val="24"/>
          <w:rtl/>
        </w:rPr>
        <w:t xml:space="preserve">הפשוט ביותר הוא להניח שנקט כתירוץ השלישי. כך אכן כותב המהרי"ט. לדעתו הרמב"ם משלב את </w:t>
      </w:r>
      <w:r w:rsidR="00994CEA" w:rsidRPr="00C32A82">
        <w:rPr>
          <w:rFonts w:asciiTheme="majorBidi" w:hAnsiTheme="majorBidi" w:cstheme="majorBidi" w:hint="cs"/>
          <w:sz w:val="24"/>
          <w:szCs w:val="24"/>
          <w:rtl/>
        </w:rPr>
        <w:t>ה</w:t>
      </w:r>
      <w:r w:rsidR="006615C6" w:rsidRPr="00C32A82">
        <w:rPr>
          <w:rFonts w:asciiTheme="majorBidi" w:hAnsiTheme="majorBidi" w:cstheme="majorBidi" w:hint="cs"/>
          <w:sz w:val="24"/>
          <w:szCs w:val="24"/>
          <w:rtl/>
        </w:rPr>
        <w:t>תירוצי</w:t>
      </w:r>
      <w:r w:rsidR="00994CEA" w:rsidRPr="00C32A82">
        <w:rPr>
          <w:rFonts w:asciiTheme="majorBidi" w:hAnsiTheme="majorBidi" w:cstheme="majorBidi" w:hint="cs"/>
          <w:sz w:val="24"/>
          <w:szCs w:val="24"/>
          <w:rtl/>
        </w:rPr>
        <w:t>ם השלישי</w:t>
      </w:r>
      <w:r w:rsidR="006615C6" w:rsidRPr="00C32A82">
        <w:rPr>
          <w:rFonts w:asciiTheme="majorBidi" w:hAnsiTheme="majorBidi" w:cstheme="majorBidi" w:hint="cs"/>
          <w:sz w:val="24"/>
          <w:szCs w:val="24"/>
          <w:rtl/>
        </w:rPr>
        <w:t xml:space="preserve"> </w:t>
      </w:r>
      <w:r w:rsidR="00847B0A">
        <w:rPr>
          <w:rFonts w:asciiTheme="majorBidi" w:hAnsiTheme="majorBidi" w:cstheme="majorBidi" w:hint="cs"/>
          <w:sz w:val="24"/>
          <w:szCs w:val="24"/>
          <w:rtl/>
        </w:rPr>
        <w:t>ו</w:t>
      </w:r>
      <w:r w:rsidR="006615C6" w:rsidRPr="00C32A82">
        <w:rPr>
          <w:rFonts w:asciiTheme="majorBidi" w:hAnsiTheme="majorBidi" w:cstheme="majorBidi" w:hint="cs"/>
          <w:sz w:val="24"/>
          <w:szCs w:val="24"/>
          <w:rtl/>
        </w:rPr>
        <w:t>הרביעי</w:t>
      </w:r>
      <w:r w:rsidR="00994CEA" w:rsidRPr="00C32A82">
        <w:rPr>
          <w:rFonts w:asciiTheme="majorBidi" w:hAnsiTheme="majorBidi" w:cstheme="majorBidi" w:hint="cs"/>
          <w:sz w:val="24"/>
          <w:szCs w:val="24"/>
          <w:rtl/>
        </w:rPr>
        <w:t>, רבא</w:t>
      </w:r>
      <w:r w:rsidR="00847B0A">
        <w:rPr>
          <w:rFonts w:asciiTheme="majorBidi" w:hAnsiTheme="majorBidi" w:cstheme="majorBidi" w:hint="cs"/>
          <w:sz w:val="24"/>
          <w:szCs w:val="24"/>
          <w:rtl/>
        </w:rPr>
        <w:t xml:space="preserve"> ורב אשי</w:t>
      </w:r>
      <w:r w:rsidR="006615C6" w:rsidRPr="00C32A82">
        <w:rPr>
          <w:rFonts w:asciiTheme="majorBidi" w:hAnsiTheme="majorBidi" w:cstheme="majorBidi" w:hint="cs"/>
          <w:sz w:val="24"/>
          <w:szCs w:val="24"/>
          <w:rtl/>
        </w:rPr>
        <w:t xml:space="preserve">: </w:t>
      </w:r>
    </w:p>
    <w:p w14:paraId="19DAF314" w14:textId="2F5E0211" w:rsidR="006615C6" w:rsidRDefault="006615C6" w:rsidP="006615C6">
      <w:pPr>
        <w:pStyle w:val="a6"/>
        <w:spacing w:after="0" w:line="360" w:lineRule="auto"/>
        <w:rPr>
          <w:rFonts w:asciiTheme="majorBidi" w:hAnsiTheme="majorBidi" w:cstheme="majorBidi"/>
          <w:sz w:val="24"/>
          <w:szCs w:val="24"/>
          <w:rtl/>
        </w:rPr>
      </w:pPr>
      <w:r w:rsidRPr="006615C6">
        <w:rPr>
          <w:rFonts w:ascii="David" w:hAnsi="David" w:cs="David"/>
          <w:sz w:val="24"/>
          <w:szCs w:val="24"/>
          <w:rtl/>
        </w:rPr>
        <w:t xml:space="preserve">"עיקר תירוצא דמתני' דגבי נדרים דלא חמירי ספיקן מודאן, מעייל אינש נפשיה לספיקא. אבל גבי נזירות דחמירא ספקא מודאי לא מעייל נפשיה לספיקא. וזו היא תירוצא של רבא שתירץ דלא תיקשי מברייתא דכרי למתניתין דסתם תרומה אלא דאקשו עליה.. ואסיק רב </w:t>
      </w:r>
      <w:r w:rsidRPr="006615C6">
        <w:rPr>
          <w:rFonts w:ascii="David" w:hAnsi="David" w:cs="David"/>
          <w:b/>
          <w:bCs/>
          <w:sz w:val="24"/>
          <w:szCs w:val="24"/>
          <w:rtl/>
        </w:rPr>
        <w:t xml:space="preserve">אסי: </w:t>
      </w:r>
      <w:r w:rsidRPr="006615C6">
        <w:rPr>
          <w:rFonts w:ascii="David" w:hAnsi="David" w:cs="David"/>
          <w:sz w:val="24"/>
          <w:szCs w:val="24"/>
          <w:rtl/>
        </w:rPr>
        <w:t>ההיא ברייתא דכרי לא קשיא</w:t>
      </w:r>
      <w:r w:rsidR="00847B0A">
        <w:rPr>
          <w:rFonts w:ascii="David" w:hAnsi="David" w:cs="David" w:hint="cs"/>
          <w:sz w:val="24"/>
          <w:szCs w:val="24"/>
          <w:rtl/>
        </w:rPr>
        <w:t>,</w:t>
      </w:r>
      <w:r w:rsidRPr="006615C6">
        <w:rPr>
          <w:rFonts w:ascii="David" w:hAnsi="David" w:cs="David"/>
          <w:sz w:val="24"/>
          <w:szCs w:val="24"/>
          <w:rtl/>
        </w:rPr>
        <w:t xml:space="preserve"> דרבי יהודה משום רבי טרפון היא, ומטעם דבעי' הפלאה הוא ולעולם מתני' דנדרים אמתני' דנזיר מתרצו שפיר </w:t>
      </w:r>
      <w:r w:rsidRPr="006615C6">
        <w:rPr>
          <w:rFonts w:ascii="David" w:hAnsi="David" w:cs="David"/>
          <w:b/>
          <w:bCs/>
          <w:sz w:val="24"/>
          <w:szCs w:val="24"/>
          <w:rtl/>
        </w:rPr>
        <w:t>כתרוצא קמא דרבא</w:t>
      </w:r>
      <w:r w:rsidRPr="006615C6">
        <w:rPr>
          <w:rFonts w:ascii="David" w:hAnsi="David" w:cs="David"/>
          <w:sz w:val="24"/>
          <w:szCs w:val="24"/>
          <w:rtl/>
        </w:rPr>
        <w:t xml:space="preserve"> ונמצא דתרווייהו הלכתא והביאן הרמב"ם</w:t>
      </w:r>
      <w:r w:rsidRPr="006615C6">
        <w:rPr>
          <w:rStyle w:val="a5"/>
          <w:rFonts w:ascii="David" w:hAnsi="David" w:cs="David"/>
          <w:sz w:val="24"/>
          <w:szCs w:val="24"/>
          <w:rtl/>
        </w:rPr>
        <w:footnoteReference w:id="29"/>
      </w:r>
      <w:r w:rsidRPr="006615C6">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שני קשיים בדרך זו. האחת היא שהרמב"ם לא הוציא מהכלל נזירות שמשון, בה, כפי שהקשו על רבא, אין ספקו חמור מוודאו. נוסף לכך, בהלכה הבאה הספק מתפוגג מהר מאוד, ואף על פי כן הקל הרמב"ם ב</w:t>
      </w:r>
      <w:r w:rsidR="00413035">
        <w:rPr>
          <w:rFonts w:asciiTheme="majorBidi" w:hAnsiTheme="majorBidi" w:cstheme="majorBidi" w:hint="cs"/>
          <w:sz w:val="24"/>
          <w:szCs w:val="24"/>
          <w:rtl/>
        </w:rPr>
        <w:t>נזירות</w:t>
      </w:r>
      <w:r>
        <w:rPr>
          <w:rStyle w:val="a5"/>
          <w:rFonts w:asciiTheme="majorBidi" w:hAnsiTheme="majorBidi" w:cstheme="majorBidi"/>
          <w:sz w:val="24"/>
          <w:szCs w:val="24"/>
          <w:rtl/>
        </w:rPr>
        <w:footnoteReference w:id="30"/>
      </w:r>
      <w:r>
        <w:rPr>
          <w:rFonts w:asciiTheme="majorBidi" w:hAnsiTheme="majorBidi" w:cstheme="majorBidi" w:hint="cs"/>
          <w:sz w:val="24"/>
          <w:szCs w:val="24"/>
          <w:rtl/>
        </w:rPr>
        <w:t xml:space="preserve">: </w:t>
      </w:r>
    </w:p>
    <w:p w14:paraId="04381E1D" w14:textId="39D26EED" w:rsidR="004A4E17" w:rsidRDefault="006615C6" w:rsidP="006615C6">
      <w:pPr>
        <w:pStyle w:val="a6"/>
        <w:spacing w:after="0" w:line="360" w:lineRule="auto"/>
        <w:rPr>
          <w:rFonts w:ascii="David" w:hAnsi="David" w:cs="David"/>
          <w:b/>
          <w:bCs/>
          <w:sz w:val="24"/>
          <w:szCs w:val="24"/>
          <w:rtl/>
        </w:rPr>
      </w:pPr>
      <w:r>
        <w:rPr>
          <w:rFonts w:ascii="David" w:hAnsi="David" w:cs="David" w:hint="cs"/>
          <w:sz w:val="24"/>
          <w:szCs w:val="24"/>
          <w:rtl/>
        </w:rPr>
        <w:t>"</w:t>
      </w:r>
      <w:r w:rsidRPr="006615C6">
        <w:rPr>
          <w:rFonts w:ascii="David" w:hAnsi="David" w:cs="David"/>
          <w:sz w:val="24"/>
          <w:szCs w:val="24"/>
          <w:rtl/>
        </w:rPr>
        <w:t>האומר הריני נזיר ביום שבן דוד בא בו, אם בחול נדר הרי זה אסור לעולם, ואם בשבת או ביום טוב נדר אותה שבת או אותו יום טוב</w:t>
      </w:r>
      <w:r w:rsidR="00847B0A">
        <w:rPr>
          <w:rFonts w:ascii="David" w:hAnsi="David" w:cs="David" w:hint="cs"/>
          <w:sz w:val="24"/>
          <w:szCs w:val="24"/>
          <w:rtl/>
        </w:rPr>
        <w:t>-</w:t>
      </w:r>
      <w:r w:rsidRPr="006615C6">
        <w:rPr>
          <w:rFonts w:ascii="David" w:hAnsi="David" w:cs="David"/>
          <w:sz w:val="24"/>
          <w:szCs w:val="24"/>
          <w:rtl/>
        </w:rPr>
        <w:t xml:space="preserve"> מותר, מכאן ואילך אסור לעולם, שהדבר ספק אם יבא בשבת או ביום טוב או לא יבוא</w:t>
      </w:r>
      <w:r w:rsidR="00847B0A">
        <w:rPr>
          <w:rFonts w:ascii="David" w:hAnsi="David" w:cs="David" w:hint="cs"/>
          <w:sz w:val="24"/>
          <w:szCs w:val="24"/>
          <w:rtl/>
        </w:rPr>
        <w:t>.</w:t>
      </w:r>
      <w:r w:rsidRPr="006615C6">
        <w:rPr>
          <w:rFonts w:ascii="David" w:hAnsi="David" w:cs="David"/>
          <w:sz w:val="24"/>
          <w:szCs w:val="24"/>
          <w:rtl/>
        </w:rPr>
        <w:t xml:space="preserve"> והואיל והוא ספק</w:t>
      </w:r>
      <w:r w:rsidR="00847B0A">
        <w:rPr>
          <w:rFonts w:ascii="David" w:hAnsi="David" w:cs="David" w:hint="cs"/>
          <w:sz w:val="24"/>
          <w:szCs w:val="24"/>
          <w:rtl/>
        </w:rPr>
        <w:t>-</w:t>
      </w:r>
      <w:r w:rsidRPr="006615C6">
        <w:rPr>
          <w:rFonts w:ascii="David" w:hAnsi="David" w:cs="David"/>
          <w:sz w:val="24"/>
          <w:szCs w:val="24"/>
          <w:rtl/>
        </w:rPr>
        <w:t xml:space="preserve"> ביום שנדר לא חלה עליו נזירות שספק נזירות להקל, מכאן ואילך חלה עליו נזירות</w:t>
      </w:r>
      <w:r>
        <w:rPr>
          <w:rStyle w:val="a5"/>
          <w:rFonts w:ascii="David" w:hAnsi="David" w:cs="David"/>
          <w:sz w:val="24"/>
          <w:szCs w:val="24"/>
          <w:rtl/>
        </w:rPr>
        <w:footnoteReference w:id="31"/>
      </w:r>
      <w:r>
        <w:rPr>
          <w:rFonts w:ascii="David" w:hAnsi="David" w:cs="David" w:hint="cs"/>
          <w:sz w:val="24"/>
          <w:szCs w:val="24"/>
          <w:rtl/>
        </w:rPr>
        <w:t xml:space="preserve">". </w:t>
      </w:r>
      <w:r w:rsidR="00994CEA" w:rsidRPr="00994CEA">
        <w:rPr>
          <w:rFonts w:asciiTheme="majorBidi" w:hAnsiTheme="majorBidi" w:cstheme="majorBidi"/>
          <w:sz w:val="24"/>
          <w:szCs w:val="24"/>
          <w:rtl/>
        </w:rPr>
        <w:t>כדי לבאר זאת, מציע הרב ורשנר:</w:t>
      </w:r>
      <w:r w:rsidR="00994CEA">
        <w:rPr>
          <w:rFonts w:ascii="David" w:hAnsi="David" w:cs="David" w:hint="cs"/>
          <w:sz w:val="24"/>
          <w:szCs w:val="24"/>
          <w:rtl/>
        </w:rPr>
        <w:t xml:space="preserve"> </w:t>
      </w:r>
      <w:r>
        <w:rPr>
          <w:rFonts w:ascii="David" w:hAnsi="David" w:cs="David" w:hint="cs"/>
          <w:sz w:val="24"/>
          <w:szCs w:val="24"/>
          <w:rtl/>
        </w:rPr>
        <w:t xml:space="preserve"> "דין 'ספקו חמור מוודאי' מהווה </w:t>
      </w:r>
      <w:r>
        <w:rPr>
          <w:rFonts w:ascii="David" w:hAnsi="David" w:cs="David" w:hint="cs"/>
          <w:b/>
          <w:bCs/>
          <w:sz w:val="24"/>
          <w:szCs w:val="24"/>
          <w:rtl/>
        </w:rPr>
        <w:t xml:space="preserve">סימן </w:t>
      </w:r>
      <w:r>
        <w:rPr>
          <w:rFonts w:ascii="David" w:hAnsi="David" w:cs="David" w:hint="cs"/>
          <w:sz w:val="24"/>
          <w:szCs w:val="24"/>
          <w:rtl/>
        </w:rPr>
        <w:t>לפגם ב</w:t>
      </w:r>
      <w:r w:rsidR="00413035">
        <w:rPr>
          <w:rFonts w:ascii="David" w:hAnsi="David" w:cs="David" w:hint="cs"/>
          <w:sz w:val="24"/>
          <w:szCs w:val="24"/>
          <w:rtl/>
        </w:rPr>
        <w:t>נזירות</w:t>
      </w:r>
      <w:r>
        <w:rPr>
          <w:rFonts w:ascii="David" w:hAnsi="David" w:cs="David" w:hint="cs"/>
          <w:sz w:val="24"/>
          <w:szCs w:val="24"/>
          <w:rtl/>
        </w:rPr>
        <w:t xml:space="preserve"> ולא </w:t>
      </w:r>
      <w:r>
        <w:rPr>
          <w:rFonts w:ascii="David" w:hAnsi="David" w:cs="David" w:hint="cs"/>
          <w:b/>
          <w:bCs/>
          <w:sz w:val="24"/>
          <w:szCs w:val="24"/>
          <w:rtl/>
        </w:rPr>
        <w:t xml:space="preserve">סיבה </w:t>
      </w:r>
      <w:r>
        <w:rPr>
          <w:rFonts w:ascii="David" w:hAnsi="David" w:cs="David" w:hint="cs"/>
          <w:sz w:val="24"/>
          <w:szCs w:val="24"/>
          <w:rtl/>
        </w:rPr>
        <w:t xml:space="preserve">הגורמת לכך שספק </w:t>
      </w:r>
      <w:r w:rsidR="00413035">
        <w:rPr>
          <w:rFonts w:ascii="David" w:hAnsi="David" w:cs="David" w:hint="cs"/>
          <w:sz w:val="24"/>
          <w:szCs w:val="24"/>
          <w:rtl/>
        </w:rPr>
        <w:t>נזירות</w:t>
      </w:r>
      <w:r>
        <w:rPr>
          <w:rFonts w:ascii="David" w:hAnsi="David" w:cs="David" w:hint="cs"/>
          <w:sz w:val="24"/>
          <w:szCs w:val="24"/>
          <w:rtl/>
        </w:rPr>
        <w:t xml:space="preserve"> להקל. ולכן, </w:t>
      </w:r>
      <w:r w:rsidRPr="006615C6">
        <w:rPr>
          <w:rFonts w:ascii="David" w:hAnsi="David" w:cs="David" w:hint="cs"/>
          <w:b/>
          <w:bCs/>
          <w:sz w:val="24"/>
          <w:szCs w:val="24"/>
          <w:rtl/>
        </w:rPr>
        <w:t>גם במקומות שבהם לא מתקיים בפועל דין 'ספקו חמור מוודאי' , ה</w:t>
      </w:r>
      <w:r w:rsidR="00413035">
        <w:rPr>
          <w:rFonts w:ascii="David" w:hAnsi="David" w:cs="David" w:hint="cs"/>
          <w:b/>
          <w:bCs/>
          <w:sz w:val="24"/>
          <w:szCs w:val="24"/>
          <w:rtl/>
        </w:rPr>
        <w:t>נזירות</w:t>
      </w:r>
      <w:r w:rsidRPr="006615C6">
        <w:rPr>
          <w:rFonts w:ascii="David" w:hAnsi="David" w:cs="David" w:hint="cs"/>
          <w:b/>
          <w:bCs/>
          <w:sz w:val="24"/>
          <w:szCs w:val="24"/>
          <w:rtl/>
        </w:rPr>
        <w:t xml:space="preserve"> לא חלה</w:t>
      </w:r>
      <w:r>
        <w:rPr>
          <w:rStyle w:val="a5"/>
          <w:rFonts w:ascii="David" w:hAnsi="David" w:cs="David"/>
          <w:b/>
          <w:bCs/>
          <w:sz w:val="24"/>
          <w:szCs w:val="24"/>
          <w:rtl/>
        </w:rPr>
        <w:footnoteReference w:id="32"/>
      </w:r>
      <w:r>
        <w:rPr>
          <w:rFonts w:ascii="David" w:hAnsi="David" w:cs="David" w:hint="cs"/>
          <w:b/>
          <w:bCs/>
          <w:sz w:val="24"/>
          <w:szCs w:val="24"/>
          <w:rtl/>
        </w:rPr>
        <w:t>".</w:t>
      </w:r>
    </w:p>
    <w:p w14:paraId="7E5DD969" w14:textId="0D570B74" w:rsidR="008D3C74" w:rsidRDefault="008D3C74" w:rsidP="008D3C74">
      <w:pPr>
        <w:pStyle w:val="a6"/>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רבי אליהו מזרחי מציע שהרמב"ם נקט כתירוץ הרביעי, והוא: </w:t>
      </w:r>
    </w:p>
    <w:p w14:paraId="60F3DF72" w14:textId="58F65F40" w:rsidR="008D3C74" w:rsidRPr="008D3C74" w:rsidRDefault="008D3C74" w:rsidP="008D3C74">
      <w:pPr>
        <w:pStyle w:val="a6"/>
        <w:spacing w:after="0" w:line="360" w:lineRule="auto"/>
        <w:rPr>
          <w:rFonts w:asciiTheme="majorBidi" w:hAnsiTheme="majorBidi" w:cstheme="majorBidi"/>
          <w:sz w:val="24"/>
          <w:szCs w:val="24"/>
          <w:rtl/>
        </w:rPr>
      </w:pPr>
      <w:r w:rsidRPr="008D3C74">
        <w:rPr>
          <w:rFonts w:ascii="David" w:hAnsi="David" w:cs="David"/>
          <w:sz w:val="24"/>
          <w:szCs w:val="24"/>
          <w:rtl/>
        </w:rPr>
        <w:t>"מפרש דברי רב אסי שאמר</w:t>
      </w:r>
      <w:r>
        <w:rPr>
          <w:rFonts w:ascii="David" w:hAnsi="David" w:cs="David" w:hint="cs"/>
          <w:sz w:val="24"/>
          <w:szCs w:val="24"/>
          <w:rtl/>
        </w:rPr>
        <w:t>:</w:t>
      </w:r>
      <w:r w:rsidRPr="008D3C74">
        <w:rPr>
          <w:rFonts w:ascii="David" w:hAnsi="David" w:cs="David"/>
          <w:sz w:val="24"/>
          <w:szCs w:val="24"/>
          <w:rtl/>
        </w:rPr>
        <w:t xml:space="preserve"> </w:t>
      </w:r>
      <w:r>
        <w:rPr>
          <w:rFonts w:ascii="David" w:hAnsi="David" w:cs="David" w:hint="cs"/>
          <w:sz w:val="24"/>
          <w:szCs w:val="24"/>
          <w:rtl/>
        </w:rPr>
        <w:t>'</w:t>
      </w:r>
      <w:r w:rsidRPr="008D3C74">
        <w:rPr>
          <w:rFonts w:ascii="David" w:hAnsi="David" w:cs="David"/>
          <w:sz w:val="24"/>
          <w:szCs w:val="24"/>
          <w:rtl/>
        </w:rPr>
        <w:t>ההיא רבי יהודה משום רבי טרפון היא</w:t>
      </w:r>
      <w:r>
        <w:rPr>
          <w:rFonts w:ascii="David" w:hAnsi="David" w:cs="David" w:hint="cs"/>
          <w:sz w:val="24"/>
          <w:szCs w:val="24"/>
          <w:rtl/>
        </w:rPr>
        <w:t>' -</w:t>
      </w:r>
      <w:r w:rsidRPr="008D3C74">
        <w:rPr>
          <w:rFonts w:ascii="David" w:hAnsi="David" w:cs="David"/>
          <w:sz w:val="24"/>
          <w:szCs w:val="24"/>
          <w:rtl/>
        </w:rPr>
        <w:t xml:space="preserve"> אבריתא דקתני רבי יהודה מתיר</w:t>
      </w:r>
      <w:r>
        <w:rPr>
          <w:rFonts w:ascii="David" w:hAnsi="David" w:cs="David" w:hint="cs"/>
          <w:sz w:val="24"/>
          <w:szCs w:val="24"/>
          <w:rtl/>
        </w:rPr>
        <w:t>,</w:t>
      </w:r>
      <w:r w:rsidRPr="008D3C74">
        <w:rPr>
          <w:rFonts w:ascii="David" w:hAnsi="David" w:cs="David"/>
          <w:sz w:val="24"/>
          <w:szCs w:val="24"/>
          <w:rtl/>
        </w:rPr>
        <w:t xml:space="preserve"> ואמתניתין דטהרות דקתני בה ספק נזירות להקל</w:t>
      </w:r>
      <w:r>
        <w:rPr>
          <w:rFonts w:ascii="David" w:hAnsi="David" w:cs="David" w:hint="cs"/>
          <w:sz w:val="24"/>
          <w:szCs w:val="24"/>
          <w:rtl/>
        </w:rPr>
        <w:t xml:space="preserve">... </w:t>
      </w:r>
      <w:r w:rsidRPr="008D3C74">
        <w:rPr>
          <w:rFonts w:ascii="David" w:hAnsi="David" w:cs="David"/>
          <w:sz w:val="24"/>
          <w:szCs w:val="24"/>
          <w:rtl/>
        </w:rPr>
        <w:t xml:space="preserve"> לעולם רבי יהודה דמעייל נפשיה לספיקא אפילו בדבר שספקו חמור מודאו</w:t>
      </w:r>
      <w:r>
        <w:rPr>
          <w:rFonts w:ascii="David" w:hAnsi="David" w:cs="David" w:hint="cs"/>
          <w:sz w:val="24"/>
          <w:szCs w:val="24"/>
          <w:rtl/>
        </w:rPr>
        <w:t>.</w:t>
      </w:r>
      <w:r w:rsidRPr="008D3C74">
        <w:rPr>
          <w:rFonts w:ascii="David" w:hAnsi="David" w:cs="David"/>
          <w:sz w:val="24"/>
          <w:szCs w:val="24"/>
          <w:rtl/>
        </w:rPr>
        <w:t xml:space="preserve"> ואותה דספק נזירות להקל ודברי רבי יהודה </w:t>
      </w:r>
      <w:r>
        <w:rPr>
          <w:rFonts w:ascii="David" w:hAnsi="David" w:cs="David" w:hint="cs"/>
          <w:sz w:val="24"/>
          <w:szCs w:val="24"/>
          <w:rtl/>
        </w:rPr>
        <w:t xml:space="preserve">- </w:t>
      </w:r>
      <w:r w:rsidRPr="008D3C74">
        <w:rPr>
          <w:rFonts w:ascii="David" w:hAnsi="David" w:cs="David"/>
          <w:sz w:val="24"/>
          <w:szCs w:val="24"/>
          <w:rtl/>
        </w:rPr>
        <w:t>משום רבי טרפון דסבירה ליה לא נתנה נזירות אלא להפלאה</w:t>
      </w:r>
      <w:r w:rsidR="00994CEA">
        <w:rPr>
          <w:rFonts w:ascii="David" w:hAnsi="David" w:cs="David" w:hint="cs"/>
          <w:sz w:val="24"/>
          <w:szCs w:val="24"/>
          <w:rtl/>
        </w:rPr>
        <w:t xml:space="preserve">, </w:t>
      </w:r>
      <w:r w:rsidRPr="008D3C74">
        <w:rPr>
          <w:rFonts w:ascii="David" w:hAnsi="David" w:cs="David"/>
          <w:sz w:val="24"/>
          <w:szCs w:val="24"/>
          <w:rtl/>
        </w:rPr>
        <w:t xml:space="preserve">דהשתא </w:t>
      </w:r>
      <w:r w:rsidRPr="008D3C74">
        <w:rPr>
          <w:rFonts w:ascii="David" w:hAnsi="David" w:cs="David"/>
          <w:b/>
          <w:bCs/>
          <w:sz w:val="24"/>
          <w:szCs w:val="24"/>
          <w:rtl/>
        </w:rPr>
        <w:t>מתניתין דנדרים ומתניתין דטהרות תרויהו אליבא דרבי טרפון הן שנויות</w:t>
      </w:r>
      <w:r w:rsidR="00847B0A">
        <w:rPr>
          <w:rFonts w:ascii="David" w:hAnsi="David" w:cs="David" w:hint="cs"/>
          <w:b/>
          <w:bCs/>
          <w:sz w:val="24"/>
          <w:szCs w:val="24"/>
          <w:rtl/>
        </w:rPr>
        <w:t>,</w:t>
      </w:r>
      <w:r w:rsidRPr="008D3C74">
        <w:rPr>
          <w:rFonts w:ascii="David" w:hAnsi="David" w:cs="David"/>
          <w:sz w:val="24"/>
          <w:szCs w:val="24"/>
          <w:rtl/>
        </w:rPr>
        <w:t xml:space="preserve"> ובסתם נזירות הוא מקל משום דכתיב בה כי יפליא מלמד שלא נתנה נזירות אלא להפלאה</w:t>
      </w:r>
      <w:r w:rsidRPr="008D3C74">
        <w:rPr>
          <w:rStyle w:val="a5"/>
          <w:rFonts w:ascii="David" w:hAnsi="David" w:cs="David"/>
          <w:sz w:val="24"/>
          <w:szCs w:val="24"/>
          <w:rtl/>
        </w:rPr>
        <w:footnoteReference w:id="33"/>
      </w:r>
      <w:r w:rsidRPr="008D3C74">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על דרך זו תמה במחנה אפרים, שהרמב"ם פסק  </w:t>
      </w:r>
      <w:r w:rsidR="00994CEA">
        <w:rPr>
          <w:rFonts w:asciiTheme="majorBidi" w:hAnsiTheme="majorBidi" w:cstheme="majorBidi" w:hint="cs"/>
          <w:sz w:val="24"/>
          <w:szCs w:val="24"/>
          <w:rtl/>
        </w:rPr>
        <w:t xml:space="preserve">במפורש </w:t>
      </w:r>
      <w:r>
        <w:rPr>
          <w:rFonts w:asciiTheme="majorBidi" w:hAnsiTheme="majorBidi" w:cstheme="majorBidi" w:hint="cs"/>
          <w:sz w:val="24"/>
          <w:szCs w:val="24"/>
          <w:rtl/>
        </w:rPr>
        <w:t xml:space="preserve">שלא כרבי טרפון: </w:t>
      </w:r>
    </w:p>
    <w:p w14:paraId="646F05F8" w14:textId="31BDA7F2" w:rsidR="008D3C74" w:rsidRDefault="008D3C74" w:rsidP="008D3C74">
      <w:pPr>
        <w:pStyle w:val="a6"/>
        <w:spacing w:after="0" w:line="360" w:lineRule="auto"/>
        <w:rPr>
          <w:rFonts w:asciiTheme="majorBidi" w:hAnsiTheme="majorBidi" w:cstheme="majorBidi"/>
          <w:sz w:val="24"/>
          <w:szCs w:val="24"/>
          <w:rtl/>
        </w:rPr>
      </w:pPr>
      <w:r w:rsidRPr="008D3C74">
        <w:rPr>
          <w:rFonts w:ascii="David" w:hAnsi="David" w:cs="David"/>
          <w:sz w:val="24"/>
          <w:szCs w:val="24"/>
          <w:rtl/>
        </w:rPr>
        <w:lastRenderedPageBreak/>
        <w:t xml:space="preserve">"האומר הריני נזיר אם יהיה בכרי זה מאה כור והלך למודדו </w:t>
      </w:r>
      <w:r w:rsidRPr="008D3C74">
        <w:rPr>
          <w:rFonts w:ascii="David" w:hAnsi="David" w:cs="David"/>
          <w:b/>
          <w:bCs/>
          <w:sz w:val="24"/>
          <w:szCs w:val="24"/>
          <w:rtl/>
        </w:rPr>
        <w:t>ומצאו שנגנב או שאבד</w:t>
      </w:r>
      <w:r w:rsidRPr="008D3C74">
        <w:rPr>
          <w:rFonts w:ascii="David" w:hAnsi="David" w:cs="David"/>
          <w:sz w:val="24"/>
          <w:szCs w:val="24"/>
          <w:rtl/>
        </w:rPr>
        <w:t xml:space="preserve"> אינו נזיר וכן כל כיוצא בזה, שספק נזירות להקל</w:t>
      </w:r>
      <w:r w:rsidRPr="008D3C74">
        <w:rPr>
          <w:rStyle w:val="a5"/>
          <w:rFonts w:ascii="David" w:hAnsi="David" w:cs="David"/>
          <w:sz w:val="24"/>
          <w:szCs w:val="24"/>
          <w:rtl/>
        </w:rPr>
        <w:footnoteReference w:id="34"/>
      </w:r>
      <w:r w:rsidRPr="008D3C74">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הרי שנינו במסכת נדרים, שלפי רבי טרפון גם אם נמצא כדבריו אין ה</w:t>
      </w:r>
      <w:r w:rsidR="00413035">
        <w:rPr>
          <w:rFonts w:asciiTheme="majorBidi" w:hAnsiTheme="majorBidi" w:cstheme="majorBidi" w:hint="cs"/>
          <w:sz w:val="24"/>
          <w:szCs w:val="24"/>
          <w:rtl/>
        </w:rPr>
        <w:t>נזירות</w:t>
      </w:r>
      <w:r>
        <w:rPr>
          <w:rFonts w:asciiTheme="majorBidi" w:hAnsiTheme="majorBidi" w:cstheme="majorBidi" w:hint="cs"/>
          <w:sz w:val="24"/>
          <w:szCs w:val="24"/>
          <w:rtl/>
        </w:rPr>
        <w:t xml:space="preserve"> חלה, ומדוע סייג הרמב"ם את אי החלות ב'נגנב או אבד'? יש להוסיף </w:t>
      </w:r>
      <w:r w:rsidR="00230C27">
        <w:rPr>
          <w:rFonts w:asciiTheme="majorBidi" w:hAnsiTheme="majorBidi" w:cstheme="majorBidi" w:hint="cs"/>
          <w:sz w:val="24"/>
          <w:szCs w:val="24"/>
          <w:rtl/>
        </w:rPr>
        <w:t>שגם ב</w:t>
      </w:r>
      <w:r w:rsidR="00994CEA">
        <w:rPr>
          <w:rFonts w:asciiTheme="majorBidi" w:hAnsiTheme="majorBidi" w:cstheme="majorBidi" w:hint="cs"/>
          <w:sz w:val="24"/>
          <w:szCs w:val="24"/>
          <w:rtl/>
        </w:rPr>
        <w:t>דין ה</w:t>
      </w:r>
      <w:r w:rsidR="00230C27">
        <w:rPr>
          <w:rFonts w:asciiTheme="majorBidi" w:hAnsiTheme="majorBidi" w:cstheme="majorBidi" w:hint="cs"/>
          <w:sz w:val="24"/>
          <w:szCs w:val="24"/>
          <w:rtl/>
        </w:rPr>
        <w:t xml:space="preserve">תולים </w:t>
      </w:r>
      <w:r w:rsidR="00413035">
        <w:rPr>
          <w:rFonts w:asciiTheme="majorBidi" w:hAnsiTheme="majorBidi" w:cstheme="majorBidi" w:hint="cs"/>
          <w:sz w:val="24"/>
          <w:szCs w:val="24"/>
          <w:rtl/>
        </w:rPr>
        <w:t>נזירות</w:t>
      </w:r>
      <w:r w:rsidR="00230C27">
        <w:rPr>
          <w:rFonts w:asciiTheme="majorBidi" w:hAnsiTheme="majorBidi" w:cstheme="majorBidi" w:hint="cs"/>
          <w:sz w:val="24"/>
          <w:szCs w:val="24"/>
          <w:rtl/>
        </w:rPr>
        <w:t>ם בעוברים לפניהם</w:t>
      </w:r>
      <w:r w:rsidR="00994CEA">
        <w:rPr>
          <w:rFonts w:asciiTheme="majorBidi" w:hAnsiTheme="majorBidi" w:cstheme="majorBidi" w:hint="cs"/>
          <w:sz w:val="24"/>
          <w:szCs w:val="24"/>
          <w:rtl/>
        </w:rPr>
        <w:t>,</w:t>
      </w:r>
      <w:r w:rsidR="00230C27">
        <w:rPr>
          <w:rFonts w:asciiTheme="majorBidi" w:hAnsiTheme="majorBidi" w:cstheme="majorBidi" w:hint="cs"/>
          <w:sz w:val="24"/>
          <w:szCs w:val="24"/>
          <w:rtl/>
        </w:rPr>
        <w:t xml:space="preserve"> פסק הרמב"ם שמי שי</w:t>
      </w:r>
      <w:r w:rsidR="00994CEA">
        <w:rPr>
          <w:rFonts w:asciiTheme="majorBidi" w:hAnsiTheme="majorBidi" w:cstheme="majorBidi" w:hint="cs"/>
          <w:sz w:val="24"/>
          <w:szCs w:val="24"/>
          <w:rtl/>
        </w:rPr>
        <w:t>ת</w:t>
      </w:r>
      <w:r w:rsidR="00230C27">
        <w:rPr>
          <w:rFonts w:asciiTheme="majorBidi" w:hAnsiTheme="majorBidi" w:cstheme="majorBidi" w:hint="cs"/>
          <w:sz w:val="24"/>
          <w:szCs w:val="24"/>
          <w:rtl/>
        </w:rPr>
        <w:t>ברר שתלה נזירותו ב</w:t>
      </w:r>
      <w:r w:rsidR="00413035">
        <w:rPr>
          <w:rFonts w:asciiTheme="majorBidi" w:hAnsiTheme="majorBidi" w:cstheme="majorBidi" w:hint="cs"/>
          <w:sz w:val="24"/>
          <w:szCs w:val="24"/>
          <w:rtl/>
        </w:rPr>
        <w:t>נזירות</w:t>
      </w:r>
      <w:r w:rsidR="00230C27">
        <w:rPr>
          <w:rFonts w:asciiTheme="majorBidi" w:hAnsiTheme="majorBidi" w:cstheme="majorBidi" w:hint="cs"/>
          <w:sz w:val="24"/>
          <w:szCs w:val="24"/>
          <w:rtl/>
        </w:rPr>
        <w:t xml:space="preserve"> קיימת, ה</w:t>
      </w:r>
      <w:r w:rsidR="00413035">
        <w:rPr>
          <w:rFonts w:asciiTheme="majorBidi" w:hAnsiTheme="majorBidi" w:cstheme="majorBidi" w:hint="cs"/>
          <w:sz w:val="24"/>
          <w:szCs w:val="24"/>
          <w:rtl/>
        </w:rPr>
        <w:t>נזירות</w:t>
      </w:r>
      <w:r w:rsidR="00230C27">
        <w:rPr>
          <w:rFonts w:asciiTheme="majorBidi" w:hAnsiTheme="majorBidi" w:cstheme="majorBidi" w:hint="cs"/>
          <w:sz w:val="24"/>
          <w:szCs w:val="24"/>
          <w:rtl/>
        </w:rPr>
        <w:t xml:space="preserve"> חלה</w:t>
      </w:r>
      <w:r w:rsidR="00230C27">
        <w:rPr>
          <w:rStyle w:val="a5"/>
          <w:rFonts w:asciiTheme="majorBidi" w:hAnsiTheme="majorBidi" w:cstheme="majorBidi"/>
          <w:sz w:val="24"/>
          <w:szCs w:val="24"/>
          <w:rtl/>
        </w:rPr>
        <w:footnoteReference w:id="35"/>
      </w:r>
      <w:r w:rsidR="00230C27">
        <w:rPr>
          <w:rFonts w:asciiTheme="majorBidi" w:hAnsiTheme="majorBidi" w:cstheme="majorBidi" w:hint="cs"/>
          <w:sz w:val="24"/>
          <w:szCs w:val="24"/>
          <w:rtl/>
        </w:rPr>
        <w:t xml:space="preserve">. </w:t>
      </w:r>
      <w:r w:rsidR="00847B0A">
        <w:rPr>
          <w:rFonts w:asciiTheme="majorBidi" w:hAnsiTheme="majorBidi" w:cstheme="majorBidi" w:hint="cs"/>
          <w:sz w:val="24"/>
          <w:szCs w:val="24"/>
          <w:rtl/>
        </w:rPr>
        <w:t>לעומת זאת</w:t>
      </w:r>
      <w:r w:rsidR="00230C27">
        <w:rPr>
          <w:rFonts w:asciiTheme="majorBidi" w:hAnsiTheme="majorBidi" w:cstheme="majorBidi" w:hint="cs"/>
          <w:sz w:val="24"/>
          <w:szCs w:val="24"/>
          <w:rtl/>
        </w:rPr>
        <w:t xml:space="preserve"> לפי רבי טרפון כל ספק אינו חל, אף אם התברר.</w:t>
      </w:r>
    </w:p>
    <w:p w14:paraId="62E9926E" w14:textId="6DCBA76E" w:rsidR="00230C27" w:rsidRPr="00230C27" w:rsidRDefault="00230C27" w:rsidP="008D3C74">
      <w:pPr>
        <w:pStyle w:val="a6"/>
        <w:spacing w:after="0" w:line="360" w:lineRule="auto"/>
        <w:rPr>
          <w:rFonts w:ascii="David" w:hAnsi="David" w:cs="David"/>
          <w:sz w:val="24"/>
          <w:szCs w:val="24"/>
          <w:rtl/>
        </w:rPr>
      </w:pPr>
      <w:r>
        <w:rPr>
          <w:rFonts w:asciiTheme="majorBidi" w:hAnsiTheme="majorBidi" w:cstheme="majorBidi" w:hint="cs"/>
          <w:sz w:val="24"/>
          <w:szCs w:val="24"/>
          <w:rtl/>
        </w:rPr>
        <w:t xml:space="preserve">כדי לתרץ זאת, הרב ורשנר מציע שהרמב"ם פוסק גרסה מרוככת של דברי רבי טרפון. </w:t>
      </w:r>
      <w:r>
        <w:rPr>
          <w:rFonts w:ascii="David" w:hAnsi="David" w:cs="David" w:hint="cs"/>
          <w:sz w:val="24"/>
          <w:szCs w:val="24"/>
          <w:rtl/>
        </w:rPr>
        <w:t>"כאשר התנאי</w:t>
      </w:r>
      <w:r w:rsidR="00994CEA">
        <w:rPr>
          <w:rFonts w:ascii="David" w:hAnsi="David" w:cs="David" w:hint="cs"/>
          <w:sz w:val="24"/>
          <w:szCs w:val="24"/>
          <w:rtl/>
        </w:rPr>
        <w:t xml:space="preserve"> </w:t>
      </w:r>
      <w:r>
        <w:rPr>
          <w:rFonts w:ascii="David" w:hAnsi="David" w:cs="David" w:hint="cs"/>
          <w:sz w:val="24"/>
          <w:szCs w:val="24"/>
          <w:rtl/>
        </w:rPr>
        <w:t>של נדר ה</w:t>
      </w:r>
      <w:r w:rsidR="00413035">
        <w:rPr>
          <w:rFonts w:ascii="David" w:hAnsi="David" w:cs="David" w:hint="cs"/>
          <w:sz w:val="24"/>
          <w:szCs w:val="24"/>
          <w:rtl/>
        </w:rPr>
        <w:t>נזירות</w:t>
      </w:r>
      <w:r>
        <w:rPr>
          <w:rFonts w:ascii="David" w:hAnsi="David" w:cs="David" w:hint="cs"/>
          <w:sz w:val="24"/>
          <w:szCs w:val="24"/>
          <w:rtl/>
        </w:rPr>
        <w:t xml:space="preserve"> לא מתברר לעולם, מתקיים הדין ש'לא נתנה </w:t>
      </w:r>
      <w:r w:rsidR="00413035">
        <w:rPr>
          <w:rFonts w:ascii="David" w:hAnsi="David" w:cs="David" w:hint="cs"/>
          <w:sz w:val="24"/>
          <w:szCs w:val="24"/>
          <w:rtl/>
        </w:rPr>
        <w:t>נזירות</w:t>
      </w:r>
      <w:r>
        <w:rPr>
          <w:rFonts w:ascii="David" w:hAnsi="David" w:cs="David" w:hint="cs"/>
          <w:sz w:val="24"/>
          <w:szCs w:val="24"/>
          <w:rtl/>
        </w:rPr>
        <w:t xml:space="preserve"> אלא להפלאה', ולכן ה</w:t>
      </w:r>
      <w:r w:rsidR="00413035">
        <w:rPr>
          <w:rFonts w:ascii="David" w:hAnsi="David" w:cs="David" w:hint="cs"/>
          <w:sz w:val="24"/>
          <w:szCs w:val="24"/>
          <w:rtl/>
        </w:rPr>
        <w:t>נזירות</w:t>
      </w:r>
      <w:r>
        <w:rPr>
          <w:rFonts w:ascii="David" w:hAnsi="David" w:cs="David" w:hint="cs"/>
          <w:sz w:val="24"/>
          <w:szCs w:val="24"/>
          <w:rtl/>
        </w:rPr>
        <w:t xml:space="preserve"> לא חלה. אך כאשר התנאי בנדר ה</w:t>
      </w:r>
      <w:r w:rsidR="00413035">
        <w:rPr>
          <w:rFonts w:ascii="David" w:hAnsi="David" w:cs="David" w:hint="cs"/>
          <w:sz w:val="24"/>
          <w:szCs w:val="24"/>
          <w:rtl/>
        </w:rPr>
        <w:t>נזירות</w:t>
      </w:r>
      <w:r>
        <w:rPr>
          <w:rFonts w:ascii="David" w:hAnsi="David" w:cs="David" w:hint="cs"/>
          <w:sz w:val="24"/>
          <w:szCs w:val="24"/>
          <w:rtl/>
        </w:rPr>
        <w:t xml:space="preserve"> מתברר.. ה</w:t>
      </w:r>
      <w:r w:rsidR="00413035">
        <w:rPr>
          <w:rFonts w:ascii="David" w:hAnsi="David" w:cs="David" w:hint="cs"/>
          <w:sz w:val="24"/>
          <w:szCs w:val="24"/>
          <w:rtl/>
        </w:rPr>
        <w:t>נזירות</w:t>
      </w:r>
      <w:r>
        <w:rPr>
          <w:rFonts w:ascii="David" w:hAnsi="David" w:cs="David" w:hint="cs"/>
          <w:sz w:val="24"/>
          <w:szCs w:val="24"/>
          <w:rtl/>
        </w:rPr>
        <w:t xml:space="preserve"> חלה... לדעת הרמב"ם זו שיטת רבי יהודה... בתוספתא של כרי.. והוא גם התנא במשנה בטהרות ובמשנה בנדרים</w:t>
      </w:r>
      <w:r>
        <w:rPr>
          <w:rStyle w:val="a5"/>
          <w:rFonts w:ascii="David" w:hAnsi="David" w:cs="David"/>
          <w:sz w:val="24"/>
          <w:szCs w:val="24"/>
          <w:rtl/>
        </w:rPr>
        <w:footnoteReference w:id="36"/>
      </w:r>
      <w:r>
        <w:rPr>
          <w:rFonts w:ascii="David" w:hAnsi="David" w:cs="David" w:hint="cs"/>
          <w:sz w:val="24"/>
          <w:szCs w:val="24"/>
          <w:rtl/>
        </w:rPr>
        <w:t>".</w:t>
      </w:r>
    </w:p>
    <w:p w14:paraId="2D4368EC" w14:textId="77777777" w:rsidR="006615C6" w:rsidRPr="006615C6" w:rsidRDefault="006615C6" w:rsidP="006615C6">
      <w:pPr>
        <w:pStyle w:val="a6"/>
        <w:spacing w:after="0" w:line="360" w:lineRule="auto"/>
        <w:rPr>
          <w:rFonts w:asciiTheme="majorBidi" w:hAnsiTheme="majorBidi" w:cstheme="majorBidi"/>
          <w:sz w:val="24"/>
          <w:szCs w:val="24"/>
          <w:rtl/>
        </w:rPr>
      </w:pPr>
    </w:p>
    <w:p w14:paraId="002B28BE" w14:textId="4904529E" w:rsidR="00814385" w:rsidRPr="006615C6" w:rsidRDefault="006615C6" w:rsidP="0024496C">
      <w:pPr>
        <w:pStyle w:val="a6"/>
        <w:spacing w:after="0" w:line="360" w:lineRule="auto"/>
        <w:rPr>
          <w:rFonts w:ascii="David" w:hAnsi="David" w:cs="David"/>
          <w:b/>
          <w:bCs/>
          <w:sz w:val="24"/>
          <w:szCs w:val="24"/>
          <w:rtl/>
        </w:rPr>
      </w:pPr>
      <w:r w:rsidRPr="006615C6">
        <w:rPr>
          <w:rFonts w:ascii="David" w:hAnsi="David" w:cs="David"/>
          <w:b/>
          <w:bCs/>
          <w:sz w:val="24"/>
          <w:szCs w:val="24"/>
          <w:rtl/>
        </w:rPr>
        <w:t>.</w:t>
      </w:r>
    </w:p>
    <w:sectPr w:rsidR="00814385" w:rsidRPr="006615C6"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E363C" w14:textId="77777777" w:rsidR="00292BB9" w:rsidRDefault="00292BB9" w:rsidP="00580964">
      <w:pPr>
        <w:spacing w:after="0" w:line="240" w:lineRule="auto"/>
      </w:pPr>
      <w:r>
        <w:separator/>
      </w:r>
    </w:p>
  </w:endnote>
  <w:endnote w:type="continuationSeparator" w:id="0">
    <w:p w14:paraId="381F2FE8" w14:textId="77777777" w:rsidR="00292BB9" w:rsidRDefault="00292BB9" w:rsidP="00580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002A0" w14:textId="77777777" w:rsidR="00292BB9" w:rsidRDefault="00292BB9" w:rsidP="00580964">
      <w:pPr>
        <w:spacing w:after="0" w:line="240" w:lineRule="auto"/>
      </w:pPr>
      <w:r>
        <w:separator/>
      </w:r>
    </w:p>
  </w:footnote>
  <w:footnote w:type="continuationSeparator" w:id="0">
    <w:p w14:paraId="78E2A38D" w14:textId="77777777" w:rsidR="00292BB9" w:rsidRDefault="00292BB9" w:rsidP="00580964">
      <w:pPr>
        <w:spacing w:after="0" w:line="240" w:lineRule="auto"/>
      </w:pPr>
      <w:r>
        <w:continuationSeparator/>
      </w:r>
    </w:p>
  </w:footnote>
  <w:footnote w:id="1">
    <w:p w14:paraId="0B8A0FF5" w14:textId="322F377A" w:rsidR="00413035" w:rsidRDefault="00413035">
      <w:pPr>
        <w:pStyle w:val="a3"/>
        <w:rPr>
          <w:rtl/>
        </w:rPr>
      </w:pPr>
      <w:r>
        <w:rPr>
          <w:rStyle w:val="a5"/>
        </w:rPr>
        <w:footnoteRef/>
      </w:r>
      <w:r>
        <w:rPr>
          <w:rtl/>
        </w:rPr>
        <w:t xml:space="preserve"> </w:t>
      </w:r>
      <w:r w:rsidRPr="005816BA">
        <w:rPr>
          <w:rFonts w:asciiTheme="majorBidi" w:hAnsiTheme="majorBidi" w:cstheme="majorBidi"/>
          <w:rtl/>
        </w:rPr>
        <w:t>תוד"ה שיהא.</w:t>
      </w:r>
    </w:p>
  </w:footnote>
  <w:footnote w:id="2">
    <w:p w14:paraId="64DFC474" w14:textId="166A2927" w:rsidR="00580964" w:rsidRPr="005816BA" w:rsidRDefault="00580964" w:rsidP="005816BA">
      <w:pPr>
        <w:pStyle w:val="a3"/>
        <w:spacing w:line="360" w:lineRule="auto"/>
        <w:rPr>
          <w:rFonts w:asciiTheme="majorBidi" w:hAnsiTheme="majorBidi" w:cstheme="majorBidi"/>
          <w:rtl/>
        </w:rPr>
      </w:pPr>
      <w:r w:rsidRPr="005816BA">
        <w:rPr>
          <w:rStyle w:val="a5"/>
          <w:rFonts w:asciiTheme="majorBidi" w:hAnsiTheme="majorBidi" w:cstheme="majorBidi"/>
        </w:rPr>
        <w:footnoteRef/>
      </w:r>
      <w:r w:rsidRPr="005816BA">
        <w:rPr>
          <w:rFonts w:asciiTheme="majorBidi" w:hAnsiTheme="majorBidi" w:cstheme="majorBidi"/>
          <w:rtl/>
        </w:rPr>
        <w:t xml:space="preserve"> </w:t>
      </w:r>
      <w:r w:rsidR="00413035">
        <w:rPr>
          <w:rFonts w:asciiTheme="majorBidi" w:hAnsiTheme="majorBidi" w:cstheme="majorBidi" w:hint="cs"/>
          <w:rtl/>
        </w:rPr>
        <w:t>שם.</w:t>
      </w:r>
    </w:p>
  </w:footnote>
  <w:footnote w:id="3">
    <w:p w14:paraId="63BAF96E" w14:textId="6D8D815D" w:rsidR="00C64441" w:rsidRPr="005816BA" w:rsidRDefault="00C64441" w:rsidP="005816BA">
      <w:pPr>
        <w:pStyle w:val="a3"/>
        <w:spacing w:line="360" w:lineRule="auto"/>
        <w:rPr>
          <w:rFonts w:asciiTheme="majorBidi" w:hAnsiTheme="majorBidi" w:cstheme="majorBidi"/>
        </w:rPr>
      </w:pPr>
      <w:r w:rsidRPr="005816BA">
        <w:rPr>
          <w:rStyle w:val="a5"/>
          <w:rFonts w:asciiTheme="majorBidi" w:hAnsiTheme="majorBidi" w:cstheme="majorBidi"/>
        </w:rPr>
        <w:footnoteRef/>
      </w:r>
      <w:r w:rsidRPr="005816BA">
        <w:rPr>
          <w:rFonts w:asciiTheme="majorBidi" w:hAnsiTheme="majorBidi" w:cstheme="majorBidi"/>
          <w:rtl/>
        </w:rPr>
        <w:t xml:space="preserve"> שיטה מקובצת  בשם הרא"ש.</w:t>
      </w:r>
    </w:p>
  </w:footnote>
  <w:footnote w:id="4">
    <w:p w14:paraId="565BA430" w14:textId="041B6687" w:rsidR="00C64441" w:rsidRPr="005816BA" w:rsidRDefault="00C64441" w:rsidP="005816BA">
      <w:pPr>
        <w:spacing w:after="0" w:line="360" w:lineRule="auto"/>
        <w:rPr>
          <w:rFonts w:asciiTheme="majorBidi" w:hAnsiTheme="majorBidi" w:cstheme="majorBidi"/>
          <w:sz w:val="20"/>
          <w:szCs w:val="20"/>
          <w:rtl/>
        </w:rPr>
      </w:pPr>
      <w:r w:rsidRPr="005816BA">
        <w:rPr>
          <w:rStyle w:val="a5"/>
          <w:rFonts w:asciiTheme="majorBidi" w:hAnsiTheme="majorBidi" w:cstheme="majorBidi"/>
          <w:sz w:val="20"/>
          <w:szCs w:val="20"/>
        </w:rPr>
        <w:footnoteRef/>
      </w:r>
      <w:r w:rsidRPr="005816BA">
        <w:rPr>
          <w:rFonts w:asciiTheme="majorBidi" w:hAnsiTheme="majorBidi" w:cstheme="majorBidi"/>
          <w:sz w:val="20"/>
          <w:szCs w:val="20"/>
          <w:rtl/>
        </w:rPr>
        <w:t xml:space="preserve"> </w:t>
      </w:r>
      <w:r w:rsidR="00745B20" w:rsidRPr="005816BA">
        <w:rPr>
          <w:rFonts w:asciiTheme="majorBidi" w:hAnsiTheme="majorBidi" w:cstheme="majorBidi"/>
          <w:sz w:val="20"/>
          <w:szCs w:val="20"/>
          <w:rtl/>
        </w:rPr>
        <w:t xml:space="preserve">פירוש </w:t>
      </w:r>
      <w:r w:rsidRPr="005816BA">
        <w:rPr>
          <w:rFonts w:asciiTheme="majorBidi" w:hAnsiTheme="majorBidi" w:cstheme="majorBidi"/>
          <w:sz w:val="20"/>
          <w:szCs w:val="20"/>
          <w:rtl/>
        </w:rPr>
        <w:t>הרא"ש.</w:t>
      </w:r>
    </w:p>
  </w:footnote>
  <w:footnote w:id="5">
    <w:p w14:paraId="2939ADE0" w14:textId="39955B08" w:rsidR="00C64441" w:rsidRPr="005816BA" w:rsidRDefault="00C64441" w:rsidP="005816BA">
      <w:pPr>
        <w:pStyle w:val="a3"/>
        <w:spacing w:line="360" w:lineRule="auto"/>
        <w:rPr>
          <w:rFonts w:asciiTheme="majorBidi" w:hAnsiTheme="majorBidi" w:cstheme="majorBidi"/>
        </w:rPr>
      </w:pPr>
      <w:r w:rsidRPr="005816BA">
        <w:rPr>
          <w:rStyle w:val="a5"/>
          <w:rFonts w:asciiTheme="majorBidi" w:hAnsiTheme="majorBidi" w:cstheme="majorBidi"/>
        </w:rPr>
        <w:footnoteRef/>
      </w:r>
      <w:r w:rsidRPr="005816BA">
        <w:rPr>
          <w:rFonts w:asciiTheme="majorBidi" w:hAnsiTheme="majorBidi" w:cstheme="majorBidi"/>
          <w:rtl/>
        </w:rPr>
        <w:t xml:space="preserve"> תוספות בסיום העמוד.</w:t>
      </w:r>
    </w:p>
  </w:footnote>
  <w:footnote w:id="6">
    <w:p w14:paraId="46C6F161" w14:textId="77777777" w:rsidR="00C451AC" w:rsidRPr="005816BA" w:rsidRDefault="00C451AC" w:rsidP="005816BA">
      <w:pPr>
        <w:pStyle w:val="a3"/>
        <w:spacing w:line="360" w:lineRule="auto"/>
        <w:rPr>
          <w:rFonts w:asciiTheme="majorBidi" w:hAnsiTheme="majorBidi" w:cstheme="majorBidi"/>
        </w:rPr>
      </w:pPr>
      <w:r w:rsidRPr="005816BA">
        <w:rPr>
          <w:rStyle w:val="a5"/>
          <w:rFonts w:asciiTheme="majorBidi" w:hAnsiTheme="majorBidi" w:cstheme="majorBidi"/>
        </w:rPr>
        <w:footnoteRef/>
      </w:r>
      <w:r w:rsidRPr="005816BA">
        <w:rPr>
          <w:rFonts w:asciiTheme="majorBidi" w:hAnsiTheme="majorBidi" w:cstheme="majorBidi"/>
          <w:rtl/>
        </w:rPr>
        <w:t xml:space="preserve"> רבי מאיר שמחה מדווינסק.</w:t>
      </w:r>
    </w:p>
  </w:footnote>
  <w:footnote w:id="7">
    <w:p w14:paraId="5926FC4A" w14:textId="77777777" w:rsidR="00C451AC" w:rsidRPr="005816BA" w:rsidRDefault="00C451AC" w:rsidP="005816BA">
      <w:pPr>
        <w:pStyle w:val="a3"/>
        <w:spacing w:line="360" w:lineRule="auto"/>
        <w:rPr>
          <w:rFonts w:asciiTheme="majorBidi" w:hAnsiTheme="majorBidi" w:cstheme="majorBidi"/>
          <w:rtl/>
        </w:rPr>
      </w:pPr>
      <w:r w:rsidRPr="005816BA">
        <w:rPr>
          <w:rStyle w:val="a5"/>
          <w:rFonts w:asciiTheme="majorBidi" w:hAnsiTheme="majorBidi" w:cstheme="majorBidi"/>
        </w:rPr>
        <w:footnoteRef/>
      </w:r>
      <w:r w:rsidRPr="005816BA">
        <w:rPr>
          <w:rFonts w:asciiTheme="majorBidi" w:hAnsiTheme="majorBidi" w:cstheme="majorBidi"/>
          <w:rtl/>
        </w:rPr>
        <w:t xml:space="preserve"> שיטה מקובצת.</w:t>
      </w:r>
    </w:p>
  </w:footnote>
  <w:footnote w:id="8">
    <w:p w14:paraId="2A3B7B9F" w14:textId="46398292" w:rsidR="00A17B41" w:rsidRPr="00413035" w:rsidRDefault="00A17B41" w:rsidP="00413035">
      <w:pPr>
        <w:spacing w:after="0" w:line="360" w:lineRule="auto"/>
        <w:rPr>
          <w:rFonts w:asciiTheme="majorBidi" w:hAnsiTheme="majorBidi" w:cstheme="majorBidi"/>
          <w:sz w:val="20"/>
          <w:szCs w:val="20"/>
          <w:rtl/>
        </w:rPr>
      </w:pPr>
      <w:r w:rsidRPr="005816BA">
        <w:rPr>
          <w:rStyle w:val="a5"/>
          <w:rFonts w:asciiTheme="majorBidi" w:hAnsiTheme="majorBidi" w:cstheme="majorBidi"/>
          <w:sz w:val="20"/>
          <w:szCs w:val="20"/>
        </w:rPr>
        <w:footnoteRef/>
      </w:r>
      <w:r w:rsidRPr="005816BA">
        <w:rPr>
          <w:rFonts w:asciiTheme="majorBidi" w:hAnsiTheme="majorBidi" w:cstheme="majorBidi"/>
          <w:sz w:val="20"/>
          <w:szCs w:val="20"/>
          <w:rtl/>
        </w:rPr>
        <w:t xml:space="preserve"> רמב"ם הלכות נזירות פרק ג הלכה יז.</w:t>
      </w:r>
    </w:p>
  </w:footnote>
  <w:footnote w:id="9">
    <w:p w14:paraId="43A0F9BA" w14:textId="03C9D99B" w:rsidR="00A17B41" w:rsidRPr="00A17B41" w:rsidRDefault="00A17B41" w:rsidP="00A17B41">
      <w:pPr>
        <w:pStyle w:val="a3"/>
        <w:rPr>
          <w:rFonts w:asciiTheme="majorBidi" w:hAnsiTheme="majorBidi" w:cstheme="majorBidi"/>
          <w:rtl/>
        </w:rPr>
      </w:pPr>
      <w:r w:rsidRPr="00A17B41">
        <w:rPr>
          <w:rStyle w:val="a5"/>
          <w:rFonts w:asciiTheme="majorBidi" w:hAnsiTheme="majorBidi" w:cstheme="majorBidi"/>
        </w:rPr>
        <w:footnoteRef/>
      </w:r>
      <w:r w:rsidRPr="00A17B41">
        <w:rPr>
          <w:rFonts w:asciiTheme="majorBidi" w:hAnsiTheme="majorBidi" w:cstheme="majorBidi"/>
          <w:rtl/>
        </w:rPr>
        <w:t xml:space="preserve"> בשאלה זו לא נאריך כאן. </w:t>
      </w:r>
      <w:r w:rsidRPr="00A17B41">
        <w:rPr>
          <w:rFonts w:asciiTheme="majorBidi" w:hAnsiTheme="majorBidi" w:cstheme="majorBidi"/>
          <w:rtl/>
        </w:rPr>
        <w:t xml:space="preserve">בקרן אורה מביא כמה תירוצים ומסיים לתרץ לדעתו על פי דברי הרמב"ם  </w:t>
      </w:r>
    </w:p>
    <w:p w14:paraId="5EDA0F29" w14:textId="0707904A" w:rsidR="005816BA" w:rsidRPr="005816BA" w:rsidRDefault="00A17B41" w:rsidP="005816BA">
      <w:pPr>
        <w:pStyle w:val="a3"/>
        <w:rPr>
          <w:rFonts w:asciiTheme="majorBidi" w:hAnsiTheme="majorBidi" w:cstheme="majorBidi"/>
          <w:rtl/>
        </w:rPr>
      </w:pPr>
      <w:r w:rsidRPr="00C451AC">
        <w:rPr>
          <w:rFonts w:ascii="David" w:hAnsi="David" w:cs="David"/>
          <w:rtl/>
        </w:rPr>
        <w:t>"בפירוש המשנה, שכתב טעמא דת"ק ב'כשער ראשי', דלרבנן מגלח אחת לשלשים יום</w:t>
      </w:r>
      <w:r w:rsidR="00C451AC" w:rsidRPr="00C451AC">
        <w:rPr>
          <w:rFonts w:ascii="David" w:hAnsi="David" w:cs="David"/>
          <w:rtl/>
        </w:rPr>
        <w:t>,</w:t>
      </w:r>
      <w:r w:rsidRPr="00C451AC">
        <w:rPr>
          <w:rFonts w:ascii="David" w:hAnsi="David" w:cs="David"/>
          <w:rtl/>
        </w:rPr>
        <w:t xml:space="preserve"> הוא משום דתלה נדרו בדברים חלוקים וכשינויא דרבה לעיל. ולפי זה דוקא היכא דא' כשער ראשי. אבל היכא דאמר</w:t>
      </w:r>
      <w:r w:rsidR="00C451AC" w:rsidRPr="00C451AC">
        <w:rPr>
          <w:rFonts w:ascii="David" w:hAnsi="David" w:cs="David"/>
          <w:rtl/>
        </w:rPr>
        <w:t>:</w:t>
      </w:r>
      <w:r w:rsidRPr="00C451AC">
        <w:rPr>
          <w:rFonts w:ascii="David" w:hAnsi="David" w:cs="David"/>
          <w:rtl/>
        </w:rPr>
        <w:t xml:space="preserve"> </w:t>
      </w:r>
      <w:r w:rsidR="00C451AC" w:rsidRPr="00C451AC">
        <w:rPr>
          <w:rFonts w:ascii="David" w:hAnsi="David" w:cs="David"/>
          <w:rtl/>
        </w:rPr>
        <w:t>'</w:t>
      </w:r>
      <w:r w:rsidRPr="00C451AC">
        <w:rPr>
          <w:rFonts w:ascii="David" w:hAnsi="David" w:cs="David"/>
          <w:rtl/>
        </w:rPr>
        <w:t>מלא הקופה</w:t>
      </w:r>
      <w:r w:rsidR="00C451AC" w:rsidRPr="00C451AC">
        <w:rPr>
          <w:rFonts w:ascii="David" w:hAnsi="David" w:cs="David"/>
          <w:rtl/>
        </w:rPr>
        <w:t>'</w:t>
      </w:r>
      <w:r w:rsidRPr="00C451AC">
        <w:rPr>
          <w:rFonts w:ascii="David" w:hAnsi="David" w:cs="David"/>
          <w:rtl/>
        </w:rPr>
        <w:t xml:space="preserve"> לא יחשב לדברים חלוקים. דשם הכולל הוא</w:t>
      </w:r>
      <w:r w:rsidR="00C451AC" w:rsidRPr="00C451AC">
        <w:rPr>
          <w:rFonts w:ascii="David" w:hAnsi="David" w:cs="David"/>
          <w:rtl/>
        </w:rPr>
        <w:t>.</w:t>
      </w:r>
      <w:r w:rsidRPr="00C451AC">
        <w:rPr>
          <w:rFonts w:ascii="David" w:hAnsi="David" w:cs="David"/>
          <w:rtl/>
        </w:rPr>
        <w:t xml:space="preserve"> על כרחך לכ"ע הוי נ"ע ומגלח לי"ב חודש</w:t>
      </w:r>
      <w:r w:rsidR="005816BA">
        <w:rPr>
          <w:rFonts w:ascii="David" w:hAnsi="David" w:cs="David" w:hint="cs"/>
          <w:rtl/>
        </w:rPr>
        <w:t>"</w:t>
      </w:r>
      <w:r w:rsidRPr="00C451AC">
        <w:rPr>
          <w:rFonts w:ascii="David" w:hAnsi="David" w:cs="David"/>
          <w:rtl/>
        </w:rPr>
        <w:t>.</w:t>
      </w:r>
      <w:r w:rsidR="005816BA">
        <w:rPr>
          <w:rFonts w:ascii="David" w:hAnsi="David" w:cs="David" w:hint="cs"/>
          <w:rtl/>
        </w:rPr>
        <w:t xml:space="preserve">  </w:t>
      </w:r>
      <w:r w:rsidR="005816BA">
        <w:rPr>
          <w:rFonts w:asciiTheme="majorBidi" w:hAnsiTheme="majorBidi" w:cstheme="majorBidi" w:hint="cs"/>
          <w:rtl/>
        </w:rPr>
        <w:t>בעל אור שמח בחידושיו מוסיף:</w:t>
      </w:r>
    </w:p>
    <w:p w14:paraId="058B7D8A" w14:textId="71ADC029" w:rsidR="00A17B41" w:rsidRDefault="005816BA" w:rsidP="005816BA">
      <w:pPr>
        <w:pStyle w:val="a3"/>
        <w:rPr>
          <w:rFonts w:ascii="David" w:hAnsi="David" w:cs="David"/>
          <w:rtl/>
        </w:rPr>
      </w:pPr>
      <w:r>
        <w:rPr>
          <w:rFonts w:ascii="David" w:hAnsi="David" w:cs="David" w:hint="cs"/>
          <w:rtl/>
        </w:rPr>
        <w:t>"</w:t>
      </w:r>
      <w:r w:rsidRPr="005816BA">
        <w:rPr>
          <w:rFonts w:ascii="David" w:hAnsi="David" w:cs="David"/>
          <w:rtl/>
        </w:rPr>
        <w:t>וטעמו מסתברא טובא, דדבר שאין לו קצבה הוא</w:t>
      </w:r>
      <w:r w:rsidR="004F0B97">
        <w:rPr>
          <w:rFonts w:ascii="David" w:hAnsi="David" w:cs="David" w:hint="cs"/>
          <w:rtl/>
        </w:rPr>
        <w:t>,</w:t>
      </w:r>
      <w:r w:rsidRPr="005816BA">
        <w:rPr>
          <w:rFonts w:ascii="David" w:hAnsi="David" w:cs="David"/>
          <w:rtl/>
        </w:rPr>
        <w:t xml:space="preserve"> כאומר נזיר לעולם</w:t>
      </w:r>
      <w:r>
        <w:rPr>
          <w:rFonts w:ascii="David" w:hAnsi="David" w:cs="David" w:hint="cs"/>
          <w:rtl/>
        </w:rPr>
        <w:t>"</w:t>
      </w:r>
      <w:r w:rsidRPr="005816BA">
        <w:rPr>
          <w:rFonts w:ascii="David" w:hAnsi="David" w:cs="David"/>
          <w:rtl/>
        </w:rPr>
        <w:t>.</w:t>
      </w:r>
    </w:p>
    <w:p w14:paraId="4FB6D294" w14:textId="77777777" w:rsidR="00C451AC" w:rsidRPr="00C451AC" w:rsidRDefault="00C451AC" w:rsidP="00A17B41">
      <w:pPr>
        <w:pStyle w:val="a3"/>
        <w:rPr>
          <w:rFonts w:ascii="David" w:hAnsi="David" w:cs="David"/>
        </w:rPr>
      </w:pPr>
    </w:p>
  </w:footnote>
  <w:footnote w:id="10">
    <w:p w14:paraId="0A7753ED" w14:textId="3F079229" w:rsidR="00A17B41" w:rsidRPr="00413035" w:rsidRDefault="00A17B41" w:rsidP="00413035">
      <w:pPr>
        <w:pStyle w:val="a3"/>
        <w:spacing w:line="360" w:lineRule="auto"/>
        <w:rPr>
          <w:rFonts w:asciiTheme="majorBidi" w:hAnsiTheme="majorBidi" w:cstheme="majorBidi"/>
        </w:rPr>
      </w:pPr>
      <w:r w:rsidRPr="00413035">
        <w:rPr>
          <w:rStyle w:val="a5"/>
          <w:rFonts w:asciiTheme="majorBidi" w:hAnsiTheme="majorBidi" w:cstheme="majorBidi"/>
        </w:rPr>
        <w:footnoteRef/>
      </w:r>
      <w:r w:rsidRPr="00413035">
        <w:rPr>
          <w:rFonts w:asciiTheme="majorBidi" w:hAnsiTheme="majorBidi" w:cstheme="majorBidi"/>
          <w:rtl/>
        </w:rPr>
        <w:t xml:space="preserve"> קרן אורה.</w:t>
      </w:r>
    </w:p>
  </w:footnote>
  <w:footnote w:id="11">
    <w:p w14:paraId="4BFD7D05" w14:textId="2CFFEE02" w:rsidR="008565DD" w:rsidRPr="00413035" w:rsidRDefault="008565DD" w:rsidP="00413035">
      <w:pPr>
        <w:pStyle w:val="a3"/>
        <w:spacing w:line="360" w:lineRule="auto"/>
        <w:rPr>
          <w:rFonts w:asciiTheme="majorBidi" w:hAnsiTheme="majorBidi" w:cstheme="majorBidi"/>
        </w:rPr>
      </w:pPr>
      <w:r w:rsidRPr="00413035">
        <w:rPr>
          <w:rStyle w:val="a5"/>
          <w:rFonts w:asciiTheme="majorBidi" w:hAnsiTheme="majorBidi" w:cstheme="majorBidi"/>
        </w:rPr>
        <w:footnoteRef/>
      </w:r>
      <w:r w:rsidRPr="00413035">
        <w:rPr>
          <w:rFonts w:asciiTheme="majorBidi" w:hAnsiTheme="majorBidi" w:cstheme="majorBidi"/>
          <w:rtl/>
        </w:rPr>
        <w:t xml:space="preserve"> </w:t>
      </w:r>
      <w:r w:rsidR="00413035">
        <w:rPr>
          <w:rFonts w:asciiTheme="majorBidi" w:hAnsiTheme="majorBidi" w:cstheme="majorBidi" w:hint="cs"/>
          <w:rtl/>
        </w:rPr>
        <w:t xml:space="preserve">משנה בנדרים </w:t>
      </w:r>
      <w:r w:rsidRPr="00413035">
        <w:rPr>
          <w:rFonts w:asciiTheme="majorBidi" w:hAnsiTheme="majorBidi" w:cstheme="majorBidi"/>
          <w:rtl/>
        </w:rPr>
        <w:t>דף יח עמוד ב.</w:t>
      </w:r>
    </w:p>
  </w:footnote>
  <w:footnote w:id="12">
    <w:p w14:paraId="776EF568" w14:textId="53633FFD" w:rsidR="008565DD" w:rsidRPr="00413035" w:rsidRDefault="008565DD" w:rsidP="00413035">
      <w:pPr>
        <w:pStyle w:val="a3"/>
        <w:spacing w:line="360" w:lineRule="auto"/>
        <w:rPr>
          <w:rFonts w:asciiTheme="majorBidi" w:hAnsiTheme="majorBidi" w:cstheme="majorBidi"/>
        </w:rPr>
      </w:pPr>
      <w:r w:rsidRPr="00413035">
        <w:rPr>
          <w:rStyle w:val="a5"/>
          <w:rFonts w:asciiTheme="majorBidi" w:hAnsiTheme="majorBidi" w:cstheme="majorBidi"/>
        </w:rPr>
        <w:footnoteRef/>
      </w:r>
      <w:r w:rsidRPr="00413035">
        <w:rPr>
          <w:rFonts w:asciiTheme="majorBidi" w:hAnsiTheme="majorBidi" w:cstheme="majorBidi"/>
          <w:rtl/>
        </w:rPr>
        <w:t xml:space="preserve"> פירוש הרא"ש.</w:t>
      </w:r>
    </w:p>
  </w:footnote>
  <w:footnote w:id="13">
    <w:p w14:paraId="5D2C5968" w14:textId="26DF6327" w:rsidR="00B753F5" w:rsidRPr="00413035" w:rsidRDefault="00B753F5" w:rsidP="00413035">
      <w:pPr>
        <w:pStyle w:val="a3"/>
        <w:spacing w:line="360" w:lineRule="auto"/>
        <w:rPr>
          <w:rFonts w:asciiTheme="majorBidi" w:hAnsiTheme="majorBidi" w:cstheme="majorBidi"/>
        </w:rPr>
      </w:pPr>
      <w:r w:rsidRPr="00413035">
        <w:rPr>
          <w:rStyle w:val="a5"/>
          <w:rFonts w:asciiTheme="majorBidi" w:hAnsiTheme="majorBidi" w:cstheme="majorBidi"/>
        </w:rPr>
        <w:footnoteRef/>
      </w:r>
      <w:r w:rsidRPr="00413035">
        <w:rPr>
          <w:rFonts w:asciiTheme="majorBidi" w:hAnsiTheme="majorBidi" w:cstheme="majorBidi"/>
          <w:rtl/>
        </w:rPr>
        <w:t xml:space="preserve"> תוספות בנדרים.</w:t>
      </w:r>
    </w:p>
  </w:footnote>
  <w:footnote w:id="14">
    <w:p w14:paraId="0D7146BB" w14:textId="1CEABC86" w:rsidR="00B753F5" w:rsidRPr="00413035" w:rsidRDefault="00B753F5" w:rsidP="00413035">
      <w:pPr>
        <w:pStyle w:val="a3"/>
        <w:spacing w:line="360" w:lineRule="auto"/>
        <w:rPr>
          <w:rFonts w:asciiTheme="majorBidi" w:hAnsiTheme="majorBidi" w:cstheme="majorBidi"/>
        </w:rPr>
      </w:pPr>
      <w:r w:rsidRPr="00413035">
        <w:rPr>
          <w:rStyle w:val="a5"/>
          <w:rFonts w:asciiTheme="majorBidi" w:hAnsiTheme="majorBidi" w:cstheme="majorBidi"/>
        </w:rPr>
        <w:footnoteRef/>
      </w:r>
      <w:r w:rsidRPr="00413035">
        <w:rPr>
          <w:rFonts w:asciiTheme="majorBidi" w:hAnsiTheme="majorBidi" w:cstheme="majorBidi"/>
          <w:rtl/>
        </w:rPr>
        <w:t xml:space="preserve"> על המשנה בנדרים.</w:t>
      </w:r>
    </w:p>
  </w:footnote>
  <w:footnote w:id="15">
    <w:p w14:paraId="5AE2E6AC" w14:textId="34551D5F" w:rsidR="00B753F5" w:rsidRDefault="00B753F5" w:rsidP="00413035">
      <w:pPr>
        <w:pStyle w:val="a3"/>
        <w:rPr>
          <w:rFonts w:asciiTheme="majorBidi" w:hAnsiTheme="majorBidi" w:cstheme="majorBidi"/>
          <w:rtl/>
        </w:rPr>
      </w:pPr>
      <w:r w:rsidRPr="00413035">
        <w:rPr>
          <w:rStyle w:val="a5"/>
          <w:rFonts w:asciiTheme="majorBidi" w:hAnsiTheme="majorBidi" w:cstheme="majorBidi"/>
        </w:rPr>
        <w:footnoteRef/>
      </w:r>
      <w:r w:rsidRPr="00413035">
        <w:rPr>
          <w:rFonts w:asciiTheme="majorBidi" w:hAnsiTheme="majorBidi" w:cstheme="majorBidi"/>
          <w:rtl/>
        </w:rPr>
        <w:t xml:space="preserve"> </w:t>
      </w:r>
      <w:r w:rsidR="00413035">
        <w:rPr>
          <w:rFonts w:asciiTheme="majorBidi" w:hAnsiTheme="majorBidi" w:cstheme="majorBidi" w:hint="cs"/>
          <w:rtl/>
        </w:rPr>
        <w:t xml:space="preserve">הרב נעם ורשנר, </w:t>
      </w:r>
      <w:r w:rsidRPr="00413035">
        <w:rPr>
          <w:rFonts w:asciiTheme="majorBidi" w:hAnsiTheme="majorBidi" w:cstheme="majorBidi"/>
          <w:rtl/>
        </w:rPr>
        <w:t xml:space="preserve">ראשית הנזר סימן יח. </w:t>
      </w:r>
      <w:r w:rsidRPr="00413035">
        <w:rPr>
          <w:rFonts w:asciiTheme="majorBidi" w:hAnsiTheme="majorBidi" w:cstheme="majorBidi"/>
          <w:rtl/>
        </w:rPr>
        <w:t>בהערה 4 שם,  הוא מבסס זאת מהלכה לפיה המברך ברכת המזון מספק</w:t>
      </w:r>
      <w:r w:rsidR="00C32A82">
        <w:rPr>
          <w:rFonts w:asciiTheme="majorBidi" w:hAnsiTheme="majorBidi" w:cstheme="majorBidi" w:hint="cs"/>
          <w:rtl/>
        </w:rPr>
        <w:t>,</w:t>
      </w:r>
      <w:r w:rsidRPr="00413035">
        <w:rPr>
          <w:rFonts w:asciiTheme="majorBidi" w:hAnsiTheme="majorBidi" w:cstheme="majorBidi"/>
          <w:rtl/>
        </w:rPr>
        <w:t xml:space="preserve"> רשאי להוציא ידי חובה מי שחייב בוודאי.</w:t>
      </w:r>
      <w:r w:rsidR="00413035">
        <w:rPr>
          <w:rFonts w:asciiTheme="majorBidi" w:hAnsiTheme="majorBidi" w:cstheme="majorBidi" w:hint="cs"/>
          <w:rtl/>
        </w:rPr>
        <w:t xml:space="preserve"> נרבה להביא מדבריו בהמשך.</w:t>
      </w:r>
    </w:p>
    <w:p w14:paraId="093BC943" w14:textId="77777777" w:rsidR="00413035" w:rsidRPr="00413035" w:rsidRDefault="00413035" w:rsidP="00413035">
      <w:pPr>
        <w:pStyle w:val="a3"/>
        <w:rPr>
          <w:rFonts w:asciiTheme="majorBidi" w:hAnsiTheme="majorBidi" w:cstheme="majorBidi"/>
          <w:rtl/>
        </w:rPr>
      </w:pPr>
    </w:p>
  </w:footnote>
  <w:footnote w:id="16">
    <w:p w14:paraId="6B680EA7" w14:textId="00E31D03" w:rsidR="005816BA" w:rsidRPr="00413035" w:rsidRDefault="005816BA" w:rsidP="00413035">
      <w:pPr>
        <w:pStyle w:val="a3"/>
        <w:spacing w:line="360" w:lineRule="auto"/>
        <w:rPr>
          <w:rFonts w:asciiTheme="majorBidi" w:hAnsiTheme="majorBidi" w:cstheme="majorBidi"/>
        </w:rPr>
      </w:pPr>
      <w:r w:rsidRPr="00413035">
        <w:rPr>
          <w:rStyle w:val="a5"/>
          <w:rFonts w:asciiTheme="majorBidi" w:hAnsiTheme="majorBidi" w:cstheme="majorBidi"/>
        </w:rPr>
        <w:footnoteRef/>
      </w:r>
      <w:r w:rsidRPr="00413035">
        <w:rPr>
          <w:rFonts w:asciiTheme="majorBidi" w:hAnsiTheme="majorBidi" w:cstheme="majorBidi"/>
          <w:rtl/>
        </w:rPr>
        <w:t xml:space="preserve"> משנה מסכת טהרות פרק ד משנה ז.</w:t>
      </w:r>
    </w:p>
  </w:footnote>
  <w:footnote w:id="17">
    <w:p w14:paraId="1109F367" w14:textId="5524C880" w:rsidR="0086245F" w:rsidRPr="00994CEA" w:rsidRDefault="0086245F" w:rsidP="00994CEA">
      <w:pPr>
        <w:pStyle w:val="a3"/>
        <w:spacing w:line="360" w:lineRule="auto"/>
        <w:rPr>
          <w:rFonts w:asciiTheme="majorBidi" w:hAnsiTheme="majorBidi" w:cstheme="majorBidi"/>
        </w:rPr>
      </w:pPr>
      <w:r w:rsidRPr="00994CEA">
        <w:rPr>
          <w:rStyle w:val="a5"/>
          <w:rFonts w:asciiTheme="majorBidi" w:hAnsiTheme="majorBidi" w:cstheme="majorBidi"/>
        </w:rPr>
        <w:footnoteRef/>
      </w:r>
      <w:r w:rsidRPr="00994CEA">
        <w:rPr>
          <w:rFonts w:asciiTheme="majorBidi" w:hAnsiTheme="majorBidi" w:cstheme="majorBidi"/>
          <w:rtl/>
        </w:rPr>
        <w:t xml:space="preserve"> מסכת נדרים דף יט עמוד א.</w:t>
      </w:r>
    </w:p>
  </w:footnote>
  <w:footnote w:id="18">
    <w:p w14:paraId="274D503C" w14:textId="5042F05D" w:rsidR="00692D11" w:rsidRPr="00994CEA" w:rsidRDefault="00692D11" w:rsidP="00994CEA">
      <w:pPr>
        <w:pStyle w:val="a3"/>
        <w:spacing w:line="360" w:lineRule="auto"/>
        <w:rPr>
          <w:rFonts w:asciiTheme="majorBidi" w:hAnsiTheme="majorBidi" w:cstheme="majorBidi"/>
        </w:rPr>
      </w:pPr>
      <w:r w:rsidRPr="00994CEA">
        <w:rPr>
          <w:rStyle w:val="a5"/>
          <w:rFonts w:asciiTheme="majorBidi" w:hAnsiTheme="majorBidi" w:cstheme="majorBidi"/>
        </w:rPr>
        <w:footnoteRef/>
      </w:r>
      <w:r w:rsidRPr="00994CEA">
        <w:rPr>
          <w:rFonts w:asciiTheme="majorBidi" w:hAnsiTheme="majorBidi" w:cstheme="majorBidi"/>
          <w:rtl/>
        </w:rPr>
        <w:t xml:space="preserve"> מסכת נדרים דף יט עמוד ב.</w:t>
      </w:r>
    </w:p>
  </w:footnote>
  <w:footnote w:id="19">
    <w:p w14:paraId="66A6941B" w14:textId="5465642A" w:rsidR="008C5D6B" w:rsidRDefault="008C5D6B" w:rsidP="00994CEA">
      <w:pPr>
        <w:pStyle w:val="a3"/>
        <w:rPr>
          <w:rFonts w:asciiTheme="majorBidi" w:hAnsiTheme="majorBidi" w:cstheme="majorBidi"/>
          <w:rtl/>
        </w:rPr>
      </w:pPr>
      <w:r w:rsidRPr="00994CEA">
        <w:rPr>
          <w:rStyle w:val="a5"/>
          <w:rFonts w:asciiTheme="majorBidi" w:hAnsiTheme="majorBidi" w:cstheme="majorBidi"/>
        </w:rPr>
        <w:footnoteRef/>
      </w:r>
      <w:r w:rsidRPr="00994CEA">
        <w:rPr>
          <w:rFonts w:asciiTheme="majorBidi" w:hAnsiTheme="majorBidi" w:cstheme="majorBidi"/>
          <w:rtl/>
        </w:rPr>
        <w:t xml:space="preserve"> כדברי התוספות שהבאנו במקו</w:t>
      </w:r>
      <w:r w:rsidR="00814385" w:rsidRPr="00994CEA">
        <w:rPr>
          <w:rFonts w:asciiTheme="majorBidi" w:hAnsiTheme="majorBidi" w:cstheme="majorBidi"/>
          <w:rtl/>
        </w:rPr>
        <w:t>ר</w:t>
      </w:r>
      <w:r w:rsidRPr="00994CEA">
        <w:rPr>
          <w:rFonts w:asciiTheme="majorBidi" w:hAnsiTheme="majorBidi" w:cstheme="majorBidi"/>
          <w:rtl/>
        </w:rPr>
        <w:t xml:space="preserve"> הראשון. גם במשנה למלך </w:t>
      </w:r>
      <w:r w:rsidRPr="00994CEA">
        <w:rPr>
          <w:rFonts w:asciiTheme="majorBidi" w:hAnsiTheme="majorBidi" w:cstheme="majorBidi"/>
          <w:sz w:val="16"/>
          <w:szCs w:val="16"/>
          <w:rtl/>
        </w:rPr>
        <w:t xml:space="preserve">(נזירות פרק ג הלכה יח ד"ה תו) </w:t>
      </w:r>
      <w:r w:rsidRPr="00994CEA">
        <w:rPr>
          <w:rFonts w:asciiTheme="majorBidi" w:hAnsiTheme="majorBidi" w:cstheme="majorBidi"/>
          <w:rtl/>
        </w:rPr>
        <w:t>מברר אפשרויות שונות לסיים את ה</w:t>
      </w:r>
      <w:r w:rsidR="00413035" w:rsidRPr="00994CEA">
        <w:rPr>
          <w:rFonts w:asciiTheme="majorBidi" w:hAnsiTheme="majorBidi" w:cstheme="majorBidi"/>
          <w:rtl/>
        </w:rPr>
        <w:t>נזירות</w:t>
      </w:r>
      <w:r w:rsidRPr="00994CEA">
        <w:rPr>
          <w:rFonts w:asciiTheme="majorBidi" w:hAnsiTheme="majorBidi" w:cstheme="majorBidi"/>
          <w:rtl/>
        </w:rPr>
        <w:t>.</w:t>
      </w:r>
    </w:p>
    <w:p w14:paraId="50C09412" w14:textId="77777777" w:rsidR="00994CEA" w:rsidRPr="00994CEA" w:rsidRDefault="00994CEA" w:rsidP="00994CEA">
      <w:pPr>
        <w:pStyle w:val="a3"/>
        <w:rPr>
          <w:rFonts w:asciiTheme="majorBidi" w:hAnsiTheme="majorBidi" w:cstheme="majorBidi"/>
        </w:rPr>
      </w:pPr>
    </w:p>
  </w:footnote>
  <w:footnote w:id="20">
    <w:p w14:paraId="6BF750B1" w14:textId="5AEE733D" w:rsidR="00814385" w:rsidRPr="00994CEA" w:rsidRDefault="00814385" w:rsidP="00994CEA">
      <w:pPr>
        <w:pStyle w:val="a3"/>
        <w:spacing w:line="360" w:lineRule="auto"/>
        <w:rPr>
          <w:rFonts w:asciiTheme="majorBidi" w:hAnsiTheme="majorBidi" w:cstheme="majorBidi"/>
          <w:rtl/>
        </w:rPr>
      </w:pPr>
      <w:r w:rsidRPr="00994CEA">
        <w:rPr>
          <w:rStyle w:val="a5"/>
          <w:rFonts w:asciiTheme="majorBidi" w:hAnsiTheme="majorBidi" w:cstheme="majorBidi"/>
        </w:rPr>
        <w:footnoteRef/>
      </w:r>
      <w:r w:rsidRPr="00994CEA">
        <w:rPr>
          <w:rFonts w:asciiTheme="majorBidi" w:hAnsiTheme="majorBidi" w:cstheme="majorBidi"/>
          <w:rtl/>
        </w:rPr>
        <w:t xml:space="preserve"> ראשית הנזר, עמוד 333.</w:t>
      </w:r>
    </w:p>
  </w:footnote>
  <w:footnote w:id="21">
    <w:p w14:paraId="6F97BAD8" w14:textId="0DB3C23F" w:rsidR="00834288" w:rsidRPr="00994CEA" w:rsidRDefault="00834288" w:rsidP="00994CEA">
      <w:pPr>
        <w:pStyle w:val="a3"/>
        <w:spacing w:line="360" w:lineRule="auto"/>
        <w:rPr>
          <w:rFonts w:asciiTheme="majorBidi" w:hAnsiTheme="majorBidi" w:cstheme="majorBidi"/>
        </w:rPr>
      </w:pPr>
      <w:r w:rsidRPr="00994CEA">
        <w:rPr>
          <w:rStyle w:val="a5"/>
          <w:rFonts w:asciiTheme="majorBidi" w:hAnsiTheme="majorBidi" w:cstheme="majorBidi"/>
        </w:rPr>
        <w:footnoteRef/>
      </w:r>
      <w:r w:rsidRPr="00994CEA">
        <w:rPr>
          <w:rFonts w:asciiTheme="majorBidi" w:hAnsiTheme="majorBidi" w:cstheme="majorBidi"/>
          <w:rtl/>
        </w:rPr>
        <w:t xml:space="preserve"> דף לב עמוד ב.</w:t>
      </w:r>
    </w:p>
  </w:footnote>
  <w:footnote w:id="22">
    <w:p w14:paraId="7254B106" w14:textId="4F0BA13C" w:rsidR="00834288" w:rsidRPr="00994CEA" w:rsidRDefault="00834288" w:rsidP="00994CEA">
      <w:pPr>
        <w:pStyle w:val="a3"/>
        <w:spacing w:line="360" w:lineRule="auto"/>
        <w:rPr>
          <w:rFonts w:asciiTheme="majorBidi" w:hAnsiTheme="majorBidi" w:cstheme="majorBidi"/>
        </w:rPr>
      </w:pPr>
      <w:r w:rsidRPr="00994CEA">
        <w:rPr>
          <w:rStyle w:val="a5"/>
          <w:rFonts w:asciiTheme="majorBidi" w:hAnsiTheme="majorBidi" w:cstheme="majorBidi"/>
        </w:rPr>
        <w:footnoteRef/>
      </w:r>
      <w:r w:rsidRPr="00994CEA">
        <w:rPr>
          <w:rFonts w:asciiTheme="majorBidi" w:hAnsiTheme="majorBidi" w:cstheme="majorBidi"/>
          <w:rtl/>
        </w:rPr>
        <w:t xml:space="preserve">   מסכת נזיר דף לד עמוד א</w:t>
      </w:r>
      <w:r w:rsidR="008565DD" w:rsidRPr="00994CEA">
        <w:rPr>
          <w:rFonts w:asciiTheme="majorBidi" w:hAnsiTheme="majorBidi" w:cstheme="majorBidi"/>
          <w:rtl/>
        </w:rPr>
        <w:t>.</w:t>
      </w:r>
    </w:p>
  </w:footnote>
  <w:footnote w:id="23">
    <w:p w14:paraId="25D5FEC0" w14:textId="693F4C35" w:rsidR="008565DD" w:rsidRPr="00994CEA" w:rsidRDefault="008565DD" w:rsidP="00994CEA">
      <w:pPr>
        <w:spacing w:after="0" w:line="360" w:lineRule="auto"/>
        <w:rPr>
          <w:rFonts w:asciiTheme="majorBidi" w:hAnsiTheme="majorBidi" w:cstheme="majorBidi"/>
          <w:sz w:val="20"/>
          <w:szCs w:val="20"/>
        </w:rPr>
      </w:pPr>
      <w:r w:rsidRPr="00994CEA">
        <w:rPr>
          <w:rStyle w:val="a5"/>
          <w:rFonts w:asciiTheme="majorBidi" w:hAnsiTheme="majorBidi" w:cstheme="majorBidi"/>
          <w:sz w:val="20"/>
          <w:szCs w:val="20"/>
        </w:rPr>
        <w:footnoteRef/>
      </w:r>
      <w:r w:rsidRPr="00994CEA">
        <w:rPr>
          <w:rFonts w:asciiTheme="majorBidi" w:hAnsiTheme="majorBidi" w:cstheme="majorBidi"/>
          <w:sz w:val="20"/>
          <w:szCs w:val="20"/>
          <w:rtl/>
        </w:rPr>
        <w:t xml:space="preserve"> תוספות מסכת נדרים דף יט עמוד ב ד"ה רב אשי.</w:t>
      </w:r>
    </w:p>
  </w:footnote>
  <w:footnote w:id="24">
    <w:p w14:paraId="0DC883F9" w14:textId="08294414" w:rsidR="0024496C" w:rsidRPr="00994CEA" w:rsidRDefault="0024496C" w:rsidP="00994CEA">
      <w:pPr>
        <w:pStyle w:val="a3"/>
        <w:spacing w:line="360" w:lineRule="auto"/>
        <w:rPr>
          <w:rFonts w:asciiTheme="majorBidi" w:hAnsiTheme="majorBidi" w:cstheme="majorBidi"/>
        </w:rPr>
      </w:pPr>
      <w:r w:rsidRPr="00994CEA">
        <w:rPr>
          <w:rStyle w:val="a5"/>
          <w:rFonts w:asciiTheme="majorBidi" w:hAnsiTheme="majorBidi" w:cstheme="majorBidi"/>
        </w:rPr>
        <w:footnoteRef/>
      </w:r>
      <w:r w:rsidRPr="00994CEA">
        <w:rPr>
          <w:rFonts w:asciiTheme="majorBidi" w:hAnsiTheme="majorBidi" w:cstheme="majorBidi"/>
          <w:rtl/>
        </w:rPr>
        <w:t xml:space="preserve"> מסכת נדרים דף כא עמוד א.</w:t>
      </w:r>
      <w:r w:rsidR="008D3C74" w:rsidRPr="00994CEA">
        <w:rPr>
          <w:rFonts w:asciiTheme="majorBidi" w:hAnsiTheme="majorBidi" w:cstheme="majorBidi"/>
          <w:rtl/>
        </w:rPr>
        <w:t xml:space="preserve"> אמנם, הדברים אינם הכרחיים, שרבא שם מציע דרך אחרת לבאר.</w:t>
      </w:r>
    </w:p>
  </w:footnote>
  <w:footnote w:id="25">
    <w:p w14:paraId="6EF797DC" w14:textId="334C408F" w:rsidR="008C5D6B" w:rsidRPr="00994CEA" w:rsidRDefault="008C5D6B" w:rsidP="00994CEA">
      <w:pPr>
        <w:pStyle w:val="a3"/>
        <w:spacing w:line="360" w:lineRule="auto"/>
        <w:rPr>
          <w:rFonts w:asciiTheme="majorBidi" w:hAnsiTheme="majorBidi" w:cstheme="majorBidi"/>
        </w:rPr>
      </w:pPr>
      <w:r w:rsidRPr="00994CEA">
        <w:rPr>
          <w:rStyle w:val="a5"/>
          <w:rFonts w:asciiTheme="majorBidi" w:hAnsiTheme="majorBidi" w:cstheme="majorBidi"/>
        </w:rPr>
        <w:footnoteRef/>
      </w:r>
      <w:r w:rsidRPr="00994CEA">
        <w:rPr>
          <w:rFonts w:asciiTheme="majorBidi" w:hAnsiTheme="majorBidi" w:cstheme="majorBidi"/>
          <w:rtl/>
        </w:rPr>
        <w:t xml:space="preserve"> ראשית הנזר סימן יח סוף אות ב. </w:t>
      </w:r>
    </w:p>
  </w:footnote>
  <w:footnote w:id="26">
    <w:p w14:paraId="1533BBE7" w14:textId="77777777" w:rsidR="00994CEA" w:rsidRPr="00994CEA" w:rsidRDefault="00994CEA" w:rsidP="00994CEA">
      <w:pPr>
        <w:pStyle w:val="a3"/>
        <w:spacing w:line="360" w:lineRule="auto"/>
        <w:rPr>
          <w:rFonts w:asciiTheme="majorBidi" w:hAnsiTheme="majorBidi" w:cstheme="majorBidi"/>
          <w:rtl/>
        </w:rPr>
      </w:pPr>
      <w:r w:rsidRPr="00994CEA">
        <w:rPr>
          <w:rStyle w:val="a5"/>
          <w:rFonts w:asciiTheme="majorBidi" w:hAnsiTheme="majorBidi" w:cstheme="majorBidi"/>
        </w:rPr>
        <w:footnoteRef/>
      </w:r>
      <w:r w:rsidRPr="00994CEA">
        <w:rPr>
          <w:rFonts w:asciiTheme="majorBidi" w:hAnsiTheme="majorBidi" w:cstheme="majorBidi"/>
          <w:rtl/>
        </w:rPr>
        <w:t xml:space="preserve"> ורב אשי יחלוק על הציטוט האחרון לפי זה.</w:t>
      </w:r>
    </w:p>
  </w:footnote>
  <w:footnote w:id="27">
    <w:p w14:paraId="2BCFC528" w14:textId="6F39BCC7" w:rsidR="004A4E17" w:rsidRPr="00922F69" w:rsidRDefault="004A4E17" w:rsidP="00922F69">
      <w:pPr>
        <w:pStyle w:val="a3"/>
        <w:spacing w:line="360" w:lineRule="auto"/>
        <w:rPr>
          <w:rFonts w:asciiTheme="majorBidi" w:hAnsiTheme="majorBidi" w:cstheme="majorBidi"/>
        </w:rPr>
      </w:pPr>
      <w:r w:rsidRPr="00922F69">
        <w:rPr>
          <w:rStyle w:val="a5"/>
          <w:rFonts w:asciiTheme="majorBidi" w:hAnsiTheme="majorBidi" w:cstheme="majorBidi"/>
        </w:rPr>
        <w:footnoteRef/>
      </w:r>
      <w:r w:rsidRPr="00922F69">
        <w:rPr>
          <w:rFonts w:asciiTheme="majorBidi" w:hAnsiTheme="majorBidi" w:cstheme="majorBidi"/>
          <w:rtl/>
        </w:rPr>
        <w:t xml:space="preserve"> רמב"ם הלכות נדרים פרק ט הלכות ג-ד.</w:t>
      </w:r>
    </w:p>
  </w:footnote>
  <w:footnote w:id="28">
    <w:p w14:paraId="5D22F802" w14:textId="179E704E" w:rsidR="004A4E17" w:rsidRPr="00922F69" w:rsidRDefault="004A4E17" w:rsidP="00922F69">
      <w:pPr>
        <w:pStyle w:val="a3"/>
        <w:spacing w:line="360" w:lineRule="auto"/>
        <w:rPr>
          <w:rFonts w:asciiTheme="majorBidi" w:hAnsiTheme="majorBidi" w:cstheme="majorBidi"/>
        </w:rPr>
      </w:pPr>
      <w:r w:rsidRPr="00922F69">
        <w:rPr>
          <w:rStyle w:val="a5"/>
          <w:rFonts w:asciiTheme="majorBidi" w:hAnsiTheme="majorBidi" w:cstheme="majorBidi"/>
        </w:rPr>
        <w:footnoteRef/>
      </w:r>
      <w:r w:rsidRPr="00922F69">
        <w:rPr>
          <w:rFonts w:asciiTheme="majorBidi" w:hAnsiTheme="majorBidi" w:cstheme="majorBidi"/>
          <w:rtl/>
        </w:rPr>
        <w:t xml:space="preserve"> רמב"ם הלכות נזירות פרק ב הלכה ז.</w:t>
      </w:r>
    </w:p>
  </w:footnote>
  <w:footnote w:id="29">
    <w:p w14:paraId="535624AB" w14:textId="2CC73168" w:rsidR="006615C6" w:rsidRPr="00922F69" w:rsidRDefault="006615C6" w:rsidP="00922F69">
      <w:pPr>
        <w:pStyle w:val="a3"/>
        <w:spacing w:line="360" w:lineRule="auto"/>
        <w:rPr>
          <w:rFonts w:asciiTheme="majorBidi" w:hAnsiTheme="majorBidi" w:cstheme="majorBidi"/>
        </w:rPr>
      </w:pPr>
      <w:r w:rsidRPr="00922F69">
        <w:rPr>
          <w:rStyle w:val="a5"/>
          <w:rFonts w:asciiTheme="majorBidi" w:hAnsiTheme="majorBidi" w:cstheme="majorBidi"/>
        </w:rPr>
        <w:footnoteRef/>
      </w:r>
      <w:r w:rsidRPr="00922F69">
        <w:rPr>
          <w:rFonts w:asciiTheme="majorBidi" w:hAnsiTheme="majorBidi" w:cstheme="majorBidi"/>
          <w:rtl/>
        </w:rPr>
        <w:t xml:space="preserve"> שו"ת מהרי"ט חלק א סימן פט.</w:t>
      </w:r>
    </w:p>
  </w:footnote>
  <w:footnote w:id="30">
    <w:p w14:paraId="05BDC6FF" w14:textId="317B88DD" w:rsidR="006615C6" w:rsidRPr="00922F69" w:rsidRDefault="006615C6" w:rsidP="00922F69">
      <w:pPr>
        <w:pStyle w:val="a3"/>
        <w:spacing w:line="360" w:lineRule="auto"/>
        <w:rPr>
          <w:rFonts w:asciiTheme="majorBidi" w:hAnsiTheme="majorBidi" w:cstheme="majorBidi"/>
        </w:rPr>
      </w:pPr>
      <w:r w:rsidRPr="00922F69">
        <w:rPr>
          <w:rStyle w:val="a5"/>
          <w:rFonts w:asciiTheme="majorBidi" w:hAnsiTheme="majorBidi" w:cstheme="majorBidi"/>
        </w:rPr>
        <w:footnoteRef/>
      </w:r>
      <w:r w:rsidRPr="00922F69">
        <w:rPr>
          <w:rFonts w:asciiTheme="majorBidi" w:hAnsiTheme="majorBidi" w:cstheme="majorBidi"/>
          <w:rtl/>
        </w:rPr>
        <w:t xml:space="preserve"> כך מקשה במחנה אפרים סימן יג.</w:t>
      </w:r>
    </w:p>
  </w:footnote>
  <w:footnote w:id="31">
    <w:p w14:paraId="272BB0BF" w14:textId="3DE6BAEC" w:rsidR="006615C6" w:rsidRPr="00922F69" w:rsidRDefault="006615C6" w:rsidP="00922F69">
      <w:pPr>
        <w:spacing w:after="0" w:line="360" w:lineRule="auto"/>
        <w:rPr>
          <w:rFonts w:asciiTheme="majorBidi" w:hAnsiTheme="majorBidi" w:cstheme="majorBidi"/>
          <w:sz w:val="20"/>
          <w:szCs w:val="20"/>
        </w:rPr>
      </w:pPr>
      <w:r w:rsidRPr="00922F69">
        <w:rPr>
          <w:rStyle w:val="a5"/>
          <w:rFonts w:asciiTheme="majorBidi" w:hAnsiTheme="majorBidi" w:cstheme="majorBidi"/>
          <w:sz w:val="20"/>
          <w:szCs w:val="20"/>
        </w:rPr>
        <w:footnoteRef/>
      </w:r>
      <w:r w:rsidRPr="00922F69">
        <w:rPr>
          <w:rFonts w:asciiTheme="majorBidi" w:hAnsiTheme="majorBidi" w:cstheme="majorBidi"/>
          <w:sz w:val="20"/>
          <w:szCs w:val="20"/>
          <w:rtl/>
        </w:rPr>
        <w:t xml:space="preserve"> רמב"ם הלכות נזירות פרק ד הלכה יא.</w:t>
      </w:r>
    </w:p>
  </w:footnote>
  <w:footnote w:id="32">
    <w:p w14:paraId="2BFF7081" w14:textId="65C563E3" w:rsidR="006615C6" w:rsidRPr="00922F69" w:rsidRDefault="006615C6" w:rsidP="00922F69">
      <w:pPr>
        <w:pStyle w:val="a3"/>
        <w:spacing w:line="360" w:lineRule="auto"/>
        <w:rPr>
          <w:rFonts w:asciiTheme="majorBidi" w:hAnsiTheme="majorBidi" w:cstheme="majorBidi"/>
          <w:rtl/>
        </w:rPr>
      </w:pPr>
      <w:r w:rsidRPr="00922F69">
        <w:rPr>
          <w:rStyle w:val="a5"/>
          <w:rFonts w:asciiTheme="majorBidi" w:hAnsiTheme="majorBidi" w:cstheme="majorBidi"/>
        </w:rPr>
        <w:footnoteRef/>
      </w:r>
      <w:r w:rsidRPr="00922F69">
        <w:rPr>
          <w:rFonts w:asciiTheme="majorBidi" w:hAnsiTheme="majorBidi" w:cstheme="majorBidi"/>
          <w:rtl/>
        </w:rPr>
        <w:t xml:space="preserve"> ראשית הנזר עמוד 339.</w:t>
      </w:r>
    </w:p>
  </w:footnote>
  <w:footnote w:id="33">
    <w:p w14:paraId="2C6A14D1" w14:textId="175A2E2E" w:rsidR="008D3C74" w:rsidRPr="00994CEA" w:rsidRDefault="008D3C74" w:rsidP="00994CEA">
      <w:pPr>
        <w:spacing w:after="0" w:line="360" w:lineRule="auto"/>
        <w:rPr>
          <w:rFonts w:asciiTheme="majorBidi" w:hAnsiTheme="majorBidi" w:cstheme="majorBidi"/>
          <w:sz w:val="20"/>
          <w:szCs w:val="20"/>
          <w:rtl/>
        </w:rPr>
      </w:pPr>
      <w:r w:rsidRPr="00994CEA">
        <w:rPr>
          <w:rStyle w:val="a5"/>
          <w:rFonts w:asciiTheme="majorBidi" w:hAnsiTheme="majorBidi" w:cstheme="majorBidi"/>
          <w:sz w:val="20"/>
          <w:szCs w:val="20"/>
        </w:rPr>
        <w:footnoteRef/>
      </w:r>
      <w:r w:rsidRPr="00994CEA">
        <w:rPr>
          <w:rFonts w:asciiTheme="majorBidi" w:hAnsiTheme="majorBidi" w:cstheme="majorBidi"/>
          <w:sz w:val="20"/>
          <w:szCs w:val="20"/>
          <w:rtl/>
        </w:rPr>
        <w:t xml:space="preserve"> שו"ת הרא"ם סימן נ. ומה שקשה מן הגמרא בנדרים כא, שיישמה את שיטת רבי טרפון בנדרים – עיין לעיל הערה 23. </w:t>
      </w:r>
    </w:p>
  </w:footnote>
  <w:footnote w:id="34">
    <w:p w14:paraId="6378E62C" w14:textId="6F09A239" w:rsidR="008D3C74" w:rsidRPr="00994CEA" w:rsidRDefault="008D3C74" w:rsidP="00994CEA">
      <w:pPr>
        <w:pStyle w:val="a3"/>
        <w:spacing w:line="360" w:lineRule="auto"/>
        <w:rPr>
          <w:rFonts w:asciiTheme="majorBidi" w:hAnsiTheme="majorBidi" w:cstheme="majorBidi"/>
        </w:rPr>
      </w:pPr>
      <w:r w:rsidRPr="00994CEA">
        <w:rPr>
          <w:rStyle w:val="a5"/>
          <w:rFonts w:asciiTheme="majorBidi" w:hAnsiTheme="majorBidi" w:cstheme="majorBidi"/>
        </w:rPr>
        <w:footnoteRef/>
      </w:r>
      <w:r w:rsidRPr="00994CEA">
        <w:rPr>
          <w:rFonts w:asciiTheme="majorBidi" w:hAnsiTheme="majorBidi" w:cstheme="majorBidi"/>
          <w:rtl/>
        </w:rPr>
        <w:t xml:space="preserve"> רמב"ם הלכות נזירות פרק ב הלכה ט.</w:t>
      </w:r>
    </w:p>
  </w:footnote>
  <w:footnote w:id="35">
    <w:p w14:paraId="5510E33B" w14:textId="6F3A72E2" w:rsidR="00230C27" w:rsidRPr="00994CEA" w:rsidRDefault="00230C27" w:rsidP="00994CEA">
      <w:pPr>
        <w:pStyle w:val="a3"/>
        <w:spacing w:line="360" w:lineRule="auto"/>
        <w:rPr>
          <w:rFonts w:asciiTheme="majorBidi" w:hAnsiTheme="majorBidi" w:cstheme="majorBidi"/>
        </w:rPr>
      </w:pPr>
      <w:r w:rsidRPr="00994CEA">
        <w:rPr>
          <w:rStyle w:val="a5"/>
          <w:rFonts w:asciiTheme="majorBidi" w:hAnsiTheme="majorBidi" w:cstheme="majorBidi"/>
        </w:rPr>
        <w:footnoteRef/>
      </w:r>
      <w:r w:rsidRPr="00994CEA">
        <w:rPr>
          <w:rFonts w:asciiTheme="majorBidi" w:hAnsiTheme="majorBidi" w:cstheme="majorBidi"/>
          <w:rtl/>
        </w:rPr>
        <w:t xml:space="preserve"> פרק ב הלכה ח.</w:t>
      </w:r>
    </w:p>
  </w:footnote>
  <w:footnote w:id="36">
    <w:p w14:paraId="19291515" w14:textId="50E6987E" w:rsidR="00230C27" w:rsidRPr="00994CEA" w:rsidRDefault="00230C27" w:rsidP="00994CEA">
      <w:pPr>
        <w:pStyle w:val="a3"/>
        <w:spacing w:line="360" w:lineRule="auto"/>
        <w:rPr>
          <w:rFonts w:asciiTheme="majorBidi" w:hAnsiTheme="majorBidi" w:cstheme="majorBidi"/>
          <w:rtl/>
        </w:rPr>
      </w:pPr>
      <w:r w:rsidRPr="00994CEA">
        <w:rPr>
          <w:rStyle w:val="a5"/>
          <w:rFonts w:asciiTheme="majorBidi" w:hAnsiTheme="majorBidi" w:cstheme="majorBidi"/>
        </w:rPr>
        <w:footnoteRef/>
      </w:r>
      <w:r w:rsidRPr="00994CEA">
        <w:rPr>
          <w:rFonts w:asciiTheme="majorBidi" w:hAnsiTheme="majorBidi" w:cstheme="majorBidi"/>
          <w:rtl/>
        </w:rPr>
        <w:t xml:space="preserve"> ראשית הנזר, עמודים 342-343.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46083268"/>
      <w:docPartObj>
        <w:docPartGallery w:val="Page Numbers (Top of Page)"/>
        <w:docPartUnique/>
      </w:docPartObj>
    </w:sdtPr>
    <w:sdtContent>
      <w:p w14:paraId="54FBFFCD" w14:textId="2B5159BE" w:rsidR="00692D11" w:rsidRDefault="00692D11">
        <w:pPr>
          <w:pStyle w:val="a7"/>
        </w:pPr>
        <w:r>
          <w:fldChar w:fldCharType="begin"/>
        </w:r>
        <w:r>
          <w:instrText>PAGE   \* MERGEFORMAT</w:instrText>
        </w:r>
        <w:r>
          <w:fldChar w:fldCharType="separate"/>
        </w:r>
        <w:r>
          <w:rPr>
            <w:rtl/>
            <w:lang w:val="he-IL"/>
          </w:rPr>
          <w:t>2</w:t>
        </w:r>
        <w:r>
          <w:fldChar w:fldCharType="end"/>
        </w:r>
      </w:p>
    </w:sdtContent>
  </w:sdt>
  <w:p w14:paraId="141F38C9" w14:textId="77777777" w:rsidR="00692D11" w:rsidRDefault="00692D1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2501A"/>
    <w:multiLevelType w:val="hybridMultilevel"/>
    <w:tmpl w:val="FC98DC92"/>
    <w:lvl w:ilvl="0" w:tplc="D042F63C">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701AA"/>
    <w:multiLevelType w:val="hybridMultilevel"/>
    <w:tmpl w:val="269E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349343">
    <w:abstractNumId w:val="1"/>
  </w:num>
  <w:num w:numId="2" w16cid:durableId="150123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3C3"/>
    <w:rsid w:val="00230C27"/>
    <w:rsid w:val="0024496C"/>
    <w:rsid w:val="00292BB9"/>
    <w:rsid w:val="00293330"/>
    <w:rsid w:val="003A2BD6"/>
    <w:rsid w:val="00413035"/>
    <w:rsid w:val="004172AB"/>
    <w:rsid w:val="004A4E17"/>
    <w:rsid w:val="004F0B97"/>
    <w:rsid w:val="0056544B"/>
    <w:rsid w:val="00580964"/>
    <w:rsid w:val="005816BA"/>
    <w:rsid w:val="006615C6"/>
    <w:rsid w:val="00692D11"/>
    <w:rsid w:val="00745B20"/>
    <w:rsid w:val="00814385"/>
    <w:rsid w:val="00834288"/>
    <w:rsid w:val="00847B0A"/>
    <w:rsid w:val="008565DD"/>
    <w:rsid w:val="008603C3"/>
    <w:rsid w:val="0086245F"/>
    <w:rsid w:val="008C5D6B"/>
    <w:rsid w:val="008D3C74"/>
    <w:rsid w:val="00922F69"/>
    <w:rsid w:val="00994CEA"/>
    <w:rsid w:val="00A17B41"/>
    <w:rsid w:val="00A82CF4"/>
    <w:rsid w:val="00B753F5"/>
    <w:rsid w:val="00BE5370"/>
    <w:rsid w:val="00C32A82"/>
    <w:rsid w:val="00C451AC"/>
    <w:rsid w:val="00C64441"/>
    <w:rsid w:val="00D318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1EA9"/>
  <w15:chartTrackingRefBased/>
  <w15:docId w15:val="{C984B28E-4677-4341-9792-932053B3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80964"/>
    <w:pPr>
      <w:spacing w:after="0" w:line="240" w:lineRule="auto"/>
    </w:pPr>
    <w:rPr>
      <w:sz w:val="20"/>
      <w:szCs w:val="20"/>
    </w:rPr>
  </w:style>
  <w:style w:type="character" w:customStyle="1" w:styleId="a4">
    <w:name w:val="טקסט הערת שוליים תו"/>
    <w:basedOn w:val="a0"/>
    <w:link w:val="a3"/>
    <w:uiPriority w:val="99"/>
    <w:semiHidden/>
    <w:rsid w:val="00580964"/>
    <w:rPr>
      <w:noProof/>
      <w:sz w:val="20"/>
      <w:szCs w:val="20"/>
    </w:rPr>
  </w:style>
  <w:style w:type="character" w:styleId="a5">
    <w:name w:val="footnote reference"/>
    <w:basedOn w:val="a0"/>
    <w:uiPriority w:val="99"/>
    <w:semiHidden/>
    <w:unhideWhenUsed/>
    <w:rsid w:val="00580964"/>
    <w:rPr>
      <w:vertAlign w:val="superscript"/>
    </w:rPr>
  </w:style>
  <w:style w:type="paragraph" w:styleId="a6">
    <w:name w:val="List Paragraph"/>
    <w:basedOn w:val="a"/>
    <w:uiPriority w:val="34"/>
    <w:qFormat/>
    <w:rsid w:val="0086245F"/>
    <w:pPr>
      <w:ind w:left="720"/>
      <w:contextualSpacing/>
    </w:pPr>
  </w:style>
  <w:style w:type="paragraph" w:styleId="a7">
    <w:name w:val="header"/>
    <w:basedOn w:val="a"/>
    <w:link w:val="a8"/>
    <w:uiPriority w:val="99"/>
    <w:unhideWhenUsed/>
    <w:rsid w:val="00692D11"/>
    <w:pPr>
      <w:tabs>
        <w:tab w:val="center" w:pos="4153"/>
        <w:tab w:val="right" w:pos="8306"/>
      </w:tabs>
      <w:spacing w:after="0" w:line="240" w:lineRule="auto"/>
    </w:pPr>
  </w:style>
  <w:style w:type="character" w:customStyle="1" w:styleId="a8">
    <w:name w:val="כותרת עליונה תו"/>
    <w:basedOn w:val="a0"/>
    <w:link w:val="a7"/>
    <w:uiPriority w:val="99"/>
    <w:rsid w:val="00692D11"/>
    <w:rPr>
      <w:noProof/>
    </w:rPr>
  </w:style>
  <w:style w:type="paragraph" w:styleId="a9">
    <w:name w:val="footer"/>
    <w:basedOn w:val="a"/>
    <w:link w:val="aa"/>
    <w:uiPriority w:val="99"/>
    <w:unhideWhenUsed/>
    <w:rsid w:val="00692D11"/>
    <w:pPr>
      <w:tabs>
        <w:tab w:val="center" w:pos="4153"/>
        <w:tab w:val="right" w:pos="8306"/>
      </w:tabs>
      <w:spacing w:after="0" w:line="240" w:lineRule="auto"/>
    </w:pPr>
  </w:style>
  <w:style w:type="character" w:customStyle="1" w:styleId="aa">
    <w:name w:val="כותרת תחתונה תו"/>
    <w:basedOn w:val="a0"/>
    <w:link w:val="a9"/>
    <w:uiPriority w:val="99"/>
    <w:rsid w:val="00692D11"/>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30062-C059-42E5-A1DA-20A9ACBA5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6</Pages>
  <Words>1759</Words>
  <Characters>8796</Characters>
  <Application>Microsoft Office Word</Application>
  <DocSecurity>0</DocSecurity>
  <Lines>73</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6</cp:revision>
  <dcterms:created xsi:type="dcterms:W3CDTF">2022-10-15T17:45:00Z</dcterms:created>
  <dcterms:modified xsi:type="dcterms:W3CDTF">2022-12-23T09:09:00Z</dcterms:modified>
</cp:coreProperties>
</file>