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EFE0" w14:textId="0F6D4386" w:rsidR="00ED5ED7" w:rsidRPr="007736A6" w:rsidRDefault="00ED5ED7" w:rsidP="007736A6">
      <w:pPr>
        <w:spacing w:after="0" w:line="360" w:lineRule="auto"/>
        <w:rPr>
          <w:rFonts w:asciiTheme="majorBidi" w:hAnsiTheme="majorBidi" w:cstheme="majorBidi"/>
          <w:sz w:val="24"/>
          <w:szCs w:val="24"/>
          <w:rtl/>
        </w:rPr>
      </w:pPr>
      <w:r w:rsidRPr="007736A6">
        <w:rPr>
          <w:rFonts w:asciiTheme="majorBidi" w:hAnsiTheme="majorBidi" w:cstheme="majorBidi"/>
          <w:sz w:val="24"/>
          <w:szCs w:val="24"/>
          <w:rtl/>
        </w:rPr>
        <w:t xml:space="preserve">  מסכת גיטין דף נז עמוד ב</w:t>
      </w:r>
    </w:p>
    <w:p w14:paraId="7CD0E372" w14:textId="38F45554" w:rsidR="00A82CF4" w:rsidRDefault="00ED5ED7" w:rsidP="007736A6">
      <w:pPr>
        <w:spacing w:after="0" w:line="360" w:lineRule="auto"/>
        <w:rPr>
          <w:rFonts w:asciiTheme="majorBidi" w:hAnsiTheme="majorBidi" w:cstheme="majorBidi"/>
          <w:sz w:val="24"/>
          <w:szCs w:val="24"/>
          <w:rtl/>
        </w:rPr>
      </w:pPr>
      <w:r w:rsidRPr="007736A6">
        <w:rPr>
          <w:rFonts w:asciiTheme="majorBidi" w:hAnsiTheme="majorBidi" w:cstheme="majorBidi"/>
          <w:sz w:val="24"/>
          <w:szCs w:val="24"/>
          <w:rtl/>
        </w:rPr>
        <w:t>תנא: מעשה בד' מאות ילדים וילדות שנשבו לקלון, הרגישו בעצמן למה הן מתבקשים, אמרו: אם אנו טובעין בים אנו באין לחיי העולם הבא? דרש להן הגדול שבהן: אמר ה' מבשן אשיב אשיב ממצולות ים, מבשן אשיב - מבין שיני אריה אשיב, ממצולות ים - אלו שטובעין בים; כיון ששמעו ילדות כך, קפצו כולן ונפלו לתוך הים. נשאו ילדים ק"ו בעצמן ואמרו: מה הללו שדרכן לכך - כך, אנו שאין דרכנו לכך - על אחת כמה וכמה! אף הם קפצו לתוך הים. ועליהם הכתוב אומר: כי עליך הורגנו כל היום נחשבנו כצאן טבחה.</w:t>
      </w:r>
    </w:p>
    <w:p w14:paraId="107A5255" w14:textId="664F4312" w:rsidR="007736A6" w:rsidRDefault="007736A6" w:rsidP="007736A6">
      <w:pPr>
        <w:spacing w:after="0" w:line="360" w:lineRule="auto"/>
        <w:rPr>
          <w:rFonts w:asciiTheme="majorBidi" w:hAnsiTheme="majorBidi" w:cstheme="majorBidi"/>
          <w:b/>
          <w:bCs/>
          <w:sz w:val="28"/>
          <w:szCs w:val="28"/>
          <w:u w:val="single"/>
          <w:rtl/>
        </w:rPr>
      </w:pPr>
      <w:r w:rsidRPr="007736A6">
        <w:rPr>
          <w:rFonts w:asciiTheme="majorBidi" w:hAnsiTheme="majorBidi" w:cstheme="majorBidi" w:hint="cs"/>
          <w:b/>
          <w:bCs/>
          <w:sz w:val="28"/>
          <w:szCs w:val="28"/>
          <w:u w:val="single"/>
          <w:rtl/>
        </w:rPr>
        <w:t>מסירות נפש על גילוי עריות</w:t>
      </w:r>
    </w:p>
    <w:p w14:paraId="4EA18D84" w14:textId="42A52338" w:rsidR="00752EFF" w:rsidRPr="00752EFF" w:rsidRDefault="00752EFF" w:rsidP="00752EFF">
      <w:pPr>
        <w:pStyle w:val="a6"/>
        <w:numPr>
          <w:ilvl w:val="0"/>
          <w:numId w:val="11"/>
        </w:numPr>
        <w:spacing w:after="0" w:line="360" w:lineRule="auto"/>
        <w:rPr>
          <w:rFonts w:asciiTheme="majorBidi" w:hAnsiTheme="majorBidi" w:cs="Times New Roman"/>
          <w:b/>
          <w:bCs/>
          <w:sz w:val="24"/>
          <w:szCs w:val="24"/>
          <w:rtl/>
        </w:rPr>
      </w:pPr>
      <w:r w:rsidRPr="00752EFF">
        <w:rPr>
          <w:rFonts w:asciiTheme="majorBidi" w:hAnsiTheme="majorBidi" w:cs="Times New Roman" w:hint="cs"/>
          <w:b/>
          <w:bCs/>
          <w:sz w:val="24"/>
          <w:szCs w:val="24"/>
          <w:rtl/>
        </w:rPr>
        <w:t>מות הנערים</w:t>
      </w:r>
    </w:p>
    <w:p w14:paraId="73FC9BD5" w14:textId="77DF5A8B" w:rsidR="002D4CB7" w:rsidRPr="002D4CB7" w:rsidRDefault="00752EFF" w:rsidP="002D4CB7">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בעלי ה</w:t>
      </w:r>
      <w:r w:rsidR="002D4CB7" w:rsidRPr="002D4CB7">
        <w:rPr>
          <w:rFonts w:asciiTheme="majorBidi" w:hAnsiTheme="majorBidi" w:cs="Times New Roman"/>
          <w:sz w:val="24"/>
          <w:szCs w:val="24"/>
          <w:rtl/>
        </w:rPr>
        <w:t xml:space="preserve">תוספות </w:t>
      </w:r>
      <w:r>
        <w:rPr>
          <w:rFonts w:asciiTheme="majorBidi" w:hAnsiTheme="majorBidi" w:cs="Times New Roman" w:hint="cs"/>
          <w:sz w:val="24"/>
          <w:szCs w:val="24"/>
          <w:rtl/>
        </w:rPr>
        <w:t xml:space="preserve"> מציעים שני הסברים להתאבדות הנערים:</w:t>
      </w:r>
    </w:p>
    <w:p w14:paraId="7C4B04BA" w14:textId="0DD9DAD2" w:rsidR="00752EFF" w:rsidRPr="006F0FF8" w:rsidRDefault="002D4CB7" w:rsidP="00752EFF">
      <w:pPr>
        <w:spacing w:after="0" w:line="360" w:lineRule="auto"/>
        <w:rPr>
          <w:rFonts w:ascii="David" w:hAnsi="David" w:cs="David"/>
          <w:sz w:val="24"/>
          <w:szCs w:val="24"/>
          <w:rtl/>
        </w:rPr>
      </w:pPr>
      <w:r w:rsidRPr="002D4CB7">
        <w:rPr>
          <w:rFonts w:ascii="David" w:hAnsi="David" w:cs="David"/>
          <w:sz w:val="24"/>
          <w:szCs w:val="24"/>
          <w:rtl/>
        </w:rPr>
        <w:t xml:space="preserve">קפצו כולן ונפלו לתוך הים - והא דאמר במס' ע"ז </w:t>
      </w:r>
      <w:r w:rsidRPr="00752EFF">
        <w:rPr>
          <w:rFonts w:ascii="David" w:hAnsi="David" w:cs="David"/>
          <w:sz w:val="18"/>
          <w:szCs w:val="18"/>
          <w:rtl/>
        </w:rPr>
        <w:t>(דף יח.)</w:t>
      </w:r>
      <w:r w:rsidRPr="002D4CB7">
        <w:rPr>
          <w:rFonts w:ascii="David" w:hAnsi="David" w:cs="David"/>
          <w:sz w:val="24"/>
          <w:szCs w:val="24"/>
          <w:rtl/>
        </w:rPr>
        <w:t xml:space="preserve"> מוטב שיטלנה מי שנתנה ואל יחבל בעצמו הכא יראים היו מיסורין כדאמרינן (</w:t>
      </w:r>
      <w:r w:rsidRPr="00752EFF">
        <w:rPr>
          <w:rFonts w:ascii="David" w:hAnsi="David" w:cs="David"/>
          <w:sz w:val="18"/>
          <w:szCs w:val="18"/>
          <w:rtl/>
        </w:rPr>
        <w:t>כתובות דף לג:)</w:t>
      </w:r>
      <w:r w:rsidRPr="002D4CB7">
        <w:rPr>
          <w:rFonts w:ascii="David" w:hAnsi="David" w:cs="David"/>
          <w:sz w:val="24"/>
          <w:szCs w:val="24"/>
          <w:rtl/>
        </w:rPr>
        <w:t xml:space="preserve"> אלמלי נגדו לחנניה מישאל ועזריה פלחו לצלמא ועוד דע"כ היו מענין אותן ולא היו הורגים אותן</w:t>
      </w:r>
      <w:r w:rsidR="00752EFF">
        <w:rPr>
          <w:rFonts w:ascii="David" w:hAnsi="David" w:cs="David" w:hint="cs"/>
          <w:sz w:val="24"/>
          <w:szCs w:val="24"/>
          <w:rtl/>
        </w:rPr>
        <w:t>"</w:t>
      </w:r>
      <w:r w:rsidRPr="002D4CB7">
        <w:rPr>
          <w:rFonts w:ascii="David" w:hAnsi="David" w:cs="David"/>
          <w:sz w:val="24"/>
          <w:szCs w:val="24"/>
          <w:rtl/>
        </w:rPr>
        <w:t>.</w:t>
      </w:r>
      <w:r w:rsidR="00752EFF">
        <w:rPr>
          <w:rFonts w:ascii="David" w:hAnsi="David" w:cs="David" w:hint="cs"/>
          <w:sz w:val="24"/>
          <w:szCs w:val="24"/>
          <w:rtl/>
        </w:rPr>
        <w:t xml:space="preserve"> </w:t>
      </w:r>
      <w:r w:rsidR="00752EFF">
        <w:rPr>
          <w:rFonts w:asciiTheme="majorBidi" w:hAnsiTheme="majorBidi" w:cstheme="majorBidi" w:hint="cs"/>
          <w:sz w:val="24"/>
          <w:szCs w:val="24"/>
          <w:rtl/>
        </w:rPr>
        <w:t xml:space="preserve">לפי התירוץ הראשון מותר להתאבד כדי למנוע יסורים </w:t>
      </w:r>
      <w:r w:rsidR="00752EFF">
        <w:rPr>
          <w:rFonts w:asciiTheme="majorBidi" w:hAnsiTheme="majorBidi" w:cstheme="majorBidi"/>
          <w:sz w:val="24"/>
          <w:szCs w:val="24"/>
          <w:rtl/>
        </w:rPr>
        <w:t>–</w:t>
      </w:r>
      <w:r w:rsidR="00752EFF">
        <w:rPr>
          <w:rFonts w:asciiTheme="majorBidi" w:hAnsiTheme="majorBidi" w:cstheme="majorBidi" w:hint="cs"/>
          <w:sz w:val="24"/>
          <w:szCs w:val="24"/>
          <w:rtl/>
        </w:rPr>
        <w:t xml:space="preserve"> בהקשר זה, כנראה יסורים שיגרמו להם להתמסר לגילוי עריות. לפי הרא"ש זה היה פשר התאבדותו של שאול המלך: </w:t>
      </w:r>
      <w:r w:rsidR="00752EFF" w:rsidRPr="006F0FF8">
        <w:rPr>
          <w:rFonts w:ascii="David" w:hAnsi="David" w:cs="David"/>
          <w:sz w:val="24"/>
          <w:szCs w:val="24"/>
          <w:rtl/>
        </w:rPr>
        <w:t xml:space="preserve">"וכן מצינו בגדול ..., שאבד עצמו בדעת מחמת </w:t>
      </w:r>
      <w:r w:rsidR="00752EFF" w:rsidRPr="006F0FF8">
        <w:rPr>
          <w:rFonts w:ascii="David" w:hAnsi="David" w:cs="David"/>
          <w:b/>
          <w:bCs/>
          <w:sz w:val="24"/>
          <w:szCs w:val="24"/>
          <w:rtl/>
        </w:rPr>
        <w:t xml:space="preserve">שמפקירין </w:t>
      </w:r>
      <w:r w:rsidR="00752EFF" w:rsidRPr="006F0FF8">
        <w:rPr>
          <w:rFonts w:ascii="David" w:hAnsi="David" w:cs="David"/>
          <w:sz w:val="24"/>
          <w:szCs w:val="24"/>
          <w:rtl/>
        </w:rPr>
        <w:t>אותו, כגון שאול מלך ישראל שאבד את עצמו  לדעת, אלא שהיה איבוד מותר לו...</w:t>
      </w:r>
      <w:r w:rsidR="00752EFF">
        <w:rPr>
          <w:rStyle w:val="a5"/>
          <w:rFonts w:ascii="David" w:hAnsi="David" w:cs="David"/>
          <w:sz w:val="24"/>
          <w:szCs w:val="24"/>
          <w:rtl/>
        </w:rPr>
        <w:footnoteReference w:id="1"/>
      </w:r>
      <w:r w:rsidR="00752EFF" w:rsidRPr="006F0FF8">
        <w:rPr>
          <w:rFonts w:ascii="David" w:hAnsi="David" w:cs="David"/>
          <w:sz w:val="24"/>
          <w:szCs w:val="24"/>
          <w:rtl/>
        </w:rPr>
        <w:t xml:space="preserve">". </w:t>
      </w:r>
    </w:p>
    <w:p w14:paraId="504BD156" w14:textId="2A96A0B8" w:rsidR="0084069D" w:rsidRDefault="006F0FF8" w:rsidP="0084069D">
      <w:pPr>
        <w:spacing w:after="0" w:line="360" w:lineRule="auto"/>
        <w:rPr>
          <w:rFonts w:ascii="David" w:hAnsi="David" w:cs="David"/>
          <w:sz w:val="24"/>
          <w:szCs w:val="24"/>
          <w:rtl/>
        </w:rPr>
      </w:pPr>
      <w:r w:rsidRPr="006F0FF8">
        <w:rPr>
          <w:rFonts w:ascii="David" w:hAnsi="David" w:cs="David"/>
          <w:sz w:val="24"/>
          <w:szCs w:val="24"/>
          <w:rtl/>
        </w:rPr>
        <w:t xml:space="preserve">"נראה שפירש הרא"ש ענין של שאול, שהיה חושש פן יבואו הפלשתים </w:t>
      </w:r>
      <w:r w:rsidRPr="006F0FF8">
        <w:rPr>
          <w:rFonts w:ascii="David" w:hAnsi="David" w:cs="David"/>
          <w:b/>
          <w:bCs/>
          <w:sz w:val="24"/>
          <w:szCs w:val="24"/>
          <w:rtl/>
        </w:rPr>
        <w:t>הערלים</w:t>
      </w:r>
      <w:r w:rsidRPr="006F0FF8">
        <w:rPr>
          <w:rFonts w:ascii="David" w:hAnsi="David" w:cs="David"/>
          <w:sz w:val="24"/>
          <w:szCs w:val="24"/>
          <w:rtl/>
        </w:rPr>
        <w:t xml:space="preserve"> ויתעללו בו בענין עריות... שיעשו בו כרצונם באותה ההתעללות מלבד ההריגה ...  כהא דפילגש בגבעה, </w:t>
      </w:r>
      <w:r w:rsidRPr="006F0FF8">
        <w:rPr>
          <w:rFonts w:ascii="David" w:hAnsi="David" w:cs="David"/>
          <w:sz w:val="18"/>
          <w:szCs w:val="18"/>
          <w:rtl/>
        </w:rPr>
        <w:t>(שופטים י"ט כ"ה),</w:t>
      </w:r>
      <w:r w:rsidRPr="006F0FF8">
        <w:rPr>
          <w:rFonts w:ascii="David" w:hAnsi="David" w:cs="David"/>
          <w:sz w:val="24"/>
          <w:szCs w:val="24"/>
          <w:rtl/>
        </w:rPr>
        <w:t xml:space="preserve"> שיש שם גם כן לשון ויתעללו בה, וחידש בזה </w:t>
      </w:r>
      <w:r w:rsidRPr="006F0FF8">
        <w:rPr>
          <w:rFonts w:ascii="David" w:hAnsi="David" w:cs="David"/>
          <w:b/>
          <w:bCs/>
          <w:sz w:val="24"/>
          <w:szCs w:val="24"/>
          <w:rtl/>
        </w:rPr>
        <w:t>שאם חושש שיטמאו אותו בעריות מותר לו להקדים ולאבד את עצמו</w:t>
      </w:r>
      <w:r w:rsidRPr="006F0FF8">
        <w:rPr>
          <w:rFonts w:ascii="David" w:hAnsi="David" w:cs="David"/>
          <w:sz w:val="24"/>
          <w:szCs w:val="24"/>
          <w:rtl/>
        </w:rPr>
        <w:t>, וזהו מובן הלשון של הרא"ש מחמת שמפקירין אותו, כלשון מנהג הפקר נהגו בה</w:t>
      </w:r>
      <w:r w:rsidR="00752EFF">
        <w:rPr>
          <w:rStyle w:val="a5"/>
          <w:rFonts w:ascii="David" w:hAnsi="David" w:cs="David"/>
          <w:sz w:val="24"/>
          <w:szCs w:val="24"/>
          <w:rtl/>
        </w:rPr>
        <w:footnoteReference w:id="2"/>
      </w:r>
      <w:r w:rsidRPr="006F0FF8">
        <w:rPr>
          <w:rFonts w:ascii="David" w:hAnsi="David" w:cs="David"/>
          <w:sz w:val="24"/>
          <w:szCs w:val="24"/>
          <w:rtl/>
        </w:rPr>
        <w:t>"</w:t>
      </w:r>
      <w:r w:rsidR="00752EFF">
        <w:rPr>
          <w:rFonts w:ascii="David" w:hAnsi="David" w:cs="David" w:hint="cs"/>
          <w:sz w:val="24"/>
          <w:szCs w:val="24"/>
          <w:rtl/>
        </w:rPr>
        <w:t xml:space="preserve">. </w:t>
      </w:r>
      <w:r w:rsidR="00752EFF" w:rsidRPr="00752EFF">
        <w:rPr>
          <w:rFonts w:asciiTheme="majorBidi" w:hAnsiTheme="majorBidi" w:cstheme="majorBidi"/>
          <w:sz w:val="24"/>
          <w:szCs w:val="24"/>
          <w:rtl/>
        </w:rPr>
        <w:t xml:space="preserve">אם כן. הנערים התאבדו כדי להינצל מאיסור עריות של זכר, שעליו יש ליהרג ולא לעבור. </w:t>
      </w:r>
      <w:r w:rsidR="00752EFF">
        <w:rPr>
          <w:rFonts w:asciiTheme="majorBidi" w:hAnsiTheme="majorBidi" w:cstheme="majorBidi" w:hint="cs"/>
          <w:sz w:val="24"/>
          <w:szCs w:val="24"/>
          <w:rtl/>
        </w:rPr>
        <w:t xml:space="preserve">בפשט הסיפור הגורמים להחלטת  הנערים היו דרשת הגדול ומעשה הנערות. </w:t>
      </w:r>
      <w:r w:rsidR="0084069D">
        <w:rPr>
          <w:rFonts w:ascii="David" w:hAnsi="David" w:cs="David" w:hint="cs"/>
          <w:sz w:val="24"/>
          <w:szCs w:val="24"/>
          <w:rtl/>
        </w:rPr>
        <w:t>"</w:t>
      </w:r>
      <w:r w:rsidR="0084069D" w:rsidRPr="002D4CB7">
        <w:rPr>
          <w:rFonts w:ascii="David" w:hAnsi="David" w:cs="David"/>
          <w:sz w:val="24"/>
          <w:szCs w:val="24"/>
          <w:rtl/>
        </w:rPr>
        <w:t xml:space="preserve">הגם שקדם בדרשה, מכל מקום המתינו עד שקפצו ילדות, ויראה שבתחלה חששו להא משום דאמרינן </w:t>
      </w:r>
      <w:r w:rsidR="0084069D" w:rsidRPr="0084069D">
        <w:rPr>
          <w:rFonts w:ascii="David" w:hAnsi="David" w:cs="David"/>
          <w:sz w:val="18"/>
          <w:szCs w:val="18"/>
          <w:rtl/>
        </w:rPr>
        <w:t>לעיל דף מ"ה (ע"א)</w:t>
      </w:r>
      <w:r w:rsidR="0084069D" w:rsidRPr="002D4CB7">
        <w:rPr>
          <w:rFonts w:ascii="David" w:hAnsi="David" w:cs="David"/>
          <w:sz w:val="24"/>
          <w:szCs w:val="24"/>
          <w:rtl/>
        </w:rPr>
        <w:t xml:space="preserve"> דאין מבריחין את השבויין מפני תיקון העולם, ורבן שמעון בן גמליאל אמר מפני תקנת שבויין, ומפורש בש"ס איכא בינייהו דליכא אלא חד, ופירש רש"י (</w:t>
      </w:r>
      <w:r w:rsidR="0084069D" w:rsidRPr="0084069D">
        <w:rPr>
          <w:rFonts w:ascii="David" w:hAnsi="David" w:cs="David"/>
          <w:sz w:val="18"/>
          <w:szCs w:val="18"/>
          <w:rtl/>
        </w:rPr>
        <w:t>ד"ה דליכא אלא חד)</w:t>
      </w:r>
      <w:r w:rsidR="0084069D" w:rsidRPr="002D4CB7">
        <w:rPr>
          <w:rFonts w:ascii="David" w:hAnsi="David" w:cs="David"/>
          <w:sz w:val="24"/>
          <w:szCs w:val="24"/>
          <w:rtl/>
        </w:rPr>
        <w:t xml:space="preserve"> תקנת שבויין, דתנא קמא חייש שמא יקצפו על השבויין הבאים ויתנום בשלשלאות ובחריצים, ורבי שמעון לא חייש אלא אם כן יש שבויים אחרים, שמא יקצפו השבאים לייסרן ביסורין, ואם כן יש לומר דהגדול אף שדרש כן, מכל מקום אין חיוב שימסרו נפשם, וחייש אם יפיל עצמו לים, יכבידו על הנשארים לשומרן ולענם, שלא יאבדו עצמם לדעת, ואחר שקפצו הילדות שאז אין תיקון לאחרים במה שישארו, כי יגדל חמת האויב בשביל הילדות אף גם עליהם, ואם כן על כל פנים לא יהיה תיקון לשבויים אחרים, מסרו גם הם נפשם</w:t>
      </w:r>
      <w:r w:rsidR="0084069D">
        <w:rPr>
          <w:rStyle w:val="a5"/>
          <w:rFonts w:ascii="David" w:hAnsi="David" w:cs="David"/>
          <w:sz w:val="24"/>
          <w:szCs w:val="24"/>
          <w:rtl/>
        </w:rPr>
        <w:footnoteReference w:id="3"/>
      </w:r>
      <w:r w:rsidR="0084069D">
        <w:rPr>
          <w:rFonts w:ascii="David" w:hAnsi="David" w:cs="David" w:hint="cs"/>
          <w:sz w:val="24"/>
          <w:szCs w:val="24"/>
          <w:rtl/>
        </w:rPr>
        <w:t>"</w:t>
      </w:r>
      <w:r w:rsidR="0084069D" w:rsidRPr="002D4CB7">
        <w:rPr>
          <w:rFonts w:ascii="David" w:hAnsi="David" w:cs="David"/>
          <w:sz w:val="24"/>
          <w:szCs w:val="24"/>
          <w:rtl/>
        </w:rPr>
        <w:t>.</w:t>
      </w:r>
    </w:p>
    <w:p w14:paraId="15DD5A16" w14:textId="07AAAEBB" w:rsidR="00752EFF" w:rsidRPr="00752EFF" w:rsidRDefault="00752EFF" w:rsidP="00752EFF">
      <w:pPr>
        <w:spacing w:after="0" w:line="360" w:lineRule="auto"/>
        <w:rPr>
          <w:rFonts w:ascii="David" w:hAnsi="David" w:cs="David"/>
          <w:sz w:val="24"/>
          <w:szCs w:val="24"/>
          <w:rtl/>
        </w:rPr>
      </w:pPr>
      <w:r>
        <w:rPr>
          <w:rFonts w:asciiTheme="majorBidi" w:hAnsiTheme="majorBidi" w:cstheme="majorBidi" w:hint="cs"/>
          <w:sz w:val="24"/>
          <w:szCs w:val="24"/>
          <w:rtl/>
        </w:rPr>
        <w:lastRenderedPageBreak/>
        <w:t xml:space="preserve">רק פירוש מיוחד אופטימי מציע סיכוי לחיים: </w:t>
      </w:r>
      <w:r>
        <w:rPr>
          <w:rFonts w:ascii="David" w:hAnsi="David" w:cs="David" w:hint="cs"/>
          <w:sz w:val="24"/>
          <w:szCs w:val="24"/>
          <w:rtl/>
        </w:rPr>
        <w:t>"</w:t>
      </w:r>
      <w:r w:rsidRPr="002D4CB7">
        <w:rPr>
          <w:rFonts w:ascii="David" w:hAnsi="David" w:cs="David"/>
          <w:sz w:val="24"/>
          <w:szCs w:val="24"/>
          <w:rtl/>
        </w:rPr>
        <w:t xml:space="preserve">לדעתי נראה דאינהו סברי דזהו דוקא לחבול בעצמו אבל לקפוץ לים </w:t>
      </w:r>
      <w:r w:rsidRPr="00752EFF">
        <w:rPr>
          <w:rFonts w:ascii="David" w:hAnsi="David" w:cs="David"/>
          <w:b/>
          <w:bCs/>
          <w:sz w:val="24"/>
          <w:szCs w:val="24"/>
          <w:rtl/>
        </w:rPr>
        <w:t>דיכול להנצל</w:t>
      </w:r>
      <w:r>
        <w:rPr>
          <w:rFonts w:ascii="David" w:hAnsi="David" w:cs="David" w:hint="cs"/>
          <w:b/>
          <w:bCs/>
          <w:sz w:val="24"/>
          <w:szCs w:val="24"/>
          <w:rtl/>
        </w:rPr>
        <w:t>-</w:t>
      </w:r>
      <w:r w:rsidRPr="00752EFF">
        <w:rPr>
          <w:rFonts w:ascii="David" w:hAnsi="David" w:cs="David"/>
          <w:b/>
          <w:bCs/>
          <w:sz w:val="24"/>
          <w:szCs w:val="24"/>
          <w:rtl/>
        </w:rPr>
        <w:t xml:space="preserve"> דהא נפל למים שאל"ס אשתו אסורה</w:t>
      </w:r>
      <w:r>
        <w:rPr>
          <w:rFonts w:ascii="David" w:hAnsi="David" w:cs="David" w:hint="cs"/>
          <w:b/>
          <w:bCs/>
          <w:sz w:val="24"/>
          <w:szCs w:val="24"/>
          <w:rtl/>
        </w:rPr>
        <w:t>-</w:t>
      </w:r>
      <w:r w:rsidRPr="002D4CB7">
        <w:rPr>
          <w:rFonts w:ascii="David" w:hAnsi="David" w:cs="David"/>
          <w:sz w:val="24"/>
          <w:szCs w:val="24"/>
          <w:rtl/>
        </w:rPr>
        <w:t xml:space="preserve"> הלכך אף שלא ינצל כיון דהוא לאו להרוג עצמו מיכווין רק לנוס לים אולי ינצל ולא יחטא</w:t>
      </w:r>
      <w:r>
        <w:rPr>
          <w:rFonts w:ascii="David" w:hAnsi="David" w:cs="David" w:hint="cs"/>
          <w:sz w:val="24"/>
          <w:szCs w:val="24"/>
          <w:rtl/>
        </w:rPr>
        <w:t>-</w:t>
      </w:r>
      <w:r w:rsidRPr="002D4CB7">
        <w:rPr>
          <w:rFonts w:ascii="David" w:hAnsi="David" w:cs="David"/>
          <w:sz w:val="24"/>
          <w:szCs w:val="24"/>
          <w:rtl/>
        </w:rPr>
        <w:t xml:space="preserve"> בזה סברו דמותר לעשות</w:t>
      </w:r>
      <w:r>
        <w:rPr>
          <w:rStyle w:val="a5"/>
          <w:rFonts w:ascii="David" w:hAnsi="David" w:cs="David"/>
          <w:sz w:val="24"/>
          <w:szCs w:val="24"/>
          <w:rtl/>
        </w:rPr>
        <w:footnoteReference w:id="4"/>
      </w:r>
      <w:r>
        <w:rPr>
          <w:rFonts w:ascii="David" w:hAnsi="David" w:cs="David" w:hint="cs"/>
          <w:sz w:val="24"/>
          <w:szCs w:val="24"/>
          <w:rtl/>
        </w:rPr>
        <w:t>".</w:t>
      </w:r>
    </w:p>
    <w:p w14:paraId="7E0BEF47" w14:textId="21996C52" w:rsidR="006F0FF8" w:rsidRPr="006F0FF8" w:rsidRDefault="00752EFF" w:rsidP="00752EFF">
      <w:pPr>
        <w:spacing w:after="0" w:line="360" w:lineRule="auto"/>
        <w:rPr>
          <w:rFonts w:ascii="David" w:hAnsi="David" w:cs="David"/>
          <w:sz w:val="24"/>
          <w:szCs w:val="24"/>
        </w:rPr>
      </w:pPr>
      <w:r w:rsidRPr="00752EFF">
        <w:rPr>
          <w:rFonts w:asciiTheme="majorBidi" w:hAnsiTheme="majorBidi" w:cstheme="majorBidi"/>
          <w:sz w:val="24"/>
          <w:szCs w:val="24"/>
          <w:rtl/>
        </w:rPr>
        <w:t>התאבדותן של הנערות הרבה פחות פשוטה:</w:t>
      </w:r>
    </w:p>
    <w:p w14:paraId="09CD070C" w14:textId="6C3C72A3" w:rsidR="007736A6" w:rsidRPr="00752EFF" w:rsidRDefault="00752EFF" w:rsidP="00752EFF">
      <w:pPr>
        <w:pStyle w:val="a6"/>
        <w:numPr>
          <w:ilvl w:val="0"/>
          <w:numId w:val="11"/>
        </w:numPr>
        <w:spacing w:after="0" w:line="360" w:lineRule="auto"/>
        <w:rPr>
          <w:rFonts w:asciiTheme="majorBidi" w:hAnsiTheme="majorBidi" w:cstheme="majorBidi"/>
          <w:b/>
          <w:bCs/>
          <w:sz w:val="24"/>
          <w:szCs w:val="24"/>
          <w:rtl/>
        </w:rPr>
      </w:pPr>
      <w:r w:rsidRPr="00752EFF">
        <w:rPr>
          <w:rFonts w:asciiTheme="majorBidi" w:hAnsiTheme="majorBidi" w:cstheme="majorBidi" w:hint="cs"/>
          <w:b/>
          <w:bCs/>
          <w:sz w:val="24"/>
          <w:szCs w:val="24"/>
          <w:rtl/>
        </w:rPr>
        <w:t>מקבילות לדרכי התמודדות של יהודיות עם אונס עריות</w:t>
      </w:r>
    </w:p>
    <w:p w14:paraId="6B26DD40" w14:textId="79C57467" w:rsidR="006F0FF8" w:rsidRPr="0084069D" w:rsidRDefault="0084069D" w:rsidP="0084069D">
      <w:pPr>
        <w:spacing w:after="0" w:line="360" w:lineRule="auto"/>
        <w:ind w:left="360"/>
        <w:rPr>
          <w:rFonts w:ascii="David" w:hAnsi="David" w:cs="David"/>
          <w:sz w:val="24"/>
          <w:szCs w:val="24"/>
        </w:rPr>
      </w:pPr>
      <w:r>
        <w:rPr>
          <w:rFonts w:ascii="David" w:hAnsi="David" w:cs="David" w:hint="cs"/>
          <w:sz w:val="24"/>
          <w:szCs w:val="24"/>
          <w:rtl/>
        </w:rPr>
        <w:t>1.</w:t>
      </w:r>
      <w:r>
        <w:rPr>
          <w:rFonts w:asciiTheme="majorBidi" w:hAnsiTheme="majorBidi" w:cstheme="majorBidi" w:hint="cs"/>
          <w:sz w:val="24"/>
          <w:szCs w:val="24"/>
          <w:rtl/>
        </w:rPr>
        <w:t xml:space="preserve">התאבדות. </w:t>
      </w:r>
      <w:r w:rsidR="006F0FF8" w:rsidRPr="0084069D">
        <w:rPr>
          <w:rFonts w:ascii="David" w:hAnsi="David" w:cs="David"/>
          <w:sz w:val="24"/>
          <w:szCs w:val="24"/>
          <w:rtl/>
        </w:rPr>
        <w:t>"מעשה בברתא אחת שהיה אביה חביב לגוי, והיו אוכלין ושותין ומטיבין את לבם, ואמר לו אותו הגוי לאביה, תנה את בתך לבני לאשה, והחרישה לו בדבר עד שהגיע זמן חופתה, כיון שהגיע זמן חופתה עלתה לגג ונפלה ומתה, יצתה בת קול ואמרה, עליך הכתוב אומר: מספר את רובע ישראל (</w:t>
      </w:r>
      <w:r w:rsidR="006F0FF8" w:rsidRPr="0084069D">
        <w:rPr>
          <w:rFonts w:ascii="David" w:hAnsi="David" w:cs="David"/>
          <w:sz w:val="18"/>
          <w:szCs w:val="18"/>
          <w:rtl/>
        </w:rPr>
        <w:t>במדבר כ"ג י')</w:t>
      </w:r>
      <w:r w:rsidRPr="0084069D">
        <w:rPr>
          <w:rStyle w:val="a5"/>
          <w:rFonts w:ascii="David" w:hAnsi="David" w:cs="David"/>
          <w:sz w:val="24"/>
          <w:szCs w:val="24"/>
          <w:rtl/>
        </w:rPr>
        <w:footnoteReference w:id="5"/>
      </w:r>
      <w:r w:rsidR="006F0FF8" w:rsidRPr="0084069D">
        <w:rPr>
          <w:rFonts w:ascii="David" w:hAnsi="David" w:cs="David"/>
          <w:sz w:val="24"/>
          <w:szCs w:val="24"/>
          <w:rtl/>
        </w:rPr>
        <w:t>".</w:t>
      </w:r>
      <w:r w:rsidRPr="0084069D">
        <w:rPr>
          <w:rFonts w:ascii="David" w:hAnsi="David" w:cs="David" w:hint="cs"/>
          <w:sz w:val="24"/>
          <w:szCs w:val="24"/>
          <w:rtl/>
        </w:rPr>
        <w:t xml:space="preserve"> </w:t>
      </w:r>
      <w:r w:rsidRPr="0084069D">
        <w:rPr>
          <w:rFonts w:asciiTheme="majorBidi" w:hAnsiTheme="majorBidi" w:cstheme="majorBidi" w:hint="cs"/>
          <w:sz w:val="24"/>
          <w:szCs w:val="24"/>
          <w:rtl/>
        </w:rPr>
        <w:t>אמנם, אין ראייה שעשתה כהלכה.</w:t>
      </w:r>
    </w:p>
    <w:p w14:paraId="2E496527" w14:textId="04CC9976" w:rsidR="0084069D" w:rsidRPr="0084069D" w:rsidRDefault="0084069D" w:rsidP="0084069D">
      <w:pPr>
        <w:pStyle w:val="a6"/>
        <w:numPr>
          <w:ilvl w:val="0"/>
          <w:numId w:val="14"/>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התחמקות. </w:t>
      </w:r>
      <w:r w:rsidRPr="0084069D">
        <w:rPr>
          <w:rFonts w:asciiTheme="majorBidi" w:hAnsiTheme="majorBidi" w:cstheme="majorBidi"/>
          <w:sz w:val="24"/>
          <w:szCs w:val="24"/>
          <w:rtl/>
        </w:rPr>
        <w:t>ביתו  של רבי חנינא בן תרדיון, שהציל אותה רבי מאיר גיסה:</w:t>
      </w:r>
    </w:p>
    <w:p w14:paraId="3FD42214" w14:textId="6D9E2C3F" w:rsidR="0084069D" w:rsidRDefault="0084069D" w:rsidP="0084069D">
      <w:pPr>
        <w:spacing w:after="0" w:line="360" w:lineRule="auto"/>
        <w:rPr>
          <w:rFonts w:ascii="David" w:hAnsi="David" w:cs="David"/>
          <w:sz w:val="24"/>
          <w:szCs w:val="24"/>
          <w:rtl/>
        </w:rPr>
      </w:pPr>
      <w:r w:rsidRPr="0084069D">
        <w:rPr>
          <w:rFonts w:ascii="David" w:hAnsi="David" w:cs="David"/>
          <w:sz w:val="24"/>
          <w:szCs w:val="24"/>
          <w:rtl/>
        </w:rPr>
        <w:t>גזרו...על בתו לישב בקובה של זונות..ברוריא דביתהו דר' מאיר ברתיה דר' חנינא בן תרדיון הואי, אמרה לו: זילא בי מלתא דיתבא אחתאי בקובה של זונות. שקל תרקבא דדינרי ואזל, אמר: אי לא איתעביד בה איסורא מיתעביד ניסא, אי עבדה איסורא לא איתעביד לה ניסא. אזל נקט נפשיה כחד פרשא, אמר לה: השמיעני לי, אמרה ליה: דשתנא אנא. אמר לה: מתרחנא מרתח, אמרה לו: נפישין טובא (ואיכא טובא הכא) דשפירן מינאי. אמר: ש"מ לא עבדה איסורא, כל דאתי אמרה ליה הכי</w:t>
      </w:r>
      <w:r>
        <w:rPr>
          <w:rStyle w:val="a5"/>
          <w:rFonts w:ascii="David" w:hAnsi="David" w:cs="David"/>
          <w:sz w:val="24"/>
          <w:szCs w:val="24"/>
          <w:rtl/>
        </w:rPr>
        <w:footnoteReference w:id="6"/>
      </w:r>
      <w:r w:rsidRPr="0084069D">
        <w:rPr>
          <w:rFonts w:ascii="David" w:hAnsi="David" w:cs="David"/>
          <w:sz w:val="24"/>
          <w:szCs w:val="24"/>
          <w:rtl/>
        </w:rPr>
        <w:t xml:space="preserve">. </w:t>
      </w:r>
    </w:p>
    <w:p w14:paraId="5D63756E" w14:textId="6653C8AE" w:rsidR="006F0FF8" w:rsidRDefault="0084069D" w:rsidP="0084069D">
      <w:pPr>
        <w:spacing w:after="0" w:line="360" w:lineRule="auto"/>
        <w:rPr>
          <w:rFonts w:ascii="David" w:hAnsi="David" w:cs="David"/>
          <w:sz w:val="24"/>
          <w:szCs w:val="24"/>
          <w:rtl/>
        </w:rPr>
      </w:pPr>
      <w:r>
        <w:rPr>
          <w:rFonts w:ascii="David" w:hAnsi="David" w:cs="David" w:hint="cs"/>
          <w:sz w:val="24"/>
          <w:szCs w:val="24"/>
          <w:rtl/>
        </w:rPr>
        <w:t>3</w:t>
      </w:r>
      <w:r w:rsidRPr="0084069D">
        <w:rPr>
          <w:rFonts w:asciiTheme="majorBidi" w:hAnsiTheme="majorBidi" w:cstheme="majorBidi"/>
          <w:sz w:val="24"/>
          <w:szCs w:val="24"/>
          <w:rtl/>
        </w:rPr>
        <w:t>.השלמה:</w:t>
      </w:r>
      <w:r>
        <w:rPr>
          <w:rFonts w:ascii="David" w:hAnsi="David" w:cs="David" w:hint="cs"/>
          <w:sz w:val="24"/>
          <w:szCs w:val="24"/>
          <w:rtl/>
        </w:rPr>
        <w:t xml:space="preserve"> </w:t>
      </w:r>
      <w:r w:rsidR="006F0FF8" w:rsidRPr="006F0FF8">
        <w:rPr>
          <w:rFonts w:ascii="David" w:hAnsi="David" w:cs="David"/>
          <w:sz w:val="24"/>
          <w:szCs w:val="24"/>
          <w:rtl/>
        </w:rPr>
        <w:t>"פירש רבינו שמואל דרב מרי בר איסור גיורא שבא על בת שמואל קודם שנתגייר</w:t>
      </w:r>
      <w:r w:rsidR="00EC5F9B">
        <w:rPr>
          <w:rFonts w:ascii="David" w:hAnsi="David" w:cs="David" w:hint="cs"/>
          <w:sz w:val="24"/>
          <w:szCs w:val="24"/>
          <w:rtl/>
        </w:rPr>
        <w:t>.</w:t>
      </w:r>
      <w:r w:rsidR="006F0FF8" w:rsidRPr="006F0FF8">
        <w:rPr>
          <w:rFonts w:ascii="David" w:hAnsi="David" w:cs="David"/>
          <w:sz w:val="24"/>
          <w:szCs w:val="24"/>
          <w:rtl/>
        </w:rPr>
        <w:t xml:space="preserve"> והורתו שלא בקדושה שנשבית</w:t>
      </w:r>
      <w:r w:rsidR="00EC5F9B">
        <w:rPr>
          <w:rStyle w:val="a5"/>
          <w:rFonts w:ascii="David" w:hAnsi="David" w:cs="David"/>
          <w:sz w:val="24"/>
          <w:szCs w:val="24"/>
          <w:rtl/>
        </w:rPr>
        <w:footnoteReference w:id="7"/>
      </w:r>
      <w:r w:rsidR="006F0FF8" w:rsidRPr="006F0FF8">
        <w:rPr>
          <w:rFonts w:ascii="David" w:hAnsi="David" w:cs="David"/>
          <w:sz w:val="24"/>
          <w:szCs w:val="24"/>
          <w:rtl/>
        </w:rPr>
        <w:t xml:space="preserve">". </w:t>
      </w:r>
    </w:p>
    <w:p w14:paraId="3746B2F2" w14:textId="7BB13178" w:rsidR="006F0FF8" w:rsidRPr="004836C5" w:rsidRDefault="004836C5" w:rsidP="0084069D">
      <w:pPr>
        <w:spacing w:after="0" w:line="360" w:lineRule="auto"/>
        <w:rPr>
          <w:rFonts w:asciiTheme="majorBidi" w:hAnsiTheme="majorBidi" w:cstheme="majorBidi"/>
          <w:b/>
          <w:bCs/>
          <w:sz w:val="24"/>
          <w:szCs w:val="24"/>
          <w:rtl/>
        </w:rPr>
      </w:pPr>
      <w:r w:rsidRPr="004836C5">
        <w:rPr>
          <w:rFonts w:asciiTheme="majorBidi" w:hAnsiTheme="majorBidi" w:cstheme="majorBidi" w:hint="cs"/>
          <w:b/>
          <w:bCs/>
          <w:sz w:val="24"/>
          <w:szCs w:val="24"/>
          <w:rtl/>
        </w:rPr>
        <w:t>ג. סוגיות מקבילות</w:t>
      </w:r>
    </w:p>
    <w:p w14:paraId="57C3C19A" w14:textId="60F092AA" w:rsidR="006F0FF8" w:rsidRDefault="004836C5" w:rsidP="004836C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הגמרא בכתובות מבארת שנמנעו מלקיים יום קבוע לנישואין, מפני סכנת הגזירה שהכלה תיבעל להגמון תחילה. תוהה המרא על המינוח 'סכנה':  </w:t>
      </w:r>
      <w:r w:rsidRPr="004836C5">
        <w:rPr>
          <w:rFonts w:ascii="David" w:hAnsi="David" w:cs="David"/>
          <w:sz w:val="24"/>
          <w:szCs w:val="24"/>
          <w:rtl/>
        </w:rPr>
        <w:t>"האי סכנה? אונס הוא! משום דאיכא צנועות, דמסרן נפשייהו לקטלא ואתיין לידי סכנה. ולידרוש להו דאונס שרי! איכא פרוצות, ואיכא נמי כהנות</w:t>
      </w:r>
      <w:r w:rsidRPr="004836C5">
        <w:rPr>
          <w:rStyle w:val="a5"/>
          <w:rFonts w:ascii="David" w:hAnsi="David" w:cs="David"/>
          <w:sz w:val="24"/>
          <w:szCs w:val="24"/>
          <w:rtl/>
        </w:rPr>
        <w:footnoteReference w:id="8"/>
      </w:r>
      <w:r w:rsidRPr="004836C5">
        <w:rPr>
          <w:rFonts w:ascii="David" w:hAnsi="David" w:cs="David"/>
          <w:sz w:val="24"/>
          <w:szCs w:val="24"/>
          <w:rtl/>
        </w:rPr>
        <w:t>".</w:t>
      </w:r>
    </w:p>
    <w:p w14:paraId="08377B92" w14:textId="3ADEE5FB" w:rsidR="006F0FF8" w:rsidRDefault="004836C5" w:rsidP="004836C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בעלי התוספות מעלים שני כיוונים עקרוניים:</w:t>
      </w:r>
    </w:p>
    <w:p w14:paraId="142999A4" w14:textId="16961DF4" w:rsidR="006F0FF8" w:rsidRPr="006F0FF8" w:rsidRDefault="004836C5" w:rsidP="004836C5">
      <w:pPr>
        <w:spacing w:after="0" w:line="360" w:lineRule="auto"/>
        <w:rPr>
          <w:rFonts w:ascii="David" w:hAnsi="David" w:cs="David"/>
          <w:sz w:val="24"/>
          <w:szCs w:val="24"/>
        </w:rPr>
      </w:pPr>
      <w:r w:rsidRPr="004836C5">
        <w:rPr>
          <w:rFonts w:ascii="David" w:hAnsi="David" w:cs="David"/>
          <w:sz w:val="24"/>
          <w:szCs w:val="24"/>
          <w:rtl/>
        </w:rPr>
        <w:t xml:space="preserve">"וא"ת והא אמרינן בפ' בן סורר ומורה </w:t>
      </w:r>
      <w:r w:rsidRPr="004836C5">
        <w:rPr>
          <w:rFonts w:ascii="David" w:hAnsi="David" w:cs="David"/>
          <w:sz w:val="18"/>
          <w:szCs w:val="18"/>
          <w:rtl/>
        </w:rPr>
        <w:t>(סנהדרין עד. ושם)</w:t>
      </w:r>
      <w:r w:rsidRPr="004836C5">
        <w:rPr>
          <w:rFonts w:ascii="David" w:hAnsi="David" w:cs="David"/>
          <w:sz w:val="24"/>
          <w:szCs w:val="24"/>
          <w:rtl/>
        </w:rPr>
        <w:t xml:space="preserve"> על כל עבירות יעבור ואל יהרג חוץ מעבודת כוכבים וג"ע וש"ד? ותירץ ר"ת </w:t>
      </w:r>
      <w:r w:rsidRPr="004836C5">
        <w:rPr>
          <w:rFonts w:ascii="David" w:hAnsi="David" w:cs="David"/>
          <w:b/>
          <w:bCs/>
          <w:sz w:val="24"/>
          <w:szCs w:val="24"/>
          <w:rtl/>
        </w:rPr>
        <w:t>דאין חייבין מיתה על בעילת מצרי</w:t>
      </w:r>
      <w:r w:rsidRPr="004836C5">
        <w:rPr>
          <w:rFonts w:ascii="David" w:hAnsi="David" w:cs="David"/>
          <w:sz w:val="24"/>
          <w:szCs w:val="24"/>
          <w:rtl/>
        </w:rPr>
        <w:t xml:space="preserve"> דרחמנא אפקריה לזרעיה דמצרי דכתיב </w:t>
      </w:r>
      <w:r w:rsidRPr="004836C5">
        <w:rPr>
          <w:rFonts w:ascii="David" w:hAnsi="David" w:cs="David"/>
          <w:sz w:val="18"/>
          <w:szCs w:val="18"/>
          <w:rtl/>
        </w:rPr>
        <w:t>(יחזקאל כג)</w:t>
      </w:r>
      <w:r w:rsidRPr="004836C5">
        <w:rPr>
          <w:rFonts w:ascii="David" w:hAnsi="David" w:cs="David"/>
          <w:sz w:val="24"/>
          <w:szCs w:val="24"/>
          <w:rtl/>
        </w:rPr>
        <w:t xml:space="preserve"> וזרמת סוסים זרמתם.. ומתוך כך התיר ר"ת לבת ישראל שהמירה ובא עליה עובד כוכבים לקיימה לאותו עובד כוכבים כשנתגייר, דלא שייך למימר אחד לבעל ואחד לבועל בביאת מצרי דהויא כביאת בהמה. ואין נראה לריב"ם, דהא ע"י ביאת עובד כוכבים נאסרה לבעלה כדאמר הכא דאיכא פרוצות ובפ' האשה שנתארמלה </w:t>
      </w:r>
      <w:r w:rsidRPr="004836C5">
        <w:rPr>
          <w:rFonts w:ascii="David" w:hAnsi="David" w:cs="David"/>
          <w:sz w:val="18"/>
          <w:szCs w:val="18"/>
          <w:rtl/>
        </w:rPr>
        <w:t>(לקמן כו: ושם)</w:t>
      </w:r>
      <w:r w:rsidRPr="004836C5">
        <w:rPr>
          <w:rFonts w:ascii="David" w:hAnsi="David" w:cs="David"/>
          <w:sz w:val="24"/>
          <w:szCs w:val="24"/>
          <w:rtl/>
        </w:rPr>
        <w:t xml:space="preserve"> גבי האשה שנחבשה בין העובדי כוכבים אמרי' דברצון אסורה לבעלה ואמר נמי במגילה </w:t>
      </w:r>
      <w:r w:rsidRPr="004836C5">
        <w:rPr>
          <w:rFonts w:ascii="David" w:hAnsi="David" w:cs="David"/>
          <w:sz w:val="18"/>
          <w:szCs w:val="18"/>
          <w:rtl/>
        </w:rPr>
        <w:t>(דף טו.)</w:t>
      </w:r>
      <w:r w:rsidRPr="004836C5">
        <w:rPr>
          <w:rFonts w:ascii="David" w:hAnsi="David" w:cs="David"/>
          <w:sz w:val="24"/>
          <w:szCs w:val="24"/>
          <w:rtl/>
        </w:rPr>
        <w:t xml:space="preserve"> 'כאשר אבדתי אבדתי- </w:t>
      </w:r>
      <w:r w:rsidRPr="004836C5">
        <w:rPr>
          <w:rFonts w:ascii="David" w:hAnsi="David" w:cs="David"/>
          <w:sz w:val="24"/>
          <w:szCs w:val="24"/>
          <w:rtl/>
        </w:rPr>
        <w:lastRenderedPageBreak/>
        <w:t xml:space="preserve">כאשר אבדתי מבית אבא אבדתי ממך'.  אלמא לגבי בעלה לא חשיבא בעילת מצרי כביאת בהמה והוא הדין לבועל... ויש לומר דהכי פריך ולדרוש להו דאונס שרי, </w:t>
      </w:r>
      <w:r w:rsidRPr="004836C5">
        <w:rPr>
          <w:rFonts w:ascii="David" w:hAnsi="David" w:cs="David"/>
          <w:b/>
          <w:bCs/>
          <w:sz w:val="24"/>
          <w:szCs w:val="24"/>
          <w:rtl/>
        </w:rPr>
        <w:t>לפי שהאשה היא קרקע עולם ולא עבדה מעשה</w:t>
      </w:r>
      <w:r w:rsidRPr="004836C5">
        <w:rPr>
          <w:rStyle w:val="a5"/>
          <w:rFonts w:ascii="David" w:hAnsi="David" w:cs="David"/>
          <w:b/>
          <w:bCs/>
          <w:sz w:val="24"/>
          <w:szCs w:val="24"/>
          <w:rtl/>
        </w:rPr>
        <w:footnoteReference w:id="9"/>
      </w:r>
      <w:r w:rsidRPr="004836C5">
        <w:rPr>
          <w:rFonts w:ascii="David" w:hAnsi="David" w:cs="David"/>
          <w:sz w:val="24"/>
          <w:szCs w:val="24"/>
          <w:rtl/>
        </w:rPr>
        <w:t xml:space="preserve">". </w:t>
      </w:r>
    </w:p>
    <w:p w14:paraId="200DC975" w14:textId="4C23B49B" w:rsidR="0084069D" w:rsidRDefault="004836C5" w:rsidP="004836C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אלו דברי הגמרא בסנהדרין המציבה את גדרי קידוש השם</w:t>
      </w:r>
      <w:r w:rsidR="00EC0BCF">
        <w:rPr>
          <w:rFonts w:asciiTheme="majorBidi" w:hAnsiTheme="majorBidi" w:cstheme="majorBidi" w:hint="cs"/>
          <w:sz w:val="24"/>
          <w:szCs w:val="24"/>
          <w:rtl/>
        </w:rPr>
        <w:t>. עולה שם ש</w:t>
      </w:r>
      <w:r w:rsidR="00B66DA0">
        <w:rPr>
          <w:rFonts w:asciiTheme="majorBidi" w:hAnsiTheme="majorBidi" w:cstheme="majorBidi" w:hint="cs"/>
          <w:sz w:val="24"/>
          <w:szCs w:val="24"/>
          <w:rtl/>
        </w:rPr>
        <w:t xml:space="preserve">ישנם </w:t>
      </w:r>
      <w:r w:rsidR="00EC0BCF">
        <w:rPr>
          <w:rFonts w:asciiTheme="majorBidi" w:hAnsiTheme="majorBidi" w:cstheme="majorBidi" w:hint="cs"/>
          <w:sz w:val="24"/>
          <w:szCs w:val="24"/>
          <w:rtl/>
        </w:rPr>
        <w:t xml:space="preserve">שלושה סוגים של מסירות נפש על קידוש השם: שלוש העבירות החמורות, שעת השמד, וכוונה </w:t>
      </w:r>
      <w:r w:rsidR="00B66DA0">
        <w:rPr>
          <w:rFonts w:asciiTheme="majorBidi" w:hAnsiTheme="majorBidi" w:cstheme="majorBidi" w:hint="cs"/>
          <w:sz w:val="24"/>
          <w:szCs w:val="24"/>
          <w:rtl/>
        </w:rPr>
        <w:t>ל</w:t>
      </w:r>
      <w:r w:rsidR="00EC0BCF">
        <w:rPr>
          <w:rFonts w:asciiTheme="majorBidi" w:hAnsiTheme="majorBidi" w:cstheme="majorBidi" w:hint="cs"/>
          <w:sz w:val="24"/>
          <w:szCs w:val="24"/>
          <w:rtl/>
        </w:rPr>
        <w:t>העביר על דת</w:t>
      </w:r>
      <w:r w:rsidR="00B66DA0">
        <w:rPr>
          <w:rFonts w:asciiTheme="majorBidi" w:hAnsiTheme="majorBidi" w:cstheme="majorBidi" w:hint="cs"/>
          <w:sz w:val="24"/>
          <w:szCs w:val="24"/>
          <w:rtl/>
        </w:rPr>
        <w:t>,</w:t>
      </w:r>
      <w:r w:rsidR="00EC0BCF">
        <w:rPr>
          <w:rFonts w:asciiTheme="majorBidi" w:hAnsiTheme="majorBidi" w:cstheme="majorBidi" w:hint="cs"/>
          <w:sz w:val="24"/>
          <w:szCs w:val="24"/>
          <w:rtl/>
        </w:rPr>
        <w:t xml:space="preserve"> כשהמעשה בפרהסיא. הגמרא דנה לגבי אסתר ואחשוורוש דווקא בפן השלישי: </w:t>
      </w:r>
    </w:p>
    <w:p w14:paraId="3AF59248" w14:textId="4D6F4E20" w:rsidR="002D4CB7" w:rsidRPr="002D4CB7" w:rsidRDefault="004836C5" w:rsidP="00D3490C">
      <w:pPr>
        <w:spacing w:after="0" w:line="360" w:lineRule="auto"/>
        <w:rPr>
          <w:rFonts w:asciiTheme="majorBidi" w:hAnsiTheme="majorBidi" w:cstheme="majorBidi"/>
          <w:sz w:val="24"/>
          <w:szCs w:val="24"/>
        </w:rPr>
      </w:pPr>
      <w:r w:rsidRPr="004836C5">
        <w:rPr>
          <w:rFonts w:ascii="David" w:hAnsi="David" w:cs="David"/>
          <w:sz w:val="24"/>
          <w:szCs w:val="24"/>
          <w:rtl/>
        </w:rPr>
        <w:t>"והא אסתר פרהסיא הואי! - אמר אביי: אסתר קרקע עולם היתה. רבא אמר: הנאת עצמן שאני</w:t>
      </w:r>
      <w:r w:rsidRPr="004836C5">
        <w:rPr>
          <w:rStyle w:val="a5"/>
          <w:rFonts w:ascii="David" w:hAnsi="David" w:cs="David"/>
          <w:sz w:val="24"/>
          <w:szCs w:val="24"/>
          <w:rtl/>
        </w:rPr>
        <w:footnoteReference w:id="10"/>
      </w:r>
      <w:r>
        <w:rPr>
          <w:rFonts w:ascii="David" w:hAnsi="David" w:cs="David" w:hint="cs"/>
          <w:sz w:val="24"/>
          <w:szCs w:val="24"/>
          <w:rtl/>
        </w:rPr>
        <w:t>"</w:t>
      </w:r>
      <w:r w:rsidRPr="004836C5">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נמנעה הגמרא מלשאול: הרי אסתר הייתה גילוי עריות. רבינו תם</w:t>
      </w:r>
      <w:r w:rsidR="00AA5FCC">
        <w:rPr>
          <w:rFonts w:asciiTheme="majorBidi" w:hAnsiTheme="majorBidi" w:cstheme="majorBidi" w:hint="cs"/>
          <w:sz w:val="24"/>
          <w:szCs w:val="24"/>
          <w:rtl/>
        </w:rPr>
        <w:t xml:space="preserve"> מביא מכאן ראייה</w:t>
      </w:r>
      <w:r>
        <w:rPr>
          <w:rFonts w:asciiTheme="majorBidi" w:hAnsiTheme="majorBidi" w:cstheme="majorBidi" w:hint="cs"/>
          <w:sz w:val="24"/>
          <w:szCs w:val="24"/>
          <w:rtl/>
        </w:rPr>
        <w:t xml:space="preserve">, שאין גוי בכלל עריות. </w:t>
      </w:r>
      <w:r w:rsidR="00D3490C">
        <w:rPr>
          <w:rFonts w:asciiTheme="majorBidi" w:hAnsiTheme="majorBidi" w:cstheme="majorBidi" w:hint="cs"/>
          <w:sz w:val="24"/>
          <w:szCs w:val="24"/>
          <w:rtl/>
        </w:rPr>
        <w:t xml:space="preserve">לגבי סוגייתנו הקפיד רבינו תם להגדיר: </w:t>
      </w:r>
      <w:r w:rsidR="00D3490C">
        <w:rPr>
          <w:rFonts w:ascii="David" w:hAnsi="David" w:cs="David" w:hint="cs"/>
          <w:sz w:val="24"/>
          <w:szCs w:val="24"/>
          <w:rtl/>
        </w:rPr>
        <w:t>"</w:t>
      </w:r>
      <w:r w:rsidR="002D4CB7" w:rsidRPr="002D4CB7">
        <w:rPr>
          <w:rFonts w:ascii="David" w:hAnsi="David" w:cs="David"/>
          <w:sz w:val="24"/>
          <w:szCs w:val="24"/>
          <w:rtl/>
        </w:rPr>
        <w:t>אומר רבנו תם  דהיכא שיראים פן יעבירום עובדי כוכבים לעבירה כגון על ידי ייסורין שלא יוכל לעמוד בהם</w:t>
      </w:r>
      <w:r w:rsidR="00D3490C">
        <w:rPr>
          <w:rFonts w:ascii="David" w:hAnsi="David" w:cs="David" w:hint="cs"/>
          <w:sz w:val="24"/>
          <w:szCs w:val="24"/>
          <w:rtl/>
        </w:rPr>
        <w:t xml:space="preserve">, </w:t>
      </w:r>
      <w:r w:rsidR="002D4CB7" w:rsidRPr="002D4CB7">
        <w:rPr>
          <w:rFonts w:ascii="David" w:hAnsi="David" w:cs="David"/>
          <w:sz w:val="24"/>
          <w:szCs w:val="24"/>
          <w:rtl/>
        </w:rPr>
        <w:t xml:space="preserve">אז הוא מצוה לחבל בעצמו כי ההיא דגיטין גבי </w:t>
      </w:r>
      <w:r w:rsidR="002D4CB7" w:rsidRPr="002D4CB7">
        <w:rPr>
          <w:rFonts w:ascii="David" w:hAnsi="David" w:cs="David"/>
          <w:b/>
          <w:bCs/>
          <w:sz w:val="24"/>
          <w:szCs w:val="24"/>
          <w:rtl/>
        </w:rPr>
        <w:t>ילדים</w:t>
      </w:r>
      <w:r w:rsidR="002D4CB7" w:rsidRPr="002D4CB7">
        <w:rPr>
          <w:rFonts w:ascii="David" w:hAnsi="David" w:cs="David"/>
          <w:sz w:val="24"/>
          <w:szCs w:val="24"/>
          <w:rtl/>
        </w:rPr>
        <w:t xml:space="preserve"> שנשבו לקלון שהטילו עצמם לים</w:t>
      </w:r>
      <w:r w:rsidR="00D3490C">
        <w:rPr>
          <w:rStyle w:val="a5"/>
          <w:rFonts w:ascii="David" w:hAnsi="David" w:cs="David"/>
          <w:sz w:val="24"/>
          <w:szCs w:val="24"/>
          <w:rtl/>
        </w:rPr>
        <w:footnoteReference w:id="11"/>
      </w:r>
      <w:r w:rsidR="002D4CB7" w:rsidRPr="002D4CB7">
        <w:rPr>
          <w:rFonts w:ascii="David" w:hAnsi="David" w:cs="David"/>
          <w:sz w:val="24"/>
          <w:szCs w:val="24"/>
          <w:rtl/>
        </w:rPr>
        <w:t xml:space="preserve">".  </w:t>
      </w:r>
      <w:r w:rsidR="004E27D5">
        <w:rPr>
          <w:rFonts w:asciiTheme="majorBidi" w:hAnsiTheme="majorBidi" w:cstheme="majorBidi" w:hint="cs"/>
          <w:sz w:val="24"/>
          <w:szCs w:val="24"/>
          <w:rtl/>
        </w:rPr>
        <w:t>לילדות דין אחר.</w:t>
      </w:r>
    </w:p>
    <w:p w14:paraId="173F532F" w14:textId="76F94596" w:rsidR="004836C5" w:rsidRDefault="004836C5" w:rsidP="00B66DA0">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וריב"ם מפרש: </w:t>
      </w:r>
      <w:r w:rsidR="00B66DA0">
        <w:rPr>
          <w:rFonts w:ascii="David" w:hAnsi="David" w:cs="David" w:hint="cs"/>
          <w:sz w:val="24"/>
          <w:szCs w:val="24"/>
          <w:rtl/>
        </w:rPr>
        <w:t>"</w:t>
      </w:r>
      <w:r w:rsidRPr="004836C5">
        <w:rPr>
          <w:rFonts w:ascii="David" w:hAnsi="David" w:cs="David"/>
          <w:sz w:val="24"/>
          <w:szCs w:val="24"/>
          <w:rtl/>
        </w:rPr>
        <w:t>דקים ליה דמהני טעמא דקרקע עולם לענין דלא מיחייב' למסור עצמה משום עריות דהא מרוצח ילפינן ורוצח גופיה כי מיחייב למסור עצמו ה"מ קודם שיהרג בידים אבל היכא דלא עביד מעשה כגון שמשליכין אותו על התינוק ומתמעך מסתברא שאין חייב למסור עצמו דמצי אמר אדרבה מאי חזית דדמא דחבראי סומקי טפי דילמא דמא דידי סומק טפי כיון דלא עביד מעשה</w:t>
      </w:r>
      <w:r>
        <w:rPr>
          <w:rFonts w:ascii="David" w:hAnsi="David" w:cs="David" w:hint="cs"/>
          <w:sz w:val="24"/>
          <w:szCs w:val="24"/>
          <w:rtl/>
        </w:rPr>
        <w:t xml:space="preserve">...  </w:t>
      </w:r>
      <w:r w:rsidRPr="004836C5">
        <w:rPr>
          <w:rFonts w:ascii="David" w:hAnsi="David" w:cs="David"/>
          <w:sz w:val="24"/>
          <w:szCs w:val="24"/>
          <w:rtl/>
        </w:rPr>
        <w:t>אבל לענין חלול השם</w:t>
      </w:r>
      <w:r w:rsidR="00B66DA0">
        <w:rPr>
          <w:rFonts w:ascii="David" w:hAnsi="David" w:cs="David" w:hint="cs"/>
          <w:sz w:val="24"/>
          <w:szCs w:val="24"/>
          <w:rtl/>
        </w:rPr>
        <w:t>,</w:t>
      </w:r>
      <w:r w:rsidRPr="004836C5">
        <w:rPr>
          <w:rFonts w:ascii="David" w:hAnsi="David" w:cs="David"/>
          <w:sz w:val="24"/>
          <w:szCs w:val="24"/>
          <w:rtl/>
        </w:rPr>
        <w:t xml:space="preserve"> משום פרהסיא לא ס"ד דמהני טעמא דקרקע עולם</w:t>
      </w:r>
      <w:r w:rsidR="00AA5FCC">
        <w:rPr>
          <w:rStyle w:val="a5"/>
          <w:rFonts w:ascii="David" w:hAnsi="David" w:cs="David"/>
          <w:sz w:val="24"/>
          <w:szCs w:val="24"/>
          <w:rtl/>
        </w:rPr>
        <w:footnoteReference w:id="12"/>
      </w:r>
      <w:r>
        <w:rPr>
          <w:rFonts w:ascii="David" w:hAnsi="David" w:cs="David" w:hint="cs"/>
          <w:sz w:val="24"/>
          <w:szCs w:val="24"/>
          <w:rtl/>
        </w:rPr>
        <w:t>".</w:t>
      </w:r>
    </w:p>
    <w:p w14:paraId="53EF7BE3" w14:textId="04D34600" w:rsidR="00B66DA0" w:rsidRPr="001252A5" w:rsidRDefault="001252A5" w:rsidP="001252A5">
      <w:p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ד.</w:t>
      </w:r>
      <w:r w:rsidR="00B66DA0" w:rsidRPr="001252A5">
        <w:rPr>
          <w:rFonts w:asciiTheme="majorBidi" w:hAnsiTheme="majorBidi" w:cstheme="majorBidi" w:hint="cs"/>
          <w:b/>
          <w:bCs/>
          <w:sz w:val="24"/>
          <w:szCs w:val="24"/>
          <w:rtl/>
        </w:rPr>
        <w:t>רבא ואביי</w:t>
      </w:r>
    </w:p>
    <w:p w14:paraId="43344564" w14:textId="06976742" w:rsidR="009330C3" w:rsidRPr="009330C3" w:rsidRDefault="00D3490C" w:rsidP="009330C3">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למעשה, ריב"ם אימץ את תירוצו של אביי. </w:t>
      </w:r>
      <w:r w:rsidR="00B66DA0">
        <w:rPr>
          <w:rFonts w:asciiTheme="majorBidi" w:hAnsiTheme="majorBidi" w:cstheme="majorBidi" w:hint="cs"/>
          <w:sz w:val="24"/>
          <w:szCs w:val="24"/>
          <w:rtl/>
        </w:rPr>
        <w:t xml:space="preserve">רבינו תם טוען שדברי רבא נשענים על כך שקשר גוי ויהודיה איננו ביהרג ואל יעבור. </w:t>
      </w:r>
      <w:r w:rsidR="009330C3">
        <w:rPr>
          <w:rFonts w:asciiTheme="majorBidi" w:hAnsiTheme="majorBidi" w:cstheme="majorBidi" w:hint="cs"/>
          <w:sz w:val="24"/>
          <w:szCs w:val="24"/>
          <w:rtl/>
        </w:rPr>
        <w:t xml:space="preserve">לדעתו </w:t>
      </w:r>
      <w:r w:rsidR="009330C3">
        <w:rPr>
          <w:rFonts w:asciiTheme="majorBidi" w:hAnsiTheme="majorBidi" w:cs="Times New Roman" w:hint="cs"/>
          <w:sz w:val="24"/>
          <w:szCs w:val="24"/>
          <w:rtl/>
        </w:rPr>
        <w:t>"</w:t>
      </w:r>
      <w:r w:rsidR="009330C3" w:rsidRPr="009330C3">
        <w:rPr>
          <w:rFonts w:asciiTheme="majorBidi" w:hAnsiTheme="majorBidi" w:cs="Times New Roman"/>
          <w:sz w:val="24"/>
          <w:szCs w:val="24"/>
          <w:rtl/>
        </w:rPr>
        <w:t>לא מהני טעמא דקרקע עולם אלא לענין פרהסיא</w:t>
      </w:r>
      <w:r w:rsidR="009330C3">
        <w:rPr>
          <w:rFonts w:asciiTheme="majorBidi" w:hAnsiTheme="majorBidi" w:cs="Times New Roman" w:hint="cs"/>
          <w:sz w:val="24"/>
          <w:szCs w:val="24"/>
          <w:rtl/>
        </w:rPr>
        <w:t>,</w:t>
      </w:r>
      <w:r w:rsidR="009330C3" w:rsidRPr="009330C3">
        <w:rPr>
          <w:rFonts w:asciiTheme="majorBidi" w:hAnsiTheme="majorBidi" w:cs="Times New Roman"/>
          <w:sz w:val="24"/>
          <w:szCs w:val="24"/>
          <w:rtl/>
        </w:rPr>
        <w:t xml:space="preserve"> משא"כ לענין ג"ע לא מהני קרקע עולם כדילפינן </w:t>
      </w:r>
      <w:r w:rsidR="009330C3" w:rsidRPr="009330C3">
        <w:rPr>
          <w:rFonts w:ascii="David" w:hAnsi="David" w:cs="David"/>
          <w:sz w:val="24"/>
          <w:szCs w:val="24"/>
          <w:rtl/>
        </w:rPr>
        <w:t>מנערה המאורסה דתיהרג ואל תעבור</w:t>
      </w:r>
      <w:r w:rsidR="009330C3" w:rsidRPr="009330C3">
        <w:rPr>
          <w:rStyle w:val="a5"/>
          <w:rFonts w:ascii="David" w:hAnsi="David" w:cs="David"/>
          <w:sz w:val="24"/>
          <w:szCs w:val="24"/>
          <w:rtl/>
        </w:rPr>
        <w:footnoteReference w:id="13"/>
      </w:r>
      <w:r w:rsidR="009330C3" w:rsidRPr="009330C3">
        <w:rPr>
          <w:rFonts w:ascii="David" w:hAnsi="David" w:cs="David"/>
          <w:sz w:val="24"/>
          <w:szCs w:val="24"/>
          <w:rtl/>
        </w:rPr>
        <w:t>".</w:t>
      </w:r>
    </w:p>
    <w:p w14:paraId="6CEE27B3" w14:textId="34196995" w:rsidR="00752EFF" w:rsidRPr="0092170A" w:rsidRDefault="00B66DA0" w:rsidP="009330C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אמנם רבי ז</w:t>
      </w:r>
      <w:r w:rsidR="009E59B0">
        <w:rPr>
          <w:rFonts w:asciiTheme="majorBidi" w:hAnsiTheme="majorBidi" w:cstheme="majorBidi" w:hint="cs"/>
          <w:sz w:val="24"/>
          <w:szCs w:val="24"/>
          <w:rtl/>
        </w:rPr>
        <w:t>רח</w:t>
      </w:r>
      <w:r>
        <w:rPr>
          <w:rFonts w:asciiTheme="majorBidi" w:hAnsiTheme="majorBidi" w:cstheme="majorBidi" w:hint="cs"/>
          <w:sz w:val="24"/>
          <w:szCs w:val="24"/>
          <w:rtl/>
        </w:rPr>
        <w:t>יה הלוי סבור שהדברים עומדים בפני עצמם: אין צורך ליהרג על עריות, כשמדובר בהנאת עצמם</w:t>
      </w:r>
      <w:r>
        <w:rPr>
          <w:rStyle w:val="a5"/>
          <w:rFonts w:asciiTheme="majorBidi" w:hAnsiTheme="majorBidi" w:cstheme="majorBidi"/>
          <w:sz w:val="24"/>
          <w:szCs w:val="24"/>
          <w:rtl/>
        </w:rPr>
        <w:footnoteReference w:id="14"/>
      </w:r>
      <w:r w:rsidR="009E59B0">
        <w:rPr>
          <w:rFonts w:asciiTheme="majorBidi" w:hAnsiTheme="majorBidi" w:cstheme="majorBidi" w:hint="cs"/>
          <w:sz w:val="24"/>
          <w:szCs w:val="24"/>
          <w:rtl/>
        </w:rPr>
        <w:t xml:space="preserve"> "</w:t>
      </w:r>
      <w:r w:rsidR="009E59B0">
        <w:rPr>
          <w:rFonts w:ascii="David" w:hAnsi="David" w:cs="David" w:hint="cs"/>
          <w:sz w:val="24"/>
          <w:szCs w:val="24"/>
          <w:rtl/>
        </w:rPr>
        <w:t>להנאת עצמו.. שרי דהא אסתר ג"ע הוי ופרהסיא הוי, ואפ"ה מותר להנאת עצמן</w:t>
      </w:r>
      <w:r w:rsidR="009E59B0">
        <w:rPr>
          <w:rStyle w:val="a5"/>
          <w:rFonts w:ascii="David" w:hAnsi="David" w:cs="David"/>
          <w:sz w:val="24"/>
          <w:szCs w:val="24"/>
          <w:rtl/>
        </w:rPr>
        <w:footnoteReference w:id="15"/>
      </w:r>
      <w:r w:rsidR="009E59B0">
        <w:rPr>
          <w:rFonts w:ascii="David" w:hAnsi="David" w:cs="David" w:hint="cs"/>
          <w:sz w:val="24"/>
          <w:szCs w:val="24"/>
          <w:rtl/>
        </w:rPr>
        <w:t>"</w:t>
      </w:r>
      <w:r>
        <w:rPr>
          <w:rFonts w:asciiTheme="majorBidi" w:hAnsiTheme="majorBidi" w:cstheme="majorBidi" w:hint="cs"/>
          <w:sz w:val="24"/>
          <w:szCs w:val="24"/>
          <w:rtl/>
        </w:rPr>
        <w:t xml:space="preserve">. </w:t>
      </w:r>
      <w:r w:rsidR="00D3490C">
        <w:rPr>
          <w:rFonts w:asciiTheme="majorBidi" w:hAnsiTheme="majorBidi" w:cstheme="majorBidi" w:hint="cs"/>
          <w:sz w:val="24"/>
          <w:szCs w:val="24"/>
          <w:rtl/>
        </w:rPr>
        <w:t xml:space="preserve">השאלה היא מהו היחס בין דברי אביי לדברי רבא. </w:t>
      </w:r>
      <w:r w:rsidR="009A4D38">
        <w:rPr>
          <w:rFonts w:asciiTheme="majorBidi" w:hAnsiTheme="majorBidi" w:cstheme="majorBidi" w:hint="cs"/>
          <w:sz w:val="24"/>
          <w:szCs w:val="24"/>
          <w:rtl/>
        </w:rPr>
        <w:t xml:space="preserve"> מסכם הרמב"ן: </w:t>
      </w:r>
      <w:r w:rsidR="009A4D38">
        <w:rPr>
          <w:rFonts w:ascii="David" w:hAnsi="David" w:cs="David" w:hint="cs"/>
          <w:sz w:val="24"/>
          <w:szCs w:val="24"/>
          <w:rtl/>
        </w:rPr>
        <w:t>"נמצאו באישה שני דברים מתירין לה: קרקע עולם ולהנאתן.  הא באיש-יהרג ואל יעבור לעולם</w:t>
      </w:r>
      <w:r w:rsidR="009A4D38">
        <w:rPr>
          <w:rStyle w:val="a5"/>
          <w:rFonts w:ascii="David" w:hAnsi="David" w:cs="David"/>
          <w:sz w:val="24"/>
          <w:szCs w:val="24"/>
          <w:rtl/>
        </w:rPr>
        <w:footnoteReference w:id="16"/>
      </w:r>
      <w:r w:rsidR="009A4D38">
        <w:rPr>
          <w:rFonts w:ascii="David" w:hAnsi="David" w:cs="David" w:hint="cs"/>
          <w:sz w:val="24"/>
          <w:szCs w:val="24"/>
          <w:rtl/>
        </w:rPr>
        <w:t>".</w:t>
      </w:r>
      <w:r w:rsidR="009A4D38" w:rsidRPr="00867603">
        <w:rPr>
          <w:rFonts w:asciiTheme="majorBidi" w:hAnsiTheme="majorBidi" w:cstheme="majorBidi"/>
          <w:sz w:val="24"/>
          <w:szCs w:val="24"/>
          <w:rtl/>
        </w:rPr>
        <w:t xml:space="preserve"> </w:t>
      </w:r>
      <w:r w:rsidR="00867603" w:rsidRPr="00867603">
        <w:rPr>
          <w:rFonts w:asciiTheme="majorBidi" w:hAnsiTheme="majorBidi" w:cstheme="majorBidi"/>
          <w:sz w:val="24"/>
          <w:szCs w:val="24"/>
          <w:rtl/>
        </w:rPr>
        <w:t>גם הרי"ף מביא את שני התירוצים.</w:t>
      </w:r>
      <w:r w:rsidR="00867603">
        <w:rPr>
          <w:rFonts w:ascii="David" w:hAnsi="David" w:cs="David" w:hint="cs"/>
          <w:sz w:val="24"/>
          <w:szCs w:val="24"/>
          <w:rtl/>
        </w:rPr>
        <w:t xml:space="preserve"> </w:t>
      </w:r>
      <w:r w:rsidR="009A4D38" w:rsidRPr="009A4D38">
        <w:rPr>
          <w:rFonts w:asciiTheme="majorBidi" w:hAnsiTheme="majorBidi" w:cstheme="majorBidi"/>
          <w:sz w:val="24"/>
          <w:szCs w:val="24"/>
          <w:rtl/>
        </w:rPr>
        <w:lastRenderedPageBreak/>
        <w:t>הרי שלדעתו רבא מסכים עם אביי</w:t>
      </w:r>
      <w:r w:rsidR="00867603">
        <w:rPr>
          <w:rStyle w:val="a5"/>
          <w:rFonts w:asciiTheme="majorBidi" w:hAnsiTheme="majorBidi" w:cstheme="majorBidi"/>
          <w:sz w:val="24"/>
          <w:szCs w:val="24"/>
          <w:rtl/>
        </w:rPr>
        <w:footnoteReference w:id="17"/>
      </w:r>
      <w:r w:rsidR="009A4D38" w:rsidRPr="009A4D38">
        <w:rPr>
          <w:rFonts w:asciiTheme="majorBidi" w:hAnsiTheme="majorBidi" w:cstheme="majorBidi"/>
          <w:sz w:val="24"/>
          <w:szCs w:val="24"/>
          <w:rtl/>
        </w:rPr>
        <w:t>.</w:t>
      </w:r>
      <w:r w:rsidR="0092170A">
        <w:rPr>
          <w:rFonts w:asciiTheme="majorBidi" w:hAnsiTheme="majorBidi" w:cstheme="majorBidi" w:hint="cs"/>
          <w:sz w:val="24"/>
          <w:szCs w:val="24"/>
          <w:rtl/>
        </w:rPr>
        <w:t xml:space="preserve"> </w:t>
      </w:r>
      <w:r w:rsidR="00867603">
        <w:rPr>
          <w:rFonts w:asciiTheme="majorBidi" w:hAnsiTheme="majorBidi" w:cstheme="majorBidi" w:hint="cs"/>
          <w:sz w:val="24"/>
          <w:szCs w:val="24"/>
          <w:rtl/>
        </w:rPr>
        <w:t>ג</w:t>
      </w:r>
      <w:r w:rsidR="0092170A">
        <w:rPr>
          <w:rFonts w:asciiTheme="majorBidi" w:hAnsiTheme="majorBidi" w:cstheme="majorBidi" w:hint="cs"/>
          <w:sz w:val="24"/>
          <w:szCs w:val="24"/>
          <w:rtl/>
        </w:rPr>
        <w:t>כן כותב גם הר"ן</w:t>
      </w:r>
      <w:r w:rsidR="0092170A">
        <w:rPr>
          <w:rStyle w:val="a5"/>
          <w:rFonts w:asciiTheme="majorBidi" w:hAnsiTheme="majorBidi" w:cstheme="majorBidi"/>
          <w:sz w:val="24"/>
          <w:szCs w:val="24"/>
          <w:rtl/>
        </w:rPr>
        <w:footnoteReference w:id="18"/>
      </w:r>
      <w:r w:rsidR="0092170A">
        <w:rPr>
          <w:rFonts w:asciiTheme="majorBidi" w:hAnsiTheme="majorBidi" w:cstheme="majorBidi" w:hint="cs"/>
          <w:sz w:val="24"/>
          <w:szCs w:val="24"/>
          <w:rtl/>
        </w:rPr>
        <w:t xml:space="preserve">, אלא שהוא מוסיף שלפי התוספות במחלוקת היא עומדת: </w:t>
      </w:r>
      <w:r w:rsidR="0092170A">
        <w:rPr>
          <w:rFonts w:asciiTheme="majorBidi" w:hAnsiTheme="majorBidi" w:cs="Times New Roman" w:hint="cs"/>
          <w:sz w:val="24"/>
          <w:szCs w:val="24"/>
          <w:rtl/>
        </w:rPr>
        <w:t xml:space="preserve"> </w:t>
      </w:r>
      <w:r w:rsidR="0092170A" w:rsidRPr="0092170A">
        <w:rPr>
          <w:rFonts w:ascii="David" w:hAnsi="David" w:cs="David"/>
          <w:b/>
          <w:bCs/>
          <w:sz w:val="24"/>
          <w:szCs w:val="24"/>
          <w:rtl/>
        </w:rPr>
        <w:t xml:space="preserve"> </w:t>
      </w:r>
      <w:r w:rsidR="0092170A">
        <w:rPr>
          <w:rFonts w:ascii="David" w:hAnsi="David" w:cs="David" w:hint="cs"/>
          <w:b/>
          <w:bCs/>
          <w:sz w:val="24"/>
          <w:szCs w:val="24"/>
          <w:rtl/>
        </w:rPr>
        <w:t>"</w:t>
      </w:r>
      <w:r w:rsidR="0092170A" w:rsidRPr="0092170A">
        <w:rPr>
          <w:rFonts w:ascii="David" w:hAnsi="David" w:cs="David"/>
          <w:b/>
          <w:bCs/>
          <w:sz w:val="24"/>
          <w:szCs w:val="24"/>
          <w:rtl/>
        </w:rPr>
        <w:t>ורבא פליג עליה דאביי</w:t>
      </w:r>
      <w:r w:rsidR="0092170A" w:rsidRPr="0092170A">
        <w:rPr>
          <w:rFonts w:ascii="David" w:hAnsi="David" w:cs="David"/>
          <w:sz w:val="24"/>
          <w:szCs w:val="24"/>
          <w:rtl/>
        </w:rPr>
        <w:t xml:space="preserve"> ואמר דאשת איש גמורה בצנעא אינ' מחוייבת למסור עצמה, מ"מ כשהיא בפרהסיא</w:t>
      </w:r>
      <w:r w:rsidR="009330C3">
        <w:rPr>
          <w:rFonts w:ascii="David" w:hAnsi="David" w:cs="David" w:hint="cs"/>
          <w:sz w:val="24"/>
          <w:szCs w:val="24"/>
          <w:rtl/>
        </w:rPr>
        <w:t>,</w:t>
      </w:r>
      <w:r w:rsidR="0092170A" w:rsidRPr="0092170A">
        <w:rPr>
          <w:rFonts w:ascii="David" w:hAnsi="David" w:cs="David"/>
          <w:sz w:val="24"/>
          <w:szCs w:val="24"/>
          <w:rtl/>
        </w:rPr>
        <w:t xml:space="preserve"> </w:t>
      </w:r>
      <w:r w:rsidR="0092170A" w:rsidRPr="0092170A">
        <w:rPr>
          <w:rFonts w:ascii="David" w:hAnsi="David" w:cs="David"/>
          <w:b/>
          <w:bCs/>
          <w:sz w:val="24"/>
          <w:szCs w:val="24"/>
          <w:rtl/>
        </w:rPr>
        <w:t>אף על גב דאינה עושה מעש' ראוי למסור עצמה למיתה</w:t>
      </w:r>
      <w:r w:rsidR="0092170A" w:rsidRPr="0092170A">
        <w:rPr>
          <w:rFonts w:ascii="David" w:hAnsi="David" w:cs="David"/>
          <w:sz w:val="24"/>
          <w:szCs w:val="24"/>
          <w:rtl/>
        </w:rPr>
        <w:t xml:space="preserve"> מפני חילול השם, אלא טעמא דאסתר לא מסרה עצמה למיתה משום דלהנאת עצמן היתה ולהנאת עצמן אין שם חילול השם. ולפי שיטה זו, מאי דאמרינן בגמ' 'אף נערה מאורסה תהרג ואל תעבור' קשה</w:t>
      </w:r>
      <w:r w:rsidR="009330C3">
        <w:rPr>
          <w:rFonts w:ascii="David" w:hAnsi="David" w:cs="David" w:hint="cs"/>
          <w:sz w:val="24"/>
          <w:szCs w:val="24"/>
          <w:rtl/>
        </w:rPr>
        <w:t>,</w:t>
      </w:r>
      <w:r w:rsidR="0092170A" w:rsidRPr="0092170A">
        <w:rPr>
          <w:rFonts w:ascii="David" w:hAnsi="David" w:cs="David"/>
          <w:sz w:val="24"/>
          <w:szCs w:val="24"/>
          <w:rtl/>
        </w:rPr>
        <w:t xml:space="preserve"> דלמה תהרג</w:t>
      </w:r>
      <w:r w:rsidR="009330C3">
        <w:rPr>
          <w:rFonts w:ascii="David" w:hAnsi="David" w:cs="David" w:hint="cs"/>
          <w:sz w:val="24"/>
          <w:szCs w:val="24"/>
          <w:rtl/>
        </w:rPr>
        <w:t xml:space="preserve">? </w:t>
      </w:r>
      <w:r w:rsidR="0092170A" w:rsidRPr="0092170A">
        <w:rPr>
          <w:rFonts w:ascii="David" w:hAnsi="David" w:cs="David"/>
          <w:sz w:val="24"/>
          <w:szCs w:val="24"/>
          <w:rtl/>
        </w:rPr>
        <w:t>והלא אינה עושה שום מעש</w:t>
      </w:r>
      <w:r w:rsidR="009330C3">
        <w:rPr>
          <w:rFonts w:ascii="David" w:hAnsi="David" w:cs="David" w:hint="cs"/>
          <w:sz w:val="24"/>
          <w:szCs w:val="24"/>
          <w:rtl/>
        </w:rPr>
        <w:t>ה</w:t>
      </w:r>
      <w:r w:rsidR="0092170A" w:rsidRPr="0092170A">
        <w:rPr>
          <w:rFonts w:ascii="David" w:hAnsi="David" w:cs="David"/>
          <w:sz w:val="24"/>
          <w:szCs w:val="24"/>
          <w:rtl/>
        </w:rPr>
        <w:t xml:space="preserve"> ופטורה בין לאביי בין לרבא. לפיכך גרס הר"ז הלוי ז"ל אף נערה המאורס' </w:t>
      </w:r>
      <w:r w:rsidR="0092170A" w:rsidRPr="0092170A">
        <w:rPr>
          <w:rFonts w:ascii="David" w:hAnsi="David" w:cs="David"/>
          <w:b/>
          <w:bCs/>
          <w:sz w:val="24"/>
          <w:szCs w:val="24"/>
          <w:rtl/>
        </w:rPr>
        <w:t>י</w:t>
      </w:r>
      <w:r w:rsidR="0092170A" w:rsidRPr="0092170A">
        <w:rPr>
          <w:rFonts w:ascii="David" w:hAnsi="David" w:cs="David"/>
          <w:sz w:val="24"/>
          <w:szCs w:val="24"/>
          <w:rtl/>
        </w:rPr>
        <w:t>הרג ואל יעבור והיינו הבועל דקא עביד מעשה</w:t>
      </w:r>
      <w:r w:rsidR="00BD6640">
        <w:rPr>
          <w:rStyle w:val="a5"/>
          <w:rFonts w:ascii="David" w:hAnsi="David" w:cs="David"/>
          <w:sz w:val="24"/>
          <w:szCs w:val="24"/>
          <w:rtl/>
        </w:rPr>
        <w:footnoteReference w:id="19"/>
      </w:r>
      <w:r w:rsidR="0092170A" w:rsidRPr="0092170A">
        <w:rPr>
          <w:rFonts w:ascii="David" w:hAnsi="David" w:cs="David"/>
          <w:sz w:val="24"/>
          <w:szCs w:val="24"/>
          <w:rtl/>
        </w:rPr>
        <w:t>".</w:t>
      </w:r>
      <w:r w:rsidR="009330C3">
        <w:rPr>
          <w:rFonts w:asciiTheme="majorBidi" w:hAnsiTheme="majorBidi" w:cstheme="majorBidi" w:hint="cs"/>
          <w:sz w:val="24"/>
          <w:szCs w:val="24"/>
          <w:rtl/>
        </w:rPr>
        <w:t xml:space="preserve">  </w:t>
      </w:r>
    </w:p>
    <w:p w14:paraId="004BEBAA" w14:textId="4E098C12" w:rsidR="00D3490C" w:rsidRDefault="001252A5" w:rsidP="002D4CB7">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ה.</w:t>
      </w:r>
      <w:r w:rsidR="00D3490C" w:rsidRPr="00D3490C">
        <w:rPr>
          <w:rFonts w:asciiTheme="majorBidi" w:hAnsiTheme="majorBidi" w:cstheme="majorBidi" w:hint="cs"/>
          <w:b/>
          <w:bCs/>
          <w:sz w:val="24"/>
          <w:szCs w:val="24"/>
          <w:rtl/>
        </w:rPr>
        <w:t>להלכה</w:t>
      </w:r>
    </w:p>
    <w:p w14:paraId="45754BC1" w14:textId="7C204C7D" w:rsidR="002D4CB7" w:rsidRPr="002D4CB7" w:rsidRDefault="00E13EA6" w:rsidP="00E13EA6">
      <w:pPr>
        <w:spacing w:after="0" w:line="360" w:lineRule="auto"/>
        <w:rPr>
          <w:rFonts w:ascii="David" w:hAnsi="David" w:cs="David"/>
          <w:sz w:val="24"/>
          <w:szCs w:val="24"/>
        </w:rPr>
      </w:pPr>
      <w:r>
        <w:rPr>
          <w:rFonts w:asciiTheme="majorBidi" w:hAnsiTheme="majorBidi" w:cstheme="majorBidi" w:hint="cs"/>
          <w:sz w:val="24"/>
          <w:szCs w:val="24"/>
          <w:rtl/>
        </w:rPr>
        <w:t xml:space="preserve">הרמב"ם מתנה את ההיתר לעבור </w:t>
      </w:r>
      <w:r w:rsidR="001252A5">
        <w:rPr>
          <w:rFonts w:asciiTheme="majorBidi" w:hAnsiTheme="majorBidi" w:cstheme="majorBidi" w:hint="cs"/>
          <w:sz w:val="24"/>
          <w:szCs w:val="24"/>
          <w:rtl/>
        </w:rPr>
        <w:t xml:space="preserve">בהנאת עצמו: </w:t>
      </w:r>
      <w:r w:rsidRPr="00E13EA6">
        <w:rPr>
          <w:rFonts w:ascii="David" w:hAnsi="David" w:cs="David"/>
          <w:sz w:val="24"/>
          <w:szCs w:val="24"/>
          <w:rtl/>
        </w:rPr>
        <w:t>"במה דברים אמורים בזמן שהעובד כוכבים מתכוין להנאת עצמו, כגון שאנסו לבנות לו ביתו בשבת או לבשל לו תבשילו, או אנס אשה לבועלה</w:t>
      </w:r>
      <w:r>
        <w:rPr>
          <w:rStyle w:val="a5"/>
          <w:rFonts w:ascii="David" w:hAnsi="David" w:cs="David"/>
          <w:sz w:val="24"/>
          <w:szCs w:val="24"/>
          <w:rtl/>
        </w:rPr>
        <w:footnoteReference w:id="20"/>
      </w:r>
      <w:r w:rsidRPr="00E13EA6">
        <w:rPr>
          <w:rFonts w:ascii="David" w:hAnsi="David" w:cs="David"/>
          <w:sz w:val="24"/>
          <w:szCs w:val="24"/>
          <w:rtl/>
        </w:rPr>
        <w:t>".</w:t>
      </w:r>
      <w:r>
        <w:rPr>
          <w:rFonts w:asciiTheme="majorBidi" w:hAnsiTheme="majorBidi" w:cs="Times New Roman" w:hint="cs"/>
          <w:sz w:val="24"/>
          <w:szCs w:val="24"/>
          <w:rtl/>
        </w:rPr>
        <w:t xml:space="preserve"> </w:t>
      </w:r>
      <w:r w:rsidRPr="00E13EA6">
        <w:rPr>
          <w:rFonts w:asciiTheme="majorBidi" w:hAnsiTheme="majorBidi" w:cs="Times New Roman"/>
          <w:sz w:val="24"/>
          <w:szCs w:val="24"/>
          <w:rtl/>
        </w:rPr>
        <w:t xml:space="preserve"> </w:t>
      </w:r>
      <w:r w:rsidR="001252A5">
        <w:rPr>
          <w:rFonts w:asciiTheme="majorBidi" w:hAnsiTheme="majorBidi" w:cs="Times New Roman" w:hint="cs"/>
          <w:sz w:val="24"/>
          <w:szCs w:val="24"/>
          <w:rtl/>
        </w:rPr>
        <w:t xml:space="preserve">השווה אונס לחילול שבת בהנאת עצמו, כרבא. </w:t>
      </w:r>
      <w:r w:rsidR="00566172" w:rsidRPr="00566172">
        <w:rPr>
          <w:rFonts w:asciiTheme="majorBidi" w:hAnsiTheme="majorBidi" w:cstheme="majorBidi"/>
          <w:sz w:val="24"/>
          <w:szCs w:val="24"/>
          <w:rtl/>
        </w:rPr>
        <w:t>נחלקו אחרונים בהיתר קרקע עולם בשיטת הרמב"ם:</w:t>
      </w:r>
      <w:r w:rsidR="00566172">
        <w:rPr>
          <w:rFonts w:ascii="David" w:hAnsi="David" w:cs="David" w:hint="cs"/>
          <w:sz w:val="24"/>
          <w:szCs w:val="24"/>
          <w:rtl/>
        </w:rPr>
        <w:t xml:space="preserve"> </w:t>
      </w:r>
      <w:r w:rsidR="00867603">
        <w:rPr>
          <w:rFonts w:asciiTheme="majorBidi" w:hAnsiTheme="majorBidi" w:cstheme="majorBidi" w:hint="cs"/>
          <w:sz w:val="24"/>
          <w:szCs w:val="24"/>
          <w:rtl/>
        </w:rPr>
        <w:t>ביתן לטעון ש</w:t>
      </w:r>
      <w:r w:rsidR="00566172">
        <w:rPr>
          <w:rFonts w:ascii="David" w:hAnsi="David" w:cs="David" w:hint="cs"/>
          <w:sz w:val="24"/>
          <w:szCs w:val="24"/>
          <w:rtl/>
        </w:rPr>
        <w:t>"</w:t>
      </w:r>
      <w:r w:rsidR="002D4CB7" w:rsidRPr="002D4CB7">
        <w:rPr>
          <w:rFonts w:ascii="David" w:hAnsi="David" w:cs="David"/>
          <w:sz w:val="24"/>
          <w:szCs w:val="24"/>
          <w:rtl/>
        </w:rPr>
        <w:t>כיון דג"ע מהיקישא ילפינן ואם שם א"צ למסור נפשו בלא מעשה גם בג"ע כן... וא"כ נראה בפשיטות דהר"מ סובר כן דבלא מעשה אינו מחייב למ"נ</w:t>
      </w:r>
      <w:r w:rsidR="004E27D5" w:rsidRPr="00867603">
        <w:rPr>
          <w:rStyle w:val="a5"/>
          <w:rFonts w:asciiTheme="majorBidi" w:hAnsiTheme="majorBidi" w:cstheme="majorBidi"/>
          <w:sz w:val="24"/>
          <w:szCs w:val="24"/>
          <w:rtl/>
        </w:rPr>
        <w:footnoteReference w:id="21"/>
      </w:r>
      <w:r w:rsidR="00566172" w:rsidRPr="00867603">
        <w:rPr>
          <w:rFonts w:asciiTheme="majorBidi" w:hAnsiTheme="majorBidi" w:cstheme="majorBidi"/>
          <w:sz w:val="24"/>
          <w:szCs w:val="24"/>
          <w:rtl/>
        </w:rPr>
        <w:t>"</w:t>
      </w:r>
      <w:r w:rsidR="002D4CB7" w:rsidRPr="00867603">
        <w:rPr>
          <w:rFonts w:asciiTheme="majorBidi" w:hAnsiTheme="majorBidi" w:cstheme="majorBidi"/>
          <w:sz w:val="24"/>
          <w:szCs w:val="24"/>
          <w:rtl/>
        </w:rPr>
        <w:t>.</w:t>
      </w:r>
      <w:r w:rsidR="00867603">
        <w:rPr>
          <w:rFonts w:asciiTheme="majorBidi" w:hAnsiTheme="majorBidi" w:cstheme="majorBidi" w:hint="cs"/>
          <w:sz w:val="24"/>
          <w:szCs w:val="24"/>
          <w:rtl/>
        </w:rPr>
        <w:t xml:space="preserve">  </w:t>
      </w:r>
      <w:r>
        <w:rPr>
          <w:rFonts w:asciiTheme="majorBidi" w:hAnsiTheme="majorBidi" w:cstheme="majorBidi" w:hint="cs"/>
          <w:sz w:val="24"/>
          <w:szCs w:val="24"/>
          <w:rtl/>
        </w:rPr>
        <w:t>לעומת זאת ר' חיים הלוי סבור ש</w:t>
      </w:r>
      <w:r w:rsidR="002D4CB7" w:rsidRPr="002D4CB7">
        <w:rPr>
          <w:rFonts w:ascii="David" w:hAnsi="David" w:cs="David"/>
          <w:sz w:val="24"/>
          <w:szCs w:val="24"/>
          <w:rtl/>
        </w:rPr>
        <w:t>"בדין שפיכות דמים... פשוט שאומרים שב ואל תעשה עדיף. אבל בגילוי עריות אחר שכבר למדנו שיהרג ואל יעבור</w:t>
      </w:r>
      <w:r w:rsidR="00867603">
        <w:rPr>
          <w:rFonts w:ascii="David" w:hAnsi="David" w:cs="David" w:hint="cs"/>
          <w:sz w:val="24"/>
          <w:szCs w:val="24"/>
          <w:rtl/>
        </w:rPr>
        <w:t>,</w:t>
      </w:r>
      <w:r w:rsidR="002D4CB7" w:rsidRPr="002D4CB7">
        <w:rPr>
          <w:rFonts w:ascii="David" w:hAnsi="David" w:cs="David"/>
          <w:sz w:val="24"/>
          <w:szCs w:val="24"/>
          <w:rtl/>
        </w:rPr>
        <w:t xml:space="preserve"> ממילא יש לומר בכל פעם שיהרג, אף בקרקע עולם.. לפי זה..</w:t>
      </w:r>
      <w:r w:rsidR="002D4CB7" w:rsidRPr="00867603">
        <w:rPr>
          <w:rFonts w:ascii="David" w:hAnsi="David" w:cs="David"/>
          <w:b/>
          <w:bCs/>
          <w:sz w:val="24"/>
          <w:szCs w:val="24"/>
          <w:rtl/>
        </w:rPr>
        <w:t>דברי אביי נדחים.. על ידי רבא שהלכה כמותו</w:t>
      </w:r>
      <w:r>
        <w:rPr>
          <w:rStyle w:val="a5"/>
          <w:rFonts w:ascii="David" w:hAnsi="David" w:cs="David"/>
          <w:sz w:val="24"/>
          <w:szCs w:val="24"/>
          <w:rtl/>
        </w:rPr>
        <w:footnoteReference w:id="22"/>
      </w:r>
      <w:r>
        <w:rPr>
          <w:rFonts w:ascii="David" w:hAnsi="David" w:cs="David" w:hint="cs"/>
          <w:sz w:val="24"/>
          <w:szCs w:val="24"/>
          <w:rtl/>
        </w:rPr>
        <w:t xml:space="preserve">". </w:t>
      </w:r>
      <w:r>
        <w:rPr>
          <w:rFonts w:asciiTheme="majorBidi" w:hAnsiTheme="majorBidi" w:cstheme="majorBidi" w:hint="cs"/>
          <w:sz w:val="24"/>
          <w:szCs w:val="24"/>
          <w:rtl/>
        </w:rPr>
        <w:t xml:space="preserve">אכן, </w:t>
      </w:r>
      <w:r w:rsidR="00867603" w:rsidRPr="00867603">
        <w:rPr>
          <w:rFonts w:asciiTheme="majorBidi" w:hAnsiTheme="majorBidi" w:cstheme="majorBidi"/>
          <w:sz w:val="24"/>
          <w:szCs w:val="24"/>
          <w:rtl/>
        </w:rPr>
        <w:t>הרמב"ם לא הביא כלל את עניין קרקע עולם, ונראה שלדעתו אין לפסוק כאביי</w:t>
      </w:r>
      <w:r w:rsidR="00867603" w:rsidRPr="00867603">
        <w:rPr>
          <w:rStyle w:val="a5"/>
          <w:rFonts w:asciiTheme="majorBidi" w:hAnsiTheme="majorBidi" w:cstheme="majorBidi"/>
          <w:sz w:val="24"/>
          <w:szCs w:val="24"/>
          <w:rtl/>
        </w:rPr>
        <w:footnoteReference w:id="23"/>
      </w:r>
      <w:r w:rsidR="00867603">
        <w:rPr>
          <w:rFonts w:asciiTheme="majorBidi" w:hAnsiTheme="majorBidi" w:cstheme="majorBidi" w:hint="cs"/>
          <w:sz w:val="24"/>
          <w:szCs w:val="24"/>
          <w:rtl/>
        </w:rPr>
        <w:t xml:space="preserve">. גם </w:t>
      </w:r>
      <w:r>
        <w:rPr>
          <w:rFonts w:asciiTheme="majorBidi" w:hAnsiTheme="majorBidi" w:cstheme="majorBidi" w:hint="cs"/>
          <w:sz w:val="24"/>
          <w:szCs w:val="24"/>
          <w:rtl/>
        </w:rPr>
        <w:t>באגרת השמד כתב הרמב"ם:</w:t>
      </w:r>
      <w:r w:rsidR="002D4CB7" w:rsidRPr="002D4CB7">
        <w:rPr>
          <w:rFonts w:ascii="David" w:hAnsi="David" w:cs="David"/>
          <w:sz w:val="24"/>
          <w:szCs w:val="24"/>
          <w:rtl/>
        </w:rPr>
        <w:t xml:space="preserve"> </w:t>
      </w:r>
      <w:r w:rsidRPr="002D4CB7">
        <w:rPr>
          <w:rFonts w:ascii="David" w:hAnsi="David" w:cs="David"/>
          <w:sz w:val="24"/>
          <w:szCs w:val="24"/>
          <w:rtl/>
        </w:rPr>
        <w:t>"וקיימא לן הלכה כרבא"</w:t>
      </w:r>
      <w:r w:rsidR="00867603">
        <w:rPr>
          <w:rFonts w:ascii="David" w:hAnsi="David" w:cs="David" w:hint="cs"/>
          <w:sz w:val="24"/>
          <w:szCs w:val="24"/>
          <w:rtl/>
        </w:rPr>
        <w:t>.</w:t>
      </w:r>
    </w:p>
    <w:p w14:paraId="70D2225A" w14:textId="6C01EF49" w:rsidR="004E27D5" w:rsidRPr="00E13EA6" w:rsidRDefault="006F0FF8" w:rsidP="00E13EA6">
      <w:pPr>
        <w:spacing w:after="0" w:line="360" w:lineRule="auto"/>
        <w:rPr>
          <w:rFonts w:asciiTheme="majorBidi" w:hAnsiTheme="majorBidi" w:cstheme="majorBidi"/>
          <w:sz w:val="24"/>
          <w:szCs w:val="24"/>
          <w:rtl/>
        </w:rPr>
      </w:pPr>
      <w:r w:rsidRPr="006F0FF8">
        <w:rPr>
          <w:rFonts w:asciiTheme="majorBidi" w:hAnsiTheme="majorBidi" w:cstheme="majorBidi"/>
          <w:sz w:val="24"/>
          <w:szCs w:val="24"/>
          <w:rtl/>
        </w:rPr>
        <w:t xml:space="preserve">בבית יוסף פוסק: </w:t>
      </w:r>
      <w:r w:rsidR="004E27D5" w:rsidRPr="006F0FF8">
        <w:rPr>
          <w:rFonts w:ascii="David" w:hAnsi="David" w:cs="David"/>
          <w:sz w:val="24"/>
          <w:szCs w:val="24"/>
          <w:rtl/>
        </w:rPr>
        <w:t xml:space="preserve">"כתב הר"ן </w:t>
      </w:r>
      <w:r w:rsidR="004E27D5" w:rsidRPr="001252A5">
        <w:rPr>
          <w:rFonts w:ascii="David" w:hAnsi="David" w:cs="David"/>
          <w:sz w:val="18"/>
          <w:szCs w:val="18"/>
          <w:rtl/>
        </w:rPr>
        <w:t>במסכת יומא  (ג: ד"ה חוץ) בשם הרמב"ן ..</w:t>
      </w:r>
      <w:r w:rsidR="004E27D5" w:rsidRPr="006F0FF8">
        <w:rPr>
          <w:rFonts w:ascii="David" w:hAnsi="David" w:cs="David"/>
          <w:sz w:val="24"/>
          <w:szCs w:val="24"/>
          <w:rtl/>
        </w:rPr>
        <w:t>דגוי הבא על בת ישראל לאו בכלל גילוי עריות הוא ...</w:t>
      </w:r>
      <w:r w:rsidR="004E27D5">
        <w:rPr>
          <w:rStyle w:val="a5"/>
          <w:rFonts w:ascii="David" w:hAnsi="David" w:cs="David"/>
          <w:sz w:val="24"/>
          <w:szCs w:val="24"/>
          <w:rtl/>
        </w:rPr>
        <w:footnoteReference w:id="24"/>
      </w:r>
      <w:r w:rsidR="004E27D5" w:rsidRPr="006F0FF8">
        <w:rPr>
          <w:rFonts w:ascii="David" w:hAnsi="David" w:cs="David"/>
          <w:sz w:val="24"/>
          <w:szCs w:val="24"/>
          <w:rtl/>
        </w:rPr>
        <w:t>"</w:t>
      </w:r>
      <w:r w:rsidR="004E27D5">
        <w:rPr>
          <w:rFonts w:ascii="David" w:hAnsi="David" w:cs="David" w:hint="cs"/>
          <w:sz w:val="24"/>
          <w:szCs w:val="24"/>
          <w:rtl/>
        </w:rPr>
        <w:t xml:space="preserve">. </w:t>
      </w:r>
      <w:r w:rsidR="004E27D5" w:rsidRPr="004E27D5">
        <w:rPr>
          <w:rFonts w:asciiTheme="majorBidi" w:hAnsiTheme="majorBidi" w:cstheme="majorBidi"/>
          <w:sz w:val="24"/>
          <w:szCs w:val="24"/>
          <w:rtl/>
        </w:rPr>
        <w:t>הרמ"א</w:t>
      </w:r>
      <w:r w:rsidR="004E27D5">
        <w:rPr>
          <w:rFonts w:ascii="David" w:hAnsi="David" w:cs="David" w:hint="cs"/>
          <w:sz w:val="24"/>
          <w:szCs w:val="24"/>
          <w:rtl/>
        </w:rPr>
        <w:t xml:space="preserve"> </w:t>
      </w:r>
      <w:r w:rsidR="004E27D5" w:rsidRPr="004E27D5">
        <w:rPr>
          <w:rFonts w:asciiTheme="majorBidi" w:hAnsiTheme="majorBidi" w:cstheme="majorBidi"/>
          <w:sz w:val="24"/>
          <w:szCs w:val="24"/>
          <w:rtl/>
        </w:rPr>
        <w:t>בשולחן ערוך מביא את שתי הדעות:</w:t>
      </w:r>
    </w:p>
    <w:p w14:paraId="524EF442" w14:textId="34C6777B" w:rsidR="004E27D5" w:rsidRPr="00E13EA6" w:rsidRDefault="00E13EA6" w:rsidP="004E27D5">
      <w:pPr>
        <w:spacing w:after="0" w:line="360" w:lineRule="auto"/>
        <w:rPr>
          <w:rFonts w:ascii="David" w:hAnsi="David" w:cs="Guttman Yad-Brush"/>
          <w:sz w:val="16"/>
          <w:szCs w:val="16"/>
          <w:rtl/>
        </w:rPr>
      </w:pPr>
      <w:r>
        <w:rPr>
          <w:rFonts w:ascii="David" w:hAnsi="David" w:cs="Guttman Yad-Brush" w:hint="cs"/>
          <w:sz w:val="18"/>
          <w:szCs w:val="18"/>
          <w:rtl/>
        </w:rPr>
        <w:t>"</w:t>
      </w:r>
      <w:r w:rsidR="004E27D5" w:rsidRPr="006F0FF8">
        <w:rPr>
          <w:rFonts w:ascii="David" w:hAnsi="David" w:cs="Guttman Yad-Brush"/>
          <w:sz w:val="18"/>
          <w:szCs w:val="18"/>
          <w:rtl/>
        </w:rPr>
        <w:t xml:space="preserve">הגה: ודוקא כשאומרים לו לעשות מעשה, כגון שאומרים לאיש לגלות ערוה או שיהרג, אבל אם אונסים לאשה לבא עליה, או שרוצים להשליכו על התינוק להרגו...אין צריך ליהרג. </w:t>
      </w:r>
      <w:r w:rsidR="004E27D5" w:rsidRPr="006F0FF8">
        <w:rPr>
          <w:rFonts w:ascii="David" w:hAnsi="David" w:cs="Guttman Yad-Brush"/>
          <w:sz w:val="16"/>
          <w:szCs w:val="16"/>
          <w:rtl/>
        </w:rPr>
        <w:t>(ב"י בשם תוספות ור"ן פרק כ"ש).</w:t>
      </w:r>
      <w:r w:rsidR="004E27D5">
        <w:rPr>
          <w:rFonts w:ascii="David" w:hAnsi="David" w:cs="Guttman Yad-Brush" w:hint="cs"/>
          <w:sz w:val="18"/>
          <w:szCs w:val="18"/>
          <w:rtl/>
        </w:rPr>
        <w:t xml:space="preserve">... </w:t>
      </w:r>
      <w:r w:rsidR="004E27D5" w:rsidRPr="006F0FF8">
        <w:rPr>
          <w:rFonts w:ascii="David" w:hAnsi="David" w:cs="Guttman Yad-Brush"/>
          <w:sz w:val="18"/>
          <w:szCs w:val="18"/>
          <w:rtl/>
        </w:rPr>
        <w:t>עובד כוכבים הבא על בת ישראל, אינו בכלל גילוי עריות</w:t>
      </w:r>
      <w:r>
        <w:rPr>
          <w:rStyle w:val="a5"/>
          <w:rFonts w:ascii="David" w:hAnsi="David" w:cs="Guttman Yad-Brush"/>
          <w:sz w:val="18"/>
          <w:szCs w:val="18"/>
          <w:rtl/>
        </w:rPr>
        <w:footnoteReference w:id="25"/>
      </w:r>
      <w:r w:rsidR="004E27D5" w:rsidRPr="00E13EA6">
        <w:rPr>
          <w:rFonts w:ascii="David" w:hAnsi="David" w:cs="Guttman Yad-Brush"/>
          <w:sz w:val="16"/>
          <w:szCs w:val="16"/>
          <w:rtl/>
        </w:rPr>
        <w:t xml:space="preserve">. </w:t>
      </w:r>
      <w:r w:rsidR="004E27D5" w:rsidRPr="00E13EA6">
        <w:rPr>
          <w:rFonts w:ascii="David" w:hAnsi="David" w:cs="Guttman Yad-Brush" w:hint="cs"/>
          <w:sz w:val="16"/>
          <w:szCs w:val="16"/>
          <w:rtl/>
        </w:rPr>
        <w:t xml:space="preserve"> </w:t>
      </w:r>
      <w:r w:rsidR="004E27D5" w:rsidRPr="00E13EA6">
        <w:rPr>
          <w:rFonts w:asciiTheme="majorBidi" w:hAnsiTheme="majorBidi" w:cs="Guttman Yad-Brush"/>
          <w:sz w:val="16"/>
          <w:szCs w:val="16"/>
          <w:rtl/>
        </w:rPr>
        <w:t>(ב"י בשם הרמב"ן והפוסקים הנ"ל</w:t>
      </w:r>
      <w:r w:rsidR="004E27D5" w:rsidRPr="00E13EA6">
        <w:rPr>
          <w:rStyle w:val="a5"/>
          <w:rFonts w:asciiTheme="majorBidi" w:hAnsiTheme="majorBidi" w:cs="Guttman Yad-Brush"/>
          <w:sz w:val="16"/>
          <w:szCs w:val="16"/>
          <w:rtl/>
        </w:rPr>
        <w:footnoteReference w:id="26"/>
      </w:r>
      <w:r w:rsidR="004E27D5" w:rsidRPr="00E13EA6">
        <w:rPr>
          <w:rFonts w:asciiTheme="majorBidi" w:hAnsiTheme="majorBidi" w:cs="Guttman Yad-Brush"/>
          <w:sz w:val="16"/>
          <w:szCs w:val="16"/>
          <w:rtl/>
        </w:rPr>
        <w:t>)</w:t>
      </w:r>
      <w:r>
        <w:rPr>
          <w:rFonts w:ascii="David" w:hAnsi="David" w:cs="Guttman Yad-Brush" w:hint="cs"/>
          <w:sz w:val="16"/>
          <w:szCs w:val="16"/>
          <w:rtl/>
        </w:rPr>
        <w:t>.</w:t>
      </w:r>
    </w:p>
    <w:p w14:paraId="1DC19FCD" w14:textId="074121F0" w:rsidR="004E27D5" w:rsidRPr="004E27D5" w:rsidRDefault="001252A5" w:rsidP="004E27D5">
      <w:pPr>
        <w:spacing w:after="0" w:line="360" w:lineRule="auto"/>
        <w:rPr>
          <w:rFonts w:ascii="David" w:hAnsi="David" w:cs="Guttman Yad-Brush"/>
          <w:sz w:val="18"/>
          <w:szCs w:val="18"/>
          <w:rtl/>
        </w:rPr>
      </w:pPr>
      <w:r>
        <w:rPr>
          <w:rFonts w:asciiTheme="majorBidi" w:hAnsiTheme="majorBidi" w:cstheme="majorBidi" w:hint="cs"/>
          <w:b/>
          <w:bCs/>
          <w:sz w:val="24"/>
          <w:szCs w:val="24"/>
          <w:rtl/>
        </w:rPr>
        <w:t>ו.</w:t>
      </w:r>
      <w:r w:rsidR="004E27D5">
        <w:rPr>
          <w:rFonts w:asciiTheme="majorBidi" w:hAnsiTheme="majorBidi" w:cstheme="majorBidi" w:hint="cs"/>
          <w:b/>
          <w:bCs/>
          <w:sz w:val="24"/>
          <w:szCs w:val="24"/>
          <w:rtl/>
        </w:rPr>
        <w:t>הילדות בסוגייתנו</w:t>
      </w:r>
    </w:p>
    <w:p w14:paraId="0C3FDFC8" w14:textId="240FBD38" w:rsidR="006F0FF8" w:rsidRPr="006F0FF8" w:rsidRDefault="004E27D5" w:rsidP="004E27D5">
      <w:pPr>
        <w:spacing w:after="0" w:line="360" w:lineRule="auto"/>
        <w:rPr>
          <w:rFonts w:asciiTheme="majorBidi" w:hAnsiTheme="majorBidi" w:cstheme="majorBidi"/>
          <w:sz w:val="24"/>
          <w:szCs w:val="24"/>
          <w:rtl/>
        </w:rPr>
      </w:pPr>
      <w:r w:rsidRPr="004E27D5">
        <w:rPr>
          <w:rFonts w:asciiTheme="majorBidi" w:hAnsiTheme="majorBidi" w:cstheme="majorBidi"/>
          <w:sz w:val="24"/>
          <w:szCs w:val="24"/>
          <w:rtl/>
        </w:rPr>
        <w:lastRenderedPageBreak/>
        <w:t>שתי הדעות בתוספות צריכות לבאר את סוגייתנו: מדוע מסרו הילדות נפשן, הרי יכלו להיות קרקע עולם, ומדובר בגויים.</w:t>
      </w:r>
      <w:r>
        <w:rPr>
          <w:rFonts w:asciiTheme="majorBidi" w:hAnsiTheme="majorBidi" w:cstheme="majorBidi" w:hint="cs"/>
          <w:sz w:val="24"/>
          <w:szCs w:val="24"/>
          <w:rtl/>
        </w:rPr>
        <w:t xml:space="preserve"> </w:t>
      </w:r>
      <w:r>
        <w:rPr>
          <w:rFonts w:ascii="David" w:hAnsi="David" w:cs="David" w:hint="cs"/>
          <w:sz w:val="24"/>
          <w:szCs w:val="24"/>
          <w:rtl/>
        </w:rPr>
        <w:t>"</w:t>
      </w:r>
      <w:r w:rsidR="006F0FF8" w:rsidRPr="006F0FF8">
        <w:rPr>
          <w:rFonts w:ascii="David" w:hAnsi="David" w:cs="David"/>
          <w:sz w:val="24"/>
          <w:szCs w:val="24"/>
          <w:rtl/>
        </w:rPr>
        <w:t xml:space="preserve">הגאון בעל בית דוד </w:t>
      </w:r>
      <w:r w:rsidR="006F0FF8" w:rsidRPr="006F0FF8">
        <w:rPr>
          <w:rFonts w:ascii="David" w:hAnsi="David" w:cs="David"/>
          <w:sz w:val="18"/>
          <w:szCs w:val="18"/>
          <w:rtl/>
        </w:rPr>
        <w:t>בס' יקרא דשכבי (דכ"ז ע"ב)</w:t>
      </w:r>
      <w:r w:rsidR="006F0FF8" w:rsidRPr="006F0FF8">
        <w:rPr>
          <w:rFonts w:ascii="David" w:hAnsi="David" w:cs="David"/>
          <w:sz w:val="24"/>
          <w:szCs w:val="24"/>
          <w:rtl/>
        </w:rPr>
        <w:t xml:space="preserve"> הקשה, שהרי ילדות קרקע עולם הן, והו"ל שב ואל תעשה, ודינא הוי יעבור ואל יהרג</w:t>
      </w:r>
      <w:r>
        <w:rPr>
          <w:rFonts w:ascii="David" w:hAnsi="David" w:cs="David" w:hint="cs"/>
          <w:sz w:val="24"/>
          <w:szCs w:val="24"/>
          <w:rtl/>
        </w:rPr>
        <w:t>.</w:t>
      </w:r>
      <w:r>
        <w:rPr>
          <w:rFonts w:asciiTheme="majorBidi" w:hAnsiTheme="majorBidi" w:cstheme="majorBidi" w:hint="cs"/>
          <w:sz w:val="24"/>
          <w:szCs w:val="24"/>
          <w:rtl/>
        </w:rPr>
        <w:t xml:space="preserve"> </w:t>
      </w:r>
      <w:r w:rsidR="006F0FF8" w:rsidRPr="006F0FF8">
        <w:rPr>
          <w:rFonts w:ascii="David" w:hAnsi="David" w:cs="David"/>
          <w:sz w:val="24"/>
          <w:szCs w:val="24"/>
          <w:rtl/>
        </w:rPr>
        <w:t xml:space="preserve">וצ"ל שהיו חוששין פן יכופו אותן ע"י יסורין לעשות </w:t>
      </w:r>
      <w:r w:rsidR="006F0FF8" w:rsidRPr="006F0FF8">
        <w:rPr>
          <w:rFonts w:ascii="David" w:hAnsi="David" w:cs="David"/>
          <w:b/>
          <w:bCs/>
          <w:sz w:val="24"/>
          <w:szCs w:val="24"/>
          <w:rtl/>
        </w:rPr>
        <w:t>מעשה בידים</w:t>
      </w:r>
      <w:r w:rsidR="006F0FF8" w:rsidRPr="006F0FF8">
        <w:rPr>
          <w:rFonts w:ascii="David" w:hAnsi="David" w:cs="David"/>
          <w:sz w:val="24"/>
          <w:szCs w:val="24"/>
          <w:rtl/>
        </w:rPr>
        <w:t xml:space="preserve"> להביא עליהן את הערוה, שבזה הדין יהרג ואל יעבור וכו'. </w:t>
      </w:r>
    </w:p>
    <w:p w14:paraId="0978BB20" w14:textId="6654765A" w:rsidR="004E27D5" w:rsidRDefault="006F0FF8" w:rsidP="004E27D5">
      <w:pPr>
        <w:spacing w:after="0" w:line="360" w:lineRule="auto"/>
        <w:rPr>
          <w:rFonts w:asciiTheme="majorBidi" w:hAnsiTheme="majorBidi" w:cstheme="majorBidi"/>
          <w:sz w:val="24"/>
          <w:szCs w:val="24"/>
        </w:rPr>
      </w:pPr>
      <w:r w:rsidRPr="006F0FF8">
        <w:rPr>
          <w:rFonts w:ascii="David" w:hAnsi="David" w:cs="David"/>
          <w:sz w:val="24"/>
          <w:szCs w:val="24"/>
          <w:rtl/>
        </w:rPr>
        <w:t xml:space="preserve">ולמ"ד דנכרי עם בת ישראל לא הוי בכלל גלוי עריות... צ"ל </w:t>
      </w:r>
      <w:r w:rsidRPr="00E13EA6">
        <w:rPr>
          <w:rFonts w:ascii="David" w:hAnsi="David" w:cs="David"/>
          <w:b/>
          <w:bCs/>
          <w:sz w:val="24"/>
          <w:szCs w:val="24"/>
          <w:rtl/>
        </w:rPr>
        <w:t>דשעת שמד</w:t>
      </w:r>
      <w:r w:rsidRPr="006F0FF8">
        <w:rPr>
          <w:rFonts w:ascii="David" w:hAnsi="David" w:cs="David"/>
          <w:sz w:val="24"/>
          <w:szCs w:val="24"/>
          <w:rtl/>
        </w:rPr>
        <w:t xml:space="preserve"> שאני</w:t>
      </w:r>
      <w:r w:rsidR="004E27D5">
        <w:rPr>
          <w:rStyle w:val="a5"/>
          <w:rFonts w:ascii="David" w:hAnsi="David" w:cs="David"/>
          <w:sz w:val="24"/>
          <w:szCs w:val="24"/>
          <w:rtl/>
        </w:rPr>
        <w:footnoteReference w:id="27"/>
      </w:r>
      <w:r w:rsidR="004E27D5">
        <w:rPr>
          <w:rFonts w:ascii="David" w:hAnsi="David" w:cs="David" w:hint="cs"/>
          <w:sz w:val="24"/>
          <w:szCs w:val="24"/>
          <w:rtl/>
        </w:rPr>
        <w:t>".</w:t>
      </w:r>
      <w:r w:rsidR="00E13EA6">
        <w:rPr>
          <w:rFonts w:asciiTheme="majorBidi" w:hAnsiTheme="majorBidi" w:cstheme="majorBidi" w:hint="cs"/>
          <w:sz w:val="24"/>
          <w:szCs w:val="24"/>
          <w:rtl/>
        </w:rPr>
        <w:t xml:space="preserve"> </w:t>
      </w:r>
    </w:p>
    <w:p w14:paraId="5EB86D1A" w14:textId="23339A5E" w:rsidR="002D4CB7" w:rsidRPr="001252A5" w:rsidRDefault="001252A5" w:rsidP="007A3107">
      <w:pPr>
        <w:spacing w:after="0" w:line="360" w:lineRule="auto"/>
        <w:rPr>
          <w:rFonts w:asciiTheme="majorBidi" w:hAnsiTheme="majorBidi" w:cstheme="majorBidi"/>
          <w:sz w:val="24"/>
          <w:szCs w:val="24"/>
          <w:rtl/>
        </w:rPr>
      </w:pPr>
      <w:r>
        <w:rPr>
          <w:rFonts w:asciiTheme="majorBidi" w:hAnsiTheme="majorBidi" w:cstheme="majorBidi" w:hint="cs"/>
          <w:sz w:val="24"/>
          <w:szCs w:val="24"/>
          <w:rtl/>
        </w:rPr>
        <w:t>ניתן גם להציע שאין כאן היתר 'להנאת עצמן'</w:t>
      </w:r>
      <w:r w:rsidR="00BD6640">
        <w:rPr>
          <w:rFonts w:asciiTheme="majorBidi" w:hAnsiTheme="majorBidi" w:cstheme="majorBidi" w:hint="cs"/>
          <w:sz w:val="24"/>
          <w:szCs w:val="24"/>
          <w:rtl/>
        </w:rPr>
        <w:t>,</w:t>
      </w:r>
      <w:r>
        <w:rPr>
          <w:rFonts w:asciiTheme="majorBidi" w:hAnsiTheme="majorBidi" w:cstheme="majorBidi" w:hint="cs"/>
          <w:sz w:val="24"/>
          <w:szCs w:val="24"/>
          <w:rtl/>
        </w:rPr>
        <w:t xml:space="preserve"> שכן ה</w:t>
      </w:r>
      <w:r w:rsidR="009330C3">
        <w:rPr>
          <w:rFonts w:asciiTheme="majorBidi" w:hAnsiTheme="majorBidi" w:cstheme="majorBidi" w:hint="cs"/>
          <w:sz w:val="24"/>
          <w:szCs w:val="24"/>
          <w:rtl/>
        </w:rPr>
        <w:t>מ</w:t>
      </w:r>
      <w:r>
        <w:rPr>
          <w:rFonts w:asciiTheme="majorBidi" w:hAnsiTheme="majorBidi" w:cstheme="majorBidi" w:hint="cs"/>
          <w:sz w:val="24"/>
          <w:szCs w:val="24"/>
          <w:rtl/>
        </w:rPr>
        <w:t xml:space="preserve">טרה הייתה להכשיל דווקא בקלון, </w:t>
      </w:r>
      <w:r w:rsidR="00BD6640">
        <w:rPr>
          <w:rFonts w:asciiTheme="majorBidi" w:hAnsiTheme="majorBidi" w:cstheme="majorBidi" w:hint="cs"/>
          <w:sz w:val="24"/>
          <w:szCs w:val="24"/>
          <w:rtl/>
        </w:rPr>
        <w:t xml:space="preserve">אולי </w:t>
      </w:r>
      <w:r>
        <w:rPr>
          <w:rFonts w:asciiTheme="majorBidi" w:hAnsiTheme="majorBidi" w:cstheme="majorBidi" w:hint="cs"/>
          <w:sz w:val="24"/>
          <w:szCs w:val="24"/>
          <w:rtl/>
        </w:rPr>
        <w:t>כדברי ה</w:t>
      </w:r>
      <w:r w:rsidR="002D4CB7" w:rsidRPr="002D4CB7">
        <w:rPr>
          <w:rFonts w:asciiTheme="majorBidi" w:hAnsiTheme="majorBidi" w:cstheme="majorBidi"/>
          <w:sz w:val="24"/>
          <w:szCs w:val="24"/>
          <w:rtl/>
        </w:rPr>
        <w:t xml:space="preserve">מהרש"א </w:t>
      </w:r>
      <w:r>
        <w:rPr>
          <w:rFonts w:asciiTheme="majorBidi" w:hAnsiTheme="majorBidi" w:cstheme="majorBidi" w:hint="cs"/>
          <w:sz w:val="24"/>
          <w:szCs w:val="24"/>
          <w:rtl/>
        </w:rPr>
        <w:t>כאן: "</w:t>
      </w:r>
      <w:r w:rsidR="007A3107" w:rsidRPr="007A3107">
        <w:rPr>
          <w:rFonts w:ascii="David" w:hAnsi="David" w:cs="David"/>
          <w:sz w:val="24"/>
          <w:szCs w:val="24"/>
          <w:rtl/>
        </w:rPr>
        <w:t>קלון נאמר בדבר שאין דרכו בכך</w:t>
      </w:r>
      <w:r w:rsidR="007A3107">
        <w:rPr>
          <w:rFonts w:ascii="David" w:hAnsi="David" w:cs="David" w:hint="cs"/>
          <w:sz w:val="24"/>
          <w:szCs w:val="24"/>
          <w:rtl/>
        </w:rPr>
        <w:t>..</w:t>
      </w:r>
      <w:r w:rsidR="007A3107" w:rsidRPr="007A3107">
        <w:rPr>
          <w:rFonts w:ascii="David" w:hAnsi="David" w:cs="David"/>
          <w:sz w:val="24"/>
          <w:szCs w:val="24"/>
          <w:rtl/>
        </w:rPr>
        <w:t xml:space="preserve"> </w:t>
      </w:r>
      <w:r w:rsidR="002D4CB7" w:rsidRPr="007A3107">
        <w:rPr>
          <w:rFonts w:ascii="David" w:hAnsi="David" w:cs="David"/>
          <w:sz w:val="24"/>
          <w:szCs w:val="24"/>
          <w:rtl/>
        </w:rPr>
        <w:t xml:space="preserve">היינו שנשבו </w:t>
      </w:r>
      <w:r w:rsidR="002D4CB7" w:rsidRPr="007A3107">
        <w:rPr>
          <w:rFonts w:ascii="David" w:hAnsi="David" w:cs="David"/>
          <w:b/>
          <w:bCs/>
          <w:sz w:val="24"/>
          <w:szCs w:val="24"/>
          <w:rtl/>
        </w:rPr>
        <w:t>לקלון</w:t>
      </w:r>
      <w:r w:rsidR="00BD6640" w:rsidRPr="007A3107">
        <w:rPr>
          <w:rFonts w:ascii="David" w:hAnsi="David" w:cs="David"/>
          <w:b/>
          <w:bCs/>
          <w:sz w:val="24"/>
          <w:szCs w:val="24"/>
          <w:rtl/>
        </w:rPr>
        <w:t>,</w:t>
      </w:r>
      <w:r w:rsidR="002D4CB7" w:rsidRPr="007A3107">
        <w:rPr>
          <w:rFonts w:ascii="David" w:hAnsi="David" w:cs="David"/>
          <w:b/>
          <w:bCs/>
          <w:sz w:val="24"/>
          <w:szCs w:val="24"/>
          <w:rtl/>
        </w:rPr>
        <w:t xml:space="preserve"> </w:t>
      </w:r>
      <w:r w:rsidR="002D4CB7" w:rsidRPr="007A3107">
        <w:rPr>
          <w:rFonts w:ascii="David" w:hAnsi="David" w:cs="David"/>
          <w:sz w:val="24"/>
          <w:szCs w:val="24"/>
          <w:rtl/>
        </w:rPr>
        <w:t>ילדים למשכב זכור וילדות לפלגשים כפרש"י</w:t>
      </w:r>
      <w:r w:rsidRPr="007A3107">
        <w:rPr>
          <w:rFonts w:ascii="David" w:hAnsi="David" w:cs="David"/>
          <w:sz w:val="24"/>
          <w:szCs w:val="24"/>
          <w:rtl/>
        </w:rPr>
        <w:t>,</w:t>
      </w:r>
      <w:r w:rsidR="002D4CB7" w:rsidRPr="002D4CB7">
        <w:rPr>
          <w:rFonts w:ascii="David" w:hAnsi="David" w:cs="David"/>
          <w:sz w:val="24"/>
          <w:szCs w:val="24"/>
          <w:rtl/>
        </w:rPr>
        <w:t xml:space="preserve"> והיינו שהרגישו</w:t>
      </w:r>
      <w:r w:rsidR="00BD6640">
        <w:rPr>
          <w:rFonts w:ascii="David" w:hAnsi="David" w:cs="David" w:hint="cs"/>
          <w:sz w:val="24"/>
          <w:szCs w:val="24"/>
          <w:rtl/>
        </w:rPr>
        <w:t>..</w:t>
      </w:r>
      <w:r w:rsidR="002D4CB7" w:rsidRPr="002D4CB7">
        <w:rPr>
          <w:rFonts w:ascii="David" w:hAnsi="David" w:cs="David"/>
          <w:sz w:val="24"/>
          <w:szCs w:val="24"/>
          <w:rtl/>
        </w:rPr>
        <w:t xml:space="preserve"> דלכך מתבקשים</w:t>
      </w:r>
      <w:r w:rsidR="007A3107">
        <w:rPr>
          <w:rStyle w:val="a5"/>
          <w:rFonts w:ascii="David" w:hAnsi="David" w:cs="David"/>
          <w:sz w:val="24"/>
          <w:szCs w:val="24"/>
          <w:rtl/>
        </w:rPr>
        <w:footnoteReference w:id="28"/>
      </w:r>
      <w:r>
        <w:rPr>
          <w:rFonts w:ascii="David" w:hAnsi="David" w:cs="David" w:hint="cs"/>
          <w:sz w:val="24"/>
          <w:szCs w:val="24"/>
          <w:rtl/>
        </w:rPr>
        <w:t>".</w:t>
      </w:r>
    </w:p>
    <w:p w14:paraId="679E7C3A" w14:textId="5B0C4861" w:rsidR="002D4CB7" w:rsidRDefault="00AF5C12" w:rsidP="0038302B">
      <w:pPr>
        <w:spacing w:after="0" w:line="360" w:lineRule="auto"/>
        <w:rPr>
          <w:rFonts w:ascii="David" w:hAnsi="David" w:cs="David"/>
          <w:sz w:val="24"/>
          <w:szCs w:val="24"/>
          <w:rtl/>
        </w:rPr>
      </w:pPr>
      <w:r>
        <w:rPr>
          <w:rFonts w:asciiTheme="majorBidi" w:hAnsiTheme="majorBidi" w:cstheme="majorBidi" w:hint="cs"/>
          <w:sz w:val="24"/>
          <w:szCs w:val="24"/>
          <w:rtl/>
        </w:rPr>
        <w:t xml:space="preserve"> </w:t>
      </w:r>
    </w:p>
    <w:p w14:paraId="0750C22F" w14:textId="403639C0" w:rsidR="002D4CB7" w:rsidRDefault="002D4CB7" w:rsidP="002D4CB7">
      <w:pPr>
        <w:spacing w:after="0" w:line="360" w:lineRule="auto"/>
        <w:ind w:left="720"/>
        <w:rPr>
          <w:rFonts w:asciiTheme="majorBidi" w:hAnsiTheme="majorBidi" w:cstheme="majorBidi"/>
          <w:sz w:val="24"/>
          <w:szCs w:val="24"/>
          <w:rtl/>
        </w:rPr>
      </w:pPr>
    </w:p>
    <w:p w14:paraId="2FCF113B" w14:textId="4B8EF2D1" w:rsidR="006F0FF8" w:rsidRPr="006F0FF8" w:rsidRDefault="009330C3" w:rsidP="006F0FF8">
      <w:pPr>
        <w:spacing w:after="0" w:line="360" w:lineRule="auto"/>
        <w:ind w:left="720"/>
        <w:rPr>
          <w:rFonts w:ascii="David" w:hAnsi="David" w:cs="David"/>
          <w:sz w:val="24"/>
          <w:szCs w:val="24"/>
          <w:rtl/>
        </w:rPr>
      </w:pPr>
      <w:r>
        <w:rPr>
          <w:rFonts w:asciiTheme="majorBidi" w:hAnsiTheme="majorBidi" w:cstheme="majorBidi" w:hint="cs"/>
          <w:sz w:val="24"/>
          <w:szCs w:val="24"/>
          <w:rtl/>
        </w:rPr>
        <w:t xml:space="preserve"> </w:t>
      </w:r>
      <w:r w:rsidR="006F0FF8" w:rsidRPr="006F0FF8">
        <w:rPr>
          <w:rFonts w:ascii="David" w:hAnsi="David" w:cs="David"/>
          <w:sz w:val="24"/>
          <w:szCs w:val="24"/>
          <w:rtl/>
        </w:rPr>
        <w:t xml:space="preserve">.  </w:t>
      </w:r>
    </w:p>
    <w:p w14:paraId="24A523A5" w14:textId="1A484086" w:rsidR="002D4CB7" w:rsidRPr="002D4CB7" w:rsidRDefault="0038302B" w:rsidP="002D4CB7">
      <w:pPr>
        <w:spacing w:after="0" w:line="360" w:lineRule="auto"/>
        <w:ind w:left="720"/>
        <w:rPr>
          <w:rFonts w:asciiTheme="majorBidi" w:hAnsiTheme="majorBidi" w:cstheme="majorBidi"/>
          <w:sz w:val="24"/>
          <w:szCs w:val="24"/>
          <w:rtl/>
        </w:rPr>
      </w:pPr>
      <w:r>
        <w:rPr>
          <w:rFonts w:asciiTheme="majorBidi" w:hAnsiTheme="majorBidi" w:cstheme="majorBidi" w:hint="cs"/>
          <w:sz w:val="24"/>
          <w:szCs w:val="24"/>
          <w:rtl/>
        </w:rPr>
        <w:t xml:space="preserve"> </w:t>
      </w:r>
    </w:p>
    <w:sectPr w:rsidR="002D4CB7" w:rsidRPr="002D4CB7"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AC278" w14:textId="77777777" w:rsidR="00855E2D" w:rsidRDefault="00855E2D" w:rsidP="00752EFF">
      <w:pPr>
        <w:spacing w:after="0" w:line="240" w:lineRule="auto"/>
      </w:pPr>
      <w:r>
        <w:separator/>
      </w:r>
    </w:p>
  </w:endnote>
  <w:endnote w:type="continuationSeparator" w:id="0">
    <w:p w14:paraId="203B2B53" w14:textId="77777777" w:rsidR="00855E2D" w:rsidRDefault="00855E2D" w:rsidP="0075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42ECF" w14:textId="77777777" w:rsidR="00855E2D" w:rsidRDefault="00855E2D" w:rsidP="00752EFF">
      <w:pPr>
        <w:spacing w:after="0" w:line="240" w:lineRule="auto"/>
      </w:pPr>
      <w:r>
        <w:separator/>
      </w:r>
    </w:p>
  </w:footnote>
  <w:footnote w:type="continuationSeparator" w:id="0">
    <w:p w14:paraId="0DD766D0" w14:textId="77777777" w:rsidR="00855E2D" w:rsidRDefault="00855E2D" w:rsidP="00752EFF">
      <w:pPr>
        <w:spacing w:after="0" w:line="240" w:lineRule="auto"/>
      </w:pPr>
      <w:r>
        <w:continuationSeparator/>
      </w:r>
    </w:p>
  </w:footnote>
  <w:footnote w:id="1">
    <w:p w14:paraId="0486EA18" w14:textId="3865148E" w:rsidR="00752EFF" w:rsidRPr="0084069D" w:rsidRDefault="00752EFF" w:rsidP="0084069D">
      <w:pPr>
        <w:spacing w:after="0" w:line="360" w:lineRule="auto"/>
        <w:rPr>
          <w:rFonts w:ascii="David" w:hAnsi="David" w:cs="David"/>
          <w:sz w:val="20"/>
          <w:szCs w:val="20"/>
        </w:rPr>
      </w:pPr>
      <w:r w:rsidRPr="0084069D">
        <w:rPr>
          <w:rStyle w:val="a5"/>
          <w:sz w:val="20"/>
          <w:szCs w:val="20"/>
        </w:rPr>
        <w:footnoteRef/>
      </w:r>
      <w:r w:rsidRPr="0084069D">
        <w:rPr>
          <w:sz w:val="20"/>
          <w:szCs w:val="20"/>
          <w:rtl/>
        </w:rPr>
        <w:t xml:space="preserve"> </w:t>
      </w:r>
      <w:r w:rsidRPr="0084069D">
        <w:rPr>
          <w:rFonts w:asciiTheme="majorBidi" w:hAnsiTheme="majorBidi" w:cstheme="majorBidi" w:hint="cs"/>
          <w:sz w:val="20"/>
          <w:szCs w:val="20"/>
          <w:rtl/>
        </w:rPr>
        <w:t xml:space="preserve">רא"ש מסכת </w:t>
      </w:r>
      <w:r w:rsidRPr="006F0FF8">
        <w:rPr>
          <w:rFonts w:asciiTheme="majorBidi" w:hAnsiTheme="majorBidi" w:cstheme="majorBidi"/>
          <w:sz w:val="20"/>
          <w:szCs w:val="20"/>
          <w:rtl/>
        </w:rPr>
        <w:t>מועד קטן פרק ג סימן צד</w:t>
      </w:r>
      <w:r w:rsidRPr="0084069D">
        <w:rPr>
          <w:rFonts w:ascii="David" w:hAnsi="David" w:cs="David" w:hint="cs"/>
          <w:sz w:val="20"/>
          <w:szCs w:val="20"/>
          <w:rtl/>
        </w:rPr>
        <w:t>.</w:t>
      </w:r>
    </w:p>
  </w:footnote>
  <w:footnote w:id="2">
    <w:p w14:paraId="02B335BE" w14:textId="18D25E62" w:rsidR="00752EFF" w:rsidRPr="0084069D" w:rsidRDefault="00752EFF" w:rsidP="0084069D">
      <w:pPr>
        <w:spacing w:after="0" w:line="360" w:lineRule="auto"/>
        <w:rPr>
          <w:rFonts w:ascii="David" w:hAnsi="David" w:cs="David"/>
          <w:sz w:val="20"/>
          <w:szCs w:val="20"/>
        </w:rPr>
      </w:pPr>
      <w:r w:rsidRPr="0084069D">
        <w:rPr>
          <w:rStyle w:val="a5"/>
          <w:sz w:val="20"/>
          <w:szCs w:val="20"/>
        </w:rPr>
        <w:footnoteRef/>
      </w:r>
      <w:r w:rsidRPr="0084069D">
        <w:rPr>
          <w:sz w:val="20"/>
          <w:szCs w:val="20"/>
          <w:rtl/>
        </w:rPr>
        <w:t xml:space="preserve"> </w:t>
      </w:r>
      <w:r w:rsidR="006F0FF8" w:rsidRPr="006F0FF8">
        <w:rPr>
          <w:rFonts w:asciiTheme="majorBidi" w:hAnsiTheme="majorBidi" w:cstheme="majorBidi"/>
          <w:sz w:val="20"/>
          <w:szCs w:val="20"/>
          <w:rtl/>
        </w:rPr>
        <w:t>שו"ת משפט כהן (עניני א"י) סימן קמד ד"ה ולשיטת הרמב"ם</w:t>
      </w:r>
      <w:r w:rsidR="006F0FF8" w:rsidRPr="006F0FF8">
        <w:rPr>
          <w:rFonts w:ascii="David" w:hAnsi="David" w:cs="David"/>
          <w:sz w:val="20"/>
          <w:szCs w:val="20"/>
          <w:rtl/>
        </w:rPr>
        <w:t xml:space="preserve"> </w:t>
      </w:r>
      <w:r w:rsidRPr="0084069D">
        <w:rPr>
          <w:rFonts w:ascii="David" w:hAnsi="David" w:cs="David" w:hint="cs"/>
          <w:sz w:val="20"/>
          <w:szCs w:val="20"/>
          <w:rtl/>
        </w:rPr>
        <w:t>.</w:t>
      </w:r>
    </w:p>
  </w:footnote>
  <w:footnote w:id="3">
    <w:p w14:paraId="39FDFCBF" w14:textId="77777777" w:rsidR="0084069D" w:rsidRPr="0084069D" w:rsidRDefault="0084069D" w:rsidP="0084069D">
      <w:pPr>
        <w:pStyle w:val="a3"/>
        <w:spacing w:line="360" w:lineRule="auto"/>
        <w:rPr>
          <w:rFonts w:asciiTheme="majorBidi" w:hAnsiTheme="majorBidi" w:cstheme="majorBidi"/>
          <w:rtl/>
        </w:rPr>
      </w:pPr>
      <w:r w:rsidRPr="0084069D">
        <w:rPr>
          <w:rStyle w:val="a5"/>
          <w:rFonts w:asciiTheme="majorBidi" w:hAnsiTheme="majorBidi" w:cstheme="majorBidi"/>
        </w:rPr>
        <w:footnoteRef/>
      </w:r>
      <w:r w:rsidRPr="0084069D">
        <w:rPr>
          <w:rFonts w:asciiTheme="majorBidi" w:hAnsiTheme="majorBidi" w:cstheme="majorBidi"/>
          <w:rtl/>
        </w:rPr>
        <w:t xml:space="preserve"> גרש ירחים כאן. </w:t>
      </w:r>
    </w:p>
  </w:footnote>
  <w:footnote w:id="4">
    <w:p w14:paraId="35B3C49B" w14:textId="3DD00D12" w:rsidR="00752EFF" w:rsidRPr="00EC5F9B" w:rsidRDefault="00752EFF" w:rsidP="00EC5F9B">
      <w:pPr>
        <w:spacing w:after="0" w:line="360" w:lineRule="auto"/>
        <w:rPr>
          <w:rFonts w:asciiTheme="majorBidi" w:hAnsiTheme="majorBidi" w:cstheme="majorBidi"/>
          <w:sz w:val="20"/>
          <w:szCs w:val="20"/>
        </w:rPr>
      </w:pPr>
      <w:r w:rsidRPr="00EC5F9B">
        <w:rPr>
          <w:rStyle w:val="a5"/>
          <w:sz w:val="20"/>
          <w:szCs w:val="20"/>
        </w:rPr>
        <w:footnoteRef/>
      </w:r>
      <w:r w:rsidRPr="00EC5F9B">
        <w:rPr>
          <w:sz w:val="20"/>
          <w:szCs w:val="20"/>
          <w:rtl/>
        </w:rPr>
        <w:t xml:space="preserve"> </w:t>
      </w:r>
      <w:r w:rsidRPr="00EC5F9B">
        <w:rPr>
          <w:rFonts w:asciiTheme="majorBidi" w:hAnsiTheme="majorBidi" w:cstheme="majorBidi"/>
          <w:sz w:val="20"/>
          <w:szCs w:val="20"/>
          <w:rtl/>
        </w:rPr>
        <w:t xml:space="preserve">תפארת יעקב </w:t>
      </w:r>
      <w:r w:rsidRPr="00EC5F9B">
        <w:rPr>
          <w:rFonts w:asciiTheme="majorBidi" w:hAnsiTheme="majorBidi" w:cstheme="majorBidi" w:hint="cs"/>
          <w:sz w:val="20"/>
          <w:szCs w:val="20"/>
          <w:rtl/>
        </w:rPr>
        <w:t xml:space="preserve"> כאן.</w:t>
      </w:r>
    </w:p>
  </w:footnote>
  <w:footnote w:id="5">
    <w:p w14:paraId="7FE890A6" w14:textId="7192345E" w:rsidR="0084069D" w:rsidRPr="00EC5F9B" w:rsidRDefault="0084069D" w:rsidP="00EC5F9B">
      <w:pPr>
        <w:spacing w:after="0" w:line="360" w:lineRule="auto"/>
        <w:rPr>
          <w:rFonts w:asciiTheme="majorBidi" w:hAnsiTheme="majorBidi" w:cstheme="majorBidi"/>
          <w:sz w:val="20"/>
          <w:szCs w:val="20"/>
          <w:rtl/>
        </w:rPr>
      </w:pPr>
      <w:r w:rsidRPr="00EC5F9B">
        <w:rPr>
          <w:rStyle w:val="a5"/>
          <w:sz w:val="20"/>
          <w:szCs w:val="20"/>
        </w:rPr>
        <w:footnoteRef/>
      </w:r>
      <w:r w:rsidRPr="00EC5F9B">
        <w:rPr>
          <w:sz w:val="20"/>
          <w:szCs w:val="20"/>
          <w:rtl/>
        </w:rPr>
        <w:t xml:space="preserve"> </w:t>
      </w:r>
      <w:r w:rsidR="006F0FF8" w:rsidRPr="006F0FF8">
        <w:rPr>
          <w:rFonts w:asciiTheme="majorBidi" w:hAnsiTheme="majorBidi" w:cstheme="majorBidi"/>
          <w:sz w:val="20"/>
          <w:szCs w:val="20"/>
          <w:rtl/>
        </w:rPr>
        <w:t xml:space="preserve">אליהו רבה  פרשה יט ד"ה מעשה בברתא אחת. </w:t>
      </w:r>
    </w:p>
  </w:footnote>
  <w:footnote w:id="6">
    <w:p w14:paraId="34803B54" w14:textId="10EFE945" w:rsidR="0084069D" w:rsidRPr="00EC5F9B" w:rsidRDefault="0084069D" w:rsidP="00EC5F9B">
      <w:pPr>
        <w:spacing w:after="0" w:line="360" w:lineRule="auto"/>
        <w:rPr>
          <w:rFonts w:asciiTheme="majorBidi" w:hAnsiTheme="majorBidi" w:cstheme="majorBidi"/>
          <w:sz w:val="20"/>
          <w:szCs w:val="20"/>
        </w:rPr>
      </w:pPr>
      <w:r w:rsidRPr="00EC5F9B">
        <w:rPr>
          <w:rStyle w:val="a5"/>
          <w:sz w:val="20"/>
          <w:szCs w:val="20"/>
        </w:rPr>
        <w:footnoteRef/>
      </w:r>
      <w:r w:rsidRPr="00EC5F9B">
        <w:rPr>
          <w:sz w:val="20"/>
          <w:szCs w:val="20"/>
          <w:rtl/>
        </w:rPr>
        <w:t xml:space="preserve"> </w:t>
      </w:r>
      <w:r w:rsidRPr="00EC5F9B">
        <w:rPr>
          <w:rFonts w:asciiTheme="majorBidi" w:hAnsiTheme="majorBidi" w:cstheme="majorBidi"/>
          <w:sz w:val="20"/>
          <w:szCs w:val="20"/>
          <w:rtl/>
        </w:rPr>
        <w:t>מסכת עבודה זרה דף יח עמוד א</w:t>
      </w:r>
      <w:r w:rsidRPr="00EC5F9B">
        <w:rPr>
          <w:rFonts w:asciiTheme="majorBidi" w:hAnsiTheme="majorBidi" w:cstheme="majorBidi" w:hint="cs"/>
          <w:sz w:val="20"/>
          <w:szCs w:val="20"/>
          <w:rtl/>
        </w:rPr>
        <w:t>.</w:t>
      </w:r>
    </w:p>
  </w:footnote>
  <w:footnote w:id="7">
    <w:p w14:paraId="3266A494" w14:textId="693E281D" w:rsidR="00EC5F9B" w:rsidRPr="00D3490C" w:rsidRDefault="00EC5F9B" w:rsidP="00D3490C">
      <w:pPr>
        <w:spacing w:after="0" w:line="360" w:lineRule="auto"/>
        <w:rPr>
          <w:rFonts w:asciiTheme="majorBidi" w:hAnsiTheme="majorBidi" w:cstheme="majorBidi"/>
          <w:sz w:val="20"/>
          <w:szCs w:val="20"/>
          <w:rtl/>
        </w:rPr>
      </w:pPr>
      <w:r w:rsidRPr="00EC5F9B">
        <w:rPr>
          <w:rStyle w:val="a5"/>
          <w:sz w:val="20"/>
          <w:szCs w:val="20"/>
        </w:rPr>
        <w:footnoteRef/>
      </w:r>
      <w:r w:rsidRPr="00EC5F9B">
        <w:rPr>
          <w:sz w:val="20"/>
          <w:szCs w:val="20"/>
          <w:rtl/>
        </w:rPr>
        <w:t xml:space="preserve"> </w:t>
      </w:r>
      <w:r w:rsidRPr="006F0FF8">
        <w:rPr>
          <w:rFonts w:asciiTheme="majorBidi" w:hAnsiTheme="majorBidi" w:cstheme="majorBidi"/>
          <w:sz w:val="20"/>
          <w:szCs w:val="20"/>
          <w:rtl/>
        </w:rPr>
        <w:t>תוספות מסכת בבא בתרא   קמט עמוד א</w:t>
      </w:r>
      <w:r w:rsidRPr="00EC5F9B">
        <w:rPr>
          <w:rFonts w:asciiTheme="majorBidi" w:hAnsiTheme="majorBidi" w:cstheme="majorBidi" w:hint="cs"/>
          <w:sz w:val="20"/>
          <w:szCs w:val="20"/>
          <w:rtl/>
        </w:rPr>
        <w:t xml:space="preserve"> ד"ה רב מרי.</w:t>
      </w:r>
      <w:r w:rsidRPr="006F0FF8">
        <w:rPr>
          <w:rFonts w:asciiTheme="majorBidi" w:hAnsiTheme="majorBidi" w:cstheme="majorBidi"/>
          <w:sz w:val="20"/>
          <w:szCs w:val="20"/>
          <w:rtl/>
        </w:rPr>
        <w:t xml:space="preserve"> אמנם, בעלי התוספות </w:t>
      </w:r>
      <w:r w:rsidRPr="00EC5F9B">
        <w:rPr>
          <w:rFonts w:asciiTheme="majorBidi" w:hAnsiTheme="majorBidi" w:cstheme="majorBidi" w:hint="cs"/>
          <w:sz w:val="20"/>
          <w:szCs w:val="20"/>
          <w:rtl/>
        </w:rPr>
        <w:t>עצמם מציעים שאין מדובר בביתו של שמואל האמורא, ש</w:t>
      </w:r>
      <w:r>
        <w:rPr>
          <w:rFonts w:asciiTheme="majorBidi" w:hAnsiTheme="majorBidi" w:cstheme="majorBidi" w:hint="cs"/>
          <w:sz w:val="20"/>
          <w:szCs w:val="20"/>
          <w:rtl/>
        </w:rPr>
        <w:t xml:space="preserve">היא </w:t>
      </w:r>
      <w:r w:rsidRPr="00EC5F9B">
        <w:rPr>
          <w:rFonts w:asciiTheme="majorBidi" w:hAnsiTheme="majorBidi" w:cstheme="majorBidi" w:hint="cs"/>
          <w:sz w:val="20"/>
          <w:szCs w:val="20"/>
          <w:rtl/>
        </w:rPr>
        <w:t>נשארה טהורה.</w:t>
      </w:r>
      <w:r w:rsidRPr="006F0FF8">
        <w:rPr>
          <w:rFonts w:asciiTheme="majorBidi" w:hAnsiTheme="majorBidi" w:cstheme="majorBidi"/>
          <w:sz w:val="20"/>
          <w:szCs w:val="20"/>
          <w:rtl/>
        </w:rPr>
        <w:t xml:space="preserve">  </w:t>
      </w:r>
    </w:p>
  </w:footnote>
  <w:footnote w:id="8">
    <w:p w14:paraId="2D07D4E4" w14:textId="0D762AA1" w:rsidR="004836C5" w:rsidRPr="00D3490C" w:rsidRDefault="004836C5">
      <w:pPr>
        <w:pStyle w:val="a3"/>
        <w:rPr>
          <w:rtl/>
        </w:rPr>
      </w:pPr>
      <w:r w:rsidRPr="00D3490C">
        <w:rPr>
          <w:rStyle w:val="a5"/>
        </w:rPr>
        <w:footnoteRef/>
      </w:r>
      <w:r w:rsidRPr="00D3490C">
        <w:rPr>
          <w:rtl/>
        </w:rPr>
        <w:t xml:space="preserve"> </w:t>
      </w:r>
      <w:r w:rsidRPr="00D3490C">
        <w:rPr>
          <w:rFonts w:asciiTheme="majorBidi" w:hAnsiTheme="majorBidi" w:cs="Times New Roman"/>
          <w:rtl/>
        </w:rPr>
        <w:t>מסכת כתובות דף ג עמוד ב</w:t>
      </w:r>
      <w:r w:rsidRPr="00D3490C">
        <w:rPr>
          <w:rFonts w:hint="cs"/>
          <w:rtl/>
        </w:rPr>
        <w:t>.</w:t>
      </w:r>
    </w:p>
  </w:footnote>
  <w:footnote w:id="9">
    <w:p w14:paraId="27113C48" w14:textId="2CAD825F" w:rsidR="004836C5" w:rsidRPr="00D3490C" w:rsidRDefault="004836C5" w:rsidP="00D3490C">
      <w:pPr>
        <w:spacing w:after="0" w:line="360" w:lineRule="auto"/>
        <w:rPr>
          <w:rFonts w:asciiTheme="majorBidi" w:hAnsiTheme="majorBidi" w:cstheme="majorBidi"/>
          <w:sz w:val="20"/>
          <w:szCs w:val="20"/>
        </w:rPr>
      </w:pPr>
      <w:r w:rsidRPr="00D3490C">
        <w:rPr>
          <w:rStyle w:val="a5"/>
          <w:sz w:val="20"/>
          <w:szCs w:val="20"/>
        </w:rPr>
        <w:footnoteRef/>
      </w:r>
      <w:r w:rsidRPr="00D3490C">
        <w:rPr>
          <w:sz w:val="20"/>
          <w:szCs w:val="20"/>
          <w:rtl/>
        </w:rPr>
        <w:t xml:space="preserve"> </w:t>
      </w:r>
      <w:r w:rsidRPr="00D3490C">
        <w:rPr>
          <w:rFonts w:asciiTheme="majorBidi" w:hAnsiTheme="majorBidi" w:cs="Times New Roman"/>
          <w:sz w:val="20"/>
          <w:szCs w:val="20"/>
          <w:rtl/>
        </w:rPr>
        <w:t>תוספות מסכת כתובות דף ג עמוד ב</w:t>
      </w:r>
      <w:r w:rsidRPr="00D3490C">
        <w:rPr>
          <w:rFonts w:asciiTheme="majorBidi" w:hAnsiTheme="majorBidi" w:cstheme="majorBidi" w:hint="cs"/>
          <w:sz w:val="20"/>
          <w:szCs w:val="20"/>
          <w:rtl/>
        </w:rPr>
        <w:t xml:space="preserve"> ד"ה ולדרוש.</w:t>
      </w:r>
    </w:p>
  </w:footnote>
  <w:footnote w:id="10">
    <w:p w14:paraId="2475C947" w14:textId="6C4BA2B2" w:rsidR="004836C5" w:rsidRPr="00D3490C" w:rsidRDefault="004836C5" w:rsidP="00D3490C">
      <w:pPr>
        <w:spacing w:after="0" w:line="360" w:lineRule="auto"/>
        <w:rPr>
          <w:rFonts w:asciiTheme="majorBidi" w:hAnsiTheme="majorBidi" w:cstheme="majorBidi"/>
          <w:sz w:val="20"/>
          <w:szCs w:val="20"/>
        </w:rPr>
      </w:pPr>
      <w:r w:rsidRPr="00D3490C">
        <w:rPr>
          <w:rStyle w:val="a5"/>
          <w:sz w:val="20"/>
          <w:szCs w:val="20"/>
        </w:rPr>
        <w:footnoteRef/>
      </w:r>
      <w:r w:rsidRPr="00D3490C">
        <w:rPr>
          <w:sz w:val="20"/>
          <w:szCs w:val="20"/>
          <w:rtl/>
        </w:rPr>
        <w:t xml:space="preserve"> </w:t>
      </w:r>
      <w:r w:rsidRPr="00D3490C">
        <w:rPr>
          <w:rFonts w:asciiTheme="majorBidi" w:hAnsiTheme="majorBidi" w:cs="Times New Roman" w:hint="cs"/>
          <w:sz w:val="20"/>
          <w:szCs w:val="20"/>
          <w:rtl/>
        </w:rPr>
        <w:t xml:space="preserve"> </w:t>
      </w:r>
      <w:r w:rsidRPr="00D3490C">
        <w:rPr>
          <w:rFonts w:asciiTheme="majorBidi" w:hAnsiTheme="majorBidi" w:cs="Times New Roman"/>
          <w:sz w:val="20"/>
          <w:szCs w:val="20"/>
          <w:rtl/>
        </w:rPr>
        <w:t xml:space="preserve"> מסכת סנהדרין דף עד עמוד ב</w:t>
      </w:r>
      <w:r w:rsidRPr="00D3490C">
        <w:rPr>
          <w:rFonts w:asciiTheme="majorBidi" w:hAnsiTheme="majorBidi" w:cstheme="majorBidi" w:hint="cs"/>
          <w:sz w:val="20"/>
          <w:szCs w:val="20"/>
          <w:rtl/>
        </w:rPr>
        <w:t>.</w:t>
      </w:r>
    </w:p>
  </w:footnote>
  <w:footnote w:id="11">
    <w:p w14:paraId="72D64932" w14:textId="33D1B628" w:rsidR="009A4D38" w:rsidRPr="00AF5C12" w:rsidRDefault="00D3490C" w:rsidP="0089296E">
      <w:pPr>
        <w:spacing w:after="0" w:line="240" w:lineRule="auto"/>
        <w:rPr>
          <w:rFonts w:asciiTheme="majorBidi" w:hAnsiTheme="majorBidi" w:cstheme="majorBidi"/>
          <w:sz w:val="20"/>
          <w:szCs w:val="20"/>
          <w:rtl/>
        </w:rPr>
      </w:pPr>
      <w:r w:rsidRPr="00AF5C12">
        <w:rPr>
          <w:rStyle w:val="a5"/>
          <w:sz w:val="20"/>
          <w:szCs w:val="20"/>
        </w:rPr>
        <w:footnoteRef/>
      </w:r>
      <w:r w:rsidRPr="00AF5C12">
        <w:rPr>
          <w:sz w:val="20"/>
          <w:szCs w:val="20"/>
          <w:rtl/>
        </w:rPr>
        <w:t xml:space="preserve"> </w:t>
      </w:r>
      <w:r w:rsidR="002D4CB7" w:rsidRPr="00AF5C12">
        <w:rPr>
          <w:rFonts w:asciiTheme="majorBidi" w:hAnsiTheme="majorBidi" w:cstheme="majorBidi"/>
          <w:sz w:val="20"/>
          <w:szCs w:val="20"/>
          <w:rtl/>
        </w:rPr>
        <w:t>תוספות עבודה זרה יח עמוד א ד"ה ואל יחבל.</w:t>
      </w:r>
      <w:r w:rsidR="008D03FE" w:rsidRPr="00AF5C12">
        <w:rPr>
          <w:rFonts w:asciiTheme="majorBidi" w:hAnsiTheme="majorBidi" w:cstheme="majorBidi" w:hint="cs"/>
          <w:sz w:val="20"/>
          <w:szCs w:val="20"/>
          <w:rtl/>
        </w:rPr>
        <w:t xml:space="preserve"> הרמב"ן </w:t>
      </w:r>
      <w:r w:rsidR="008D03FE" w:rsidRPr="00AF5C12">
        <w:rPr>
          <w:rFonts w:asciiTheme="majorBidi" w:hAnsiTheme="majorBidi" w:cstheme="majorBidi" w:hint="cs"/>
          <w:sz w:val="16"/>
          <w:szCs w:val="16"/>
          <w:rtl/>
        </w:rPr>
        <w:t>(</w:t>
      </w:r>
      <w:r w:rsidR="008D03FE" w:rsidRPr="00AF5C12">
        <w:rPr>
          <w:rFonts w:asciiTheme="majorBidi" w:hAnsiTheme="majorBidi" w:cstheme="majorBidi"/>
          <w:sz w:val="16"/>
          <w:szCs w:val="16"/>
          <w:rtl/>
        </w:rPr>
        <w:t>סנהדרין דף י</w:t>
      </w:r>
      <w:r w:rsidR="008D03FE" w:rsidRPr="00AF5C12">
        <w:rPr>
          <w:rFonts w:asciiTheme="majorBidi" w:hAnsiTheme="majorBidi" w:cstheme="majorBidi" w:hint="cs"/>
          <w:sz w:val="16"/>
          <w:szCs w:val="16"/>
          <w:rtl/>
        </w:rPr>
        <w:t>ז</w:t>
      </w:r>
      <w:r w:rsidR="008D03FE" w:rsidRPr="00AF5C12">
        <w:rPr>
          <w:rFonts w:asciiTheme="majorBidi" w:hAnsiTheme="majorBidi" w:cstheme="majorBidi"/>
          <w:sz w:val="16"/>
          <w:szCs w:val="16"/>
          <w:rtl/>
        </w:rPr>
        <w:t xml:space="preserve"> עמוד </w:t>
      </w:r>
      <w:r w:rsidR="008D03FE" w:rsidRPr="00AF5C12">
        <w:rPr>
          <w:rFonts w:asciiTheme="majorBidi" w:hAnsiTheme="majorBidi" w:cstheme="majorBidi" w:hint="cs"/>
          <w:sz w:val="16"/>
          <w:szCs w:val="16"/>
          <w:rtl/>
        </w:rPr>
        <w:t>ב</w:t>
      </w:r>
      <w:r w:rsidR="008D03FE" w:rsidRPr="00AF5C12">
        <w:rPr>
          <w:rFonts w:asciiTheme="majorBidi" w:hAnsiTheme="majorBidi" w:cstheme="majorBidi"/>
          <w:sz w:val="16"/>
          <w:szCs w:val="16"/>
          <w:rtl/>
        </w:rPr>
        <w:t xml:space="preserve"> מדפי הרי"ף</w:t>
      </w:r>
      <w:r w:rsidR="008D03FE" w:rsidRPr="00AF5C12">
        <w:rPr>
          <w:rFonts w:asciiTheme="majorBidi" w:hAnsiTheme="majorBidi" w:cstheme="majorBidi" w:hint="cs"/>
          <w:sz w:val="16"/>
          <w:szCs w:val="16"/>
          <w:rtl/>
        </w:rPr>
        <w:t>),</w:t>
      </w:r>
      <w:r w:rsidR="008D03FE" w:rsidRPr="00AF5C12">
        <w:rPr>
          <w:rFonts w:asciiTheme="majorBidi" w:hAnsiTheme="majorBidi" w:cstheme="majorBidi" w:hint="cs"/>
          <w:sz w:val="20"/>
          <w:szCs w:val="20"/>
          <w:rtl/>
        </w:rPr>
        <w:t xml:space="preserve"> מוכיח ש</w:t>
      </w:r>
      <w:r w:rsidR="009A4D38" w:rsidRPr="00AF5C12">
        <w:rPr>
          <w:rFonts w:asciiTheme="majorBidi" w:hAnsiTheme="majorBidi" w:cstheme="majorBidi" w:hint="cs"/>
          <w:sz w:val="20"/>
          <w:szCs w:val="20"/>
          <w:rtl/>
        </w:rPr>
        <w:t xml:space="preserve">קשר </w:t>
      </w:r>
      <w:r w:rsidR="008D03FE" w:rsidRPr="00AF5C12">
        <w:rPr>
          <w:rFonts w:asciiTheme="majorBidi" w:hAnsiTheme="majorBidi" w:cstheme="majorBidi" w:hint="cs"/>
          <w:sz w:val="20"/>
          <w:szCs w:val="20"/>
          <w:rtl/>
        </w:rPr>
        <w:t xml:space="preserve">יהודי וגויה הוא גילוי עריות: </w:t>
      </w:r>
      <w:r w:rsidR="008D03FE" w:rsidRPr="00AF5C12">
        <w:rPr>
          <w:rFonts w:asciiTheme="majorBidi" w:hAnsiTheme="majorBidi" w:cs="Times New Roman" w:hint="cs"/>
          <w:sz w:val="20"/>
          <w:szCs w:val="20"/>
          <w:rtl/>
        </w:rPr>
        <w:t xml:space="preserve"> </w:t>
      </w:r>
      <w:r w:rsidR="008D03FE" w:rsidRPr="00AF5C12">
        <w:rPr>
          <w:rFonts w:asciiTheme="majorBidi" w:hAnsiTheme="majorBidi" w:cs="Times New Roman"/>
          <w:sz w:val="20"/>
          <w:szCs w:val="20"/>
          <w:rtl/>
        </w:rPr>
        <w:t xml:space="preserve"> </w:t>
      </w:r>
      <w:r w:rsidR="008D03FE" w:rsidRPr="00AF5C12">
        <w:rPr>
          <w:rFonts w:ascii="David" w:hAnsi="David" w:cs="David"/>
          <w:sz w:val="20"/>
          <w:szCs w:val="20"/>
          <w:rtl/>
        </w:rPr>
        <w:t>"רב כהנא הוה קמזבין דיקולי, תבעתיה ההיא מטרוניתא, אמר לה: איזיל איקשיט נפשאי. סליק וקנפיל מאיגרא לארעא, אתא אליהו קבליה".</w:t>
      </w:r>
      <w:r w:rsidR="008D03FE" w:rsidRPr="00AF5C12">
        <w:rPr>
          <w:rFonts w:ascii="David" w:hAnsi="David" w:cs="David" w:hint="cs"/>
          <w:sz w:val="20"/>
          <w:szCs w:val="20"/>
          <w:rtl/>
        </w:rPr>
        <w:t xml:space="preserve">  </w:t>
      </w:r>
      <w:r w:rsidR="008D03FE" w:rsidRPr="00AF5C12">
        <w:rPr>
          <w:rFonts w:asciiTheme="majorBidi" w:hAnsiTheme="majorBidi" w:cs="Times New Roman" w:hint="cs"/>
          <w:sz w:val="16"/>
          <w:szCs w:val="16"/>
          <w:rtl/>
        </w:rPr>
        <w:t>(</w:t>
      </w:r>
      <w:r w:rsidR="008D03FE" w:rsidRPr="00AF5C12">
        <w:rPr>
          <w:rFonts w:asciiTheme="majorBidi" w:hAnsiTheme="majorBidi" w:cs="Times New Roman"/>
          <w:sz w:val="16"/>
          <w:szCs w:val="16"/>
          <w:rtl/>
        </w:rPr>
        <w:t>מסכת קידושין דף מ עמוד א</w:t>
      </w:r>
      <w:r w:rsidR="008D03FE" w:rsidRPr="00AF5C12">
        <w:rPr>
          <w:rFonts w:asciiTheme="majorBidi" w:hAnsiTheme="majorBidi" w:cstheme="majorBidi" w:hint="cs"/>
          <w:sz w:val="16"/>
          <w:szCs w:val="16"/>
          <w:rtl/>
        </w:rPr>
        <w:t>)</w:t>
      </w:r>
      <w:r w:rsidR="009A4D38" w:rsidRPr="00AF5C12">
        <w:rPr>
          <w:rFonts w:asciiTheme="majorBidi" w:hAnsiTheme="majorBidi" w:cstheme="majorBidi" w:hint="cs"/>
          <w:sz w:val="20"/>
          <w:szCs w:val="20"/>
          <w:rtl/>
        </w:rPr>
        <w:t xml:space="preserve"> לפיכך </w:t>
      </w:r>
      <w:r w:rsidR="009A4D38" w:rsidRPr="00AF5C12">
        <w:rPr>
          <w:rFonts w:asciiTheme="majorBidi" w:hAnsiTheme="majorBidi" w:cs="Times New Roman"/>
          <w:sz w:val="20"/>
          <w:szCs w:val="20"/>
          <w:rtl/>
        </w:rPr>
        <w:t xml:space="preserve"> </w:t>
      </w:r>
      <w:r w:rsidR="009A4D38" w:rsidRPr="0089296E">
        <w:rPr>
          <w:rFonts w:ascii="David" w:hAnsi="David" w:cs="David"/>
          <w:sz w:val="20"/>
          <w:szCs w:val="20"/>
          <w:rtl/>
        </w:rPr>
        <w:t>"הבועל ארמית - קנאין פוגעין בו!" (</w:t>
      </w:r>
      <w:r w:rsidR="009A4D38" w:rsidRPr="00AF5C12">
        <w:rPr>
          <w:rFonts w:asciiTheme="majorBidi" w:hAnsiTheme="majorBidi" w:cs="Times New Roman"/>
          <w:sz w:val="16"/>
          <w:szCs w:val="16"/>
          <w:rtl/>
        </w:rPr>
        <w:t>מסכת עבודה זרה דף לו עמוד ב</w:t>
      </w:r>
      <w:r w:rsidR="00AF5C12" w:rsidRPr="00AF5C12">
        <w:rPr>
          <w:rFonts w:asciiTheme="majorBidi" w:hAnsiTheme="majorBidi" w:cs="Times New Roman" w:hint="cs"/>
          <w:sz w:val="16"/>
          <w:szCs w:val="16"/>
          <w:rtl/>
        </w:rPr>
        <w:t>)</w:t>
      </w:r>
      <w:r w:rsidR="009A4D38" w:rsidRPr="00AF5C12">
        <w:rPr>
          <w:rFonts w:asciiTheme="majorBidi" w:hAnsiTheme="majorBidi" w:cs="Times New Roman" w:hint="cs"/>
          <w:sz w:val="16"/>
          <w:szCs w:val="16"/>
          <w:rtl/>
        </w:rPr>
        <w:t>.</w:t>
      </w:r>
      <w:r w:rsidR="009A4D38" w:rsidRPr="00AF5C12">
        <w:rPr>
          <w:rFonts w:asciiTheme="majorBidi" w:hAnsiTheme="majorBidi" w:cs="Times New Roman" w:hint="cs"/>
          <w:sz w:val="20"/>
          <w:szCs w:val="20"/>
          <w:rtl/>
        </w:rPr>
        <w:t xml:space="preserve"> </w:t>
      </w:r>
      <w:r w:rsidR="0089296E">
        <w:rPr>
          <w:rFonts w:asciiTheme="majorBidi" w:hAnsiTheme="majorBidi" w:cs="Times New Roman" w:hint="cs"/>
          <w:sz w:val="20"/>
          <w:szCs w:val="20"/>
          <w:rtl/>
        </w:rPr>
        <w:t>(</w:t>
      </w:r>
      <w:r w:rsidR="009A4D38" w:rsidRPr="00AF5C12">
        <w:rPr>
          <w:rFonts w:asciiTheme="majorBidi" w:hAnsiTheme="majorBidi" w:cs="Times New Roman" w:hint="cs"/>
          <w:sz w:val="20"/>
          <w:szCs w:val="20"/>
          <w:rtl/>
        </w:rPr>
        <w:t>אמנם קשה</w:t>
      </w:r>
      <w:r w:rsidR="0089296E">
        <w:rPr>
          <w:rFonts w:asciiTheme="majorBidi" w:hAnsiTheme="majorBidi" w:cs="Times New Roman" w:hint="cs"/>
          <w:sz w:val="20"/>
          <w:szCs w:val="20"/>
          <w:rtl/>
        </w:rPr>
        <w:t>,</w:t>
      </w:r>
      <w:r w:rsidR="009A4D38" w:rsidRPr="00AF5C12">
        <w:rPr>
          <w:rFonts w:asciiTheme="majorBidi" w:hAnsiTheme="majorBidi" w:cs="Times New Roman" w:hint="cs"/>
          <w:sz w:val="20"/>
          <w:szCs w:val="20"/>
          <w:rtl/>
        </w:rPr>
        <w:t xml:space="preserve"> ששם מבואר שמהתורה זה רק בפרהסיה</w:t>
      </w:r>
      <w:r w:rsidR="009A4D38" w:rsidRPr="00AF5C12">
        <w:rPr>
          <w:rFonts w:asciiTheme="majorBidi" w:hAnsiTheme="majorBidi" w:cstheme="majorBidi" w:hint="cs"/>
          <w:sz w:val="20"/>
          <w:szCs w:val="20"/>
          <w:rtl/>
        </w:rPr>
        <w:t>)</w:t>
      </w:r>
      <w:r w:rsidR="00566172" w:rsidRPr="00AF5C12">
        <w:rPr>
          <w:rFonts w:asciiTheme="majorBidi" w:hAnsiTheme="majorBidi" w:cstheme="majorBidi" w:hint="cs"/>
          <w:sz w:val="20"/>
          <w:szCs w:val="20"/>
          <w:rtl/>
        </w:rPr>
        <w:t xml:space="preserve"> והסיבה לכך שחמור גבר מאישה, היא לא רק בגלל האקטיביות, אלא </w:t>
      </w:r>
      <w:r w:rsidR="00566172" w:rsidRPr="00AF5C12">
        <w:rPr>
          <w:rFonts w:ascii="David" w:hAnsi="David" w:cs="David"/>
          <w:sz w:val="20"/>
          <w:szCs w:val="20"/>
          <w:rtl/>
        </w:rPr>
        <w:t>"דדוקא בבא על הנכרית דהולד נמשך אחריה".</w:t>
      </w:r>
      <w:r w:rsidR="00566172" w:rsidRPr="00AF5C12">
        <w:rPr>
          <w:rFonts w:ascii="David" w:hAnsi="David" w:cs="David" w:hint="cs"/>
          <w:sz w:val="20"/>
          <w:szCs w:val="20"/>
          <w:rtl/>
        </w:rPr>
        <w:t xml:space="preserve"> (</w:t>
      </w:r>
      <w:r w:rsidR="00566172" w:rsidRPr="00AF5C12">
        <w:rPr>
          <w:rFonts w:asciiTheme="majorBidi" w:hAnsiTheme="majorBidi" w:cs="Times New Roman"/>
          <w:sz w:val="20"/>
          <w:szCs w:val="20"/>
          <w:rtl/>
        </w:rPr>
        <w:t>שו"ת אבני נזר יורה דעה סימן קכט</w:t>
      </w:r>
      <w:r w:rsidR="00566172" w:rsidRPr="00AF5C12">
        <w:rPr>
          <w:rFonts w:asciiTheme="majorBidi" w:hAnsiTheme="majorBidi" w:cs="Times New Roman" w:hint="cs"/>
          <w:sz w:val="20"/>
          <w:szCs w:val="20"/>
          <w:rtl/>
        </w:rPr>
        <w:t xml:space="preserve"> אות ח).</w:t>
      </w:r>
    </w:p>
    <w:p w14:paraId="62FC70C6" w14:textId="21C2EB64" w:rsidR="00D3490C" w:rsidRPr="00AF5C12" w:rsidRDefault="008D03FE" w:rsidP="009A4D38">
      <w:pPr>
        <w:spacing w:after="0" w:line="360" w:lineRule="auto"/>
        <w:rPr>
          <w:rFonts w:asciiTheme="majorBidi" w:hAnsiTheme="majorBidi" w:cstheme="majorBidi"/>
          <w:sz w:val="20"/>
          <w:szCs w:val="20"/>
        </w:rPr>
      </w:pPr>
      <w:r w:rsidRPr="00AF5C12">
        <w:rPr>
          <w:rFonts w:asciiTheme="majorBidi" w:hAnsiTheme="majorBidi" w:cstheme="majorBidi" w:hint="cs"/>
          <w:sz w:val="20"/>
          <w:szCs w:val="20"/>
          <w:rtl/>
        </w:rPr>
        <w:t>.</w:t>
      </w:r>
    </w:p>
  </w:footnote>
  <w:footnote w:id="12">
    <w:p w14:paraId="570836F8" w14:textId="0A3F7CF1" w:rsidR="00AA5FCC" w:rsidRPr="009A4D38" w:rsidRDefault="00AA5FCC" w:rsidP="009330C3">
      <w:pPr>
        <w:pStyle w:val="a3"/>
        <w:spacing w:line="360" w:lineRule="auto"/>
        <w:rPr>
          <w:rFonts w:asciiTheme="majorBidi" w:hAnsiTheme="majorBidi" w:cstheme="majorBidi"/>
        </w:rPr>
      </w:pPr>
      <w:r w:rsidRPr="009A4D38">
        <w:rPr>
          <w:rStyle w:val="a5"/>
          <w:rFonts w:asciiTheme="majorBidi" w:hAnsiTheme="majorBidi" w:cstheme="majorBidi"/>
        </w:rPr>
        <w:footnoteRef/>
      </w:r>
      <w:r w:rsidRPr="009A4D38">
        <w:rPr>
          <w:rFonts w:asciiTheme="majorBidi" w:hAnsiTheme="majorBidi" w:cstheme="majorBidi"/>
          <w:rtl/>
        </w:rPr>
        <w:t xml:space="preserve"> תוספות מסכת סנהדרין דף עד עמוד ב ד"ה והא אסתר.</w:t>
      </w:r>
    </w:p>
  </w:footnote>
  <w:footnote w:id="13">
    <w:p w14:paraId="42BE7D7E" w14:textId="41CC48F4" w:rsidR="009330C3" w:rsidRDefault="009330C3" w:rsidP="009330C3">
      <w:pPr>
        <w:pStyle w:val="a3"/>
        <w:spacing w:line="360" w:lineRule="auto"/>
        <w:rPr>
          <w:rtl/>
        </w:rPr>
      </w:pPr>
      <w:r>
        <w:rPr>
          <w:rStyle w:val="a5"/>
        </w:rPr>
        <w:footnoteRef/>
      </w:r>
      <w:r>
        <w:rPr>
          <w:rtl/>
        </w:rPr>
        <w:t xml:space="preserve"> </w:t>
      </w:r>
      <w:r w:rsidRPr="009330C3">
        <w:rPr>
          <w:rFonts w:asciiTheme="majorBidi" w:hAnsiTheme="majorBidi" w:cs="Times New Roman"/>
          <w:rtl/>
        </w:rPr>
        <w:t>פני יהושע מסכת כתובות דף ג עמוד ב</w:t>
      </w:r>
      <w:r>
        <w:rPr>
          <w:rFonts w:hint="cs"/>
          <w:rtl/>
        </w:rPr>
        <w:t>.</w:t>
      </w:r>
    </w:p>
  </w:footnote>
  <w:footnote w:id="14">
    <w:p w14:paraId="64D7C790" w14:textId="71D345D0" w:rsidR="00B66DA0" w:rsidRPr="009A4D38" w:rsidRDefault="00B66DA0" w:rsidP="009330C3">
      <w:pPr>
        <w:pStyle w:val="a3"/>
        <w:spacing w:line="360" w:lineRule="auto"/>
        <w:rPr>
          <w:rFonts w:asciiTheme="majorBidi" w:hAnsiTheme="majorBidi" w:cstheme="majorBidi"/>
        </w:rPr>
      </w:pPr>
      <w:r w:rsidRPr="009A4D38">
        <w:rPr>
          <w:rStyle w:val="a5"/>
          <w:rFonts w:asciiTheme="majorBidi" w:hAnsiTheme="majorBidi" w:cstheme="majorBidi"/>
        </w:rPr>
        <w:footnoteRef/>
      </w:r>
      <w:r w:rsidRPr="009A4D38">
        <w:rPr>
          <w:rFonts w:asciiTheme="majorBidi" w:hAnsiTheme="majorBidi" w:cstheme="majorBidi"/>
          <w:rtl/>
        </w:rPr>
        <w:t xml:space="preserve"> המאור הגדול סנהדרין דף י</w:t>
      </w:r>
      <w:r w:rsidR="009E59B0" w:rsidRPr="009A4D38">
        <w:rPr>
          <w:rFonts w:asciiTheme="majorBidi" w:hAnsiTheme="majorBidi" w:cstheme="majorBidi"/>
          <w:rtl/>
        </w:rPr>
        <w:t>ח</w:t>
      </w:r>
      <w:r w:rsidRPr="009A4D38">
        <w:rPr>
          <w:rFonts w:asciiTheme="majorBidi" w:hAnsiTheme="majorBidi" w:cstheme="majorBidi"/>
          <w:rtl/>
        </w:rPr>
        <w:t xml:space="preserve"> עמוד </w:t>
      </w:r>
      <w:r w:rsidR="009E59B0" w:rsidRPr="009A4D38">
        <w:rPr>
          <w:rFonts w:asciiTheme="majorBidi" w:hAnsiTheme="majorBidi" w:cstheme="majorBidi"/>
          <w:rtl/>
        </w:rPr>
        <w:t>א</w:t>
      </w:r>
      <w:r w:rsidRPr="009A4D38">
        <w:rPr>
          <w:rFonts w:asciiTheme="majorBidi" w:hAnsiTheme="majorBidi" w:cstheme="majorBidi"/>
          <w:rtl/>
        </w:rPr>
        <w:t xml:space="preserve"> מדפי הרי"ף.</w:t>
      </w:r>
    </w:p>
  </w:footnote>
  <w:footnote w:id="15">
    <w:p w14:paraId="19949DDE" w14:textId="26943AC5" w:rsidR="009E59B0" w:rsidRPr="009A4D38" w:rsidRDefault="009E59B0" w:rsidP="009A4D38">
      <w:pPr>
        <w:pStyle w:val="a3"/>
        <w:spacing w:line="360" w:lineRule="auto"/>
        <w:rPr>
          <w:rFonts w:asciiTheme="majorBidi" w:hAnsiTheme="majorBidi" w:cstheme="majorBidi"/>
          <w:rtl/>
        </w:rPr>
      </w:pPr>
      <w:r w:rsidRPr="009A4D38">
        <w:rPr>
          <w:rStyle w:val="a5"/>
          <w:rFonts w:asciiTheme="majorBidi" w:hAnsiTheme="majorBidi" w:cstheme="majorBidi"/>
        </w:rPr>
        <w:footnoteRef/>
      </w:r>
      <w:r w:rsidRPr="009A4D38">
        <w:rPr>
          <w:rFonts w:asciiTheme="majorBidi" w:hAnsiTheme="majorBidi" w:cstheme="majorBidi"/>
          <w:rtl/>
        </w:rPr>
        <w:t xml:space="preserve"> הוא מוסיף שאסתר נחשבת עריות, רק על סמך המדרש שהייתה נשואה למרדכי.</w:t>
      </w:r>
    </w:p>
  </w:footnote>
  <w:footnote w:id="16">
    <w:p w14:paraId="0CD9EC97" w14:textId="392EA2ED" w:rsidR="009A4D38" w:rsidRDefault="009A4D38" w:rsidP="0092170A">
      <w:pPr>
        <w:pStyle w:val="a3"/>
        <w:spacing w:line="360" w:lineRule="auto"/>
      </w:pPr>
      <w:r>
        <w:rPr>
          <w:rStyle w:val="a5"/>
        </w:rPr>
        <w:footnoteRef/>
      </w:r>
      <w:r>
        <w:rPr>
          <w:rtl/>
        </w:rPr>
        <w:t xml:space="preserve"> </w:t>
      </w:r>
      <w:r w:rsidRPr="009A4D38">
        <w:rPr>
          <w:rFonts w:asciiTheme="majorBidi" w:hAnsiTheme="majorBidi" w:cstheme="majorBidi"/>
          <w:rtl/>
        </w:rPr>
        <w:t>סנהדרין דף יח עמוד א מדפי הרי"ף.</w:t>
      </w:r>
    </w:p>
  </w:footnote>
  <w:footnote w:id="17">
    <w:p w14:paraId="4DF4361F" w14:textId="75A7E752" w:rsidR="00867603" w:rsidRPr="00867603" w:rsidRDefault="00867603" w:rsidP="00867603">
      <w:pPr>
        <w:pStyle w:val="a3"/>
        <w:spacing w:line="360" w:lineRule="auto"/>
        <w:rPr>
          <w:rFonts w:asciiTheme="majorBidi" w:hAnsiTheme="majorBidi" w:cstheme="majorBidi"/>
          <w:rtl/>
        </w:rPr>
      </w:pPr>
      <w:r w:rsidRPr="00867603">
        <w:rPr>
          <w:rStyle w:val="a5"/>
          <w:rFonts w:asciiTheme="majorBidi" w:hAnsiTheme="majorBidi" w:cstheme="majorBidi"/>
        </w:rPr>
        <w:footnoteRef/>
      </w:r>
      <w:r w:rsidRPr="00867603">
        <w:rPr>
          <w:rFonts w:asciiTheme="majorBidi" w:hAnsiTheme="majorBidi" w:cstheme="majorBidi"/>
          <w:rtl/>
        </w:rPr>
        <w:t xml:space="preserve"> ש"ך יו"ד סימן קנז ס"ק ט.</w:t>
      </w:r>
    </w:p>
  </w:footnote>
  <w:footnote w:id="18">
    <w:p w14:paraId="73CD004C" w14:textId="302FF4A0" w:rsidR="0092170A" w:rsidRPr="0092170A" w:rsidRDefault="0092170A" w:rsidP="00867603">
      <w:pPr>
        <w:pStyle w:val="a3"/>
        <w:spacing w:line="360" w:lineRule="auto"/>
        <w:rPr>
          <w:rFonts w:asciiTheme="majorBidi" w:hAnsiTheme="majorBidi" w:cstheme="majorBidi"/>
        </w:rPr>
      </w:pPr>
      <w:r w:rsidRPr="0092170A">
        <w:rPr>
          <w:rStyle w:val="a5"/>
          <w:rFonts w:asciiTheme="majorBidi" w:hAnsiTheme="majorBidi" w:cstheme="majorBidi"/>
        </w:rPr>
        <w:footnoteRef/>
      </w:r>
      <w:r w:rsidRPr="0092170A">
        <w:rPr>
          <w:rFonts w:asciiTheme="majorBidi" w:hAnsiTheme="majorBidi" w:cstheme="majorBidi"/>
          <w:rtl/>
        </w:rPr>
        <w:t xml:space="preserve"> בחידושיו לסנהדרין דף עד עמוד ב.</w:t>
      </w:r>
    </w:p>
  </w:footnote>
  <w:footnote w:id="19">
    <w:p w14:paraId="5E38ABA4" w14:textId="3604D2DA" w:rsidR="00BD6640" w:rsidRPr="00BD6640" w:rsidRDefault="00BD6640" w:rsidP="00BD6640">
      <w:pPr>
        <w:pStyle w:val="a3"/>
        <w:spacing w:line="360" w:lineRule="auto"/>
        <w:rPr>
          <w:rFonts w:asciiTheme="majorBidi" w:hAnsiTheme="majorBidi" w:cstheme="majorBidi"/>
          <w:rtl/>
        </w:rPr>
      </w:pPr>
      <w:r w:rsidRPr="00BD6640">
        <w:rPr>
          <w:rStyle w:val="a5"/>
          <w:rFonts w:asciiTheme="majorBidi" w:hAnsiTheme="majorBidi" w:cstheme="majorBidi"/>
        </w:rPr>
        <w:footnoteRef/>
      </w:r>
      <w:r w:rsidRPr="00BD6640">
        <w:rPr>
          <w:rFonts w:asciiTheme="majorBidi" w:hAnsiTheme="majorBidi" w:cstheme="majorBidi"/>
          <w:rtl/>
        </w:rPr>
        <w:t xml:space="preserve"> לסידור נוסף של שיטות הראשונים עיין בשיעורי מרן הגר"א שפירא לבנימין רקובר, כתובות שיעור שביעי עמוד קיח.</w:t>
      </w:r>
    </w:p>
  </w:footnote>
  <w:footnote w:id="20">
    <w:p w14:paraId="1501C1A0" w14:textId="4BC972DA" w:rsidR="00E13EA6" w:rsidRPr="001252A5" w:rsidRDefault="00E13EA6" w:rsidP="00BD6640">
      <w:pPr>
        <w:spacing w:after="0" w:line="360" w:lineRule="auto"/>
        <w:rPr>
          <w:rFonts w:asciiTheme="majorBidi" w:hAnsiTheme="majorBidi" w:cstheme="majorBidi"/>
          <w:sz w:val="20"/>
          <w:szCs w:val="20"/>
          <w:rtl/>
        </w:rPr>
      </w:pPr>
      <w:r w:rsidRPr="001252A5">
        <w:rPr>
          <w:rStyle w:val="a5"/>
          <w:rFonts w:asciiTheme="majorBidi" w:hAnsiTheme="majorBidi" w:cstheme="majorBidi"/>
          <w:sz w:val="20"/>
          <w:szCs w:val="20"/>
        </w:rPr>
        <w:footnoteRef/>
      </w:r>
      <w:r w:rsidRPr="001252A5">
        <w:rPr>
          <w:rFonts w:asciiTheme="majorBidi" w:hAnsiTheme="majorBidi" w:cstheme="majorBidi"/>
          <w:sz w:val="20"/>
          <w:szCs w:val="20"/>
          <w:rtl/>
        </w:rPr>
        <w:t xml:space="preserve"> רמב"ם הלכות יסודי התורה פרק ה הלכה ב.</w:t>
      </w:r>
    </w:p>
  </w:footnote>
  <w:footnote w:id="21">
    <w:p w14:paraId="01DA6A25" w14:textId="1AF45048" w:rsidR="004E27D5" w:rsidRPr="001252A5" w:rsidRDefault="004E27D5" w:rsidP="001252A5">
      <w:pPr>
        <w:spacing w:after="0" w:line="360" w:lineRule="auto"/>
        <w:rPr>
          <w:rFonts w:asciiTheme="majorBidi" w:hAnsiTheme="majorBidi" w:cstheme="majorBidi"/>
          <w:sz w:val="20"/>
          <w:szCs w:val="20"/>
        </w:rPr>
      </w:pPr>
      <w:r w:rsidRPr="001252A5">
        <w:rPr>
          <w:rStyle w:val="a5"/>
          <w:rFonts w:asciiTheme="majorBidi" w:hAnsiTheme="majorBidi" w:cstheme="majorBidi"/>
          <w:sz w:val="20"/>
          <w:szCs w:val="20"/>
        </w:rPr>
        <w:footnoteRef/>
      </w:r>
      <w:r w:rsidRPr="001252A5">
        <w:rPr>
          <w:rFonts w:asciiTheme="majorBidi" w:hAnsiTheme="majorBidi" w:cstheme="majorBidi"/>
          <w:sz w:val="20"/>
          <w:szCs w:val="20"/>
          <w:rtl/>
        </w:rPr>
        <w:t xml:space="preserve"> </w:t>
      </w:r>
      <w:r w:rsidR="002D4CB7" w:rsidRPr="001252A5">
        <w:rPr>
          <w:rFonts w:asciiTheme="majorBidi" w:hAnsiTheme="majorBidi" w:cstheme="majorBidi"/>
          <w:sz w:val="20"/>
          <w:szCs w:val="20"/>
          <w:rtl/>
        </w:rPr>
        <w:t>מנחת חינוך פרשת אמור מצוה רצה-רצו</w:t>
      </w:r>
      <w:r w:rsidRPr="001252A5">
        <w:rPr>
          <w:rFonts w:asciiTheme="majorBidi" w:hAnsiTheme="majorBidi" w:cstheme="majorBidi"/>
          <w:sz w:val="20"/>
          <w:szCs w:val="20"/>
          <w:rtl/>
        </w:rPr>
        <w:t>.</w:t>
      </w:r>
      <w:r w:rsidR="007E3D97">
        <w:rPr>
          <w:rFonts w:asciiTheme="majorBidi" w:hAnsiTheme="majorBidi" w:cstheme="majorBidi" w:hint="cs"/>
          <w:sz w:val="20"/>
          <w:szCs w:val="20"/>
          <w:rtl/>
        </w:rPr>
        <w:t xml:space="preserve"> וכן דעת הגהות מיימוניות בהלכות יסודי התורה פרק ה הלכה ב.</w:t>
      </w:r>
    </w:p>
  </w:footnote>
  <w:footnote w:id="22">
    <w:p w14:paraId="7756233A" w14:textId="7FCAE2AC" w:rsidR="00E13EA6" w:rsidRPr="001252A5" w:rsidRDefault="00E13EA6" w:rsidP="00867603">
      <w:pPr>
        <w:pStyle w:val="a3"/>
        <w:spacing w:line="360" w:lineRule="auto"/>
        <w:rPr>
          <w:rFonts w:asciiTheme="majorBidi" w:hAnsiTheme="majorBidi" w:cstheme="majorBidi"/>
          <w:rtl/>
        </w:rPr>
      </w:pPr>
      <w:r w:rsidRPr="001252A5">
        <w:rPr>
          <w:rStyle w:val="a5"/>
          <w:rFonts w:asciiTheme="majorBidi" w:hAnsiTheme="majorBidi" w:cstheme="majorBidi"/>
        </w:rPr>
        <w:footnoteRef/>
      </w:r>
      <w:r w:rsidRPr="001252A5">
        <w:rPr>
          <w:rFonts w:asciiTheme="majorBidi" w:hAnsiTheme="majorBidi" w:cstheme="majorBidi"/>
          <w:rtl/>
        </w:rPr>
        <w:t xml:space="preserve"> בירור הלכה סנהדרין עד עמוד ב ציון ב.</w:t>
      </w:r>
      <w:r w:rsidR="007E3D97">
        <w:rPr>
          <w:rFonts w:asciiTheme="majorBidi" w:hAnsiTheme="majorBidi" w:cstheme="majorBidi" w:hint="cs"/>
          <w:rtl/>
        </w:rPr>
        <w:t xml:space="preserve"> וכן דעת אוצר המלך בהלכות יסודי התורה שם.</w:t>
      </w:r>
    </w:p>
  </w:footnote>
  <w:footnote w:id="23">
    <w:p w14:paraId="3D1B0928" w14:textId="77777777" w:rsidR="00867603" w:rsidRPr="00867603" w:rsidRDefault="00867603" w:rsidP="00867603">
      <w:pPr>
        <w:pStyle w:val="a3"/>
        <w:spacing w:line="360" w:lineRule="auto"/>
        <w:rPr>
          <w:rFonts w:asciiTheme="majorBidi" w:hAnsiTheme="majorBidi" w:cstheme="majorBidi"/>
        </w:rPr>
      </w:pPr>
      <w:r w:rsidRPr="00867603">
        <w:rPr>
          <w:rStyle w:val="a5"/>
          <w:rFonts w:asciiTheme="majorBidi" w:hAnsiTheme="majorBidi" w:cstheme="majorBidi"/>
        </w:rPr>
        <w:footnoteRef/>
      </w:r>
      <w:r w:rsidRPr="00867603">
        <w:rPr>
          <w:rFonts w:asciiTheme="majorBidi" w:hAnsiTheme="majorBidi" w:cstheme="majorBidi"/>
          <w:rtl/>
        </w:rPr>
        <w:t xml:space="preserve"> כסף משנה הלכות יסודי התורה פרק ה הלכה א.</w:t>
      </w:r>
    </w:p>
  </w:footnote>
  <w:footnote w:id="24">
    <w:p w14:paraId="624BD030" w14:textId="0533F7BD" w:rsidR="004E27D5" w:rsidRPr="001252A5" w:rsidRDefault="004E27D5" w:rsidP="001252A5">
      <w:pPr>
        <w:spacing w:after="0" w:line="360" w:lineRule="auto"/>
        <w:rPr>
          <w:rFonts w:asciiTheme="majorBidi" w:hAnsiTheme="majorBidi" w:cstheme="majorBidi"/>
          <w:sz w:val="20"/>
          <w:szCs w:val="20"/>
        </w:rPr>
      </w:pPr>
      <w:r w:rsidRPr="001252A5">
        <w:rPr>
          <w:rStyle w:val="a5"/>
          <w:rFonts w:asciiTheme="majorBidi" w:hAnsiTheme="majorBidi" w:cstheme="majorBidi"/>
          <w:sz w:val="20"/>
          <w:szCs w:val="20"/>
        </w:rPr>
        <w:footnoteRef/>
      </w:r>
      <w:r w:rsidRPr="001252A5">
        <w:rPr>
          <w:rFonts w:asciiTheme="majorBidi" w:hAnsiTheme="majorBidi" w:cstheme="majorBidi"/>
          <w:sz w:val="20"/>
          <w:szCs w:val="20"/>
          <w:rtl/>
        </w:rPr>
        <w:t xml:space="preserve"> בית יוסף יו"ד סימן קנז אות א ד"ה כל העבירות. </w:t>
      </w:r>
    </w:p>
  </w:footnote>
  <w:footnote w:id="25">
    <w:p w14:paraId="3CE28B77" w14:textId="32AB9214" w:rsidR="00E13EA6" w:rsidRPr="001252A5" w:rsidRDefault="00E13EA6" w:rsidP="001252A5">
      <w:pPr>
        <w:pStyle w:val="a3"/>
        <w:spacing w:line="360" w:lineRule="auto"/>
        <w:rPr>
          <w:rFonts w:asciiTheme="majorBidi" w:hAnsiTheme="majorBidi" w:cstheme="majorBidi"/>
        </w:rPr>
      </w:pPr>
      <w:r w:rsidRPr="001252A5">
        <w:rPr>
          <w:rStyle w:val="a5"/>
          <w:rFonts w:asciiTheme="majorBidi" w:hAnsiTheme="majorBidi" w:cstheme="majorBidi"/>
        </w:rPr>
        <w:footnoteRef/>
      </w:r>
      <w:r w:rsidRPr="001252A5">
        <w:rPr>
          <w:rFonts w:asciiTheme="majorBidi" w:hAnsiTheme="majorBidi" w:cstheme="majorBidi"/>
          <w:rtl/>
        </w:rPr>
        <w:t xml:space="preserve"> הט"ז (אות ו) והש"ך (אות יד) מחמירים יותר מרבינו תם ומצריכים שתהא פנויה, בהתאם להערה 14.</w:t>
      </w:r>
      <w:r w:rsidR="007E3D97">
        <w:rPr>
          <w:rFonts w:asciiTheme="majorBidi" w:hAnsiTheme="majorBidi" w:cstheme="majorBidi" w:hint="cs"/>
          <w:rtl/>
        </w:rPr>
        <w:t xml:space="preserve"> לדעת הלח"מ ביסודי התורה שם, הרמב"ם מקל גם באשת איש כרבינו תם.</w:t>
      </w:r>
    </w:p>
  </w:footnote>
  <w:footnote w:id="26">
    <w:p w14:paraId="457E91C5" w14:textId="35B3BAB1" w:rsidR="004E27D5" w:rsidRPr="001252A5" w:rsidRDefault="004E27D5" w:rsidP="001252A5">
      <w:pPr>
        <w:spacing w:after="0" w:line="360" w:lineRule="auto"/>
        <w:rPr>
          <w:rFonts w:asciiTheme="majorBidi" w:hAnsiTheme="majorBidi" w:cstheme="majorBidi"/>
          <w:sz w:val="20"/>
          <w:szCs w:val="20"/>
          <w:rtl/>
        </w:rPr>
      </w:pPr>
      <w:r w:rsidRPr="001252A5">
        <w:rPr>
          <w:rStyle w:val="a5"/>
          <w:rFonts w:asciiTheme="majorBidi" w:hAnsiTheme="majorBidi" w:cstheme="majorBidi"/>
          <w:sz w:val="20"/>
          <w:szCs w:val="20"/>
        </w:rPr>
        <w:footnoteRef/>
      </w:r>
      <w:r w:rsidRPr="001252A5">
        <w:rPr>
          <w:rFonts w:asciiTheme="majorBidi" w:hAnsiTheme="majorBidi" w:cstheme="majorBidi"/>
          <w:sz w:val="20"/>
          <w:szCs w:val="20"/>
          <w:rtl/>
        </w:rPr>
        <w:t xml:space="preserve"> שולחן ערוך יורה דעה  סימן קנז סעיף א.</w:t>
      </w:r>
    </w:p>
  </w:footnote>
  <w:footnote w:id="27">
    <w:p w14:paraId="341B725E" w14:textId="646D2C0C" w:rsidR="004E27D5" w:rsidRPr="007A3107" w:rsidRDefault="004E27D5" w:rsidP="007A3107">
      <w:pPr>
        <w:spacing w:after="0" w:line="360" w:lineRule="auto"/>
        <w:rPr>
          <w:rFonts w:asciiTheme="majorBidi" w:hAnsiTheme="majorBidi" w:cstheme="majorBidi"/>
          <w:sz w:val="20"/>
          <w:szCs w:val="20"/>
          <w:rtl/>
        </w:rPr>
      </w:pPr>
      <w:r w:rsidRPr="001252A5">
        <w:rPr>
          <w:rStyle w:val="a5"/>
          <w:rFonts w:asciiTheme="majorBidi" w:hAnsiTheme="majorBidi" w:cstheme="majorBidi"/>
          <w:sz w:val="20"/>
          <w:szCs w:val="20"/>
        </w:rPr>
        <w:footnoteRef/>
      </w:r>
      <w:r w:rsidRPr="001252A5">
        <w:rPr>
          <w:rFonts w:asciiTheme="majorBidi" w:hAnsiTheme="majorBidi" w:cstheme="majorBidi"/>
          <w:sz w:val="20"/>
          <w:szCs w:val="20"/>
          <w:rtl/>
        </w:rPr>
        <w:t xml:space="preserve"> </w:t>
      </w:r>
      <w:r w:rsidR="006F0FF8" w:rsidRPr="001252A5">
        <w:rPr>
          <w:rFonts w:asciiTheme="majorBidi" w:hAnsiTheme="majorBidi" w:cstheme="majorBidi"/>
          <w:sz w:val="20"/>
          <w:szCs w:val="20"/>
          <w:rtl/>
        </w:rPr>
        <w:t>ילקוט יוסף ביקור חולים ואבלות הערות סימן נו - דין המאבד עצמו לדעת</w:t>
      </w:r>
      <w:r w:rsidRPr="001252A5">
        <w:rPr>
          <w:rFonts w:asciiTheme="majorBidi" w:hAnsiTheme="majorBidi" w:cstheme="majorBidi"/>
          <w:sz w:val="20"/>
          <w:szCs w:val="20"/>
          <w:rtl/>
        </w:rPr>
        <w:t>.</w:t>
      </w:r>
    </w:p>
  </w:footnote>
  <w:footnote w:id="28">
    <w:p w14:paraId="572C37E2" w14:textId="16174FA8" w:rsidR="00270B17" w:rsidRPr="00270B17" w:rsidRDefault="007A3107" w:rsidP="00270B17">
      <w:pPr>
        <w:pStyle w:val="a3"/>
        <w:rPr>
          <w:rFonts w:asciiTheme="majorBidi" w:hAnsiTheme="majorBidi" w:cstheme="majorBidi"/>
          <w:rtl/>
        </w:rPr>
      </w:pPr>
      <w:r w:rsidRPr="007A3107">
        <w:rPr>
          <w:rStyle w:val="a5"/>
          <w:rFonts w:asciiTheme="majorBidi" w:hAnsiTheme="majorBidi" w:cstheme="majorBidi"/>
        </w:rPr>
        <w:footnoteRef/>
      </w:r>
      <w:r w:rsidRPr="007A3107">
        <w:rPr>
          <w:rFonts w:asciiTheme="majorBidi" w:hAnsiTheme="majorBidi" w:cstheme="majorBidi"/>
          <w:rtl/>
        </w:rPr>
        <w:t xml:space="preserve"> בחשוקי חמד (</w:t>
      </w:r>
      <w:r w:rsidRPr="007A3107">
        <w:rPr>
          <w:rFonts w:asciiTheme="majorBidi" w:hAnsiTheme="majorBidi" w:cstheme="majorBidi"/>
          <w:sz w:val="16"/>
          <w:szCs w:val="16"/>
          <w:rtl/>
        </w:rPr>
        <w:t xml:space="preserve">כתובות דף ג עמוד ב) </w:t>
      </w:r>
      <w:r w:rsidRPr="007A3107">
        <w:rPr>
          <w:rFonts w:asciiTheme="majorBidi" w:hAnsiTheme="majorBidi" w:cstheme="majorBidi"/>
          <w:rtl/>
        </w:rPr>
        <w:t>סבר שמסרו נפשן כמידת חסידות.</w:t>
      </w:r>
      <w:r>
        <w:rPr>
          <w:rFonts w:asciiTheme="majorBidi" w:hAnsiTheme="majorBidi" w:cstheme="majorBidi" w:hint="cs"/>
          <w:rtl/>
        </w:rPr>
        <w:t xml:space="preserve"> לא הכול יתירו זאת.</w:t>
      </w:r>
      <w:r w:rsidR="00270B17">
        <w:rPr>
          <w:rFonts w:asciiTheme="majorBidi" w:hAnsiTheme="majorBidi" w:cstheme="majorBidi" w:hint="cs"/>
          <w:rtl/>
        </w:rPr>
        <w:t xml:space="preserve"> </w:t>
      </w:r>
      <w:r w:rsidR="00270B17">
        <w:rPr>
          <w:rFonts w:asciiTheme="majorBidi" w:hAnsiTheme="majorBidi" w:cs="Times New Roman" w:hint="cs"/>
          <w:rtl/>
        </w:rPr>
        <w:t xml:space="preserve"> ברמב"ן בסנהדרין כתב: </w:t>
      </w:r>
    </w:p>
    <w:p w14:paraId="1B87C316" w14:textId="7D1E2E01" w:rsidR="007A3107" w:rsidRPr="00270B17" w:rsidRDefault="00270B17" w:rsidP="00270B17">
      <w:pPr>
        <w:pStyle w:val="a3"/>
        <w:rPr>
          <w:rFonts w:ascii="David" w:hAnsi="David" w:cs="David"/>
          <w:rtl/>
        </w:rPr>
      </w:pPr>
      <w:r w:rsidRPr="00270B17">
        <w:rPr>
          <w:rFonts w:ascii="David" w:hAnsi="David" w:cs="David"/>
          <w:rtl/>
        </w:rPr>
        <w:t>"ודאי לא הוו קטליה נפשייהו אי לאו דינא הוא. שהרי מקרא צווח ואומר אך את דמכם לנפשותיכם אדרוש, מיד נפשותיכם אדרוש את דמכם"..</w:t>
      </w:r>
    </w:p>
    <w:p w14:paraId="0DB5BFAC" w14:textId="66143100" w:rsidR="007A3107" w:rsidRDefault="007A3107" w:rsidP="007A3107">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42495488"/>
      <w:docPartObj>
        <w:docPartGallery w:val="Page Numbers (Top of Page)"/>
        <w:docPartUnique/>
      </w:docPartObj>
    </w:sdtPr>
    <w:sdtContent>
      <w:p w14:paraId="09DA9785" w14:textId="08DF477D" w:rsidR="00E13EA6" w:rsidRDefault="00E13EA6">
        <w:pPr>
          <w:pStyle w:val="a7"/>
        </w:pPr>
        <w:r>
          <w:fldChar w:fldCharType="begin"/>
        </w:r>
        <w:r>
          <w:instrText>PAGE   \* MERGEFORMAT</w:instrText>
        </w:r>
        <w:r>
          <w:fldChar w:fldCharType="separate"/>
        </w:r>
        <w:r>
          <w:rPr>
            <w:rtl/>
            <w:lang w:val="he-IL"/>
          </w:rPr>
          <w:t>2</w:t>
        </w:r>
        <w:r>
          <w:fldChar w:fldCharType="end"/>
        </w:r>
      </w:p>
    </w:sdtContent>
  </w:sdt>
  <w:p w14:paraId="509D4358" w14:textId="77777777" w:rsidR="00E13EA6" w:rsidRDefault="00E13EA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918C0"/>
    <w:multiLevelType w:val="hybridMultilevel"/>
    <w:tmpl w:val="06648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672154"/>
    <w:multiLevelType w:val="hybridMultilevel"/>
    <w:tmpl w:val="A3661B48"/>
    <w:lvl w:ilvl="0" w:tplc="E15E5992">
      <w:start w:val="1"/>
      <w:numFmt w:val="bullet"/>
      <w:lvlText w:val="•"/>
      <w:lvlJc w:val="left"/>
      <w:pPr>
        <w:tabs>
          <w:tab w:val="num" w:pos="720"/>
        </w:tabs>
        <w:ind w:left="720" w:hanging="360"/>
      </w:pPr>
      <w:rPr>
        <w:rFonts w:ascii="Arial" w:hAnsi="Arial" w:hint="default"/>
      </w:rPr>
    </w:lvl>
    <w:lvl w:ilvl="1" w:tplc="C81A33A6" w:tentative="1">
      <w:start w:val="1"/>
      <w:numFmt w:val="bullet"/>
      <w:lvlText w:val="•"/>
      <w:lvlJc w:val="left"/>
      <w:pPr>
        <w:tabs>
          <w:tab w:val="num" w:pos="1440"/>
        </w:tabs>
        <w:ind w:left="1440" w:hanging="360"/>
      </w:pPr>
      <w:rPr>
        <w:rFonts w:ascii="Arial" w:hAnsi="Arial" w:hint="default"/>
      </w:rPr>
    </w:lvl>
    <w:lvl w:ilvl="2" w:tplc="BC1AC6B6" w:tentative="1">
      <w:start w:val="1"/>
      <w:numFmt w:val="bullet"/>
      <w:lvlText w:val="•"/>
      <w:lvlJc w:val="left"/>
      <w:pPr>
        <w:tabs>
          <w:tab w:val="num" w:pos="2160"/>
        </w:tabs>
        <w:ind w:left="2160" w:hanging="360"/>
      </w:pPr>
      <w:rPr>
        <w:rFonts w:ascii="Arial" w:hAnsi="Arial" w:hint="default"/>
      </w:rPr>
    </w:lvl>
    <w:lvl w:ilvl="3" w:tplc="A68CE148" w:tentative="1">
      <w:start w:val="1"/>
      <w:numFmt w:val="bullet"/>
      <w:lvlText w:val="•"/>
      <w:lvlJc w:val="left"/>
      <w:pPr>
        <w:tabs>
          <w:tab w:val="num" w:pos="2880"/>
        </w:tabs>
        <w:ind w:left="2880" w:hanging="360"/>
      </w:pPr>
      <w:rPr>
        <w:rFonts w:ascii="Arial" w:hAnsi="Arial" w:hint="default"/>
      </w:rPr>
    </w:lvl>
    <w:lvl w:ilvl="4" w:tplc="44AC006A" w:tentative="1">
      <w:start w:val="1"/>
      <w:numFmt w:val="bullet"/>
      <w:lvlText w:val="•"/>
      <w:lvlJc w:val="left"/>
      <w:pPr>
        <w:tabs>
          <w:tab w:val="num" w:pos="3600"/>
        </w:tabs>
        <w:ind w:left="3600" w:hanging="360"/>
      </w:pPr>
      <w:rPr>
        <w:rFonts w:ascii="Arial" w:hAnsi="Arial" w:hint="default"/>
      </w:rPr>
    </w:lvl>
    <w:lvl w:ilvl="5" w:tplc="3692D918" w:tentative="1">
      <w:start w:val="1"/>
      <w:numFmt w:val="bullet"/>
      <w:lvlText w:val="•"/>
      <w:lvlJc w:val="left"/>
      <w:pPr>
        <w:tabs>
          <w:tab w:val="num" w:pos="4320"/>
        </w:tabs>
        <w:ind w:left="4320" w:hanging="360"/>
      </w:pPr>
      <w:rPr>
        <w:rFonts w:ascii="Arial" w:hAnsi="Arial" w:hint="default"/>
      </w:rPr>
    </w:lvl>
    <w:lvl w:ilvl="6" w:tplc="EF88D89E" w:tentative="1">
      <w:start w:val="1"/>
      <w:numFmt w:val="bullet"/>
      <w:lvlText w:val="•"/>
      <w:lvlJc w:val="left"/>
      <w:pPr>
        <w:tabs>
          <w:tab w:val="num" w:pos="5040"/>
        </w:tabs>
        <w:ind w:left="5040" w:hanging="360"/>
      </w:pPr>
      <w:rPr>
        <w:rFonts w:ascii="Arial" w:hAnsi="Arial" w:hint="default"/>
      </w:rPr>
    </w:lvl>
    <w:lvl w:ilvl="7" w:tplc="D95E9C46" w:tentative="1">
      <w:start w:val="1"/>
      <w:numFmt w:val="bullet"/>
      <w:lvlText w:val="•"/>
      <w:lvlJc w:val="left"/>
      <w:pPr>
        <w:tabs>
          <w:tab w:val="num" w:pos="5760"/>
        </w:tabs>
        <w:ind w:left="5760" w:hanging="360"/>
      </w:pPr>
      <w:rPr>
        <w:rFonts w:ascii="Arial" w:hAnsi="Arial" w:hint="default"/>
      </w:rPr>
    </w:lvl>
    <w:lvl w:ilvl="8" w:tplc="9F9807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362C6B"/>
    <w:multiLevelType w:val="hybridMultilevel"/>
    <w:tmpl w:val="6FBC2076"/>
    <w:lvl w:ilvl="0" w:tplc="9678E3CE">
      <w:start w:val="1"/>
      <w:numFmt w:val="bullet"/>
      <w:lvlText w:val="•"/>
      <w:lvlJc w:val="left"/>
      <w:pPr>
        <w:tabs>
          <w:tab w:val="num" w:pos="720"/>
        </w:tabs>
        <w:ind w:left="720" w:hanging="360"/>
      </w:pPr>
      <w:rPr>
        <w:rFonts w:ascii="Arial" w:hAnsi="Arial" w:hint="default"/>
      </w:rPr>
    </w:lvl>
    <w:lvl w:ilvl="1" w:tplc="F26EF5B2" w:tentative="1">
      <w:start w:val="1"/>
      <w:numFmt w:val="bullet"/>
      <w:lvlText w:val="•"/>
      <w:lvlJc w:val="left"/>
      <w:pPr>
        <w:tabs>
          <w:tab w:val="num" w:pos="1440"/>
        </w:tabs>
        <w:ind w:left="1440" w:hanging="360"/>
      </w:pPr>
      <w:rPr>
        <w:rFonts w:ascii="Arial" w:hAnsi="Arial" w:hint="default"/>
      </w:rPr>
    </w:lvl>
    <w:lvl w:ilvl="2" w:tplc="3B242172" w:tentative="1">
      <w:start w:val="1"/>
      <w:numFmt w:val="bullet"/>
      <w:lvlText w:val="•"/>
      <w:lvlJc w:val="left"/>
      <w:pPr>
        <w:tabs>
          <w:tab w:val="num" w:pos="2160"/>
        </w:tabs>
        <w:ind w:left="2160" w:hanging="360"/>
      </w:pPr>
      <w:rPr>
        <w:rFonts w:ascii="Arial" w:hAnsi="Arial" w:hint="default"/>
      </w:rPr>
    </w:lvl>
    <w:lvl w:ilvl="3" w:tplc="99B06652" w:tentative="1">
      <w:start w:val="1"/>
      <w:numFmt w:val="bullet"/>
      <w:lvlText w:val="•"/>
      <w:lvlJc w:val="left"/>
      <w:pPr>
        <w:tabs>
          <w:tab w:val="num" w:pos="2880"/>
        </w:tabs>
        <w:ind w:left="2880" w:hanging="360"/>
      </w:pPr>
      <w:rPr>
        <w:rFonts w:ascii="Arial" w:hAnsi="Arial" w:hint="default"/>
      </w:rPr>
    </w:lvl>
    <w:lvl w:ilvl="4" w:tplc="CC403E50" w:tentative="1">
      <w:start w:val="1"/>
      <w:numFmt w:val="bullet"/>
      <w:lvlText w:val="•"/>
      <w:lvlJc w:val="left"/>
      <w:pPr>
        <w:tabs>
          <w:tab w:val="num" w:pos="3600"/>
        </w:tabs>
        <w:ind w:left="3600" w:hanging="360"/>
      </w:pPr>
      <w:rPr>
        <w:rFonts w:ascii="Arial" w:hAnsi="Arial" w:hint="default"/>
      </w:rPr>
    </w:lvl>
    <w:lvl w:ilvl="5" w:tplc="13D671E4" w:tentative="1">
      <w:start w:val="1"/>
      <w:numFmt w:val="bullet"/>
      <w:lvlText w:val="•"/>
      <w:lvlJc w:val="left"/>
      <w:pPr>
        <w:tabs>
          <w:tab w:val="num" w:pos="4320"/>
        </w:tabs>
        <w:ind w:left="4320" w:hanging="360"/>
      </w:pPr>
      <w:rPr>
        <w:rFonts w:ascii="Arial" w:hAnsi="Arial" w:hint="default"/>
      </w:rPr>
    </w:lvl>
    <w:lvl w:ilvl="6" w:tplc="D3CCC204" w:tentative="1">
      <w:start w:val="1"/>
      <w:numFmt w:val="bullet"/>
      <w:lvlText w:val="•"/>
      <w:lvlJc w:val="left"/>
      <w:pPr>
        <w:tabs>
          <w:tab w:val="num" w:pos="5040"/>
        </w:tabs>
        <w:ind w:left="5040" w:hanging="360"/>
      </w:pPr>
      <w:rPr>
        <w:rFonts w:ascii="Arial" w:hAnsi="Arial" w:hint="default"/>
      </w:rPr>
    </w:lvl>
    <w:lvl w:ilvl="7" w:tplc="B2D078A4" w:tentative="1">
      <w:start w:val="1"/>
      <w:numFmt w:val="bullet"/>
      <w:lvlText w:val="•"/>
      <w:lvlJc w:val="left"/>
      <w:pPr>
        <w:tabs>
          <w:tab w:val="num" w:pos="5760"/>
        </w:tabs>
        <w:ind w:left="5760" w:hanging="360"/>
      </w:pPr>
      <w:rPr>
        <w:rFonts w:ascii="Arial" w:hAnsi="Arial" w:hint="default"/>
      </w:rPr>
    </w:lvl>
    <w:lvl w:ilvl="8" w:tplc="D106521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1C15DB"/>
    <w:multiLevelType w:val="hybridMultilevel"/>
    <w:tmpl w:val="57523688"/>
    <w:lvl w:ilvl="0" w:tplc="84D462BA">
      <w:start w:val="1"/>
      <w:numFmt w:val="bullet"/>
      <w:lvlText w:val="•"/>
      <w:lvlJc w:val="left"/>
      <w:pPr>
        <w:tabs>
          <w:tab w:val="num" w:pos="720"/>
        </w:tabs>
        <w:ind w:left="720" w:hanging="360"/>
      </w:pPr>
      <w:rPr>
        <w:rFonts w:ascii="Arial" w:hAnsi="Arial" w:hint="default"/>
      </w:rPr>
    </w:lvl>
    <w:lvl w:ilvl="1" w:tplc="F1620114" w:tentative="1">
      <w:start w:val="1"/>
      <w:numFmt w:val="bullet"/>
      <w:lvlText w:val="•"/>
      <w:lvlJc w:val="left"/>
      <w:pPr>
        <w:tabs>
          <w:tab w:val="num" w:pos="1440"/>
        </w:tabs>
        <w:ind w:left="1440" w:hanging="360"/>
      </w:pPr>
      <w:rPr>
        <w:rFonts w:ascii="Arial" w:hAnsi="Arial" w:hint="default"/>
      </w:rPr>
    </w:lvl>
    <w:lvl w:ilvl="2" w:tplc="C72C96A2" w:tentative="1">
      <w:start w:val="1"/>
      <w:numFmt w:val="bullet"/>
      <w:lvlText w:val="•"/>
      <w:lvlJc w:val="left"/>
      <w:pPr>
        <w:tabs>
          <w:tab w:val="num" w:pos="2160"/>
        </w:tabs>
        <w:ind w:left="2160" w:hanging="360"/>
      </w:pPr>
      <w:rPr>
        <w:rFonts w:ascii="Arial" w:hAnsi="Arial" w:hint="default"/>
      </w:rPr>
    </w:lvl>
    <w:lvl w:ilvl="3" w:tplc="4A727A34" w:tentative="1">
      <w:start w:val="1"/>
      <w:numFmt w:val="bullet"/>
      <w:lvlText w:val="•"/>
      <w:lvlJc w:val="left"/>
      <w:pPr>
        <w:tabs>
          <w:tab w:val="num" w:pos="2880"/>
        </w:tabs>
        <w:ind w:left="2880" w:hanging="360"/>
      </w:pPr>
      <w:rPr>
        <w:rFonts w:ascii="Arial" w:hAnsi="Arial" w:hint="default"/>
      </w:rPr>
    </w:lvl>
    <w:lvl w:ilvl="4" w:tplc="8D52004A" w:tentative="1">
      <w:start w:val="1"/>
      <w:numFmt w:val="bullet"/>
      <w:lvlText w:val="•"/>
      <w:lvlJc w:val="left"/>
      <w:pPr>
        <w:tabs>
          <w:tab w:val="num" w:pos="3600"/>
        </w:tabs>
        <w:ind w:left="3600" w:hanging="360"/>
      </w:pPr>
      <w:rPr>
        <w:rFonts w:ascii="Arial" w:hAnsi="Arial" w:hint="default"/>
      </w:rPr>
    </w:lvl>
    <w:lvl w:ilvl="5" w:tplc="67E2C336" w:tentative="1">
      <w:start w:val="1"/>
      <w:numFmt w:val="bullet"/>
      <w:lvlText w:val="•"/>
      <w:lvlJc w:val="left"/>
      <w:pPr>
        <w:tabs>
          <w:tab w:val="num" w:pos="4320"/>
        </w:tabs>
        <w:ind w:left="4320" w:hanging="360"/>
      </w:pPr>
      <w:rPr>
        <w:rFonts w:ascii="Arial" w:hAnsi="Arial" w:hint="default"/>
      </w:rPr>
    </w:lvl>
    <w:lvl w:ilvl="6" w:tplc="666485A8" w:tentative="1">
      <w:start w:val="1"/>
      <w:numFmt w:val="bullet"/>
      <w:lvlText w:val="•"/>
      <w:lvlJc w:val="left"/>
      <w:pPr>
        <w:tabs>
          <w:tab w:val="num" w:pos="5040"/>
        </w:tabs>
        <w:ind w:left="5040" w:hanging="360"/>
      </w:pPr>
      <w:rPr>
        <w:rFonts w:ascii="Arial" w:hAnsi="Arial" w:hint="default"/>
      </w:rPr>
    </w:lvl>
    <w:lvl w:ilvl="7" w:tplc="24702930" w:tentative="1">
      <w:start w:val="1"/>
      <w:numFmt w:val="bullet"/>
      <w:lvlText w:val="•"/>
      <w:lvlJc w:val="left"/>
      <w:pPr>
        <w:tabs>
          <w:tab w:val="num" w:pos="5760"/>
        </w:tabs>
        <w:ind w:left="5760" w:hanging="360"/>
      </w:pPr>
      <w:rPr>
        <w:rFonts w:ascii="Arial" w:hAnsi="Arial" w:hint="default"/>
      </w:rPr>
    </w:lvl>
    <w:lvl w:ilvl="8" w:tplc="8A02E24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BC41104"/>
    <w:multiLevelType w:val="hybridMultilevel"/>
    <w:tmpl w:val="E5D832B8"/>
    <w:lvl w:ilvl="0" w:tplc="44FAB828">
      <w:start w:val="1"/>
      <w:numFmt w:val="bullet"/>
      <w:lvlText w:val="•"/>
      <w:lvlJc w:val="left"/>
      <w:pPr>
        <w:tabs>
          <w:tab w:val="num" w:pos="720"/>
        </w:tabs>
        <w:ind w:left="720" w:hanging="360"/>
      </w:pPr>
      <w:rPr>
        <w:rFonts w:ascii="Arial" w:hAnsi="Arial" w:hint="default"/>
      </w:rPr>
    </w:lvl>
    <w:lvl w:ilvl="1" w:tplc="7BD6454A" w:tentative="1">
      <w:start w:val="1"/>
      <w:numFmt w:val="bullet"/>
      <w:lvlText w:val="•"/>
      <w:lvlJc w:val="left"/>
      <w:pPr>
        <w:tabs>
          <w:tab w:val="num" w:pos="1440"/>
        </w:tabs>
        <w:ind w:left="1440" w:hanging="360"/>
      </w:pPr>
      <w:rPr>
        <w:rFonts w:ascii="Arial" w:hAnsi="Arial" w:hint="default"/>
      </w:rPr>
    </w:lvl>
    <w:lvl w:ilvl="2" w:tplc="86B43218" w:tentative="1">
      <w:start w:val="1"/>
      <w:numFmt w:val="bullet"/>
      <w:lvlText w:val="•"/>
      <w:lvlJc w:val="left"/>
      <w:pPr>
        <w:tabs>
          <w:tab w:val="num" w:pos="2160"/>
        </w:tabs>
        <w:ind w:left="2160" w:hanging="360"/>
      </w:pPr>
      <w:rPr>
        <w:rFonts w:ascii="Arial" w:hAnsi="Arial" w:hint="default"/>
      </w:rPr>
    </w:lvl>
    <w:lvl w:ilvl="3" w:tplc="4B101AEE" w:tentative="1">
      <w:start w:val="1"/>
      <w:numFmt w:val="bullet"/>
      <w:lvlText w:val="•"/>
      <w:lvlJc w:val="left"/>
      <w:pPr>
        <w:tabs>
          <w:tab w:val="num" w:pos="2880"/>
        </w:tabs>
        <w:ind w:left="2880" w:hanging="360"/>
      </w:pPr>
      <w:rPr>
        <w:rFonts w:ascii="Arial" w:hAnsi="Arial" w:hint="default"/>
      </w:rPr>
    </w:lvl>
    <w:lvl w:ilvl="4" w:tplc="8220A43A" w:tentative="1">
      <w:start w:val="1"/>
      <w:numFmt w:val="bullet"/>
      <w:lvlText w:val="•"/>
      <w:lvlJc w:val="left"/>
      <w:pPr>
        <w:tabs>
          <w:tab w:val="num" w:pos="3600"/>
        </w:tabs>
        <w:ind w:left="3600" w:hanging="360"/>
      </w:pPr>
      <w:rPr>
        <w:rFonts w:ascii="Arial" w:hAnsi="Arial" w:hint="default"/>
      </w:rPr>
    </w:lvl>
    <w:lvl w:ilvl="5" w:tplc="D396AADE" w:tentative="1">
      <w:start w:val="1"/>
      <w:numFmt w:val="bullet"/>
      <w:lvlText w:val="•"/>
      <w:lvlJc w:val="left"/>
      <w:pPr>
        <w:tabs>
          <w:tab w:val="num" w:pos="4320"/>
        </w:tabs>
        <w:ind w:left="4320" w:hanging="360"/>
      </w:pPr>
      <w:rPr>
        <w:rFonts w:ascii="Arial" w:hAnsi="Arial" w:hint="default"/>
      </w:rPr>
    </w:lvl>
    <w:lvl w:ilvl="6" w:tplc="95020CCC" w:tentative="1">
      <w:start w:val="1"/>
      <w:numFmt w:val="bullet"/>
      <w:lvlText w:val="•"/>
      <w:lvlJc w:val="left"/>
      <w:pPr>
        <w:tabs>
          <w:tab w:val="num" w:pos="5040"/>
        </w:tabs>
        <w:ind w:left="5040" w:hanging="360"/>
      </w:pPr>
      <w:rPr>
        <w:rFonts w:ascii="Arial" w:hAnsi="Arial" w:hint="default"/>
      </w:rPr>
    </w:lvl>
    <w:lvl w:ilvl="7" w:tplc="6BBCAD3E" w:tentative="1">
      <w:start w:val="1"/>
      <w:numFmt w:val="bullet"/>
      <w:lvlText w:val="•"/>
      <w:lvlJc w:val="left"/>
      <w:pPr>
        <w:tabs>
          <w:tab w:val="num" w:pos="5760"/>
        </w:tabs>
        <w:ind w:left="5760" w:hanging="360"/>
      </w:pPr>
      <w:rPr>
        <w:rFonts w:ascii="Arial" w:hAnsi="Arial" w:hint="default"/>
      </w:rPr>
    </w:lvl>
    <w:lvl w:ilvl="8" w:tplc="8F4CF76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F707990"/>
    <w:multiLevelType w:val="hybridMultilevel"/>
    <w:tmpl w:val="951CC076"/>
    <w:lvl w:ilvl="0" w:tplc="26A038EE">
      <w:start w:val="1"/>
      <w:numFmt w:val="bullet"/>
      <w:lvlText w:val="•"/>
      <w:lvlJc w:val="left"/>
      <w:pPr>
        <w:tabs>
          <w:tab w:val="num" w:pos="720"/>
        </w:tabs>
        <w:ind w:left="720" w:hanging="360"/>
      </w:pPr>
      <w:rPr>
        <w:rFonts w:ascii="Arial" w:hAnsi="Arial" w:hint="default"/>
      </w:rPr>
    </w:lvl>
    <w:lvl w:ilvl="1" w:tplc="75DACA42" w:tentative="1">
      <w:start w:val="1"/>
      <w:numFmt w:val="bullet"/>
      <w:lvlText w:val="•"/>
      <w:lvlJc w:val="left"/>
      <w:pPr>
        <w:tabs>
          <w:tab w:val="num" w:pos="1440"/>
        </w:tabs>
        <w:ind w:left="1440" w:hanging="360"/>
      </w:pPr>
      <w:rPr>
        <w:rFonts w:ascii="Arial" w:hAnsi="Arial" w:hint="default"/>
      </w:rPr>
    </w:lvl>
    <w:lvl w:ilvl="2" w:tplc="FFB45F0C" w:tentative="1">
      <w:start w:val="1"/>
      <w:numFmt w:val="bullet"/>
      <w:lvlText w:val="•"/>
      <w:lvlJc w:val="left"/>
      <w:pPr>
        <w:tabs>
          <w:tab w:val="num" w:pos="2160"/>
        </w:tabs>
        <w:ind w:left="2160" w:hanging="360"/>
      </w:pPr>
      <w:rPr>
        <w:rFonts w:ascii="Arial" w:hAnsi="Arial" w:hint="default"/>
      </w:rPr>
    </w:lvl>
    <w:lvl w:ilvl="3" w:tplc="AC5836F8" w:tentative="1">
      <w:start w:val="1"/>
      <w:numFmt w:val="bullet"/>
      <w:lvlText w:val="•"/>
      <w:lvlJc w:val="left"/>
      <w:pPr>
        <w:tabs>
          <w:tab w:val="num" w:pos="2880"/>
        </w:tabs>
        <w:ind w:left="2880" w:hanging="360"/>
      </w:pPr>
      <w:rPr>
        <w:rFonts w:ascii="Arial" w:hAnsi="Arial" w:hint="default"/>
      </w:rPr>
    </w:lvl>
    <w:lvl w:ilvl="4" w:tplc="31ECA86A" w:tentative="1">
      <w:start w:val="1"/>
      <w:numFmt w:val="bullet"/>
      <w:lvlText w:val="•"/>
      <w:lvlJc w:val="left"/>
      <w:pPr>
        <w:tabs>
          <w:tab w:val="num" w:pos="3600"/>
        </w:tabs>
        <w:ind w:left="3600" w:hanging="360"/>
      </w:pPr>
      <w:rPr>
        <w:rFonts w:ascii="Arial" w:hAnsi="Arial" w:hint="default"/>
      </w:rPr>
    </w:lvl>
    <w:lvl w:ilvl="5" w:tplc="7BB8A772" w:tentative="1">
      <w:start w:val="1"/>
      <w:numFmt w:val="bullet"/>
      <w:lvlText w:val="•"/>
      <w:lvlJc w:val="left"/>
      <w:pPr>
        <w:tabs>
          <w:tab w:val="num" w:pos="4320"/>
        </w:tabs>
        <w:ind w:left="4320" w:hanging="360"/>
      </w:pPr>
      <w:rPr>
        <w:rFonts w:ascii="Arial" w:hAnsi="Arial" w:hint="default"/>
      </w:rPr>
    </w:lvl>
    <w:lvl w:ilvl="6" w:tplc="2F0C4872" w:tentative="1">
      <w:start w:val="1"/>
      <w:numFmt w:val="bullet"/>
      <w:lvlText w:val="•"/>
      <w:lvlJc w:val="left"/>
      <w:pPr>
        <w:tabs>
          <w:tab w:val="num" w:pos="5040"/>
        </w:tabs>
        <w:ind w:left="5040" w:hanging="360"/>
      </w:pPr>
      <w:rPr>
        <w:rFonts w:ascii="Arial" w:hAnsi="Arial" w:hint="default"/>
      </w:rPr>
    </w:lvl>
    <w:lvl w:ilvl="7" w:tplc="A6708616" w:tentative="1">
      <w:start w:val="1"/>
      <w:numFmt w:val="bullet"/>
      <w:lvlText w:val="•"/>
      <w:lvlJc w:val="left"/>
      <w:pPr>
        <w:tabs>
          <w:tab w:val="num" w:pos="5760"/>
        </w:tabs>
        <w:ind w:left="5760" w:hanging="360"/>
      </w:pPr>
      <w:rPr>
        <w:rFonts w:ascii="Arial" w:hAnsi="Arial" w:hint="default"/>
      </w:rPr>
    </w:lvl>
    <w:lvl w:ilvl="8" w:tplc="593E2A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77F0EC7"/>
    <w:multiLevelType w:val="hybridMultilevel"/>
    <w:tmpl w:val="4FAAAEFA"/>
    <w:lvl w:ilvl="0" w:tplc="2FE487CC">
      <w:start w:val="1"/>
      <w:numFmt w:val="bullet"/>
      <w:lvlText w:val="•"/>
      <w:lvlJc w:val="left"/>
      <w:pPr>
        <w:tabs>
          <w:tab w:val="num" w:pos="720"/>
        </w:tabs>
        <w:ind w:left="720" w:hanging="360"/>
      </w:pPr>
      <w:rPr>
        <w:rFonts w:ascii="Arial" w:hAnsi="Arial" w:hint="default"/>
      </w:rPr>
    </w:lvl>
    <w:lvl w:ilvl="1" w:tplc="229C46BE" w:tentative="1">
      <w:start w:val="1"/>
      <w:numFmt w:val="bullet"/>
      <w:lvlText w:val="•"/>
      <w:lvlJc w:val="left"/>
      <w:pPr>
        <w:tabs>
          <w:tab w:val="num" w:pos="1440"/>
        </w:tabs>
        <w:ind w:left="1440" w:hanging="360"/>
      </w:pPr>
      <w:rPr>
        <w:rFonts w:ascii="Arial" w:hAnsi="Arial" w:hint="default"/>
      </w:rPr>
    </w:lvl>
    <w:lvl w:ilvl="2" w:tplc="4484084E" w:tentative="1">
      <w:start w:val="1"/>
      <w:numFmt w:val="bullet"/>
      <w:lvlText w:val="•"/>
      <w:lvlJc w:val="left"/>
      <w:pPr>
        <w:tabs>
          <w:tab w:val="num" w:pos="2160"/>
        </w:tabs>
        <w:ind w:left="2160" w:hanging="360"/>
      </w:pPr>
      <w:rPr>
        <w:rFonts w:ascii="Arial" w:hAnsi="Arial" w:hint="default"/>
      </w:rPr>
    </w:lvl>
    <w:lvl w:ilvl="3" w:tplc="D482277A" w:tentative="1">
      <w:start w:val="1"/>
      <w:numFmt w:val="bullet"/>
      <w:lvlText w:val="•"/>
      <w:lvlJc w:val="left"/>
      <w:pPr>
        <w:tabs>
          <w:tab w:val="num" w:pos="2880"/>
        </w:tabs>
        <w:ind w:left="2880" w:hanging="360"/>
      </w:pPr>
      <w:rPr>
        <w:rFonts w:ascii="Arial" w:hAnsi="Arial" w:hint="default"/>
      </w:rPr>
    </w:lvl>
    <w:lvl w:ilvl="4" w:tplc="D546566A" w:tentative="1">
      <w:start w:val="1"/>
      <w:numFmt w:val="bullet"/>
      <w:lvlText w:val="•"/>
      <w:lvlJc w:val="left"/>
      <w:pPr>
        <w:tabs>
          <w:tab w:val="num" w:pos="3600"/>
        </w:tabs>
        <w:ind w:left="3600" w:hanging="360"/>
      </w:pPr>
      <w:rPr>
        <w:rFonts w:ascii="Arial" w:hAnsi="Arial" w:hint="default"/>
      </w:rPr>
    </w:lvl>
    <w:lvl w:ilvl="5" w:tplc="7C820594" w:tentative="1">
      <w:start w:val="1"/>
      <w:numFmt w:val="bullet"/>
      <w:lvlText w:val="•"/>
      <w:lvlJc w:val="left"/>
      <w:pPr>
        <w:tabs>
          <w:tab w:val="num" w:pos="4320"/>
        </w:tabs>
        <w:ind w:left="4320" w:hanging="360"/>
      </w:pPr>
      <w:rPr>
        <w:rFonts w:ascii="Arial" w:hAnsi="Arial" w:hint="default"/>
      </w:rPr>
    </w:lvl>
    <w:lvl w:ilvl="6" w:tplc="4C98B234" w:tentative="1">
      <w:start w:val="1"/>
      <w:numFmt w:val="bullet"/>
      <w:lvlText w:val="•"/>
      <w:lvlJc w:val="left"/>
      <w:pPr>
        <w:tabs>
          <w:tab w:val="num" w:pos="5040"/>
        </w:tabs>
        <w:ind w:left="5040" w:hanging="360"/>
      </w:pPr>
      <w:rPr>
        <w:rFonts w:ascii="Arial" w:hAnsi="Arial" w:hint="default"/>
      </w:rPr>
    </w:lvl>
    <w:lvl w:ilvl="7" w:tplc="FDDC8D6E" w:tentative="1">
      <w:start w:val="1"/>
      <w:numFmt w:val="bullet"/>
      <w:lvlText w:val="•"/>
      <w:lvlJc w:val="left"/>
      <w:pPr>
        <w:tabs>
          <w:tab w:val="num" w:pos="5760"/>
        </w:tabs>
        <w:ind w:left="5760" w:hanging="360"/>
      </w:pPr>
      <w:rPr>
        <w:rFonts w:ascii="Arial" w:hAnsi="Arial" w:hint="default"/>
      </w:rPr>
    </w:lvl>
    <w:lvl w:ilvl="8" w:tplc="168E949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EA711F1"/>
    <w:multiLevelType w:val="hybridMultilevel"/>
    <w:tmpl w:val="E71836C6"/>
    <w:lvl w:ilvl="0" w:tplc="C30C4F54">
      <w:start w:val="1"/>
      <w:numFmt w:val="bullet"/>
      <w:lvlText w:val="•"/>
      <w:lvlJc w:val="left"/>
      <w:pPr>
        <w:tabs>
          <w:tab w:val="num" w:pos="720"/>
        </w:tabs>
        <w:ind w:left="720" w:hanging="360"/>
      </w:pPr>
      <w:rPr>
        <w:rFonts w:ascii="Arial" w:hAnsi="Arial" w:hint="default"/>
      </w:rPr>
    </w:lvl>
    <w:lvl w:ilvl="1" w:tplc="C2A0019E" w:tentative="1">
      <w:start w:val="1"/>
      <w:numFmt w:val="bullet"/>
      <w:lvlText w:val="•"/>
      <w:lvlJc w:val="left"/>
      <w:pPr>
        <w:tabs>
          <w:tab w:val="num" w:pos="1440"/>
        </w:tabs>
        <w:ind w:left="1440" w:hanging="360"/>
      </w:pPr>
      <w:rPr>
        <w:rFonts w:ascii="Arial" w:hAnsi="Arial" w:hint="default"/>
      </w:rPr>
    </w:lvl>
    <w:lvl w:ilvl="2" w:tplc="43322D4C" w:tentative="1">
      <w:start w:val="1"/>
      <w:numFmt w:val="bullet"/>
      <w:lvlText w:val="•"/>
      <w:lvlJc w:val="left"/>
      <w:pPr>
        <w:tabs>
          <w:tab w:val="num" w:pos="2160"/>
        </w:tabs>
        <w:ind w:left="2160" w:hanging="360"/>
      </w:pPr>
      <w:rPr>
        <w:rFonts w:ascii="Arial" w:hAnsi="Arial" w:hint="default"/>
      </w:rPr>
    </w:lvl>
    <w:lvl w:ilvl="3" w:tplc="0FC8B094" w:tentative="1">
      <w:start w:val="1"/>
      <w:numFmt w:val="bullet"/>
      <w:lvlText w:val="•"/>
      <w:lvlJc w:val="left"/>
      <w:pPr>
        <w:tabs>
          <w:tab w:val="num" w:pos="2880"/>
        </w:tabs>
        <w:ind w:left="2880" w:hanging="360"/>
      </w:pPr>
      <w:rPr>
        <w:rFonts w:ascii="Arial" w:hAnsi="Arial" w:hint="default"/>
      </w:rPr>
    </w:lvl>
    <w:lvl w:ilvl="4" w:tplc="99EED64E" w:tentative="1">
      <w:start w:val="1"/>
      <w:numFmt w:val="bullet"/>
      <w:lvlText w:val="•"/>
      <w:lvlJc w:val="left"/>
      <w:pPr>
        <w:tabs>
          <w:tab w:val="num" w:pos="3600"/>
        </w:tabs>
        <w:ind w:left="3600" w:hanging="360"/>
      </w:pPr>
      <w:rPr>
        <w:rFonts w:ascii="Arial" w:hAnsi="Arial" w:hint="default"/>
      </w:rPr>
    </w:lvl>
    <w:lvl w:ilvl="5" w:tplc="F2EE1524" w:tentative="1">
      <w:start w:val="1"/>
      <w:numFmt w:val="bullet"/>
      <w:lvlText w:val="•"/>
      <w:lvlJc w:val="left"/>
      <w:pPr>
        <w:tabs>
          <w:tab w:val="num" w:pos="4320"/>
        </w:tabs>
        <w:ind w:left="4320" w:hanging="360"/>
      </w:pPr>
      <w:rPr>
        <w:rFonts w:ascii="Arial" w:hAnsi="Arial" w:hint="default"/>
      </w:rPr>
    </w:lvl>
    <w:lvl w:ilvl="6" w:tplc="44A85620" w:tentative="1">
      <w:start w:val="1"/>
      <w:numFmt w:val="bullet"/>
      <w:lvlText w:val="•"/>
      <w:lvlJc w:val="left"/>
      <w:pPr>
        <w:tabs>
          <w:tab w:val="num" w:pos="5040"/>
        </w:tabs>
        <w:ind w:left="5040" w:hanging="360"/>
      </w:pPr>
      <w:rPr>
        <w:rFonts w:ascii="Arial" w:hAnsi="Arial" w:hint="default"/>
      </w:rPr>
    </w:lvl>
    <w:lvl w:ilvl="7" w:tplc="78908976" w:tentative="1">
      <w:start w:val="1"/>
      <w:numFmt w:val="bullet"/>
      <w:lvlText w:val="•"/>
      <w:lvlJc w:val="left"/>
      <w:pPr>
        <w:tabs>
          <w:tab w:val="num" w:pos="5760"/>
        </w:tabs>
        <w:ind w:left="5760" w:hanging="360"/>
      </w:pPr>
      <w:rPr>
        <w:rFonts w:ascii="Arial" w:hAnsi="Arial" w:hint="default"/>
      </w:rPr>
    </w:lvl>
    <w:lvl w:ilvl="8" w:tplc="FFC4C11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57E56FD"/>
    <w:multiLevelType w:val="hybridMultilevel"/>
    <w:tmpl w:val="000C085E"/>
    <w:lvl w:ilvl="0" w:tplc="3BA0F32E">
      <w:start w:val="1"/>
      <w:numFmt w:val="bullet"/>
      <w:lvlText w:val="•"/>
      <w:lvlJc w:val="left"/>
      <w:pPr>
        <w:tabs>
          <w:tab w:val="num" w:pos="720"/>
        </w:tabs>
        <w:ind w:left="720" w:hanging="360"/>
      </w:pPr>
      <w:rPr>
        <w:rFonts w:ascii="Arial" w:hAnsi="Arial" w:hint="default"/>
      </w:rPr>
    </w:lvl>
    <w:lvl w:ilvl="1" w:tplc="D9B6CB16" w:tentative="1">
      <w:start w:val="1"/>
      <w:numFmt w:val="bullet"/>
      <w:lvlText w:val="•"/>
      <w:lvlJc w:val="left"/>
      <w:pPr>
        <w:tabs>
          <w:tab w:val="num" w:pos="1440"/>
        </w:tabs>
        <w:ind w:left="1440" w:hanging="360"/>
      </w:pPr>
      <w:rPr>
        <w:rFonts w:ascii="Arial" w:hAnsi="Arial" w:hint="default"/>
      </w:rPr>
    </w:lvl>
    <w:lvl w:ilvl="2" w:tplc="A2A2BFE4" w:tentative="1">
      <w:start w:val="1"/>
      <w:numFmt w:val="bullet"/>
      <w:lvlText w:val="•"/>
      <w:lvlJc w:val="left"/>
      <w:pPr>
        <w:tabs>
          <w:tab w:val="num" w:pos="2160"/>
        </w:tabs>
        <w:ind w:left="2160" w:hanging="360"/>
      </w:pPr>
      <w:rPr>
        <w:rFonts w:ascii="Arial" w:hAnsi="Arial" w:hint="default"/>
      </w:rPr>
    </w:lvl>
    <w:lvl w:ilvl="3" w:tplc="3338414C" w:tentative="1">
      <w:start w:val="1"/>
      <w:numFmt w:val="bullet"/>
      <w:lvlText w:val="•"/>
      <w:lvlJc w:val="left"/>
      <w:pPr>
        <w:tabs>
          <w:tab w:val="num" w:pos="2880"/>
        </w:tabs>
        <w:ind w:left="2880" w:hanging="360"/>
      </w:pPr>
      <w:rPr>
        <w:rFonts w:ascii="Arial" w:hAnsi="Arial" w:hint="default"/>
      </w:rPr>
    </w:lvl>
    <w:lvl w:ilvl="4" w:tplc="8A8E105E" w:tentative="1">
      <w:start w:val="1"/>
      <w:numFmt w:val="bullet"/>
      <w:lvlText w:val="•"/>
      <w:lvlJc w:val="left"/>
      <w:pPr>
        <w:tabs>
          <w:tab w:val="num" w:pos="3600"/>
        </w:tabs>
        <w:ind w:left="3600" w:hanging="360"/>
      </w:pPr>
      <w:rPr>
        <w:rFonts w:ascii="Arial" w:hAnsi="Arial" w:hint="default"/>
      </w:rPr>
    </w:lvl>
    <w:lvl w:ilvl="5" w:tplc="3E7CAC3A" w:tentative="1">
      <w:start w:val="1"/>
      <w:numFmt w:val="bullet"/>
      <w:lvlText w:val="•"/>
      <w:lvlJc w:val="left"/>
      <w:pPr>
        <w:tabs>
          <w:tab w:val="num" w:pos="4320"/>
        </w:tabs>
        <w:ind w:left="4320" w:hanging="360"/>
      </w:pPr>
      <w:rPr>
        <w:rFonts w:ascii="Arial" w:hAnsi="Arial" w:hint="default"/>
      </w:rPr>
    </w:lvl>
    <w:lvl w:ilvl="6" w:tplc="9CE695F0" w:tentative="1">
      <w:start w:val="1"/>
      <w:numFmt w:val="bullet"/>
      <w:lvlText w:val="•"/>
      <w:lvlJc w:val="left"/>
      <w:pPr>
        <w:tabs>
          <w:tab w:val="num" w:pos="5040"/>
        </w:tabs>
        <w:ind w:left="5040" w:hanging="360"/>
      </w:pPr>
      <w:rPr>
        <w:rFonts w:ascii="Arial" w:hAnsi="Arial" w:hint="default"/>
      </w:rPr>
    </w:lvl>
    <w:lvl w:ilvl="7" w:tplc="A4C6B084" w:tentative="1">
      <w:start w:val="1"/>
      <w:numFmt w:val="bullet"/>
      <w:lvlText w:val="•"/>
      <w:lvlJc w:val="left"/>
      <w:pPr>
        <w:tabs>
          <w:tab w:val="num" w:pos="5760"/>
        </w:tabs>
        <w:ind w:left="5760" w:hanging="360"/>
      </w:pPr>
      <w:rPr>
        <w:rFonts w:ascii="Arial" w:hAnsi="Arial" w:hint="default"/>
      </w:rPr>
    </w:lvl>
    <w:lvl w:ilvl="8" w:tplc="635AE70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35C6150"/>
    <w:multiLevelType w:val="hybridMultilevel"/>
    <w:tmpl w:val="EF2E776C"/>
    <w:lvl w:ilvl="0" w:tplc="E40AD90C">
      <w:start w:val="1"/>
      <w:numFmt w:val="bullet"/>
      <w:lvlText w:val="•"/>
      <w:lvlJc w:val="left"/>
      <w:pPr>
        <w:tabs>
          <w:tab w:val="num" w:pos="720"/>
        </w:tabs>
        <w:ind w:left="720" w:hanging="360"/>
      </w:pPr>
      <w:rPr>
        <w:rFonts w:ascii="Arial" w:hAnsi="Arial" w:hint="default"/>
      </w:rPr>
    </w:lvl>
    <w:lvl w:ilvl="1" w:tplc="18EA48E0" w:tentative="1">
      <w:start w:val="1"/>
      <w:numFmt w:val="bullet"/>
      <w:lvlText w:val="•"/>
      <w:lvlJc w:val="left"/>
      <w:pPr>
        <w:tabs>
          <w:tab w:val="num" w:pos="1440"/>
        </w:tabs>
        <w:ind w:left="1440" w:hanging="360"/>
      </w:pPr>
      <w:rPr>
        <w:rFonts w:ascii="Arial" w:hAnsi="Arial" w:hint="default"/>
      </w:rPr>
    </w:lvl>
    <w:lvl w:ilvl="2" w:tplc="1AD236A4" w:tentative="1">
      <w:start w:val="1"/>
      <w:numFmt w:val="bullet"/>
      <w:lvlText w:val="•"/>
      <w:lvlJc w:val="left"/>
      <w:pPr>
        <w:tabs>
          <w:tab w:val="num" w:pos="2160"/>
        </w:tabs>
        <w:ind w:left="2160" w:hanging="360"/>
      </w:pPr>
      <w:rPr>
        <w:rFonts w:ascii="Arial" w:hAnsi="Arial" w:hint="default"/>
      </w:rPr>
    </w:lvl>
    <w:lvl w:ilvl="3" w:tplc="87881678" w:tentative="1">
      <w:start w:val="1"/>
      <w:numFmt w:val="bullet"/>
      <w:lvlText w:val="•"/>
      <w:lvlJc w:val="left"/>
      <w:pPr>
        <w:tabs>
          <w:tab w:val="num" w:pos="2880"/>
        </w:tabs>
        <w:ind w:left="2880" w:hanging="360"/>
      </w:pPr>
      <w:rPr>
        <w:rFonts w:ascii="Arial" w:hAnsi="Arial" w:hint="default"/>
      </w:rPr>
    </w:lvl>
    <w:lvl w:ilvl="4" w:tplc="7C205638" w:tentative="1">
      <w:start w:val="1"/>
      <w:numFmt w:val="bullet"/>
      <w:lvlText w:val="•"/>
      <w:lvlJc w:val="left"/>
      <w:pPr>
        <w:tabs>
          <w:tab w:val="num" w:pos="3600"/>
        </w:tabs>
        <w:ind w:left="3600" w:hanging="360"/>
      </w:pPr>
      <w:rPr>
        <w:rFonts w:ascii="Arial" w:hAnsi="Arial" w:hint="default"/>
      </w:rPr>
    </w:lvl>
    <w:lvl w:ilvl="5" w:tplc="341C88E4" w:tentative="1">
      <w:start w:val="1"/>
      <w:numFmt w:val="bullet"/>
      <w:lvlText w:val="•"/>
      <w:lvlJc w:val="left"/>
      <w:pPr>
        <w:tabs>
          <w:tab w:val="num" w:pos="4320"/>
        </w:tabs>
        <w:ind w:left="4320" w:hanging="360"/>
      </w:pPr>
      <w:rPr>
        <w:rFonts w:ascii="Arial" w:hAnsi="Arial" w:hint="default"/>
      </w:rPr>
    </w:lvl>
    <w:lvl w:ilvl="6" w:tplc="3DA07ED2" w:tentative="1">
      <w:start w:val="1"/>
      <w:numFmt w:val="bullet"/>
      <w:lvlText w:val="•"/>
      <w:lvlJc w:val="left"/>
      <w:pPr>
        <w:tabs>
          <w:tab w:val="num" w:pos="5040"/>
        </w:tabs>
        <w:ind w:left="5040" w:hanging="360"/>
      </w:pPr>
      <w:rPr>
        <w:rFonts w:ascii="Arial" w:hAnsi="Arial" w:hint="default"/>
      </w:rPr>
    </w:lvl>
    <w:lvl w:ilvl="7" w:tplc="AA18EA36" w:tentative="1">
      <w:start w:val="1"/>
      <w:numFmt w:val="bullet"/>
      <w:lvlText w:val="•"/>
      <w:lvlJc w:val="left"/>
      <w:pPr>
        <w:tabs>
          <w:tab w:val="num" w:pos="5760"/>
        </w:tabs>
        <w:ind w:left="5760" w:hanging="360"/>
      </w:pPr>
      <w:rPr>
        <w:rFonts w:ascii="Arial" w:hAnsi="Arial" w:hint="default"/>
      </w:rPr>
    </w:lvl>
    <w:lvl w:ilvl="8" w:tplc="9B4AEE6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801861"/>
    <w:multiLevelType w:val="hybridMultilevel"/>
    <w:tmpl w:val="5BB2494C"/>
    <w:lvl w:ilvl="0" w:tplc="3580B6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B12B28"/>
    <w:multiLevelType w:val="hybridMultilevel"/>
    <w:tmpl w:val="970C430A"/>
    <w:lvl w:ilvl="0" w:tplc="57A4BDCA">
      <w:start w:val="1"/>
      <w:numFmt w:val="bullet"/>
      <w:lvlText w:val="•"/>
      <w:lvlJc w:val="left"/>
      <w:pPr>
        <w:tabs>
          <w:tab w:val="num" w:pos="720"/>
        </w:tabs>
        <w:ind w:left="720" w:hanging="360"/>
      </w:pPr>
      <w:rPr>
        <w:rFonts w:ascii="Arial" w:hAnsi="Arial" w:hint="default"/>
      </w:rPr>
    </w:lvl>
    <w:lvl w:ilvl="1" w:tplc="98B83462" w:tentative="1">
      <w:start w:val="1"/>
      <w:numFmt w:val="bullet"/>
      <w:lvlText w:val="•"/>
      <w:lvlJc w:val="left"/>
      <w:pPr>
        <w:tabs>
          <w:tab w:val="num" w:pos="1440"/>
        </w:tabs>
        <w:ind w:left="1440" w:hanging="360"/>
      </w:pPr>
      <w:rPr>
        <w:rFonts w:ascii="Arial" w:hAnsi="Arial" w:hint="default"/>
      </w:rPr>
    </w:lvl>
    <w:lvl w:ilvl="2" w:tplc="F7868C54" w:tentative="1">
      <w:start w:val="1"/>
      <w:numFmt w:val="bullet"/>
      <w:lvlText w:val="•"/>
      <w:lvlJc w:val="left"/>
      <w:pPr>
        <w:tabs>
          <w:tab w:val="num" w:pos="2160"/>
        </w:tabs>
        <w:ind w:left="2160" w:hanging="360"/>
      </w:pPr>
      <w:rPr>
        <w:rFonts w:ascii="Arial" w:hAnsi="Arial" w:hint="default"/>
      </w:rPr>
    </w:lvl>
    <w:lvl w:ilvl="3" w:tplc="EBA02026" w:tentative="1">
      <w:start w:val="1"/>
      <w:numFmt w:val="bullet"/>
      <w:lvlText w:val="•"/>
      <w:lvlJc w:val="left"/>
      <w:pPr>
        <w:tabs>
          <w:tab w:val="num" w:pos="2880"/>
        </w:tabs>
        <w:ind w:left="2880" w:hanging="360"/>
      </w:pPr>
      <w:rPr>
        <w:rFonts w:ascii="Arial" w:hAnsi="Arial" w:hint="default"/>
      </w:rPr>
    </w:lvl>
    <w:lvl w:ilvl="4" w:tplc="AD90FDCA" w:tentative="1">
      <w:start w:val="1"/>
      <w:numFmt w:val="bullet"/>
      <w:lvlText w:val="•"/>
      <w:lvlJc w:val="left"/>
      <w:pPr>
        <w:tabs>
          <w:tab w:val="num" w:pos="3600"/>
        </w:tabs>
        <w:ind w:left="3600" w:hanging="360"/>
      </w:pPr>
      <w:rPr>
        <w:rFonts w:ascii="Arial" w:hAnsi="Arial" w:hint="default"/>
      </w:rPr>
    </w:lvl>
    <w:lvl w:ilvl="5" w:tplc="ED36CE26" w:tentative="1">
      <w:start w:val="1"/>
      <w:numFmt w:val="bullet"/>
      <w:lvlText w:val="•"/>
      <w:lvlJc w:val="left"/>
      <w:pPr>
        <w:tabs>
          <w:tab w:val="num" w:pos="4320"/>
        </w:tabs>
        <w:ind w:left="4320" w:hanging="360"/>
      </w:pPr>
      <w:rPr>
        <w:rFonts w:ascii="Arial" w:hAnsi="Arial" w:hint="default"/>
      </w:rPr>
    </w:lvl>
    <w:lvl w:ilvl="6" w:tplc="025E22B8" w:tentative="1">
      <w:start w:val="1"/>
      <w:numFmt w:val="bullet"/>
      <w:lvlText w:val="•"/>
      <w:lvlJc w:val="left"/>
      <w:pPr>
        <w:tabs>
          <w:tab w:val="num" w:pos="5040"/>
        </w:tabs>
        <w:ind w:left="5040" w:hanging="360"/>
      </w:pPr>
      <w:rPr>
        <w:rFonts w:ascii="Arial" w:hAnsi="Arial" w:hint="default"/>
      </w:rPr>
    </w:lvl>
    <w:lvl w:ilvl="7" w:tplc="3BEAD4BA" w:tentative="1">
      <w:start w:val="1"/>
      <w:numFmt w:val="bullet"/>
      <w:lvlText w:val="•"/>
      <w:lvlJc w:val="left"/>
      <w:pPr>
        <w:tabs>
          <w:tab w:val="num" w:pos="5760"/>
        </w:tabs>
        <w:ind w:left="5760" w:hanging="360"/>
      </w:pPr>
      <w:rPr>
        <w:rFonts w:ascii="Arial" w:hAnsi="Arial" w:hint="default"/>
      </w:rPr>
    </w:lvl>
    <w:lvl w:ilvl="8" w:tplc="9B28F3C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8F10D1D"/>
    <w:multiLevelType w:val="hybridMultilevel"/>
    <w:tmpl w:val="472E41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905106"/>
    <w:multiLevelType w:val="hybridMultilevel"/>
    <w:tmpl w:val="621656D6"/>
    <w:lvl w:ilvl="0" w:tplc="D9C4F78A">
      <w:start w:val="1"/>
      <w:numFmt w:val="decimal"/>
      <w:lvlText w:val="%1."/>
      <w:lvlJc w:val="left"/>
      <w:pPr>
        <w:ind w:left="1080" w:hanging="360"/>
      </w:pPr>
      <w:rPr>
        <w:rFonts w:ascii="David" w:eastAsiaTheme="minorHAnsi" w:hAnsi="David" w:cs="Davi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151181">
    <w:abstractNumId w:val="11"/>
  </w:num>
  <w:num w:numId="2" w16cid:durableId="2146196961">
    <w:abstractNumId w:val="3"/>
  </w:num>
  <w:num w:numId="3" w16cid:durableId="1399744027">
    <w:abstractNumId w:val="6"/>
  </w:num>
  <w:num w:numId="4" w16cid:durableId="2026206881">
    <w:abstractNumId w:val="9"/>
  </w:num>
  <w:num w:numId="5" w16cid:durableId="1951012224">
    <w:abstractNumId w:val="8"/>
  </w:num>
  <w:num w:numId="6" w16cid:durableId="1670135414">
    <w:abstractNumId w:val="5"/>
  </w:num>
  <w:num w:numId="7" w16cid:durableId="1912155704">
    <w:abstractNumId w:val="2"/>
  </w:num>
  <w:num w:numId="8" w16cid:durableId="2008635071">
    <w:abstractNumId w:val="4"/>
  </w:num>
  <w:num w:numId="9" w16cid:durableId="588734438">
    <w:abstractNumId w:val="1"/>
  </w:num>
  <w:num w:numId="10" w16cid:durableId="1152022137">
    <w:abstractNumId w:val="7"/>
  </w:num>
  <w:num w:numId="11" w16cid:durableId="2021152744">
    <w:abstractNumId w:val="10"/>
  </w:num>
  <w:num w:numId="12" w16cid:durableId="2124612043">
    <w:abstractNumId w:val="0"/>
  </w:num>
  <w:num w:numId="13" w16cid:durableId="962155403">
    <w:abstractNumId w:val="13"/>
  </w:num>
  <w:num w:numId="14" w16cid:durableId="1517160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D7"/>
    <w:rsid w:val="001252A5"/>
    <w:rsid w:val="00270B17"/>
    <w:rsid w:val="00293330"/>
    <w:rsid w:val="002D4CB7"/>
    <w:rsid w:val="0038302B"/>
    <w:rsid w:val="004836C5"/>
    <w:rsid w:val="004E27D5"/>
    <w:rsid w:val="00566172"/>
    <w:rsid w:val="006F0FF8"/>
    <w:rsid w:val="00752EFF"/>
    <w:rsid w:val="007736A6"/>
    <w:rsid w:val="007A3107"/>
    <w:rsid w:val="007E3D97"/>
    <w:rsid w:val="0084069D"/>
    <w:rsid w:val="00851071"/>
    <w:rsid w:val="00855E2D"/>
    <w:rsid w:val="00867603"/>
    <w:rsid w:val="0089296E"/>
    <w:rsid w:val="008D03FE"/>
    <w:rsid w:val="0092170A"/>
    <w:rsid w:val="009330C3"/>
    <w:rsid w:val="009A4D38"/>
    <w:rsid w:val="009E59B0"/>
    <w:rsid w:val="00A82CF4"/>
    <w:rsid w:val="00AA5FCC"/>
    <w:rsid w:val="00AF5C12"/>
    <w:rsid w:val="00B66DA0"/>
    <w:rsid w:val="00BD6640"/>
    <w:rsid w:val="00D3490C"/>
    <w:rsid w:val="00DB49AB"/>
    <w:rsid w:val="00DC7F95"/>
    <w:rsid w:val="00E13EA6"/>
    <w:rsid w:val="00EC0BCF"/>
    <w:rsid w:val="00EC5F9B"/>
    <w:rsid w:val="00ED5ED7"/>
    <w:rsid w:val="00F24D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8BE6"/>
  <w15:chartTrackingRefBased/>
  <w15:docId w15:val="{65C177FB-5C67-4A0A-9B6A-BE4DA01A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52EFF"/>
    <w:pPr>
      <w:spacing w:after="0" w:line="240" w:lineRule="auto"/>
    </w:pPr>
    <w:rPr>
      <w:sz w:val="20"/>
      <w:szCs w:val="20"/>
    </w:rPr>
  </w:style>
  <w:style w:type="character" w:customStyle="1" w:styleId="a4">
    <w:name w:val="טקסט הערת שוליים תו"/>
    <w:basedOn w:val="a0"/>
    <w:link w:val="a3"/>
    <w:uiPriority w:val="99"/>
    <w:semiHidden/>
    <w:rsid w:val="00752EFF"/>
    <w:rPr>
      <w:noProof/>
      <w:sz w:val="20"/>
      <w:szCs w:val="20"/>
    </w:rPr>
  </w:style>
  <w:style w:type="character" w:styleId="a5">
    <w:name w:val="footnote reference"/>
    <w:basedOn w:val="a0"/>
    <w:uiPriority w:val="99"/>
    <w:semiHidden/>
    <w:unhideWhenUsed/>
    <w:rsid w:val="00752EFF"/>
    <w:rPr>
      <w:vertAlign w:val="superscript"/>
    </w:rPr>
  </w:style>
  <w:style w:type="paragraph" w:styleId="a6">
    <w:name w:val="List Paragraph"/>
    <w:basedOn w:val="a"/>
    <w:uiPriority w:val="34"/>
    <w:qFormat/>
    <w:rsid w:val="00752EFF"/>
    <w:pPr>
      <w:ind w:left="720"/>
      <w:contextualSpacing/>
    </w:pPr>
  </w:style>
  <w:style w:type="paragraph" w:styleId="a7">
    <w:name w:val="header"/>
    <w:basedOn w:val="a"/>
    <w:link w:val="a8"/>
    <w:uiPriority w:val="99"/>
    <w:unhideWhenUsed/>
    <w:rsid w:val="00E13EA6"/>
    <w:pPr>
      <w:tabs>
        <w:tab w:val="center" w:pos="4153"/>
        <w:tab w:val="right" w:pos="8306"/>
      </w:tabs>
      <w:spacing w:after="0" w:line="240" w:lineRule="auto"/>
    </w:pPr>
  </w:style>
  <w:style w:type="character" w:customStyle="1" w:styleId="a8">
    <w:name w:val="כותרת עליונה תו"/>
    <w:basedOn w:val="a0"/>
    <w:link w:val="a7"/>
    <w:uiPriority w:val="99"/>
    <w:rsid w:val="00E13EA6"/>
    <w:rPr>
      <w:noProof/>
    </w:rPr>
  </w:style>
  <w:style w:type="paragraph" w:styleId="a9">
    <w:name w:val="footer"/>
    <w:basedOn w:val="a"/>
    <w:link w:val="aa"/>
    <w:uiPriority w:val="99"/>
    <w:unhideWhenUsed/>
    <w:rsid w:val="00E13EA6"/>
    <w:pPr>
      <w:tabs>
        <w:tab w:val="center" w:pos="4153"/>
        <w:tab w:val="right" w:pos="8306"/>
      </w:tabs>
      <w:spacing w:after="0" w:line="240" w:lineRule="auto"/>
    </w:pPr>
  </w:style>
  <w:style w:type="character" w:customStyle="1" w:styleId="aa">
    <w:name w:val="כותרת תחתונה תו"/>
    <w:basedOn w:val="a0"/>
    <w:link w:val="a9"/>
    <w:uiPriority w:val="99"/>
    <w:rsid w:val="00E13EA6"/>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73731">
      <w:bodyDiv w:val="1"/>
      <w:marLeft w:val="0"/>
      <w:marRight w:val="0"/>
      <w:marTop w:val="0"/>
      <w:marBottom w:val="0"/>
      <w:divBdr>
        <w:top w:val="none" w:sz="0" w:space="0" w:color="auto"/>
        <w:left w:val="none" w:sz="0" w:space="0" w:color="auto"/>
        <w:bottom w:val="none" w:sz="0" w:space="0" w:color="auto"/>
        <w:right w:val="none" w:sz="0" w:space="0" w:color="auto"/>
      </w:divBdr>
      <w:divsChild>
        <w:div w:id="1402292992">
          <w:marLeft w:val="0"/>
          <w:marRight w:val="360"/>
          <w:marTop w:val="200"/>
          <w:marBottom w:val="0"/>
          <w:divBdr>
            <w:top w:val="none" w:sz="0" w:space="0" w:color="auto"/>
            <w:left w:val="none" w:sz="0" w:space="0" w:color="auto"/>
            <w:bottom w:val="none" w:sz="0" w:space="0" w:color="auto"/>
            <w:right w:val="none" w:sz="0" w:space="0" w:color="auto"/>
          </w:divBdr>
        </w:div>
        <w:div w:id="66728143">
          <w:marLeft w:val="0"/>
          <w:marRight w:val="360"/>
          <w:marTop w:val="200"/>
          <w:marBottom w:val="0"/>
          <w:divBdr>
            <w:top w:val="none" w:sz="0" w:space="0" w:color="auto"/>
            <w:left w:val="none" w:sz="0" w:space="0" w:color="auto"/>
            <w:bottom w:val="none" w:sz="0" w:space="0" w:color="auto"/>
            <w:right w:val="none" w:sz="0" w:space="0" w:color="auto"/>
          </w:divBdr>
        </w:div>
      </w:divsChild>
    </w:div>
    <w:div w:id="605625187">
      <w:bodyDiv w:val="1"/>
      <w:marLeft w:val="0"/>
      <w:marRight w:val="0"/>
      <w:marTop w:val="0"/>
      <w:marBottom w:val="0"/>
      <w:divBdr>
        <w:top w:val="none" w:sz="0" w:space="0" w:color="auto"/>
        <w:left w:val="none" w:sz="0" w:space="0" w:color="auto"/>
        <w:bottom w:val="none" w:sz="0" w:space="0" w:color="auto"/>
        <w:right w:val="none" w:sz="0" w:space="0" w:color="auto"/>
      </w:divBdr>
      <w:divsChild>
        <w:div w:id="1518740018">
          <w:marLeft w:val="0"/>
          <w:marRight w:val="360"/>
          <w:marTop w:val="200"/>
          <w:marBottom w:val="0"/>
          <w:divBdr>
            <w:top w:val="none" w:sz="0" w:space="0" w:color="auto"/>
            <w:left w:val="none" w:sz="0" w:space="0" w:color="auto"/>
            <w:bottom w:val="none" w:sz="0" w:space="0" w:color="auto"/>
            <w:right w:val="none" w:sz="0" w:space="0" w:color="auto"/>
          </w:divBdr>
        </w:div>
        <w:div w:id="915281585">
          <w:marLeft w:val="0"/>
          <w:marRight w:val="360"/>
          <w:marTop w:val="200"/>
          <w:marBottom w:val="0"/>
          <w:divBdr>
            <w:top w:val="none" w:sz="0" w:space="0" w:color="auto"/>
            <w:left w:val="none" w:sz="0" w:space="0" w:color="auto"/>
            <w:bottom w:val="none" w:sz="0" w:space="0" w:color="auto"/>
            <w:right w:val="none" w:sz="0" w:space="0" w:color="auto"/>
          </w:divBdr>
        </w:div>
      </w:divsChild>
    </w:div>
    <w:div w:id="619067635">
      <w:bodyDiv w:val="1"/>
      <w:marLeft w:val="0"/>
      <w:marRight w:val="0"/>
      <w:marTop w:val="0"/>
      <w:marBottom w:val="0"/>
      <w:divBdr>
        <w:top w:val="none" w:sz="0" w:space="0" w:color="auto"/>
        <w:left w:val="none" w:sz="0" w:space="0" w:color="auto"/>
        <w:bottom w:val="none" w:sz="0" w:space="0" w:color="auto"/>
        <w:right w:val="none" w:sz="0" w:space="0" w:color="auto"/>
      </w:divBdr>
      <w:divsChild>
        <w:div w:id="1495028143">
          <w:marLeft w:val="0"/>
          <w:marRight w:val="360"/>
          <w:marTop w:val="200"/>
          <w:marBottom w:val="0"/>
          <w:divBdr>
            <w:top w:val="none" w:sz="0" w:space="0" w:color="auto"/>
            <w:left w:val="none" w:sz="0" w:space="0" w:color="auto"/>
            <w:bottom w:val="none" w:sz="0" w:space="0" w:color="auto"/>
            <w:right w:val="none" w:sz="0" w:space="0" w:color="auto"/>
          </w:divBdr>
        </w:div>
        <w:div w:id="953635033">
          <w:marLeft w:val="0"/>
          <w:marRight w:val="360"/>
          <w:marTop w:val="200"/>
          <w:marBottom w:val="0"/>
          <w:divBdr>
            <w:top w:val="none" w:sz="0" w:space="0" w:color="auto"/>
            <w:left w:val="none" w:sz="0" w:space="0" w:color="auto"/>
            <w:bottom w:val="none" w:sz="0" w:space="0" w:color="auto"/>
            <w:right w:val="none" w:sz="0" w:space="0" w:color="auto"/>
          </w:divBdr>
        </w:div>
      </w:divsChild>
    </w:div>
    <w:div w:id="646473692">
      <w:bodyDiv w:val="1"/>
      <w:marLeft w:val="0"/>
      <w:marRight w:val="0"/>
      <w:marTop w:val="0"/>
      <w:marBottom w:val="0"/>
      <w:divBdr>
        <w:top w:val="none" w:sz="0" w:space="0" w:color="auto"/>
        <w:left w:val="none" w:sz="0" w:space="0" w:color="auto"/>
        <w:bottom w:val="none" w:sz="0" w:space="0" w:color="auto"/>
        <w:right w:val="none" w:sz="0" w:space="0" w:color="auto"/>
      </w:divBdr>
      <w:divsChild>
        <w:div w:id="1518500946">
          <w:marLeft w:val="0"/>
          <w:marRight w:val="360"/>
          <w:marTop w:val="200"/>
          <w:marBottom w:val="0"/>
          <w:divBdr>
            <w:top w:val="none" w:sz="0" w:space="0" w:color="auto"/>
            <w:left w:val="none" w:sz="0" w:space="0" w:color="auto"/>
            <w:bottom w:val="none" w:sz="0" w:space="0" w:color="auto"/>
            <w:right w:val="none" w:sz="0" w:space="0" w:color="auto"/>
          </w:divBdr>
        </w:div>
        <w:div w:id="1780903951">
          <w:marLeft w:val="0"/>
          <w:marRight w:val="360"/>
          <w:marTop w:val="200"/>
          <w:marBottom w:val="0"/>
          <w:divBdr>
            <w:top w:val="none" w:sz="0" w:space="0" w:color="auto"/>
            <w:left w:val="none" w:sz="0" w:space="0" w:color="auto"/>
            <w:bottom w:val="none" w:sz="0" w:space="0" w:color="auto"/>
            <w:right w:val="none" w:sz="0" w:space="0" w:color="auto"/>
          </w:divBdr>
        </w:div>
      </w:divsChild>
    </w:div>
    <w:div w:id="651641225">
      <w:bodyDiv w:val="1"/>
      <w:marLeft w:val="0"/>
      <w:marRight w:val="0"/>
      <w:marTop w:val="0"/>
      <w:marBottom w:val="0"/>
      <w:divBdr>
        <w:top w:val="none" w:sz="0" w:space="0" w:color="auto"/>
        <w:left w:val="none" w:sz="0" w:space="0" w:color="auto"/>
        <w:bottom w:val="none" w:sz="0" w:space="0" w:color="auto"/>
        <w:right w:val="none" w:sz="0" w:space="0" w:color="auto"/>
      </w:divBdr>
      <w:divsChild>
        <w:div w:id="133564017">
          <w:marLeft w:val="0"/>
          <w:marRight w:val="360"/>
          <w:marTop w:val="200"/>
          <w:marBottom w:val="0"/>
          <w:divBdr>
            <w:top w:val="none" w:sz="0" w:space="0" w:color="auto"/>
            <w:left w:val="none" w:sz="0" w:space="0" w:color="auto"/>
            <w:bottom w:val="none" w:sz="0" w:space="0" w:color="auto"/>
            <w:right w:val="none" w:sz="0" w:space="0" w:color="auto"/>
          </w:divBdr>
        </w:div>
      </w:divsChild>
    </w:div>
    <w:div w:id="705568878">
      <w:bodyDiv w:val="1"/>
      <w:marLeft w:val="0"/>
      <w:marRight w:val="0"/>
      <w:marTop w:val="0"/>
      <w:marBottom w:val="0"/>
      <w:divBdr>
        <w:top w:val="none" w:sz="0" w:space="0" w:color="auto"/>
        <w:left w:val="none" w:sz="0" w:space="0" w:color="auto"/>
        <w:bottom w:val="none" w:sz="0" w:space="0" w:color="auto"/>
        <w:right w:val="none" w:sz="0" w:space="0" w:color="auto"/>
      </w:divBdr>
    </w:div>
    <w:div w:id="856621962">
      <w:bodyDiv w:val="1"/>
      <w:marLeft w:val="0"/>
      <w:marRight w:val="0"/>
      <w:marTop w:val="0"/>
      <w:marBottom w:val="0"/>
      <w:divBdr>
        <w:top w:val="none" w:sz="0" w:space="0" w:color="auto"/>
        <w:left w:val="none" w:sz="0" w:space="0" w:color="auto"/>
        <w:bottom w:val="none" w:sz="0" w:space="0" w:color="auto"/>
        <w:right w:val="none" w:sz="0" w:space="0" w:color="auto"/>
      </w:divBdr>
      <w:divsChild>
        <w:div w:id="606155410">
          <w:marLeft w:val="0"/>
          <w:marRight w:val="360"/>
          <w:marTop w:val="200"/>
          <w:marBottom w:val="0"/>
          <w:divBdr>
            <w:top w:val="none" w:sz="0" w:space="0" w:color="auto"/>
            <w:left w:val="none" w:sz="0" w:space="0" w:color="auto"/>
            <w:bottom w:val="none" w:sz="0" w:space="0" w:color="auto"/>
            <w:right w:val="none" w:sz="0" w:space="0" w:color="auto"/>
          </w:divBdr>
        </w:div>
      </w:divsChild>
    </w:div>
    <w:div w:id="930815937">
      <w:bodyDiv w:val="1"/>
      <w:marLeft w:val="0"/>
      <w:marRight w:val="0"/>
      <w:marTop w:val="0"/>
      <w:marBottom w:val="0"/>
      <w:divBdr>
        <w:top w:val="none" w:sz="0" w:space="0" w:color="auto"/>
        <w:left w:val="none" w:sz="0" w:space="0" w:color="auto"/>
        <w:bottom w:val="none" w:sz="0" w:space="0" w:color="auto"/>
        <w:right w:val="none" w:sz="0" w:space="0" w:color="auto"/>
      </w:divBdr>
      <w:divsChild>
        <w:div w:id="1706175159">
          <w:marLeft w:val="0"/>
          <w:marRight w:val="360"/>
          <w:marTop w:val="200"/>
          <w:marBottom w:val="0"/>
          <w:divBdr>
            <w:top w:val="none" w:sz="0" w:space="0" w:color="auto"/>
            <w:left w:val="none" w:sz="0" w:space="0" w:color="auto"/>
            <w:bottom w:val="none" w:sz="0" w:space="0" w:color="auto"/>
            <w:right w:val="none" w:sz="0" w:space="0" w:color="auto"/>
          </w:divBdr>
        </w:div>
        <w:div w:id="449664481">
          <w:marLeft w:val="0"/>
          <w:marRight w:val="360"/>
          <w:marTop w:val="200"/>
          <w:marBottom w:val="0"/>
          <w:divBdr>
            <w:top w:val="none" w:sz="0" w:space="0" w:color="auto"/>
            <w:left w:val="none" w:sz="0" w:space="0" w:color="auto"/>
            <w:bottom w:val="none" w:sz="0" w:space="0" w:color="auto"/>
            <w:right w:val="none" w:sz="0" w:space="0" w:color="auto"/>
          </w:divBdr>
        </w:div>
      </w:divsChild>
    </w:div>
    <w:div w:id="1289386484">
      <w:bodyDiv w:val="1"/>
      <w:marLeft w:val="0"/>
      <w:marRight w:val="0"/>
      <w:marTop w:val="0"/>
      <w:marBottom w:val="0"/>
      <w:divBdr>
        <w:top w:val="none" w:sz="0" w:space="0" w:color="auto"/>
        <w:left w:val="none" w:sz="0" w:space="0" w:color="auto"/>
        <w:bottom w:val="none" w:sz="0" w:space="0" w:color="auto"/>
        <w:right w:val="none" w:sz="0" w:space="0" w:color="auto"/>
      </w:divBdr>
    </w:div>
    <w:div w:id="1455632310">
      <w:bodyDiv w:val="1"/>
      <w:marLeft w:val="0"/>
      <w:marRight w:val="0"/>
      <w:marTop w:val="0"/>
      <w:marBottom w:val="0"/>
      <w:divBdr>
        <w:top w:val="none" w:sz="0" w:space="0" w:color="auto"/>
        <w:left w:val="none" w:sz="0" w:space="0" w:color="auto"/>
        <w:bottom w:val="none" w:sz="0" w:space="0" w:color="auto"/>
        <w:right w:val="none" w:sz="0" w:space="0" w:color="auto"/>
      </w:divBdr>
      <w:divsChild>
        <w:div w:id="274096357">
          <w:marLeft w:val="0"/>
          <w:marRight w:val="360"/>
          <w:marTop w:val="200"/>
          <w:marBottom w:val="0"/>
          <w:divBdr>
            <w:top w:val="none" w:sz="0" w:space="0" w:color="auto"/>
            <w:left w:val="none" w:sz="0" w:space="0" w:color="auto"/>
            <w:bottom w:val="none" w:sz="0" w:space="0" w:color="auto"/>
            <w:right w:val="none" w:sz="0" w:space="0" w:color="auto"/>
          </w:divBdr>
        </w:div>
        <w:div w:id="2101566012">
          <w:marLeft w:val="0"/>
          <w:marRight w:val="360"/>
          <w:marTop w:val="200"/>
          <w:marBottom w:val="0"/>
          <w:divBdr>
            <w:top w:val="none" w:sz="0" w:space="0" w:color="auto"/>
            <w:left w:val="none" w:sz="0" w:space="0" w:color="auto"/>
            <w:bottom w:val="none" w:sz="0" w:space="0" w:color="auto"/>
            <w:right w:val="none" w:sz="0" w:space="0" w:color="auto"/>
          </w:divBdr>
        </w:div>
      </w:divsChild>
    </w:div>
    <w:div w:id="1468551830">
      <w:bodyDiv w:val="1"/>
      <w:marLeft w:val="0"/>
      <w:marRight w:val="0"/>
      <w:marTop w:val="0"/>
      <w:marBottom w:val="0"/>
      <w:divBdr>
        <w:top w:val="none" w:sz="0" w:space="0" w:color="auto"/>
        <w:left w:val="none" w:sz="0" w:space="0" w:color="auto"/>
        <w:bottom w:val="none" w:sz="0" w:space="0" w:color="auto"/>
        <w:right w:val="none" w:sz="0" w:space="0" w:color="auto"/>
      </w:divBdr>
    </w:div>
    <w:div w:id="1637907395">
      <w:bodyDiv w:val="1"/>
      <w:marLeft w:val="0"/>
      <w:marRight w:val="0"/>
      <w:marTop w:val="0"/>
      <w:marBottom w:val="0"/>
      <w:divBdr>
        <w:top w:val="none" w:sz="0" w:space="0" w:color="auto"/>
        <w:left w:val="none" w:sz="0" w:space="0" w:color="auto"/>
        <w:bottom w:val="none" w:sz="0" w:space="0" w:color="auto"/>
        <w:right w:val="none" w:sz="0" w:space="0" w:color="auto"/>
      </w:divBdr>
    </w:div>
    <w:div w:id="1825510507">
      <w:bodyDiv w:val="1"/>
      <w:marLeft w:val="0"/>
      <w:marRight w:val="0"/>
      <w:marTop w:val="0"/>
      <w:marBottom w:val="0"/>
      <w:divBdr>
        <w:top w:val="none" w:sz="0" w:space="0" w:color="auto"/>
        <w:left w:val="none" w:sz="0" w:space="0" w:color="auto"/>
        <w:bottom w:val="none" w:sz="0" w:space="0" w:color="auto"/>
        <w:right w:val="none" w:sz="0" w:space="0" w:color="auto"/>
      </w:divBdr>
      <w:divsChild>
        <w:div w:id="298463961">
          <w:marLeft w:val="0"/>
          <w:marRight w:val="360"/>
          <w:marTop w:val="200"/>
          <w:marBottom w:val="0"/>
          <w:divBdr>
            <w:top w:val="none" w:sz="0" w:space="0" w:color="auto"/>
            <w:left w:val="none" w:sz="0" w:space="0" w:color="auto"/>
            <w:bottom w:val="none" w:sz="0" w:space="0" w:color="auto"/>
            <w:right w:val="none" w:sz="0" w:space="0" w:color="auto"/>
          </w:divBdr>
        </w:div>
        <w:div w:id="1067725128">
          <w:marLeft w:val="0"/>
          <w:marRight w:val="360"/>
          <w:marTop w:val="200"/>
          <w:marBottom w:val="0"/>
          <w:divBdr>
            <w:top w:val="none" w:sz="0" w:space="0" w:color="auto"/>
            <w:left w:val="none" w:sz="0" w:space="0" w:color="auto"/>
            <w:bottom w:val="none" w:sz="0" w:space="0" w:color="auto"/>
            <w:right w:val="none" w:sz="0" w:space="0" w:color="auto"/>
          </w:divBdr>
        </w:div>
        <w:div w:id="1658454030">
          <w:marLeft w:val="0"/>
          <w:marRight w:val="360"/>
          <w:marTop w:val="200"/>
          <w:marBottom w:val="0"/>
          <w:divBdr>
            <w:top w:val="none" w:sz="0" w:space="0" w:color="auto"/>
            <w:left w:val="none" w:sz="0" w:space="0" w:color="auto"/>
            <w:bottom w:val="none" w:sz="0" w:space="0" w:color="auto"/>
            <w:right w:val="none" w:sz="0" w:space="0" w:color="auto"/>
          </w:divBdr>
        </w:div>
        <w:div w:id="291374356">
          <w:marLeft w:val="0"/>
          <w:marRight w:val="36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5AA89-3F79-4833-B58D-0385775AC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Pages>
  <Words>1441</Words>
  <Characters>7207</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13</cp:revision>
  <dcterms:created xsi:type="dcterms:W3CDTF">2023-04-02T13:44:00Z</dcterms:created>
  <dcterms:modified xsi:type="dcterms:W3CDTF">2023-04-11T09:06:00Z</dcterms:modified>
</cp:coreProperties>
</file>