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A6A0" w14:textId="6356D88E" w:rsidR="0016762A" w:rsidRDefault="0016762A">
      <w:pPr>
        <w:rPr>
          <w:rtl/>
        </w:rPr>
      </w:pPr>
    </w:p>
    <w:p w14:paraId="15BEA5DE" w14:textId="4DEDE6CD" w:rsidR="00BE26B9" w:rsidRDefault="00BE26B9">
      <w:pPr>
        <w:rPr>
          <w:rtl/>
        </w:rPr>
      </w:pPr>
    </w:p>
    <w:p w14:paraId="37992872" w14:textId="77777777" w:rsidR="007B218F" w:rsidRDefault="007B218F">
      <w:pPr>
        <w:rPr>
          <w:b/>
          <w:bCs/>
          <w:color w:val="833C0B" w:themeColor="accent2" w:themeShade="80"/>
          <w:sz w:val="56"/>
          <w:szCs w:val="56"/>
          <w:highlight w:val="cyan"/>
          <w:rtl/>
        </w:rPr>
      </w:pPr>
    </w:p>
    <w:p w14:paraId="3ABC264E" w14:textId="220BBE88" w:rsidR="00BE26B9" w:rsidRPr="00BE26B9" w:rsidRDefault="005B5F55">
      <w:pPr>
        <w:rPr>
          <w:b/>
          <w:bCs/>
          <w:color w:val="833C0B" w:themeColor="accent2" w:themeShade="80"/>
          <w:sz w:val="56"/>
          <w:szCs w:val="56"/>
          <w:rtl/>
        </w:rPr>
      </w:pPr>
      <w:r>
        <w:rPr>
          <w:rFonts w:hint="cs"/>
          <w:b/>
          <w:bCs/>
          <w:color w:val="833C0B" w:themeColor="accent2" w:themeShade="80"/>
          <w:sz w:val="56"/>
          <w:szCs w:val="56"/>
          <w:highlight w:val="cyan"/>
          <w:rtl/>
        </w:rPr>
        <w:t>המשחרר חצי עבד</w:t>
      </w:r>
      <w:r w:rsidR="002039CA">
        <w:rPr>
          <w:rFonts w:hint="cs"/>
          <w:b/>
          <w:bCs/>
          <w:color w:val="833C0B" w:themeColor="accent2" w:themeShade="80"/>
          <w:sz w:val="56"/>
          <w:szCs w:val="56"/>
          <w:highlight w:val="cyan"/>
          <w:rtl/>
        </w:rPr>
        <w:t xml:space="preserve">ו </w:t>
      </w:r>
      <w:r w:rsidR="002039CA">
        <w:rPr>
          <w:b/>
          <w:bCs/>
          <w:color w:val="833C0B" w:themeColor="accent2" w:themeShade="80"/>
          <w:sz w:val="56"/>
          <w:szCs w:val="56"/>
          <w:highlight w:val="cyan"/>
          <w:rtl/>
        </w:rPr>
        <w:t>–</w:t>
      </w:r>
      <w:r w:rsidR="002039CA">
        <w:rPr>
          <w:rFonts w:hint="cs"/>
          <w:b/>
          <w:bCs/>
          <w:color w:val="833C0B" w:themeColor="accent2" w:themeShade="80"/>
          <w:sz w:val="56"/>
          <w:szCs w:val="56"/>
          <w:highlight w:val="cyan"/>
          <w:rtl/>
        </w:rPr>
        <w:t xml:space="preserve"> רבי אומר קנה וחכמים אומרים לא קנה</w:t>
      </w:r>
      <w:r>
        <w:rPr>
          <w:rFonts w:hint="cs"/>
          <w:b/>
          <w:bCs/>
          <w:color w:val="833C0B" w:themeColor="accent2" w:themeShade="80"/>
          <w:sz w:val="56"/>
          <w:szCs w:val="56"/>
          <w:highlight w:val="cyan"/>
          <w:rtl/>
        </w:rPr>
        <w:t xml:space="preserve"> </w:t>
      </w:r>
    </w:p>
    <w:tbl>
      <w:tblPr>
        <w:tblStyle w:val="a3"/>
        <w:bidiVisual/>
        <w:tblW w:w="14119" w:type="dxa"/>
        <w:tblLook w:val="04A0" w:firstRow="1" w:lastRow="0" w:firstColumn="1" w:lastColumn="0" w:noHBand="0" w:noVBand="1"/>
      </w:tblPr>
      <w:tblGrid>
        <w:gridCol w:w="1276"/>
        <w:gridCol w:w="3105"/>
        <w:gridCol w:w="3106"/>
        <w:gridCol w:w="3316"/>
        <w:gridCol w:w="3316"/>
      </w:tblGrid>
      <w:tr w:rsidR="00BE26B9" w:rsidRPr="00BE26B9" w14:paraId="064DD65B" w14:textId="77777777" w:rsidTr="005B5F55">
        <w:tc>
          <w:tcPr>
            <w:tcW w:w="1276" w:type="dxa"/>
            <w:shd w:val="clear" w:color="auto" w:fill="8EAADB" w:themeFill="accent1" w:themeFillTint="99"/>
          </w:tcPr>
          <w:p w14:paraId="5C5395F2" w14:textId="77777777" w:rsidR="00BE26B9" w:rsidRPr="00BE26B9" w:rsidRDefault="00BE26B9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211" w:type="dxa"/>
            <w:gridSpan w:val="2"/>
            <w:shd w:val="clear" w:color="auto" w:fill="8EAADB" w:themeFill="accent1" w:themeFillTint="99"/>
          </w:tcPr>
          <w:p w14:paraId="0DAC4A72" w14:textId="2E2D5AEB" w:rsidR="00BE26B9" w:rsidRPr="00BE26B9" w:rsidRDefault="005B5F5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בכסף</w:t>
            </w:r>
          </w:p>
        </w:tc>
        <w:tc>
          <w:tcPr>
            <w:tcW w:w="6632" w:type="dxa"/>
            <w:gridSpan w:val="2"/>
            <w:shd w:val="clear" w:color="auto" w:fill="8EAADB" w:themeFill="accent1" w:themeFillTint="99"/>
          </w:tcPr>
          <w:p w14:paraId="25B0AF9D" w14:textId="2E7CF357" w:rsidR="00BE26B9" w:rsidRPr="00BE26B9" w:rsidRDefault="005B5F5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בשטר</w:t>
            </w:r>
          </w:p>
        </w:tc>
      </w:tr>
      <w:tr w:rsidR="005B5F55" w14:paraId="5B8EF122" w14:textId="77777777" w:rsidTr="005B5F55">
        <w:tc>
          <w:tcPr>
            <w:tcW w:w="1276" w:type="dxa"/>
            <w:shd w:val="clear" w:color="auto" w:fill="FFD966" w:themeFill="accent4" w:themeFillTint="99"/>
          </w:tcPr>
          <w:p w14:paraId="73251D00" w14:textId="079AB5E7" w:rsidR="005B5F55" w:rsidRPr="00BE26B9" w:rsidRDefault="005B5F5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רבה</w:t>
            </w:r>
          </w:p>
        </w:tc>
        <w:tc>
          <w:tcPr>
            <w:tcW w:w="6211" w:type="dxa"/>
            <w:gridSpan w:val="2"/>
            <w:shd w:val="clear" w:color="auto" w:fill="FFD966" w:themeFill="accent4" w:themeFillTint="99"/>
          </w:tcPr>
          <w:p w14:paraId="1A61659B" w14:textId="77777777" w:rsidR="005B5F55" w:rsidRDefault="005B5F55">
            <w:pPr>
              <w:rPr>
                <w:color w:val="002060"/>
                <w:sz w:val="26"/>
                <w:szCs w:val="26"/>
                <w:rtl/>
              </w:rPr>
            </w:pPr>
            <w:r w:rsidRPr="002039CA">
              <w:rPr>
                <w:rFonts w:hint="cs"/>
                <w:color w:val="002060"/>
                <w:sz w:val="26"/>
                <w:szCs w:val="26"/>
                <w:highlight w:val="cyan"/>
                <w:rtl/>
              </w:rPr>
              <w:t>קנה,</w:t>
            </w:r>
            <w:r w:rsidRPr="005B5F55">
              <w:rPr>
                <w:rFonts w:hint="cs"/>
                <w:color w:val="002060"/>
                <w:sz w:val="26"/>
                <w:szCs w:val="26"/>
                <w:rtl/>
              </w:rPr>
              <w:t xml:space="preserve"> </w:t>
            </w:r>
          </w:p>
          <w:p w14:paraId="71D66ED3" w14:textId="2E309F70" w:rsidR="005B5F55" w:rsidRPr="005B5F55" w:rsidRDefault="005B5F55">
            <w:pPr>
              <w:rPr>
                <w:color w:val="002060"/>
                <w:sz w:val="26"/>
                <w:szCs w:val="26"/>
                <w:rtl/>
              </w:rPr>
            </w:pPr>
            <w:r w:rsidRPr="005B5F55">
              <w:rPr>
                <w:rFonts w:hint="cs"/>
                <w:color w:val="002060"/>
                <w:sz w:val="26"/>
                <w:szCs w:val="26"/>
                <w:rtl/>
              </w:rPr>
              <w:t>מהכתוב 'והפדה לא נפדתה'</w:t>
            </w:r>
            <w:r>
              <w:rPr>
                <w:rFonts w:hint="cs"/>
                <w:color w:val="002060"/>
                <w:sz w:val="26"/>
                <w:szCs w:val="26"/>
                <w:rtl/>
              </w:rPr>
              <w:t xml:space="preserve"> [=פדויה ואינה פדויה]</w:t>
            </w:r>
          </w:p>
        </w:tc>
        <w:tc>
          <w:tcPr>
            <w:tcW w:w="3316" w:type="dxa"/>
            <w:shd w:val="clear" w:color="auto" w:fill="FFD966" w:themeFill="accent4" w:themeFillTint="99"/>
          </w:tcPr>
          <w:p w14:paraId="51A93981" w14:textId="77777777" w:rsidR="005B5F55" w:rsidRDefault="005B5F55">
            <w:pPr>
              <w:rPr>
                <w:color w:val="002060"/>
                <w:sz w:val="26"/>
                <w:szCs w:val="26"/>
                <w:rtl/>
              </w:rPr>
            </w:pPr>
            <w:r w:rsidRPr="002039CA">
              <w:rPr>
                <w:rFonts w:hint="cs"/>
                <w:color w:val="002060"/>
                <w:sz w:val="26"/>
                <w:szCs w:val="26"/>
                <w:highlight w:val="cyan"/>
                <w:rtl/>
              </w:rPr>
              <w:t>רבי: קנה,</w:t>
            </w:r>
            <w:r w:rsidRPr="005B5F55">
              <w:rPr>
                <w:rFonts w:hint="cs"/>
                <w:color w:val="002060"/>
                <w:sz w:val="26"/>
                <w:szCs w:val="26"/>
                <w:rtl/>
              </w:rPr>
              <w:t xml:space="preserve"> </w:t>
            </w:r>
          </w:p>
          <w:p w14:paraId="49CD36E1" w14:textId="52D1883C" w:rsidR="005B5F55" w:rsidRPr="005B5F55" w:rsidRDefault="005B5F55">
            <w:pPr>
              <w:rPr>
                <w:color w:val="002060"/>
                <w:sz w:val="26"/>
                <w:szCs w:val="26"/>
                <w:rtl/>
              </w:rPr>
            </w:pPr>
            <w:r>
              <w:rPr>
                <w:rFonts w:hint="cs"/>
                <w:color w:val="002060"/>
                <w:sz w:val="26"/>
                <w:szCs w:val="26"/>
                <w:rtl/>
              </w:rPr>
              <w:t xml:space="preserve">מההיקש 'והפדה לא נפדתה [=כסף] </w:t>
            </w:r>
            <w:r>
              <w:rPr>
                <w:color w:val="002060"/>
                <w:sz w:val="26"/>
                <w:szCs w:val="26"/>
                <w:rtl/>
              </w:rPr>
              <w:t>–</w:t>
            </w:r>
            <w:r>
              <w:rPr>
                <w:rFonts w:hint="cs"/>
                <w:color w:val="002060"/>
                <w:sz w:val="26"/>
                <w:szCs w:val="26"/>
                <w:rtl/>
              </w:rPr>
              <w:t xml:space="preserve"> או חופשה לא ניתן לה [=שטר]'.</w:t>
            </w:r>
          </w:p>
        </w:tc>
        <w:tc>
          <w:tcPr>
            <w:tcW w:w="3316" w:type="dxa"/>
            <w:shd w:val="clear" w:color="auto" w:fill="FFD966" w:themeFill="accent4" w:themeFillTint="99"/>
          </w:tcPr>
          <w:p w14:paraId="39D45DD6" w14:textId="77777777" w:rsidR="005B5F55" w:rsidRDefault="005B5F55" w:rsidP="005B5F55">
            <w:pPr>
              <w:rPr>
                <w:color w:val="002060"/>
                <w:sz w:val="26"/>
                <w:szCs w:val="26"/>
                <w:rtl/>
              </w:rPr>
            </w:pPr>
            <w:r w:rsidRPr="002039CA">
              <w:rPr>
                <w:rFonts w:hint="cs"/>
                <w:color w:val="002060"/>
                <w:sz w:val="26"/>
                <w:szCs w:val="26"/>
                <w:highlight w:val="cyan"/>
                <w:rtl/>
              </w:rPr>
              <w:t>חכמים: לא קנה,</w:t>
            </w:r>
            <w:r>
              <w:rPr>
                <w:rFonts w:hint="cs"/>
                <w:color w:val="002060"/>
                <w:sz w:val="26"/>
                <w:szCs w:val="26"/>
                <w:rtl/>
              </w:rPr>
              <w:t xml:space="preserve"> </w:t>
            </w:r>
          </w:p>
          <w:p w14:paraId="4A668F29" w14:textId="0829775A" w:rsidR="005B5F55" w:rsidRPr="005B5F55" w:rsidRDefault="005B5F55" w:rsidP="005B5F55">
            <w:pPr>
              <w:rPr>
                <w:color w:val="002060"/>
                <w:sz w:val="26"/>
                <w:szCs w:val="26"/>
                <w:rtl/>
              </w:rPr>
            </w:pPr>
            <w:r>
              <w:rPr>
                <w:rFonts w:hint="cs"/>
                <w:color w:val="002060"/>
                <w:sz w:val="26"/>
                <w:szCs w:val="26"/>
                <w:rtl/>
              </w:rPr>
              <w:t xml:space="preserve">גזירה שווה 'לה </w:t>
            </w:r>
            <w:proofErr w:type="spellStart"/>
            <w:r>
              <w:rPr>
                <w:rFonts w:hint="cs"/>
                <w:color w:val="002060"/>
                <w:sz w:val="26"/>
                <w:szCs w:val="26"/>
                <w:rtl/>
              </w:rPr>
              <w:t>לה</w:t>
            </w:r>
            <w:proofErr w:type="spellEnd"/>
            <w:r>
              <w:rPr>
                <w:rFonts w:hint="cs"/>
                <w:color w:val="002060"/>
                <w:sz w:val="26"/>
                <w:szCs w:val="26"/>
                <w:rtl/>
              </w:rPr>
              <w:t xml:space="preserve">' מאשה שאינה מתגרשת </w:t>
            </w:r>
            <w:proofErr w:type="spellStart"/>
            <w:r>
              <w:rPr>
                <w:rFonts w:hint="cs"/>
                <w:color w:val="002060"/>
                <w:sz w:val="26"/>
                <w:szCs w:val="26"/>
                <w:rtl/>
              </w:rPr>
              <w:t>לחצאין</w:t>
            </w:r>
            <w:proofErr w:type="spellEnd"/>
            <w:r>
              <w:rPr>
                <w:rFonts w:hint="cs"/>
                <w:color w:val="002060"/>
                <w:sz w:val="26"/>
                <w:szCs w:val="26"/>
                <w:rtl/>
              </w:rPr>
              <w:t xml:space="preserve">. </w:t>
            </w:r>
          </w:p>
        </w:tc>
      </w:tr>
      <w:tr w:rsidR="005B5F55" w14:paraId="63C3923A" w14:textId="77777777" w:rsidTr="005B5F55">
        <w:tc>
          <w:tcPr>
            <w:tcW w:w="1276" w:type="dxa"/>
            <w:shd w:val="clear" w:color="auto" w:fill="F4B083" w:themeFill="accent2" w:themeFillTint="99"/>
          </w:tcPr>
          <w:p w14:paraId="15C58C02" w14:textId="40A2A991" w:rsidR="005B5F55" w:rsidRPr="00BE26B9" w:rsidRDefault="005B5F55" w:rsidP="005B5F5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רב יוסף למסקנה</w:t>
            </w:r>
          </w:p>
        </w:tc>
        <w:tc>
          <w:tcPr>
            <w:tcW w:w="3105" w:type="dxa"/>
            <w:shd w:val="clear" w:color="auto" w:fill="F4B083" w:themeFill="accent2" w:themeFillTint="99"/>
          </w:tcPr>
          <w:p w14:paraId="5CB21389" w14:textId="77777777" w:rsidR="005B5F55" w:rsidRDefault="005B5F55" w:rsidP="005B5F55">
            <w:pPr>
              <w:rPr>
                <w:color w:val="002060"/>
                <w:sz w:val="26"/>
                <w:szCs w:val="26"/>
                <w:rtl/>
              </w:rPr>
            </w:pPr>
            <w:r w:rsidRPr="002039CA">
              <w:rPr>
                <w:rFonts w:hint="cs"/>
                <w:color w:val="002060"/>
                <w:sz w:val="26"/>
                <w:szCs w:val="26"/>
                <w:highlight w:val="cyan"/>
                <w:rtl/>
              </w:rPr>
              <w:t>רבי: קנה,</w:t>
            </w:r>
            <w:r w:rsidRPr="005B5F55">
              <w:rPr>
                <w:rFonts w:hint="cs"/>
                <w:color w:val="002060"/>
                <w:sz w:val="26"/>
                <w:szCs w:val="26"/>
                <w:rtl/>
              </w:rPr>
              <w:t xml:space="preserve"> </w:t>
            </w:r>
          </w:p>
          <w:p w14:paraId="3A520451" w14:textId="154FB71D" w:rsidR="005B5F55" w:rsidRPr="005B5F55" w:rsidRDefault="005B5F55" w:rsidP="005B5F55">
            <w:pPr>
              <w:rPr>
                <w:color w:val="002060"/>
                <w:sz w:val="26"/>
                <w:szCs w:val="26"/>
                <w:rtl/>
              </w:rPr>
            </w:pPr>
            <w:r w:rsidRPr="005B5F55">
              <w:rPr>
                <w:rFonts w:hint="cs"/>
                <w:color w:val="002060"/>
                <w:sz w:val="26"/>
                <w:szCs w:val="26"/>
                <w:rtl/>
              </w:rPr>
              <w:t>מהכתוב 'והפדה לא נפדתה'</w:t>
            </w:r>
            <w:r>
              <w:rPr>
                <w:rFonts w:hint="cs"/>
                <w:color w:val="002060"/>
                <w:sz w:val="26"/>
                <w:szCs w:val="26"/>
                <w:rtl/>
              </w:rPr>
              <w:t xml:space="preserve"> [=פדויה ואינה פדויה]</w:t>
            </w:r>
          </w:p>
        </w:tc>
        <w:tc>
          <w:tcPr>
            <w:tcW w:w="3106" w:type="dxa"/>
            <w:shd w:val="clear" w:color="auto" w:fill="F4B083" w:themeFill="accent2" w:themeFillTint="99"/>
          </w:tcPr>
          <w:p w14:paraId="26E604A2" w14:textId="77777777" w:rsidR="005B5F55" w:rsidRDefault="005B5F55" w:rsidP="005B5F55">
            <w:pPr>
              <w:rPr>
                <w:color w:val="002060"/>
                <w:sz w:val="26"/>
                <w:szCs w:val="26"/>
                <w:rtl/>
              </w:rPr>
            </w:pPr>
            <w:r w:rsidRPr="002039CA">
              <w:rPr>
                <w:rFonts w:hint="cs"/>
                <w:color w:val="002060"/>
                <w:sz w:val="26"/>
                <w:szCs w:val="26"/>
                <w:highlight w:val="cyan"/>
                <w:rtl/>
              </w:rPr>
              <w:t>חכמים: לא קנה,</w:t>
            </w:r>
            <w:r>
              <w:rPr>
                <w:rFonts w:hint="cs"/>
                <w:color w:val="002060"/>
                <w:sz w:val="26"/>
                <w:szCs w:val="26"/>
                <w:rtl/>
              </w:rPr>
              <w:t xml:space="preserve"> </w:t>
            </w:r>
          </w:p>
          <w:p w14:paraId="5698D65B" w14:textId="7945700C" w:rsidR="005B5F55" w:rsidRPr="005B5F55" w:rsidRDefault="005B5F55" w:rsidP="005B5F55">
            <w:pPr>
              <w:rPr>
                <w:color w:val="002060"/>
                <w:sz w:val="26"/>
                <w:szCs w:val="26"/>
                <w:rtl/>
              </w:rPr>
            </w:pPr>
            <w:r>
              <w:rPr>
                <w:rFonts w:hint="cs"/>
                <w:color w:val="002060"/>
                <w:sz w:val="26"/>
                <w:szCs w:val="26"/>
                <w:rtl/>
              </w:rPr>
              <w:t>הפסוק 'והפדה לא נפדתה' מדבר שלא נפדתה כלל [ודברה תורה בלשון בנ"א]</w:t>
            </w:r>
            <w:r>
              <w:rPr>
                <w:rFonts w:hint="cs"/>
                <w:color w:val="00206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16" w:type="dxa"/>
            <w:shd w:val="clear" w:color="auto" w:fill="F4B083" w:themeFill="accent2" w:themeFillTint="99"/>
          </w:tcPr>
          <w:p w14:paraId="2D734C5F" w14:textId="77777777" w:rsidR="005B5F55" w:rsidRDefault="005B5F55" w:rsidP="005B5F55">
            <w:pPr>
              <w:rPr>
                <w:color w:val="002060"/>
                <w:sz w:val="26"/>
                <w:szCs w:val="26"/>
                <w:rtl/>
              </w:rPr>
            </w:pPr>
            <w:r w:rsidRPr="002039CA">
              <w:rPr>
                <w:rFonts w:hint="cs"/>
                <w:color w:val="002060"/>
                <w:sz w:val="26"/>
                <w:szCs w:val="26"/>
                <w:highlight w:val="cyan"/>
                <w:rtl/>
              </w:rPr>
              <w:t>רבי: קנה,</w:t>
            </w:r>
            <w:r w:rsidRPr="005B5F55">
              <w:rPr>
                <w:rFonts w:hint="cs"/>
                <w:color w:val="002060"/>
                <w:sz w:val="26"/>
                <w:szCs w:val="26"/>
                <w:rtl/>
              </w:rPr>
              <w:t xml:space="preserve"> </w:t>
            </w:r>
          </w:p>
          <w:p w14:paraId="2742EF5B" w14:textId="3B45938E" w:rsidR="005B5F55" w:rsidRPr="005B5F55" w:rsidRDefault="005B5F55" w:rsidP="005B5F55">
            <w:pPr>
              <w:rPr>
                <w:color w:val="002060"/>
                <w:sz w:val="26"/>
                <w:szCs w:val="26"/>
                <w:rtl/>
              </w:rPr>
            </w:pPr>
            <w:r>
              <w:rPr>
                <w:rFonts w:hint="cs"/>
                <w:color w:val="002060"/>
                <w:sz w:val="26"/>
                <w:szCs w:val="26"/>
                <w:rtl/>
              </w:rPr>
              <w:t xml:space="preserve">מההיקש 'והפדה לא נפדתה [=כסף] </w:t>
            </w:r>
            <w:r>
              <w:rPr>
                <w:color w:val="002060"/>
                <w:sz w:val="26"/>
                <w:szCs w:val="26"/>
                <w:rtl/>
              </w:rPr>
              <w:t>–</w:t>
            </w:r>
            <w:r>
              <w:rPr>
                <w:rFonts w:hint="cs"/>
                <w:color w:val="002060"/>
                <w:sz w:val="26"/>
                <w:szCs w:val="26"/>
                <w:rtl/>
              </w:rPr>
              <w:t xml:space="preserve"> או חופשה לא ניתן לה [=שטר]'.</w:t>
            </w:r>
          </w:p>
        </w:tc>
        <w:tc>
          <w:tcPr>
            <w:tcW w:w="3316" w:type="dxa"/>
            <w:shd w:val="clear" w:color="auto" w:fill="F4B083" w:themeFill="accent2" w:themeFillTint="99"/>
          </w:tcPr>
          <w:p w14:paraId="1C54067A" w14:textId="77777777" w:rsidR="005B5F55" w:rsidRDefault="005B5F55" w:rsidP="005B5F55">
            <w:pPr>
              <w:rPr>
                <w:color w:val="002060"/>
                <w:sz w:val="26"/>
                <w:szCs w:val="26"/>
                <w:rtl/>
              </w:rPr>
            </w:pPr>
            <w:r w:rsidRPr="002039CA">
              <w:rPr>
                <w:rFonts w:hint="cs"/>
                <w:color w:val="002060"/>
                <w:sz w:val="26"/>
                <w:szCs w:val="26"/>
                <w:highlight w:val="cyan"/>
                <w:rtl/>
              </w:rPr>
              <w:t>חכמים: לא קנה,</w:t>
            </w:r>
            <w:r>
              <w:rPr>
                <w:rFonts w:hint="cs"/>
                <w:color w:val="002060"/>
                <w:sz w:val="26"/>
                <w:szCs w:val="26"/>
                <w:rtl/>
              </w:rPr>
              <w:t xml:space="preserve"> </w:t>
            </w:r>
          </w:p>
          <w:p w14:paraId="406452A6" w14:textId="3DC52454" w:rsidR="005B5F55" w:rsidRPr="005B5F55" w:rsidRDefault="002039CA" w:rsidP="007C6C0B">
            <w:pPr>
              <w:rPr>
                <w:color w:val="002060"/>
                <w:sz w:val="26"/>
                <w:szCs w:val="26"/>
                <w:rtl/>
              </w:rPr>
            </w:pPr>
            <w:r>
              <w:rPr>
                <w:rFonts w:hint="cs"/>
                <w:color w:val="002060"/>
                <w:sz w:val="26"/>
                <w:szCs w:val="26"/>
                <w:rtl/>
              </w:rPr>
              <w:t>שהרי אף בכסף לא קנה</w:t>
            </w:r>
            <w:r w:rsidR="007C6C0B">
              <w:rPr>
                <w:rFonts w:hint="cs"/>
                <w:color w:val="002060"/>
                <w:sz w:val="26"/>
                <w:szCs w:val="26"/>
                <w:rtl/>
              </w:rPr>
              <w:t xml:space="preserve">, אז אין ללמוד מהיקש.   וכשם שאשה אינה מתגרשת </w:t>
            </w:r>
            <w:proofErr w:type="spellStart"/>
            <w:r w:rsidR="007C6C0B">
              <w:rPr>
                <w:rFonts w:hint="cs"/>
                <w:color w:val="002060"/>
                <w:sz w:val="26"/>
                <w:szCs w:val="26"/>
                <w:rtl/>
              </w:rPr>
              <w:t>לחצאין</w:t>
            </w:r>
            <w:proofErr w:type="spellEnd"/>
            <w:r w:rsidR="007C6C0B">
              <w:rPr>
                <w:rFonts w:hint="cs"/>
                <w:color w:val="002060"/>
                <w:sz w:val="26"/>
                <w:szCs w:val="26"/>
                <w:rtl/>
              </w:rPr>
              <w:t>.</w:t>
            </w:r>
            <w:r w:rsidR="005B5F55">
              <w:rPr>
                <w:rFonts w:hint="cs"/>
                <w:color w:val="002060"/>
                <w:sz w:val="26"/>
                <w:szCs w:val="26"/>
                <w:rtl/>
              </w:rPr>
              <w:t xml:space="preserve"> </w:t>
            </w:r>
          </w:p>
        </w:tc>
      </w:tr>
    </w:tbl>
    <w:p w14:paraId="28DDFB03" w14:textId="77777777" w:rsidR="00BE26B9" w:rsidRDefault="00BE26B9"/>
    <w:sectPr w:rsidR="00BE26B9" w:rsidSect="00BE26B9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6C5A6" w14:textId="77777777" w:rsidR="006224BA" w:rsidRDefault="006224BA" w:rsidP="00BE26B9">
      <w:pPr>
        <w:spacing w:after="0" w:line="240" w:lineRule="auto"/>
      </w:pPr>
      <w:r>
        <w:separator/>
      </w:r>
    </w:p>
  </w:endnote>
  <w:endnote w:type="continuationSeparator" w:id="0">
    <w:p w14:paraId="6FB29E4B" w14:textId="77777777" w:rsidR="006224BA" w:rsidRDefault="006224BA" w:rsidP="00BE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3F17D" w14:textId="77777777" w:rsidR="006224BA" w:rsidRDefault="006224BA" w:rsidP="00BE26B9">
      <w:pPr>
        <w:spacing w:after="0" w:line="240" w:lineRule="auto"/>
      </w:pPr>
      <w:r>
        <w:separator/>
      </w:r>
    </w:p>
  </w:footnote>
  <w:footnote w:type="continuationSeparator" w:id="0">
    <w:p w14:paraId="6424997B" w14:textId="77777777" w:rsidR="006224BA" w:rsidRDefault="006224BA" w:rsidP="00BE26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B9"/>
    <w:rsid w:val="00034F73"/>
    <w:rsid w:val="0016762A"/>
    <w:rsid w:val="002039CA"/>
    <w:rsid w:val="00285326"/>
    <w:rsid w:val="00557698"/>
    <w:rsid w:val="005818EA"/>
    <w:rsid w:val="005B5F55"/>
    <w:rsid w:val="006224BA"/>
    <w:rsid w:val="007B218F"/>
    <w:rsid w:val="007C6C0B"/>
    <w:rsid w:val="00AD0934"/>
    <w:rsid w:val="00AD6BF2"/>
    <w:rsid w:val="00BE26B9"/>
    <w:rsid w:val="00FA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C605E"/>
  <w15:chartTrackingRefBased/>
  <w15:docId w15:val="{1CA96DE8-3E1A-413D-B9F6-8DAFA9AB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BE26B9"/>
    <w:pPr>
      <w:spacing w:after="0" w:line="240" w:lineRule="auto"/>
    </w:pPr>
    <w:rPr>
      <w:sz w:val="20"/>
      <w:szCs w:val="20"/>
    </w:rPr>
  </w:style>
  <w:style w:type="character" w:customStyle="1" w:styleId="a5">
    <w:name w:val="טקסט הערת שוליים תו"/>
    <w:basedOn w:val="a0"/>
    <w:link w:val="a4"/>
    <w:uiPriority w:val="99"/>
    <w:semiHidden/>
    <w:rsid w:val="00BE26B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E26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96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אלעזר אהרנסון</dc:creator>
  <cp:keywords/>
  <dc:description/>
  <cp:lastModifiedBy>אלעזר אהרנסון</cp:lastModifiedBy>
  <cp:revision>2</cp:revision>
  <cp:lastPrinted>2023-06-21T11:42:00Z</cp:lastPrinted>
  <dcterms:created xsi:type="dcterms:W3CDTF">2023-06-27T01:44:00Z</dcterms:created>
  <dcterms:modified xsi:type="dcterms:W3CDTF">2023-06-27T01:44:00Z</dcterms:modified>
</cp:coreProperties>
</file>