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3A28C" w14:textId="166DC20F" w:rsidR="0033361C" w:rsidRPr="0033361C" w:rsidRDefault="0033361C" w:rsidP="0033361C">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33361C">
        <w:rPr>
          <w:rFonts w:asciiTheme="majorBidi" w:hAnsiTheme="majorBidi" w:cstheme="majorBidi"/>
          <w:sz w:val="24"/>
          <w:szCs w:val="24"/>
          <w:rtl/>
        </w:rPr>
        <w:t xml:space="preserve"> מסכת בבא קמא דף כז עמוד ב</w:t>
      </w:r>
    </w:p>
    <w:p w14:paraId="4D33AB04" w14:textId="34CFB418" w:rsidR="00A82CF4" w:rsidRDefault="0033361C" w:rsidP="0033361C">
      <w:pPr>
        <w:spacing w:line="360" w:lineRule="auto"/>
        <w:rPr>
          <w:rFonts w:asciiTheme="majorBidi" w:hAnsiTheme="majorBidi" w:cstheme="majorBidi"/>
          <w:sz w:val="24"/>
          <w:szCs w:val="24"/>
          <w:rtl/>
        </w:rPr>
      </w:pPr>
      <w:r w:rsidRPr="0033361C">
        <w:rPr>
          <w:rFonts w:asciiTheme="majorBidi" w:hAnsiTheme="majorBidi" w:cstheme="majorBidi"/>
          <w:sz w:val="24"/>
          <w:szCs w:val="24"/>
          <w:rtl/>
        </w:rPr>
        <w:t>אתמר, רב יהודה אמר: לא עביד איניש דינא לנפשיה, רב נחמן אמר: עביד איניש דינא לנפשיה; היכא דאיכא פסידא - כ"ע לא פליגי דעביד איניש דינא לנפשיה, כי פליגי - היכא דליכא פסידא, רב יהודה אמר: לא עביד איניש דינא לנפשיה, דכיון דליכא פסידא ליזיל קמיה דיינא; ר"נ אמר: עביד איניש דינא לנפשיה, דכיון דבדין עביד לא טרח.</w:t>
      </w:r>
    </w:p>
    <w:p w14:paraId="0A30CEEE" w14:textId="3A2B74AF" w:rsidR="0033361C" w:rsidRDefault="0033361C" w:rsidP="0033361C">
      <w:pPr>
        <w:spacing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עביד איניש דינא לנפשיה</w:t>
      </w:r>
    </w:p>
    <w:p w14:paraId="0E36B979" w14:textId="1AD50FB0" w:rsidR="0033361C" w:rsidRPr="00F14B7F" w:rsidRDefault="0033361C" w:rsidP="00F14B7F">
      <w:pPr>
        <w:pStyle w:val="aa"/>
        <w:numPr>
          <w:ilvl w:val="0"/>
          <w:numId w:val="1"/>
        </w:numPr>
        <w:spacing w:after="0" w:line="360" w:lineRule="auto"/>
        <w:rPr>
          <w:rFonts w:asciiTheme="majorBidi" w:hAnsiTheme="majorBidi" w:cstheme="majorBidi"/>
          <w:b/>
          <w:bCs/>
          <w:sz w:val="24"/>
          <w:szCs w:val="24"/>
          <w:rtl/>
        </w:rPr>
      </w:pPr>
      <w:r w:rsidRPr="00F14B7F">
        <w:rPr>
          <w:rFonts w:asciiTheme="majorBidi" w:hAnsiTheme="majorBidi" w:cstheme="majorBidi" w:hint="cs"/>
          <w:b/>
          <w:bCs/>
          <w:sz w:val="24"/>
          <w:szCs w:val="24"/>
          <w:rtl/>
        </w:rPr>
        <w:t>הפסיקה במחלוקת האמוראים</w:t>
      </w:r>
    </w:p>
    <w:p w14:paraId="256876C7" w14:textId="6B7CD93E" w:rsidR="0033361C" w:rsidRDefault="0033361C" w:rsidP="00F14B7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כשאדם עומד בפני הפסד, מוסכם שמותר לו  </w:t>
      </w:r>
      <w:r w:rsidR="00F14B7F">
        <w:rPr>
          <w:rFonts w:asciiTheme="majorBidi" w:hAnsiTheme="majorBidi" w:cstheme="majorBidi" w:hint="cs"/>
          <w:sz w:val="24"/>
          <w:szCs w:val="24"/>
          <w:rtl/>
        </w:rPr>
        <w:t>לעשות דין לעצמו</w:t>
      </w:r>
      <w:r>
        <w:rPr>
          <w:rFonts w:asciiTheme="majorBidi" w:hAnsiTheme="majorBidi" w:cstheme="majorBidi" w:hint="cs"/>
          <w:sz w:val="24"/>
          <w:szCs w:val="24"/>
          <w:rtl/>
        </w:rPr>
        <w:t>. אם אין הפסד</w:t>
      </w:r>
      <w:r w:rsidR="0091530E">
        <w:rPr>
          <w:rFonts w:asciiTheme="majorBidi" w:hAnsiTheme="majorBidi" w:cstheme="majorBidi" w:hint="cs"/>
          <w:sz w:val="24"/>
          <w:szCs w:val="24"/>
          <w:rtl/>
        </w:rPr>
        <w:t>,</w:t>
      </w:r>
      <w:r>
        <w:rPr>
          <w:rFonts w:asciiTheme="majorBidi" w:hAnsiTheme="majorBidi" w:cstheme="majorBidi" w:hint="cs"/>
          <w:sz w:val="24"/>
          <w:szCs w:val="24"/>
          <w:rtl/>
        </w:rPr>
        <w:t xml:space="preserve"> לפי </w:t>
      </w:r>
      <w:r w:rsidR="00F14B7F">
        <w:rPr>
          <w:rFonts w:asciiTheme="majorBidi" w:hAnsiTheme="majorBidi" w:cstheme="majorBidi" w:hint="cs"/>
          <w:sz w:val="24"/>
          <w:szCs w:val="24"/>
          <w:rtl/>
        </w:rPr>
        <w:t>רב יהודה</w:t>
      </w:r>
      <w:r>
        <w:rPr>
          <w:rFonts w:asciiTheme="majorBidi" w:hAnsiTheme="majorBidi" w:cstheme="majorBidi" w:hint="cs"/>
          <w:sz w:val="24"/>
          <w:szCs w:val="24"/>
          <w:rtl/>
        </w:rPr>
        <w:t xml:space="preserve">  אסור לו לעשות </w:t>
      </w:r>
      <w:r w:rsidR="00F14B7F">
        <w:rPr>
          <w:rFonts w:asciiTheme="majorBidi" w:hAnsiTheme="majorBidi" w:cstheme="majorBidi" w:hint="cs"/>
          <w:sz w:val="24"/>
          <w:szCs w:val="24"/>
          <w:rtl/>
        </w:rPr>
        <w:t>לעשות דין לעצמו</w:t>
      </w:r>
      <w:r>
        <w:rPr>
          <w:rFonts w:asciiTheme="majorBidi" w:hAnsiTheme="majorBidi" w:cstheme="majorBidi" w:hint="cs"/>
          <w:sz w:val="24"/>
          <w:szCs w:val="24"/>
          <w:rtl/>
        </w:rPr>
        <w:t>, א</w:t>
      </w:r>
      <w:r w:rsidR="007806C8">
        <w:rPr>
          <w:rFonts w:asciiTheme="majorBidi" w:hAnsiTheme="majorBidi" w:cstheme="majorBidi" w:hint="cs"/>
          <w:sz w:val="24"/>
          <w:szCs w:val="24"/>
          <w:rtl/>
        </w:rPr>
        <w:t>ל</w:t>
      </w:r>
      <w:r>
        <w:rPr>
          <w:rFonts w:asciiTheme="majorBidi" w:hAnsiTheme="majorBidi" w:cstheme="majorBidi" w:hint="cs"/>
          <w:sz w:val="24"/>
          <w:szCs w:val="24"/>
          <w:rtl/>
        </w:rPr>
        <w:t>א עליו לפנות לבית הדין</w:t>
      </w:r>
      <w:r w:rsidR="0091530E">
        <w:rPr>
          <w:rFonts w:asciiTheme="majorBidi" w:hAnsiTheme="majorBidi" w:cstheme="majorBidi" w:hint="cs"/>
          <w:sz w:val="24"/>
          <w:szCs w:val="24"/>
          <w:rtl/>
        </w:rPr>
        <w:t>.</w:t>
      </w:r>
      <w:r>
        <w:rPr>
          <w:rFonts w:asciiTheme="majorBidi" w:hAnsiTheme="majorBidi" w:cstheme="majorBidi" w:hint="cs"/>
          <w:sz w:val="24"/>
          <w:szCs w:val="24"/>
          <w:rtl/>
        </w:rPr>
        <w:t xml:space="preserve"> לפי </w:t>
      </w:r>
      <w:r w:rsidR="00F14B7F">
        <w:rPr>
          <w:rFonts w:asciiTheme="majorBidi" w:hAnsiTheme="majorBidi" w:cstheme="majorBidi" w:hint="cs"/>
          <w:sz w:val="24"/>
          <w:szCs w:val="24"/>
          <w:rtl/>
        </w:rPr>
        <w:t>רב נחמן</w:t>
      </w:r>
      <w:r>
        <w:rPr>
          <w:rFonts w:asciiTheme="majorBidi" w:hAnsiTheme="majorBidi" w:cstheme="majorBidi" w:hint="cs"/>
          <w:sz w:val="24"/>
          <w:szCs w:val="24"/>
          <w:rtl/>
        </w:rPr>
        <w:t xml:space="preserve"> מותר לו שלא לטרוח</w:t>
      </w:r>
      <w:r w:rsidR="007806C8">
        <w:rPr>
          <w:rFonts w:asciiTheme="majorBidi" w:hAnsiTheme="majorBidi" w:cstheme="majorBidi" w:hint="cs"/>
          <w:sz w:val="24"/>
          <w:szCs w:val="24"/>
          <w:rtl/>
        </w:rPr>
        <w:t xml:space="preserve">, אלא </w:t>
      </w:r>
      <w:r w:rsidR="00F14B7F">
        <w:rPr>
          <w:rFonts w:asciiTheme="majorBidi" w:hAnsiTheme="majorBidi" w:cstheme="majorBidi" w:hint="cs"/>
          <w:sz w:val="24"/>
          <w:szCs w:val="24"/>
          <w:rtl/>
        </w:rPr>
        <w:t>לעשות דין לעצמו</w:t>
      </w:r>
      <w:r>
        <w:rPr>
          <w:rFonts w:asciiTheme="majorBidi" w:hAnsiTheme="majorBidi" w:cstheme="majorBidi" w:hint="cs"/>
          <w:sz w:val="24"/>
          <w:szCs w:val="24"/>
          <w:rtl/>
        </w:rPr>
        <w:t xml:space="preserve">. </w:t>
      </w:r>
      <w:r w:rsidR="007806C8">
        <w:rPr>
          <w:rFonts w:asciiTheme="majorBidi" w:hAnsiTheme="majorBidi" w:cstheme="majorBidi" w:hint="cs"/>
          <w:sz w:val="24"/>
          <w:szCs w:val="24"/>
          <w:rtl/>
        </w:rPr>
        <w:t>הפוסקים נוקטים כ</w:t>
      </w:r>
      <w:r w:rsidR="00F14B7F">
        <w:rPr>
          <w:rFonts w:asciiTheme="majorBidi" w:hAnsiTheme="majorBidi" w:cstheme="majorBidi" w:hint="cs"/>
          <w:sz w:val="24"/>
          <w:szCs w:val="24"/>
          <w:rtl/>
        </w:rPr>
        <w:t>רב נחמן</w:t>
      </w:r>
      <w:r w:rsidR="007806C8">
        <w:rPr>
          <w:rFonts w:asciiTheme="majorBidi" w:hAnsiTheme="majorBidi" w:cstheme="majorBidi" w:hint="cs"/>
          <w:sz w:val="24"/>
          <w:szCs w:val="24"/>
          <w:rtl/>
        </w:rPr>
        <w:t xml:space="preserve"> משתי סיבות: </w:t>
      </w:r>
    </w:p>
    <w:p w14:paraId="487C0F96" w14:textId="38A82C26" w:rsidR="007806C8" w:rsidRDefault="007806C8" w:rsidP="007806C8">
      <w:pPr>
        <w:spacing w:after="0" w:line="360" w:lineRule="auto"/>
        <w:rPr>
          <w:rFonts w:asciiTheme="majorBidi" w:hAnsiTheme="majorBidi" w:cs="Times New Roman"/>
          <w:sz w:val="24"/>
          <w:szCs w:val="24"/>
          <w:rtl/>
        </w:rPr>
      </w:pPr>
      <w:r w:rsidRPr="007806C8">
        <w:rPr>
          <w:rFonts w:asciiTheme="majorBidi" w:hAnsiTheme="majorBidi" w:cs="Times New Roman"/>
          <w:sz w:val="24"/>
          <w:szCs w:val="24"/>
          <w:rtl/>
        </w:rPr>
        <w:t xml:space="preserve">קיימא לן: </w:t>
      </w:r>
      <w:r w:rsidRPr="007806C8">
        <w:rPr>
          <w:rFonts w:ascii="David" w:hAnsi="David" w:cs="David"/>
          <w:sz w:val="24"/>
          <w:szCs w:val="24"/>
          <w:rtl/>
        </w:rPr>
        <w:t>"הלכתא כרב נחמן בדיני</w:t>
      </w:r>
      <w:r w:rsidRPr="007806C8">
        <w:rPr>
          <w:rStyle w:val="a5"/>
          <w:rFonts w:ascii="David" w:hAnsi="David" w:cs="David"/>
          <w:sz w:val="24"/>
          <w:szCs w:val="24"/>
        </w:rPr>
        <w:footnoteReference w:id="1"/>
      </w:r>
      <w:r w:rsidRPr="007806C8">
        <w:rPr>
          <w:rFonts w:ascii="David" w:hAnsi="David" w:cs="David"/>
          <w:sz w:val="24"/>
          <w:szCs w:val="24"/>
          <w:rtl/>
        </w:rPr>
        <w:t>",</w:t>
      </w:r>
      <w:r>
        <w:rPr>
          <w:rFonts w:asciiTheme="majorBidi" w:hAnsiTheme="majorBidi" w:cs="Times New Roman" w:hint="cs"/>
          <w:sz w:val="24"/>
          <w:szCs w:val="24"/>
          <w:rtl/>
        </w:rPr>
        <w:t xml:space="preserve"> </w:t>
      </w:r>
      <w:r>
        <w:rPr>
          <w:rFonts w:ascii="David" w:hAnsi="David" w:cs="David" w:hint="cs"/>
          <w:sz w:val="24"/>
          <w:szCs w:val="24"/>
          <w:rtl/>
        </w:rPr>
        <w:t>"</w:t>
      </w:r>
      <w:r w:rsidRPr="007806C8">
        <w:rPr>
          <w:rFonts w:ascii="David" w:hAnsi="David" w:cs="David"/>
          <w:sz w:val="24"/>
          <w:szCs w:val="24"/>
          <w:rtl/>
        </w:rPr>
        <w:t>ועוד, דטובא פירכות פריך לרב יהודה ושנינהו בדוחק</w:t>
      </w:r>
      <w:r>
        <w:rPr>
          <w:rStyle w:val="a5"/>
          <w:rFonts w:ascii="David" w:hAnsi="David" w:cs="David"/>
          <w:sz w:val="24"/>
          <w:szCs w:val="24"/>
          <w:rtl/>
        </w:rPr>
        <w:footnoteReference w:id="2"/>
      </w:r>
      <w:r>
        <w:rPr>
          <w:rFonts w:ascii="David" w:hAnsi="David" w:cs="David" w:hint="cs"/>
          <w:sz w:val="24"/>
          <w:szCs w:val="24"/>
          <w:rtl/>
        </w:rPr>
        <w:t>".</w:t>
      </w:r>
    </w:p>
    <w:p w14:paraId="4EC5AFB4" w14:textId="6F95C919" w:rsidR="004C12B4" w:rsidRDefault="007806C8" w:rsidP="004C12B4">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רק רבינו אפרים</w:t>
      </w:r>
      <w:r>
        <w:rPr>
          <w:rStyle w:val="a5"/>
          <w:rFonts w:asciiTheme="majorBidi" w:hAnsiTheme="majorBidi" w:cs="Times New Roman"/>
          <w:sz w:val="24"/>
          <w:szCs w:val="24"/>
          <w:rtl/>
        </w:rPr>
        <w:footnoteReference w:id="3"/>
      </w:r>
      <w:r>
        <w:rPr>
          <w:rFonts w:asciiTheme="majorBidi" w:hAnsiTheme="majorBidi" w:cs="Times New Roman" w:hint="cs"/>
          <w:sz w:val="24"/>
          <w:szCs w:val="24"/>
          <w:rtl/>
        </w:rPr>
        <w:t xml:space="preserve"> סבור שיש לפסוק כ</w:t>
      </w:r>
      <w:r w:rsidR="00F14B7F">
        <w:rPr>
          <w:rFonts w:asciiTheme="majorBidi" w:hAnsiTheme="majorBidi" w:cs="Times New Roman" w:hint="cs"/>
          <w:sz w:val="24"/>
          <w:szCs w:val="24"/>
          <w:rtl/>
        </w:rPr>
        <w:t>רב יהודה</w:t>
      </w:r>
      <w:r>
        <w:rPr>
          <w:rFonts w:asciiTheme="majorBidi" w:hAnsiTheme="majorBidi" w:cs="Times New Roman" w:hint="cs"/>
          <w:sz w:val="24"/>
          <w:szCs w:val="24"/>
          <w:rtl/>
        </w:rPr>
        <w:t xml:space="preserve">. </w:t>
      </w:r>
      <w:r w:rsidR="0091530E">
        <w:rPr>
          <w:rFonts w:asciiTheme="majorBidi" w:hAnsiTheme="majorBidi" w:cs="Times New Roman" w:hint="cs"/>
          <w:sz w:val="24"/>
          <w:szCs w:val="24"/>
          <w:rtl/>
        </w:rPr>
        <w:t xml:space="preserve">נושא עשיית </w:t>
      </w:r>
      <w:r>
        <w:rPr>
          <w:rFonts w:asciiTheme="majorBidi" w:hAnsiTheme="majorBidi" w:cs="Times New Roman" w:hint="cs"/>
          <w:sz w:val="24"/>
          <w:szCs w:val="24"/>
          <w:rtl/>
        </w:rPr>
        <w:t xml:space="preserve">דין לעצמו, לדעתו, הוא בתחום איסור והיתר ולא </w:t>
      </w:r>
      <w:r w:rsidR="0091530E">
        <w:rPr>
          <w:rFonts w:asciiTheme="majorBidi" w:hAnsiTheme="majorBidi" w:cs="Times New Roman" w:hint="cs"/>
          <w:sz w:val="24"/>
          <w:szCs w:val="24"/>
          <w:rtl/>
        </w:rPr>
        <w:t xml:space="preserve">נכלל בדיני </w:t>
      </w:r>
      <w:r>
        <w:rPr>
          <w:rFonts w:asciiTheme="majorBidi" w:hAnsiTheme="majorBidi" w:cs="Times New Roman" w:hint="cs"/>
          <w:sz w:val="24"/>
          <w:szCs w:val="24"/>
          <w:rtl/>
        </w:rPr>
        <w:t xml:space="preserve">ממונות. נוסף על כך שנינו: </w:t>
      </w:r>
      <w:r>
        <w:rPr>
          <w:rFonts w:ascii="David" w:hAnsi="David" w:cs="David" w:hint="cs"/>
          <w:sz w:val="24"/>
          <w:szCs w:val="24"/>
          <w:rtl/>
        </w:rPr>
        <w:t>"</w:t>
      </w:r>
      <w:r w:rsidRPr="007806C8">
        <w:rPr>
          <w:rFonts w:ascii="David" w:hAnsi="David" w:cs="David"/>
          <w:sz w:val="24"/>
          <w:szCs w:val="24"/>
          <w:rtl/>
        </w:rPr>
        <w:t>בא אחר ונתקל בה ושברה - פטור</w:t>
      </w:r>
      <w:r w:rsidRPr="007806C8">
        <w:rPr>
          <w:rStyle w:val="a5"/>
          <w:rFonts w:ascii="David" w:hAnsi="David" w:cs="David"/>
          <w:sz w:val="24"/>
          <w:szCs w:val="24"/>
          <w:rtl/>
        </w:rPr>
        <w:footnoteReference w:id="4"/>
      </w:r>
      <w:r>
        <w:rPr>
          <w:rFonts w:ascii="David" w:hAnsi="David" w:cs="David" w:hint="cs"/>
          <w:sz w:val="24"/>
          <w:szCs w:val="24"/>
          <w:rtl/>
        </w:rPr>
        <w:t>".</w:t>
      </w:r>
      <w:r>
        <w:rPr>
          <w:rFonts w:asciiTheme="majorBidi" w:hAnsiTheme="majorBidi" w:cs="Times New Roman" w:hint="cs"/>
          <w:sz w:val="24"/>
          <w:szCs w:val="24"/>
          <w:rtl/>
        </w:rPr>
        <w:t xml:space="preserve"> אבל לא התירו לו לשוברה לכתחילה. אמנם, ניתן לדחות את הראייה, שכן, נביא הגבלות רבות להיתר </w:t>
      </w:r>
      <w:r w:rsidR="00F14B7F">
        <w:rPr>
          <w:rFonts w:asciiTheme="majorBidi" w:hAnsiTheme="majorBidi" w:cs="Times New Roman" w:hint="cs"/>
          <w:sz w:val="24"/>
          <w:szCs w:val="24"/>
          <w:rtl/>
        </w:rPr>
        <w:t>לעשות דין לעצמו</w:t>
      </w:r>
      <w:r>
        <w:rPr>
          <w:rFonts w:asciiTheme="majorBidi" w:hAnsiTheme="majorBidi" w:cs="Times New Roman" w:hint="cs"/>
          <w:sz w:val="24"/>
          <w:szCs w:val="24"/>
          <w:rtl/>
        </w:rPr>
        <w:t>, ביניהן ההכרח</w:t>
      </w:r>
      <w:r w:rsidR="0091530E">
        <w:rPr>
          <w:rFonts w:asciiTheme="majorBidi" w:hAnsiTheme="majorBidi" w:cs="Times New Roman" w:hint="cs"/>
          <w:sz w:val="24"/>
          <w:szCs w:val="24"/>
          <w:rtl/>
        </w:rPr>
        <w:t xml:space="preserve"> מחוסר אלטרנטיבות</w:t>
      </w:r>
      <w:r>
        <w:rPr>
          <w:rFonts w:asciiTheme="majorBidi" w:hAnsiTheme="majorBidi" w:cs="Times New Roman" w:hint="cs"/>
          <w:sz w:val="24"/>
          <w:szCs w:val="24"/>
          <w:rtl/>
        </w:rPr>
        <w:t>. במשנה אכן עומדות לרשותו דרכים פשוט</w:t>
      </w:r>
      <w:r w:rsidR="00AC0D34">
        <w:rPr>
          <w:rFonts w:asciiTheme="majorBidi" w:hAnsiTheme="majorBidi" w:cs="Times New Roman" w:hint="cs"/>
          <w:sz w:val="24"/>
          <w:szCs w:val="24"/>
          <w:rtl/>
        </w:rPr>
        <w:t>ו</w:t>
      </w:r>
      <w:r>
        <w:rPr>
          <w:rFonts w:asciiTheme="majorBidi" w:hAnsiTheme="majorBidi" w:cs="Times New Roman" w:hint="cs"/>
          <w:sz w:val="24"/>
          <w:szCs w:val="24"/>
          <w:rtl/>
        </w:rPr>
        <w:t>ת בהרבה מ</w:t>
      </w:r>
      <w:r w:rsidR="00AC0D34">
        <w:rPr>
          <w:rFonts w:asciiTheme="majorBidi" w:hAnsiTheme="majorBidi" w:cs="Times New Roman" w:hint="cs"/>
          <w:sz w:val="24"/>
          <w:szCs w:val="24"/>
          <w:rtl/>
        </w:rPr>
        <w:t xml:space="preserve">אשר </w:t>
      </w:r>
      <w:r>
        <w:rPr>
          <w:rFonts w:asciiTheme="majorBidi" w:hAnsiTheme="majorBidi" w:cs="Times New Roman" w:hint="cs"/>
          <w:sz w:val="24"/>
          <w:szCs w:val="24"/>
          <w:rtl/>
        </w:rPr>
        <w:t xml:space="preserve">שבירה מכוונת. </w:t>
      </w:r>
      <w:r w:rsidR="004C12B4">
        <w:rPr>
          <w:rFonts w:asciiTheme="majorBidi" w:hAnsiTheme="majorBidi" w:cs="Times New Roman" w:hint="cs"/>
          <w:sz w:val="24"/>
          <w:szCs w:val="24"/>
          <w:rtl/>
        </w:rPr>
        <w:t>אע"פ שהלכה כ</w:t>
      </w:r>
      <w:r w:rsidR="00F14B7F">
        <w:rPr>
          <w:rFonts w:asciiTheme="majorBidi" w:hAnsiTheme="majorBidi" w:cs="Times New Roman" w:hint="cs"/>
          <w:sz w:val="24"/>
          <w:szCs w:val="24"/>
          <w:rtl/>
        </w:rPr>
        <w:t>רב נחמן</w:t>
      </w:r>
      <w:r w:rsidR="004C12B4">
        <w:rPr>
          <w:rFonts w:asciiTheme="majorBidi" w:hAnsiTheme="majorBidi" w:cs="Times New Roman" w:hint="cs"/>
          <w:sz w:val="24"/>
          <w:szCs w:val="24"/>
          <w:rtl/>
        </w:rPr>
        <w:t xml:space="preserve">, נותר חילוק על פי השאלה אם יש הפסד: </w:t>
      </w:r>
      <w:r w:rsidR="004C12B4" w:rsidRPr="004C12B4">
        <w:rPr>
          <w:rFonts w:ascii="David" w:hAnsi="David" w:cs="David"/>
          <w:sz w:val="24"/>
          <w:szCs w:val="24"/>
          <w:rtl/>
        </w:rPr>
        <w:t xml:space="preserve">"קשה הדבר שיהיה מותר להכותו לכתחילה </w:t>
      </w:r>
      <w:r w:rsidR="004C12B4" w:rsidRPr="004C12B4">
        <w:rPr>
          <w:rFonts w:ascii="David" w:hAnsi="David" w:cs="David"/>
          <w:b/>
          <w:bCs/>
          <w:sz w:val="24"/>
          <w:szCs w:val="24"/>
          <w:rtl/>
        </w:rPr>
        <w:t>במקום דליכא פסידא</w:t>
      </w:r>
      <w:r w:rsidR="004C12B4" w:rsidRPr="004C12B4">
        <w:rPr>
          <w:rFonts w:ascii="David" w:hAnsi="David" w:cs="David"/>
          <w:sz w:val="24"/>
          <w:szCs w:val="24"/>
          <w:rtl/>
        </w:rPr>
        <w:t>, דהא אפילו הבית דין גופיה אין שולחין יד בגופו של המסרב תיכף, רק שולחין שליח בית דין ומוציא בעל כרחו.. וא"כ מהיכי תיתי יהיה הוא בעצמו מותר להכותו, הא הוי כאפשר להצילו בענין אחר, דהיינו שילך לבית דין.. וגם הבית דין אפשר שישלחו שלוחם להוציאו מהבית בלי הכאה כלל. ועוד, שמא יש לו טענה שאינו רוצה לגלות רק לבית דין ויציית למאמר בי"ד</w:t>
      </w:r>
      <w:r w:rsidR="004C12B4" w:rsidRPr="004C12B4">
        <w:rPr>
          <w:rStyle w:val="a5"/>
          <w:rFonts w:ascii="David" w:hAnsi="David" w:cs="David"/>
          <w:sz w:val="24"/>
          <w:szCs w:val="24"/>
          <w:rtl/>
        </w:rPr>
        <w:footnoteReference w:id="5"/>
      </w:r>
      <w:r w:rsidR="004C12B4" w:rsidRPr="004C12B4">
        <w:rPr>
          <w:rFonts w:ascii="David" w:hAnsi="David" w:cs="David"/>
          <w:sz w:val="24"/>
          <w:szCs w:val="24"/>
          <w:rtl/>
        </w:rPr>
        <w:t>".</w:t>
      </w:r>
      <w:r w:rsidR="001802C0">
        <w:rPr>
          <w:rFonts w:asciiTheme="majorBidi" w:hAnsiTheme="majorBidi" w:cs="Times New Roman" w:hint="cs"/>
          <w:sz w:val="24"/>
          <w:szCs w:val="24"/>
          <w:rtl/>
        </w:rPr>
        <w:t xml:space="preserve"> בהמשך נציע שזו דעת הרמב"ם.</w:t>
      </w:r>
    </w:p>
    <w:p w14:paraId="646FA662" w14:textId="6EB9F485" w:rsidR="00AC0D34" w:rsidRPr="00F14B7F" w:rsidRDefault="00AC0D34" w:rsidP="00F14B7F">
      <w:pPr>
        <w:pStyle w:val="aa"/>
        <w:numPr>
          <w:ilvl w:val="0"/>
          <w:numId w:val="1"/>
        </w:numPr>
        <w:spacing w:after="0" w:line="360" w:lineRule="auto"/>
        <w:rPr>
          <w:rFonts w:asciiTheme="majorBidi" w:hAnsiTheme="majorBidi" w:cs="Times New Roman"/>
          <w:b/>
          <w:bCs/>
          <w:sz w:val="24"/>
          <w:szCs w:val="24"/>
          <w:rtl/>
        </w:rPr>
      </w:pPr>
      <w:r w:rsidRPr="00F14B7F">
        <w:rPr>
          <w:rFonts w:asciiTheme="majorBidi" w:hAnsiTheme="majorBidi" w:cs="Times New Roman" w:hint="cs"/>
          <w:b/>
          <w:bCs/>
          <w:sz w:val="24"/>
          <w:szCs w:val="24"/>
          <w:rtl/>
        </w:rPr>
        <w:t>הגבלות ב</w:t>
      </w:r>
      <w:r w:rsidR="00F14B7F" w:rsidRPr="00F14B7F">
        <w:rPr>
          <w:rFonts w:asciiTheme="majorBidi" w:hAnsiTheme="majorBidi" w:cs="Times New Roman" w:hint="cs"/>
          <w:b/>
          <w:bCs/>
          <w:sz w:val="24"/>
          <w:szCs w:val="24"/>
          <w:rtl/>
        </w:rPr>
        <w:t>עש</w:t>
      </w:r>
      <w:r w:rsidR="00F14B7F">
        <w:rPr>
          <w:rFonts w:asciiTheme="majorBidi" w:hAnsiTheme="majorBidi" w:cs="Times New Roman" w:hint="cs"/>
          <w:b/>
          <w:bCs/>
          <w:sz w:val="24"/>
          <w:szCs w:val="24"/>
          <w:rtl/>
        </w:rPr>
        <w:t>יי</w:t>
      </w:r>
      <w:r w:rsidR="00F14B7F" w:rsidRPr="00F14B7F">
        <w:rPr>
          <w:rFonts w:asciiTheme="majorBidi" w:hAnsiTheme="majorBidi" w:cs="Times New Roman" w:hint="cs"/>
          <w:b/>
          <w:bCs/>
          <w:sz w:val="24"/>
          <w:szCs w:val="24"/>
          <w:rtl/>
        </w:rPr>
        <w:t>ת דין לעצמו</w:t>
      </w:r>
    </w:p>
    <w:p w14:paraId="0343D6F0" w14:textId="585F368B" w:rsidR="00E32F1B" w:rsidRPr="00FA023E" w:rsidRDefault="00C20278" w:rsidP="00FA023E">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אם אפשר למנוע נזק,</w:t>
      </w:r>
      <w:r w:rsidR="00A32FED">
        <w:rPr>
          <w:rFonts w:asciiTheme="majorBidi" w:hAnsiTheme="majorBidi" w:cs="Times New Roman" w:hint="cs"/>
          <w:sz w:val="24"/>
          <w:szCs w:val="24"/>
          <w:rtl/>
        </w:rPr>
        <w:t xml:space="preserve"> תוך ביצוע הדין</w:t>
      </w:r>
      <w:r>
        <w:rPr>
          <w:rFonts w:asciiTheme="majorBidi" w:hAnsiTheme="majorBidi" w:cs="Times New Roman" w:hint="cs"/>
          <w:sz w:val="24"/>
          <w:szCs w:val="24"/>
          <w:rtl/>
        </w:rPr>
        <w:t xml:space="preserve"> </w:t>
      </w:r>
      <w:r w:rsidR="00E32F1B">
        <w:rPr>
          <w:rFonts w:asciiTheme="majorBidi" w:hAnsiTheme="majorBidi" w:cs="Times New Roman" w:hint="cs"/>
          <w:sz w:val="24"/>
          <w:szCs w:val="24"/>
          <w:rtl/>
        </w:rPr>
        <w:t>חובה היא. כך ניתן להוכיח מדין הגמרא:</w:t>
      </w:r>
      <w:r w:rsidR="00FA023E">
        <w:rPr>
          <w:rFonts w:asciiTheme="majorBidi" w:hAnsiTheme="majorBidi" w:cs="Times New Roman" w:hint="cs"/>
          <w:sz w:val="24"/>
          <w:szCs w:val="24"/>
          <w:rtl/>
        </w:rPr>
        <w:t xml:space="preserve"> </w:t>
      </w:r>
      <w:r w:rsidR="00E32F1B" w:rsidRPr="00E32F1B">
        <w:rPr>
          <w:rFonts w:ascii="David" w:hAnsi="David" w:cs="David"/>
          <w:sz w:val="24"/>
          <w:szCs w:val="24"/>
          <w:rtl/>
        </w:rPr>
        <w:t>"שור שעלה ע"ג חבירו להורגו, ובא בעל התחתון ו..דחפו לעליון ומת – חייב</w:t>
      </w:r>
      <w:r w:rsidR="00E32F1B" w:rsidRPr="00E32F1B">
        <w:rPr>
          <w:rStyle w:val="a5"/>
          <w:rFonts w:ascii="David" w:hAnsi="David" w:cs="David"/>
          <w:sz w:val="24"/>
          <w:szCs w:val="24"/>
          <w:rtl/>
        </w:rPr>
        <w:footnoteReference w:id="6"/>
      </w:r>
      <w:r w:rsidR="00E32F1B" w:rsidRPr="00E32F1B">
        <w:rPr>
          <w:rFonts w:ascii="David" w:hAnsi="David" w:cs="David"/>
          <w:sz w:val="24"/>
          <w:szCs w:val="24"/>
          <w:rtl/>
        </w:rPr>
        <w:t>".</w:t>
      </w:r>
    </w:p>
    <w:p w14:paraId="2EEA2FBA" w14:textId="6D3C7740" w:rsidR="00AC0D34" w:rsidRDefault="00AC0D34" w:rsidP="00AC0D34">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כתב המרדכי: </w:t>
      </w:r>
      <w:r>
        <w:rPr>
          <w:rFonts w:ascii="David" w:hAnsi="David" w:cs="David" w:hint="cs"/>
          <w:sz w:val="24"/>
          <w:szCs w:val="24"/>
          <w:rtl/>
        </w:rPr>
        <w:t xml:space="preserve">"פסק רבינו מאיר דהני מילי בחפץ </w:t>
      </w:r>
      <w:r w:rsidRPr="006D6E0D">
        <w:rPr>
          <w:rFonts w:ascii="David" w:hAnsi="David" w:cs="David" w:hint="cs"/>
          <w:b/>
          <w:bCs/>
          <w:sz w:val="24"/>
          <w:szCs w:val="24"/>
          <w:rtl/>
        </w:rPr>
        <w:t>המבורר שהוא שלו</w:t>
      </w:r>
      <w:r>
        <w:rPr>
          <w:rFonts w:ascii="David" w:hAnsi="David" w:cs="David" w:hint="cs"/>
          <w:sz w:val="24"/>
          <w:szCs w:val="24"/>
          <w:rtl/>
        </w:rPr>
        <w:t xml:space="preserve"> ומחזיק בו ומסרב להחזיר לו. אבל בשאר מילי, שאין ידוע אם זה שלו אם לא </w:t>
      </w:r>
      <w:r>
        <w:rPr>
          <w:rFonts w:ascii="David" w:hAnsi="David" w:cs="David"/>
          <w:sz w:val="24"/>
          <w:szCs w:val="24"/>
          <w:rtl/>
        </w:rPr>
        <w:t>–</w:t>
      </w:r>
      <w:r>
        <w:rPr>
          <w:rFonts w:ascii="David" w:hAnsi="David" w:cs="David" w:hint="cs"/>
          <w:sz w:val="24"/>
          <w:szCs w:val="24"/>
          <w:rtl/>
        </w:rPr>
        <w:t xml:space="preserve"> לית ליה רשות אפילו היה לו פסידא.. דאם כן לא שבקת חיי לכל בריה, דכל אחד יאמר לחבירו: 'ודאי דידי מגזל קגזלת לי', ויכה אותו". </w:t>
      </w:r>
      <w:r>
        <w:rPr>
          <w:rFonts w:asciiTheme="majorBidi" w:hAnsiTheme="majorBidi" w:cstheme="majorBidi" w:hint="cs"/>
          <w:sz w:val="24"/>
          <w:szCs w:val="24"/>
          <w:rtl/>
        </w:rPr>
        <w:t xml:space="preserve">לכן אסור </w:t>
      </w:r>
      <w:r>
        <w:rPr>
          <w:rFonts w:asciiTheme="majorBidi" w:hAnsiTheme="majorBidi" w:cstheme="majorBidi" w:hint="cs"/>
          <w:sz w:val="24"/>
          <w:szCs w:val="24"/>
          <w:rtl/>
        </w:rPr>
        <w:lastRenderedPageBreak/>
        <w:t xml:space="preserve">לקחת אפילו משכון בכוח. </w:t>
      </w:r>
      <w:r w:rsidR="00FA023E">
        <w:rPr>
          <w:rFonts w:asciiTheme="majorBidi" w:hAnsiTheme="majorBidi" w:cstheme="majorBidi" w:hint="cs"/>
          <w:sz w:val="24"/>
          <w:szCs w:val="24"/>
          <w:rtl/>
        </w:rPr>
        <w:t>הרא"ש</w:t>
      </w:r>
      <w:r w:rsidR="00FA023E">
        <w:rPr>
          <w:rStyle w:val="a5"/>
          <w:rFonts w:asciiTheme="majorBidi" w:hAnsiTheme="majorBidi" w:cstheme="majorBidi"/>
          <w:sz w:val="24"/>
          <w:szCs w:val="24"/>
          <w:rtl/>
        </w:rPr>
        <w:footnoteReference w:id="7"/>
      </w:r>
      <w:r w:rsidR="00FA023E">
        <w:rPr>
          <w:rFonts w:asciiTheme="majorBidi" w:hAnsiTheme="majorBidi" w:cstheme="majorBidi" w:hint="cs"/>
          <w:sz w:val="24"/>
          <w:szCs w:val="24"/>
          <w:rtl/>
        </w:rPr>
        <w:t xml:space="preserve"> הדגיש פעמיים את היכולת לברר, אולי כדי להשמיענו ש"</w:t>
      </w:r>
      <w:r w:rsidR="00FA023E">
        <w:rPr>
          <w:rFonts w:ascii="David" w:hAnsi="David" w:cs="David" w:hint="cs"/>
          <w:sz w:val="24"/>
          <w:szCs w:val="24"/>
          <w:rtl/>
        </w:rPr>
        <w:t>אפילו במקום שיודע הוא שחבירו לא יתבענו לדין.. והוא בעצמו יודע האמת.. ואפילו יתברר אחר כך שהדין עימו</w:t>
      </w:r>
      <w:r w:rsidR="00FA023E">
        <w:rPr>
          <w:rStyle w:val="a5"/>
          <w:rFonts w:ascii="David" w:hAnsi="David" w:cs="David"/>
          <w:sz w:val="24"/>
          <w:szCs w:val="24"/>
          <w:rtl/>
        </w:rPr>
        <w:footnoteReference w:id="8"/>
      </w:r>
      <w:r w:rsidR="00FA023E">
        <w:rPr>
          <w:rFonts w:ascii="David" w:hAnsi="David" w:cs="David" w:hint="cs"/>
          <w:sz w:val="24"/>
          <w:szCs w:val="24"/>
          <w:rtl/>
        </w:rPr>
        <w:t>"</w:t>
      </w:r>
      <w:r w:rsidR="00A32FED">
        <w:rPr>
          <w:rFonts w:ascii="David" w:hAnsi="David" w:cs="David" w:hint="cs"/>
          <w:sz w:val="24"/>
          <w:szCs w:val="24"/>
          <w:rtl/>
        </w:rPr>
        <w:t>,</w:t>
      </w:r>
      <w:r w:rsidR="00FA023E">
        <w:rPr>
          <w:rFonts w:ascii="David" w:hAnsi="David" w:cs="David" w:hint="cs"/>
          <w:sz w:val="24"/>
          <w:szCs w:val="24"/>
          <w:rtl/>
        </w:rPr>
        <w:t xml:space="preserve"> </w:t>
      </w:r>
      <w:r w:rsidR="00FA023E">
        <w:rPr>
          <w:rFonts w:asciiTheme="majorBidi" w:hAnsiTheme="majorBidi" w:cstheme="majorBidi" w:hint="cs"/>
          <w:sz w:val="24"/>
          <w:szCs w:val="24"/>
          <w:rtl/>
        </w:rPr>
        <w:t>אם פגע בחבירו</w:t>
      </w:r>
      <w:r w:rsidR="00A32FED">
        <w:rPr>
          <w:rFonts w:asciiTheme="majorBidi" w:hAnsiTheme="majorBidi" w:cstheme="majorBidi" w:hint="cs"/>
          <w:sz w:val="24"/>
          <w:szCs w:val="24"/>
          <w:rtl/>
        </w:rPr>
        <w:t>-</w:t>
      </w:r>
      <w:r w:rsidR="00FA023E">
        <w:rPr>
          <w:rFonts w:asciiTheme="majorBidi" w:hAnsiTheme="majorBidi" w:cstheme="majorBidi" w:hint="cs"/>
          <w:sz w:val="24"/>
          <w:szCs w:val="24"/>
          <w:rtl/>
        </w:rPr>
        <w:t xml:space="preserve"> יתחייב מדין חובל</w:t>
      </w:r>
      <w:r w:rsidR="00FA023E">
        <w:rPr>
          <w:rFonts w:ascii="David" w:hAnsi="David" w:cs="David" w:hint="cs"/>
          <w:sz w:val="24"/>
          <w:szCs w:val="24"/>
          <w:rtl/>
        </w:rPr>
        <w:t xml:space="preserve">.  </w:t>
      </w:r>
      <w:r>
        <w:rPr>
          <w:rFonts w:asciiTheme="majorBidi" w:hAnsiTheme="majorBidi" w:cstheme="majorBidi" w:hint="cs"/>
          <w:sz w:val="24"/>
          <w:szCs w:val="24"/>
          <w:rtl/>
        </w:rPr>
        <w:t>ה</w:t>
      </w:r>
      <w:r w:rsidR="00FA023E">
        <w:rPr>
          <w:rFonts w:asciiTheme="majorBidi" w:hAnsiTheme="majorBidi" w:cstheme="majorBidi" w:hint="cs"/>
          <w:sz w:val="24"/>
          <w:szCs w:val="24"/>
          <w:rtl/>
        </w:rPr>
        <w:t>מרדכי</w:t>
      </w:r>
      <w:r>
        <w:rPr>
          <w:rFonts w:asciiTheme="majorBidi" w:hAnsiTheme="majorBidi" w:cstheme="majorBidi" w:hint="cs"/>
          <w:sz w:val="24"/>
          <w:szCs w:val="24"/>
          <w:rtl/>
        </w:rPr>
        <w:t xml:space="preserve"> מביא ראיה לדבריו מחרטתו של רב הונא, שחזר בו מהחרמה </w:t>
      </w:r>
      <w:r w:rsidR="0091530E">
        <w:rPr>
          <w:rFonts w:asciiTheme="majorBidi" w:hAnsiTheme="majorBidi" w:cstheme="majorBidi" w:hint="cs"/>
          <w:sz w:val="24"/>
          <w:szCs w:val="24"/>
          <w:rtl/>
        </w:rPr>
        <w:t xml:space="preserve">שביצע, </w:t>
      </w:r>
      <w:r>
        <w:rPr>
          <w:rFonts w:asciiTheme="majorBidi" w:hAnsiTheme="majorBidi" w:cstheme="majorBidi" w:hint="cs"/>
          <w:sz w:val="24"/>
          <w:szCs w:val="24"/>
          <w:rtl/>
        </w:rPr>
        <w:t>למרות שידע בוודאות ש</w:t>
      </w:r>
      <w:r w:rsidR="0091530E">
        <w:rPr>
          <w:rFonts w:asciiTheme="majorBidi" w:hAnsiTheme="majorBidi" w:cstheme="majorBidi" w:hint="cs"/>
          <w:sz w:val="24"/>
          <w:szCs w:val="24"/>
          <w:rtl/>
        </w:rPr>
        <w:t xml:space="preserve">הרכוש </w:t>
      </w:r>
      <w:r>
        <w:rPr>
          <w:rFonts w:asciiTheme="majorBidi" w:hAnsiTheme="majorBidi" w:cstheme="majorBidi" w:hint="cs"/>
          <w:sz w:val="24"/>
          <w:szCs w:val="24"/>
          <w:rtl/>
        </w:rPr>
        <w:t xml:space="preserve">מגיע לו: </w:t>
      </w:r>
      <w:r w:rsidRPr="00AC0D34">
        <w:rPr>
          <w:rFonts w:ascii="David" w:hAnsi="David" w:cs="David"/>
          <w:sz w:val="24"/>
          <w:szCs w:val="24"/>
          <w:rtl/>
        </w:rPr>
        <w:t>"אמרו ליה: הכי שמיע לן דלא יהיב מר שבישא לאריסיה. אמר להו: מי קא שביק לי מידי מיניה? הא קא גניב ליה כוליה! אמרו ליה: היינו דאמרי אינשי: בתר גנבא גנוב, וטעמא טעים. אמר להו: קבילנא עלי דיהיבנא ליה</w:t>
      </w:r>
      <w:r w:rsidRPr="00AC0D34">
        <w:rPr>
          <w:rStyle w:val="a5"/>
          <w:rFonts w:ascii="David" w:hAnsi="David" w:cs="David"/>
          <w:sz w:val="24"/>
          <w:szCs w:val="24"/>
          <w:rtl/>
        </w:rPr>
        <w:footnoteReference w:id="9"/>
      </w:r>
      <w:r w:rsidRPr="00AC0D34">
        <w:rPr>
          <w:rFonts w:ascii="David" w:hAnsi="David" w:cs="David"/>
          <w:sz w:val="24"/>
          <w:szCs w:val="24"/>
          <w:rtl/>
        </w:rPr>
        <w:t>".</w:t>
      </w:r>
      <w:r>
        <w:rPr>
          <w:rFonts w:asciiTheme="majorBidi" w:hAnsiTheme="majorBidi" w:cs="Times New Roman" w:hint="cs"/>
          <w:sz w:val="24"/>
          <w:szCs w:val="24"/>
          <w:rtl/>
        </w:rPr>
        <w:t xml:space="preserve"> הרי שהשיב לו הזמורות, כי לא בהן היה הגזל. </w:t>
      </w:r>
      <w:r w:rsidR="00FA023E">
        <w:rPr>
          <w:rFonts w:asciiTheme="majorBidi" w:hAnsiTheme="majorBidi" w:cstheme="majorBidi" w:hint="cs"/>
          <w:sz w:val="24"/>
          <w:szCs w:val="24"/>
          <w:rtl/>
        </w:rPr>
        <w:t xml:space="preserve">מכאן </w:t>
      </w:r>
      <w:r>
        <w:rPr>
          <w:rFonts w:asciiTheme="majorBidi" w:hAnsiTheme="majorBidi" w:cstheme="majorBidi" w:hint="cs"/>
          <w:sz w:val="24"/>
          <w:szCs w:val="24"/>
          <w:rtl/>
        </w:rPr>
        <w:t>הוסיף המרדכי</w:t>
      </w:r>
      <w:r w:rsidR="006D6E0D">
        <w:rPr>
          <w:rFonts w:asciiTheme="majorBidi" w:hAnsiTheme="majorBidi" w:cstheme="majorBidi" w:hint="cs"/>
          <w:sz w:val="24"/>
          <w:szCs w:val="24"/>
          <w:rtl/>
        </w:rPr>
        <w:t xml:space="preserve"> תנאי נוסף</w:t>
      </w:r>
      <w:r>
        <w:rPr>
          <w:rFonts w:asciiTheme="majorBidi" w:hAnsiTheme="majorBidi" w:cstheme="majorBidi" w:hint="cs"/>
          <w:sz w:val="24"/>
          <w:szCs w:val="24"/>
          <w:rtl/>
        </w:rPr>
        <w:t xml:space="preserve">: </w:t>
      </w:r>
      <w:r>
        <w:rPr>
          <w:rFonts w:ascii="David" w:hAnsi="David" w:cs="David" w:hint="cs"/>
          <w:sz w:val="24"/>
          <w:szCs w:val="24"/>
          <w:rtl/>
        </w:rPr>
        <w:t xml:space="preserve">"דווקא </w:t>
      </w:r>
      <w:r w:rsidRPr="006D6E0D">
        <w:rPr>
          <w:rFonts w:ascii="David" w:hAnsi="David" w:cs="David" w:hint="cs"/>
          <w:b/>
          <w:bCs/>
          <w:sz w:val="24"/>
          <w:szCs w:val="24"/>
          <w:rtl/>
        </w:rPr>
        <w:t>אותו דבר עצמו</w:t>
      </w:r>
      <w:r>
        <w:rPr>
          <w:rFonts w:ascii="David" w:hAnsi="David" w:cs="David" w:hint="cs"/>
          <w:sz w:val="24"/>
          <w:szCs w:val="24"/>
          <w:rtl/>
        </w:rPr>
        <w:t xml:space="preserve"> שנלקח לו לאדם מותר לו ליקחנה</w:t>
      </w:r>
      <w:r w:rsidR="006D6E0D">
        <w:rPr>
          <w:rStyle w:val="a5"/>
          <w:rFonts w:asciiTheme="majorBidi" w:hAnsiTheme="majorBidi" w:cstheme="majorBidi"/>
          <w:sz w:val="24"/>
          <w:szCs w:val="24"/>
          <w:rtl/>
        </w:rPr>
        <w:footnoteReference w:id="10"/>
      </w:r>
      <w:r w:rsidR="006D6E0D">
        <w:rPr>
          <w:rFonts w:asciiTheme="majorBidi" w:hAnsiTheme="majorBidi" w:cstheme="majorBidi" w:hint="cs"/>
          <w:sz w:val="24"/>
          <w:szCs w:val="24"/>
          <w:rtl/>
        </w:rPr>
        <w:t>".</w:t>
      </w:r>
    </w:p>
    <w:p w14:paraId="7FF73E75" w14:textId="3B9EFA5B" w:rsidR="00774181" w:rsidRDefault="006D6E0D" w:rsidP="0083328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המהרי"ק</w:t>
      </w:r>
      <w:r>
        <w:rPr>
          <w:rStyle w:val="a5"/>
          <w:rFonts w:asciiTheme="majorBidi" w:hAnsiTheme="majorBidi" w:cstheme="majorBidi"/>
          <w:sz w:val="24"/>
          <w:szCs w:val="24"/>
          <w:rtl/>
        </w:rPr>
        <w:footnoteReference w:id="11"/>
      </w:r>
      <w:r>
        <w:rPr>
          <w:rFonts w:asciiTheme="majorBidi" w:hAnsiTheme="majorBidi" w:cstheme="majorBidi" w:hint="cs"/>
          <w:sz w:val="24"/>
          <w:szCs w:val="24"/>
          <w:rtl/>
        </w:rPr>
        <w:t xml:space="preserve"> מצמצם את ההסתי</w:t>
      </w:r>
      <w:r w:rsidR="0091530E">
        <w:rPr>
          <w:rFonts w:asciiTheme="majorBidi" w:hAnsiTheme="majorBidi" w:cstheme="majorBidi" w:hint="cs"/>
          <w:sz w:val="24"/>
          <w:szCs w:val="24"/>
          <w:rtl/>
        </w:rPr>
        <w:t>י</w:t>
      </w:r>
      <w:r>
        <w:rPr>
          <w:rFonts w:asciiTheme="majorBidi" w:hAnsiTheme="majorBidi" w:cstheme="majorBidi" w:hint="cs"/>
          <w:sz w:val="24"/>
          <w:szCs w:val="24"/>
          <w:rtl/>
        </w:rPr>
        <w:t xml:space="preserve">גויות: הצורך בחפץ מבורר הוא רק כשהתוקף גורם נזקים נוספים חוץ מהלקיחה. אם </w:t>
      </w:r>
      <w:r w:rsidR="00A32FED">
        <w:rPr>
          <w:rFonts w:asciiTheme="majorBidi" w:hAnsiTheme="majorBidi" w:cstheme="majorBidi" w:hint="cs"/>
          <w:sz w:val="24"/>
          <w:szCs w:val="24"/>
          <w:rtl/>
        </w:rPr>
        <w:t xml:space="preserve">הוא </w:t>
      </w:r>
      <w:r>
        <w:rPr>
          <w:rFonts w:asciiTheme="majorBidi" w:hAnsiTheme="majorBidi" w:cstheme="majorBidi" w:hint="cs"/>
          <w:sz w:val="24"/>
          <w:szCs w:val="24"/>
          <w:rtl/>
        </w:rPr>
        <w:t xml:space="preserve">בטוח שמגיע לו ואינו גורם נזק נוסף </w:t>
      </w:r>
      <w:r>
        <w:rPr>
          <w:rFonts w:asciiTheme="majorBidi" w:hAnsiTheme="majorBidi" w:cstheme="majorBidi"/>
          <w:sz w:val="24"/>
          <w:szCs w:val="24"/>
          <w:rtl/>
        </w:rPr>
        <w:t>–</w:t>
      </w:r>
      <w:r>
        <w:rPr>
          <w:rFonts w:asciiTheme="majorBidi" w:hAnsiTheme="majorBidi" w:cstheme="majorBidi" w:hint="cs"/>
          <w:sz w:val="24"/>
          <w:szCs w:val="24"/>
          <w:rtl/>
        </w:rPr>
        <w:t xml:space="preserve"> יכול לעשות דין לעצמו. אם אין נזק בגופו או בממונו כלל </w:t>
      </w:r>
      <w:r>
        <w:rPr>
          <w:rFonts w:asciiTheme="majorBidi" w:hAnsiTheme="majorBidi" w:cstheme="majorBidi"/>
          <w:sz w:val="24"/>
          <w:szCs w:val="24"/>
          <w:rtl/>
        </w:rPr>
        <w:t>–</w:t>
      </w:r>
      <w:r>
        <w:rPr>
          <w:rFonts w:asciiTheme="majorBidi" w:hAnsiTheme="majorBidi" w:cstheme="majorBidi" w:hint="cs"/>
          <w:sz w:val="24"/>
          <w:szCs w:val="24"/>
          <w:rtl/>
        </w:rPr>
        <w:t xml:space="preserve"> אין זה עשיית דין לעצמו, אלא תפיסה שהיא מותרת. רש"ל</w:t>
      </w:r>
      <w:r>
        <w:rPr>
          <w:rStyle w:val="a5"/>
          <w:rFonts w:asciiTheme="majorBidi" w:hAnsiTheme="majorBidi" w:cstheme="majorBidi"/>
          <w:sz w:val="24"/>
          <w:szCs w:val="24"/>
          <w:rtl/>
        </w:rPr>
        <w:footnoteReference w:id="12"/>
      </w:r>
      <w:r>
        <w:rPr>
          <w:rFonts w:asciiTheme="majorBidi" w:hAnsiTheme="majorBidi" w:cstheme="majorBidi" w:hint="cs"/>
          <w:sz w:val="24"/>
          <w:szCs w:val="24"/>
          <w:rtl/>
        </w:rPr>
        <w:t xml:space="preserve"> תמה עליו, מסברה דומה לזו של המרדכי. </w:t>
      </w:r>
      <w:r w:rsidR="007109E6">
        <w:rPr>
          <w:rFonts w:asciiTheme="majorBidi" w:hAnsiTheme="majorBidi" w:cstheme="majorBidi" w:hint="cs"/>
          <w:sz w:val="24"/>
          <w:szCs w:val="24"/>
          <w:rtl/>
        </w:rPr>
        <w:t>בנתיבות המשפט</w:t>
      </w:r>
      <w:r w:rsidR="007109E6">
        <w:rPr>
          <w:rStyle w:val="a5"/>
          <w:rFonts w:asciiTheme="majorBidi" w:hAnsiTheme="majorBidi" w:cstheme="majorBidi"/>
          <w:sz w:val="24"/>
          <w:szCs w:val="24"/>
          <w:rtl/>
        </w:rPr>
        <w:footnoteReference w:id="13"/>
      </w:r>
      <w:r w:rsidR="007109E6">
        <w:rPr>
          <w:rFonts w:asciiTheme="majorBidi" w:hAnsiTheme="majorBidi" w:cstheme="majorBidi" w:hint="cs"/>
          <w:sz w:val="24"/>
          <w:szCs w:val="24"/>
          <w:rtl/>
        </w:rPr>
        <w:t xml:space="preserve"> הציע שכוונת המהרי"ק היא שילך אחר כך לבית דין. </w:t>
      </w:r>
    </w:p>
    <w:p w14:paraId="1F73AC7C" w14:textId="177DB503" w:rsidR="00774181" w:rsidRDefault="00774181" w:rsidP="00774181">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שנינו:  </w:t>
      </w:r>
      <w:r w:rsidRPr="00774181">
        <w:rPr>
          <w:rFonts w:asciiTheme="majorBidi" w:hAnsiTheme="majorBidi" w:cs="Times New Roman"/>
          <w:sz w:val="24"/>
          <w:szCs w:val="24"/>
          <w:rtl/>
        </w:rPr>
        <w:t xml:space="preserve"> </w:t>
      </w:r>
      <w:r w:rsidRPr="00774181">
        <w:rPr>
          <w:rFonts w:ascii="David" w:hAnsi="David" w:cs="David"/>
          <w:sz w:val="24"/>
          <w:szCs w:val="24"/>
          <w:rtl/>
        </w:rPr>
        <w:t>"הני עיזי דשוקא דמפסדי, מתרינן במרייהו תרי ותלתא זמנין, אי ציית - ציית, ואי לא - אמרין ליה: תיב אמסחתא וקבל זוזך</w:t>
      </w:r>
      <w:r w:rsidRPr="00774181">
        <w:rPr>
          <w:rStyle w:val="a5"/>
          <w:rFonts w:ascii="David" w:hAnsi="David" w:cs="David"/>
          <w:sz w:val="24"/>
          <w:szCs w:val="24"/>
          <w:rtl/>
        </w:rPr>
        <w:footnoteReference w:id="14"/>
      </w:r>
      <w:r w:rsidRPr="00774181">
        <w:rPr>
          <w:rFonts w:ascii="David" w:hAnsi="David" w:cs="David"/>
          <w:sz w:val="24"/>
          <w:szCs w:val="24"/>
          <w:rtl/>
        </w:rPr>
        <w:t>".</w:t>
      </w:r>
      <w:r>
        <w:rPr>
          <w:rFonts w:asciiTheme="majorBidi" w:hAnsiTheme="majorBidi" w:cs="Times New Roman" w:hint="cs"/>
          <w:sz w:val="24"/>
          <w:szCs w:val="24"/>
          <w:rtl/>
        </w:rPr>
        <w:t xml:space="preserve"> דהיינו, שמכריחים אותו לשחוט את עיזיו. אולם הניזק אינו יכול לעשות כן. משמע </w:t>
      </w:r>
      <w:r w:rsidRPr="00774181">
        <w:rPr>
          <w:rFonts w:ascii="David" w:hAnsi="David" w:cs="David"/>
          <w:sz w:val="24"/>
          <w:szCs w:val="24"/>
          <w:rtl/>
        </w:rPr>
        <w:t xml:space="preserve">"דלא אמרינן עביד איניש דינא לנפשיה </w:t>
      </w:r>
      <w:r w:rsidRPr="00774181">
        <w:rPr>
          <w:rFonts w:ascii="David" w:hAnsi="David" w:cs="David"/>
          <w:b/>
          <w:bCs/>
          <w:sz w:val="24"/>
          <w:szCs w:val="24"/>
          <w:rtl/>
        </w:rPr>
        <w:t>רק כשבא חבירו להזיקו בכוונה ורצון</w:t>
      </w:r>
      <w:r w:rsidR="00A32FED">
        <w:rPr>
          <w:rFonts w:ascii="David" w:hAnsi="David" w:cs="David" w:hint="cs"/>
          <w:sz w:val="24"/>
          <w:szCs w:val="24"/>
          <w:rtl/>
        </w:rPr>
        <w:t>,</w:t>
      </w:r>
      <w:r w:rsidRPr="00774181">
        <w:rPr>
          <w:rFonts w:ascii="David" w:hAnsi="David" w:cs="David"/>
          <w:sz w:val="24"/>
          <w:szCs w:val="24"/>
          <w:rtl/>
        </w:rPr>
        <w:t xml:space="preserve"> יכול לעמוד מנגד להציל ממונו ולהזיק חבירו בין בגופו בין בממונו</w:t>
      </w:r>
      <w:r w:rsidR="00A32FED">
        <w:rPr>
          <w:rFonts w:ascii="David" w:hAnsi="David" w:cs="David" w:hint="cs"/>
          <w:sz w:val="24"/>
          <w:szCs w:val="24"/>
          <w:rtl/>
        </w:rPr>
        <w:t>.</w:t>
      </w:r>
      <w:r w:rsidRPr="00774181">
        <w:rPr>
          <w:rFonts w:ascii="David" w:hAnsi="David" w:cs="David"/>
          <w:sz w:val="24"/>
          <w:szCs w:val="24"/>
          <w:rtl/>
        </w:rPr>
        <w:t xml:space="preserve"> מש"כ כשבהמות חבירו מזקת אותו בלי ידיעתו ובלי רצון חבירו</w:t>
      </w:r>
      <w:r w:rsidRPr="00774181">
        <w:rPr>
          <w:rStyle w:val="a5"/>
          <w:rFonts w:ascii="David" w:hAnsi="David" w:cs="David"/>
          <w:sz w:val="24"/>
          <w:szCs w:val="24"/>
          <w:rtl/>
        </w:rPr>
        <w:footnoteReference w:id="15"/>
      </w:r>
      <w:r w:rsidRPr="00774181">
        <w:rPr>
          <w:rFonts w:ascii="David" w:hAnsi="David" w:cs="David"/>
          <w:sz w:val="24"/>
          <w:szCs w:val="24"/>
          <w:rtl/>
        </w:rPr>
        <w:t>".</w:t>
      </w:r>
      <w:r>
        <w:rPr>
          <w:rFonts w:asciiTheme="majorBidi" w:hAnsiTheme="majorBidi" w:cs="Times New Roman" w:hint="cs"/>
          <w:sz w:val="24"/>
          <w:szCs w:val="24"/>
          <w:rtl/>
        </w:rPr>
        <w:t xml:space="preserve"> לפיכך פסק הרב שלום מרדכי שבדרון מברז'אן: </w:t>
      </w:r>
    </w:p>
    <w:p w14:paraId="41100A9B" w14:textId="4C95FAD2" w:rsidR="00774181" w:rsidRPr="00774181" w:rsidRDefault="00774181" w:rsidP="00774181">
      <w:pPr>
        <w:spacing w:after="0" w:line="360" w:lineRule="auto"/>
        <w:rPr>
          <w:rFonts w:ascii="David" w:hAnsi="David" w:cs="David"/>
          <w:sz w:val="24"/>
          <w:szCs w:val="24"/>
          <w:rtl/>
        </w:rPr>
      </w:pPr>
      <w:r w:rsidRPr="00774181">
        <w:rPr>
          <w:rFonts w:ascii="David" w:hAnsi="David" w:cs="David"/>
          <w:sz w:val="24"/>
          <w:szCs w:val="24"/>
          <w:rtl/>
        </w:rPr>
        <w:t>"לפזר בתוך שדהו סם המות לבהמות בכדי שיוזקו וימותו בהמות אחרים שרגילים לילך ולהזיק בתוך שדהו אחרי שהתרה בבעליהם... אין בידי להקל</w:t>
      </w:r>
      <w:r w:rsidR="00A32FED">
        <w:rPr>
          <w:rFonts w:ascii="David" w:hAnsi="David" w:cs="David" w:hint="cs"/>
          <w:sz w:val="24"/>
          <w:szCs w:val="24"/>
          <w:rtl/>
        </w:rPr>
        <w:t>,</w:t>
      </w:r>
      <w:r w:rsidRPr="00774181">
        <w:rPr>
          <w:rFonts w:ascii="David" w:hAnsi="David" w:cs="David"/>
          <w:sz w:val="24"/>
          <w:szCs w:val="24"/>
          <w:rtl/>
        </w:rPr>
        <w:t xml:space="preserve"> כיון דאפשר בע"א</w:t>
      </w:r>
      <w:r w:rsidRPr="00774181">
        <w:rPr>
          <w:rStyle w:val="a5"/>
          <w:rFonts w:ascii="David" w:hAnsi="David" w:cs="David"/>
          <w:sz w:val="24"/>
          <w:szCs w:val="24"/>
          <w:rtl/>
        </w:rPr>
        <w:footnoteReference w:id="16"/>
      </w:r>
      <w:r w:rsidRPr="00774181">
        <w:rPr>
          <w:rFonts w:ascii="David" w:hAnsi="David" w:cs="David"/>
          <w:sz w:val="24"/>
          <w:szCs w:val="24"/>
          <w:rtl/>
        </w:rPr>
        <w:t>".</w:t>
      </w:r>
    </w:p>
    <w:p w14:paraId="7CE6EB63" w14:textId="4B240CE8" w:rsidR="00833285" w:rsidRPr="00833285" w:rsidRDefault="007109E6" w:rsidP="0083328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הריב"ש מביא שורה של דוגמאות להיתר עשיית דין לעצמו</w:t>
      </w:r>
      <w:r w:rsidR="00833285">
        <w:rPr>
          <w:rFonts w:asciiTheme="majorBidi" w:hAnsiTheme="majorBidi" w:cstheme="majorBidi" w:hint="cs"/>
          <w:sz w:val="24"/>
          <w:szCs w:val="24"/>
          <w:rtl/>
        </w:rPr>
        <w:t xml:space="preserve">: </w:t>
      </w:r>
    </w:p>
    <w:p w14:paraId="4825B677" w14:textId="182A5B98" w:rsidR="00833285" w:rsidRPr="00833285" w:rsidRDefault="00833285" w:rsidP="00833285">
      <w:pPr>
        <w:spacing w:after="0" w:line="360" w:lineRule="auto"/>
        <w:rPr>
          <w:rFonts w:asciiTheme="majorBidi" w:hAnsiTheme="majorBidi" w:cstheme="majorBidi"/>
          <w:sz w:val="24"/>
          <w:szCs w:val="24"/>
          <w:rtl/>
        </w:rPr>
      </w:pPr>
      <w:r w:rsidRPr="00833285">
        <w:rPr>
          <w:rFonts w:ascii="David" w:hAnsi="David" w:cs="David"/>
          <w:sz w:val="24"/>
          <w:szCs w:val="24"/>
          <w:rtl/>
        </w:rPr>
        <w:t xml:space="preserve">"עביד איניש דינא לנפשיה, לא נאמר בכל ענין כמו שאתה סבור. כי לא נאמר רק ליטול את שלו ממש, אם גזלו או הפקיד אצלו. כההיא דבן בג בג. דבכי האי גונא הוא דהא שרי ליכנס לחצרו, כל שלא יעשה בדרך גנבה. ואי משום </w:t>
      </w:r>
      <w:r w:rsidRPr="00833285">
        <w:rPr>
          <w:rFonts w:ascii="David" w:hAnsi="David" w:cs="David"/>
          <w:b/>
          <w:bCs/>
          <w:sz w:val="24"/>
          <w:szCs w:val="24"/>
          <w:rtl/>
        </w:rPr>
        <w:t>מלוה שיש לו עליו- הא כתיב לא תבא אל ביתו לעבוט עבוטו.</w:t>
      </w:r>
      <w:r w:rsidRPr="00833285">
        <w:rPr>
          <w:rFonts w:ascii="David" w:hAnsi="David" w:cs="David"/>
          <w:sz w:val="24"/>
          <w:szCs w:val="24"/>
          <w:rtl/>
        </w:rPr>
        <w:t xml:space="preserve"> וכן אם חבירו רוצה להזיקו בממונו, זה יכול להזיקו את חברו, כדי להציל את שלו ולשמור שלא יזיקנו חברו. ופטור על היזק שמזיק לחברו אם בממונו, כההיא דשור שעלה על גבי חברו להרגו. </w:t>
      </w:r>
      <w:r w:rsidRPr="00833285">
        <w:rPr>
          <w:rFonts w:ascii="David" w:hAnsi="David" w:cs="David"/>
          <w:sz w:val="24"/>
          <w:szCs w:val="24"/>
          <w:rtl/>
        </w:rPr>
        <w:lastRenderedPageBreak/>
        <w:t>ובא בעל התחתון ושמט</w:t>
      </w:r>
      <w:r w:rsidR="00A32FED">
        <w:rPr>
          <w:rStyle w:val="a5"/>
          <w:rFonts w:ascii="David" w:hAnsi="David" w:cs="David"/>
          <w:sz w:val="24"/>
          <w:szCs w:val="24"/>
          <w:rtl/>
        </w:rPr>
        <w:footnoteReference w:id="17"/>
      </w:r>
      <w:r w:rsidRPr="00833285">
        <w:rPr>
          <w:rFonts w:ascii="David" w:hAnsi="David" w:cs="David"/>
          <w:sz w:val="24"/>
          <w:szCs w:val="24"/>
          <w:rtl/>
        </w:rPr>
        <w:t xml:space="preserve"> את שלו, ומת עליון פטור. וכן ההיא דמשבר ויוצא משבר ונכנס. או אפי' להזיק בגופו, כההיא דבן בג בג</w:t>
      </w:r>
      <w:r w:rsidR="006E3F04">
        <w:rPr>
          <w:rStyle w:val="a5"/>
          <w:rFonts w:ascii="David" w:hAnsi="David" w:cs="David"/>
          <w:sz w:val="24"/>
          <w:szCs w:val="24"/>
          <w:rtl/>
        </w:rPr>
        <w:footnoteReference w:id="18"/>
      </w:r>
      <w:r w:rsidRPr="00833285">
        <w:rPr>
          <w:rFonts w:ascii="David" w:hAnsi="David" w:cs="David"/>
          <w:sz w:val="24"/>
          <w:szCs w:val="24"/>
          <w:rtl/>
        </w:rPr>
        <w:t>.. וכן ההיא דנרצע שכלו לו ימיו. וכן ההיא דמי שהיתה דרך הרבים עוברת בתוך שדהו. וההיא דפאה</w:t>
      </w:r>
      <w:r w:rsidR="006E3F04">
        <w:rPr>
          <w:rFonts w:ascii="David" w:hAnsi="David" w:cs="David" w:hint="cs"/>
          <w:sz w:val="24"/>
          <w:szCs w:val="24"/>
          <w:rtl/>
        </w:rPr>
        <w:t>,</w:t>
      </w:r>
      <w:r w:rsidRPr="00833285">
        <w:rPr>
          <w:rFonts w:ascii="David" w:hAnsi="David" w:cs="David"/>
          <w:sz w:val="24"/>
          <w:szCs w:val="24"/>
          <w:rtl/>
        </w:rPr>
        <w:t xml:space="preserve"> דאמרינן בהו לנקוט פזרא וליתיב. בכל אלה עביד איניש דינא לנפשיה, ולא נאמר לא היה לו ליקח את שלו אלא לילך לב"ד. וכן לא היה לו להזיק את חברו אלא שאם יזיקנו חברו ילך לב"ד. דמצי אמר</w:t>
      </w:r>
      <w:r w:rsidR="00A32FED">
        <w:rPr>
          <w:rFonts w:ascii="David" w:hAnsi="David" w:cs="David" w:hint="cs"/>
          <w:sz w:val="24"/>
          <w:szCs w:val="24"/>
          <w:rtl/>
        </w:rPr>
        <w:t>:</w:t>
      </w:r>
      <w:r w:rsidRPr="00833285">
        <w:rPr>
          <w:rFonts w:ascii="David" w:hAnsi="David" w:cs="David"/>
          <w:sz w:val="24"/>
          <w:szCs w:val="24"/>
          <w:rtl/>
        </w:rPr>
        <w:t xml:space="preserve"> </w:t>
      </w:r>
      <w:r w:rsidR="00A32FED">
        <w:rPr>
          <w:rFonts w:ascii="David" w:hAnsi="David" w:cs="David" w:hint="cs"/>
          <w:sz w:val="24"/>
          <w:szCs w:val="24"/>
          <w:rtl/>
        </w:rPr>
        <w:t>'</w:t>
      </w:r>
      <w:r w:rsidRPr="00833285">
        <w:rPr>
          <w:rFonts w:ascii="David" w:hAnsi="David" w:cs="David"/>
          <w:sz w:val="24"/>
          <w:szCs w:val="24"/>
          <w:rtl/>
        </w:rPr>
        <w:t>לא מצינא דאטרח</w:t>
      </w:r>
      <w:r w:rsidR="00A32FED">
        <w:rPr>
          <w:rFonts w:ascii="David" w:hAnsi="David" w:cs="David" w:hint="cs"/>
          <w:sz w:val="24"/>
          <w:szCs w:val="24"/>
          <w:rtl/>
        </w:rPr>
        <w:t>'</w:t>
      </w:r>
      <w:r w:rsidRPr="00833285">
        <w:rPr>
          <w:rFonts w:ascii="David" w:hAnsi="David" w:cs="David"/>
          <w:sz w:val="24"/>
          <w:szCs w:val="24"/>
          <w:rtl/>
        </w:rPr>
        <w:t>. וכן נשתמשו הגאונים ז"ל מדין זה בענין התפיסות. שיוכל אדם לעכב פקדון שבידו לטעון עליו, אם הוא חייב לו מצד אחר. שהיה אפשר לומר יתן לו הוא את שלו, ואח"כ יתרעם יתבעם ממנו בב"ד על מה שחייב לו. אלא שמטעם עביד איניש דינא לנפשיה, הוא יכול לעכבו כדי להציל את שלו</w:t>
      </w:r>
      <w:r w:rsidRPr="00833285">
        <w:rPr>
          <w:rStyle w:val="a5"/>
          <w:rFonts w:ascii="David" w:hAnsi="David" w:cs="David"/>
          <w:sz w:val="24"/>
          <w:szCs w:val="24"/>
          <w:rtl/>
        </w:rPr>
        <w:footnoteReference w:id="19"/>
      </w:r>
      <w:r w:rsidRPr="00833285">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השולחן ערוך פוסק חלק מהסייגים של המרדכי, ואת דברי הריב"ש לאסור </w:t>
      </w:r>
      <w:r w:rsidR="004C12B4">
        <w:rPr>
          <w:rFonts w:asciiTheme="majorBidi" w:hAnsiTheme="majorBidi" w:cstheme="majorBidi" w:hint="cs"/>
          <w:sz w:val="24"/>
          <w:szCs w:val="24"/>
          <w:rtl/>
        </w:rPr>
        <w:t xml:space="preserve">נטילת </w:t>
      </w:r>
      <w:r>
        <w:rPr>
          <w:rFonts w:asciiTheme="majorBidi" w:hAnsiTheme="majorBidi" w:cstheme="majorBidi" w:hint="cs"/>
          <w:sz w:val="24"/>
          <w:szCs w:val="24"/>
          <w:rtl/>
        </w:rPr>
        <w:t xml:space="preserve">משכון: </w:t>
      </w:r>
    </w:p>
    <w:p w14:paraId="5A2807DC" w14:textId="1667FD4B" w:rsidR="006D6E0D" w:rsidRPr="00833285" w:rsidRDefault="00833285" w:rsidP="00833285">
      <w:pPr>
        <w:spacing w:after="0" w:line="360" w:lineRule="auto"/>
        <w:rPr>
          <w:rFonts w:ascii="David" w:hAnsi="David" w:cs="David"/>
          <w:sz w:val="24"/>
          <w:szCs w:val="24"/>
          <w:rtl/>
        </w:rPr>
      </w:pPr>
      <w:r>
        <w:rPr>
          <w:rFonts w:ascii="David" w:hAnsi="David" w:cs="David" w:hint="cs"/>
          <w:sz w:val="24"/>
          <w:szCs w:val="24"/>
          <w:rtl/>
        </w:rPr>
        <w:t>"</w:t>
      </w:r>
      <w:r w:rsidRPr="00833285">
        <w:rPr>
          <w:rFonts w:ascii="David" w:hAnsi="David" w:cs="David"/>
          <w:sz w:val="24"/>
          <w:szCs w:val="24"/>
          <w:rtl/>
        </w:rPr>
        <w:t>שיוכל לברר ששלו הוא נוטל בדין; מ"מ אין לו רשות למשכנו בחובו</w:t>
      </w:r>
      <w:r>
        <w:rPr>
          <w:rStyle w:val="a5"/>
          <w:rFonts w:ascii="David" w:hAnsi="David" w:cs="David"/>
          <w:sz w:val="24"/>
          <w:szCs w:val="24"/>
          <w:rtl/>
        </w:rPr>
        <w:footnoteReference w:id="20"/>
      </w:r>
      <w:r>
        <w:rPr>
          <w:rFonts w:ascii="David" w:hAnsi="David" w:cs="David" w:hint="cs"/>
          <w:sz w:val="24"/>
          <w:szCs w:val="24"/>
          <w:rtl/>
        </w:rPr>
        <w:t>".</w:t>
      </w:r>
    </w:p>
    <w:p w14:paraId="6F28586E" w14:textId="285F14C9" w:rsidR="006D6E0D" w:rsidRDefault="00833285" w:rsidP="00AC0D34">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הרמ"א מביא את השיטות השונות. ראשית הוא מתיר בפקדון בעקבות הריב"ש ואז כותב: </w:t>
      </w:r>
    </w:p>
    <w:p w14:paraId="2A5AFD3A" w14:textId="7CFF8EEE" w:rsidR="00833285" w:rsidRDefault="00A32FED" w:rsidP="00833285">
      <w:pPr>
        <w:spacing w:after="0" w:line="360" w:lineRule="auto"/>
        <w:rPr>
          <w:rFonts w:asciiTheme="majorBidi" w:hAnsiTheme="majorBidi" w:cstheme="majorBidi"/>
          <w:sz w:val="24"/>
          <w:szCs w:val="24"/>
          <w:rtl/>
        </w:rPr>
      </w:pPr>
      <w:r>
        <w:rPr>
          <w:rFonts w:asciiTheme="majorBidi" w:hAnsiTheme="majorBidi" w:cs="Guttman Yad-Brush" w:hint="cs"/>
          <w:sz w:val="18"/>
          <w:szCs w:val="18"/>
          <w:rtl/>
        </w:rPr>
        <w:t>"</w:t>
      </w:r>
      <w:r w:rsidR="00833285" w:rsidRPr="00C20278">
        <w:rPr>
          <w:rFonts w:asciiTheme="majorBidi" w:hAnsiTheme="majorBidi" w:cs="Guttman Yad-Brush"/>
          <w:sz w:val="18"/>
          <w:szCs w:val="18"/>
          <w:rtl/>
        </w:rPr>
        <w:t xml:space="preserve">וי"א דלא אמרינן עביד אינש דינא לנפשיה רק בחפץ המבורר לו שהוא שלו, כגון שגזלו או רוצה לגוזלו או רוצה להזיקו, יכול להציל שלו. אבל אם כבר נתחייב לו מכח גזילה או ממקום אחר, לא </w:t>
      </w:r>
      <w:r w:rsidR="00833285" w:rsidRPr="00C20278">
        <w:rPr>
          <w:rFonts w:asciiTheme="majorBidi" w:hAnsiTheme="majorBidi" w:cs="Guttman Yad-Brush"/>
          <w:sz w:val="16"/>
          <w:szCs w:val="16"/>
          <w:rtl/>
        </w:rPr>
        <w:t>(מרדכי ונ"י פרק המניח).</w:t>
      </w:r>
      <w:r w:rsidR="00833285" w:rsidRPr="00C20278">
        <w:rPr>
          <w:rFonts w:asciiTheme="majorBidi" w:hAnsiTheme="majorBidi" w:cs="Guttman Yad-Brush"/>
          <w:sz w:val="18"/>
          <w:szCs w:val="18"/>
          <w:rtl/>
        </w:rPr>
        <w:t xml:space="preserve"> ודווקא הוא בעצמו יכול למעבד דינא לנפשיה, אבל אסור לעשות על ידי עובדי כוכבים </w:t>
      </w:r>
      <w:r w:rsidR="00833285" w:rsidRPr="00C20278">
        <w:rPr>
          <w:rFonts w:asciiTheme="majorBidi" w:hAnsiTheme="majorBidi" w:cs="Guttman Yad-Brush"/>
          <w:sz w:val="16"/>
          <w:szCs w:val="16"/>
          <w:rtl/>
        </w:rPr>
        <w:t>(ת"ה סי' ש"ד</w:t>
      </w:r>
      <w:r w:rsidR="00C20278">
        <w:rPr>
          <w:rFonts w:asciiTheme="majorBidi" w:hAnsiTheme="majorBidi" w:cs="Guttman Yad-Brush" w:hint="cs"/>
          <w:sz w:val="16"/>
          <w:szCs w:val="16"/>
          <w:rtl/>
        </w:rPr>
        <w:t>)</w:t>
      </w:r>
      <w:r w:rsidR="00833285" w:rsidRPr="00C20278">
        <w:rPr>
          <w:rFonts w:asciiTheme="majorBidi" w:hAnsiTheme="majorBidi" w:cs="Guttman Yad-Brush" w:hint="cs"/>
          <w:sz w:val="16"/>
          <w:szCs w:val="16"/>
          <w:rtl/>
        </w:rPr>
        <w:t>...</w:t>
      </w:r>
      <w:r w:rsidR="00833285" w:rsidRPr="00C20278">
        <w:rPr>
          <w:rFonts w:asciiTheme="majorBidi" w:hAnsiTheme="majorBidi" w:cs="Guttman Yad-Brush"/>
          <w:sz w:val="18"/>
          <w:szCs w:val="18"/>
          <w:rtl/>
        </w:rPr>
        <w:t xml:space="preserve"> י"א דלא מיקרי עביד דינא לנפשיה אלא כשמזיק לחבירו,</w:t>
      </w:r>
      <w:r w:rsidR="00833285" w:rsidRPr="00C20278">
        <w:rPr>
          <w:rFonts w:asciiTheme="majorBidi" w:hAnsiTheme="majorBidi" w:cs="Guttman Yad-Brush" w:hint="cs"/>
          <w:sz w:val="18"/>
          <w:szCs w:val="18"/>
          <w:rtl/>
        </w:rPr>
        <w:t xml:space="preserve"> </w:t>
      </w:r>
      <w:r w:rsidR="00833285" w:rsidRPr="00C20278">
        <w:rPr>
          <w:rFonts w:asciiTheme="majorBidi" w:hAnsiTheme="majorBidi" w:cs="Guttman Yad-Brush"/>
          <w:sz w:val="18"/>
          <w:szCs w:val="18"/>
          <w:rtl/>
        </w:rPr>
        <w:t>כגון שמכהו</w:t>
      </w:r>
      <w:r>
        <w:rPr>
          <w:rFonts w:asciiTheme="majorBidi" w:hAnsiTheme="majorBidi" w:cs="Guttman Yad-Brush" w:hint="cs"/>
          <w:sz w:val="18"/>
          <w:szCs w:val="18"/>
          <w:rtl/>
        </w:rPr>
        <w:t>,</w:t>
      </w:r>
      <w:r w:rsidR="00833285" w:rsidRPr="00C20278">
        <w:rPr>
          <w:rFonts w:asciiTheme="majorBidi" w:hAnsiTheme="majorBidi" w:cs="Guttman Yad-Brush"/>
          <w:sz w:val="18"/>
          <w:szCs w:val="18"/>
          <w:rtl/>
        </w:rPr>
        <w:t xml:space="preserve"> ולכן לא יוכל לעשות אלא אם כן יוכל לברר שהוא שלו, אבל תפיסה בעלמא שתפסו למשכון</w:t>
      </w:r>
      <w:r w:rsidR="00C20278">
        <w:rPr>
          <w:rStyle w:val="a5"/>
          <w:rFonts w:asciiTheme="majorBidi" w:hAnsiTheme="majorBidi" w:cs="Guttman Yad-Brush"/>
          <w:sz w:val="18"/>
          <w:szCs w:val="18"/>
          <w:rtl/>
        </w:rPr>
        <w:footnoteReference w:id="21"/>
      </w:r>
      <w:r w:rsidR="00833285" w:rsidRPr="00C20278">
        <w:rPr>
          <w:rFonts w:asciiTheme="majorBidi" w:hAnsiTheme="majorBidi" w:cs="Guttman Yad-Brush"/>
          <w:sz w:val="18"/>
          <w:szCs w:val="18"/>
          <w:rtl/>
        </w:rPr>
        <w:t xml:space="preserve">, יכול לעשות בכל ענין, ויורד אח"כ עמו לדין </w:t>
      </w:r>
      <w:r w:rsidR="00833285" w:rsidRPr="00C20278">
        <w:rPr>
          <w:rFonts w:asciiTheme="majorBidi" w:hAnsiTheme="majorBidi" w:cs="Guttman Yad-Brush"/>
          <w:sz w:val="16"/>
          <w:szCs w:val="16"/>
          <w:rtl/>
        </w:rPr>
        <w:t>(מהרי"ק שורש סי' קס"א)</w:t>
      </w:r>
      <w:r w:rsidR="004C12B4">
        <w:rPr>
          <w:rFonts w:asciiTheme="majorBidi" w:hAnsiTheme="majorBidi" w:cs="Guttman Yad-Brush" w:hint="cs"/>
          <w:sz w:val="16"/>
          <w:szCs w:val="16"/>
          <w:rtl/>
        </w:rPr>
        <w:t>"</w:t>
      </w:r>
      <w:r w:rsidR="00833285" w:rsidRPr="00C20278">
        <w:rPr>
          <w:rFonts w:asciiTheme="majorBidi" w:hAnsiTheme="majorBidi" w:cs="Guttman Yad-Brush"/>
          <w:sz w:val="16"/>
          <w:szCs w:val="16"/>
          <w:rtl/>
        </w:rPr>
        <w:t>.</w:t>
      </w:r>
      <w:r w:rsidR="004C12B4">
        <w:rPr>
          <w:rFonts w:asciiTheme="majorBidi" w:hAnsiTheme="majorBidi" w:cs="Guttman Yad-Brush" w:hint="cs"/>
          <w:sz w:val="16"/>
          <w:szCs w:val="16"/>
          <w:rtl/>
        </w:rPr>
        <w:t xml:space="preserve"> </w:t>
      </w:r>
      <w:r w:rsidR="004C12B4">
        <w:rPr>
          <w:rFonts w:asciiTheme="majorBidi" w:hAnsiTheme="majorBidi" w:cstheme="majorBidi" w:hint="cs"/>
          <w:sz w:val="24"/>
          <w:szCs w:val="24"/>
          <w:rtl/>
        </w:rPr>
        <w:t>הביא את השיטות כחולקות.</w:t>
      </w:r>
    </w:p>
    <w:p w14:paraId="2CF041D2" w14:textId="6F66EDB7" w:rsidR="004C12B4" w:rsidRPr="00F14B7F" w:rsidRDefault="004C12B4" w:rsidP="00F14B7F">
      <w:pPr>
        <w:pStyle w:val="aa"/>
        <w:numPr>
          <w:ilvl w:val="0"/>
          <w:numId w:val="1"/>
        </w:numPr>
        <w:spacing w:after="0" w:line="360" w:lineRule="auto"/>
        <w:rPr>
          <w:rFonts w:asciiTheme="majorBidi" w:hAnsiTheme="majorBidi" w:cstheme="majorBidi"/>
          <w:b/>
          <w:bCs/>
          <w:sz w:val="24"/>
          <w:szCs w:val="24"/>
          <w:rtl/>
        </w:rPr>
      </w:pPr>
      <w:r w:rsidRPr="00F14B7F">
        <w:rPr>
          <w:rFonts w:asciiTheme="majorBidi" w:hAnsiTheme="majorBidi" w:cstheme="majorBidi" w:hint="cs"/>
          <w:b/>
          <w:bCs/>
          <w:sz w:val="24"/>
          <w:szCs w:val="24"/>
          <w:rtl/>
        </w:rPr>
        <w:t>משכון המצוי אצלו</w:t>
      </w:r>
    </w:p>
    <w:p w14:paraId="74349E03" w14:textId="731B2EFA" w:rsidR="00545623" w:rsidRDefault="00545623" w:rsidP="00545623">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הפסק האחרון של הרמ"א לקוח מדברי המהרי"ק. </w:t>
      </w:r>
      <w:r w:rsidR="00BC57E1">
        <w:rPr>
          <w:rFonts w:asciiTheme="majorBidi" w:hAnsiTheme="majorBidi" w:cs="Times New Roman" w:hint="cs"/>
          <w:sz w:val="24"/>
          <w:szCs w:val="24"/>
          <w:rtl/>
        </w:rPr>
        <w:t>לכאורה משמע ששתי הדעות הקודמות שהביא הרמ"א, אינן מודות שתפיסה בעלמא מותרת</w:t>
      </w:r>
      <w:r w:rsidR="00BC57E1">
        <w:rPr>
          <w:rStyle w:val="a5"/>
          <w:rFonts w:asciiTheme="majorBidi" w:hAnsiTheme="majorBidi" w:cs="Times New Roman"/>
          <w:sz w:val="24"/>
          <w:szCs w:val="24"/>
          <w:rtl/>
        </w:rPr>
        <w:footnoteReference w:id="22"/>
      </w:r>
      <w:r w:rsidR="00BC57E1">
        <w:rPr>
          <w:rFonts w:asciiTheme="majorBidi" w:hAnsiTheme="majorBidi" w:cs="Times New Roman" w:hint="cs"/>
          <w:sz w:val="24"/>
          <w:szCs w:val="24"/>
          <w:rtl/>
        </w:rPr>
        <w:t>. אולם הסמ"ע</w:t>
      </w:r>
      <w:r w:rsidR="00BC57E1">
        <w:rPr>
          <w:rStyle w:val="a5"/>
          <w:rFonts w:asciiTheme="majorBidi" w:hAnsiTheme="majorBidi" w:cs="Times New Roman"/>
          <w:sz w:val="24"/>
          <w:szCs w:val="24"/>
          <w:rtl/>
        </w:rPr>
        <w:footnoteReference w:id="23"/>
      </w:r>
      <w:r w:rsidR="00BC57E1">
        <w:rPr>
          <w:rFonts w:asciiTheme="majorBidi" w:hAnsiTheme="majorBidi" w:cs="Times New Roman" w:hint="cs"/>
          <w:sz w:val="24"/>
          <w:szCs w:val="24"/>
          <w:rtl/>
        </w:rPr>
        <w:t xml:space="preserve"> מבאר שדעה זו מובאת לא כניגוד לשתי קודמותיה, אלא כתגובה לדברי השו"ע. </w:t>
      </w:r>
      <w:r>
        <w:rPr>
          <w:rFonts w:asciiTheme="majorBidi" w:hAnsiTheme="majorBidi" w:cs="Times New Roman" w:hint="cs"/>
          <w:sz w:val="24"/>
          <w:szCs w:val="24"/>
          <w:rtl/>
        </w:rPr>
        <w:t xml:space="preserve"> גם  הרש"ל מסכים ע</w:t>
      </w:r>
      <w:r w:rsidR="00BC57E1">
        <w:rPr>
          <w:rFonts w:asciiTheme="majorBidi" w:hAnsiTheme="majorBidi" w:cs="Times New Roman" w:hint="cs"/>
          <w:sz w:val="24"/>
          <w:szCs w:val="24"/>
          <w:rtl/>
        </w:rPr>
        <w:t>ם פסק הרמ"א</w:t>
      </w:r>
      <w:r>
        <w:rPr>
          <w:rFonts w:asciiTheme="majorBidi" w:hAnsiTheme="majorBidi" w:cs="Times New Roman" w:hint="cs"/>
          <w:sz w:val="24"/>
          <w:szCs w:val="24"/>
          <w:rtl/>
        </w:rPr>
        <w:t xml:space="preserve">: </w:t>
      </w:r>
      <w:r w:rsidRPr="00545623">
        <w:rPr>
          <w:rFonts w:ascii="David" w:hAnsi="David" w:cs="David"/>
          <w:sz w:val="24"/>
          <w:szCs w:val="24"/>
          <w:rtl/>
        </w:rPr>
        <w:t>"היכא שיש בידו משכון או פקדון. יכול לעכבו אפי' לכתחלה, כדי להציל ממון שלו, בכל טצדקי דבעי. מאחר שברור לו שהוא חייב לו. ולא יכול לברר עליו בעדים. וזה לא נקרא עביד דינא לנפשיה. שהרי לא תפס, אלא שמעכב את שלו בשב ואל תעשה</w:t>
      </w:r>
      <w:r w:rsidRPr="00545623">
        <w:rPr>
          <w:rStyle w:val="a5"/>
          <w:rFonts w:ascii="David" w:hAnsi="David" w:cs="David"/>
          <w:sz w:val="24"/>
          <w:szCs w:val="24"/>
          <w:rtl/>
        </w:rPr>
        <w:footnoteReference w:id="24"/>
      </w:r>
      <w:r w:rsidRPr="00545623">
        <w:rPr>
          <w:rFonts w:ascii="David" w:hAnsi="David" w:cs="David"/>
          <w:sz w:val="24"/>
          <w:szCs w:val="24"/>
          <w:rtl/>
        </w:rPr>
        <w:t>".</w:t>
      </w:r>
      <w:r>
        <w:rPr>
          <w:rFonts w:asciiTheme="majorBidi" w:hAnsiTheme="majorBidi" w:cstheme="majorBidi" w:hint="cs"/>
          <w:sz w:val="24"/>
          <w:szCs w:val="24"/>
          <w:rtl/>
        </w:rPr>
        <w:t xml:space="preserve"> הש"ך</w:t>
      </w:r>
      <w:r>
        <w:rPr>
          <w:rStyle w:val="a5"/>
          <w:rFonts w:asciiTheme="majorBidi" w:hAnsiTheme="majorBidi" w:cstheme="majorBidi"/>
          <w:sz w:val="24"/>
          <w:szCs w:val="24"/>
          <w:rtl/>
        </w:rPr>
        <w:footnoteReference w:id="25"/>
      </w:r>
      <w:r>
        <w:rPr>
          <w:rFonts w:asciiTheme="majorBidi" w:hAnsiTheme="majorBidi" w:cstheme="majorBidi" w:hint="cs"/>
          <w:sz w:val="24"/>
          <w:szCs w:val="24"/>
          <w:rtl/>
        </w:rPr>
        <w:t xml:space="preserve"> סבור שניתן גם לתפוס משכון באקטיביות</w:t>
      </w:r>
      <w:r w:rsidR="008E1CB4">
        <w:rPr>
          <w:rFonts w:asciiTheme="majorBidi" w:hAnsiTheme="majorBidi" w:cstheme="majorBidi" w:hint="cs"/>
          <w:sz w:val="24"/>
          <w:szCs w:val="24"/>
          <w:rtl/>
        </w:rPr>
        <w:t xml:space="preserve">. לעומת זאת </w:t>
      </w:r>
      <w:r>
        <w:rPr>
          <w:rFonts w:asciiTheme="majorBidi" w:hAnsiTheme="majorBidi" w:cstheme="majorBidi" w:hint="cs"/>
          <w:sz w:val="24"/>
          <w:szCs w:val="24"/>
          <w:rtl/>
        </w:rPr>
        <w:t>בקצות מסתייג אף מהחזקה פסיבית:</w:t>
      </w:r>
    </w:p>
    <w:p w14:paraId="015793D6" w14:textId="79BC9ED0" w:rsidR="008E1CB4" w:rsidRPr="008E1CB4" w:rsidRDefault="008E1CB4" w:rsidP="008E1CB4">
      <w:pPr>
        <w:spacing w:after="0" w:line="360" w:lineRule="auto"/>
        <w:rPr>
          <w:rFonts w:ascii="David" w:hAnsi="David" w:cs="David"/>
          <w:sz w:val="24"/>
          <w:szCs w:val="24"/>
          <w:rtl/>
        </w:rPr>
      </w:pPr>
      <w:r>
        <w:rPr>
          <w:rFonts w:ascii="David" w:hAnsi="David" w:cs="David" w:hint="cs"/>
          <w:sz w:val="24"/>
          <w:szCs w:val="24"/>
          <w:rtl/>
        </w:rPr>
        <w:lastRenderedPageBreak/>
        <w:t>"</w:t>
      </w:r>
      <w:r w:rsidRPr="008E1CB4">
        <w:rPr>
          <w:rFonts w:ascii="David" w:hAnsi="David" w:cs="David"/>
          <w:sz w:val="24"/>
          <w:szCs w:val="24"/>
          <w:rtl/>
        </w:rPr>
        <w:t xml:space="preserve">ראיתי רבים מתחכמים בזה לתפוס מחבירו איזה חפץ בכדי שיהיה לו מגו קודם בואו לדין, ולאו שפיר עבדי </w:t>
      </w:r>
      <w:r w:rsidRPr="00A32FED">
        <w:rPr>
          <w:rFonts w:ascii="David" w:hAnsi="David" w:cs="David"/>
          <w:b/>
          <w:bCs/>
          <w:sz w:val="24"/>
          <w:szCs w:val="24"/>
          <w:rtl/>
        </w:rPr>
        <w:t>וקרוב לאיסור תורה</w:t>
      </w:r>
      <w:r w:rsidRPr="008E1CB4">
        <w:rPr>
          <w:rFonts w:ascii="David" w:hAnsi="David" w:cs="David"/>
          <w:sz w:val="24"/>
          <w:szCs w:val="24"/>
          <w:rtl/>
        </w:rPr>
        <w:t xml:space="preserve"> אם הוא על ידי תפיסה, ועיין </w:t>
      </w:r>
      <w:r w:rsidRPr="008E1CB4">
        <w:rPr>
          <w:rFonts w:ascii="David" w:hAnsi="David" w:cs="David"/>
          <w:sz w:val="18"/>
          <w:szCs w:val="18"/>
          <w:rtl/>
        </w:rPr>
        <w:t>בסימן צ"ז (סק"ב)</w:t>
      </w:r>
      <w:r w:rsidRPr="008E1CB4">
        <w:rPr>
          <w:rFonts w:ascii="David" w:hAnsi="David" w:cs="David"/>
          <w:sz w:val="24"/>
          <w:szCs w:val="24"/>
          <w:rtl/>
        </w:rPr>
        <w:t xml:space="preserve"> ושם מבואר אצלינו צד קולא בזה</w:t>
      </w:r>
      <w:r w:rsidRPr="008E1CB4">
        <w:rPr>
          <w:rStyle w:val="a5"/>
          <w:rFonts w:ascii="David" w:hAnsi="David" w:cs="David"/>
          <w:sz w:val="24"/>
          <w:szCs w:val="24"/>
          <w:rtl/>
        </w:rPr>
        <w:footnoteReference w:id="26"/>
      </w:r>
      <w:r w:rsidRPr="008E1CB4">
        <w:rPr>
          <w:rFonts w:ascii="David" w:hAnsi="David" w:cs="David"/>
          <w:sz w:val="24"/>
          <w:szCs w:val="24"/>
          <w:rtl/>
        </w:rPr>
        <w:t>, אבל הישרים בלבותם אין להם להקל.</w:t>
      </w:r>
    </w:p>
    <w:p w14:paraId="1612EDAF" w14:textId="6A75E423" w:rsidR="008E1CB4" w:rsidRDefault="008E1CB4" w:rsidP="008E1CB4">
      <w:pPr>
        <w:spacing w:after="0" w:line="360" w:lineRule="auto"/>
        <w:rPr>
          <w:rFonts w:ascii="David" w:hAnsi="David" w:cs="David"/>
          <w:sz w:val="24"/>
          <w:szCs w:val="24"/>
          <w:rtl/>
        </w:rPr>
      </w:pPr>
      <w:r w:rsidRPr="008E1CB4">
        <w:rPr>
          <w:rFonts w:ascii="David" w:hAnsi="David" w:cs="David"/>
          <w:sz w:val="24"/>
          <w:szCs w:val="24"/>
          <w:rtl/>
        </w:rPr>
        <w:t xml:space="preserve">אך גבי פקדון משמע דליכא איסור כלל לעכבו תחת ידו וכמ"ש מוהרש"ל. אבל מדברי הזוהר מבואר דהוא איסור גמור </w:t>
      </w:r>
      <w:r w:rsidRPr="008E1CB4">
        <w:rPr>
          <w:rFonts w:ascii="David" w:hAnsi="David" w:cs="David"/>
          <w:sz w:val="18"/>
          <w:szCs w:val="18"/>
          <w:rtl/>
        </w:rPr>
        <w:t>ע"ש פרשת במדבר (ח"ג קיט, א)</w:t>
      </w:r>
      <w:r w:rsidRPr="008E1CB4">
        <w:rPr>
          <w:rFonts w:ascii="David" w:hAnsi="David" w:cs="David"/>
          <w:sz w:val="24"/>
          <w:szCs w:val="24"/>
          <w:rtl/>
        </w:rPr>
        <w:t xml:space="preserve"> פתח ואמר ה' אורי וישעי </w:t>
      </w:r>
      <w:r w:rsidRPr="008E1CB4">
        <w:rPr>
          <w:rFonts w:ascii="David" w:hAnsi="David" w:cs="David"/>
          <w:sz w:val="18"/>
          <w:szCs w:val="18"/>
          <w:rtl/>
        </w:rPr>
        <w:t>(תהלים כז, א)</w:t>
      </w:r>
      <w:r w:rsidRPr="008E1CB4">
        <w:rPr>
          <w:rFonts w:ascii="David" w:hAnsi="David" w:cs="David"/>
          <w:sz w:val="24"/>
          <w:szCs w:val="24"/>
          <w:rtl/>
        </w:rPr>
        <w:t xml:space="preserve"> כו' ובר נש בעי לאקדמא ולמפקד בידיה פקדונא דנפשיה כפקדונא דבר נש דיהיב פקדונא לאחרא, דאע"ג דאיהו אתחייב לגביה יתיר מההיא פקדונא, לאו כדאי לאתאחדא ביה הואיל ופקדונא אתמסר לגביה. ואי יסרב ביה ודאי נבדוק אבתריה דלאו מזרעא קדישא הוא ולאו מבני מהימנותא.. ויש לזה פנים על פי נגלה והוא שיטת הריטב"א </w:t>
      </w:r>
      <w:r w:rsidRPr="008E1CB4">
        <w:rPr>
          <w:rFonts w:ascii="David" w:hAnsi="David" w:cs="David"/>
          <w:sz w:val="18"/>
          <w:szCs w:val="18"/>
          <w:rtl/>
        </w:rPr>
        <w:t>פרק הכותב (כתובות פד, ב ד"ה ההוא בקרא)</w:t>
      </w:r>
      <w:r w:rsidRPr="008E1CB4">
        <w:rPr>
          <w:rFonts w:ascii="David" w:hAnsi="David" w:cs="David"/>
          <w:sz w:val="24"/>
          <w:szCs w:val="24"/>
          <w:rtl/>
        </w:rPr>
        <w:t xml:space="preserve"> דהיכא שבא ליד הנפקד בתורת פקדון, צריך למיעבד השבה מעליא... ולכן בעל נפש ירחיק מזה</w:t>
      </w:r>
      <w:r w:rsidRPr="008E1CB4">
        <w:rPr>
          <w:rStyle w:val="a5"/>
          <w:rFonts w:ascii="David" w:hAnsi="David" w:cs="David"/>
          <w:sz w:val="24"/>
          <w:szCs w:val="24"/>
          <w:rtl/>
        </w:rPr>
        <w:footnoteReference w:id="27"/>
      </w:r>
      <w:r w:rsidRPr="008E1CB4">
        <w:rPr>
          <w:rFonts w:ascii="David" w:hAnsi="David" w:cs="David"/>
          <w:sz w:val="24"/>
          <w:szCs w:val="24"/>
          <w:rtl/>
        </w:rPr>
        <w:t>".</w:t>
      </w:r>
    </w:p>
    <w:p w14:paraId="621F2522" w14:textId="3AF2605C" w:rsidR="001C31ED" w:rsidRPr="00F14B7F" w:rsidRDefault="001C31ED" w:rsidP="00F14B7F">
      <w:pPr>
        <w:pStyle w:val="aa"/>
        <w:numPr>
          <w:ilvl w:val="0"/>
          <w:numId w:val="1"/>
        </w:numPr>
        <w:spacing w:after="0" w:line="360" w:lineRule="auto"/>
        <w:rPr>
          <w:rFonts w:asciiTheme="majorBidi" w:hAnsiTheme="majorBidi" w:cstheme="majorBidi"/>
          <w:b/>
          <w:bCs/>
          <w:sz w:val="24"/>
          <w:szCs w:val="24"/>
          <w:rtl/>
        </w:rPr>
      </w:pPr>
      <w:r w:rsidRPr="00F14B7F">
        <w:rPr>
          <w:rFonts w:asciiTheme="majorBidi" w:hAnsiTheme="majorBidi" w:cstheme="majorBidi" w:hint="cs"/>
          <w:b/>
          <w:bCs/>
          <w:sz w:val="24"/>
          <w:szCs w:val="24"/>
          <w:rtl/>
        </w:rPr>
        <w:t>שיטת הרמב"ם</w:t>
      </w:r>
    </w:p>
    <w:p w14:paraId="203F8397" w14:textId="0847A8E8" w:rsidR="001802C0" w:rsidRPr="00F14B7F" w:rsidRDefault="001802C0" w:rsidP="00F14B7F">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הרמב"ם פוסק את היתרו של רב נחמן ללא הסתייגות: </w:t>
      </w:r>
      <w:r>
        <w:rPr>
          <w:rFonts w:ascii="David" w:hAnsi="David" w:cs="David" w:hint="cs"/>
          <w:sz w:val="24"/>
          <w:szCs w:val="24"/>
          <w:rtl/>
        </w:rPr>
        <w:t>"</w:t>
      </w:r>
      <w:r w:rsidRPr="001802C0">
        <w:rPr>
          <w:rFonts w:ascii="David" w:hAnsi="David" w:cs="David"/>
          <w:sz w:val="24"/>
          <w:szCs w:val="24"/>
          <w:rtl/>
        </w:rPr>
        <w:t>יש לאדם לעשות דין לעצמו אם יש בידו כח הואיל וכדת וכהלכה הוא עושה אינו חייב לטרוח ולבוא לבית דין, אף על פי שלא היה שם הפסד בנכסיו אילו נתאחר ובא לבית דין, לפיכך אם קבל עליו בעל דינו והביאו לבית דין ודרשו ומצאו שעשה כהלכה ודין אמת דן לעצמו אין סותרין את דינו</w:t>
      </w:r>
      <w:r w:rsidRPr="001802C0">
        <w:rPr>
          <w:rStyle w:val="a5"/>
          <w:rFonts w:ascii="David" w:hAnsi="David" w:cs="David"/>
          <w:sz w:val="24"/>
          <w:szCs w:val="24"/>
          <w:rtl/>
        </w:rPr>
        <w:footnoteReference w:id="28"/>
      </w:r>
      <w:r>
        <w:rPr>
          <w:rFonts w:ascii="David" w:hAnsi="David" w:cs="David" w:hint="cs"/>
          <w:sz w:val="24"/>
          <w:szCs w:val="24"/>
          <w:rtl/>
        </w:rPr>
        <w:t>"</w:t>
      </w:r>
      <w:r w:rsidRPr="001802C0">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מסיום הדברים עולה שאף אין צריך שיהיה הדין מבורר, שהרי הוא מתאר בירור בבית דין. אמנם, במקום אחר הוא פוסק איסור נטילת משכון בהלוואה: </w:t>
      </w:r>
      <w:r w:rsidRPr="001802C0">
        <w:rPr>
          <w:rFonts w:ascii="David" w:hAnsi="David" w:cs="David"/>
          <w:sz w:val="24"/>
          <w:szCs w:val="24"/>
          <w:rtl/>
        </w:rPr>
        <w:t>"מי שיש לו שכר אצל חבירו</w:t>
      </w:r>
      <w:r>
        <w:rPr>
          <w:rFonts w:ascii="David" w:hAnsi="David" w:cs="David" w:hint="cs"/>
          <w:sz w:val="24"/>
          <w:szCs w:val="24"/>
          <w:rtl/>
        </w:rPr>
        <w:t xml:space="preserve">.. </w:t>
      </w:r>
      <w:r w:rsidRPr="001802C0">
        <w:rPr>
          <w:rFonts w:ascii="David" w:hAnsi="David" w:cs="David"/>
          <w:sz w:val="24"/>
          <w:szCs w:val="24"/>
          <w:rtl/>
        </w:rPr>
        <w:t xml:space="preserve">ה"ז מותר למשכנו שלא ע"פ ב"ד ונכנס לביתו ונוטל המשכון בשכרו, ואם זקף עליו השכר </w:t>
      </w:r>
      <w:r w:rsidRPr="001802C0">
        <w:rPr>
          <w:rFonts w:ascii="David" w:hAnsi="David" w:cs="David"/>
          <w:b/>
          <w:bCs/>
          <w:sz w:val="24"/>
          <w:szCs w:val="24"/>
          <w:rtl/>
        </w:rPr>
        <w:t>במלוה</w:t>
      </w:r>
      <w:r w:rsidRPr="001802C0">
        <w:rPr>
          <w:rFonts w:ascii="David" w:hAnsi="David" w:cs="David" w:hint="cs"/>
          <w:b/>
          <w:bCs/>
          <w:sz w:val="24"/>
          <w:szCs w:val="24"/>
          <w:rtl/>
        </w:rPr>
        <w:t>-</w:t>
      </w:r>
      <w:r w:rsidRPr="001802C0">
        <w:rPr>
          <w:rFonts w:ascii="David" w:hAnsi="David" w:cs="David"/>
          <w:b/>
          <w:bCs/>
          <w:sz w:val="24"/>
          <w:szCs w:val="24"/>
          <w:rtl/>
        </w:rPr>
        <w:t xml:space="preserve"> אסור</w:t>
      </w:r>
      <w:r w:rsidRPr="001802C0">
        <w:rPr>
          <w:rFonts w:ascii="David" w:hAnsi="David" w:cs="David"/>
          <w:sz w:val="24"/>
          <w:szCs w:val="24"/>
          <w:rtl/>
        </w:rPr>
        <w:t xml:space="preserve"> שנאמר כי תשה ברעך משאת מאומה</w:t>
      </w:r>
      <w:r w:rsidRPr="001802C0">
        <w:rPr>
          <w:rStyle w:val="a5"/>
          <w:rFonts w:ascii="David" w:hAnsi="David" w:cs="David"/>
          <w:sz w:val="24"/>
          <w:szCs w:val="24"/>
        </w:rPr>
        <w:footnoteReference w:id="29"/>
      </w:r>
      <w:r w:rsidRPr="001802C0">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אולם, בהלכות עבדים הוא פוסק:  </w:t>
      </w:r>
      <w:r w:rsidRPr="001802C0">
        <w:rPr>
          <w:rFonts w:ascii="David" w:hAnsi="David" w:cs="David"/>
          <w:sz w:val="24"/>
          <w:szCs w:val="24"/>
          <w:rtl/>
        </w:rPr>
        <w:t>"נרצע שמסר לו רבו שפחה כנענית והגיע יובל והיה רבו מסרב בו לצאת ואינו רוצה לצאת וחבל בו פטור שהרי נאסר בשפחה</w:t>
      </w:r>
      <w:r w:rsidRPr="001802C0">
        <w:rPr>
          <w:rStyle w:val="a5"/>
          <w:rFonts w:ascii="David" w:hAnsi="David" w:cs="David"/>
          <w:sz w:val="24"/>
          <w:szCs w:val="24"/>
          <w:rtl/>
        </w:rPr>
        <w:footnoteReference w:id="30"/>
      </w:r>
      <w:r w:rsidRPr="001802C0">
        <w:rPr>
          <w:rFonts w:ascii="David" w:hAnsi="David" w:cs="David"/>
          <w:sz w:val="24"/>
          <w:szCs w:val="24"/>
          <w:rtl/>
        </w:rPr>
        <w:t>".</w:t>
      </w:r>
      <w:r>
        <w:rPr>
          <w:rFonts w:asciiTheme="majorBidi" w:hAnsiTheme="majorBidi" w:cstheme="majorBidi" w:hint="cs"/>
          <w:sz w:val="24"/>
          <w:szCs w:val="24"/>
          <w:rtl/>
        </w:rPr>
        <w:t xml:space="preserve"> סיום הדברים טעון הסבר, שהרי נימוק זה נצרך בגמרא רק לדעת </w:t>
      </w:r>
      <w:r w:rsidR="00F14B7F">
        <w:rPr>
          <w:rFonts w:asciiTheme="majorBidi" w:hAnsiTheme="majorBidi" w:cstheme="majorBidi" w:hint="cs"/>
          <w:sz w:val="24"/>
          <w:szCs w:val="24"/>
          <w:rtl/>
        </w:rPr>
        <w:t>רב יהודה</w:t>
      </w:r>
      <w:r>
        <w:rPr>
          <w:rFonts w:asciiTheme="majorBidi" w:hAnsiTheme="majorBidi" w:cstheme="majorBidi" w:hint="cs"/>
          <w:sz w:val="24"/>
          <w:szCs w:val="24"/>
          <w:rtl/>
        </w:rPr>
        <w:t xml:space="preserve">, שלא נפסקה להלכה. </w:t>
      </w:r>
      <w:r w:rsidR="001F4E27">
        <w:rPr>
          <w:rFonts w:asciiTheme="majorBidi" w:hAnsiTheme="majorBidi" w:cstheme="majorBidi" w:hint="cs"/>
          <w:sz w:val="24"/>
          <w:szCs w:val="24"/>
          <w:rtl/>
        </w:rPr>
        <w:t xml:space="preserve">המשנה למלך שם מביא את דברי המוהרש"ך: </w:t>
      </w:r>
      <w:r w:rsidR="00F14B7F">
        <w:rPr>
          <w:rFonts w:asciiTheme="majorBidi" w:hAnsiTheme="majorBidi" w:cstheme="majorBidi" w:hint="cs"/>
          <w:sz w:val="24"/>
          <w:szCs w:val="24"/>
          <w:rtl/>
        </w:rPr>
        <w:t xml:space="preserve"> </w:t>
      </w:r>
      <w:r w:rsidR="001F4E27" w:rsidRPr="001F4E27">
        <w:rPr>
          <w:rFonts w:ascii="David" w:hAnsi="David" w:cs="David"/>
          <w:sz w:val="24"/>
          <w:szCs w:val="24"/>
          <w:rtl/>
        </w:rPr>
        <w:t>"אף דקי"ל כר"נ דעביד איניש דינא לנפשיה במקום דליכא פסידא</w:t>
      </w:r>
      <w:r w:rsidR="00EA3F9A">
        <w:rPr>
          <w:rFonts w:ascii="David" w:hAnsi="David" w:cs="David" w:hint="cs"/>
          <w:sz w:val="24"/>
          <w:szCs w:val="24"/>
          <w:rtl/>
        </w:rPr>
        <w:t>,</w:t>
      </w:r>
      <w:r w:rsidR="001F4E27" w:rsidRPr="001F4E27">
        <w:rPr>
          <w:rFonts w:ascii="David" w:hAnsi="David" w:cs="David"/>
          <w:sz w:val="24"/>
          <w:szCs w:val="24"/>
          <w:rtl/>
        </w:rPr>
        <w:t xml:space="preserve"> אפילו הכי אינו רשאי לחבול בו אפילו אם אינו יכול להציל בדבר אחר</w:t>
      </w:r>
      <w:r w:rsidR="00EA3F9A">
        <w:rPr>
          <w:rFonts w:ascii="David" w:hAnsi="David" w:cs="David" w:hint="cs"/>
          <w:sz w:val="24"/>
          <w:szCs w:val="24"/>
          <w:rtl/>
        </w:rPr>
        <w:t>,</w:t>
      </w:r>
      <w:r w:rsidR="001F4E27" w:rsidRPr="001F4E27">
        <w:rPr>
          <w:rFonts w:ascii="David" w:hAnsi="David" w:cs="David"/>
          <w:sz w:val="24"/>
          <w:szCs w:val="24"/>
          <w:rtl/>
        </w:rPr>
        <w:t xml:space="preserve"> כיון דליכא פסידא. ומש"ה כתב לאוקימתא דר"נ דמיירי במסר לו רבו שפחה".</w:t>
      </w:r>
      <w:r w:rsidR="001F4E27">
        <w:rPr>
          <w:rFonts w:asciiTheme="majorBidi" w:hAnsiTheme="majorBidi" w:cstheme="majorBidi" w:hint="cs"/>
          <w:sz w:val="24"/>
          <w:szCs w:val="24"/>
          <w:rtl/>
        </w:rPr>
        <w:t>המשנה למלך מביא ראייה לדבר</w:t>
      </w:r>
      <w:r w:rsidR="002C349A">
        <w:rPr>
          <w:rFonts w:asciiTheme="majorBidi" w:hAnsiTheme="majorBidi" w:cstheme="majorBidi" w:hint="cs"/>
          <w:sz w:val="24"/>
          <w:szCs w:val="24"/>
          <w:rtl/>
        </w:rPr>
        <w:t>, מדברי רב פפא שאסר פגיעה פיסית</w:t>
      </w:r>
      <w:r w:rsidR="001F4E27">
        <w:rPr>
          <w:rFonts w:asciiTheme="majorBidi" w:hAnsiTheme="majorBidi" w:cstheme="majorBidi" w:hint="cs"/>
          <w:sz w:val="24"/>
          <w:szCs w:val="24"/>
          <w:rtl/>
        </w:rPr>
        <w:t>:</w:t>
      </w:r>
      <w:r w:rsidR="001F4E27">
        <w:rPr>
          <w:rFonts w:ascii="David" w:hAnsi="David" w:cs="David" w:hint="cs"/>
          <w:sz w:val="24"/>
          <w:szCs w:val="24"/>
          <w:rtl/>
        </w:rPr>
        <w:t xml:space="preserve">   "</w:t>
      </w:r>
      <w:r w:rsidR="001F4E27" w:rsidRPr="001F4E27">
        <w:rPr>
          <w:rFonts w:ascii="David" w:hAnsi="David" w:cs="David"/>
          <w:sz w:val="24"/>
          <w:szCs w:val="24"/>
          <w:rtl/>
        </w:rPr>
        <w:t>אמר רבא</w:t>
      </w:r>
      <w:r w:rsidR="001F4E27">
        <w:rPr>
          <w:rFonts w:ascii="David" w:hAnsi="David" w:cs="David" w:hint="cs"/>
          <w:sz w:val="24"/>
          <w:szCs w:val="24"/>
          <w:rtl/>
        </w:rPr>
        <w:t>:</w:t>
      </w:r>
      <w:r w:rsidR="001F4E27" w:rsidRPr="001F4E27">
        <w:rPr>
          <w:rFonts w:ascii="David" w:hAnsi="David" w:cs="David"/>
          <w:sz w:val="24"/>
          <w:szCs w:val="24"/>
          <w:rtl/>
        </w:rPr>
        <w:t xml:space="preserve"> נכנס לחצר בעל הבית שלא ברשות הזיקו</w:t>
      </w:r>
      <w:r w:rsidR="001F4E27">
        <w:rPr>
          <w:rFonts w:ascii="David" w:hAnsi="David" w:cs="David" w:hint="cs"/>
          <w:sz w:val="24"/>
          <w:szCs w:val="24"/>
          <w:rtl/>
        </w:rPr>
        <w:t>-</w:t>
      </w:r>
      <w:r w:rsidR="001F4E27" w:rsidRPr="001F4E27">
        <w:rPr>
          <w:rFonts w:ascii="David" w:hAnsi="David" w:cs="David"/>
          <w:sz w:val="24"/>
          <w:szCs w:val="24"/>
          <w:rtl/>
        </w:rPr>
        <w:t xml:space="preserve"> בעה"ב פטור</w:t>
      </w:r>
      <w:r w:rsidR="001F4E27">
        <w:rPr>
          <w:rFonts w:ascii="David" w:hAnsi="David" w:cs="David" w:hint="cs"/>
          <w:sz w:val="24"/>
          <w:szCs w:val="24"/>
          <w:rtl/>
        </w:rPr>
        <w:t>.</w:t>
      </w:r>
      <w:r w:rsidR="001F4E27" w:rsidRPr="001F4E27">
        <w:rPr>
          <w:rFonts w:ascii="David" w:hAnsi="David" w:cs="David"/>
          <w:sz w:val="24"/>
          <w:szCs w:val="24"/>
          <w:rtl/>
        </w:rPr>
        <w:t xml:space="preserve"> אמר רב פפא</w:t>
      </w:r>
      <w:r w:rsidR="001F4E27">
        <w:rPr>
          <w:rFonts w:ascii="David" w:hAnsi="David" w:cs="David" w:hint="cs"/>
          <w:sz w:val="24"/>
          <w:szCs w:val="24"/>
          <w:rtl/>
        </w:rPr>
        <w:t>:</w:t>
      </w:r>
      <w:r w:rsidR="001F4E27" w:rsidRPr="001F4E27">
        <w:rPr>
          <w:rFonts w:ascii="David" w:hAnsi="David" w:cs="David"/>
          <w:sz w:val="24"/>
          <w:szCs w:val="24"/>
          <w:rtl/>
        </w:rPr>
        <w:t xml:space="preserve"> לא אמרן אלא דלא הוה ידע ביה אבל הוה ידע ביה הזיקו</w:t>
      </w:r>
      <w:r w:rsidR="001F4E27">
        <w:rPr>
          <w:rFonts w:ascii="David" w:hAnsi="David" w:cs="David" w:hint="cs"/>
          <w:sz w:val="24"/>
          <w:szCs w:val="24"/>
          <w:rtl/>
        </w:rPr>
        <w:t>-</w:t>
      </w:r>
      <w:r w:rsidR="001F4E27" w:rsidRPr="001F4E27">
        <w:rPr>
          <w:rFonts w:ascii="David" w:hAnsi="David" w:cs="David"/>
          <w:sz w:val="24"/>
          <w:szCs w:val="24"/>
          <w:rtl/>
        </w:rPr>
        <w:t xml:space="preserve"> בעה"ב חייב</w:t>
      </w:r>
      <w:r w:rsidR="001F4E27">
        <w:rPr>
          <w:rFonts w:ascii="David" w:hAnsi="David" w:cs="David" w:hint="cs"/>
          <w:sz w:val="24"/>
          <w:szCs w:val="24"/>
          <w:rtl/>
        </w:rPr>
        <w:t>.</w:t>
      </w:r>
      <w:r w:rsidR="001F4E27" w:rsidRPr="001F4E27">
        <w:rPr>
          <w:rFonts w:ascii="David" w:hAnsi="David" w:cs="David"/>
          <w:sz w:val="24"/>
          <w:szCs w:val="24"/>
          <w:rtl/>
        </w:rPr>
        <w:t xml:space="preserve"> מאי טעמא</w:t>
      </w:r>
      <w:r w:rsidR="001F4E27">
        <w:rPr>
          <w:rFonts w:ascii="David" w:hAnsi="David" w:cs="David" w:hint="cs"/>
          <w:sz w:val="24"/>
          <w:szCs w:val="24"/>
          <w:rtl/>
        </w:rPr>
        <w:t xml:space="preserve">? </w:t>
      </w:r>
      <w:r w:rsidR="001F4E27" w:rsidRPr="001F4E27">
        <w:rPr>
          <w:rFonts w:ascii="David" w:hAnsi="David" w:cs="David"/>
          <w:sz w:val="24"/>
          <w:szCs w:val="24"/>
          <w:rtl/>
        </w:rPr>
        <w:t>משום דאמר ליה</w:t>
      </w:r>
      <w:r w:rsidR="001F4E27">
        <w:rPr>
          <w:rFonts w:ascii="David" w:hAnsi="David" w:cs="David" w:hint="cs"/>
          <w:sz w:val="24"/>
          <w:szCs w:val="24"/>
          <w:rtl/>
        </w:rPr>
        <w:t>:</w:t>
      </w:r>
      <w:r w:rsidR="001F4E27" w:rsidRPr="001F4E27">
        <w:rPr>
          <w:rFonts w:ascii="David" w:hAnsi="David" w:cs="David"/>
          <w:sz w:val="24"/>
          <w:szCs w:val="24"/>
          <w:rtl/>
        </w:rPr>
        <w:t xml:space="preserve"> </w:t>
      </w:r>
      <w:r w:rsidR="001F4E27">
        <w:rPr>
          <w:rFonts w:ascii="David" w:hAnsi="David" w:cs="David" w:hint="cs"/>
          <w:sz w:val="24"/>
          <w:szCs w:val="24"/>
          <w:rtl/>
        </w:rPr>
        <w:t>'</w:t>
      </w:r>
      <w:r w:rsidR="001F4E27" w:rsidRPr="001F4E27">
        <w:rPr>
          <w:rFonts w:ascii="David" w:hAnsi="David" w:cs="David"/>
          <w:sz w:val="24"/>
          <w:szCs w:val="24"/>
          <w:rtl/>
        </w:rPr>
        <w:t>נהי דאית לך רשות לאפוקי</w:t>
      </w:r>
      <w:r w:rsidR="001F4E27">
        <w:rPr>
          <w:rFonts w:ascii="David" w:hAnsi="David" w:cs="David" w:hint="cs"/>
          <w:sz w:val="24"/>
          <w:szCs w:val="24"/>
          <w:rtl/>
        </w:rPr>
        <w:t>,</w:t>
      </w:r>
      <w:r w:rsidR="001F4E27" w:rsidRPr="001F4E27">
        <w:rPr>
          <w:rFonts w:ascii="David" w:hAnsi="David" w:cs="David"/>
          <w:sz w:val="24"/>
          <w:szCs w:val="24"/>
          <w:rtl/>
        </w:rPr>
        <w:t xml:space="preserve"> לאזוקי לית לך רשותא</w:t>
      </w:r>
      <w:r w:rsidR="00EA3F9A">
        <w:rPr>
          <w:rStyle w:val="a5"/>
          <w:rFonts w:ascii="David" w:hAnsi="David" w:cs="David"/>
          <w:sz w:val="24"/>
          <w:szCs w:val="24"/>
          <w:rtl/>
        </w:rPr>
        <w:footnoteReference w:id="31"/>
      </w:r>
      <w:r w:rsidR="001F4E27">
        <w:rPr>
          <w:rFonts w:ascii="David" w:hAnsi="David" w:cs="David" w:hint="cs"/>
          <w:sz w:val="24"/>
          <w:szCs w:val="24"/>
          <w:rtl/>
        </w:rPr>
        <w:t>'</w:t>
      </w:r>
      <w:r w:rsidR="001F4E27" w:rsidRPr="001F4E27">
        <w:rPr>
          <w:rFonts w:ascii="David" w:hAnsi="David" w:cs="David"/>
          <w:sz w:val="24"/>
          <w:szCs w:val="24"/>
          <w:rtl/>
        </w:rPr>
        <w:t>. והנה רבינו ס"ל דפירוש לא הוה ידע ביה הוא בשגגה</w:t>
      </w:r>
      <w:r w:rsidR="00EA3F9A">
        <w:rPr>
          <w:rFonts w:ascii="David" w:hAnsi="David" w:cs="David" w:hint="cs"/>
          <w:sz w:val="24"/>
          <w:szCs w:val="24"/>
          <w:rtl/>
        </w:rPr>
        <w:t>,</w:t>
      </w:r>
      <w:r w:rsidR="001F4E27" w:rsidRPr="001F4E27">
        <w:rPr>
          <w:rFonts w:ascii="David" w:hAnsi="David" w:cs="David"/>
          <w:sz w:val="24"/>
          <w:szCs w:val="24"/>
          <w:rtl/>
        </w:rPr>
        <w:t xml:space="preserve"> ופירוש ידע ביה</w:t>
      </w:r>
      <w:r w:rsidR="00EA3F9A">
        <w:rPr>
          <w:rFonts w:ascii="David" w:hAnsi="David" w:cs="David" w:hint="cs"/>
          <w:sz w:val="24"/>
          <w:szCs w:val="24"/>
          <w:rtl/>
        </w:rPr>
        <w:t>-</w:t>
      </w:r>
      <w:r w:rsidR="001F4E27" w:rsidRPr="001F4E27">
        <w:rPr>
          <w:rFonts w:ascii="David" w:hAnsi="David" w:cs="David"/>
          <w:sz w:val="24"/>
          <w:szCs w:val="24"/>
          <w:rtl/>
        </w:rPr>
        <w:t xml:space="preserve"> הוא במזיד</w:t>
      </w:r>
      <w:r w:rsidR="001F4E27">
        <w:rPr>
          <w:rFonts w:ascii="David" w:hAnsi="David" w:cs="David" w:hint="cs"/>
          <w:sz w:val="24"/>
          <w:szCs w:val="24"/>
          <w:rtl/>
        </w:rPr>
        <w:t>..</w:t>
      </w:r>
      <w:r w:rsidR="001F4E27" w:rsidRPr="001F4E27">
        <w:rPr>
          <w:rFonts w:ascii="David" w:hAnsi="David" w:cs="David"/>
          <w:sz w:val="24"/>
          <w:szCs w:val="24"/>
          <w:rtl/>
        </w:rPr>
        <w:t xml:space="preserve"> וא"כ כפי פירושו ע"כ אית לן למימר</w:t>
      </w:r>
      <w:r w:rsidR="00EA3F9A">
        <w:rPr>
          <w:rFonts w:ascii="David" w:hAnsi="David" w:cs="David" w:hint="cs"/>
          <w:sz w:val="24"/>
          <w:szCs w:val="24"/>
          <w:rtl/>
        </w:rPr>
        <w:t>,</w:t>
      </w:r>
      <w:r w:rsidR="001F4E27" w:rsidRPr="001F4E27">
        <w:rPr>
          <w:rFonts w:ascii="David" w:hAnsi="David" w:cs="David"/>
          <w:sz w:val="24"/>
          <w:szCs w:val="24"/>
          <w:rtl/>
        </w:rPr>
        <w:t xml:space="preserve"> דמאי </w:t>
      </w:r>
      <w:r w:rsidR="001F4E27" w:rsidRPr="001F4E27">
        <w:rPr>
          <w:rFonts w:ascii="David" w:hAnsi="David" w:cs="David"/>
          <w:sz w:val="24"/>
          <w:szCs w:val="24"/>
          <w:rtl/>
        </w:rPr>
        <w:lastRenderedPageBreak/>
        <w:t>דאמרינן דבמזיד חייב</w:t>
      </w:r>
      <w:r w:rsidR="00A32FED">
        <w:rPr>
          <w:rFonts w:ascii="David" w:hAnsi="David" w:cs="David" w:hint="cs"/>
          <w:sz w:val="24"/>
          <w:szCs w:val="24"/>
          <w:rtl/>
        </w:rPr>
        <w:t>,</w:t>
      </w:r>
      <w:r w:rsidR="001F4E27" w:rsidRPr="001F4E27">
        <w:rPr>
          <w:rFonts w:ascii="David" w:hAnsi="David" w:cs="David"/>
          <w:sz w:val="24"/>
          <w:szCs w:val="24"/>
          <w:rtl/>
        </w:rPr>
        <w:t xml:space="preserve"> הוא אפילו אם לא היה יכול להוציאו בענין אחר</w:t>
      </w:r>
      <w:r w:rsidR="00EA3F9A">
        <w:rPr>
          <w:rFonts w:ascii="David" w:hAnsi="David" w:cs="David" w:hint="cs"/>
          <w:sz w:val="24"/>
          <w:szCs w:val="24"/>
          <w:rtl/>
        </w:rPr>
        <w:t>.</w:t>
      </w:r>
      <w:r w:rsidR="001F4E27" w:rsidRPr="001F4E27">
        <w:rPr>
          <w:rFonts w:ascii="David" w:hAnsi="David" w:cs="David"/>
          <w:sz w:val="24"/>
          <w:szCs w:val="24"/>
          <w:rtl/>
        </w:rPr>
        <w:t xml:space="preserve"> וקמשמע לן דאע"ג דקי"ל דעביד איניש דינא לנפשיה אפילו במקום דליכא פסידא</w:t>
      </w:r>
      <w:r w:rsidR="00EA3F9A">
        <w:rPr>
          <w:rFonts w:ascii="David" w:hAnsi="David" w:cs="David" w:hint="cs"/>
          <w:sz w:val="24"/>
          <w:szCs w:val="24"/>
          <w:rtl/>
        </w:rPr>
        <w:t>,</w:t>
      </w:r>
      <w:r w:rsidR="001F4E27" w:rsidRPr="001F4E27">
        <w:rPr>
          <w:rFonts w:ascii="David" w:hAnsi="David" w:cs="David"/>
          <w:sz w:val="24"/>
          <w:szCs w:val="24"/>
          <w:rtl/>
        </w:rPr>
        <w:t xml:space="preserve"> מ"מ אינו רשאי להכותו כיון דליכא פסידא</w:t>
      </w:r>
      <w:r w:rsidR="00EA3F9A">
        <w:rPr>
          <w:rStyle w:val="a5"/>
          <w:rFonts w:ascii="David" w:hAnsi="David" w:cs="David"/>
          <w:sz w:val="24"/>
          <w:szCs w:val="24"/>
          <w:rtl/>
        </w:rPr>
        <w:footnoteReference w:id="32"/>
      </w:r>
      <w:r w:rsidR="001F4E27">
        <w:rPr>
          <w:rFonts w:ascii="David" w:hAnsi="David" w:cs="David" w:hint="cs"/>
          <w:sz w:val="24"/>
          <w:szCs w:val="24"/>
          <w:rtl/>
        </w:rPr>
        <w:t>".</w:t>
      </w:r>
    </w:p>
    <w:p w14:paraId="40AAF30A" w14:textId="488D8DEE" w:rsidR="007615B9" w:rsidRPr="007615B9" w:rsidRDefault="007615B9" w:rsidP="001F4E27">
      <w:pPr>
        <w:spacing w:after="0" w:line="360" w:lineRule="auto"/>
        <w:rPr>
          <w:rFonts w:ascii="David" w:hAnsi="David" w:cs="David"/>
          <w:sz w:val="24"/>
          <w:szCs w:val="24"/>
          <w:rtl/>
        </w:rPr>
      </w:pPr>
      <w:r w:rsidRPr="007615B9">
        <w:rPr>
          <w:rFonts w:asciiTheme="majorBidi" w:hAnsiTheme="majorBidi" w:cstheme="majorBidi"/>
          <w:sz w:val="24"/>
          <w:szCs w:val="24"/>
          <w:rtl/>
        </w:rPr>
        <w:t xml:space="preserve">ניתן להציע </w:t>
      </w:r>
      <w:r>
        <w:rPr>
          <w:rFonts w:asciiTheme="majorBidi" w:hAnsiTheme="majorBidi" w:cstheme="majorBidi" w:hint="cs"/>
          <w:sz w:val="24"/>
          <w:szCs w:val="24"/>
          <w:rtl/>
        </w:rPr>
        <w:t xml:space="preserve">במחלוקת הראשונים, שהשאלה היא האם ההיתר לעשות דין לעצמו, כשיש הפסד וכשאין הפסד חד הוא. </w:t>
      </w:r>
      <w:r>
        <w:rPr>
          <w:rFonts w:ascii="David" w:hAnsi="David" w:cs="David" w:hint="cs"/>
          <w:sz w:val="24"/>
          <w:szCs w:val="24"/>
          <w:rtl/>
        </w:rPr>
        <w:t xml:space="preserve">"רא"ש וטור סברי דשניהן הלכה אחת הן, וממילא בשניהן ניתן לו כח בית דין גם לחבול. אולם רמב"ם סובר דשתי הלכות המה.. באיכא פסידא ניתן לכל אחד כח בית דין.. גם לחבול.. אבל בליכא פסידא.. אין הטעם דניתן לו כח בית דין, </w:t>
      </w:r>
      <w:r>
        <w:rPr>
          <w:rFonts w:ascii="David" w:hAnsi="David" w:cs="David" w:hint="cs"/>
          <w:b/>
          <w:bCs/>
          <w:sz w:val="24"/>
          <w:szCs w:val="24"/>
          <w:rtl/>
        </w:rPr>
        <w:t>אלא דווקא באופן שאין צריך כח בית דין</w:t>
      </w:r>
      <w:r>
        <w:rPr>
          <w:rStyle w:val="a5"/>
          <w:rFonts w:ascii="David" w:hAnsi="David" w:cs="David"/>
          <w:b/>
          <w:bCs/>
          <w:sz w:val="24"/>
          <w:szCs w:val="24"/>
          <w:rtl/>
        </w:rPr>
        <w:footnoteReference w:id="33"/>
      </w:r>
      <w:r>
        <w:rPr>
          <w:rFonts w:ascii="David" w:hAnsi="David" w:cs="David" w:hint="cs"/>
          <w:b/>
          <w:bCs/>
          <w:sz w:val="24"/>
          <w:szCs w:val="24"/>
          <w:rtl/>
        </w:rPr>
        <w:t xml:space="preserve">". </w:t>
      </w:r>
      <w:r>
        <w:rPr>
          <w:rFonts w:asciiTheme="majorBidi" w:hAnsiTheme="majorBidi" w:cstheme="majorBidi" w:hint="cs"/>
          <w:sz w:val="24"/>
          <w:szCs w:val="24"/>
          <w:rtl/>
        </w:rPr>
        <w:t>גם רב נחמן התיר רק להוציא בחוזק אבל לא לחבול, ולכן יש צורך באוקימתא של הפסד לגבי עבד עקשן.   הרב גוס</w:t>
      </w:r>
      <w:r w:rsidR="00A32FED">
        <w:rPr>
          <w:rFonts w:asciiTheme="majorBidi" w:hAnsiTheme="majorBidi" w:cstheme="majorBidi" w:hint="cs"/>
          <w:sz w:val="24"/>
          <w:szCs w:val="24"/>
          <w:rtl/>
        </w:rPr>
        <w:t>ט</w:t>
      </w:r>
      <w:r>
        <w:rPr>
          <w:rFonts w:asciiTheme="majorBidi" w:hAnsiTheme="majorBidi" w:cstheme="majorBidi" w:hint="cs"/>
          <w:sz w:val="24"/>
          <w:szCs w:val="24"/>
          <w:rtl/>
        </w:rPr>
        <w:t>מן מציע שהכאת עבד היא היתר שונה לגמרי, שהוא מטעם הפרשה מאיסור, ולפיכך ההיתר תקף גם אם אינו יכול לברר, וגם אחרים שאינם בעלי השפחה יכולים לכוף אותו. כך הוא מדייק בדברי רש"י</w:t>
      </w:r>
      <w:r w:rsidR="00F14B7F">
        <w:rPr>
          <w:rStyle w:val="a5"/>
          <w:rFonts w:asciiTheme="majorBidi" w:hAnsiTheme="majorBidi" w:cstheme="majorBidi"/>
          <w:sz w:val="24"/>
          <w:szCs w:val="24"/>
          <w:rtl/>
        </w:rPr>
        <w:footnoteReference w:id="34"/>
      </w:r>
      <w:r>
        <w:rPr>
          <w:rFonts w:asciiTheme="majorBidi" w:hAnsiTheme="majorBidi" w:cstheme="majorBidi" w:hint="cs"/>
          <w:sz w:val="24"/>
          <w:szCs w:val="24"/>
          <w:rtl/>
        </w:rPr>
        <w:t>: '</w:t>
      </w:r>
      <w:r>
        <w:rPr>
          <w:rFonts w:ascii="David" w:hAnsi="David" w:cs="David" w:hint="cs"/>
          <w:sz w:val="24"/>
          <w:szCs w:val="24"/>
          <w:rtl/>
        </w:rPr>
        <w:t>דהאי דינא</w:t>
      </w:r>
      <w:r w:rsidR="00A32FED">
        <w:rPr>
          <w:rFonts w:ascii="David" w:hAnsi="David" w:cs="David" w:hint="cs"/>
          <w:sz w:val="24"/>
          <w:szCs w:val="24"/>
          <w:rtl/>
        </w:rPr>
        <w:t>-</w:t>
      </w:r>
      <w:r>
        <w:rPr>
          <w:rFonts w:ascii="David" w:hAnsi="David" w:cs="David" w:hint="cs"/>
          <w:sz w:val="24"/>
          <w:szCs w:val="24"/>
          <w:rtl/>
        </w:rPr>
        <w:t xml:space="preserve"> לאו לנפשיה הוא". </w:t>
      </w:r>
    </w:p>
    <w:p w14:paraId="59EE9CD2" w14:textId="7C287505" w:rsidR="00EA3F9A" w:rsidRDefault="002C349A" w:rsidP="001F4E2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מכל מקום, הסוגיות אינן זהות. השו"ע שפסק כאן בפשטות שמותר לעושה דין לעצמו לפגוע בזולת גם כשאין הפסד, לגבי הנכנס לרשות חברו, נראה שהוא מסתפק בדבר: </w:t>
      </w:r>
    </w:p>
    <w:p w14:paraId="1CBA251F" w14:textId="7341F25A" w:rsidR="002C349A" w:rsidRDefault="002C349A" w:rsidP="002C349A">
      <w:pPr>
        <w:spacing w:after="0" w:line="360" w:lineRule="auto"/>
        <w:rPr>
          <w:rFonts w:asciiTheme="majorBidi" w:hAnsiTheme="majorBidi" w:cstheme="majorBidi"/>
          <w:sz w:val="24"/>
          <w:szCs w:val="24"/>
          <w:rtl/>
        </w:rPr>
      </w:pPr>
      <w:r>
        <w:rPr>
          <w:rFonts w:ascii="David" w:hAnsi="David" w:cs="David" w:hint="cs"/>
          <w:sz w:val="24"/>
          <w:szCs w:val="24"/>
          <w:rtl/>
        </w:rPr>
        <w:t>"</w:t>
      </w:r>
      <w:r w:rsidRPr="002C349A">
        <w:rPr>
          <w:rFonts w:ascii="David" w:hAnsi="David" w:cs="David"/>
          <w:sz w:val="24"/>
          <w:szCs w:val="24"/>
          <w:rtl/>
        </w:rPr>
        <w:t>נכנס חבירו לרשותו שלא ברשות, וחבל בו והוציאו, חייב; דנהי שיש לו רשות להוציאו, אין לו רשות לחבול בו. אבל אם הוא מסרב בו ואינו רוצה לצאת, י"א שיש לו רשות אפילו לחבול בו כדי להוציאו</w:t>
      </w:r>
      <w:r>
        <w:rPr>
          <w:rStyle w:val="a5"/>
          <w:rFonts w:ascii="David" w:hAnsi="David" w:cs="David"/>
          <w:sz w:val="24"/>
          <w:szCs w:val="24"/>
          <w:rtl/>
        </w:rPr>
        <w:footnoteReference w:id="35"/>
      </w:r>
      <w:r>
        <w:rPr>
          <w:rFonts w:ascii="David" w:hAnsi="David" w:cs="David" w:hint="cs"/>
          <w:sz w:val="24"/>
          <w:szCs w:val="24"/>
          <w:rtl/>
        </w:rPr>
        <w:t>"</w:t>
      </w:r>
      <w:r w:rsidRPr="002C349A">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לכן מציע המל"מ חילוק בין הסוגיות: לא הרי גזילת חפץ, כפלישה לרשות, שאיננה נזק ממשי: </w:t>
      </w:r>
      <w:r>
        <w:rPr>
          <w:rFonts w:asciiTheme="majorBidi" w:hAnsiTheme="majorBidi" w:cs="Times New Roman" w:hint="cs"/>
          <w:sz w:val="24"/>
          <w:szCs w:val="24"/>
          <w:rtl/>
        </w:rPr>
        <w:t xml:space="preserve"> </w:t>
      </w:r>
      <w:r>
        <w:rPr>
          <w:rFonts w:asciiTheme="majorBidi" w:hAnsiTheme="majorBidi" w:cstheme="majorBidi" w:hint="cs"/>
          <w:sz w:val="24"/>
          <w:szCs w:val="24"/>
          <w:rtl/>
        </w:rPr>
        <w:t xml:space="preserve"> </w:t>
      </w:r>
      <w:r w:rsidRPr="002C349A">
        <w:rPr>
          <w:rFonts w:ascii="David" w:hAnsi="David" w:cs="David"/>
          <w:sz w:val="24"/>
          <w:szCs w:val="24"/>
          <w:rtl/>
        </w:rPr>
        <w:t xml:space="preserve">"נראה דלעולם דס"ל לרבינו דאפילו במקום דליכא פסידא רשאי להכותו, כל שאינו יכול להציל באופן אחר. אלא דס"ל דשאני ליכא פסידא דאיפליגו בה ר"י ור"נ, מנכנס לחצר חבירו שלא ברשות. דהתם אף דליכא פסידא מפני שיכול לבא לב"ד והם יוציאו הגזילה מתחת ידו מ"מ </w:t>
      </w:r>
      <w:r w:rsidRPr="002C349A">
        <w:rPr>
          <w:rFonts w:ascii="David" w:hAnsi="David" w:cs="David"/>
          <w:b/>
          <w:bCs/>
          <w:sz w:val="24"/>
          <w:szCs w:val="24"/>
          <w:rtl/>
        </w:rPr>
        <w:t>קודם שיבא לב"ד איכא פסידא</w:t>
      </w:r>
      <w:r w:rsidRPr="002C349A">
        <w:rPr>
          <w:rFonts w:ascii="David" w:hAnsi="David" w:cs="David"/>
          <w:sz w:val="24"/>
          <w:szCs w:val="24"/>
          <w:rtl/>
        </w:rPr>
        <w:t xml:space="preserve"> שדבר שהוא שלו הוא תחת רשות חבירו. אבל נכנס לחצר חבירו </w:t>
      </w:r>
      <w:r w:rsidRPr="002C349A">
        <w:rPr>
          <w:rFonts w:ascii="David" w:hAnsi="David" w:cs="David"/>
          <w:b/>
          <w:bCs/>
          <w:sz w:val="24"/>
          <w:szCs w:val="24"/>
          <w:rtl/>
        </w:rPr>
        <w:t>אין לו שום פסידא כלל</w:t>
      </w:r>
      <w:r w:rsidRPr="002C349A">
        <w:rPr>
          <w:rFonts w:ascii="David" w:hAnsi="David" w:cs="David"/>
          <w:sz w:val="24"/>
          <w:szCs w:val="24"/>
          <w:rtl/>
        </w:rPr>
        <w:t xml:space="preserve"> שהרי אינו לוקח שום דבר תחת רשותו ומש"ה אף שרשאי להוציאו אינו יכול להכותו".</w:t>
      </w:r>
      <w:r>
        <w:rPr>
          <w:rFonts w:asciiTheme="majorBidi" w:hAnsiTheme="majorBidi" w:cstheme="majorBidi" w:hint="cs"/>
          <w:sz w:val="24"/>
          <w:szCs w:val="24"/>
          <w:rtl/>
        </w:rPr>
        <w:t xml:space="preserve"> אמנם, פגיעה פיסית באדם חמורה מפגיעה בממון. לפיכך </w:t>
      </w:r>
      <w:r w:rsidR="00B772C2">
        <w:rPr>
          <w:rFonts w:asciiTheme="majorBidi" w:hAnsiTheme="majorBidi" w:cstheme="majorBidi" w:hint="cs"/>
          <w:sz w:val="24"/>
          <w:szCs w:val="24"/>
          <w:rtl/>
        </w:rPr>
        <w:t>אסור להכות עבד נרצע שיצא, אלא אם כן יש בכך הפרשה מאיסור.</w:t>
      </w:r>
    </w:p>
    <w:p w14:paraId="1F75BE8B" w14:textId="6F73B41F" w:rsidR="00FA023E" w:rsidRPr="00F14B7F" w:rsidRDefault="00FA023E" w:rsidP="00F14B7F">
      <w:pPr>
        <w:pStyle w:val="aa"/>
        <w:numPr>
          <w:ilvl w:val="0"/>
          <w:numId w:val="1"/>
        </w:numPr>
        <w:spacing w:after="0" w:line="360" w:lineRule="auto"/>
        <w:rPr>
          <w:rFonts w:asciiTheme="majorBidi" w:hAnsiTheme="majorBidi" w:cstheme="majorBidi"/>
          <w:b/>
          <w:bCs/>
          <w:sz w:val="24"/>
          <w:szCs w:val="24"/>
          <w:rtl/>
        </w:rPr>
      </w:pPr>
      <w:r w:rsidRPr="00F14B7F">
        <w:rPr>
          <w:rFonts w:asciiTheme="majorBidi" w:hAnsiTheme="majorBidi" w:cstheme="majorBidi" w:hint="cs"/>
          <w:b/>
          <w:bCs/>
          <w:sz w:val="24"/>
          <w:szCs w:val="24"/>
          <w:rtl/>
        </w:rPr>
        <w:t>מקור הכח לעשות דין לעצמו</w:t>
      </w:r>
    </w:p>
    <w:p w14:paraId="66B22D03" w14:textId="798ABEDF" w:rsidR="00450774" w:rsidRPr="00450774" w:rsidRDefault="00FA023E" w:rsidP="00450774">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כיוון שרב חסדא נחלק על עקרון זה לגמרי, נראה שהיסוד הוא סברה. ופלא שבמכה עבדו הממאן לצאת, נזקקו לפסוק כדי לפטור</w:t>
      </w:r>
      <w:r>
        <w:rPr>
          <w:rStyle w:val="a5"/>
          <w:rFonts w:asciiTheme="majorBidi" w:hAnsiTheme="majorBidi" w:cstheme="majorBidi"/>
          <w:sz w:val="24"/>
          <w:szCs w:val="24"/>
          <w:rtl/>
        </w:rPr>
        <w:footnoteReference w:id="36"/>
      </w:r>
      <w:r>
        <w:rPr>
          <w:rFonts w:asciiTheme="majorBidi" w:hAnsiTheme="majorBidi" w:cstheme="majorBidi" w:hint="cs"/>
          <w:sz w:val="24"/>
          <w:szCs w:val="24"/>
          <w:rtl/>
        </w:rPr>
        <w:t>.</w:t>
      </w:r>
      <w:r w:rsidR="00450774">
        <w:rPr>
          <w:rFonts w:asciiTheme="majorBidi" w:hAnsiTheme="majorBidi" w:cstheme="majorBidi" w:hint="cs"/>
          <w:sz w:val="24"/>
          <w:szCs w:val="24"/>
          <w:rtl/>
        </w:rPr>
        <w:t xml:space="preserve"> נראה שהנפגע מקבל כח של בית דין. כך מוכיח הרב גוסטמן מדברי כמה ראשונים: 1. </w:t>
      </w:r>
      <w:r w:rsidR="00450774">
        <w:rPr>
          <w:rFonts w:asciiTheme="majorBidi" w:hAnsiTheme="majorBidi" w:cs="Times New Roman" w:hint="cs"/>
          <w:sz w:val="24"/>
          <w:szCs w:val="24"/>
          <w:rtl/>
        </w:rPr>
        <w:t xml:space="preserve"> </w:t>
      </w:r>
      <w:r w:rsidR="00450774">
        <w:rPr>
          <w:rFonts w:asciiTheme="majorBidi" w:hAnsiTheme="majorBidi" w:cstheme="majorBidi" w:hint="cs"/>
          <w:sz w:val="24"/>
          <w:szCs w:val="24"/>
          <w:rtl/>
        </w:rPr>
        <w:t xml:space="preserve">סוגייתנו: </w:t>
      </w:r>
      <w:r w:rsidR="00450774" w:rsidRPr="00450774">
        <w:rPr>
          <w:rFonts w:ascii="David" w:hAnsi="David" w:cs="David"/>
          <w:sz w:val="24"/>
          <w:szCs w:val="24"/>
          <w:rtl/>
        </w:rPr>
        <w:t xml:space="preserve">"ושלחה ידה - פרט לשליח ב"ד... אינה יכולה להציל ע"י דבר אחר, </w:t>
      </w:r>
      <w:r w:rsidR="00450774" w:rsidRPr="00450774">
        <w:rPr>
          <w:rFonts w:ascii="David" w:hAnsi="David" w:cs="David"/>
          <w:b/>
          <w:bCs/>
          <w:sz w:val="24"/>
          <w:szCs w:val="24"/>
          <w:rtl/>
        </w:rPr>
        <w:t>נעשה ידה כשליח ב"ד</w:t>
      </w:r>
      <w:r w:rsidR="00A32FED">
        <w:rPr>
          <w:rFonts w:ascii="David" w:hAnsi="David" w:cs="David" w:hint="cs"/>
          <w:b/>
          <w:bCs/>
          <w:sz w:val="24"/>
          <w:szCs w:val="24"/>
          <w:rtl/>
        </w:rPr>
        <w:t>,</w:t>
      </w:r>
      <w:r w:rsidR="00450774" w:rsidRPr="00450774">
        <w:rPr>
          <w:rFonts w:ascii="David" w:hAnsi="David" w:cs="David"/>
          <w:sz w:val="24"/>
          <w:szCs w:val="24"/>
          <w:rtl/>
        </w:rPr>
        <w:t xml:space="preserve"> ופטורה".</w:t>
      </w:r>
    </w:p>
    <w:p w14:paraId="1D4D151D" w14:textId="5AC961ED" w:rsidR="00FA023E" w:rsidRDefault="00450774" w:rsidP="00450774">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2. רצף ההלכות ברמב"ם:  </w:t>
      </w:r>
      <w:r>
        <w:rPr>
          <w:rFonts w:ascii="David" w:hAnsi="David" w:cs="David" w:hint="cs"/>
          <w:sz w:val="24"/>
          <w:szCs w:val="24"/>
          <w:rtl/>
        </w:rPr>
        <w:t>"</w:t>
      </w:r>
      <w:r w:rsidRPr="00450774">
        <w:rPr>
          <w:rFonts w:ascii="David" w:hAnsi="David" w:cs="David"/>
          <w:sz w:val="24"/>
          <w:szCs w:val="24"/>
          <w:rtl/>
        </w:rPr>
        <w:t>אף על פי שאין בית דין פחות משלשה מותר לאחד לדון מן התורה..</w:t>
      </w:r>
      <w:r w:rsidR="00A32FED">
        <w:rPr>
          <w:rFonts w:ascii="David" w:hAnsi="David" w:cs="David" w:hint="cs"/>
          <w:sz w:val="24"/>
          <w:szCs w:val="24"/>
          <w:rtl/>
        </w:rPr>
        <w:t xml:space="preserve"> </w:t>
      </w:r>
      <w:r w:rsidRPr="00450774">
        <w:rPr>
          <w:rFonts w:ascii="David" w:hAnsi="David" w:cs="David"/>
          <w:sz w:val="24"/>
          <w:szCs w:val="24"/>
          <w:rtl/>
        </w:rPr>
        <w:t xml:space="preserve">אחד שהיה מומחה לרבים או שנטל רשות מבית דין הרי זה מותר לו לדון יחידי אבל אינו חשוב </w:t>
      </w:r>
      <w:r w:rsidRPr="00450774">
        <w:rPr>
          <w:rFonts w:ascii="David" w:hAnsi="David" w:cs="David"/>
          <w:sz w:val="24"/>
          <w:szCs w:val="24"/>
          <w:rtl/>
        </w:rPr>
        <w:lastRenderedPageBreak/>
        <w:t>בית דין..</w:t>
      </w:r>
      <w:r>
        <w:rPr>
          <w:rFonts w:ascii="David" w:hAnsi="David" w:cs="David" w:hint="cs"/>
          <w:sz w:val="24"/>
          <w:szCs w:val="24"/>
          <w:rtl/>
        </w:rPr>
        <w:t xml:space="preserve"> </w:t>
      </w:r>
      <w:r w:rsidRPr="00450774">
        <w:rPr>
          <w:rFonts w:ascii="David" w:hAnsi="David" w:cs="David"/>
          <w:sz w:val="24"/>
          <w:szCs w:val="24"/>
          <w:rtl/>
        </w:rPr>
        <w:t xml:space="preserve">יש לאדם לעשות דין לעצמו אם יש בידו כח הואיל וכדת וכהלכה הוא עושה.. לפיכך אם קבל עליו בעל דינו והביאו לבית דין ודרשו ומצאו שעשה כהלכה </w:t>
      </w:r>
      <w:r w:rsidRPr="00450774">
        <w:rPr>
          <w:rFonts w:ascii="David" w:hAnsi="David" w:cs="David"/>
          <w:b/>
          <w:bCs/>
          <w:sz w:val="24"/>
          <w:szCs w:val="24"/>
          <w:rtl/>
        </w:rPr>
        <w:t>ודין אמת דן לעצמו</w:t>
      </w:r>
      <w:r>
        <w:rPr>
          <w:rFonts w:ascii="David" w:hAnsi="David" w:cs="David" w:hint="cs"/>
          <w:b/>
          <w:bCs/>
          <w:sz w:val="24"/>
          <w:szCs w:val="24"/>
          <w:rtl/>
        </w:rPr>
        <w:t>-</w:t>
      </w:r>
      <w:r w:rsidRPr="00450774">
        <w:rPr>
          <w:rFonts w:ascii="David" w:hAnsi="David" w:cs="David"/>
          <w:sz w:val="24"/>
          <w:szCs w:val="24"/>
          <w:rtl/>
        </w:rPr>
        <w:t xml:space="preserve"> אין סותרין את </w:t>
      </w:r>
      <w:r w:rsidRPr="00450774">
        <w:rPr>
          <w:rFonts w:ascii="David" w:hAnsi="David" w:cs="David"/>
          <w:b/>
          <w:bCs/>
          <w:sz w:val="24"/>
          <w:szCs w:val="24"/>
          <w:rtl/>
        </w:rPr>
        <w:t>דינו</w:t>
      </w:r>
      <w:r w:rsidRPr="00450774">
        <w:rPr>
          <w:rStyle w:val="a5"/>
          <w:rFonts w:ascii="David" w:hAnsi="David" w:cs="David"/>
          <w:b/>
          <w:bCs/>
          <w:sz w:val="24"/>
          <w:szCs w:val="24"/>
          <w:rtl/>
        </w:rPr>
        <w:footnoteReference w:id="37"/>
      </w:r>
      <w:r w:rsidRPr="00450774">
        <w:rPr>
          <w:rFonts w:ascii="David" w:hAnsi="David" w:cs="David"/>
          <w:sz w:val="24"/>
          <w:szCs w:val="24"/>
          <w:rtl/>
        </w:rPr>
        <w:t>".</w:t>
      </w:r>
    </w:p>
    <w:p w14:paraId="6A4A4E4E" w14:textId="7ABEB71B" w:rsidR="00450774" w:rsidRDefault="00450774" w:rsidP="00450774">
      <w:pPr>
        <w:spacing w:after="0" w:line="360" w:lineRule="auto"/>
        <w:rPr>
          <w:rFonts w:ascii="David" w:hAnsi="David" w:cs="David"/>
          <w:sz w:val="24"/>
          <w:szCs w:val="24"/>
          <w:rtl/>
        </w:rPr>
      </w:pPr>
      <w:r w:rsidRPr="00450774">
        <w:rPr>
          <w:rFonts w:ascii="David" w:hAnsi="David" w:cs="David"/>
          <w:sz w:val="24"/>
          <w:szCs w:val="24"/>
          <w:rtl/>
        </w:rPr>
        <w:t xml:space="preserve">3. "ממילא שמעינן </w:t>
      </w:r>
      <w:r w:rsidRPr="00450774">
        <w:rPr>
          <w:rFonts w:ascii="David" w:hAnsi="David" w:cs="David"/>
          <w:b/>
          <w:bCs/>
          <w:sz w:val="24"/>
          <w:szCs w:val="24"/>
          <w:rtl/>
        </w:rPr>
        <w:t>דשליח ב"ד נמי הכי דיניה</w:t>
      </w:r>
      <w:r w:rsidRPr="00450774">
        <w:rPr>
          <w:rFonts w:ascii="David" w:hAnsi="David" w:cs="David"/>
          <w:sz w:val="24"/>
          <w:szCs w:val="24"/>
          <w:rtl/>
        </w:rPr>
        <w:t xml:space="preserve"> בהדי מאן דלא ציית דינא</w:t>
      </w:r>
      <w:r w:rsidR="00A32FED">
        <w:rPr>
          <w:rFonts w:ascii="David" w:hAnsi="David" w:cs="David" w:hint="cs"/>
          <w:sz w:val="24"/>
          <w:szCs w:val="24"/>
          <w:rtl/>
        </w:rPr>
        <w:t>,</w:t>
      </w:r>
      <w:r w:rsidRPr="00450774">
        <w:rPr>
          <w:rFonts w:ascii="David" w:hAnsi="David" w:cs="David"/>
          <w:sz w:val="24"/>
          <w:szCs w:val="24"/>
          <w:rtl/>
        </w:rPr>
        <w:t xml:space="preserve"> דאי לא תימא הכי מארי ממונא היכי יהבי ליה רשותא למעבד הכי</w:t>
      </w:r>
      <w:r w:rsidRPr="00450774">
        <w:rPr>
          <w:rStyle w:val="a5"/>
          <w:rFonts w:ascii="David" w:hAnsi="David" w:cs="David"/>
          <w:sz w:val="24"/>
          <w:szCs w:val="24"/>
          <w:rtl/>
        </w:rPr>
        <w:footnoteReference w:id="38"/>
      </w:r>
      <w:r w:rsidRPr="00450774">
        <w:rPr>
          <w:rFonts w:ascii="David" w:hAnsi="David" w:cs="David"/>
          <w:sz w:val="24"/>
          <w:szCs w:val="24"/>
          <w:rtl/>
        </w:rPr>
        <w:t>".</w:t>
      </w:r>
    </w:p>
    <w:p w14:paraId="63C4DA21" w14:textId="556EAE0A" w:rsidR="00450774" w:rsidRDefault="00450774" w:rsidP="00450774">
      <w:pPr>
        <w:spacing w:after="0" w:line="360" w:lineRule="auto"/>
        <w:rPr>
          <w:rFonts w:ascii="David" w:hAnsi="David" w:cs="David"/>
          <w:sz w:val="24"/>
          <w:szCs w:val="24"/>
          <w:rtl/>
        </w:rPr>
      </w:pPr>
      <w:r>
        <w:rPr>
          <w:rFonts w:ascii="David" w:hAnsi="David" w:cs="David" w:hint="cs"/>
          <w:sz w:val="24"/>
          <w:szCs w:val="24"/>
          <w:rtl/>
        </w:rPr>
        <w:t>4. "</w:t>
      </w:r>
      <w:r w:rsidRPr="00450774">
        <w:rPr>
          <w:rFonts w:ascii="David" w:hAnsi="David" w:cs="David"/>
          <w:sz w:val="24"/>
          <w:szCs w:val="24"/>
          <w:rtl/>
        </w:rPr>
        <w:t xml:space="preserve">אף על פי שיחיד אינו יכול </w:t>
      </w:r>
      <w:r w:rsidRPr="00450774">
        <w:rPr>
          <w:rFonts w:ascii="David" w:hAnsi="David" w:cs="David"/>
          <w:b/>
          <w:bCs/>
          <w:sz w:val="24"/>
          <w:szCs w:val="24"/>
          <w:rtl/>
        </w:rPr>
        <w:t>לדון</w:t>
      </w:r>
      <w:r>
        <w:rPr>
          <w:rFonts w:ascii="David" w:hAnsi="David" w:cs="David" w:hint="cs"/>
          <w:sz w:val="24"/>
          <w:szCs w:val="24"/>
          <w:rtl/>
        </w:rPr>
        <w:t>-</w:t>
      </w:r>
      <w:r w:rsidRPr="00450774">
        <w:rPr>
          <w:rFonts w:ascii="David" w:hAnsi="David" w:cs="David"/>
          <w:sz w:val="24"/>
          <w:szCs w:val="24"/>
          <w:rtl/>
        </w:rPr>
        <w:t xml:space="preserve"> עושה דין לעצמו</w:t>
      </w:r>
      <w:r>
        <w:rPr>
          <w:rStyle w:val="a5"/>
          <w:rFonts w:ascii="David" w:hAnsi="David" w:cs="David"/>
          <w:sz w:val="24"/>
          <w:szCs w:val="24"/>
          <w:rtl/>
        </w:rPr>
        <w:footnoteReference w:id="39"/>
      </w:r>
      <w:r>
        <w:rPr>
          <w:rFonts w:ascii="David" w:hAnsi="David" w:cs="David" w:hint="cs"/>
          <w:sz w:val="24"/>
          <w:szCs w:val="24"/>
          <w:rtl/>
        </w:rPr>
        <w:t>".</w:t>
      </w:r>
    </w:p>
    <w:p w14:paraId="3867CF7F" w14:textId="028CB576" w:rsidR="00D766F1" w:rsidRDefault="00D766F1" w:rsidP="00D766F1">
      <w:pPr>
        <w:spacing w:after="0" w:line="360" w:lineRule="auto"/>
        <w:rPr>
          <w:rFonts w:ascii="David" w:hAnsi="David" w:cs="David"/>
          <w:sz w:val="24"/>
          <w:szCs w:val="24"/>
          <w:rtl/>
        </w:rPr>
      </w:pPr>
      <w:r>
        <w:rPr>
          <w:rFonts w:asciiTheme="majorBidi" w:hAnsiTheme="majorBidi" w:cstheme="majorBidi" w:hint="cs"/>
          <w:sz w:val="24"/>
          <w:szCs w:val="24"/>
          <w:rtl/>
        </w:rPr>
        <w:t xml:space="preserve">למדנו: </w:t>
      </w:r>
      <w:r>
        <w:rPr>
          <w:rFonts w:ascii="David" w:hAnsi="David" w:cs="David" w:hint="cs"/>
          <w:sz w:val="24"/>
          <w:szCs w:val="24"/>
          <w:rtl/>
        </w:rPr>
        <w:t>"</w:t>
      </w:r>
      <w:r w:rsidRPr="00D766F1">
        <w:rPr>
          <w:rFonts w:ascii="David" w:hAnsi="David" w:cs="David"/>
          <w:sz w:val="24"/>
          <w:szCs w:val="24"/>
          <w:rtl/>
        </w:rPr>
        <w:t>אמר רב יוסף: צורבא מרבנן עביד דינא לנפשיה במילתא דפסיקא ליה</w:t>
      </w:r>
      <w:r w:rsidRPr="00D766F1">
        <w:rPr>
          <w:rStyle w:val="a5"/>
          <w:rFonts w:ascii="David" w:hAnsi="David" w:cs="David"/>
          <w:sz w:val="24"/>
          <w:szCs w:val="24"/>
          <w:rtl/>
        </w:rPr>
        <w:footnoteReference w:id="40"/>
      </w:r>
      <w:r>
        <w:rPr>
          <w:rFonts w:ascii="David" w:hAnsi="David" w:cs="David" w:hint="cs"/>
          <w:sz w:val="24"/>
          <w:szCs w:val="24"/>
          <w:rtl/>
        </w:rPr>
        <w:t>"</w:t>
      </w:r>
      <w:r w:rsidRPr="00D766F1">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לכאורה כל אדם כך דינו? </w:t>
      </w:r>
      <w:r>
        <w:rPr>
          <w:rFonts w:ascii="David" w:hAnsi="David" w:cs="David" w:hint="cs"/>
          <w:sz w:val="24"/>
          <w:szCs w:val="24"/>
          <w:rtl/>
        </w:rPr>
        <w:t>"החידוש בצורבא מרבנן , לכשיברר אחר כך, מהני הבירור למפרע, ולמפרע היה לו כח בית דין.. אין אנו מחזיקים אותו בחזקת גזלן או מזיק</w:t>
      </w:r>
      <w:r>
        <w:rPr>
          <w:rStyle w:val="a5"/>
          <w:rFonts w:ascii="David" w:hAnsi="David" w:cs="David"/>
          <w:sz w:val="24"/>
          <w:szCs w:val="24"/>
          <w:rtl/>
        </w:rPr>
        <w:footnoteReference w:id="41"/>
      </w:r>
      <w:r>
        <w:rPr>
          <w:rFonts w:ascii="David" w:hAnsi="David" w:cs="David" w:hint="cs"/>
          <w:sz w:val="24"/>
          <w:szCs w:val="24"/>
          <w:rtl/>
        </w:rPr>
        <w:t xml:space="preserve">". </w:t>
      </w:r>
    </w:p>
    <w:p w14:paraId="0F1DA297" w14:textId="01838A3D" w:rsidR="00925E78" w:rsidRPr="00925E78" w:rsidRDefault="00925E78" w:rsidP="00D766F1">
      <w:pPr>
        <w:spacing w:after="0" w:line="360" w:lineRule="auto"/>
        <w:rPr>
          <w:rFonts w:asciiTheme="majorBidi" w:hAnsiTheme="majorBidi" w:cstheme="majorBidi"/>
          <w:sz w:val="24"/>
          <w:szCs w:val="24"/>
        </w:rPr>
      </w:pPr>
      <w:r>
        <w:rPr>
          <w:rFonts w:asciiTheme="majorBidi" w:hAnsiTheme="majorBidi" w:cstheme="majorBidi" w:hint="cs"/>
          <w:sz w:val="24"/>
          <w:szCs w:val="24"/>
          <w:rtl/>
        </w:rPr>
        <w:t>פירושים נוספים שהוצעו שם:  * אכן תלמיד חכם לאו דווקא. החידוש הוא שאפילו תלמיד חכם, שצריך להיזהר יותר, רשאי</w:t>
      </w:r>
      <w:r>
        <w:rPr>
          <w:rStyle w:val="a5"/>
          <w:rFonts w:asciiTheme="majorBidi" w:hAnsiTheme="majorBidi" w:cstheme="majorBidi"/>
          <w:sz w:val="24"/>
          <w:szCs w:val="24"/>
          <w:rtl/>
        </w:rPr>
        <w:footnoteReference w:id="42"/>
      </w:r>
      <w:r>
        <w:rPr>
          <w:rFonts w:asciiTheme="majorBidi" w:hAnsiTheme="majorBidi" w:cstheme="majorBidi" w:hint="cs"/>
          <w:sz w:val="24"/>
          <w:szCs w:val="24"/>
          <w:rtl/>
        </w:rPr>
        <w:t>. * אינו צריך לדון לפני בית דין אחר</w:t>
      </w:r>
      <w:r>
        <w:rPr>
          <w:rStyle w:val="a5"/>
          <w:rFonts w:asciiTheme="majorBidi" w:hAnsiTheme="majorBidi" w:cstheme="majorBidi"/>
          <w:sz w:val="24"/>
          <w:szCs w:val="24"/>
          <w:rtl/>
        </w:rPr>
        <w:footnoteReference w:id="43"/>
      </w:r>
      <w:r>
        <w:rPr>
          <w:rFonts w:asciiTheme="majorBidi" w:hAnsiTheme="majorBidi" w:cstheme="majorBidi" w:hint="cs"/>
          <w:sz w:val="24"/>
          <w:szCs w:val="24"/>
          <w:rtl/>
        </w:rPr>
        <w:t>. * ת"ח רשאי גם למשכן</w:t>
      </w:r>
      <w:r>
        <w:rPr>
          <w:rStyle w:val="a5"/>
          <w:rFonts w:asciiTheme="majorBidi" w:hAnsiTheme="majorBidi" w:cstheme="majorBidi"/>
          <w:sz w:val="24"/>
          <w:szCs w:val="24"/>
          <w:rtl/>
        </w:rPr>
        <w:footnoteReference w:id="44"/>
      </w:r>
      <w:r>
        <w:rPr>
          <w:rFonts w:asciiTheme="majorBidi" w:hAnsiTheme="majorBidi" w:cstheme="majorBidi" w:hint="cs"/>
          <w:sz w:val="24"/>
          <w:szCs w:val="24"/>
          <w:rtl/>
        </w:rPr>
        <w:t>. * יכול לנדות חברו עד שישלם</w:t>
      </w:r>
      <w:r>
        <w:rPr>
          <w:rStyle w:val="a5"/>
          <w:rFonts w:asciiTheme="majorBidi" w:hAnsiTheme="majorBidi" w:cstheme="majorBidi"/>
          <w:sz w:val="24"/>
          <w:szCs w:val="24"/>
          <w:rtl/>
        </w:rPr>
        <w:footnoteReference w:id="45"/>
      </w:r>
      <w:r>
        <w:rPr>
          <w:rFonts w:asciiTheme="majorBidi" w:hAnsiTheme="majorBidi" w:cstheme="majorBidi" w:hint="cs"/>
          <w:sz w:val="24"/>
          <w:szCs w:val="24"/>
          <w:rtl/>
        </w:rPr>
        <w:t>. * מדובר על נידוי עקב ביזיון</w:t>
      </w:r>
      <w:r>
        <w:rPr>
          <w:rStyle w:val="a5"/>
          <w:rFonts w:asciiTheme="majorBidi" w:hAnsiTheme="majorBidi" w:cstheme="majorBidi"/>
          <w:sz w:val="24"/>
          <w:szCs w:val="24"/>
          <w:rtl/>
        </w:rPr>
        <w:footnoteReference w:id="46"/>
      </w:r>
      <w:r w:rsidR="00A32FED">
        <w:rPr>
          <w:rFonts w:asciiTheme="majorBidi" w:hAnsiTheme="majorBidi" w:cstheme="majorBidi" w:hint="cs"/>
          <w:sz w:val="24"/>
          <w:szCs w:val="24"/>
          <w:rtl/>
        </w:rPr>
        <w:t>.</w:t>
      </w:r>
    </w:p>
    <w:sectPr w:rsidR="00925E78" w:rsidRPr="00925E78"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883EB" w14:textId="77777777" w:rsidR="00E05945" w:rsidRDefault="00E05945" w:rsidP="007806C8">
      <w:pPr>
        <w:spacing w:after="0" w:line="240" w:lineRule="auto"/>
      </w:pPr>
      <w:r>
        <w:separator/>
      </w:r>
    </w:p>
  </w:endnote>
  <w:endnote w:type="continuationSeparator" w:id="0">
    <w:p w14:paraId="43FAFB94" w14:textId="77777777" w:rsidR="00E05945" w:rsidRDefault="00E05945" w:rsidP="0078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4FC33" w14:textId="77777777" w:rsidR="00E05945" w:rsidRDefault="00E05945" w:rsidP="007806C8">
      <w:pPr>
        <w:spacing w:after="0" w:line="240" w:lineRule="auto"/>
      </w:pPr>
      <w:r>
        <w:separator/>
      </w:r>
    </w:p>
  </w:footnote>
  <w:footnote w:type="continuationSeparator" w:id="0">
    <w:p w14:paraId="61B8DCC2" w14:textId="77777777" w:rsidR="00E05945" w:rsidRDefault="00E05945" w:rsidP="007806C8">
      <w:pPr>
        <w:spacing w:after="0" w:line="240" w:lineRule="auto"/>
      </w:pPr>
      <w:r>
        <w:continuationSeparator/>
      </w:r>
    </w:p>
  </w:footnote>
  <w:footnote w:id="1">
    <w:p w14:paraId="60FA8048" w14:textId="6B4106A1" w:rsidR="007806C8" w:rsidRPr="00F14B7F" w:rsidRDefault="007806C8" w:rsidP="00F14B7F">
      <w:pPr>
        <w:spacing w:after="0" w:line="360" w:lineRule="auto"/>
        <w:rPr>
          <w:rFonts w:asciiTheme="majorBidi" w:hAnsiTheme="majorBidi" w:cstheme="majorBidi"/>
          <w:sz w:val="20"/>
          <w:szCs w:val="20"/>
          <w:rtl/>
        </w:rPr>
      </w:pPr>
      <w:r w:rsidRPr="00F14B7F">
        <w:rPr>
          <w:rStyle w:val="a5"/>
          <w:rFonts w:asciiTheme="majorBidi" w:hAnsiTheme="majorBidi" w:cstheme="majorBidi"/>
          <w:sz w:val="20"/>
          <w:szCs w:val="20"/>
        </w:rPr>
        <w:footnoteRef/>
      </w:r>
      <w:r w:rsidRPr="00F14B7F">
        <w:rPr>
          <w:rFonts w:asciiTheme="majorBidi" w:hAnsiTheme="majorBidi" w:cstheme="majorBidi"/>
          <w:sz w:val="20"/>
          <w:szCs w:val="20"/>
          <w:rtl/>
        </w:rPr>
        <w:t xml:space="preserve">    מסכת כתובות דף יג עמוד א.</w:t>
      </w:r>
    </w:p>
  </w:footnote>
  <w:footnote w:id="2">
    <w:p w14:paraId="6F926AD0" w14:textId="2259D4AF" w:rsidR="007806C8" w:rsidRPr="00F14B7F" w:rsidRDefault="007806C8"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רא"ש מסכת בבא קמא פרק ג סימן ג.</w:t>
      </w:r>
    </w:p>
  </w:footnote>
  <w:footnote w:id="3">
    <w:p w14:paraId="5AB6AD92" w14:textId="1FBBC8CF" w:rsidR="007806C8" w:rsidRPr="00F14B7F" w:rsidRDefault="007806C8" w:rsidP="00F14B7F">
      <w:pPr>
        <w:pStyle w:val="a3"/>
        <w:spacing w:line="360" w:lineRule="auto"/>
        <w:rPr>
          <w:rFonts w:asciiTheme="majorBidi" w:hAnsiTheme="majorBidi" w:cstheme="majorBidi"/>
        </w:rPr>
      </w:pPr>
      <w:r w:rsidRPr="00F14B7F">
        <w:rPr>
          <w:rStyle w:val="a5"/>
          <w:rFonts w:asciiTheme="majorBidi" w:hAnsiTheme="majorBidi" w:cstheme="majorBidi"/>
        </w:rPr>
        <w:footnoteRef/>
      </w:r>
      <w:r w:rsidRPr="00F14B7F">
        <w:rPr>
          <w:rFonts w:asciiTheme="majorBidi" w:hAnsiTheme="majorBidi" w:cstheme="majorBidi"/>
          <w:rtl/>
        </w:rPr>
        <w:t xml:space="preserve"> על הרי"ף דף יב עמוד ב.</w:t>
      </w:r>
    </w:p>
  </w:footnote>
  <w:footnote w:id="4">
    <w:p w14:paraId="453A083E" w14:textId="14CA741C" w:rsidR="007806C8" w:rsidRPr="00F14B7F" w:rsidRDefault="007806C8" w:rsidP="00F14B7F">
      <w:pPr>
        <w:pStyle w:val="a3"/>
        <w:spacing w:line="360" w:lineRule="auto"/>
        <w:rPr>
          <w:rFonts w:asciiTheme="majorBidi" w:hAnsiTheme="majorBidi" w:cstheme="majorBidi"/>
        </w:rPr>
      </w:pPr>
      <w:r w:rsidRPr="00F14B7F">
        <w:rPr>
          <w:rStyle w:val="a5"/>
          <w:rFonts w:asciiTheme="majorBidi" w:hAnsiTheme="majorBidi" w:cstheme="majorBidi"/>
        </w:rPr>
        <w:footnoteRef/>
      </w:r>
      <w:r w:rsidRPr="00F14B7F">
        <w:rPr>
          <w:rFonts w:asciiTheme="majorBidi" w:hAnsiTheme="majorBidi" w:cstheme="majorBidi"/>
          <w:rtl/>
        </w:rPr>
        <w:t xml:space="preserve"> לעיל דף כז עמוד א.</w:t>
      </w:r>
    </w:p>
  </w:footnote>
  <w:footnote w:id="5">
    <w:p w14:paraId="30BA08D5" w14:textId="374DCCE4" w:rsidR="004C12B4" w:rsidRPr="00F14B7F" w:rsidRDefault="004C12B4" w:rsidP="00F14B7F">
      <w:pPr>
        <w:spacing w:after="0" w:line="360" w:lineRule="auto"/>
        <w:rPr>
          <w:rFonts w:asciiTheme="majorBidi" w:hAnsiTheme="majorBidi" w:cstheme="majorBidi"/>
          <w:sz w:val="20"/>
          <w:szCs w:val="20"/>
          <w:rtl/>
        </w:rPr>
      </w:pPr>
      <w:r w:rsidRPr="00F14B7F">
        <w:rPr>
          <w:rStyle w:val="a5"/>
          <w:rFonts w:asciiTheme="majorBidi" w:hAnsiTheme="majorBidi" w:cstheme="majorBidi"/>
          <w:sz w:val="20"/>
          <w:szCs w:val="20"/>
        </w:rPr>
        <w:footnoteRef/>
      </w:r>
      <w:r w:rsidRPr="00F14B7F">
        <w:rPr>
          <w:rFonts w:asciiTheme="majorBidi" w:hAnsiTheme="majorBidi" w:cstheme="majorBidi"/>
          <w:sz w:val="20"/>
          <w:szCs w:val="20"/>
          <w:rtl/>
        </w:rPr>
        <w:t xml:space="preserve"> נתיבות המשפט ביאורים סימן ד ס"ק א.</w:t>
      </w:r>
    </w:p>
  </w:footnote>
  <w:footnote w:id="6">
    <w:p w14:paraId="5DC92E3E" w14:textId="7694FB7C" w:rsidR="00E32F1B" w:rsidRPr="00F14B7F" w:rsidRDefault="00E32F1B"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כח עמוד א. </w:t>
      </w:r>
    </w:p>
  </w:footnote>
  <w:footnote w:id="7">
    <w:p w14:paraId="3C909028" w14:textId="411FD7D3" w:rsidR="00FA023E" w:rsidRPr="00F14B7F" w:rsidRDefault="00FA023E" w:rsidP="00F14B7F">
      <w:pPr>
        <w:pStyle w:val="a3"/>
        <w:spacing w:line="360" w:lineRule="auto"/>
        <w:rPr>
          <w:rFonts w:asciiTheme="majorBidi" w:hAnsiTheme="majorBidi" w:cstheme="majorBidi"/>
        </w:rPr>
      </w:pPr>
      <w:r w:rsidRPr="00F14B7F">
        <w:rPr>
          <w:rStyle w:val="a5"/>
          <w:rFonts w:asciiTheme="majorBidi" w:hAnsiTheme="majorBidi" w:cstheme="majorBidi"/>
        </w:rPr>
        <w:footnoteRef/>
      </w:r>
      <w:r w:rsidRPr="00F14B7F">
        <w:rPr>
          <w:rFonts w:asciiTheme="majorBidi" w:hAnsiTheme="majorBidi" w:cstheme="majorBidi"/>
          <w:rtl/>
        </w:rPr>
        <w:t xml:space="preserve"> סימן ג.</w:t>
      </w:r>
    </w:p>
  </w:footnote>
  <w:footnote w:id="8">
    <w:p w14:paraId="005A0D2A" w14:textId="227AF4C1" w:rsidR="00FA023E" w:rsidRPr="00F14B7F" w:rsidRDefault="00FA023E"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הרב גוסטמן, קונטרסי שיעורים שיעור טו אות ג. </w:t>
      </w:r>
    </w:p>
  </w:footnote>
  <w:footnote w:id="9">
    <w:p w14:paraId="386D8BC1" w14:textId="24D8DC49" w:rsidR="00AC0D34" w:rsidRPr="00F14B7F" w:rsidRDefault="00AC0D34" w:rsidP="00F14B7F">
      <w:pPr>
        <w:spacing w:after="0" w:line="360" w:lineRule="auto"/>
        <w:rPr>
          <w:rFonts w:asciiTheme="majorBidi" w:hAnsiTheme="majorBidi" w:cstheme="majorBidi"/>
          <w:sz w:val="20"/>
          <w:szCs w:val="20"/>
        </w:rPr>
      </w:pPr>
      <w:r w:rsidRPr="00F14B7F">
        <w:rPr>
          <w:rStyle w:val="a5"/>
          <w:rFonts w:asciiTheme="majorBidi" w:hAnsiTheme="majorBidi" w:cstheme="majorBidi"/>
          <w:sz w:val="20"/>
          <w:szCs w:val="20"/>
        </w:rPr>
        <w:footnoteRef/>
      </w:r>
      <w:r w:rsidRPr="00F14B7F">
        <w:rPr>
          <w:rFonts w:asciiTheme="majorBidi" w:hAnsiTheme="majorBidi" w:cstheme="majorBidi"/>
          <w:sz w:val="20"/>
          <w:szCs w:val="20"/>
          <w:rtl/>
        </w:rPr>
        <w:t xml:space="preserve"> מסכת ברכות דף ה עמוד ב.</w:t>
      </w:r>
    </w:p>
  </w:footnote>
  <w:footnote w:id="10">
    <w:p w14:paraId="7AD8C262" w14:textId="6132AEA3" w:rsidR="006D6E0D" w:rsidRPr="00F14B7F" w:rsidRDefault="006D6E0D"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מרדכי סימן ל.</w:t>
      </w:r>
    </w:p>
  </w:footnote>
  <w:footnote w:id="11">
    <w:p w14:paraId="22F515B7" w14:textId="67D990B5" w:rsidR="006D6E0D" w:rsidRPr="00F14B7F" w:rsidRDefault="006D6E0D"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שורש קסא.</w:t>
      </w:r>
    </w:p>
  </w:footnote>
  <w:footnote w:id="12">
    <w:p w14:paraId="554B3AE9" w14:textId="1E35AC95" w:rsidR="006D6E0D" w:rsidRPr="00F14B7F" w:rsidRDefault="006D6E0D"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ים של שלמה סימן ה.</w:t>
      </w:r>
    </w:p>
  </w:footnote>
  <w:footnote w:id="13">
    <w:p w14:paraId="553F0562" w14:textId="1DB78793" w:rsidR="007109E6" w:rsidRPr="00F14B7F" w:rsidRDefault="007109E6" w:rsidP="00F14B7F">
      <w:pPr>
        <w:pStyle w:val="a3"/>
        <w:spacing w:line="360" w:lineRule="auto"/>
        <w:rPr>
          <w:rFonts w:asciiTheme="majorBidi" w:hAnsiTheme="majorBidi" w:cstheme="majorBidi"/>
        </w:rPr>
      </w:pPr>
      <w:r w:rsidRPr="00F14B7F">
        <w:rPr>
          <w:rStyle w:val="a5"/>
          <w:rFonts w:asciiTheme="majorBidi" w:hAnsiTheme="majorBidi" w:cstheme="majorBidi"/>
        </w:rPr>
        <w:footnoteRef/>
      </w:r>
      <w:r w:rsidRPr="00F14B7F">
        <w:rPr>
          <w:rFonts w:asciiTheme="majorBidi" w:hAnsiTheme="majorBidi" w:cstheme="majorBidi"/>
          <w:rtl/>
        </w:rPr>
        <w:t xml:space="preserve"> נתיבות המשפט סימן ד ס"ק ג.</w:t>
      </w:r>
    </w:p>
  </w:footnote>
  <w:footnote w:id="14">
    <w:p w14:paraId="080742D1" w14:textId="77777777" w:rsidR="00774181" w:rsidRPr="00F14B7F" w:rsidRDefault="00774181" w:rsidP="00F14B7F">
      <w:pPr>
        <w:pStyle w:val="a3"/>
        <w:spacing w:line="360" w:lineRule="auto"/>
        <w:rPr>
          <w:rFonts w:asciiTheme="majorBidi" w:hAnsiTheme="majorBidi" w:cstheme="majorBidi"/>
        </w:rPr>
      </w:pPr>
      <w:r w:rsidRPr="00F14B7F">
        <w:rPr>
          <w:rStyle w:val="a5"/>
          <w:rFonts w:asciiTheme="majorBidi" w:hAnsiTheme="majorBidi" w:cstheme="majorBidi"/>
        </w:rPr>
        <w:footnoteRef/>
      </w:r>
      <w:r w:rsidRPr="00F14B7F">
        <w:rPr>
          <w:rFonts w:asciiTheme="majorBidi" w:hAnsiTheme="majorBidi" w:cstheme="majorBidi"/>
          <w:rtl/>
        </w:rPr>
        <w:t xml:space="preserve"> דף כג עמוד ב.</w:t>
      </w:r>
    </w:p>
  </w:footnote>
  <w:footnote w:id="15">
    <w:p w14:paraId="199B1030" w14:textId="77777777" w:rsidR="00774181" w:rsidRPr="00F14B7F" w:rsidRDefault="00774181"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שו"ת חוות יאיר סימן קסה.</w:t>
      </w:r>
    </w:p>
  </w:footnote>
  <w:footnote w:id="16">
    <w:p w14:paraId="6CC8C71E" w14:textId="77777777" w:rsidR="00774181" w:rsidRPr="00F14B7F" w:rsidRDefault="00774181" w:rsidP="00F14B7F">
      <w:pPr>
        <w:pStyle w:val="a3"/>
        <w:spacing w:line="360" w:lineRule="auto"/>
        <w:rPr>
          <w:rFonts w:asciiTheme="majorBidi" w:hAnsiTheme="majorBidi" w:cstheme="majorBidi"/>
        </w:rPr>
      </w:pPr>
      <w:r w:rsidRPr="00F14B7F">
        <w:rPr>
          <w:rStyle w:val="a5"/>
          <w:rFonts w:asciiTheme="majorBidi" w:hAnsiTheme="majorBidi" w:cstheme="majorBidi"/>
        </w:rPr>
        <w:footnoteRef/>
      </w:r>
      <w:r w:rsidRPr="00F14B7F">
        <w:rPr>
          <w:rFonts w:asciiTheme="majorBidi" w:hAnsiTheme="majorBidi" w:cstheme="majorBidi"/>
          <w:rtl/>
        </w:rPr>
        <w:t xml:space="preserve"> שו"ת מהרש"ם חלק ד סימן קמ.</w:t>
      </w:r>
    </w:p>
  </w:footnote>
  <w:footnote w:id="17">
    <w:p w14:paraId="725CB89F" w14:textId="31EF8328" w:rsidR="00A32FED" w:rsidRPr="00A32FED" w:rsidRDefault="00A32FED" w:rsidP="00A32FED">
      <w:pPr>
        <w:pStyle w:val="a3"/>
        <w:spacing w:line="360" w:lineRule="auto"/>
        <w:rPr>
          <w:rFonts w:asciiTheme="majorBidi" w:hAnsiTheme="majorBidi" w:cstheme="majorBidi"/>
          <w:rtl/>
        </w:rPr>
      </w:pPr>
      <w:r w:rsidRPr="00A32FED">
        <w:rPr>
          <w:rStyle w:val="a5"/>
          <w:rFonts w:asciiTheme="majorBidi" w:hAnsiTheme="majorBidi" w:cstheme="majorBidi"/>
        </w:rPr>
        <w:footnoteRef/>
      </w:r>
      <w:r w:rsidRPr="00A32FED">
        <w:rPr>
          <w:rFonts w:asciiTheme="majorBidi" w:hAnsiTheme="majorBidi" w:cstheme="majorBidi"/>
          <w:rtl/>
        </w:rPr>
        <w:t xml:space="preserve"> בניגוד ל'דחף' בו עסקנו קודם לכן.</w:t>
      </w:r>
    </w:p>
  </w:footnote>
  <w:footnote w:id="18">
    <w:p w14:paraId="72F8DC8C" w14:textId="0C905570" w:rsidR="006E3F04" w:rsidRPr="006E3F04" w:rsidRDefault="006E3F04" w:rsidP="006E3F04">
      <w:pPr>
        <w:pStyle w:val="a3"/>
        <w:rPr>
          <w:rFonts w:asciiTheme="majorBidi" w:hAnsiTheme="majorBidi" w:cstheme="majorBidi"/>
        </w:rPr>
      </w:pPr>
      <w:r w:rsidRPr="006E3F04">
        <w:rPr>
          <w:rStyle w:val="a5"/>
          <w:rFonts w:asciiTheme="majorBidi" w:hAnsiTheme="majorBidi" w:cstheme="majorBidi"/>
        </w:rPr>
        <w:footnoteRef/>
      </w:r>
      <w:r w:rsidRPr="006E3F04">
        <w:rPr>
          <w:rFonts w:asciiTheme="majorBidi" w:hAnsiTheme="majorBidi" w:cstheme="majorBidi"/>
          <w:rtl/>
        </w:rPr>
        <w:t xml:space="preserve"> בסוגייתנו: </w:t>
      </w:r>
      <w:r>
        <w:rPr>
          <w:rFonts w:asciiTheme="majorBidi" w:hAnsiTheme="majorBidi" w:cstheme="majorBidi" w:hint="cs"/>
          <w:rtl/>
        </w:rPr>
        <w:t xml:space="preserve"> </w:t>
      </w:r>
      <w:r>
        <w:rPr>
          <w:rFonts w:ascii="David" w:hAnsi="David" w:cs="David" w:hint="cs"/>
          <w:rtl/>
        </w:rPr>
        <w:t>"</w:t>
      </w:r>
      <w:r w:rsidRPr="006E3F04">
        <w:rPr>
          <w:rFonts w:ascii="David" w:hAnsi="David" w:cs="David"/>
          <w:rtl/>
        </w:rPr>
        <w:t>מתיב רב כהנא, בן בג בג אומר: אל תיכנס לחצר חברך ליטול את שלך שלא ברשות, שמא תראה עליו כגנב, אלא שבור את שיניו, ואמור לו שלי אני נוטל</w:t>
      </w:r>
      <w:r>
        <w:rPr>
          <w:rFonts w:ascii="David" w:hAnsi="David" w:cs="David" w:hint="cs"/>
          <w:rtl/>
        </w:rPr>
        <w:t>"</w:t>
      </w:r>
      <w:r w:rsidRPr="006E3F04">
        <w:rPr>
          <w:rFonts w:ascii="David" w:hAnsi="David" w:cs="David"/>
          <w:rtl/>
        </w:rPr>
        <w:t>!</w:t>
      </w:r>
    </w:p>
  </w:footnote>
  <w:footnote w:id="19">
    <w:p w14:paraId="05E98C99" w14:textId="5DD3644D" w:rsidR="00833285" w:rsidRPr="00F14B7F" w:rsidRDefault="00833285" w:rsidP="00A32FED">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שו"ת הריב"ש סימן שצו.</w:t>
      </w:r>
    </w:p>
  </w:footnote>
  <w:footnote w:id="20">
    <w:p w14:paraId="2E6CE410" w14:textId="7B21AEFD" w:rsidR="00833285" w:rsidRPr="00F14B7F" w:rsidRDefault="00833285" w:rsidP="00F14B7F">
      <w:pPr>
        <w:spacing w:after="0" w:line="360" w:lineRule="auto"/>
        <w:rPr>
          <w:rFonts w:asciiTheme="majorBidi" w:hAnsiTheme="majorBidi" w:cstheme="majorBidi"/>
          <w:sz w:val="20"/>
          <w:szCs w:val="20"/>
        </w:rPr>
      </w:pPr>
      <w:r w:rsidRPr="00F14B7F">
        <w:rPr>
          <w:rStyle w:val="a5"/>
          <w:rFonts w:asciiTheme="majorBidi" w:hAnsiTheme="majorBidi" w:cstheme="majorBidi"/>
          <w:sz w:val="20"/>
          <w:szCs w:val="20"/>
        </w:rPr>
        <w:footnoteRef/>
      </w:r>
      <w:r w:rsidRPr="00F14B7F">
        <w:rPr>
          <w:rFonts w:asciiTheme="majorBidi" w:hAnsiTheme="majorBidi" w:cstheme="majorBidi"/>
          <w:sz w:val="20"/>
          <w:szCs w:val="20"/>
          <w:rtl/>
        </w:rPr>
        <w:t xml:space="preserve"> שולחן ערוך חושן משפט סימן ד סעיף א .</w:t>
      </w:r>
    </w:p>
  </w:footnote>
  <w:footnote w:id="21">
    <w:p w14:paraId="07CFDB7B" w14:textId="5E245A3A" w:rsidR="00C20278" w:rsidRPr="00F14B7F" w:rsidRDefault="00C20278" w:rsidP="00F14B7F">
      <w:pPr>
        <w:pStyle w:val="a3"/>
        <w:spacing w:line="360" w:lineRule="auto"/>
        <w:rPr>
          <w:rFonts w:asciiTheme="majorBidi" w:hAnsiTheme="majorBidi" w:cstheme="majorBidi"/>
        </w:rPr>
      </w:pPr>
      <w:r w:rsidRPr="00F14B7F">
        <w:rPr>
          <w:rStyle w:val="a5"/>
          <w:rFonts w:asciiTheme="majorBidi" w:hAnsiTheme="majorBidi" w:cstheme="majorBidi"/>
        </w:rPr>
        <w:footnoteRef/>
      </w:r>
      <w:r w:rsidRPr="00F14B7F">
        <w:rPr>
          <w:rFonts w:asciiTheme="majorBidi" w:hAnsiTheme="majorBidi" w:cstheme="majorBidi"/>
          <w:rtl/>
        </w:rPr>
        <w:t xml:space="preserve"> הש"ך מסייג גם היתר זה של המהרי"ק לשכירות וערבות אך לא בהלוואות (תקפו כהן סימנים קטו-קטז). </w:t>
      </w:r>
    </w:p>
  </w:footnote>
  <w:footnote w:id="22">
    <w:p w14:paraId="42AF25C8" w14:textId="294F567C" w:rsidR="00BC57E1" w:rsidRPr="00F14B7F" w:rsidRDefault="00BC57E1" w:rsidP="00F14B7F">
      <w:pPr>
        <w:pStyle w:val="a3"/>
        <w:spacing w:line="360" w:lineRule="auto"/>
        <w:rPr>
          <w:rFonts w:asciiTheme="majorBidi" w:hAnsiTheme="majorBidi" w:cstheme="majorBidi"/>
        </w:rPr>
      </w:pPr>
      <w:r w:rsidRPr="00F14B7F">
        <w:rPr>
          <w:rStyle w:val="a5"/>
          <w:rFonts w:asciiTheme="majorBidi" w:hAnsiTheme="majorBidi" w:cstheme="majorBidi"/>
        </w:rPr>
        <w:footnoteRef/>
      </w:r>
      <w:r w:rsidRPr="00F14B7F">
        <w:rPr>
          <w:rFonts w:asciiTheme="majorBidi" w:hAnsiTheme="majorBidi" w:cstheme="majorBidi"/>
          <w:rtl/>
        </w:rPr>
        <w:t xml:space="preserve"> שיעורי ר' דוד אות ב. </w:t>
      </w:r>
    </w:p>
  </w:footnote>
  <w:footnote w:id="23">
    <w:p w14:paraId="059C748A" w14:textId="1F52A221" w:rsidR="00BC57E1" w:rsidRPr="00F14B7F" w:rsidRDefault="00BC57E1"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ס"ק ג. </w:t>
      </w:r>
    </w:p>
  </w:footnote>
  <w:footnote w:id="24">
    <w:p w14:paraId="7ED09048" w14:textId="564326EE" w:rsidR="00545623" w:rsidRPr="00F14B7F" w:rsidRDefault="00545623" w:rsidP="00F14B7F">
      <w:pPr>
        <w:spacing w:after="0" w:line="360" w:lineRule="auto"/>
        <w:rPr>
          <w:rFonts w:asciiTheme="majorBidi" w:hAnsiTheme="majorBidi" w:cstheme="majorBidi"/>
          <w:sz w:val="20"/>
          <w:szCs w:val="20"/>
          <w:rtl/>
        </w:rPr>
      </w:pPr>
      <w:r w:rsidRPr="00F14B7F">
        <w:rPr>
          <w:rStyle w:val="a5"/>
          <w:rFonts w:asciiTheme="majorBidi" w:hAnsiTheme="majorBidi" w:cstheme="majorBidi"/>
          <w:sz w:val="20"/>
          <w:szCs w:val="20"/>
        </w:rPr>
        <w:footnoteRef/>
      </w:r>
      <w:r w:rsidRPr="00F14B7F">
        <w:rPr>
          <w:rFonts w:asciiTheme="majorBidi" w:hAnsiTheme="majorBidi" w:cstheme="majorBidi"/>
          <w:sz w:val="20"/>
          <w:szCs w:val="20"/>
          <w:rtl/>
        </w:rPr>
        <w:t xml:space="preserve"> ים של שלמה פרק ג סימן ה.</w:t>
      </w:r>
    </w:p>
  </w:footnote>
  <w:footnote w:id="25">
    <w:p w14:paraId="11E47001" w14:textId="6DA9B615" w:rsidR="00545623" w:rsidRPr="00F14B7F" w:rsidRDefault="00545623"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בתקפו כהן שם. </w:t>
      </w:r>
    </w:p>
    <w:p w14:paraId="61EEA433" w14:textId="77777777" w:rsidR="008E1CB4" w:rsidRDefault="008E1CB4">
      <w:pPr>
        <w:pStyle w:val="a3"/>
        <w:rPr>
          <w:rtl/>
        </w:rPr>
      </w:pPr>
    </w:p>
  </w:footnote>
  <w:footnote w:id="26">
    <w:p w14:paraId="48F98645" w14:textId="7F759A62" w:rsidR="008E1CB4" w:rsidRDefault="008E1CB4" w:rsidP="008E1CB4">
      <w:pPr>
        <w:pStyle w:val="a3"/>
        <w:rPr>
          <w:rFonts w:ascii="David" w:hAnsi="David" w:cs="David"/>
          <w:rtl/>
        </w:rPr>
      </w:pPr>
      <w:r w:rsidRPr="008E1CB4">
        <w:rPr>
          <w:rStyle w:val="a5"/>
          <w:rFonts w:ascii="David" w:hAnsi="David" w:cs="David"/>
        </w:rPr>
        <w:footnoteRef/>
      </w:r>
      <w:r w:rsidRPr="008E1CB4">
        <w:rPr>
          <w:rFonts w:ascii="David" w:hAnsi="David" w:cs="David"/>
          <w:rtl/>
        </w:rPr>
        <w:t xml:space="preserve"> "דבתורת גביה שרי. אמנם לענ"ד לא יכולתי להבין</w:t>
      </w:r>
      <w:r w:rsidR="001802C0">
        <w:rPr>
          <w:rFonts w:ascii="David" w:hAnsi="David" w:cs="David" w:hint="cs"/>
          <w:rtl/>
        </w:rPr>
        <w:t xml:space="preserve">, </w:t>
      </w:r>
      <w:r w:rsidRPr="008E1CB4">
        <w:rPr>
          <w:rFonts w:ascii="David" w:hAnsi="David" w:cs="David"/>
          <w:rtl/>
        </w:rPr>
        <w:t xml:space="preserve">דהיכי שייך תורת גביה בלא ב"ד ומאן שם ליה, וע"כ אינו אלא למשכון וצ"ע... </w:t>
      </w:r>
      <w:r>
        <w:rPr>
          <w:rFonts w:ascii="David" w:hAnsi="David" w:cs="David" w:hint="cs"/>
          <w:rtl/>
        </w:rPr>
        <w:t xml:space="preserve"> </w:t>
      </w:r>
      <w:r w:rsidRPr="008E1CB4">
        <w:rPr>
          <w:rFonts w:ascii="David" w:hAnsi="David" w:cs="David"/>
          <w:b/>
          <w:bCs/>
          <w:rtl/>
        </w:rPr>
        <w:t>ומשום הפסד ממון לא שרי לעבור על דבר תורה</w:t>
      </w:r>
      <w:r w:rsidRPr="008E1CB4">
        <w:rPr>
          <w:rFonts w:ascii="David" w:hAnsi="David" w:cs="David"/>
          <w:rtl/>
        </w:rPr>
        <w:t xml:space="preserve"> והמקום ימלא חסרון כיס במקום מצוה ויד לא ישלח לעבור על דבר תורה"</w:t>
      </w:r>
      <w:r w:rsidR="00F14B7F">
        <w:rPr>
          <w:rFonts w:ascii="David" w:hAnsi="David" w:cs="David" w:hint="cs"/>
          <w:rtl/>
        </w:rPr>
        <w:t>.</w:t>
      </w:r>
    </w:p>
    <w:p w14:paraId="5D9ADDCE" w14:textId="77777777" w:rsidR="00F14B7F" w:rsidRPr="008E1CB4" w:rsidRDefault="00F14B7F" w:rsidP="008E1CB4">
      <w:pPr>
        <w:pStyle w:val="a3"/>
        <w:rPr>
          <w:rFonts w:ascii="David" w:hAnsi="David" w:cs="David"/>
        </w:rPr>
      </w:pPr>
    </w:p>
  </w:footnote>
  <w:footnote w:id="27">
    <w:p w14:paraId="6F3999CF" w14:textId="38621C2F" w:rsidR="008E1CB4" w:rsidRPr="00F14B7F" w:rsidRDefault="008E1CB4" w:rsidP="00F14B7F">
      <w:pPr>
        <w:spacing w:after="0" w:line="360" w:lineRule="auto"/>
        <w:rPr>
          <w:rFonts w:asciiTheme="majorBidi" w:hAnsiTheme="majorBidi" w:cstheme="majorBidi"/>
          <w:sz w:val="20"/>
          <w:szCs w:val="20"/>
        </w:rPr>
      </w:pPr>
      <w:r w:rsidRPr="00F14B7F">
        <w:rPr>
          <w:rStyle w:val="a5"/>
          <w:rFonts w:asciiTheme="majorBidi" w:hAnsiTheme="majorBidi" w:cstheme="majorBidi"/>
          <w:sz w:val="20"/>
          <w:szCs w:val="20"/>
        </w:rPr>
        <w:footnoteRef/>
      </w:r>
      <w:r w:rsidRPr="00F14B7F">
        <w:rPr>
          <w:rFonts w:asciiTheme="majorBidi" w:hAnsiTheme="majorBidi" w:cstheme="majorBidi"/>
          <w:sz w:val="20"/>
          <w:szCs w:val="20"/>
          <w:rtl/>
        </w:rPr>
        <w:t xml:space="preserve"> קצות החושן סימן ד ס"ק א.</w:t>
      </w:r>
    </w:p>
  </w:footnote>
  <w:footnote w:id="28">
    <w:p w14:paraId="4F9B398D" w14:textId="247BB1D6" w:rsidR="001802C0" w:rsidRPr="00F14B7F" w:rsidRDefault="001802C0" w:rsidP="00F14B7F">
      <w:pPr>
        <w:spacing w:after="0" w:line="360" w:lineRule="auto"/>
        <w:rPr>
          <w:rFonts w:asciiTheme="majorBidi" w:hAnsiTheme="majorBidi" w:cstheme="majorBidi"/>
          <w:sz w:val="20"/>
          <w:szCs w:val="20"/>
        </w:rPr>
      </w:pPr>
      <w:r w:rsidRPr="00F14B7F">
        <w:rPr>
          <w:rStyle w:val="a5"/>
          <w:rFonts w:asciiTheme="majorBidi" w:hAnsiTheme="majorBidi" w:cstheme="majorBidi"/>
          <w:sz w:val="20"/>
          <w:szCs w:val="20"/>
        </w:rPr>
        <w:footnoteRef/>
      </w:r>
      <w:r w:rsidRPr="00F14B7F">
        <w:rPr>
          <w:rFonts w:asciiTheme="majorBidi" w:hAnsiTheme="majorBidi" w:cstheme="majorBidi"/>
          <w:sz w:val="20"/>
          <w:szCs w:val="20"/>
          <w:rtl/>
        </w:rPr>
        <w:t xml:space="preserve"> רמב"ם הלכות סנהדרין פרק ב הלכה יב.</w:t>
      </w:r>
    </w:p>
  </w:footnote>
  <w:footnote w:id="29">
    <w:p w14:paraId="63790287" w14:textId="6468D06D" w:rsidR="001802C0" w:rsidRPr="00F14B7F" w:rsidRDefault="001802C0"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רמב"ם הלכות מלוה ולוה פרק ג הלכה ז.</w:t>
      </w:r>
    </w:p>
  </w:footnote>
  <w:footnote w:id="30">
    <w:p w14:paraId="1D2928CA" w14:textId="1E67060F" w:rsidR="001802C0" w:rsidRPr="00F14B7F" w:rsidRDefault="001802C0"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רמב"ם הלכות עבדים פרק ג הלכה ה.</w:t>
      </w:r>
    </w:p>
  </w:footnote>
  <w:footnote w:id="31">
    <w:p w14:paraId="12BB78F0" w14:textId="6352AD47" w:rsidR="00EA3F9A" w:rsidRPr="00F14B7F" w:rsidRDefault="00EA3F9A"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דף מח עמוד א.</w:t>
      </w:r>
    </w:p>
    <w:p w14:paraId="31B68C80" w14:textId="75CE73B4" w:rsidR="00EA3F9A" w:rsidRDefault="00EA3F9A" w:rsidP="00EA3F9A">
      <w:pPr>
        <w:pStyle w:val="a3"/>
        <w:rPr>
          <w:rtl/>
        </w:rPr>
      </w:pPr>
    </w:p>
  </w:footnote>
  <w:footnote w:id="32">
    <w:p w14:paraId="1A62A9CD" w14:textId="00506FFC" w:rsidR="00EA3F9A" w:rsidRPr="00F14B7F" w:rsidRDefault="00EA3F9A"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אמנם אין הראייה הכרחית. יתכן שפטור כשפגע בו, אם אין לו דרך אחרת להוציאו</w:t>
      </w:r>
      <w:r w:rsidR="002C349A" w:rsidRPr="00F14B7F">
        <w:rPr>
          <w:rFonts w:asciiTheme="majorBidi" w:hAnsiTheme="majorBidi" w:cstheme="majorBidi"/>
          <w:rtl/>
        </w:rPr>
        <w:t xml:space="preserve"> (מל"מ בשם הרא"ש)</w:t>
      </w:r>
      <w:r w:rsidRPr="00F14B7F">
        <w:rPr>
          <w:rFonts w:asciiTheme="majorBidi" w:hAnsiTheme="majorBidi" w:cstheme="majorBidi"/>
          <w:rtl/>
        </w:rPr>
        <w:t xml:space="preserve">. </w:t>
      </w:r>
    </w:p>
  </w:footnote>
  <w:footnote w:id="33">
    <w:p w14:paraId="6D6454A6" w14:textId="079A70D6" w:rsidR="007615B9" w:rsidRPr="00F14B7F" w:rsidRDefault="007615B9"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הרב גוסטמן אות ח עמוד קמא.</w:t>
      </w:r>
    </w:p>
  </w:footnote>
  <w:footnote w:id="34">
    <w:p w14:paraId="2F9AB4EF" w14:textId="24052908" w:rsidR="00F14B7F" w:rsidRPr="00F14B7F" w:rsidRDefault="00F14B7F"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ד"ה איסורא.</w:t>
      </w:r>
    </w:p>
  </w:footnote>
  <w:footnote w:id="35">
    <w:p w14:paraId="26E08CB5" w14:textId="7D184DC0" w:rsidR="002C349A" w:rsidRPr="00F14B7F" w:rsidRDefault="002C349A" w:rsidP="00F14B7F">
      <w:pPr>
        <w:spacing w:after="0" w:line="360" w:lineRule="auto"/>
        <w:rPr>
          <w:rFonts w:asciiTheme="majorBidi" w:hAnsiTheme="majorBidi" w:cstheme="majorBidi"/>
          <w:sz w:val="20"/>
          <w:szCs w:val="20"/>
        </w:rPr>
      </w:pPr>
      <w:r w:rsidRPr="00F14B7F">
        <w:rPr>
          <w:rStyle w:val="a5"/>
          <w:rFonts w:asciiTheme="majorBidi" w:hAnsiTheme="majorBidi" w:cstheme="majorBidi"/>
          <w:sz w:val="20"/>
          <w:szCs w:val="20"/>
        </w:rPr>
        <w:footnoteRef/>
      </w:r>
      <w:r w:rsidRPr="00F14B7F">
        <w:rPr>
          <w:rFonts w:asciiTheme="majorBidi" w:hAnsiTheme="majorBidi" w:cstheme="majorBidi"/>
          <w:sz w:val="20"/>
          <w:szCs w:val="20"/>
          <w:rtl/>
        </w:rPr>
        <w:t xml:space="preserve"> שולחן ערוך חושן משפט   סימן תכא סעיף ו.</w:t>
      </w:r>
    </w:p>
  </w:footnote>
  <w:footnote w:id="36">
    <w:p w14:paraId="40FA7790" w14:textId="20678D6E" w:rsidR="00FA023E" w:rsidRPr="00F14B7F" w:rsidRDefault="00FA023E" w:rsidP="00F14B7F">
      <w:pPr>
        <w:pStyle w:val="a3"/>
        <w:rPr>
          <w:rFonts w:asciiTheme="majorBidi" w:hAnsiTheme="majorBidi" w:cstheme="majorBidi"/>
        </w:rPr>
      </w:pPr>
      <w:r w:rsidRPr="00F14B7F">
        <w:rPr>
          <w:rStyle w:val="a5"/>
          <w:rFonts w:asciiTheme="majorBidi" w:hAnsiTheme="majorBidi" w:cstheme="majorBidi"/>
        </w:rPr>
        <w:footnoteRef/>
      </w:r>
      <w:r w:rsidRPr="00F14B7F">
        <w:rPr>
          <w:rFonts w:asciiTheme="majorBidi" w:hAnsiTheme="majorBidi" w:cstheme="majorBidi"/>
          <w:rtl/>
        </w:rPr>
        <w:t xml:space="preserve"> קושיה זאת תירץ הרב גוסטמן על פי דברי הראב"ד, שבעבד יש רק חשש לנזק שיתחיל לגנוב כעת, ועל כן נחוץ מקור מיוחד (</w:t>
      </w:r>
      <w:r w:rsidR="00450774" w:rsidRPr="00F14B7F">
        <w:rPr>
          <w:rFonts w:asciiTheme="majorBidi" w:hAnsiTheme="majorBidi" w:cstheme="majorBidi"/>
          <w:rtl/>
        </w:rPr>
        <w:t xml:space="preserve">סוף אות א). </w:t>
      </w:r>
      <w:r w:rsidR="00F14B7F">
        <w:rPr>
          <w:rFonts w:asciiTheme="majorBidi" w:hAnsiTheme="majorBidi" w:cstheme="majorBidi" w:hint="cs"/>
          <w:rtl/>
        </w:rPr>
        <w:t>בהמשך נראה שהוא מציע להלכה זו גדר שונה לחלוטין.</w:t>
      </w:r>
    </w:p>
  </w:footnote>
  <w:footnote w:id="37">
    <w:p w14:paraId="50E2E46A" w14:textId="54E409D3" w:rsidR="00450774" w:rsidRDefault="00450774" w:rsidP="00F14B7F">
      <w:pPr>
        <w:pStyle w:val="a3"/>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רמב"ם הלכות סנהדרין פרק ב הלכות י- יב.</w:t>
      </w:r>
      <w:r w:rsidR="00D766F1" w:rsidRPr="00F14B7F">
        <w:rPr>
          <w:rFonts w:asciiTheme="majorBidi" w:hAnsiTheme="majorBidi" w:cstheme="majorBidi"/>
          <w:rtl/>
        </w:rPr>
        <w:t xml:space="preserve"> לכאורה פשיטא שאין סותרים? אלא אפילו הדבר נתון במחלוקת בהלכה (הרב גוס</w:t>
      </w:r>
      <w:r w:rsidR="00A32FED">
        <w:rPr>
          <w:rFonts w:asciiTheme="majorBidi" w:hAnsiTheme="majorBidi" w:cstheme="majorBidi" w:hint="cs"/>
          <w:rtl/>
        </w:rPr>
        <w:t>ט</w:t>
      </w:r>
      <w:r w:rsidR="00D766F1" w:rsidRPr="00F14B7F">
        <w:rPr>
          <w:rFonts w:asciiTheme="majorBidi" w:hAnsiTheme="majorBidi" w:cstheme="majorBidi"/>
          <w:rtl/>
        </w:rPr>
        <w:t xml:space="preserve">מן אות </w:t>
      </w:r>
      <w:r w:rsidR="00A32FED">
        <w:rPr>
          <w:rFonts w:asciiTheme="majorBidi" w:hAnsiTheme="majorBidi" w:cstheme="majorBidi" w:hint="cs"/>
          <w:rtl/>
        </w:rPr>
        <w:t>ז</w:t>
      </w:r>
      <w:r w:rsidR="00D766F1" w:rsidRPr="00F14B7F">
        <w:rPr>
          <w:rFonts w:asciiTheme="majorBidi" w:hAnsiTheme="majorBidi" w:cstheme="majorBidi"/>
          <w:rtl/>
        </w:rPr>
        <w:t>) . ואפילו טעה בשיקול הדעת (תקפו כהן סימן פז).</w:t>
      </w:r>
    </w:p>
    <w:p w14:paraId="229DDBE6" w14:textId="77777777" w:rsidR="00F14B7F" w:rsidRPr="00F14B7F" w:rsidRDefault="00F14B7F" w:rsidP="00F14B7F">
      <w:pPr>
        <w:pStyle w:val="a3"/>
        <w:rPr>
          <w:rFonts w:asciiTheme="majorBidi" w:hAnsiTheme="majorBidi" w:cstheme="majorBidi"/>
        </w:rPr>
      </w:pPr>
    </w:p>
  </w:footnote>
  <w:footnote w:id="38">
    <w:p w14:paraId="385BF16D" w14:textId="7DBCE004" w:rsidR="00450774" w:rsidRPr="00F14B7F" w:rsidRDefault="00450774" w:rsidP="00F14B7F">
      <w:pPr>
        <w:pStyle w:val="a3"/>
        <w:spacing w:line="360" w:lineRule="auto"/>
        <w:rPr>
          <w:rFonts w:asciiTheme="majorBidi" w:hAnsiTheme="majorBidi" w:cstheme="majorBidi"/>
        </w:rPr>
      </w:pPr>
      <w:r w:rsidRPr="00F14B7F">
        <w:rPr>
          <w:rStyle w:val="a5"/>
          <w:rFonts w:asciiTheme="majorBidi" w:hAnsiTheme="majorBidi" w:cstheme="majorBidi"/>
        </w:rPr>
        <w:footnoteRef/>
      </w:r>
      <w:r w:rsidRPr="00F14B7F">
        <w:rPr>
          <w:rFonts w:asciiTheme="majorBidi" w:hAnsiTheme="majorBidi" w:cstheme="majorBidi"/>
          <w:rtl/>
        </w:rPr>
        <w:t xml:space="preserve"> נימוקי יוסף   דף יב עמוד ב ד"ה מאה פנדי.</w:t>
      </w:r>
    </w:p>
  </w:footnote>
  <w:footnote w:id="39">
    <w:p w14:paraId="1217AAAD" w14:textId="49FB826E" w:rsidR="00450774" w:rsidRPr="00F14B7F" w:rsidRDefault="00450774" w:rsidP="00F14B7F">
      <w:pPr>
        <w:pStyle w:val="a3"/>
        <w:spacing w:line="360" w:lineRule="auto"/>
        <w:rPr>
          <w:rFonts w:asciiTheme="majorBidi" w:hAnsiTheme="majorBidi" w:cstheme="majorBidi"/>
        </w:rPr>
      </w:pPr>
      <w:r w:rsidRPr="00F14B7F">
        <w:rPr>
          <w:rStyle w:val="a5"/>
          <w:rFonts w:asciiTheme="majorBidi" w:hAnsiTheme="majorBidi" w:cstheme="majorBidi"/>
        </w:rPr>
        <w:footnoteRef/>
      </w:r>
      <w:r w:rsidRPr="00F14B7F">
        <w:rPr>
          <w:rFonts w:asciiTheme="majorBidi" w:hAnsiTheme="majorBidi" w:cstheme="majorBidi"/>
          <w:rtl/>
        </w:rPr>
        <w:t xml:space="preserve"> טור חושן משפט סימן ד סעיף א.</w:t>
      </w:r>
    </w:p>
  </w:footnote>
  <w:footnote w:id="40">
    <w:p w14:paraId="3FEBE88F" w14:textId="5DADFC4C" w:rsidR="00D766F1" w:rsidRPr="00F14B7F" w:rsidRDefault="00D766F1" w:rsidP="00F14B7F">
      <w:pPr>
        <w:spacing w:after="0" w:line="360" w:lineRule="auto"/>
        <w:rPr>
          <w:rFonts w:asciiTheme="majorBidi" w:hAnsiTheme="majorBidi" w:cstheme="majorBidi"/>
          <w:sz w:val="20"/>
          <w:szCs w:val="20"/>
        </w:rPr>
      </w:pPr>
      <w:r w:rsidRPr="00F14B7F">
        <w:rPr>
          <w:rStyle w:val="a5"/>
          <w:rFonts w:asciiTheme="majorBidi" w:hAnsiTheme="majorBidi" w:cstheme="majorBidi"/>
          <w:sz w:val="20"/>
          <w:szCs w:val="20"/>
        </w:rPr>
        <w:footnoteRef/>
      </w:r>
      <w:r w:rsidRPr="00F14B7F">
        <w:rPr>
          <w:rFonts w:asciiTheme="majorBidi" w:hAnsiTheme="majorBidi" w:cstheme="majorBidi"/>
          <w:sz w:val="20"/>
          <w:szCs w:val="20"/>
          <w:rtl/>
        </w:rPr>
        <w:t xml:space="preserve">   מסכת מועד קטן דף יז עמוד א.</w:t>
      </w:r>
    </w:p>
  </w:footnote>
  <w:footnote w:id="41">
    <w:p w14:paraId="6B1A1268" w14:textId="4D812BC5" w:rsidR="00D766F1" w:rsidRPr="00F14B7F" w:rsidRDefault="00D766F1" w:rsidP="00F14B7F">
      <w:pPr>
        <w:pStyle w:val="a3"/>
        <w:spacing w:line="360" w:lineRule="auto"/>
        <w:rPr>
          <w:rFonts w:asciiTheme="majorBidi" w:hAnsiTheme="majorBidi" w:cstheme="majorBidi"/>
          <w:rtl/>
        </w:rPr>
      </w:pPr>
      <w:r w:rsidRPr="00F14B7F">
        <w:rPr>
          <w:rStyle w:val="a5"/>
          <w:rFonts w:asciiTheme="majorBidi" w:hAnsiTheme="majorBidi" w:cstheme="majorBidi"/>
        </w:rPr>
        <w:footnoteRef/>
      </w:r>
      <w:r w:rsidRPr="00F14B7F">
        <w:rPr>
          <w:rFonts w:asciiTheme="majorBidi" w:hAnsiTheme="majorBidi" w:cstheme="majorBidi"/>
          <w:rtl/>
        </w:rPr>
        <w:t xml:space="preserve"> הרב גוסטמן אות ד, סוף עמוד קלח. ומתפלא שהלכה זו נשמטה ברמב"ם</w:t>
      </w:r>
    </w:p>
  </w:footnote>
  <w:footnote w:id="42">
    <w:p w14:paraId="1105AEEA" w14:textId="6016FE26" w:rsidR="00925E78" w:rsidRPr="00925E78" w:rsidRDefault="00925E78" w:rsidP="00925E78">
      <w:pPr>
        <w:pStyle w:val="a3"/>
        <w:spacing w:line="360" w:lineRule="auto"/>
        <w:rPr>
          <w:rFonts w:asciiTheme="majorBidi" w:hAnsiTheme="majorBidi" w:cstheme="majorBidi"/>
        </w:rPr>
      </w:pPr>
      <w:r w:rsidRPr="00925E78">
        <w:rPr>
          <w:rStyle w:val="a5"/>
          <w:rFonts w:asciiTheme="majorBidi" w:hAnsiTheme="majorBidi" w:cstheme="majorBidi"/>
        </w:rPr>
        <w:footnoteRef/>
      </w:r>
      <w:r w:rsidRPr="00925E78">
        <w:rPr>
          <w:rFonts w:asciiTheme="majorBidi" w:hAnsiTheme="majorBidi" w:cstheme="majorBidi"/>
          <w:rtl/>
        </w:rPr>
        <w:t xml:space="preserve"> ריטב"א.</w:t>
      </w:r>
    </w:p>
  </w:footnote>
  <w:footnote w:id="43">
    <w:p w14:paraId="663CFA9D" w14:textId="17984619" w:rsidR="00925E78" w:rsidRPr="00925E78" w:rsidRDefault="00925E78" w:rsidP="00925E78">
      <w:pPr>
        <w:pStyle w:val="a3"/>
        <w:spacing w:line="360" w:lineRule="auto"/>
        <w:rPr>
          <w:rFonts w:asciiTheme="majorBidi" w:hAnsiTheme="majorBidi" w:cstheme="majorBidi"/>
          <w:rtl/>
        </w:rPr>
      </w:pPr>
      <w:r w:rsidRPr="00925E78">
        <w:rPr>
          <w:rStyle w:val="a5"/>
          <w:rFonts w:asciiTheme="majorBidi" w:hAnsiTheme="majorBidi" w:cstheme="majorBidi"/>
        </w:rPr>
        <w:footnoteRef/>
      </w:r>
      <w:r w:rsidRPr="00925E78">
        <w:rPr>
          <w:rFonts w:asciiTheme="majorBidi" w:hAnsiTheme="majorBidi" w:cstheme="majorBidi"/>
          <w:rtl/>
        </w:rPr>
        <w:t xml:space="preserve"> ריב"ב.</w:t>
      </w:r>
    </w:p>
  </w:footnote>
  <w:footnote w:id="44">
    <w:p w14:paraId="195CF19C" w14:textId="4E883E4B" w:rsidR="00925E78" w:rsidRPr="00925E78" w:rsidRDefault="00925E78" w:rsidP="00925E78">
      <w:pPr>
        <w:pStyle w:val="a3"/>
        <w:spacing w:line="360" w:lineRule="auto"/>
        <w:rPr>
          <w:rFonts w:asciiTheme="majorBidi" w:hAnsiTheme="majorBidi" w:cstheme="majorBidi"/>
        </w:rPr>
      </w:pPr>
      <w:r w:rsidRPr="00925E78">
        <w:rPr>
          <w:rStyle w:val="a5"/>
          <w:rFonts w:asciiTheme="majorBidi" w:hAnsiTheme="majorBidi" w:cstheme="majorBidi"/>
        </w:rPr>
        <w:footnoteRef/>
      </w:r>
      <w:r w:rsidRPr="00925E78">
        <w:rPr>
          <w:rFonts w:asciiTheme="majorBidi" w:hAnsiTheme="majorBidi" w:cstheme="majorBidi"/>
          <w:rtl/>
        </w:rPr>
        <w:t xml:space="preserve"> מובא במאירי. הוא עצמו חולק.</w:t>
      </w:r>
    </w:p>
  </w:footnote>
  <w:footnote w:id="45">
    <w:p w14:paraId="06C397C1" w14:textId="0E0A4922" w:rsidR="00925E78" w:rsidRPr="00925E78" w:rsidRDefault="00925E78" w:rsidP="00925E78">
      <w:pPr>
        <w:pStyle w:val="a3"/>
        <w:spacing w:line="360" w:lineRule="auto"/>
        <w:rPr>
          <w:rFonts w:asciiTheme="majorBidi" w:hAnsiTheme="majorBidi" w:cstheme="majorBidi"/>
        </w:rPr>
      </w:pPr>
      <w:r w:rsidRPr="00925E78">
        <w:rPr>
          <w:rStyle w:val="a5"/>
          <w:rFonts w:asciiTheme="majorBidi" w:hAnsiTheme="majorBidi" w:cstheme="majorBidi"/>
        </w:rPr>
        <w:footnoteRef/>
      </w:r>
      <w:r w:rsidRPr="00925E78">
        <w:rPr>
          <w:rFonts w:asciiTheme="majorBidi" w:hAnsiTheme="majorBidi" w:cstheme="majorBidi"/>
          <w:rtl/>
        </w:rPr>
        <w:t xml:space="preserve"> ר"ן. </w:t>
      </w:r>
    </w:p>
  </w:footnote>
  <w:footnote w:id="46">
    <w:p w14:paraId="2888E82F" w14:textId="6BC20677" w:rsidR="00925E78" w:rsidRPr="00925E78" w:rsidRDefault="00925E78" w:rsidP="00925E78">
      <w:pPr>
        <w:pStyle w:val="a3"/>
        <w:spacing w:line="360" w:lineRule="auto"/>
        <w:rPr>
          <w:rFonts w:asciiTheme="majorBidi" w:hAnsiTheme="majorBidi" w:cstheme="majorBidi"/>
        </w:rPr>
      </w:pPr>
      <w:r w:rsidRPr="00925E78">
        <w:rPr>
          <w:rStyle w:val="a5"/>
          <w:rFonts w:asciiTheme="majorBidi" w:hAnsiTheme="majorBidi" w:cstheme="majorBidi"/>
        </w:rPr>
        <w:footnoteRef/>
      </w:r>
      <w:r w:rsidRPr="00925E78">
        <w:rPr>
          <w:rFonts w:asciiTheme="majorBidi" w:hAnsiTheme="majorBidi" w:cstheme="majorBidi"/>
          <w:rtl/>
        </w:rPr>
        <w:t xml:space="preserve"> רא"ש. כל זאת מבואר בבירור הלכה שם יז עמוד א ציון 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86964785"/>
      <w:docPartObj>
        <w:docPartGallery w:val="Page Numbers (Top of Page)"/>
        <w:docPartUnique/>
      </w:docPartObj>
    </w:sdtPr>
    <w:sdtContent>
      <w:p w14:paraId="73CEBD5E" w14:textId="08A0ED96" w:rsidR="001802C0" w:rsidRDefault="001802C0">
        <w:pPr>
          <w:pStyle w:val="a6"/>
        </w:pPr>
        <w:r>
          <w:fldChar w:fldCharType="begin"/>
        </w:r>
        <w:r>
          <w:instrText>PAGE   \* MERGEFORMAT</w:instrText>
        </w:r>
        <w:r>
          <w:fldChar w:fldCharType="separate"/>
        </w:r>
        <w:r>
          <w:rPr>
            <w:rtl/>
            <w:lang w:val="he-IL"/>
          </w:rPr>
          <w:t>2</w:t>
        </w:r>
        <w:r>
          <w:fldChar w:fldCharType="end"/>
        </w:r>
      </w:p>
    </w:sdtContent>
  </w:sdt>
  <w:p w14:paraId="532F3B08" w14:textId="77777777" w:rsidR="001802C0" w:rsidRDefault="001802C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32596"/>
    <w:multiLevelType w:val="hybridMultilevel"/>
    <w:tmpl w:val="6074B940"/>
    <w:lvl w:ilvl="0" w:tplc="63BA3B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92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CA"/>
    <w:rsid w:val="001802C0"/>
    <w:rsid w:val="001C31ED"/>
    <w:rsid w:val="001F4E27"/>
    <w:rsid w:val="00285D7F"/>
    <w:rsid w:val="00293330"/>
    <w:rsid w:val="002C349A"/>
    <w:rsid w:val="00305DCA"/>
    <w:rsid w:val="0033361C"/>
    <w:rsid w:val="003B33C1"/>
    <w:rsid w:val="00450774"/>
    <w:rsid w:val="004C12B4"/>
    <w:rsid w:val="00545623"/>
    <w:rsid w:val="006D6E0D"/>
    <w:rsid w:val="006E3F04"/>
    <w:rsid w:val="007109E6"/>
    <w:rsid w:val="007615B9"/>
    <w:rsid w:val="00774181"/>
    <w:rsid w:val="007806C8"/>
    <w:rsid w:val="00833285"/>
    <w:rsid w:val="008E1CB4"/>
    <w:rsid w:val="0091530E"/>
    <w:rsid w:val="00925E78"/>
    <w:rsid w:val="00A32FED"/>
    <w:rsid w:val="00A522C9"/>
    <w:rsid w:val="00A82CF4"/>
    <w:rsid w:val="00AC0D34"/>
    <w:rsid w:val="00AD2F9A"/>
    <w:rsid w:val="00B772C2"/>
    <w:rsid w:val="00BC57E1"/>
    <w:rsid w:val="00C20278"/>
    <w:rsid w:val="00D766F1"/>
    <w:rsid w:val="00DB49AB"/>
    <w:rsid w:val="00E05945"/>
    <w:rsid w:val="00E32F1B"/>
    <w:rsid w:val="00EA3F9A"/>
    <w:rsid w:val="00F14B7F"/>
    <w:rsid w:val="00FA02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EB48"/>
  <w15:chartTrackingRefBased/>
  <w15:docId w15:val="{BDE14F74-8413-42C7-8DCE-F84C68B6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806C8"/>
    <w:pPr>
      <w:spacing w:after="0" w:line="240" w:lineRule="auto"/>
    </w:pPr>
    <w:rPr>
      <w:sz w:val="20"/>
      <w:szCs w:val="20"/>
    </w:rPr>
  </w:style>
  <w:style w:type="character" w:customStyle="1" w:styleId="a4">
    <w:name w:val="טקסט הערת שוליים תו"/>
    <w:basedOn w:val="a0"/>
    <w:link w:val="a3"/>
    <w:uiPriority w:val="99"/>
    <w:semiHidden/>
    <w:rsid w:val="007806C8"/>
    <w:rPr>
      <w:noProof/>
      <w:sz w:val="20"/>
      <w:szCs w:val="20"/>
    </w:rPr>
  </w:style>
  <w:style w:type="character" w:styleId="a5">
    <w:name w:val="footnote reference"/>
    <w:basedOn w:val="a0"/>
    <w:uiPriority w:val="99"/>
    <w:semiHidden/>
    <w:unhideWhenUsed/>
    <w:rsid w:val="007806C8"/>
    <w:rPr>
      <w:vertAlign w:val="superscript"/>
    </w:rPr>
  </w:style>
  <w:style w:type="paragraph" w:styleId="a6">
    <w:name w:val="header"/>
    <w:basedOn w:val="a"/>
    <w:link w:val="a7"/>
    <w:uiPriority w:val="99"/>
    <w:unhideWhenUsed/>
    <w:rsid w:val="001802C0"/>
    <w:pPr>
      <w:tabs>
        <w:tab w:val="center" w:pos="4153"/>
        <w:tab w:val="right" w:pos="8306"/>
      </w:tabs>
      <w:spacing w:after="0" w:line="240" w:lineRule="auto"/>
    </w:pPr>
  </w:style>
  <w:style w:type="character" w:customStyle="1" w:styleId="a7">
    <w:name w:val="כותרת עליונה תו"/>
    <w:basedOn w:val="a0"/>
    <w:link w:val="a6"/>
    <w:uiPriority w:val="99"/>
    <w:rsid w:val="001802C0"/>
    <w:rPr>
      <w:noProof/>
    </w:rPr>
  </w:style>
  <w:style w:type="paragraph" w:styleId="a8">
    <w:name w:val="footer"/>
    <w:basedOn w:val="a"/>
    <w:link w:val="a9"/>
    <w:uiPriority w:val="99"/>
    <w:unhideWhenUsed/>
    <w:rsid w:val="001802C0"/>
    <w:pPr>
      <w:tabs>
        <w:tab w:val="center" w:pos="4153"/>
        <w:tab w:val="right" w:pos="8306"/>
      </w:tabs>
      <w:spacing w:after="0" w:line="240" w:lineRule="auto"/>
    </w:pPr>
  </w:style>
  <w:style w:type="character" w:customStyle="1" w:styleId="a9">
    <w:name w:val="כותרת תחתונה תו"/>
    <w:basedOn w:val="a0"/>
    <w:link w:val="a8"/>
    <w:uiPriority w:val="99"/>
    <w:rsid w:val="001802C0"/>
    <w:rPr>
      <w:noProof/>
    </w:rPr>
  </w:style>
  <w:style w:type="paragraph" w:styleId="aa">
    <w:name w:val="List Paragraph"/>
    <w:basedOn w:val="a"/>
    <w:uiPriority w:val="34"/>
    <w:qFormat/>
    <w:rsid w:val="00F14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CE7E2-7AB6-4B95-ACDE-A7395982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2504</TotalTime>
  <Pages>6</Pages>
  <Words>1870</Words>
  <Characters>9354</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יעקב פלג</cp:lastModifiedBy>
  <cp:revision>14</cp:revision>
  <dcterms:created xsi:type="dcterms:W3CDTF">2023-08-27T10:17:00Z</dcterms:created>
  <dcterms:modified xsi:type="dcterms:W3CDTF">2023-10-01T16:14:00Z</dcterms:modified>
</cp:coreProperties>
</file>