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5B6920">
      <w:pPr>
        <w:rPr>
          <w:rtl/>
        </w:rPr>
      </w:pPr>
      <w:r>
        <w:rPr>
          <w:rFonts w:hint="cs"/>
          <w:rtl/>
        </w:rPr>
        <w:t>בס"ד</w:t>
      </w:r>
    </w:p>
    <w:p w:rsidR="005B6920" w:rsidRDefault="00D87CA9">
      <w:pPr>
        <w:rPr>
          <w:rFonts w:hint="cs"/>
          <w:b/>
          <w:bCs/>
          <w:sz w:val="36"/>
          <w:szCs w:val="36"/>
          <w:rtl/>
        </w:rPr>
      </w:pPr>
      <w:r>
        <w:rPr>
          <w:rFonts w:hint="cs"/>
          <w:b/>
          <w:bCs/>
          <w:sz w:val="28"/>
          <w:szCs w:val="28"/>
          <w:rtl/>
        </w:rPr>
        <w:t xml:space="preserve">                      </w:t>
      </w:r>
      <w:r w:rsidR="005B6920">
        <w:rPr>
          <w:rFonts w:hint="cs"/>
          <w:b/>
          <w:bCs/>
          <w:sz w:val="36"/>
          <w:szCs w:val="36"/>
          <w:rtl/>
        </w:rPr>
        <w:t>המוסר דינו לשמים</w:t>
      </w:r>
      <w:r>
        <w:rPr>
          <w:rFonts w:hint="cs"/>
          <w:b/>
          <w:bCs/>
          <w:sz w:val="36"/>
          <w:szCs w:val="36"/>
          <w:rtl/>
        </w:rPr>
        <w:t>- דף צג, א</w:t>
      </w:r>
    </w:p>
    <w:p w:rsidR="00D87CA9" w:rsidRDefault="00D87CA9">
      <w:pPr>
        <w:rPr>
          <w:b/>
          <w:bCs/>
          <w:sz w:val="36"/>
          <w:szCs w:val="36"/>
          <w:rtl/>
        </w:rPr>
      </w:pPr>
      <w:r>
        <w:rPr>
          <w:rFonts w:hint="cs"/>
          <w:b/>
          <w:bCs/>
          <w:sz w:val="36"/>
          <w:szCs w:val="36"/>
          <w:rtl/>
        </w:rPr>
        <w:t xml:space="preserve">                     </w:t>
      </w:r>
      <w:bookmarkStart w:id="0" w:name="_GoBack"/>
      <w:bookmarkEnd w:id="0"/>
      <w:r>
        <w:rPr>
          <w:rFonts w:hint="cs"/>
          <w:b/>
          <w:bCs/>
          <w:sz w:val="36"/>
          <w:szCs w:val="36"/>
          <w:rtl/>
        </w:rPr>
        <w:t xml:space="preserve">    </w:t>
      </w:r>
      <w:r>
        <w:rPr>
          <w:rFonts w:cs="Arial"/>
          <w:b/>
          <w:bCs/>
          <w:sz w:val="24"/>
          <w:szCs w:val="24"/>
          <w:rtl/>
        </w:rPr>
        <w:t>הרב משה חיים הר-נוי</w:t>
      </w:r>
    </w:p>
    <w:p w:rsidR="005B6920" w:rsidRDefault="005B6920">
      <w:pPr>
        <w:rPr>
          <w:sz w:val="24"/>
          <w:szCs w:val="24"/>
          <w:rtl/>
        </w:rPr>
      </w:pPr>
      <w:r>
        <w:rPr>
          <w:rFonts w:hint="cs"/>
          <w:sz w:val="24"/>
          <w:szCs w:val="24"/>
          <w:rtl/>
        </w:rPr>
        <w:t>הגמרא במסכת בבא קמא (צג, א) וכן במסכת ראש השנה (</w:t>
      </w:r>
      <w:proofErr w:type="spellStart"/>
      <w:r>
        <w:rPr>
          <w:rFonts w:hint="cs"/>
          <w:sz w:val="24"/>
          <w:szCs w:val="24"/>
          <w:rtl/>
        </w:rPr>
        <w:t>טז</w:t>
      </w:r>
      <w:proofErr w:type="spellEnd"/>
      <w:r>
        <w:rPr>
          <w:rFonts w:hint="cs"/>
          <w:sz w:val="24"/>
          <w:szCs w:val="24"/>
          <w:rtl/>
        </w:rPr>
        <w:t>, א) אומרת :</w:t>
      </w:r>
    </w:p>
    <w:p w:rsidR="00A8176E" w:rsidRDefault="005B6920" w:rsidP="00A8176E">
      <w:pPr>
        <w:rPr>
          <w:sz w:val="24"/>
          <w:szCs w:val="24"/>
          <w:rtl/>
        </w:rPr>
      </w:pPr>
      <w:r w:rsidRPr="005B6920">
        <w:rPr>
          <w:rFonts w:cs="Arial"/>
          <w:sz w:val="24"/>
          <w:szCs w:val="24"/>
          <w:rtl/>
        </w:rPr>
        <w:t xml:space="preserve">אמר רב חנן: המוסר דין על </w:t>
      </w:r>
      <w:proofErr w:type="spellStart"/>
      <w:r w:rsidRPr="005B6920">
        <w:rPr>
          <w:rFonts w:cs="Arial"/>
          <w:sz w:val="24"/>
          <w:szCs w:val="24"/>
          <w:rtl/>
        </w:rPr>
        <w:t>חבירו</w:t>
      </w:r>
      <w:proofErr w:type="spellEnd"/>
      <w:r w:rsidRPr="005B6920">
        <w:rPr>
          <w:rFonts w:cs="Arial"/>
          <w:sz w:val="24"/>
          <w:szCs w:val="24"/>
          <w:rtl/>
        </w:rPr>
        <w:t xml:space="preserve"> - הוא נענש תחילה, שנאמר: ותאמר שרי אל אברם חמסי עליך, וכתיב: ויבא אברהם לספוד לשרה ולבכותה; והני מילי, דאית ליה </w:t>
      </w:r>
      <w:proofErr w:type="spellStart"/>
      <w:r w:rsidRPr="005B6920">
        <w:rPr>
          <w:rFonts w:cs="Arial"/>
          <w:sz w:val="24"/>
          <w:szCs w:val="24"/>
          <w:rtl/>
        </w:rPr>
        <w:t>דינא</w:t>
      </w:r>
      <w:proofErr w:type="spellEnd"/>
      <w:r w:rsidRPr="005B6920">
        <w:rPr>
          <w:rFonts w:cs="Arial"/>
          <w:sz w:val="24"/>
          <w:szCs w:val="24"/>
          <w:rtl/>
        </w:rPr>
        <w:t xml:space="preserve"> </w:t>
      </w:r>
      <w:proofErr w:type="spellStart"/>
      <w:r w:rsidRPr="005B6920">
        <w:rPr>
          <w:rFonts w:cs="Arial"/>
          <w:sz w:val="24"/>
          <w:szCs w:val="24"/>
          <w:rtl/>
        </w:rPr>
        <w:t>בארעא</w:t>
      </w:r>
      <w:proofErr w:type="spellEnd"/>
      <w:r w:rsidR="00A8176E">
        <w:rPr>
          <w:rStyle w:val="a5"/>
          <w:sz w:val="24"/>
          <w:szCs w:val="24"/>
          <w:rtl/>
        </w:rPr>
        <w:footnoteReference w:id="1"/>
      </w:r>
    </w:p>
    <w:p w:rsidR="005B6920" w:rsidRDefault="005B6920" w:rsidP="005B6920">
      <w:pPr>
        <w:rPr>
          <w:sz w:val="24"/>
          <w:szCs w:val="24"/>
          <w:rtl/>
        </w:rPr>
      </w:pPr>
      <w:r w:rsidRPr="00A8176E">
        <w:rPr>
          <w:rFonts w:hint="cs"/>
          <w:b/>
          <w:bCs/>
          <w:sz w:val="24"/>
          <w:szCs w:val="24"/>
          <w:rtl/>
        </w:rPr>
        <w:t xml:space="preserve">רבינו יהונתן </w:t>
      </w:r>
      <w:proofErr w:type="spellStart"/>
      <w:r w:rsidRPr="00A8176E">
        <w:rPr>
          <w:rFonts w:hint="cs"/>
          <w:b/>
          <w:bCs/>
          <w:sz w:val="24"/>
          <w:szCs w:val="24"/>
          <w:rtl/>
        </w:rPr>
        <w:t>מלוניל</w:t>
      </w:r>
      <w:proofErr w:type="spellEnd"/>
      <w:r>
        <w:rPr>
          <w:rFonts w:hint="cs"/>
          <w:sz w:val="24"/>
          <w:szCs w:val="24"/>
          <w:rtl/>
        </w:rPr>
        <w:t xml:space="preserve"> (מובא </w:t>
      </w:r>
      <w:proofErr w:type="spellStart"/>
      <w:r>
        <w:rPr>
          <w:rFonts w:hint="cs"/>
          <w:sz w:val="24"/>
          <w:szCs w:val="24"/>
          <w:rtl/>
        </w:rPr>
        <w:t>מבשיטה</w:t>
      </w:r>
      <w:proofErr w:type="spellEnd"/>
      <w:r>
        <w:rPr>
          <w:rFonts w:hint="cs"/>
          <w:sz w:val="24"/>
          <w:szCs w:val="24"/>
          <w:rtl/>
        </w:rPr>
        <w:t xml:space="preserve"> מקובצת) מסביר כי לו היה התובע פונה לבית דין של מטה , היו מחייבים את הנתבע ממון בלבד , אך כאשר פונה אדם לבית דין של מעלה מחברים את העוון הזה של הנתבע אם עוונות אחרים שרשומים בספר חובותיו בשמים והוא מקבל עונש חמור ביותר . ומכיוון שהתובע עשה מעשה אכזרי בכך שפנה לבית דין של מעלה הרי שעושים עמו מעשה אכזרי ודנים גם אותו . </w:t>
      </w:r>
    </w:p>
    <w:p w:rsidR="00A8176E" w:rsidRDefault="00A8176E" w:rsidP="005B6920">
      <w:pPr>
        <w:rPr>
          <w:sz w:val="24"/>
          <w:szCs w:val="24"/>
          <w:rtl/>
        </w:rPr>
      </w:pPr>
      <w:r w:rsidRPr="00A8176E">
        <w:rPr>
          <w:rFonts w:hint="cs"/>
          <w:b/>
          <w:bCs/>
          <w:sz w:val="24"/>
          <w:szCs w:val="24"/>
          <w:rtl/>
        </w:rPr>
        <w:t>המהר"ל מפראג</w:t>
      </w:r>
      <w:r>
        <w:rPr>
          <w:rFonts w:hint="cs"/>
          <w:sz w:val="24"/>
          <w:szCs w:val="24"/>
          <w:rtl/>
        </w:rPr>
        <w:t xml:space="preserve"> מסביר כי דומה הדבר לאדם שזורק אבן על הקיר , כיוון שהאבן איננה נכנסת לתוך הקיר הרי היא חוזרת אל הזורק. גם אדם שמוסר דינו לשמים מרבה חרון אף על העולם כולו וחלק מאותו כעס שמגיע חזרה לעולם , מגיע גם אליו ובאים עליו </w:t>
      </w:r>
      <w:proofErr w:type="spellStart"/>
      <w:r>
        <w:rPr>
          <w:rFonts w:hint="cs"/>
          <w:sz w:val="24"/>
          <w:szCs w:val="24"/>
          <w:rtl/>
        </w:rPr>
        <w:t>יסורים</w:t>
      </w:r>
      <w:proofErr w:type="spellEnd"/>
      <w:r>
        <w:rPr>
          <w:rFonts w:hint="cs"/>
          <w:sz w:val="24"/>
          <w:szCs w:val="24"/>
          <w:rtl/>
        </w:rPr>
        <w:t xml:space="preserve">. </w:t>
      </w:r>
    </w:p>
    <w:p w:rsidR="00A8176E" w:rsidRDefault="00A8176E" w:rsidP="005B6920">
      <w:pPr>
        <w:rPr>
          <w:sz w:val="24"/>
          <w:szCs w:val="24"/>
          <w:rtl/>
        </w:rPr>
      </w:pPr>
      <w:proofErr w:type="spellStart"/>
      <w:r w:rsidRPr="009D35AA">
        <w:rPr>
          <w:rFonts w:hint="cs"/>
          <w:b/>
          <w:bCs/>
          <w:sz w:val="24"/>
          <w:szCs w:val="24"/>
          <w:rtl/>
        </w:rPr>
        <w:t>בשו"ת</w:t>
      </w:r>
      <w:proofErr w:type="spellEnd"/>
      <w:r w:rsidRPr="009D35AA">
        <w:rPr>
          <w:rFonts w:hint="cs"/>
          <w:b/>
          <w:bCs/>
          <w:sz w:val="24"/>
          <w:szCs w:val="24"/>
          <w:rtl/>
        </w:rPr>
        <w:t xml:space="preserve"> בניין שלמה</w:t>
      </w:r>
      <w:r>
        <w:rPr>
          <w:rFonts w:hint="cs"/>
          <w:sz w:val="24"/>
          <w:szCs w:val="24"/>
          <w:rtl/>
        </w:rPr>
        <w:t xml:space="preserve"> (בקונטרס חידושי תורה) כותב רבי שלמה </w:t>
      </w:r>
      <w:proofErr w:type="spellStart"/>
      <w:r>
        <w:rPr>
          <w:rFonts w:hint="cs"/>
          <w:sz w:val="24"/>
          <w:szCs w:val="24"/>
          <w:rtl/>
        </w:rPr>
        <w:t>מוילנא</w:t>
      </w:r>
      <w:proofErr w:type="spellEnd"/>
      <w:r>
        <w:rPr>
          <w:rFonts w:hint="cs"/>
          <w:sz w:val="24"/>
          <w:szCs w:val="24"/>
          <w:rtl/>
        </w:rPr>
        <w:t xml:space="preserve"> כי על פי הגמרא שלנו אפשר לתרץ שינוי לשון בין שני פסוקים הנראים דומים:</w:t>
      </w:r>
    </w:p>
    <w:p w:rsidR="00A8176E" w:rsidRDefault="00A8176E" w:rsidP="00A8176E">
      <w:pPr>
        <w:rPr>
          <w:sz w:val="24"/>
          <w:szCs w:val="24"/>
          <w:rtl/>
        </w:rPr>
      </w:pPr>
      <w:r>
        <w:rPr>
          <w:rFonts w:cs="Arial" w:hint="cs"/>
          <w:b/>
          <w:bCs/>
          <w:sz w:val="24"/>
          <w:szCs w:val="24"/>
          <w:rtl/>
        </w:rPr>
        <w:t xml:space="preserve">שמות </w:t>
      </w:r>
      <w:proofErr w:type="spellStart"/>
      <w:r>
        <w:rPr>
          <w:rFonts w:cs="Arial" w:hint="cs"/>
          <w:b/>
          <w:bCs/>
          <w:sz w:val="24"/>
          <w:szCs w:val="24"/>
          <w:rtl/>
        </w:rPr>
        <w:t>כב</w:t>
      </w:r>
      <w:proofErr w:type="spellEnd"/>
      <w:r>
        <w:rPr>
          <w:rFonts w:cs="Arial" w:hint="cs"/>
          <w:b/>
          <w:bCs/>
          <w:sz w:val="24"/>
          <w:szCs w:val="24"/>
          <w:rtl/>
        </w:rPr>
        <w:t xml:space="preserve">, </w:t>
      </w:r>
      <w:proofErr w:type="spellStart"/>
      <w:r>
        <w:rPr>
          <w:rFonts w:cs="Arial" w:hint="cs"/>
          <w:b/>
          <w:bCs/>
          <w:sz w:val="24"/>
          <w:szCs w:val="24"/>
          <w:rtl/>
        </w:rPr>
        <w:t>כא-כג</w:t>
      </w:r>
      <w:proofErr w:type="spellEnd"/>
      <w:r>
        <w:rPr>
          <w:rFonts w:cs="Arial" w:hint="cs"/>
          <w:b/>
          <w:bCs/>
          <w:sz w:val="24"/>
          <w:szCs w:val="24"/>
          <w:rtl/>
        </w:rPr>
        <w:t xml:space="preserve">: </w:t>
      </w:r>
      <w:proofErr w:type="spellStart"/>
      <w:r w:rsidRPr="00A8176E">
        <w:rPr>
          <w:rFonts w:cs="Arial"/>
          <w:sz w:val="24"/>
          <w:szCs w:val="24"/>
          <w:rtl/>
        </w:rPr>
        <w:t>כָּל־אַלְמָנָ֥ה</w:t>
      </w:r>
      <w:proofErr w:type="spellEnd"/>
      <w:r w:rsidRPr="00A8176E">
        <w:rPr>
          <w:rFonts w:cs="Arial"/>
          <w:sz w:val="24"/>
          <w:szCs w:val="24"/>
          <w:rtl/>
        </w:rPr>
        <w:t xml:space="preserve"> וְיָת֖וֹם לֹ֥א תְעַנּֽוּן:</w:t>
      </w:r>
      <w:r>
        <w:rPr>
          <w:rFonts w:hint="cs"/>
          <w:sz w:val="24"/>
          <w:szCs w:val="24"/>
          <w:rtl/>
        </w:rPr>
        <w:t xml:space="preserve"> </w:t>
      </w:r>
      <w:proofErr w:type="spellStart"/>
      <w:r w:rsidRPr="00A8176E">
        <w:rPr>
          <w:rFonts w:cs="Arial"/>
          <w:sz w:val="24"/>
          <w:szCs w:val="24"/>
          <w:rtl/>
        </w:rPr>
        <w:t>אִם־עַנֵּ֥ה</w:t>
      </w:r>
      <w:proofErr w:type="spellEnd"/>
      <w:r w:rsidRPr="00A8176E">
        <w:rPr>
          <w:rFonts w:cs="Arial"/>
          <w:sz w:val="24"/>
          <w:szCs w:val="24"/>
          <w:rtl/>
        </w:rPr>
        <w:t xml:space="preserve"> תְעַנֶּ֖ה אֹת֑וֹ כִּ֣י </w:t>
      </w:r>
      <w:proofErr w:type="spellStart"/>
      <w:r w:rsidRPr="00A8176E">
        <w:rPr>
          <w:rFonts w:cs="Arial"/>
          <w:sz w:val="24"/>
          <w:szCs w:val="24"/>
          <w:rtl/>
        </w:rPr>
        <w:t>א</w:t>
      </w:r>
      <w:r w:rsidRPr="00A8176E">
        <w:rPr>
          <w:rFonts w:cs="Arial"/>
          <w:b/>
          <w:bCs/>
          <w:sz w:val="24"/>
          <w:szCs w:val="24"/>
          <w:rtl/>
        </w:rPr>
        <w:t>ִם־</w:t>
      </w:r>
      <w:r w:rsidRPr="00A8176E">
        <w:rPr>
          <w:rFonts w:cs="Arial"/>
          <w:sz w:val="24"/>
          <w:szCs w:val="24"/>
          <w:rtl/>
        </w:rPr>
        <w:t>צָעֹ֤ק</w:t>
      </w:r>
      <w:proofErr w:type="spellEnd"/>
      <w:r w:rsidRPr="00A8176E">
        <w:rPr>
          <w:rFonts w:cs="Arial"/>
          <w:sz w:val="24"/>
          <w:szCs w:val="24"/>
          <w:rtl/>
        </w:rPr>
        <w:t xml:space="preserve"> יִצְעַק֙ אֵלַ֔י שָׁמֹ֥עַ אֶשְׁמַ֖ע צַעֲקָתֽוֹ:</w:t>
      </w:r>
      <w:r>
        <w:rPr>
          <w:rFonts w:hint="cs"/>
          <w:sz w:val="24"/>
          <w:szCs w:val="24"/>
          <w:rtl/>
        </w:rPr>
        <w:t xml:space="preserve"> </w:t>
      </w:r>
      <w:r w:rsidRPr="00A8176E">
        <w:rPr>
          <w:rFonts w:cs="Arial"/>
          <w:sz w:val="24"/>
          <w:szCs w:val="24"/>
          <w:rtl/>
        </w:rPr>
        <w:t>וְחָרָ֣ה אַפִּ֔י וְהָרַגְתִּ֥י אֶתְכֶ֖ם בֶּחָ֑רֶב וְהָי֤וּ נְשֵׁיכֶם֙ אַלְמָנ֔וֹת וּבְנֵיכֶ֖ם יְתֹמִֽים:</w:t>
      </w:r>
    </w:p>
    <w:p w:rsidR="00A8176E" w:rsidRDefault="0086550E" w:rsidP="0086550E">
      <w:pPr>
        <w:rPr>
          <w:sz w:val="24"/>
          <w:szCs w:val="24"/>
          <w:rtl/>
        </w:rPr>
      </w:pPr>
      <w:r>
        <w:rPr>
          <w:rFonts w:hint="cs"/>
          <w:b/>
          <w:bCs/>
          <w:sz w:val="24"/>
          <w:szCs w:val="24"/>
          <w:rtl/>
        </w:rPr>
        <w:t xml:space="preserve">שמות </w:t>
      </w:r>
      <w:proofErr w:type="spellStart"/>
      <w:r>
        <w:rPr>
          <w:rFonts w:hint="cs"/>
          <w:b/>
          <w:bCs/>
          <w:sz w:val="24"/>
          <w:szCs w:val="24"/>
          <w:rtl/>
        </w:rPr>
        <w:t>כב</w:t>
      </w:r>
      <w:proofErr w:type="spellEnd"/>
      <w:r>
        <w:rPr>
          <w:rFonts w:hint="cs"/>
          <w:b/>
          <w:bCs/>
          <w:sz w:val="24"/>
          <w:szCs w:val="24"/>
          <w:rtl/>
        </w:rPr>
        <w:t>, כה-</w:t>
      </w:r>
      <w:proofErr w:type="spellStart"/>
      <w:r>
        <w:rPr>
          <w:rFonts w:hint="cs"/>
          <w:b/>
          <w:bCs/>
          <w:sz w:val="24"/>
          <w:szCs w:val="24"/>
          <w:rtl/>
        </w:rPr>
        <w:t>כו</w:t>
      </w:r>
      <w:proofErr w:type="spellEnd"/>
      <w:r>
        <w:rPr>
          <w:rFonts w:hint="cs"/>
          <w:b/>
          <w:bCs/>
          <w:sz w:val="24"/>
          <w:szCs w:val="24"/>
          <w:rtl/>
        </w:rPr>
        <w:t xml:space="preserve">: </w:t>
      </w:r>
      <w:r>
        <w:rPr>
          <w:rFonts w:hint="cs"/>
          <w:rtl/>
        </w:rPr>
        <w:t xml:space="preserve"> </w:t>
      </w:r>
      <w:proofErr w:type="spellStart"/>
      <w:r w:rsidRPr="0086550E">
        <w:rPr>
          <w:rFonts w:cs="Arial"/>
          <w:sz w:val="24"/>
          <w:szCs w:val="24"/>
          <w:rtl/>
        </w:rPr>
        <w:t>אִם־חָבֹ֥ל</w:t>
      </w:r>
      <w:proofErr w:type="spellEnd"/>
      <w:r w:rsidRPr="0086550E">
        <w:rPr>
          <w:rFonts w:cs="Arial"/>
          <w:sz w:val="24"/>
          <w:szCs w:val="24"/>
          <w:rtl/>
        </w:rPr>
        <w:t xml:space="preserve"> תַּחְבֹּ֖ל שַׂלְמַ֣ת רֵעֶ֑ךָ </w:t>
      </w:r>
      <w:proofErr w:type="spellStart"/>
      <w:r w:rsidRPr="0086550E">
        <w:rPr>
          <w:rFonts w:cs="Arial"/>
          <w:sz w:val="24"/>
          <w:szCs w:val="24"/>
          <w:rtl/>
        </w:rPr>
        <w:t>עַד־בֹּ֥א</w:t>
      </w:r>
      <w:proofErr w:type="spellEnd"/>
      <w:r w:rsidRPr="0086550E">
        <w:rPr>
          <w:rFonts w:cs="Arial"/>
          <w:sz w:val="24"/>
          <w:szCs w:val="24"/>
          <w:rtl/>
        </w:rPr>
        <w:t xml:space="preserve"> הַשֶּׁ֖מֶשׁ תְּשִׁיבֶ֥נּוּ לֽוֹ:</w:t>
      </w:r>
      <w:r w:rsidRPr="0086550E">
        <w:rPr>
          <w:rFonts w:hint="cs"/>
          <w:sz w:val="24"/>
          <w:szCs w:val="24"/>
          <w:rtl/>
        </w:rPr>
        <w:t xml:space="preserve"> </w:t>
      </w:r>
      <w:r w:rsidRPr="0086550E">
        <w:rPr>
          <w:rFonts w:cs="Arial"/>
          <w:sz w:val="24"/>
          <w:szCs w:val="24"/>
          <w:rtl/>
        </w:rPr>
        <w:t xml:space="preserve">כִּ֣י הִ֤וא כסותה כְסוּתוֹ֙ לְבַדָּ֔הּ הִ֥וא שִׂמְלָת֖וֹ </w:t>
      </w:r>
      <w:proofErr w:type="spellStart"/>
      <w:r w:rsidRPr="0086550E">
        <w:rPr>
          <w:rFonts w:cs="Arial"/>
          <w:sz w:val="24"/>
          <w:szCs w:val="24"/>
          <w:rtl/>
        </w:rPr>
        <w:t>לְעֹר֑ו</w:t>
      </w:r>
      <w:proofErr w:type="spellEnd"/>
      <w:r w:rsidRPr="0086550E">
        <w:rPr>
          <w:rFonts w:cs="Arial"/>
          <w:sz w:val="24"/>
          <w:szCs w:val="24"/>
          <w:rtl/>
        </w:rPr>
        <w:t>ֹ בַּמֶּ֣ה יִשְׁכָּ֔ב וְ</w:t>
      </w:r>
      <w:r w:rsidRPr="0086550E">
        <w:rPr>
          <w:rFonts w:cs="Arial"/>
          <w:b/>
          <w:bCs/>
          <w:sz w:val="24"/>
          <w:szCs w:val="24"/>
          <w:rtl/>
        </w:rPr>
        <w:t xml:space="preserve">הָיָה֙ </w:t>
      </w:r>
      <w:proofErr w:type="spellStart"/>
      <w:r w:rsidRPr="0086550E">
        <w:rPr>
          <w:rFonts w:cs="Arial"/>
          <w:sz w:val="24"/>
          <w:szCs w:val="24"/>
          <w:rtl/>
        </w:rPr>
        <w:t>כִּֽי־יִצְעַ֣ק</w:t>
      </w:r>
      <w:proofErr w:type="spellEnd"/>
      <w:r w:rsidRPr="0086550E">
        <w:rPr>
          <w:rFonts w:cs="Arial"/>
          <w:sz w:val="24"/>
          <w:szCs w:val="24"/>
          <w:rtl/>
        </w:rPr>
        <w:t xml:space="preserve"> אֵלַ֔י וְשָׁמַעְתִּ֖י כִּֽי־חַנּ֥וּן אָֽנִי:</w:t>
      </w:r>
    </w:p>
    <w:p w:rsidR="0086550E" w:rsidRDefault="0086550E" w:rsidP="0086550E">
      <w:pPr>
        <w:rPr>
          <w:sz w:val="24"/>
          <w:szCs w:val="24"/>
          <w:rtl/>
        </w:rPr>
      </w:pPr>
      <w:r>
        <w:rPr>
          <w:rFonts w:hint="cs"/>
          <w:sz w:val="24"/>
          <w:szCs w:val="24"/>
          <w:rtl/>
        </w:rPr>
        <w:t xml:space="preserve">היתום יכול ללכת לבית הדין , ואם מוסר דינו לשמים הרי הוא מביא חרון אף לעולם ולכן כתוב בלשון "אם צעק יצעק אלי" כלומר לא כך אמור להיות הדבר . אך לגבי אדם שלקח משכון ולא מחזיר אין אפשרות לתבוע אותו בבית דין בארץ (מאחר שמצוות עשה שמתן שכרה כתוב בתורה בית הדין לא דנים את המבטל אותה ) ולכן ללווה אין אפשרות לתבוע החזרת המשכון בארץ, ומותר לו למסור דינו לשמים ולכן כתוב "והיה כי יצעק אליי". </w:t>
      </w:r>
    </w:p>
    <w:p w:rsidR="009D35AA" w:rsidRDefault="009D35AA" w:rsidP="0086550E">
      <w:pPr>
        <w:rPr>
          <w:sz w:val="24"/>
          <w:szCs w:val="24"/>
          <w:rtl/>
        </w:rPr>
      </w:pPr>
      <w:r>
        <w:rPr>
          <w:rFonts w:hint="cs"/>
          <w:sz w:val="24"/>
          <w:szCs w:val="24"/>
          <w:rtl/>
        </w:rPr>
        <w:t xml:space="preserve">וכך כותב </w:t>
      </w:r>
      <w:r w:rsidRPr="009D35AA">
        <w:rPr>
          <w:rFonts w:hint="cs"/>
          <w:b/>
          <w:bCs/>
          <w:sz w:val="24"/>
          <w:szCs w:val="24"/>
          <w:rtl/>
        </w:rPr>
        <w:t>ה"פנים יפות"</w:t>
      </w:r>
      <w:r>
        <w:rPr>
          <w:rFonts w:hint="cs"/>
          <w:sz w:val="24"/>
          <w:szCs w:val="24"/>
          <w:rtl/>
        </w:rPr>
        <w:t xml:space="preserve"> (רבי פנחס הלוי הורביץ) על הפסוקים בספר דברים :</w:t>
      </w:r>
    </w:p>
    <w:p w:rsidR="009D35AA" w:rsidRDefault="009D35AA" w:rsidP="009D35AA">
      <w:pPr>
        <w:rPr>
          <w:sz w:val="24"/>
          <w:szCs w:val="24"/>
          <w:rtl/>
        </w:rPr>
      </w:pPr>
      <w:proofErr w:type="spellStart"/>
      <w:r w:rsidRPr="009D35AA">
        <w:rPr>
          <w:rFonts w:cs="Arial"/>
          <w:sz w:val="24"/>
          <w:szCs w:val="24"/>
          <w:rtl/>
        </w:rPr>
        <w:t>השמר</w:t>
      </w:r>
      <w:proofErr w:type="spellEnd"/>
      <w:r w:rsidRPr="009D35AA">
        <w:rPr>
          <w:rFonts w:cs="Arial"/>
          <w:sz w:val="24"/>
          <w:szCs w:val="24"/>
          <w:rtl/>
        </w:rPr>
        <w:t xml:space="preserve"> לך פן יהי' דבר עם לבבך </w:t>
      </w:r>
      <w:proofErr w:type="spellStart"/>
      <w:r w:rsidRPr="009D35AA">
        <w:rPr>
          <w:rFonts w:cs="Arial"/>
          <w:sz w:val="24"/>
          <w:szCs w:val="24"/>
          <w:rtl/>
        </w:rPr>
        <w:t>בליעל</w:t>
      </w:r>
      <w:proofErr w:type="spellEnd"/>
      <w:r w:rsidRPr="009D35AA">
        <w:rPr>
          <w:rFonts w:cs="Arial"/>
          <w:sz w:val="24"/>
          <w:szCs w:val="24"/>
          <w:rtl/>
        </w:rPr>
        <w:t xml:space="preserve"> לאמור קרבה וגו' ורעה עינך באחיך האביון וגו' וקרא עליך אל ד', והי' בך חטא</w:t>
      </w:r>
    </w:p>
    <w:p w:rsidR="009D35AA" w:rsidRDefault="009D35AA" w:rsidP="009D35AA">
      <w:pPr>
        <w:rPr>
          <w:sz w:val="24"/>
          <w:szCs w:val="24"/>
          <w:rtl/>
        </w:rPr>
      </w:pPr>
      <w:r>
        <w:rPr>
          <w:rFonts w:hint="cs"/>
          <w:sz w:val="24"/>
          <w:szCs w:val="24"/>
          <w:rtl/>
        </w:rPr>
        <w:t xml:space="preserve">כיוון שמצוות צדקה היא מצוות עשה שמתן שכרה כתוב בתורה , אין בית דין יכולים לדון את האדם המסרב לתת צדקה , ולכן אין לעני ברירה אלא "וקרא עליך אל ה'" ומכיוון שזה מותר , "והיה בך חטא" , ולא בעני שמסר דינו לשמים. </w:t>
      </w:r>
    </w:p>
    <w:p w:rsidR="009D35AA" w:rsidRDefault="009D35AA" w:rsidP="009D35AA">
      <w:pPr>
        <w:rPr>
          <w:sz w:val="24"/>
          <w:szCs w:val="24"/>
          <w:rtl/>
        </w:rPr>
      </w:pPr>
      <w:r>
        <w:rPr>
          <w:rFonts w:hint="cs"/>
          <w:sz w:val="24"/>
          <w:szCs w:val="24"/>
          <w:rtl/>
        </w:rPr>
        <w:t xml:space="preserve">מרן אינו מזכיר את ההלכה הזו , אך </w:t>
      </w:r>
      <w:proofErr w:type="spellStart"/>
      <w:r>
        <w:rPr>
          <w:rFonts w:hint="cs"/>
          <w:sz w:val="24"/>
          <w:szCs w:val="24"/>
          <w:rtl/>
        </w:rPr>
        <w:t>הרמ"א</w:t>
      </w:r>
      <w:proofErr w:type="spellEnd"/>
      <w:r>
        <w:rPr>
          <w:rFonts w:hint="cs"/>
          <w:sz w:val="24"/>
          <w:szCs w:val="24"/>
          <w:rtl/>
        </w:rPr>
        <w:t xml:space="preserve"> (</w:t>
      </w:r>
      <w:proofErr w:type="spellStart"/>
      <w:r>
        <w:rPr>
          <w:rFonts w:hint="cs"/>
          <w:sz w:val="24"/>
          <w:szCs w:val="24"/>
          <w:rtl/>
        </w:rPr>
        <w:t>חו"מ</w:t>
      </w:r>
      <w:proofErr w:type="spellEnd"/>
      <w:r>
        <w:rPr>
          <w:rFonts w:hint="cs"/>
          <w:sz w:val="24"/>
          <w:szCs w:val="24"/>
          <w:rtl/>
        </w:rPr>
        <w:t xml:space="preserve"> , </w:t>
      </w:r>
      <w:proofErr w:type="spellStart"/>
      <w:r>
        <w:rPr>
          <w:rFonts w:hint="cs"/>
          <w:sz w:val="24"/>
          <w:szCs w:val="24"/>
          <w:rtl/>
        </w:rPr>
        <w:t>תכב</w:t>
      </w:r>
      <w:proofErr w:type="spellEnd"/>
      <w:r>
        <w:rPr>
          <w:rFonts w:hint="cs"/>
          <w:sz w:val="24"/>
          <w:szCs w:val="24"/>
          <w:rtl/>
        </w:rPr>
        <w:t>, א) מביא שתי דעות :</w:t>
      </w:r>
    </w:p>
    <w:p w:rsidR="009D35AA" w:rsidRDefault="009D35AA" w:rsidP="009D35AA">
      <w:pPr>
        <w:rPr>
          <w:sz w:val="24"/>
          <w:szCs w:val="24"/>
          <w:rtl/>
        </w:rPr>
      </w:pPr>
      <w:r>
        <w:rPr>
          <w:rFonts w:hint="cs"/>
          <w:sz w:val="24"/>
          <w:szCs w:val="24"/>
          <w:rtl/>
        </w:rPr>
        <w:t>א. כאשר יש בית דין בארץ, אסור לאדם למסור דינו לשמים. אך כאשר אין בית דין בארץ- מותר</w:t>
      </w:r>
    </w:p>
    <w:p w:rsidR="009D35AA" w:rsidRDefault="009D35AA" w:rsidP="008D2D81">
      <w:pPr>
        <w:rPr>
          <w:sz w:val="24"/>
          <w:szCs w:val="24"/>
          <w:rtl/>
        </w:rPr>
      </w:pPr>
      <w:r>
        <w:rPr>
          <w:rFonts w:hint="cs"/>
          <w:sz w:val="24"/>
          <w:szCs w:val="24"/>
          <w:rtl/>
        </w:rPr>
        <w:lastRenderedPageBreak/>
        <w:t xml:space="preserve">ב. גם כאשר אין בית דין בארץ, צריך קודם התובע לדרוש מהנתבע לתקן את המעוות ורק אם הוא מסרב, מותר למסור דינו לשמים. </w:t>
      </w:r>
    </w:p>
    <w:p w:rsidR="008D2D81" w:rsidRDefault="008D2D81" w:rsidP="008D2D81">
      <w:pPr>
        <w:rPr>
          <w:sz w:val="24"/>
          <w:szCs w:val="24"/>
          <w:rtl/>
        </w:rPr>
      </w:pPr>
      <w:r>
        <w:rPr>
          <w:rFonts w:hint="cs"/>
          <w:sz w:val="24"/>
          <w:szCs w:val="24"/>
          <w:rtl/>
        </w:rPr>
        <w:t xml:space="preserve">שתי הדעות </w:t>
      </w:r>
      <w:proofErr w:type="spellStart"/>
      <w:r>
        <w:rPr>
          <w:rFonts w:hint="cs"/>
          <w:sz w:val="24"/>
          <w:szCs w:val="24"/>
          <w:rtl/>
        </w:rPr>
        <w:t>ברמ"א</w:t>
      </w:r>
      <w:proofErr w:type="spellEnd"/>
      <w:r>
        <w:rPr>
          <w:rFonts w:hint="cs"/>
          <w:sz w:val="24"/>
          <w:szCs w:val="24"/>
          <w:rtl/>
        </w:rPr>
        <w:t xml:space="preserve"> הן בעצם שני תירוצי הר" במסכת ראש השנה לשאלה מדוע נענשה שרה הרי לא היה בית דין ללכת אליו בימיה ואם כן מותר לה למסור דינה לשמים.</w:t>
      </w:r>
    </w:p>
    <w:p w:rsidR="008D2D81" w:rsidRDefault="008D2D81" w:rsidP="008D2D81">
      <w:pPr>
        <w:rPr>
          <w:sz w:val="24"/>
          <w:szCs w:val="24"/>
          <w:rtl/>
        </w:rPr>
      </w:pPr>
      <w:r>
        <w:rPr>
          <w:rFonts w:hint="cs"/>
          <w:sz w:val="24"/>
          <w:szCs w:val="24"/>
          <w:rtl/>
        </w:rPr>
        <w:t xml:space="preserve">התירוץ הראשון של </w:t>
      </w:r>
      <w:proofErr w:type="spellStart"/>
      <w:r>
        <w:rPr>
          <w:rFonts w:hint="cs"/>
          <w:sz w:val="24"/>
          <w:szCs w:val="24"/>
          <w:rtl/>
        </w:rPr>
        <w:t>הר"ן</w:t>
      </w:r>
      <w:proofErr w:type="spellEnd"/>
      <w:r>
        <w:rPr>
          <w:rFonts w:hint="cs"/>
          <w:sz w:val="24"/>
          <w:szCs w:val="24"/>
          <w:rtl/>
        </w:rPr>
        <w:t xml:space="preserve"> הוא שהיה בית הדין של שם ועבר בימיה והייתה צריכה ללכת אליהם</w:t>
      </w:r>
    </w:p>
    <w:p w:rsidR="008D2D81" w:rsidRDefault="008D2D81" w:rsidP="008D2D81">
      <w:pPr>
        <w:rPr>
          <w:sz w:val="24"/>
          <w:szCs w:val="24"/>
          <w:rtl/>
        </w:rPr>
      </w:pPr>
      <w:r>
        <w:rPr>
          <w:rFonts w:hint="cs"/>
          <w:sz w:val="24"/>
          <w:szCs w:val="24"/>
          <w:rtl/>
        </w:rPr>
        <w:t xml:space="preserve">התירוץ השני כי גם כאשר אין בית דין בארץ, צריך ללכת התובע קודם לנתבע ולדרוש ממנו את תיקון העוול. ואילו שרה מסרה דינה לשמים בטרם פנתה לאברהם ודרשה ממנו תיקון המעוות. </w:t>
      </w:r>
    </w:p>
    <w:p w:rsidR="002B6452" w:rsidRDefault="002B6452" w:rsidP="009D35AA">
      <w:pPr>
        <w:rPr>
          <w:sz w:val="24"/>
          <w:szCs w:val="24"/>
          <w:rtl/>
        </w:rPr>
      </w:pPr>
      <w:r w:rsidRPr="002B6452">
        <w:rPr>
          <w:rFonts w:hint="cs"/>
          <w:b/>
          <w:bCs/>
          <w:sz w:val="24"/>
          <w:szCs w:val="24"/>
          <w:rtl/>
        </w:rPr>
        <w:t>הערוך השולחן</w:t>
      </w:r>
      <w:r>
        <w:rPr>
          <w:rFonts w:hint="cs"/>
          <w:sz w:val="24"/>
          <w:szCs w:val="24"/>
          <w:rtl/>
        </w:rPr>
        <w:t xml:space="preserve"> (סעיף ג) מוסיף כי כאשר הנתבע לא מציית לפסק הדין של בית הדין, מותר אז למסור את דינו לשמים. </w:t>
      </w:r>
    </w:p>
    <w:p w:rsidR="006635BF" w:rsidRDefault="006635BF" w:rsidP="006635BF">
      <w:pPr>
        <w:rPr>
          <w:sz w:val="24"/>
          <w:szCs w:val="24"/>
          <w:rtl/>
        </w:rPr>
      </w:pPr>
      <w:r>
        <w:rPr>
          <w:rFonts w:hint="cs"/>
          <w:sz w:val="24"/>
          <w:szCs w:val="24"/>
          <w:rtl/>
        </w:rPr>
        <w:t xml:space="preserve">ועתה יש להקשות מדברי דוד המלך לשאול (שמואל א, כד, </w:t>
      </w:r>
      <w:proofErr w:type="spellStart"/>
      <w:r>
        <w:rPr>
          <w:rFonts w:hint="cs"/>
          <w:sz w:val="24"/>
          <w:szCs w:val="24"/>
          <w:rtl/>
        </w:rPr>
        <w:t>יב</w:t>
      </w:r>
      <w:proofErr w:type="spellEnd"/>
      <w:r>
        <w:rPr>
          <w:rFonts w:hint="cs"/>
          <w:sz w:val="24"/>
          <w:szCs w:val="24"/>
          <w:rtl/>
        </w:rPr>
        <w:t>)</w:t>
      </w:r>
    </w:p>
    <w:p w:rsidR="006635BF" w:rsidRDefault="006635BF" w:rsidP="006635BF">
      <w:pPr>
        <w:rPr>
          <w:sz w:val="24"/>
          <w:szCs w:val="24"/>
          <w:rtl/>
        </w:rPr>
      </w:pPr>
      <w:proofErr w:type="spellStart"/>
      <w:r w:rsidRPr="006635BF">
        <w:rPr>
          <w:rFonts w:cs="Arial"/>
          <w:sz w:val="24"/>
          <w:szCs w:val="24"/>
          <w:rtl/>
        </w:rPr>
        <w:t>יִשְׁפֹּ֤ט</w:t>
      </w:r>
      <w:proofErr w:type="spellEnd"/>
      <w:r w:rsidRPr="006635BF">
        <w:rPr>
          <w:rFonts w:cs="Arial"/>
          <w:sz w:val="24"/>
          <w:szCs w:val="24"/>
          <w:rtl/>
        </w:rPr>
        <w:t xml:space="preserve"> </w:t>
      </w:r>
      <w:proofErr w:type="spellStart"/>
      <w:r w:rsidRPr="006635BF">
        <w:rPr>
          <w:rFonts w:cs="Arial"/>
          <w:sz w:val="24"/>
          <w:szCs w:val="24"/>
          <w:rtl/>
        </w:rPr>
        <w:t>יְקֹוָק</w:t>
      </w:r>
      <w:proofErr w:type="spellEnd"/>
      <w:r w:rsidRPr="006635BF">
        <w:rPr>
          <w:rFonts w:cs="Arial"/>
          <w:sz w:val="24"/>
          <w:szCs w:val="24"/>
          <w:rtl/>
        </w:rPr>
        <w:t xml:space="preserve">֙ בֵּינִ֣י וּבֵינֶ֔ךָ וּנְקָמַ֥נִי </w:t>
      </w:r>
      <w:proofErr w:type="spellStart"/>
      <w:r w:rsidRPr="006635BF">
        <w:rPr>
          <w:rFonts w:cs="Arial"/>
          <w:sz w:val="24"/>
          <w:szCs w:val="24"/>
          <w:rtl/>
        </w:rPr>
        <w:t>יְקֹוָ֖ק</w:t>
      </w:r>
      <w:proofErr w:type="spellEnd"/>
      <w:r w:rsidRPr="006635BF">
        <w:rPr>
          <w:rFonts w:cs="Arial"/>
          <w:sz w:val="24"/>
          <w:szCs w:val="24"/>
          <w:rtl/>
        </w:rPr>
        <w:t xml:space="preserve"> מִמֶּ֑ךָּ וְיָדִ֖י לֹ֥א </w:t>
      </w:r>
      <w:proofErr w:type="spellStart"/>
      <w:r w:rsidRPr="006635BF">
        <w:rPr>
          <w:rFonts w:cs="Arial"/>
          <w:sz w:val="24"/>
          <w:szCs w:val="24"/>
          <w:rtl/>
        </w:rPr>
        <w:t>תִֽהְיֶה־בָּֽך</w:t>
      </w:r>
      <w:proofErr w:type="spellEnd"/>
      <w:r w:rsidRPr="006635BF">
        <w:rPr>
          <w:rFonts w:cs="Arial"/>
          <w:sz w:val="24"/>
          <w:szCs w:val="24"/>
          <w:rtl/>
        </w:rPr>
        <w:t>ְ:</w:t>
      </w:r>
    </w:p>
    <w:p w:rsidR="006635BF" w:rsidRDefault="006635BF" w:rsidP="006635BF">
      <w:pPr>
        <w:rPr>
          <w:sz w:val="24"/>
          <w:szCs w:val="24"/>
          <w:rtl/>
        </w:rPr>
      </w:pPr>
      <w:r>
        <w:rPr>
          <w:rFonts w:hint="cs"/>
          <w:sz w:val="24"/>
          <w:szCs w:val="24"/>
          <w:rtl/>
        </w:rPr>
        <w:t xml:space="preserve">וכן מצאנו שרבי אלעזר מייעץ למר </w:t>
      </w:r>
      <w:proofErr w:type="spellStart"/>
      <w:r>
        <w:rPr>
          <w:rFonts w:hint="cs"/>
          <w:sz w:val="24"/>
          <w:szCs w:val="24"/>
          <w:rtl/>
        </w:rPr>
        <w:t>עוקבא</w:t>
      </w:r>
      <w:proofErr w:type="spellEnd"/>
      <w:r>
        <w:rPr>
          <w:rFonts w:hint="cs"/>
          <w:sz w:val="24"/>
          <w:szCs w:val="24"/>
          <w:rtl/>
        </w:rPr>
        <w:t xml:space="preserve"> המתלונן על בני אדם שמציקים לו, למסור את דינם לשמים (גיטין ז, א)</w:t>
      </w:r>
    </w:p>
    <w:p w:rsidR="006635BF" w:rsidRDefault="006635BF" w:rsidP="006635BF">
      <w:pPr>
        <w:rPr>
          <w:sz w:val="24"/>
          <w:szCs w:val="24"/>
          <w:rtl/>
        </w:rPr>
      </w:pPr>
      <w:r>
        <w:rPr>
          <w:rFonts w:hint="cs"/>
          <w:sz w:val="24"/>
          <w:szCs w:val="24"/>
          <w:rtl/>
        </w:rPr>
        <w:t xml:space="preserve">התוספות מקשים קושיה זו ומתרצים כי מדובר היה בבני אדם שאי אפשר להתמודד עמם בית הדין ולכן מותר היה למסור את דינם לשמים. על פי דברי התוספות הללו, תירץ </w:t>
      </w:r>
      <w:r w:rsidRPr="00CA243A">
        <w:rPr>
          <w:rFonts w:hint="cs"/>
          <w:b/>
          <w:bCs/>
          <w:sz w:val="24"/>
          <w:szCs w:val="24"/>
          <w:rtl/>
        </w:rPr>
        <w:t>רבי יצחק חדש</w:t>
      </w:r>
      <w:r>
        <w:rPr>
          <w:rFonts w:hint="cs"/>
          <w:sz w:val="24"/>
          <w:szCs w:val="24"/>
          <w:rtl/>
        </w:rPr>
        <w:t xml:space="preserve">, כי מכיוון ששאול היה מלך והמלך על פי ההלכה לא דן ולא דנים אותו, לא הייתה לדוד אפשרות לתבוע את שאול בבית דין של מטה ולכן היה מותר לו למסור דינו לשמים. </w:t>
      </w:r>
    </w:p>
    <w:p w:rsidR="00CA243A" w:rsidRDefault="00CA243A" w:rsidP="006635BF">
      <w:pPr>
        <w:rPr>
          <w:sz w:val="24"/>
          <w:szCs w:val="24"/>
          <w:rtl/>
        </w:rPr>
      </w:pPr>
      <w:r>
        <w:rPr>
          <w:rFonts w:hint="cs"/>
          <w:sz w:val="24"/>
          <w:szCs w:val="24"/>
          <w:rtl/>
        </w:rPr>
        <w:t xml:space="preserve">ונסיים בדברי </w:t>
      </w:r>
      <w:r w:rsidRPr="00CA243A">
        <w:rPr>
          <w:rFonts w:hint="cs"/>
          <w:b/>
          <w:bCs/>
          <w:sz w:val="24"/>
          <w:szCs w:val="24"/>
          <w:rtl/>
        </w:rPr>
        <w:t>רבי יהודה החסיד</w:t>
      </w:r>
      <w:r>
        <w:rPr>
          <w:rFonts w:hint="cs"/>
          <w:sz w:val="24"/>
          <w:szCs w:val="24"/>
          <w:rtl/>
        </w:rPr>
        <w:t xml:space="preserve"> בספר חסידים (סימן </w:t>
      </w:r>
      <w:proofErr w:type="spellStart"/>
      <w:r>
        <w:rPr>
          <w:rFonts w:hint="cs"/>
          <w:sz w:val="24"/>
          <w:szCs w:val="24"/>
          <w:rtl/>
        </w:rPr>
        <w:t>עו</w:t>
      </w:r>
      <w:proofErr w:type="spellEnd"/>
      <w:r>
        <w:rPr>
          <w:rFonts w:hint="cs"/>
          <w:sz w:val="24"/>
          <w:szCs w:val="24"/>
          <w:rtl/>
        </w:rPr>
        <w:t>)</w:t>
      </w:r>
    </w:p>
    <w:p w:rsidR="00CA243A" w:rsidRPr="00CA243A" w:rsidRDefault="00CA243A" w:rsidP="00CA243A">
      <w:pPr>
        <w:rPr>
          <w:sz w:val="24"/>
          <w:szCs w:val="24"/>
          <w:rtl/>
        </w:rPr>
      </w:pPr>
      <w:r w:rsidRPr="00CA243A">
        <w:rPr>
          <w:sz w:val="24"/>
          <w:szCs w:val="24"/>
          <w:rtl/>
        </w:rPr>
        <w:t xml:space="preserve">אל תעניש ישראל ואל תקללו אך התפלל עליו שישלים הקב"ה לבו ויחזירהו למוטב ואל תמסור עליו דין </w:t>
      </w:r>
      <w:proofErr w:type="spellStart"/>
      <w:r w:rsidRPr="00CA243A">
        <w:rPr>
          <w:sz w:val="24"/>
          <w:szCs w:val="24"/>
          <w:rtl/>
        </w:rPr>
        <w:t>לאמר</w:t>
      </w:r>
      <w:proofErr w:type="spellEnd"/>
      <w:r w:rsidRPr="00CA243A">
        <w:rPr>
          <w:sz w:val="24"/>
          <w:szCs w:val="24"/>
          <w:rtl/>
        </w:rPr>
        <w:t xml:space="preserve"> הצור </w:t>
      </w:r>
      <w:proofErr w:type="spellStart"/>
      <w:r w:rsidRPr="00CA243A">
        <w:rPr>
          <w:sz w:val="24"/>
          <w:szCs w:val="24"/>
          <w:rtl/>
        </w:rPr>
        <w:t>ינקמנו</w:t>
      </w:r>
      <w:proofErr w:type="spellEnd"/>
      <w:r w:rsidRPr="00CA243A">
        <w:rPr>
          <w:sz w:val="24"/>
          <w:szCs w:val="24"/>
          <w:rtl/>
        </w:rPr>
        <w:t xml:space="preserve"> מידו וישיב לעושה הרע כרעתו כי כל המוסר דין על </w:t>
      </w:r>
      <w:proofErr w:type="spellStart"/>
      <w:r w:rsidRPr="00CA243A">
        <w:rPr>
          <w:sz w:val="24"/>
          <w:szCs w:val="24"/>
          <w:rtl/>
        </w:rPr>
        <w:t>חבירו</w:t>
      </w:r>
      <w:proofErr w:type="spellEnd"/>
      <w:r w:rsidRPr="00CA243A">
        <w:rPr>
          <w:sz w:val="24"/>
          <w:szCs w:val="24"/>
          <w:rtl/>
        </w:rPr>
        <w:t xml:space="preserve"> באה מדת הדין לפני הקדוש ברוך הוא ואומרת </w:t>
      </w:r>
      <w:proofErr w:type="spellStart"/>
      <w:r w:rsidRPr="00CA243A">
        <w:rPr>
          <w:sz w:val="24"/>
          <w:szCs w:val="24"/>
          <w:rtl/>
        </w:rPr>
        <w:t>רבונו</w:t>
      </w:r>
      <w:proofErr w:type="spellEnd"/>
      <w:r w:rsidRPr="00CA243A">
        <w:rPr>
          <w:sz w:val="24"/>
          <w:szCs w:val="24"/>
          <w:rtl/>
        </w:rPr>
        <w:t xml:space="preserve"> של עולם לזה תעשה דין ראוי הוא שתעניש זה על כך וכך כללו של דבר אל תקלל שום אדם כי פעמים רבות הקללות חוזרות וחלות כולן על ראשו ועל זרעו שכן מצינו שכל הקללות שקלל דוד את יואב נתקיימו בזרעו. אל תשנא את </w:t>
      </w:r>
      <w:proofErr w:type="spellStart"/>
      <w:r w:rsidRPr="00CA243A">
        <w:rPr>
          <w:sz w:val="24"/>
          <w:szCs w:val="24"/>
          <w:rtl/>
        </w:rPr>
        <w:t>חבירך</w:t>
      </w:r>
      <w:proofErr w:type="spellEnd"/>
      <w:r w:rsidRPr="00CA243A">
        <w:rPr>
          <w:sz w:val="24"/>
          <w:szCs w:val="24"/>
          <w:rtl/>
        </w:rPr>
        <w:t xml:space="preserve"> מפני אהבת </w:t>
      </w:r>
      <w:proofErr w:type="spellStart"/>
      <w:r w:rsidRPr="00CA243A">
        <w:rPr>
          <w:sz w:val="24"/>
          <w:szCs w:val="24"/>
          <w:rtl/>
        </w:rPr>
        <w:t>חבירך</w:t>
      </w:r>
      <w:proofErr w:type="spellEnd"/>
      <w:r w:rsidRPr="00CA243A">
        <w:rPr>
          <w:sz w:val="24"/>
          <w:szCs w:val="24"/>
          <w:rtl/>
        </w:rPr>
        <w:t xml:space="preserve"> השונא אותו כי אין לשנוא אלא מי שהקב"ה שונאו ועוד פעמים שיתפייסו שניהם והוא לא יתפייס עמך כי שנאתך </w:t>
      </w:r>
      <w:proofErr w:type="spellStart"/>
      <w:r w:rsidRPr="00CA243A">
        <w:rPr>
          <w:sz w:val="24"/>
          <w:szCs w:val="24"/>
          <w:rtl/>
        </w:rPr>
        <w:t>היתה</w:t>
      </w:r>
      <w:proofErr w:type="spellEnd"/>
      <w:r w:rsidRPr="00CA243A">
        <w:rPr>
          <w:sz w:val="24"/>
          <w:szCs w:val="24"/>
          <w:rtl/>
        </w:rPr>
        <w:t xml:space="preserve"> חנם ואל תהי בז לכל אדם שאין לך אדם שאין לו שעה</w:t>
      </w:r>
      <w:r w:rsidRPr="00CA243A">
        <w:rPr>
          <w:sz w:val="24"/>
          <w:szCs w:val="24"/>
        </w:rPr>
        <w:t>:</w:t>
      </w:r>
    </w:p>
    <w:p w:rsidR="009D35AA" w:rsidRPr="009D35AA" w:rsidRDefault="009D35AA" w:rsidP="009D35AA">
      <w:pPr>
        <w:rPr>
          <w:sz w:val="24"/>
          <w:szCs w:val="24"/>
        </w:rPr>
      </w:pPr>
    </w:p>
    <w:sectPr w:rsidR="009D35AA" w:rsidRPr="009D35AA"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9F8" w:rsidRDefault="00F239F8" w:rsidP="00A8176E">
      <w:pPr>
        <w:spacing w:after="0" w:line="240" w:lineRule="auto"/>
      </w:pPr>
      <w:r>
        <w:separator/>
      </w:r>
    </w:p>
  </w:endnote>
  <w:endnote w:type="continuationSeparator" w:id="0">
    <w:p w:rsidR="00F239F8" w:rsidRDefault="00F239F8" w:rsidP="00A8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9F8" w:rsidRDefault="00F239F8" w:rsidP="00A8176E">
      <w:pPr>
        <w:spacing w:after="0" w:line="240" w:lineRule="auto"/>
      </w:pPr>
      <w:r>
        <w:separator/>
      </w:r>
    </w:p>
  </w:footnote>
  <w:footnote w:type="continuationSeparator" w:id="0">
    <w:p w:rsidR="00F239F8" w:rsidRDefault="00F239F8" w:rsidP="00A8176E">
      <w:pPr>
        <w:spacing w:after="0" w:line="240" w:lineRule="auto"/>
      </w:pPr>
      <w:r>
        <w:continuationSeparator/>
      </w:r>
    </w:p>
  </w:footnote>
  <w:footnote w:id="1">
    <w:p w:rsidR="00A8176E" w:rsidRDefault="00A8176E">
      <w:pPr>
        <w:pStyle w:val="a3"/>
        <w:rPr>
          <w:rtl/>
        </w:rPr>
      </w:pPr>
      <w:r>
        <w:rPr>
          <w:rStyle w:val="a5"/>
        </w:rPr>
        <w:footnoteRef/>
      </w:r>
      <w:r>
        <w:rPr>
          <w:rtl/>
        </w:rPr>
        <w:t xml:space="preserve"> </w:t>
      </w:r>
      <w:r>
        <w:rPr>
          <w:rFonts w:hint="cs"/>
          <w:rtl/>
        </w:rPr>
        <w:t>כלומר רק במקרה שיש אפשרות ללכת לבית דין בארץ, אך אם אין אפשרות מותר למסור דינו לשמים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20"/>
    <w:rsid w:val="002B6452"/>
    <w:rsid w:val="005B6920"/>
    <w:rsid w:val="006635BF"/>
    <w:rsid w:val="00833F95"/>
    <w:rsid w:val="0086550E"/>
    <w:rsid w:val="008D2D81"/>
    <w:rsid w:val="00905C59"/>
    <w:rsid w:val="009D35AA"/>
    <w:rsid w:val="00A10794"/>
    <w:rsid w:val="00A8176E"/>
    <w:rsid w:val="00BB545D"/>
    <w:rsid w:val="00CA243A"/>
    <w:rsid w:val="00D87CA9"/>
    <w:rsid w:val="00F239F8"/>
    <w:rsid w:val="00FE06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44F9"/>
  <w15:chartTrackingRefBased/>
  <w15:docId w15:val="{E4425016-5CC1-4FD9-BA91-9612FE4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176E"/>
    <w:pPr>
      <w:spacing w:after="0" w:line="240" w:lineRule="auto"/>
    </w:pPr>
    <w:rPr>
      <w:sz w:val="20"/>
      <w:szCs w:val="20"/>
    </w:rPr>
  </w:style>
  <w:style w:type="character" w:customStyle="1" w:styleId="a4">
    <w:name w:val="טקסט הערת שוליים תו"/>
    <w:basedOn w:val="a0"/>
    <w:link w:val="a3"/>
    <w:uiPriority w:val="99"/>
    <w:semiHidden/>
    <w:rsid w:val="00A8176E"/>
    <w:rPr>
      <w:sz w:val="20"/>
      <w:szCs w:val="20"/>
    </w:rPr>
  </w:style>
  <w:style w:type="character" w:styleId="a5">
    <w:name w:val="footnote reference"/>
    <w:basedOn w:val="a0"/>
    <w:uiPriority w:val="99"/>
    <w:semiHidden/>
    <w:unhideWhenUsed/>
    <w:rsid w:val="00A81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831F-1776-4733-A0D3-708C4FA5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712</Words>
  <Characters>3560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2023-08-28T13:58:00Z</dcterms:created>
  <dcterms:modified xsi:type="dcterms:W3CDTF">2023-10-15T18:46:00Z</dcterms:modified>
</cp:coreProperties>
</file>