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5F" w:rsidRDefault="00C663F4">
      <w:pPr>
        <w:rPr>
          <w:rtl/>
        </w:rPr>
      </w:pPr>
      <w:r>
        <w:rPr>
          <w:rFonts w:hint="cs"/>
          <w:rtl/>
        </w:rPr>
        <w:t>בס"ד</w:t>
      </w:r>
    </w:p>
    <w:p w:rsidR="00C663F4" w:rsidRDefault="001F05ED" w:rsidP="001F05ED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663F4">
        <w:rPr>
          <w:rFonts w:hint="cs"/>
          <w:b/>
          <w:bCs/>
          <w:sz w:val="28"/>
          <w:szCs w:val="28"/>
          <w:rtl/>
        </w:rPr>
        <w:t>חתול מותר להורגו ..ואין בו משום גזל</w:t>
      </w:r>
      <w:r>
        <w:rPr>
          <w:rFonts w:hint="cs"/>
          <w:b/>
          <w:bCs/>
          <w:sz w:val="28"/>
          <w:szCs w:val="28"/>
          <w:rtl/>
        </w:rPr>
        <w:t>- דף פ, ב</w:t>
      </w:r>
    </w:p>
    <w:p w:rsidR="001F05ED" w:rsidRDefault="001F05ED" w:rsidP="001F05E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4"/>
          <w:szCs w:val="24"/>
          <w:rtl/>
        </w:rPr>
        <w:t>הרב משה חיים הר-נוי</w:t>
      </w:r>
    </w:p>
    <w:p w:rsidR="00702352" w:rsidRDefault="0070235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בתחילת הדברים יש לציין כי מדובר בגמרא בחתול מסוכן שעל פי חלק מפוסקי ההלכה גם פגע כבר בבני אדם. </w:t>
      </w:r>
    </w:p>
    <w:p w:rsidR="00C663F4" w:rsidRDefault="00C663F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תוספות ד"ה "אמר </w:t>
      </w:r>
      <w:proofErr w:type="spellStart"/>
      <w:r>
        <w:rPr>
          <w:rFonts w:hint="cs"/>
          <w:sz w:val="24"/>
          <w:szCs w:val="24"/>
          <w:rtl/>
        </w:rPr>
        <w:t>רבינא</w:t>
      </w:r>
      <w:proofErr w:type="spellEnd"/>
      <w:r>
        <w:rPr>
          <w:rFonts w:hint="cs"/>
          <w:sz w:val="24"/>
          <w:szCs w:val="24"/>
          <w:rtl/>
        </w:rPr>
        <w:t xml:space="preserve"> לעורו" תמה מדוע </w:t>
      </w:r>
      <w:proofErr w:type="spellStart"/>
      <w:r>
        <w:rPr>
          <w:rFonts w:hint="cs"/>
          <w:sz w:val="24"/>
          <w:szCs w:val="24"/>
          <w:rtl/>
        </w:rPr>
        <w:t>מייד</w:t>
      </w:r>
      <w:proofErr w:type="spellEnd"/>
      <w:r>
        <w:rPr>
          <w:rFonts w:hint="cs"/>
          <w:sz w:val="24"/>
          <w:szCs w:val="24"/>
          <w:rtl/>
        </w:rPr>
        <w:t xml:space="preserve"> כאשר ציטטה הגמרא את דברי רב המובאים בכותרת. לא שאלה הגמרא המה החידוש? הרי אם מותר להורגו פשיטא שאין בו משום גזל ולא דין השבת </w:t>
      </w:r>
      <w:proofErr w:type="spellStart"/>
      <w:r>
        <w:rPr>
          <w:rFonts w:hint="cs"/>
          <w:sz w:val="24"/>
          <w:szCs w:val="24"/>
          <w:rtl/>
        </w:rPr>
        <w:t>אבידה</w:t>
      </w:r>
      <w:proofErr w:type="spellEnd"/>
      <w:r>
        <w:rPr>
          <w:rFonts w:hint="cs"/>
          <w:sz w:val="24"/>
          <w:szCs w:val="24"/>
          <w:rtl/>
        </w:rPr>
        <w:t xml:space="preserve">. וענו התוספות כי אם היה כתוב קודם שאין בו משום גזל ואחר כך שמותר להורגו אכן הייתה קושיה אך בסדר הזה זהו כלל ותוצאה: כיוון שמותר להורגו </w:t>
      </w:r>
      <w:r>
        <w:rPr>
          <w:rFonts w:hint="cs"/>
          <w:b/>
          <w:bCs/>
          <w:sz w:val="24"/>
          <w:szCs w:val="24"/>
          <w:rtl/>
        </w:rPr>
        <w:t xml:space="preserve">לכן </w:t>
      </w:r>
      <w:r>
        <w:rPr>
          <w:rFonts w:hint="cs"/>
          <w:sz w:val="24"/>
          <w:szCs w:val="24"/>
          <w:rtl/>
        </w:rPr>
        <w:t xml:space="preserve">אין בו משום גזל. </w:t>
      </w:r>
    </w:p>
    <w:p w:rsidR="000C0545" w:rsidRDefault="000C0545">
      <w:pPr>
        <w:rPr>
          <w:sz w:val="24"/>
          <w:szCs w:val="24"/>
          <w:rtl/>
        </w:rPr>
      </w:pPr>
      <w:r w:rsidRPr="00A713D7">
        <w:rPr>
          <w:rFonts w:hint="cs"/>
          <w:b/>
          <w:bCs/>
          <w:sz w:val="24"/>
          <w:szCs w:val="24"/>
          <w:rtl/>
        </w:rPr>
        <w:t xml:space="preserve">גיליון </w:t>
      </w:r>
      <w:proofErr w:type="spellStart"/>
      <w:r w:rsidRPr="00A713D7">
        <w:rPr>
          <w:rFonts w:hint="cs"/>
          <w:b/>
          <w:bCs/>
          <w:sz w:val="24"/>
          <w:szCs w:val="24"/>
          <w:rtl/>
        </w:rPr>
        <w:t>הש"ס</w:t>
      </w:r>
      <w:proofErr w:type="spellEnd"/>
      <w:r>
        <w:rPr>
          <w:rFonts w:hint="cs"/>
          <w:sz w:val="24"/>
          <w:szCs w:val="24"/>
          <w:rtl/>
        </w:rPr>
        <w:t xml:space="preserve"> מפנה לשני מקורות .</w:t>
      </w:r>
      <w:r w:rsidR="00FE188C">
        <w:rPr>
          <w:rFonts w:hint="cs"/>
          <w:sz w:val="24"/>
          <w:szCs w:val="24"/>
          <w:rtl/>
        </w:rPr>
        <w:t xml:space="preserve">  </w:t>
      </w:r>
    </w:p>
    <w:p w:rsidR="000C0545" w:rsidRDefault="000C0545" w:rsidP="00C0470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א. </w:t>
      </w:r>
      <w:r>
        <w:rPr>
          <w:rFonts w:hint="cs"/>
          <w:b/>
          <w:bCs/>
          <w:sz w:val="24"/>
          <w:szCs w:val="24"/>
          <w:rtl/>
        </w:rPr>
        <w:t xml:space="preserve">שו"ת </w:t>
      </w:r>
      <w:proofErr w:type="spellStart"/>
      <w:r>
        <w:rPr>
          <w:rFonts w:hint="cs"/>
          <w:b/>
          <w:bCs/>
          <w:sz w:val="24"/>
          <w:szCs w:val="24"/>
          <w:rtl/>
        </w:rPr>
        <w:t>מהרשד"ם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(חלק יו"ד, סימן </w:t>
      </w:r>
      <w:proofErr w:type="spellStart"/>
      <w:r>
        <w:rPr>
          <w:rFonts w:hint="cs"/>
          <w:b/>
          <w:bCs/>
          <w:sz w:val="24"/>
          <w:szCs w:val="24"/>
          <w:rtl/>
        </w:rPr>
        <w:t>רלב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)- </w:t>
      </w:r>
      <w:r>
        <w:rPr>
          <w:rFonts w:hint="cs"/>
          <w:sz w:val="24"/>
          <w:szCs w:val="24"/>
          <w:rtl/>
        </w:rPr>
        <w:t xml:space="preserve">המחבר תמה מדוע שאלו התוספות את קושייתם בשלב מאוחר יחסית בגמרא ולא </w:t>
      </w:r>
      <w:proofErr w:type="spellStart"/>
      <w:r>
        <w:rPr>
          <w:rFonts w:hint="cs"/>
          <w:sz w:val="24"/>
          <w:szCs w:val="24"/>
          <w:rtl/>
        </w:rPr>
        <w:t>מיידית</w:t>
      </w:r>
      <w:proofErr w:type="spellEnd"/>
      <w:r>
        <w:rPr>
          <w:rFonts w:hint="cs"/>
          <w:sz w:val="24"/>
          <w:szCs w:val="24"/>
          <w:rtl/>
        </w:rPr>
        <w:t xml:space="preserve"> על דברי רב המובאים בכותרת? והשיבו כי היינו יכולים לפרש את דברי רב בצורה שונה. המוצא חתול </w:t>
      </w:r>
      <w:r>
        <w:rPr>
          <w:rFonts w:hint="cs"/>
          <w:b/>
          <w:bCs/>
          <w:sz w:val="24"/>
          <w:szCs w:val="24"/>
          <w:rtl/>
        </w:rPr>
        <w:t xml:space="preserve">חי </w:t>
      </w:r>
      <w:r>
        <w:rPr>
          <w:rFonts w:hint="cs"/>
          <w:sz w:val="24"/>
          <w:szCs w:val="24"/>
          <w:rtl/>
        </w:rPr>
        <w:t xml:space="preserve">בשוק מותר להורגו ואז יכול גם לקחת את עורו ואין בו משום גזל/השבת </w:t>
      </w:r>
      <w:proofErr w:type="spellStart"/>
      <w:r>
        <w:rPr>
          <w:rFonts w:hint="cs"/>
          <w:sz w:val="24"/>
          <w:szCs w:val="24"/>
          <w:rtl/>
        </w:rPr>
        <w:t>אבידה</w:t>
      </w:r>
      <w:proofErr w:type="spellEnd"/>
      <w:r>
        <w:rPr>
          <w:rFonts w:hint="cs"/>
          <w:sz w:val="24"/>
          <w:szCs w:val="24"/>
          <w:rtl/>
        </w:rPr>
        <w:t xml:space="preserve"> . אבל המוצא חתול </w:t>
      </w:r>
      <w:r>
        <w:rPr>
          <w:rFonts w:hint="cs"/>
          <w:b/>
          <w:bCs/>
          <w:sz w:val="24"/>
          <w:szCs w:val="24"/>
          <w:rtl/>
        </w:rPr>
        <w:t xml:space="preserve">מת </w:t>
      </w:r>
      <w:r>
        <w:rPr>
          <w:rFonts w:hint="cs"/>
          <w:sz w:val="24"/>
          <w:szCs w:val="24"/>
          <w:rtl/>
        </w:rPr>
        <w:t>בשוק יש בו משום גזל ואינו יכול לקחת את עורו.</w:t>
      </w:r>
      <w:r w:rsidR="00C04704">
        <w:rPr>
          <w:rFonts w:hint="cs"/>
          <w:sz w:val="24"/>
          <w:szCs w:val="24"/>
          <w:rtl/>
        </w:rPr>
        <w:t xml:space="preserve"> ואז ברור מדוע לא שאלו התוספות את קושייתם בתחילת הסוגיה, אבל לאחר שהגמרא הסיקה (דברי </w:t>
      </w:r>
      <w:proofErr w:type="spellStart"/>
      <w:r w:rsidR="00C04704">
        <w:rPr>
          <w:rFonts w:hint="cs"/>
          <w:sz w:val="24"/>
          <w:szCs w:val="24"/>
          <w:rtl/>
        </w:rPr>
        <w:t>רבינא</w:t>
      </w:r>
      <w:proofErr w:type="spellEnd"/>
      <w:r w:rsidR="00C04704">
        <w:rPr>
          <w:rFonts w:hint="cs"/>
          <w:sz w:val="24"/>
          <w:szCs w:val="24"/>
          <w:rtl/>
        </w:rPr>
        <w:t xml:space="preserve">) כי שאפילו אם מצאו מת מותר לקחת את עורו, מתברר אם כן שיש שני שלבים בדברי רב בתחילת הסוגיה : 1. מותר להורגו 2. אין בעורו משום גזל (בין מצאו  חי בין מת) ואז יש מקום לשאלת התוספות . </w:t>
      </w:r>
    </w:p>
    <w:p w:rsidR="00C04704" w:rsidRDefault="00C04704" w:rsidP="00C0470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תוך כדי הדברים </w:t>
      </w:r>
      <w:proofErr w:type="spellStart"/>
      <w:r>
        <w:rPr>
          <w:rFonts w:hint="cs"/>
          <w:sz w:val="24"/>
          <w:szCs w:val="24"/>
          <w:rtl/>
        </w:rPr>
        <w:t>המהרשד"ם</w:t>
      </w:r>
      <w:proofErr w:type="spellEnd"/>
      <w:r>
        <w:rPr>
          <w:rFonts w:hint="cs"/>
          <w:sz w:val="24"/>
          <w:szCs w:val="24"/>
          <w:rtl/>
        </w:rPr>
        <w:t xml:space="preserve"> מציין כי לפי </w:t>
      </w:r>
      <w:r w:rsidRPr="004C7932">
        <w:rPr>
          <w:rFonts w:hint="cs"/>
          <w:b/>
          <w:bCs/>
          <w:sz w:val="24"/>
          <w:szCs w:val="24"/>
          <w:rtl/>
        </w:rPr>
        <w:t>הרמב"ם</w:t>
      </w:r>
      <w:r>
        <w:rPr>
          <w:rFonts w:hint="cs"/>
          <w:sz w:val="24"/>
          <w:szCs w:val="24"/>
          <w:rtl/>
        </w:rPr>
        <w:t xml:space="preserve"> (הלכות </w:t>
      </w:r>
      <w:proofErr w:type="spellStart"/>
      <w:r>
        <w:rPr>
          <w:rFonts w:hint="cs"/>
          <w:sz w:val="24"/>
          <w:szCs w:val="24"/>
          <w:rtl/>
        </w:rPr>
        <w:t>גזילה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ואבידה</w:t>
      </w:r>
      <w:proofErr w:type="spellEnd"/>
      <w:r>
        <w:rPr>
          <w:rFonts w:hint="cs"/>
          <w:sz w:val="24"/>
          <w:szCs w:val="24"/>
          <w:rtl/>
        </w:rPr>
        <w:t xml:space="preserve"> , </w:t>
      </w:r>
      <w:proofErr w:type="spellStart"/>
      <w:r>
        <w:rPr>
          <w:rFonts w:hint="cs"/>
          <w:sz w:val="24"/>
          <w:szCs w:val="24"/>
          <w:rtl/>
        </w:rPr>
        <w:t>פ"טז</w:t>
      </w:r>
      <w:proofErr w:type="spellEnd"/>
      <w:r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ה"יז</w:t>
      </w:r>
      <w:proofErr w:type="spellEnd"/>
      <w:r>
        <w:rPr>
          <w:rFonts w:hint="cs"/>
          <w:sz w:val="24"/>
          <w:szCs w:val="24"/>
          <w:rtl/>
        </w:rPr>
        <w:t xml:space="preserve">) דווקא יש חילוק בין מצאו חי שאז צריך להורגו ואין בעורו משום גזל לבין מצאו מת שאסור לו לקחת </w:t>
      </w:r>
      <w:r w:rsidR="004C7932">
        <w:rPr>
          <w:rFonts w:hint="cs"/>
          <w:sz w:val="24"/>
          <w:szCs w:val="24"/>
          <w:rtl/>
        </w:rPr>
        <w:t xml:space="preserve">את עור משום גזל. וכך דברים הרמב"ם: </w:t>
      </w:r>
    </w:p>
    <w:p w:rsidR="004C7932" w:rsidRDefault="004C7932" w:rsidP="004C7932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"</w:t>
      </w:r>
      <w:r w:rsidRPr="004C7932">
        <w:rPr>
          <w:rFonts w:cs="Arial"/>
          <w:sz w:val="24"/>
          <w:szCs w:val="24"/>
          <w:rtl/>
        </w:rPr>
        <w:t>חתול רע שהורג את הקטנים אסור לקיימו ואין בו משום גזל ואין בו משום השב אבדה אף על פי שעורו מועיל אלא כל</w:t>
      </w:r>
      <w:r>
        <w:rPr>
          <w:rFonts w:cs="Arial"/>
          <w:sz w:val="24"/>
          <w:szCs w:val="24"/>
          <w:rtl/>
        </w:rPr>
        <w:t xml:space="preserve"> </w:t>
      </w:r>
      <w:proofErr w:type="spellStart"/>
      <w:r>
        <w:rPr>
          <w:rFonts w:cs="Arial"/>
          <w:sz w:val="24"/>
          <w:szCs w:val="24"/>
          <w:rtl/>
        </w:rPr>
        <w:t>המוצאו</w:t>
      </w:r>
      <w:proofErr w:type="spellEnd"/>
      <w:r>
        <w:rPr>
          <w:rFonts w:cs="Arial"/>
          <w:sz w:val="24"/>
          <w:szCs w:val="24"/>
          <w:rtl/>
        </w:rPr>
        <w:t xml:space="preserve"> זכה בו </w:t>
      </w:r>
      <w:r w:rsidRPr="004C7932">
        <w:rPr>
          <w:rFonts w:cs="Arial"/>
          <w:b/>
          <w:bCs/>
          <w:sz w:val="24"/>
          <w:szCs w:val="24"/>
          <w:rtl/>
        </w:rPr>
        <w:t>והורגו</w:t>
      </w:r>
      <w:r>
        <w:rPr>
          <w:rFonts w:cs="Arial"/>
          <w:sz w:val="24"/>
          <w:szCs w:val="24"/>
          <w:rtl/>
        </w:rPr>
        <w:t xml:space="preserve"> והעור שלו</w:t>
      </w:r>
      <w:r>
        <w:rPr>
          <w:rFonts w:cs="Arial" w:hint="cs"/>
          <w:sz w:val="24"/>
          <w:szCs w:val="24"/>
          <w:rtl/>
        </w:rPr>
        <w:t>"</w:t>
      </w:r>
    </w:p>
    <w:p w:rsidR="004C7932" w:rsidRDefault="004C7932" w:rsidP="004C793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וכן העתיק </w:t>
      </w:r>
      <w:r w:rsidRPr="004C7932">
        <w:rPr>
          <w:rFonts w:hint="cs"/>
          <w:b/>
          <w:bCs/>
          <w:sz w:val="24"/>
          <w:szCs w:val="24"/>
          <w:rtl/>
        </w:rPr>
        <w:t>רבינו השולחן ערוך</w:t>
      </w:r>
      <w:r>
        <w:rPr>
          <w:rFonts w:hint="cs"/>
          <w:sz w:val="24"/>
          <w:szCs w:val="24"/>
          <w:rtl/>
        </w:rPr>
        <w:t xml:space="preserve"> את דברי הרמב"ם (</w:t>
      </w:r>
      <w:proofErr w:type="spellStart"/>
      <w:r>
        <w:rPr>
          <w:rFonts w:hint="cs"/>
          <w:sz w:val="24"/>
          <w:szCs w:val="24"/>
          <w:rtl/>
        </w:rPr>
        <w:t>חו"מ</w:t>
      </w:r>
      <w:proofErr w:type="spellEnd"/>
      <w:r>
        <w:rPr>
          <w:rFonts w:hint="cs"/>
          <w:sz w:val="24"/>
          <w:szCs w:val="24"/>
          <w:rtl/>
        </w:rPr>
        <w:t>, רס"ו, ד)</w:t>
      </w:r>
    </w:p>
    <w:p w:rsidR="004C7932" w:rsidRPr="004C7932" w:rsidRDefault="004C7932" w:rsidP="004C7932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ב. שו"ת דברי ריבות (רבי יצחק </w:t>
      </w:r>
      <w:proofErr w:type="spellStart"/>
      <w:r>
        <w:rPr>
          <w:rFonts w:hint="cs"/>
          <w:b/>
          <w:bCs/>
          <w:sz w:val="24"/>
          <w:szCs w:val="24"/>
          <w:rtl/>
        </w:rPr>
        <w:t>אדריבי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, מגדולי חכמי סלוניקי , נפטר 1584) </w:t>
      </w:r>
      <w:r w:rsidR="00CC7A1E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C7A1E">
        <w:rPr>
          <w:rFonts w:hint="cs"/>
          <w:sz w:val="24"/>
          <w:szCs w:val="24"/>
          <w:rtl/>
        </w:rPr>
        <w:t xml:space="preserve">היינו יכולים לחשוב כי המילים בדברי רב "אין בו משום גזל" פירושו שהאדם שהרג את החתול אינו חייב לשלם , אך אם </w:t>
      </w:r>
      <w:proofErr w:type="spellStart"/>
      <w:r w:rsidR="00CC7A1E">
        <w:rPr>
          <w:rFonts w:hint="cs"/>
          <w:sz w:val="24"/>
          <w:szCs w:val="24"/>
          <w:rtl/>
        </w:rPr>
        <w:t>יקח</w:t>
      </w:r>
      <w:proofErr w:type="spellEnd"/>
      <w:r w:rsidR="00CC7A1E">
        <w:rPr>
          <w:rFonts w:hint="cs"/>
          <w:sz w:val="24"/>
          <w:szCs w:val="24"/>
          <w:rtl/>
        </w:rPr>
        <w:t xml:space="preserve"> את העור ודאי שיחשב הדבר לגזל. לכן אומרים תוספות כי הכוונה שונה לחלוטין. אפילו אם מצאו מת אין משום גזל בעורו (</w:t>
      </w:r>
      <w:proofErr w:type="spellStart"/>
      <w:r w:rsidR="00CC7A1E">
        <w:rPr>
          <w:rFonts w:hint="cs"/>
          <w:sz w:val="24"/>
          <w:szCs w:val="24"/>
          <w:rtl/>
        </w:rPr>
        <w:t>כדאמר</w:t>
      </w:r>
      <w:proofErr w:type="spellEnd"/>
      <w:r w:rsidR="00CC7A1E">
        <w:rPr>
          <w:rFonts w:hint="cs"/>
          <w:sz w:val="24"/>
          <w:szCs w:val="24"/>
          <w:rtl/>
        </w:rPr>
        <w:t xml:space="preserve"> </w:t>
      </w:r>
      <w:proofErr w:type="spellStart"/>
      <w:r w:rsidR="00CC7A1E">
        <w:rPr>
          <w:rFonts w:hint="cs"/>
          <w:sz w:val="24"/>
          <w:szCs w:val="24"/>
          <w:rtl/>
        </w:rPr>
        <w:t>רבינא</w:t>
      </w:r>
      <w:proofErr w:type="spellEnd"/>
      <w:r w:rsidR="00CC7A1E">
        <w:rPr>
          <w:rFonts w:hint="cs"/>
          <w:sz w:val="24"/>
          <w:szCs w:val="24"/>
          <w:rtl/>
        </w:rPr>
        <w:t xml:space="preserve"> ) ולכן ק"ו שאם מצאו חי והרגו פשיטא שיכול לקחת את עורו. ועל כך באה שאלת תוספות , אם מותר לקחת את עורו , ברור שמותר להורגו ואם כן , לכאורה היה מיותר לרב לומר כך. </w:t>
      </w:r>
    </w:p>
    <w:p w:rsidR="004C7932" w:rsidRPr="004C7932" w:rsidRDefault="004C7932" w:rsidP="004C7932">
      <w:pPr>
        <w:rPr>
          <w:sz w:val="24"/>
          <w:szCs w:val="24"/>
        </w:rPr>
      </w:pPr>
    </w:p>
    <w:sectPr w:rsidR="004C7932" w:rsidRPr="004C7932" w:rsidSect="00905C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F4"/>
    <w:rsid w:val="000C0545"/>
    <w:rsid w:val="001F05ED"/>
    <w:rsid w:val="004C7932"/>
    <w:rsid w:val="00702352"/>
    <w:rsid w:val="00905C59"/>
    <w:rsid w:val="00A713D7"/>
    <w:rsid w:val="00BB1DB6"/>
    <w:rsid w:val="00BB545D"/>
    <w:rsid w:val="00C04704"/>
    <w:rsid w:val="00C663F4"/>
    <w:rsid w:val="00CC7A1E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F99E"/>
  <w15:chartTrackingRefBased/>
  <w15:docId w15:val="{AD951786-049A-40E5-BF65-BAB7AED4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8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E188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2023-08-24T18:12:00Z</cp:lastPrinted>
  <dcterms:created xsi:type="dcterms:W3CDTF">2023-08-24T17:44:00Z</dcterms:created>
  <dcterms:modified xsi:type="dcterms:W3CDTF">2023-10-15T18:47:00Z</dcterms:modified>
</cp:coreProperties>
</file>