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25F" w:rsidRDefault="00CD0FCE">
      <w:pPr>
        <w:rPr>
          <w:sz w:val="24"/>
          <w:szCs w:val="24"/>
          <w:rtl/>
        </w:rPr>
      </w:pPr>
      <w:r>
        <w:rPr>
          <w:rFonts w:hint="cs"/>
          <w:sz w:val="24"/>
          <w:szCs w:val="24"/>
          <w:rtl/>
        </w:rPr>
        <w:t>בס"ד</w:t>
      </w:r>
    </w:p>
    <w:p w:rsidR="00CD0FCE" w:rsidRDefault="00CD0FCE" w:rsidP="0070265C">
      <w:pPr>
        <w:rPr>
          <w:rFonts w:hint="cs"/>
          <w:b/>
          <w:bCs/>
          <w:sz w:val="28"/>
          <w:szCs w:val="28"/>
          <w:rtl/>
        </w:rPr>
      </w:pPr>
      <w:r>
        <w:rPr>
          <w:rFonts w:hint="cs"/>
          <w:sz w:val="24"/>
          <w:szCs w:val="24"/>
          <w:rtl/>
        </w:rPr>
        <w:t xml:space="preserve">                             </w:t>
      </w:r>
      <w:r w:rsidR="003C2B51">
        <w:rPr>
          <w:rFonts w:hint="cs"/>
          <w:b/>
          <w:bCs/>
          <w:sz w:val="28"/>
          <w:szCs w:val="28"/>
          <w:rtl/>
        </w:rPr>
        <w:t xml:space="preserve"> </w:t>
      </w:r>
      <w:r w:rsidRPr="003C2B51">
        <w:rPr>
          <w:rFonts w:hint="cs"/>
          <w:b/>
          <w:bCs/>
          <w:sz w:val="28"/>
          <w:szCs w:val="28"/>
          <w:rtl/>
        </w:rPr>
        <w:t xml:space="preserve">ליבה ולבתה הרוח </w:t>
      </w:r>
      <w:r w:rsidRPr="003C2B51">
        <w:rPr>
          <w:b/>
          <w:bCs/>
          <w:sz w:val="28"/>
          <w:szCs w:val="28"/>
          <w:rtl/>
        </w:rPr>
        <w:t>–</w:t>
      </w:r>
      <w:r w:rsidRPr="003C2B51">
        <w:rPr>
          <w:rFonts w:hint="cs"/>
          <w:b/>
          <w:bCs/>
          <w:sz w:val="28"/>
          <w:szCs w:val="28"/>
          <w:rtl/>
        </w:rPr>
        <w:t>פטור</w:t>
      </w:r>
      <w:r w:rsidR="0070265C">
        <w:rPr>
          <w:rFonts w:hint="cs"/>
          <w:b/>
          <w:bCs/>
          <w:sz w:val="28"/>
          <w:szCs w:val="28"/>
          <w:rtl/>
        </w:rPr>
        <w:t>- דף ס עמוד א</w:t>
      </w:r>
    </w:p>
    <w:p w:rsidR="0070265C" w:rsidRPr="003C2B51" w:rsidRDefault="0070265C" w:rsidP="0070265C">
      <w:pPr>
        <w:rPr>
          <w:b/>
          <w:bCs/>
          <w:sz w:val="28"/>
          <w:szCs w:val="28"/>
          <w:rtl/>
        </w:rPr>
      </w:pPr>
      <w:r>
        <w:rPr>
          <w:rFonts w:hint="cs"/>
          <w:b/>
          <w:bCs/>
          <w:sz w:val="28"/>
          <w:szCs w:val="28"/>
          <w:rtl/>
        </w:rPr>
        <w:t xml:space="preserve">                                   </w:t>
      </w:r>
      <w:r>
        <w:rPr>
          <w:rFonts w:cs="Arial"/>
          <w:b/>
          <w:bCs/>
          <w:sz w:val="24"/>
          <w:szCs w:val="24"/>
          <w:rtl/>
        </w:rPr>
        <w:t>הרב משה חיים הר-נוי</w:t>
      </w:r>
      <w:bookmarkStart w:id="0" w:name="_GoBack"/>
      <w:bookmarkEnd w:id="0"/>
    </w:p>
    <w:p w:rsidR="00CD0FCE" w:rsidRDefault="00CD0FCE" w:rsidP="00CD0FCE">
      <w:pPr>
        <w:rPr>
          <w:sz w:val="24"/>
          <w:szCs w:val="24"/>
          <w:rtl/>
        </w:rPr>
      </w:pPr>
      <w:r>
        <w:rPr>
          <w:rFonts w:hint="cs"/>
          <w:sz w:val="24"/>
          <w:szCs w:val="24"/>
          <w:rtl/>
        </w:rPr>
        <w:t>במסכת בבא קמא (ס, א) מביאה ברייתא האומרת שאם אדם לבה את האש וגם הרוח לבתה- פטור. שואלת הגמרא במה שונה הדבר מזורה ורוח מסייעתו שנפסק בהלכות שבת שחייב? וענתה הגמרא ארבע תשובות:</w:t>
      </w:r>
    </w:p>
    <w:p w:rsidR="00CD0FCE" w:rsidRDefault="00CD0FCE" w:rsidP="00CD0FCE">
      <w:pPr>
        <w:rPr>
          <w:sz w:val="24"/>
          <w:szCs w:val="24"/>
          <w:rtl/>
        </w:rPr>
      </w:pPr>
      <w:proofErr w:type="spellStart"/>
      <w:r w:rsidRPr="00CD0FCE">
        <w:rPr>
          <w:rFonts w:hint="cs"/>
          <w:b/>
          <w:bCs/>
          <w:sz w:val="24"/>
          <w:szCs w:val="24"/>
          <w:rtl/>
        </w:rPr>
        <w:t>אביי</w:t>
      </w:r>
      <w:proofErr w:type="spellEnd"/>
      <w:r w:rsidRPr="00CD0FCE">
        <w:rPr>
          <w:rFonts w:hint="cs"/>
          <w:b/>
          <w:bCs/>
          <w:sz w:val="24"/>
          <w:szCs w:val="24"/>
          <w:rtl/>
        </w:rPr>
        <w:t>-</w:t>
      </w:r>
      <w:r>
        <w:rPr>
          <w:rFonts w:hint="cs"/>
          <w:sz w:val="24"/>
          <w:szCs w:val="24"/>
          <w:rtl/>
        </w:rPr>
        <w:t xml:space="preserve"> מדובר שהוא לבה במצד אחד אך הרוח לבתה מצד שני ובעצם עשתה את כל הנזק לבדה</w:t>
      </w:r>
    </w:p>
    <w:p w:rsidR="00CD0FCE" w:rsidRDefault="00CD0FCE" w:rsidP="00CD0FCE">
      <w:pPr>
        <w:rPr>
          <w:sz w:val="24"/>
          <w:szCs w:val="24"/>
          <w:rtl/>
        </w:rPr>
      </w:pPr>
      <w:r w:rsidRPr="00CD0FCE">
        <w:rPr>
          <w:rFonts w:hint="cs"/>
          <w:b/>
          <w:bCs/>
          <w:sz w:val="24"/>
          <w:szCs w:val="24"/>
          <w:rtl/>
        </w:rPr>
        <w:t>רבא</w:t>
      </w:r>
      <w:r>
        <w:rPr>
          <w:rFonts w:hint="cs"/>
          <w:sz w:val="24"/>
          <w:szCs w:val="24"/>
          <w:rtl/>
        </w:rPr>
        <w:t xml:space="preserve">- הוא ליבה ברוח מצויה ואילו אז הגיעה רוח  שאינה מצויה וליבתה </w:t>
      </w:r>
    </w:p>
    <w:p w:rsidR="00CD0FCE" w:rsidRDefault="00CD0FCE" w:rsidP="00CD0FCE">
      <w:pPr>
        <w:rPr>
          <w:sz w:val="24"/>
          <w:szCs w:val="24"/>
          <w:rtl/>
        </w:rPr>
      </w:pPr>
      <w:r w:rsidRPr="00CD0FCE">
        <w:rPr>
          <w:rFonts w:hint="cs"/>
          <w:b/>
          <w:bCs/>
          <w:sz w:val="24"/>
          <w:szCs w:val="24"/>
          <w:rtl/>
        </w:rPr>
        <w:t xml:space="preserve">רבי </w:t>
      </w:r>
      <w:proofErr w:type="spellStart"/>
      <w:r w:rsidRPr="00CD0FCE">
        <w:rPr>
          <w:rFonts w:hint="cs"/>
          <w:b/>
          <w:bCs/>
          <w:sz w:val="24"/>
          <w:szCs w:val="24"/>
          <w:rtl/>
        </w:rPr>
        <w:t>זירא</w:t>
      </w:r>
      <w:proofErr w:type="spellEnd"/>
      <w:r>
        <w:rPr>
          <w:rFonts w:hint="cs"/>
          <w:sz w:val="24"/>
          <w:szCs w:val="24"/>
          <w:rtl/>
        </w:rPr>
        <w:t xml:space="preserve">- הוא בסך הכל נשף ואילו הרוח ממש ליבתה </w:t>
      </w:r>
    </w:p>
    <w:p w:rsidR="00CD0FCE" w:rsidRDefault="00CD0FCE" w:rsidP="00CD0FCE">
      <w:pPr>
        <w:rPr>
          <w:sz w:val="24"/>
          <w:szCs w:val="24"/>
          <w:rtl/>
        </w:rPr>
      </w:pPr>
      <w:r w:rsidRPr="00CD0FCE">
        <w:rPr>
          <w:rFonts w:hint="cs"/>
          <w:b/>
          <w:bCs/>
          <w:sz w:val="24"/>
          <w:szCs w:val="24"/>
          <w:rtl/>
        </w:rPr>
        <w:t>רב אשי-</w:t>
      </w:r>
      <w:r>
        <w:rPr>
          <w:rFonts w:hint="cs"/>
          <w:sz w:val="24"/>
          <w:szCs w:val="24"/>
          <w:rtl/>
        </w:rPr>
        <w:t xml:space="preserve"> בשבת מלאכת מחשבת אסרה התורה והרי התקיימה מחשבתו ואילו בליבה וליבתה הרוח , ללא הרוח לא הייתה פעולתו מלבה את האש ולכן דינו </w:t>
      </w:r>
      <w:proofErr w:type="spellStart"/>
      <w:r>
        <w:rPr>
          <w:rFonts w:hint="cs"/>
          <w:b/>
          <w:bCs/>
          <w:sz w:val="24"/>
          <w:szCs w:val="24"/>
          <w:rtl/>
        </w:rPr>
        <w:t>כגרמא</w:t>
      </w:r>
      <w:proofErr w:type="spellEnd"/>
      <w:r>
        <w:rPr>
          <w:rFonts w:hint="cs"/>
          <w:b/>
          <w:bCs/>
          <w:sz w:val="24"/>
          <w:szCs w:val="24"/>
          <w:rtl/>
        </w:rPr>
        <w:t xml:space="preserve"> (או אולי גרמי כמו שיתברר בהמשך) , </w:t>
      </w:r>
      <w:r>
        <w:rPr>
          <w:rFonts w:hint="cs"/>
          <w:sz w:val="24"/>
          <w:szCs w:val="24"/>
          <w:rtl/>
        </w:rPr>
        <w:t xml:space="preserve">ולכן פטור. </w:t>
      </w:r>
    </w:p>
    <w:p w:rsidR="00F52180" w:rsidRDefault="00CD0FCE" w:rsidP="00F52180">
      <w:pPr>
        <w:rPr>
          <w:b/>
          <w:bCs/>
          <w:sz w:val="24"/>
          <w:szCs w:val="24"/>
          <w:rtl/>
        </w:rPr>
      </w:pPr>
      <w:proofErr w:type="spellStart"/>
      <w:r>
        <w:rPr>
          <w:rFonts w:hint="cs"/>
          <w:b/>
          <w:bCs/>
          <w:sz w:val="24"/>
          <w:szCs w:val="24"/>
          <w:rtl/>
        </w:rPr>
        <w:t>הרי"ף</w:t>
      </w:r>
      <w:proofErr w:type="spellEnd"/>
      <w:r>
        <w:rPr>
          <w:rFonts w:hint="cs"/>
          <w:b/>
          <w:bCs/>
          <w:sz w:val="24"/>
          <w:szCs w:val="24"/>
          <w:rtl/>
        </w:rPr>
        <w:t xml:space="preserve"> </w:t>
      </w:r>
      <w:r>
        <w:rPr>
          <w:rFonts w:hint="cs"/>
          <w:sz w:val="24"/>
          <w:szCs w:val="24"/>
          <w:rtl/>
        </w:rPr>
        <w:t xml:space="preserve">פוסק להלכה כי אם היה יכול ללבות בעצמו- חייב , אך אם בעצמו לא יכול היה ללבות הרי הוא פטור </w:t>
      </w:r>
      <w:r w:rsidR="00F52180">
        <w:rPr>
          <w:rFonts w:hint="cs"/>
          <w:sz w:val="24"/>
          <w:szCs w:val="24"/>
          <w:rtl/>
        </w:rPr>
        <w:t xml:space="preserve">. </w:t>
      </w:r>
      <w:proofErr w:type="spellStart"/>
      <w:r w:rsidR="00F52180">
        <w:rPr>
          <w:rFonts w:hint="cs"/>
          <w:sz w:val="24"/>
          <w:szCs w:val="24"/>
          <w:rtl/>
        </w:rPr>
        <w:t>הרי"ף</w:t>
      </w:r>
      <w:proofErr w:type="spellEnd"/>
      <w:r w:rsidR="00F52180">
        <w:rPr>
          <w:rFonts w:hint="cs"/>
          <w:sz w:val="24"/>
          <w:szCs w:val="24"/>
          <w:rtl/>
        </w:rPr>
        <w:t xml:space="preserve"> מנמק את ההלכה כדעת רב אשי. וכן כתב </w:t>
      </w:r>
      <w:proofErr w:type="spellStart"/>
      <w:r w:rsidR="00F52180">
        <w:rPr>
          <w:rFonts w:hint="cs"/>
          <w:b/>
          <w:bCs/>
          <w:sz w:val="24"/>
          <w:szCs w:val="24"/>
          <w:rtl/>
        </w:rPr>
        <w:t>הרא"ש</w:t>
      </w:r>
      <w:proofErr w:type="spellEnd"/>
      <w:r w:rsidR="00F52180">
        <w:rPr>
          <w:rFonts w:hint="cs"/>
          <w:b/>
          <w:bCs/>
          <w:sz w:val="24"/>
          <w:szCs w:val="24"/>
          <w:rtl/>
        </w:rPr>
        <w:t xml:space="preserve">. </w:t>
      </w:r>
    </w:p>
    <w:p w:rsidR="00C56C25" w:rsidRDefault="00C56C25" w:rsidP="00F52180">
      <w:pPr>
        <w:rPr>
          <w:sz w:val="24"/>
          <w:szCs w:val="24"/>
          <w:rtl/>
        </w:rPr>
      </w:pPr>
      <w:r>
        <w:rPr>
          <w:rFonts w:hint="cs"/>
          <w:sz w:val="24"/>
          <w:szCs w:val="24"/>
          <w:rtl/>
        </w:rPr>
        <w:t xml:space="preserve">לעומת זאת </w:t>
      </w:r>
      <w:r w:rsidRPr="00C56C25">
        <w:rPr>
          <w:rFonts w:hint="cs"/>
          <w:b/>
          <w:bCs/>
          <w:sz w:val="24"/>
          <w:szCs w:val="24"/>
          <w:rtl/>
        </w:rPr>
        <w:t>הרמב"ם</w:t>
      </w:r>
      <w:r>
        <w:rPr>
          <w:rFonts w:hint="cs"/>
          <w:sz w:val="24"/>
          <w:szCs w:val="24"/>
          <w:rtl/>
        </w:rPr>
        <w:t xml:space="preserve"> (הלכות נזקי ממון, </w:t>
      </w:r>
      <w:proofErr w:type="spellStart"/>
      <w:r>
        <w:rPr>
          <w:rFonts w:hint="cs"/>
          <w:sz w:val="24"/>
          <w:szCs w:val="24"/>
          <w:rtl/>
        </w:rPr>
        <w:t>פ"יד</w:t>
      </w:r>
      <w:proofErr w:type="spellEnd"/>
      <w:r>
        <w:rPr>
          <w:rFonts w:hint="cs"/>
          <w:sz w:val="24"/>
          <w:szCs w:val="24"/>
          <w:rtl/>
        </w:rPr>
        <w:t xml:space="preserve">, </w:t>
      </w:r>
      <w:proofErr w:type="spellStart"/>
      <w:r>
        <w:rPr>
          <w:rFonts w:hint="cs"/>
          <w:sz w:val="24"/>
          <w:szCs w:val="24"/>
          <w:rtl/>
        </w:rPr>
        <w:t>ה"ז</w:t>
      </w:r>
      <w:proofErr w:type="spellEnd"/>
      <w:r>
        <w:rPr>
          <w:rFonts w:hint="cs"/>
          <w:sz w:val="24"/>
          <w:szCs w:val="24"/>
          <w:rtl/>
        </w:rPr>
        <w:t>) פסק :</w:t>
      </w:r>
    </w:p>
    <w:p w:rsidR="00C56C25" w:rsidRDefault="00C56C25" w:rsidP="00C56C25">
      <w:pPr>
        <w:rPr>
          <w:sz w:val="24"/>
          <w:szCs w:val="24"/>
          <w:rtl/>
        </w:rPr>
      </w:pPr>
      <w:r w:rsidRPr="00C56C25">
        <w:rPr>
          <w:rFonts w:cs="Arial"/>
          <w:sz w:val="24"/>
          <w:szCs w:val="24"/>
          <w:rtl/>
        </w:rPr>
        <w:t xml:space="preserve">ליבה וליבתו הרוח חייב שהרי הוא גרם וכל הגורם להזיק משלם נזק שלם מן היפה שבנכסיו כשאר כל </w:t>
      </w:r>
      <w:proofErr w:type="spellStart"/>
      <w:r w:rsidRPr="00C56C25">
        <w:rPr>
          <w:rFonts w:cs="Arial"/>
          <w:sz w:val="24"/>
          <w:szCs w:val="24"/>
          <w:rtl/>
        </w:rPr>
        <w:t>המזיקין</w:t>
      </w:r>
      <w:proofErr w:type="spellEnd"/>
      <w:r w:rsidRPr="00C56C25">
        <w:rPr>
          <w:rFonts w:cs="Arial"/>
          <w:sz w:val="24"/>
          <w:szCs w:val="24"/>
          <w:rtl/>
        </w:rPr>
        <w:t>.</w:t>
      </w:r>
    </w:p>
    <w:p w:rsidR="00C56C25" w:rsidRDefault="00C56C25" w:rsidP="00C56C25">
      <w:pPr>
        <w:rPr>
          <w:sz w:val="24"/>
          <w:szCs w:val="24"/>
          <w:rtl/>
        </w:rPr>
      </w:pPr>
      <w:proofErr w:type="spellStart"/>
      <w:r>
        <w:rPr>
          <w:rFonts w:hint="cs"/>
          <w:b/>
          <w:bCs/>
          <w:sz w:val="24"/>
          <w:szCs w:val="24"/>
          <w:rtl/>
        </w:rPr>
        <w:t>הראב"ד</w:t>
      </w:r>
      <w:proofErr w:type="spellEnd"/>
      <w:r>
        <w:rPr>
          <w:rFonts w:hint="cs"/>
          <w:b/>
          <w:bCs/>
          <w:sz w:val="24"/>
          <w:szCs w:val="24"/>
          <w:rtl/>
        </w:rPr>
        <w:t xml:space="preserve"> </w:t>
      </w:r>
      <w:r>
        <w:rPr>
          <w:rFonts w:hint="cs"/>
          <w:sz w:val="24"/>
          <w:szCs w:val="24"/>
          <w:rtl/>
        </w:rPr>
        <w:t xml:space="preserve">תמה על הרמב"ם מדוע אינו מחלק כפי שחילקה הברייתא בין מצב שיכול ללבות לבדו ואינו זקוק לרוח שאז אכן חייב לבין אינו יכול ללבות לבדו שאז יהיה פטור. </w:t>
      </w:r>
    </w:p>
    <w:p w:rsidR="00C32A28" w:rsidRDefault="00C32A28" w:rsidP="00C56C25">
      <w:pPr>
        <w:rPr>
          <w:sz w:val="24"/>
          <w:szCs w:val="24"/>
          <w:rtl/>
        </w:rPr>
      </w:pPr>
      <w:r>
        <w:rPr>
          <w:rFonts w:hint="cs"/>
          <w:sz w:val="24"/>
          <w:szCs w:val="24"/>
          <w:rtl/>
        </w:rPr>
        <w:t xml:space="preserve">נכתבו מספר תירוצים לקושיית </w:t>
      </w:r>
      <w:proofErr w:type="spellStart"/>
      <w:r>
        <w:rPr>
          <w:rFonts w:hint="cs"/>
          <w:sz w:val="24"/>
          <w:szCs w:val="24"/>
          <w:rtl/>
        </w:rPr>
        <w:t>הראב"ד</w:t>
      </w:r>
      <w:proofErr w:type="spellEnd"/>
    </w:p>
    <w:p w:rsidR="00C32A28" w:rsidRDefault="00C32A28" w:rsidP="00C56C25">
      <w:pPr>
        <w:rPr>
          <w:sz w:val="24"/>
          <w:szCs w:val="24"/>
          <w:rtl/>
        </w:rPr>
      </w:pPr>
      <w:r>
        <w:rPr>
          <w:rFonts w:hint="cs"/>
          <w:sz w:val="24"/>
          <w:szCs w:val="24"/>
          <w:rtl/>
        </w:rPr>
        <w:t xml:space="preserve">א. </w:t>
      </w:r>
      <w:proofErr w:type="spellStart"/>
      <w:r w:rsidRPr="00C32A28">
        <w:rPr>
          <w:rFonts w:hint="cs"/>
          <w:b/>
          <w:bCs/>
          <w:sz w:val="24"/>
          <w:szCs w:val="24"/>
          <w:rtl/>
        </w:rPr>
        <w:t>קרית</w:t>
      </w:r>
      <w:proofErr w:type="spellEnd"/>
      <w:r w:rsidRPr="00C32A28">
        <w:rPr>
          <w:rFonts w:hint="cs"/>
          <w:b/>
          <w:bCs/>
          <w:sz w:val="24"/>
          <w:szCs w:val="24"/>
          <w:rtl/>
        </w:rPr>
        <w:t xml:space="preserve"> ספר</w:t>
      </w:r>
      <w:r>
        <w:rPr>
          <w:rFonts w:hint="cs"/>
          <w:sz w:val="24"/>
          <w:szCs w:val="24"/>
          <w:rtl/>
        </w:rPr>
        <w:t xml:space="preserve">- הרי הרמב"ם כבר כתב לפני כן "בא אחר וליבה חייב" וודאי ששם מדובר שיכול ללבות לבדו ואם כן גם כאשר כתב "ליבה וליבתו הרוח חייב" התכוון ליבה ויכול ללבות לבדו שאז באמת חייב לכל הדעות. </w:t>
      </w:r>
    </w:p>
    <w:p w:rsidR="00C32A28" w:rsidRDefault="00C32A28" w:rsidP="00C56C25">
      <w:pPr>
        <w:rPr>
          <w:sz w:val="24"/>
          <w:szCs w:val="24"/>
          <w:rtl/>
        </w:rPr>
      </w:pPr>
      <w:proofErr w:type="spellStart"/>
      <w:r>
        <w:rPr>
          <w:rFonts w:hint="cs"/>
          <w:sz w:val="24"/>
          <w:szCs w:val="24"/>
          <w:rtl/>
        </w:rPr>
        <w:t>ב</w:t>
      </w:r>
      <w:r w:rsidRPr="00C32A28">
        <w:rPr>
          <w:rFonts w:hint="cs"/>
          <w:b/>
          <w:bCs/>
          <w:sz w:val="24"/>
          <w:szCs w:val="24"/>
          <w:rtl/>
        </w:rPr>
        <w:t>.מגיד</w:t>
      </w:r>
      <w:proofErr w:type="spellEnd"/>
      <w:r w:rsidRPr="00C32A28">
        <w:rPr>
          <w:rFonts w:hint="cs"/>
          <w:b/>
          <w:bCs/>
          <w:sz w:val="24"/>
          <w:szCs w:val="24"/>
          <w:rtl/>
        </w:rPr>
        <w:t xml:space="preserve"> משנה-</w:t>
      </w:r>
      <w:r>
        <w:rPr>
          <w:rFonts w:hint="cs"/>
          <w:sz w:val="24"/>
          <w:szCs w:val="24"/>
          <w:rtl/>
        </w:rPr>
        <w:t xml:space="preserve"> הרמב"ם פוסק כאחת משלושת </w:t>
      </w:r>
      <w:proofErr w:type="spellStart"/>
      <w:r>
        <w:rPr>
          <w:rFonts w:hint="cs"/>
          <w:sz w:val="24"/>
          <w:szCs w:val="24"/>
          <w:rtl/>
        </w:rPr>
        <w:t>האוקימתות</w:t>
      </w:r>
      <w:proofErr w:type="spellEnd"/>
      <w:r>
        <w:rPr>
          <w:rFonts w:hint="cs"/>
          <w:sz w:val="24"/>
          <w:szCs w:val="24"/>
          <w:rtl/>
        </w:rPr>
        <w:t xml:space="preserve"> הראשונות ולכן כל עוד לא התקיימה אותה </w:t>
      </w:r>
      <w:proofErr w:type="spellStart"/>
      <w:r>
        <w:rPr>
          <w:rFonts w:hint="cs"/>
          <w:sz w:val="24"/>
          <w:szCs w:val="24"/>
          <w:rtl/>
        </w:rPr>
        <w:t>אוקימתא</w:t>
      </w:r>
      <w:proofErr w:type="spellEnd"/>
      <w:r>
        <w:rPr>
          <w:rFonts w:hint="cs"/>
          <w:sz w:val="24"/>
          <w:szCs w:val="24"/>
          <w:rtl/>
        </w:rPr>
        <w:t xml:space="preserve"> הדין הוא חייב (הוא והרוח מלבים מאותו כיוון/ הוא ליבה כאשר כבר הייתה במקום רוח שאינה </w:t>
      </w:r>
      <w:proofErr w:type="spellStart"/>
      <w:r>
        <w:rPr>
          <w:rFonts w:hint="cs"/>
          <w:sz w:val="24"/>
          <w:szCs w:val="24"/>
          <w:rtl/>
        </w:rPr>
        <w:t>מצוייה</w:t>
      </w:r>
      <w:proofErr w:type="spellEnd"/>
      <w:r>
        <w:rPr>
          <w:rFonts w:hint="cs"/>
          <w:sz w:val="24"/>
          <w:szCs w:val="24"/>
          <w:rtl/>
        </w:rPr>
        <w:t xml:space="preserve">/ הוא נפח ליבוי ולא רק נשיפה קלה) </w:t>
      </w:r>
    </w:p>
    <w:p w:rsidR="00A95850" w:rsidRDefault="00C32A28" w:rsidP="00C32A28">
      <w:pPr>
        <w:rPr>
          <w:sz w:val="24"/>
          <w:szCs w:val="24"/>
          <w:rtl/>
        </w:rPr>
      </w:pPr>
      <w:r>
        <w:rPr>
          <w:rFonts w:hint="cs"/>
          <w:sz w:val="24"/>
          <w:szCs w:val="24"/>
          <w:rtl/>
        </w:rPr>
        <w:t xml:space="preserve">ג. </w:t>
      </w:r>
      <w:r w:rsidR="00C56C25">
        <w:rPr>
          <w:rFonts w:hint="cs"/>
          <w:b/>
          <w:bCs/>
          <w:sz w:val="24"/>
          <w:szCs w:val="24"/>
          <w:rtl/>
        </w:rPr>
        <w:t xml:space="preserve">המגדל עוז </w:t>
      </w:r>
      <w:r w:rsidR="00C56C25">
        <w:rPr>
          <w:rFonts w:hint="cs"/>
          <w:sz w:val="24"/>
          <w:szCs w:val="24"/>
          <w:rtl/>
        </w:rPr>
        <w:t xml:space="preserve">כותב כי לא יתכן </w:t>
      </w:r>
      <w:proofErr w:type="spellStart"/>
      <w:r w:rsidR="00C56C25">
        <w:rPr>
          <w:rFonts w:hint="cs"/>
          <w:sz w:val="24"/>
          <w:szCs w:val="24"/>
          <w:rtl/>
        </w:rPr>
        <w:t>שהראב"ד</w:t>
      </w:r>
      <w:proofErr w:type="spellEnd"/>
      <w:r w:rsidR="00C56C25">
        <w:rPr>
          <w:rFonts w:hint="cs"/>
          <w:sz w:val="24"/>
          <w:szCs w:val="24"/>
          <w:rtl/>
        </w:rPr>
        <w:t xml:space="preserve"> כתב דברים הללו . </w:t>
      </w:r>
      <w:r>
        <w:rPr>
          <w:rFonts w:hint="cs"/>
          <w:sz w:val="24"/>
          <w:szCs w:val="24"/>
          <w:rtl/>
        </w:rPr>
        <w:t xml:space="preserve">והסביר כי הרמב"ם דיבר על מציאות שיש רוח מצויה ולכן אין הפרש בין אם יכול ללבות לבד או רק בסיוע הרוח, עצם הליבוי ברוח מצויה גורם לו את החיוב. </w:t>
      </w:r>
    </w:p>
    <w:p w:rsidR="00C32A28" w:rsidRDefault="00C32A28" w:rsidP="00C32A28">
      <w:pPr>
        <w:rPr>
          <w:sz w:val="24"/>
          <w:szCs w:val="24"/>
          <w:rtl/>
        </w:rPr>
      </w:pPr>
      <w:r>
        <w:rPr>
          <w:rFonts w:hint="cs"/>
          <w:sz w:val="24"/>
          <w:szCs w:val="24"/>
          <w:rtl/>
        </w:rPr>
        <w:t xml:space="preserve">כמובן שנפקא מינה בין ההסברים השונים היא הנקודה האם הרמב"ם חלוק על </w:t>
      </w:r>
      <w:proofErr w:type="spellStart"/>
      <w:r>
        <w:rPr>
          <w:rFonts w:hint="cs"/>
          <w:sz w:val="24"/>
          <w:szCs w:val="24"/>
          <w:rtl/>
        </w:rPr>
        <w:t>הרי"ף</w:t>
      </w:r>
      <w:proofErr w:type="spellEnd"/>
      <w:r>
        <w:rPr>
          <w:rFonts w:hint="cs"/>
          <w:sz w:val="24"/>
          <w:szCs w:val="24"/>
          <w:rtl/>
        </w:rPr>
        <w:t xml:space="preserve"> </w:t>
      </w:r>
      <w:proofErr w:type="spellStart"/>
      <w:r>
        <w:rPr>
          <w:rFonts w:hint="cs"/>
          <w:sz w:val="24"/>
          <w:szCs w:val="24"/>
          <w:rtl/>
        </w:rPr>
        <w:t>והרא"ש</w:t>
      </w:r>
      <w:proofErr w:type="spellEnd"/>
      <w:r>
        <w:rPr>
          <w:rFonts w:hint="cs"/>
          <w:sz w:val="24"/>
          <w:szCs w:val="24"/>
          <w:rtl/>
        </w:rPr>
        <w:t xml:space="preserve"> או מסכים איתם. </w:t>
      </w:r>
    </w:p>
    <w:p w:rsidR="00C32A28" w:rsidRPr="00C32A28" w:rsidRDefault="00C32A28" w:rsidP="00C32A28">
      <w:pPr>
        <w:rPr>
          <w:sz w:val="24"/>
          <w:szCs w:val="24"/>
          <w:rtl/>
        </w:rPr>
      </w:pPr>
      <w:r>
        <w:rPr>
          <w:rFonts w:hint="cs"/>
          <w:b/>
          <w:bCs/>
          <w:sz w:val="24"/>
          <w:szCs w:val="24"/>
          <w:rtl/>
        </w:rPr>
        <w:t xml:space="preserve">המחבר </w:t>
      </w:r>
      <w:r>
        <w:rPr>
          <w:rFonts w:hint="cs"/>
          <w:sz w:val="24"/>
          <w:szCs w:val="24"/>
          <w:rtl/>
        </w:rPr>
        <w:t xml:space="preserve"> (</w:t>
      </w:r>
      <w:proofErr w:type="spellStart"/>
      <w:r>
        <w:rPr>
          <w:rFonts w:hint="cs"/>
          <w:sz w:val="24"/>
          <w:szCs w:val="24"/>
          <w:rtl/>
        </w:rPr>
        <w:t>חו"מ</w:t>
      </w:r>
      <w:proofErr w:type="spellEnd"/>
      <w:r>
        <w:rPr>
          <w:rFonts w:hint="cs"/>
          <w:sz w:val="24"/>
          <w:szCs w:val="24"/>
          <w:rtl/>
        </w:rPr>
        <w:t xml:space="preserve"> , </w:t>
      </w:r>
      <w:proofErr w:type="spellStart"/>
      <w:r>
        <w:rPr>
          <w:rFonts w:hint="cs"/>
          <w:sz w:val="24"/>
          <w:szCs w:val="24"/>
          <w:rtl/>
        </w:rPr>
        <w:t>תיח</w:t>
      </w:r>
      <w:proofErr w:type="spellEnd"/>
      <w:r>
        <w:rPr>
          <w:rFonts w:hint="cs"/>
          <w:sz w:val="24"/>
          <w:szCs w:val="24"/>
          <w:rtl/>
        </w:rPr>
        <w:t xml:space="preserve">, ט) פסוק כדברי הרמב"ם ואינו כותב את החילוק בין יכול ללבות לבדו שאז חייב לבין יכול ללבות רק בסיוע הרוח שאז פטור. </w:t>
      </w:r>
      <w:proofErr w:type="spellStart"/>
      <w:r w:rsidRPr="00C32A28">
        <w:rPr>
          <w:rFonts w:hint="cs"/>
          <w:b/>
          <w:bCs/>
          <w:sz w:val="24"/>
          <w:szCs w:val="24"/>
          <w:rtl/>
        </w:rPr>
        <w:t>הרמ"א</w:t>
      </w:r>
      <w:proofErr w:type="spellEnd"/>
      <w:r>
        <w:rPr>
          <w:rFonts w:hint="cs"/>
          <w:sz w:val="24"/>
          <w:szCs w:val="24"/>
          <w:rtl/>
        </w:rPr>
        <w:t xml:space="preserve"> מביא את החילוק הזה בשם טור, </w:t>
      </w:r>
      <w:proofErr w:type="spellStart"/>
      <w:r>
        <w:rPr>
          <w:rFonts w:hint="cs"/>
          <w:sz w:val="24"/>
          <w:szCs w:val="24"/>
          <w:rtl/>
        </w:rPr>
        <w:t>רא"ש</w:t>
      </w:r>
      <w:proofErr w:type="spellEnd"/>
      <w:r>
        <w:rPr>
          <w:rFonts w:hint="cs"/>
          <w:sz w:val="24"/>
          <w:szCs w:val="24"/>
          <w:rtl/>
        </w:rPr>
        <w:t xml:space="preserve"> </w:t>
      </w:r>
      <w:proofErr w:type="spellStart"/>
      <w:r>
        <w:rPr>
          <w:rFonts w:hint="cs"/>
          <w:sz w:val="24"/>
          <w:szCs w:val="24"/>
          <w:rtl/>
        </w:rPr>
        <w:t>וראב"ד</w:t>
      </w:r>
      <w:proofErr w:type="spellEnd"/>
      <w:r>
        <w:rPr>
          <w:rFonts w:hint="cs"/>
          <w:sz w:val="24"/>
          <w:szCs w:val="24"/>
          <w:rtl/>
        </w:rPr>
        <w:t xml:space="preserve">. </w:t>
      </w:r>
    </w:p>
    <w:p w:rsidR="00A95850" w:rsidRDefault="00C32A28" w:rsidP="00A83357">
      <w:pPr>
        <w:rPr>
          <w:sz w:val="24"/>
          <w:szCs w:val="24"/>
          <w:rtl/>
        </w:rPr>
      </w:pPr>
      <w:proofErr w:type="spellStart"/>
      <w:r>
        <w:rPr>
          <w:rFonts w:hint="cs"/>
          <w:b/>
          <w:bCs/>
          <w:sz w:val="24"/>
          <w:szCs w:val="24"/>
          <w:rtl/>
        </w:rPr>
        <w:t>הש"ך</w:t>
      </w:r>
      <w:proofErr w:type="spellEnd"/>
      <w:r>
        <w:rPr>
          <w:rFonts w:hint="cs"/>
          <w:b/>
          <w:bCs/>
          <w:sz w:val="24"/>
          <w:szCs w:val="24"/>
          <w:rtl/>
        </w:rPr>
        <w:t xml:space="preserve"> </w:t>
      </w:r>
      <w:r>
        <w:rPr>
          <w:rFonts w:hint="cs"/>
          <w:sz w:val="24"/>
          <w:szCs w:val="24"/>
          <w:rtl/>
        </w:rPr>
        <w:t xml:space="preserve">מביא הסבר נוסף לדברי הרמב"ם המתקשר גם למחלוקת המחבר </w:t>
      </w:r>
      <w:proofErr w:type="spellStart"/>
      <w:r>
        <w:rPr>
          <w:rFonts w:hint="cs"/>
          <w:sz w:val="24"/>
          <w:szCs w:val="24"/>
          <w:rtl/>
        </w:rPr>
        <w:t>והרמ"א</w:t>
      </w:r>
      <w:proofErr w:type="spellEnd"/>
      <w:r>
        <w:rPr>
          <w:rFonts w:hint="cs"/>
          <w:sz w:val="24"/>
          <w:szCs w:val="24"/>
          <w:rtl/>
        </w:rPr>
        <w:t xml:space="preserve">. לשיטתו , הרמב"ם </w:t>
      </w:r>
      <w:r w:rsidR="00A83357">
        <w:rPr>
          <w:rFonts w:hint="cs"/>
          <w:sz w:val="24"/>
          <w:szCs w:val="24"/>
          <w:rtl/>
        </w:rPr>
        <w:t xml:space="preserve">מכריע </w:t>
      </w:r>
      <w:r w:rsidR="00A83357" w:rsidRPr="00A83357">
        <w:rPr>
          <w:rFonts w:hint="cs"/>
          <w:b/>
          <w:bCs/>
          <w:sz w:val="24"/>
          <w:szCs w:val="24"/>
          <w:rtl/>
        </w:rPr>
        <w:t xml:space="preserve">בין </w:t>
      </w:r>
      <w:proofErr w:type="spellStart"/>
      <w:r w:rsidR="00A83357" w:rsidRPr="00A83357">
        <w:rPr>
          <w:rFonts w:hint="cs"/>
          <w:b/>
          <w:bCs/>
          <w:sz w:val="24"/>
          <w:szCs w:val="24"/>
          <w:rtl/>
        </w:rPr>
        <w:t>אוקימתות</w:t>
      </w:r>
      <w:proofErr w:type="spellEnd"/>
      <w:r w:rsidR="00A83357" w:rsidRPr="00A83357">
        <w:rPr>
          <w:rFonts w:hint="cs"/>
          <w:b/>
          <w:bCs/>
          <w:sz w:val="24"/>
          <w:szCs w:val="24"/>
          <w:rtl/>
        </w:rPr>
        <w:t xml:space="preserve"> הגמרא</w:t>
      </w:r>
      <w:r w:rsidR="00A83357">
        <w:rPr>
          <w:rFonts w:hint="cs"/>
          <w:sz w:val="24"/>
          <w:szCs w:val="24"/>
          <w:rtl/>
        </w:rPr>
        <w:t xml:space="preserve"> </w:t>
      </w:r>
      <w:r>
        <w:rPr>
          <w:rFonts w:hint="cs"/>
          <w:sz w:val="24"/>
          <w:szCs w:val="24"/>
          <w:rtl/>
        </w:rPr>
        <w:t xml:space="preserve"> כרב אשי שהוא </w:t>
      </w:r>
      <w:proofErr w:type="spellStart"/>
      <w:r>
        <w:rPr>
          <w:rFonts w:hint="cs"/>
          <w:sz w:val="24"/>
          <w:szCs w:val="24"/>
          <w:rtl/>
        </w:rPr>
        <w:t>בתראה</w:t>
      </w:r>
      <w:proofErr w:type="spellEnd"/>
      <w:r>
        <w:rPr>
          <w:rFonts w:hint="cs"/>
          <w:sz w:val="24"/>
          <w:szCs w:val="24"/>
          <w:rtl/>
        </w:rPr>
        <w:t xml:space="preserve"> ולכן כלל לא משנה אם הוא </w:t>
      </w:r>
      <w:r>
        <w:rPr>
          <w:rFonts w:hint="cs"/>
          <w:sz w:val="24"/>
          <w:szCs w:val="24"/>
          <w:rtl/>
        </w:rPr>
        <w:lastRenderedPageBreak/>
        <w:t xml:space="preserve">והרוח היו באותו צד או משני צדדים וכן לא משנה אם הייתה שם רוח או לא ולא משנה באיזו רמת ליבוי הוא השתתף בכל מקרה הדין הוא שפטור מפני שכמו שאמר רב אשי הוא עשה </w:t>
      </w:r>
      <w:proofErr w:type="spellStart"/>
      <w:r>
        <w:rPr>
          <w:rFonts w:hint="cs"/>
          <w:sz w:val="24"/>
          <w:szCs w:val="24"/>
          <w:rtl/>
        </w:rPr>
        <w:t>גרמא</w:t>
      </w:r>
      <w:proofErr w:type="spellEnd"/>
      <w:r>
        <w:rPr>
          <w:rFonts w:hint="cs"/>
          <w:sz w:val="24"/>
          <w:szCs w:val="24"/>
          <w:rtl/>
        </w:rPr>
        <w:t xml:space="preserve"> , </w:t>
      </w:r>
      <w:proofErr w:type="spellStart"/>
      <w:r>
        <w:rPr>
          <w:rFonts w:hint="cs"/>
          <w:sz w:val="24"/>
          <w:szCs w:val="24"/>
          <w:rtl/>
        </w:rPr>
        <w:t>וגרמא</w:t>
      </w:r>
      <w:proofErr w:type="spellEnd"/>
      <w:r>
        <w:rPr>
          <w:rFonts w:hint="cs"/>
          <w:sz w:val="24"/>
          <w:szCs w:val="24"/>
          <w:rtl/>
        </w:rPr>
        <w:t xml:space="preserve"> </w:t>
      </w:r>
      <w:r w:rsidR="00A83357">
        <w:rPr>
          <w:rFonts w:hint="cs"/>
          <w:sz w:val="24"/>
          <w:szCs w:val="24"/>
          <w:rtl/>
        </w:rPr>
        <w:t xml:space="preserve">פטור. אבל הרמב"ם </w:t>
      </w:r>
      <w:r w:rsidR="00A83357" w:rsidRPr="00A83357">
        <w:rPr>
          <w:rFonts w:hint="cs"/>
          <w:b/>
          <w:bCs/>
          <w:sz w:val="24"/>
          <w:szCs w:val="24"/>
          <w:rtl/>
        </w:rPr>
        <w:t>לא פוסק להלכה כרב אשי</w:t>
      </w:r>
      <w:r w:rsidR="00A83357">
        <w:rPr>
          <w:rFonts w:hint="cs"/>
          <w:sz w:val="24"/>
          <w:szCs w:val="24"/>
          <w:rtl/>
        </w:rPr>
        <w:t xml:space="preserve"> , כי לשיטתו </w:t>
      </w:r>
      <w:proofErr w:type="spellStart"/>
      <w:r w:rsidR="00A83357">
        <w:rPr>
          <w:rFonts w:hint="cs"/>
          <w:sz w:val="24"/>
          <w:szCs w:val="24"/>
          <w:rtl/>
        </w:rPr>
        <w:t>גרמא</w:t>
      </w:r>
      <w:proofErr w:type="spellEnd"/>
      <w:r w:rsidR="00A83357">
        <w:rPr>
          <w:rFonts w:hint="cs"/>
          <w:sz w:val="24"/>
          <w:szCs w:val="24"/>
          <w:rtl/>
        </w:rPr>
        <w:t xml:space="preserve"> וגרמי </w:t>
      </w:r>
      <w:r w:rsidR="00A83357">
        <w:rPr>
          <w:rStyle w:val="a5"/>
          <w:sz w:val="24"/>
          <w:szCs w:val="24"/>
          <w:rtl/>
        </w:rPr>
        <w:footnoteReference w:id="1"/>
      </w:r>
      <w:proofErr w:type="spellStart"/>
      <w:r w:rsidR="00A83357">
        <w:rPr>
          <w:rFonts w:hint="cs"/>
          <w:sz w:val="24"/>
          <w:szCs w:val="24"/>
          <w:rtl/>
        </w:rPr>
        <w:t>בנזקין</w:t>
      </w:r>
      <w:proofErr w:type="spellEnd"/>
      <w:r w:rsidR="00A83357">
        <w:rPr>
          <w:rFonts w:hint="cs"/>
          <w:sz w:val="24"/>
          <w:szCs w:val="24"/>
          <w:rtl/>
        </w:rPr>
        <w:t xml:space="preserve"> חייב ולכן הוא מכריע שבכל מקרה ליבה ולבתו הרוח </w:t>
      </w:r>
      <w:r w:rsidR="00A83357">
        <w:rPr>
          <w:sz w:val="24"/>
          <w:szCs w:val="24"/>
          <w:rtl/>
        </w:rPr>
        <w:t>–</w:t>
      </w:r>
      <w:r w:rsidR="00A83357">
        <w:rPr>
          <w:rFonts w:hint="cs"/>
          <w:sz w:val="24"/>
          <w:szCs w:val="24"/>
          <w:rtl/>
        </w:rPr>
        <w:t xml:space="preserve"> חייב. </w:t>
      </w:r>
      <w:r w:rsidR="00144126">
        <w:rPr>
          <w:rStyle w:val="a5"/>
          <w:sz w:val="24"/>
          <w:szCs w:val="24"/>
          <w:rtl/>
        </w:rPr>
        <w:footnoteReference w:id="2"/>
      </w:r>
    </w:p>
    <w:p w:rsidR="00A83357" w:rsidRDefault="00A83357" w:rsidP="00A83357">
      <w:pPr>
        <w:rPr>
          <w:sz w:val="24"/>
          <w:szCs w:val="24"/>
          <w:rtl/>
        </w:rPr>
      </w:pPr>
      <w:r>
        <w:rPr>
          <w:rFonts w:hint="cs"/>
          <w:sz w:val="24"/>
          <w:szCs w:val="24"/>
          <w:rtl/>
        </w:rPr>
        <w:t xml:space="preserve">ורמז מצא </w:t>
      </w:r>
      <w:proofErr w:type="spellStart"/>
      <w:r>
        <w:rPr>
          <w:rFonts w:hint="cs"/>
          <w:sz w:val="24"/>
          <w:szCs w:val="24"/>
          <w:rtl/>
        </w:rPr>
        <w:t>הש"ך</w:t>
      </w:r>
      <w:proofErr w:type="spellEnd"/>
      <w:r>
        <w:rPr>
          <w:rFonts w:hint="cs"/>
          <w:sz w:val="24"/>
          <w:szCs w:val="24"/>
          <w:rtl/>
        </w:rPr>
        <w:t xml:space="preserve"> שכך דעת הרמב"ם בכך שהוא סיים את ההלכה הזו במילים: "</w:t>
      </w:r>
      <w:r w:rsidRPr="00A83357">
        <w:rPr>
          <w:rFonts w:cs="Arial"/>
          <w:sz w:val="24"/>
          <w:szCs w:val="24"/>
          <w:rtl/>
        </w:rPr>
        <w:t xml:space="preserve"> </w:t>
      </w:r>
      <w:r w:rsidRPr="00C56C25">
        <w:rPr>
          <w:rFonts w:cs="Arial"/>
          <w:sz w:val="24"/>
          <w:szCs w:val="24"/>
          <w:rtl/>
        </w:rPr>
        <w:t xml:space="preserve">וכל הגורם להזיק משלם נזק שלם מן היפה שבנכסיו </w:t>
      </w:r>
      <w:r>
        <w:rPr>
          <w:rFonts w:cs="Arial" w:hint="cs"/>
          <w:sz w:val="24"/>
          <w:szCs w:val="24"/>
          <w:rtl/>
        </w:rPr>
        <w:t xml:space="preserve">..." שנוסח זה  מקביל לשני מקומות נוספים בהם הרמב"ם מחייב </w:t>
      </w:r>
      <w:proofErr w:type="spellStart"/>
      <w:r>
        <w:rPr>
          <w:rFonts w:cs="Arial" w:hint="cs"/>
          <w:sz w:val="24"/>
          <w:szCs w:val="24"/>
          <w:rtl/>
        </w:rPr>
        <w:t>בדינא</w:t>
      </w:r>
      <w:proofErr w:type="spellEnd"/>
      <w:r>
        <w:rPr>
          <w:rFonts w:cs="Arial" w:hint="cs"/>
          <w:sz w:val="24"/>
          <w:szCs w:val="24"/>
          <w:rtl/>
        </w:rPr>
        <w:t xml:space="preserve"> </w:t>
      </w:r>
      <w:proofErr w:type="spellStart"/>
      <w:r>
        <w:rPr>
          <w:rFonts w:cs="Arial" w:hint="cs"/>
          <w:sz w:val="24"/>
          <w:szCs w:val="24"/>
          <w:rtl/>
        </w:rPr>
        <w:t>דגרמי</w:t>
      </w:r>
      <w:proofErr w:type="spellEnd"/>
      <w:r>
        <w:rPr>
          <w:rFonts w:cs="Arial" w:hint="cs"/>
          <w:sz w:val="24"/>
          <w:szCs w:val="24"/>
          <w:rtl/>
        </w:rPr>
        <w:t xml:space="preserve"> / </w:t>
      </w:r>
      <w:proofErr w:type="spellStart"/>
      <w:r>
        <w:rPr>
          <w:rFonts w:cs="Arial" w:hint="cs"/>
          <w:sz w:val="24"/>
          <w:szCs w:val="24"/>
          <w:rtl/>
        </w:rPr>
        <w:t>גרמא</w:t>
      </w:r>
      <w:proofErr w:type="spellEnd"/>
      <w:r>
        <w:rPr>
          <w:rFonts w:cs="Arial" w:hint="cs"/>
          <w:sz w:val="24"/>
          <w:szCs w:val="24"/>
          <w:rtl/>
        </w:rPr>
        <w:t xml:space="preserve"> : הלכות חובל ובשורף שטר של חברו . </w:t>
      </w:r>
    </w:p>
    <w:p w:rsidR="00144126" w:rsidRDefault="00144126" w:rsidP="00A83357">
      <w:pPr>
        <w:rPr>
          <w:sz w:val="24"/>
          <w:szCs w:val="24"/>
          <w:rtl/>
        </w:rPr>
      </w:pPr>
      <w:r>
        <w:rPr>
          <w:rFonts w:hint="cs"/>
          <w:sz w:val="24"/>
          <w:szCs w:val="24"/>
          <w:rtl/>
        </w:rPr>
        <w:t xml:space="preserve">גם </w:t>
      </w:r>
      <w:proofErr w:type="spellStart"/>
      <w:r w:rsidRPr="00144126">
        <w:rPr>
          <w:rFonts w:hint="cs"/>
          <w:b/>
          <w:bCs/>
          <w:sz w:val="24"/>
          <w:szCs w:val="24"/>
          <w:rtl/>
        </w:rPr>
        <w:t>הגר"א</w:t>
      </w:r>
      <w:proofErr w:type="spellEnd"/>
      <w:r>
        <w:rPr>
          <w:rFonts w:hint="cs"/>
          <w:sz w:val="24"/>
          <w:szCs w:val="24"/>
          <w:rtl/>
        </w:rPr>
        <w:t xml:space="preserve"> (</w:t>
      </w:r>
      <w:proofErr w:type="spellStart"/>
      <w:r>
        <w:rPr>
          <w:rFonts w:hint="cs"/>
          <w:sz w:val="24"/>
          <w:szCs w:val="24"/>
          <w:rtl/>
        </w:rPr>
        <w:t>או"ק</w:t>
      </w:r>
      <w:proofErr w:type="spellEnd"/>
      <w:r>
        <w:rPr>
          <w:rFonts w:hint="cs"/>
          <w:sz w:val="24"/>
          <w:szCs w:val="24"/>
          <w:rtl/>
        </w:rPr>
        <w:t xml:space="preserve">, </w:t>
      </w:r>
      <w:proofErr w:type="spellStart"/>
      <w:r>
        <w:rPr>
          <w:rFonts w:hint="cs"/>
          <w:sz w:val="24"/>
          <w:szCs w:val="24"/>
          <w:rtl/>
        </w:rPr>
        <w:t>יט</w:t>
      </w:r>
      <w:proofErr w:type="spellEnd"/>
      <w:r>
        <w:rPr>
          <w:rFonts w:hint="cs"/>
          <w:sz w:val="24"/>
          <w:szCs w:val="24"/>
          <w:rtl/>
        </w:rPr>
        <w:t>) מסביר באותה דרך :</w:t>
      </w:r>
    </w:p>
    <w:p w:rsidR="00144126" w:rsidRDefault="00144126" w:rsidP="00144126">
      <w:pPr>
        <w:rPr>
          <w:sz w:val="24"/>
          <w:szCs w:val="24"/>
          <w:rtl/>
        </w:rPr>
      </w:pPr>
      <w:r w:rsidRPr="00144126">
        <w:rPr>
          <w:rFonts w:cs="Arial"/>
          <w:sz w:val="24"/>
          <w:szCs w:val="24"/>
          <w:rtl/>
        </w:rPr>
        <w:t xml:space="preserve">והרמב"ם לשיטתו </w:t>
      </w:r>
      <w:proofErr w:type="spellStart"/>
      <w:r w:rsidRPr="00144126">
        <w:rPr>
          <w:rFonts w:cs="Arial"/>
          <w:sz w:val="24"/>
          <w:szCs w:val="24"/>
          <w:rtl/>
        </w:rPr>
        <w:t>דס"ל</w:t>
      </w:r>
      <w:proofErr w:type="spellEnd"/>
      <w:r w:rsidRPr="00144126">
        <w:rPr>
          <w:rFonts w:cs="Arial"/>
          <w:sz w:val="24"/>
          <w:szCs w:val="24"/>
          <w:rtl/>
        </w:rPr>
        <w:t xml:space="preserve"> דלא </w:t>
      </w:r>
      <w:proofErr w:type="spellStart"/>
      <w:r w:rsidRPr="00144126">
        <w:rPr>
          <w:rFonts w:cs="Arial"/>
          <w:sz w:val="24"/>
          <w:szCs w:val="24"/>
          <w:rtl/>
        </w:rPr>
        <w:t>קי"ל</w:t>
      </w:r>
      <w:proofErr w:type="spellEnd"/>
      <w:r w:rsidRPr="00144126">
        <w:rPr>
          <w:rFonts w:cs="Arial"/>
          <w:sz w:val="24"/>
          <w:szCs w:val="24"/>
          <w:rtl/>
        </w:rPr>
        <w:t xml:space="preserve"> </w:t>
      </w:r>
      <w:proofErr w:type="spellStart"/>
      <w:r w:rsidRPr="00144126">
        <w:rPr>
          <w:rFonts w:cs="Arial"/>
          <w:sz w:val="24"/>
          <w:szCs w:val="24"/>
          <w:rtl/>
        </w:rPr>
        <w:t>כר"א</w:t>
      </w:r>
      <w:proofErr w:type="spellEnd"/>
      <w:r w:rsidRPr="00144126">
        <w:rPr>
          <w:rFonts w:cs="Arial"/>
          <w:sz w:val="24"/>
          <w:szCs w:val="24"/>
          <w:rtl/>
        </w:rPr>
        <w:t xml:space="preserve"> </w:t>
      </w:r>
      <w:proofErr w:type="spellStart"/>
      <w:r w:rsidRPr="00144126">
        <w:rPr>
          <w:rFonts w:cs="Arial"/>
          <w:sz w:val="24"/>
          <w:szCs w:val="24"/>
          <w:rtl/>
        </w:rPr>
        <w:t>דגרמא</w:t>
      </w:r>
      <w:proofErr w:type="spellEnd"/>
      <w:r w:rsidRPr="00144126">
        <w:rPr>
          <w:rFonts w:cs="Arial"/>
          <w:sz w:val="24"/>
          <w:szCs w:val="24"/>
          <w:rtl/>
        </w:rPr>
        <w:t xml:space="preserve"> פטור כמ"ש בסי' שפו </w:t>
      </w:r>
      <w:proofErr w:type="spellStart"/>
      <w:r w:rsidRPr="00144126">
        <w:rPr>
          <w:rFonts w:cs="Arial"/>
          <w:sz w:val="24"/>
          <w:szCs w:val="24"/>
          <w:rtl/>
        </w:rPr>
        <w:t>וז"ש</w:t>
      </w:r>
      <w:proofErr w:type="spellEnd"/>
      <w:r w:rsidRPr="00144126">
        <w:rPr>
          <w:rFonts w:cs="Arial"/>
          <w:sz w:val="24"/>
          <w:szCs w:val="24"/>
          <w:rtl/>
        </w:rPr>
        <w:t xml:space="preserve"> בכתובות פ"ו א' כפייה </w:t>
      </w:r>
      <w:proofErr w:type="spellStart"/>
      <w:r w:rsidRPr="00144126">
        <w:rPr>
          <w:rFonts w:cs="Arial"/>
          <w:sz w:val="24"/>
          <w:szCs w:val="24"/>
          <w:rtl/>
        </w:rPr>
        <w:t>כו</w:t>
      </w:r>
      <w:proofErr w:type="spellEnd"/>
      <w:r w:rsidRPr="00144126">
        <w:rPr>
          <w:rFonts w:cs="Arial"/>
          <w:sz w:val="24"/>
          <w:szCs w:val="24"/>
          <w:rtl/>
        </w:rPr>
        <w:t xml:space="preserve">'. אבל </w:t>
      </w:r>
      <w:proofErr w:type="spellStart"/>
      <w:r w:rsidRPr="00144126">
        <w:rPr>
          <w:rFonts w:cs="Arial"/>
          <w:sz w:val="24"/>
          <w:szCs w:val="24"/>
          <w:rtl/>
        </w:rPr>
        <w:t>תוס</w:t>
      </w:r>
      <w:proofErr w:type="spellEnd"/>
      <w:r w:rsidRPr="00144126">
        <w:rPr>
          <w:rFonts w:cs="Arial"/>
          <w:sz w:val="24"/>
          <w:szCs w:val="24"/>
          <w:rtl/>
        </w:rPr>
        <w:t xml:space="preserve">' והרב חלקו שם עליו </w:t>
      </w:r>
      <w:proofErr w:type="spellStart"/>
      <w:r w:rsidRPr="00144126">
        <w:rPr>
          <w:rFonts w:cs="Arial"/>
          <w:sz w:val="24"/>
          <w:szCs w:val="24"/>
          <w:rtl/>
        </w:rPr>
        <w:t>וז"ש</w:t>
      </w:r>
      <w:proofErr w:type="spellEnd"/>
      <w:r w:rsidRPr="00144126">
        <w:rPr>
          <w:rFonts w:cs="Arial"/>
          <w:sz w:val="24"/>
          <w:szCs w:val="24"/>
          <w:rtl/>
        </w:rPr>
        <w:t xml:space="preserve"> כאן וי"א</w:t>
      </w:r>
    </w:p>
    <w:p w:rsidR="00144126" w:rsidRPr="00144126" w:rsidRDefault="00144126" w:rsidP="00144126">
      <w:pPr>
        <w:rPr>
          <w:sz w:val="24"/>
          <w:szCs w:val="24"/>
          <w:rtl/>
        </w:rPr>
      </w:pPr>
    </w:p>
    <w:p w:rsidR="00A83357" w:rsidRPr="00C32A28" w:rsidRDefault="00A83357" w:rsidP="00A83357">
      <w:pPr>
        <w:rPr>
          <w:sz w:val="24"/>
          <w:szCs w:val="24"/>
          <w:rtl/>
        </w:rPr>
      </w:pPr>
    </w:p>
    <w:p w:rsidR="00A95850" w:rsidRPr="00C56C25" w:rsidRDefault="00A95850" w:rsidP="00A95850">
      <w:pPr>
        <w:rPr>
          <w:sz w:val="24"/>
          <w:szCs w:val="24"/>
          <w:rtl/>
        </w:rPr>
      </w:pPr>
    </w:p>
    <w:p w:rsidR="00F52180" w:rsidRPr="00CD0FCE" w:rsidRDefault="00F52180" w:rsidP="00CD0FCE">
      <w:pPr>
        <w:rPr>
          <w:sz w:val="24"/>
          <w:szCs w:val="24"/>
          <w:rtl/>
        </w:rPr>
      </w:pPr>
    </w:p>
    <w:p w:rsidR="00CD0FCE" w:rsidRPr="00CD0FCE" w:rsidRDefault="00CD0FCE" w:rsidP="00CD0FCE">
      <w:pPr>
        <w:rPr>
          <w:sz w:val="24"/>
          <w:szCs w:val="24"/>
          <w:rtl/>
        </w:rPr>
      </w:pPr>
    </w:p>
    <w:p w:rsidR="00CD0FCE" w:rsidRPr="00CD0FCE" w:rsidRDefault="00CD0FCE">
      <w:pPr>
        <w:rPr>
          <w:sz w:val="24"/>
          <w:szCs w:val="24"/>
        </w:rPr>
      </w:pPr>
    </w:p>
    <w:sectPr w:rsidR="00CD0FCE" w:rsidRPr="00CD0FCE" w:rsidSect="00905C59">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241B" w:rsidRDefault="0067241B" w:rsidP="00A83357">
      <w:pPr>
        <w:spacing w:after="0" w:line="240" w:lineRule="auto"/>
      </w:pPr>
      <w:r>
        <w:separator/>
      </w:r>
    </w:p>
  </w:endnote>
  <w:endnote w:type="continuationSeparator" w:id="0">
    <w:p w:rsidR="0067241B" w:rsidRDefault="0067241B" w:rsidP="00A83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241B" w:rsidRDefault="0067241B" w:rsidP="00A83357">
      <w:pPr>
        <w:spacing w:after="0" w:line="240" w:lineRule="auto"/>
      </w:pPr>
      <w:r>
        <w:separator/>
      </w:r>
    </w:p>
  </w:footnote>
  <w:footnote w:type="continuationSeparator" w:id="0">
    <w:p w:rsidR="0067241B" w:rsidRDefault="0067241B" w:rsidP="00A83357">
      <w:pPr>
        <w:spacing w:after="0" w:line="240" w:lineRule="auto"/>
      </w:pPr>
      <w:r>
        <w:continuationSeparator/>
      </w:r>
    </w:p>
  </w:footnote>
  <w:footnote w:id="1">
    <w:p w:rsidR="00A83357" w:rsidRDefault="00A83357">
      <w:pPr>
        <w:pStyle w:val="a3"/>
      </w:pPr>
      <w:r>
        <w:rPr>
          <w:rStyle w:val="a5"/>
        </w:rPr>
        <w:footnoteRef/>
      </w:r>
      <w:r>
        <w:rPr>
          <w:rtl/>
        </w:rPr>
        <w:t xml:space="preserve"> </w:t>
      </w:r>
      <w:proofErr w:type="spellStart"/>
      <w:r>
        <w:rPr>
          <w:rFonts w:hint="cs"/>
          <w:rtl/>
        </w:rPr>
        <w:t>הש"ך</w:t>
      </w:r>
      <w:proofErr w:type="spellEnd"/>
      <w:r>
        <w:rPr>
          <w:rFonts w:hint="cs"/>
          <w:rtl/>
        </w:rPr>
        <w:t xml:space="preserve"> משווה ביניהם </w:t>
      </w:r>
      <w:proofErr w:type="spellStart"/>
      <w:r>
        <w:rPr>
          <w:rFonts w:hint="cs"/>
          <w:rtl/>
        </w:rPr>
        <w:t>לדינא</w:t>
      </w:r>
      <w:proofErr w:type="spellEnd"/>
      <w:r>
        <w:rPr>
          <w:rFonts w:hint="cs"/>
          <w:rtl/>
        </w:rPr>
        <w:t xml:space="preserve"> בדעת הרמב"ם</w:t>
      </w:r>
    </w:p>
  </w:footnote>
  <w:footnote w:id="2">
    <w:p w:rsidR="00144126" w:rsidRDefault="00144126">
      <w:pPr>
        <w:pStyle w:val="a3"/>
      </w:pPr>
      <w:r>
        <w:rPr>
          <w:rStyle w:val="a5"/>
        </w:rPr>
        <w:footnoteRef/>
      </w:r>
      <w:r>
        <w:rPr>
          <w:rtl/>
        </w:rPr>
        <w:t xml:space="preserve"> </w:t>
      </w:r>
      <w:r>
        <w:rPr>
          <w:rFonts w:hint="cs"/>
          <w:rtl/>
        </w:rPr>
        <w:t xml:space="preserve">אומנם קשה מפסיקת הרמב"ם בהלכות שכנים אך אין זה עניין מאמרנו זה.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FCE"/>
    <w:rsid w:val="00144126"/>
    <w:rsid w:val="0017726A"/>
    <w:rsid w:val="003C2B51"/>
    <w:rsid w:val="00643921"/>
    <w:rsid w:val="0067241B"/>
    <w:rsid w:val="0070265C"/>
    <w:rsid w:val="007361B8"/>
    <w:rsid w:val="00905C59"/>
    <w:rsid w:val="00A83357"/>
    <w:rsid w:val="00A95850"/>
    <w:rsid w:val="00BB545D"/>
    <w:rsid w:val="00C32A28"/>
    <w:rsid w:val="00C56C25"/>
    <w:rsid w:val="00CD0FCE"/>
    <w:rsid w:val="00F5218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D8107"/>
  <w15:chartTrackingRefBased/>
  <w15:docId w15:val="{9BE0B7B6-D354-4F97-A5E5-CA799E302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A83357"/>
    <w:pPr>
      <w:spacing w:after="0" w:line="240" w:lineRule="auto"/>
    </w:pPr>
    <w:rPr>
      <w:sz w:val="20"/>
      <w:szCs w:val="20"/>
    </w:rPr>
  </w:style>
  <w:style w:type="character" w:customStyle="1" w:styleId="a4">
    <w:name w:val="טקסט הערת שוליים תו"/>
    <w:basedOn w:val="a0"/>
    <w:link w:val="a3"/>
    <w:uiPriority w:val="99"/>
    <w:semiHidden/>
    <w:rsid w:val="00A83357"/>
    <w:rPr>
      <w:sz w:val="20"/>
      <w:szCs w:val="20"/>
    </w:rPr>
  </w:style>
  <w:style w:type="character" w:styleId="a5">
    <w:name w:val="footnote reference"/>
    <w:basedOn w:val="a0"/>
    <w:uiPriority w:val="99"/>
    <w:semiHidden/>
    <w:unhideWhenUsed/>
    <w:rsid w:val="00A83357"/>
    <w:rPr>
      <w:vertAlign w:val="superscript"/>
    </w:rPr>
  </w:style>
  <w:style w:type="paragraph" w:styleId="a6">
    <w:name w:val="Balloon Text"/>
    <w:basedOn w:val="a"/>
    <w:link w:val="a7"/>
    <w:uiPriority w:val="99"/>
    <w:semiHidden/>
    <w:unhideWhenUsed/>
    <w:rsid w:val="00643921"/>
    <w:pPr>
      <w:spacing w:after="0" w:line="240" w:lineRule="auto"/>
    </w:pPr>
    <w:rPr>
      <w:rFonts w:ascii="Tahoma" w:hAnsi="Tahoma" w:cs="Tahoma"/>
      <w:sz w:val="18"/>
      <w:szCs w:val="18"/>
    </w:rPr>
  </w:style>
  <w:style w:type="character" w:customStyle="1" w:styleId="a7">
    <w:name w:val="טקסט בלונים תו"/>
    <w:basedOn w:val="a0"/>
    <w:link w:val="a6"/>
    <w:uiPriority w:val="99"/>
    <w:semiHidden/>
    <w:rsid w:val="00643921"/>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3566B-B5BE-44BE-9990-A681456993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2</Pages>
  <Words>478</Words>
  <Characters>2393</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cp:lastPrinted>2023-08-16T18:38:00Z</cp:lastPrinted>
  <dcterms:created xsi:type="dcterms:W3CDTF">2023-08-16T17:34:00Z</dcterms:created>
  <dcterms:modified xsi:type="dcterms:W3CDTF">2023-10-15T18:46:00Z</dcterms:modified>
</cp:coreProperties>
</file>