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A0126C">
      <w:pPr>
        <w:rPr>
          <w:sz w:val="24"/>
          <w:szCs w:val="24"/>
          <w:rtl/>
        </w:rPr>
      </w:pPr>
      <w:r>
        <w:rPr>
          <w:rFonts w:hint="cs"/>
          <w:sz w:val="24"/>
          <w:szCs w:val="24"/>
          <w:rtl/>
        </w:rPr>
        <w:t>בס"ד</w:t>
      </w:r>
    </w:p>
    <w:p w:rsidR="00D5707B" w:rsidRDefault="00D5707B">
      <w:pPr>
        <w:rPr>
          <w:sz w:val="24"/>
          <w:szCs w:val="24"/>
          <w:rtl/>
        </w:rPr>
      </w:pPr>
    </w:p>
    <w:p w:rsidR="00D5707B" w:rsidRDefault="00D5707B">
      <w:pPr>
        <w:rPr>
          <w:b/>
          <w:bCs/>
          <w:sz w:val="32"/>
          <w:szCs w:val="32"/>
          <w:rtl/>
        </w:rPr>
      </w:pPr>
      <w:r>
        <w:rPr>
          <w:rFonts w:hint="cs"/>
          <w:sz w:val="24"/>
          <w:szCs w:val="24"/>
          <w:rtl/>
        </w:rPr>
        <w:t xml:space="preserve">                      </w:t>
      </w:r>
      <w:r>
        <w:rPr>
          <w:rFonts w:hint="cs"/>
          <w:b/>
          <w:bCs/>
          <w:sz w:val="32"/>
          <w:szCs w:val="32"/>
          <w:rtl/>
        </w:rPr>
        <w:t xml:space="preserve">נכסים המיוחדים- למיעוטי מאי?- דף </w:t>
      </w:r>
      <w:proofErr w:type="spellStart"/>
      <w:r>
        <w:rPr>
          <w:rFonts w:hint="cs"/>
          <w:b/>
          <w:bCs/>
          <w:sz w:val="32"/>
          <w:szCs w:val="32"/>
          <w:rtl/>
        </w:rPr>
        <w:t>יג</w:t>
      </w:r>
      <w:proofErr w:type="spellEnd"/>
      <w:r>
        <w:rPr>
          <w:rFonts w:hint="cs"/>
          <w:b/>
          <w:bCs/>
          <w:sz w:val="32"/>
          <w:szCs w:val="32"/>
          <w:rtl/>
        </w:rPr>
        <w:t>, ב</w:t>
      </w:r>
    </w:p>
    <w:p w:rsidR="00D5707B" w:rsidRPr="00D5707B" w:rsidRDefault="00D5707B">
      <w:pPr>
        <w:rPr>
          <w:b/>
          <w:bCs/>
          <w:sz w:val="32"/>
          <w:szCs w:val="32"/>
          <w:rtl/>
        </w:rPr>
      </w:pPr>
      <w:r>
        <w:rPr>
          <w:rFonts w:hint="cs"/>
          <w:b/>
          <w:bCs/>
          <w:sz w:val="32"/>
          <w:szCs w:val="32"/>
          <w:rtl/>
        </w:rPr>
        <w:t xml:space="preserve">                                </w:t>
      </w:r>
      <w:bookmarkStart w:id="0" w:name="_GoBack"/>
      <w:bookmarkEnd w:id="0"/>
      <w:r>
        <w:rPr>
          <w:rFonts w:hint="cs"/>
          <w:b/>
          <w:bCs/>
          <w:sz w:val="32"/>
          <w:szCs w:val="32"/>
          <w:rtl/>
        </w:rPr>
        <w:t xml:space="preserve">   </w:t>
      </w:r>
      <w:r>
        <w:rPr>
          <w:rFonts w:cs="Arial"/>
          <w:b/>
          <w:bCs/>
          <w:sz w:val="24"/>
          <w:szCs w:val="24"/>
          <w:rtl/>
        </w:rPr>
        <w:t>הרב משה חיים הר-נוי</w:t>
      </w:r>
    </w:p>
    <w:p w:rsidR="00A0126C" w:rsidRDefault="00A0126C" w:rsidP="00A0126C">
      <w:pPr>
        <w:rPr>
          <w:sz w:val="24"/>
          <w:szCs w:val="24"/>
          <w:rtl/>
        </w:rPr>
      </w:pPr>
      <w:r>
        <w:rPr>
          <w:rFonts w:hint="cs"/>
          <w:sz w:val="24"/>
          <w:szCs w:val="24"/>
          <w:rtl/>
        </w:rPr>
        <w:t xml:space="preserve">הגמרא </w:t>
      </w:r>
      <w:r w:rsidRPr="00A0126C">
        <w:rPr>
          <w:rFonts w:hint="cs"/>
          <w:b/>
          <w:bCs/>
          <w:sz w:val="24"/>
          <w:szCs w:val="24"/>
          <w:rtl/>
        </w:rPr>
        <w:t xml:space="preserve">בדף </w:t>
      </w:r>
      <w:proofErr w:type="spellStart"/>
      <w:r w:rsidRPr="00A0126C">
        <w:rPr>
          <w:rFonts w:hint="cs"/>
          <w:b/>
          <w:bCs/>
          <w:sz w:val="24"/>
          <w:szCs w:val="24"/>
          <w:rtl/>
        </w:rPr>
        <w:t>יג</w:t>
      </w:r>
      <w:proofErr w:type="spellEnd"/>
      <w:r w:rsidRPr="00A0126C">
        <w:rPr>
          <w:rFonts w:hint="cs"/>
          <w:b/>
          <w:bCs/>
          <w:sz w:val="24"/>
          <w:szCs w:val="24"/>
          <w:rtl/>
        </w:rPr>
        <w:t xml:space="preserve"> עמוד ב</w:t>
      </w:r>
      <w:r>
        <w:rPr>
          <w:rFonts w:hint="cs"/>
          <w:sz w:val="24"/>
          <w:szCs w:val="24"/>
          <w:rtl/>
        </w:rPr>
        <w:t xml:space="preserve"> אומרת :</w:t>
      </w:r>
    </w:p>
    <w:p w:rsidR="00A0126C" w:rsidRDefault="00A0126C" w:rsidP="00A0126C">
      <w:pPr>
        <w:rPr>
          <w:sz w:val="24"/>
          <w:szCs w:val="24"/>
          <w:rtl/>
        </w:rPr>
      </w:pPr>
      <w:r w:rsidRPr="00A0126C">
        <w:rPr>
          <w:rFonts w:cs="Arial"/>
          <w:sz w:val="24"/>
          <w:szCs w:val="24"/>
          <w:rtl/>
        </w:rPr>
        <w:t xml:space="preserve">נכסים </w:t>
      </w:r>
      <w:proofErr w:type="spellStart"/>
      <w:r w:rsidRPr="00A0126C">
        <w:rPr>
          <w:rFonts w:cs="Arial"/>
          <w:sz w:val="24"/>
          <w:szCs w:val="24"/>
          <w:rtl/>
        </w:rPr>
        <w:t>המיוחדין</w:t>
      </w:r>
      <w:proofErr w:type="spellEnd"/>
      <w:r w:rsidRPr="00A0126C">
        <w:rPr>
          <w:rFonts w:cs="Arial"/>
          <w:sz w:val="24"/>
          <w:szCs w:val="24"/>
          <w:rtl/>
        </w:rPr>
        <w:t xml:space="preserve">. למעוטי מאי? אמר רב יהודה: למעוטי, זה אומר שורך הזיק וזה אומר שורך הזיק. הא תני לקמן: היו שנים </w:t>
      </w:r>
      <w:proofErr w:type="spellStart"/>
      <w:r w:rsidRPr="00A0126C">
        <w:rPr>
          <w:rFonts w:cs="Arial"/>
          <w:sz w:val="24"/>
          <w:szCs w:val="24"/>
          <w:rtl/>
        </w:rPr>
        <w:t>רודפין</w:t>
      </w:r>
      <w:proofErr w:type="spellEnd"/>
      <w:r w:rsidRPr="00A0126C">
        <w:rPr>
          <w:rFonts w:cs="Arial"/>
          <w:sz w:val="24"/>
          <w:szCs w:val="24"/>
          <w:rtl/>
        </w:rPr>
        <w:t xml:space="preserve"> אחר אחד, זה אומר שורך הזיק וזה אומר שורך הזיק - שניהם </w:t>
      </w:r>
      <w:proofErr w:type="spellStart"/>
      <w:r w:rsidRPr="00A0126C">
        <w:rPr>
          <w:rFonts w:cs="Arial"/>
          <w:sz w:val="24"/>
          <w:szCs w:val="24"/>
          <w:rtl/>
        </w:rPr>
        <w:t>פטורין</w:t>
      </w:r>
      <w:proofErr w:type="spellEnd"/>
      <w:r w:rsidRPr="00A0126C">
        <w:rPr>
          <w:rFonts w:cs="Arial"/>
          <w:sz w:val="24"/>
          <w:szCs w:val="24"/>
          <w:rtl/>
        </w:rPr>
        <w:t>! תני והדר מפרש</w:t>
      </w:r>
    </w:p>
    <w:p w:rsidR="00A0126C" w:rsidRDefault="00723016" w:rsidP="00A0126C">
      <w:pPr>
        <w:rPr>
          <w:sz w:val="24"/>
          <w:szCs w:val="24"/>
          <w:rtl/>
        </w:rPr>
      </w:pPr>
      <w:proofErr w:type="spellStart"/>
      <w:r w:rsidRPr="00723016">
        <w:rPr>
          <w:rFonts w:hint="cs"/>
          <w:b/>
          <w:bCs/>
          <w:sz w:val="24"/>
          <w:szCs w:val="24"/>
          <w:rtl/>
        </w:rPr>
        <w:t>הרשב"א</w:t>
      </w:r>
      <w:proofErr w:type="spellEnd"/>
      <w:r>
        <w:rPr>
          <w:rFonts w:hint="cs"/>
          <w:sz w:val="24"/>
          <w:szCs w:val="24"/>
          <w:rtl/>
        </w:rPr>
        <w:t xml:space="preserve"> מקשה , אין צורך לחדש את הדבר שהרי כך תמיד ההלכה המוציא מחברו עליו הראיה ומכיוון שכאשר יבוא לראשון הוא יאמר לו "זה לא השור שלי, אלא השני" וכן יאמר השני ברור שאין הניזק יכול לגבות מזה או מזה ואם כן מה החידוש שבאה המשנה ללמדנו?</w:t>
      </w:r>
    </w:p>
    <w:p w:rsidR="00723016" w:rsidRDefault="00723016" w:rsidP="00A0126C">
      <w:pPr>
        <w:rPr>
          <w:sz w:val="24"/>
          <w:szCs w:val="24"/>
          <w:rtl/>
        </w:rPr>
      </w:pPr>
      <w:r>
        <w:rPr>
          <w:rFonts w:hint="cs"/>
          <w:sz w:val="24"/>
          <w:szCs w:val="24"/>
          <w:rtl/>
        </w:rPr>
        <w:t>(</w:t>
      </w:r>
      <w:proofErr w:type="spellStart"/>
      <w:r>
        <w:rPr>
          <w:rFonts w:hint="cs"/>
          <w:sz w:val="24"/>
          <w:szCs w:val="24"/>
          <w:rtl/>
        </w:rPr>
        <w:t>הרשב"א</w:t>
      </w:r>
      <w:proofErr w:type="spellEnd"/>
      <w:r>
        <w:rPr>
          <w:rFonts w:hint="cs"/>
          <w:sz w:val="24"/>
          <w:szCs w:val="24"/>
          <w:rtl/>
        </w:rPr>
        <w:t xml:space="preserve"> מוסיף עוד שאלה הרי שניהם אמורים להתווכח עם הניזק ולא זה עם זה ולכן לא ברורה הלשון "שורך הזיק". היה אמור להיות כתוב "זה אומר </w:t>
      </w:r>
      <w:r w:rsidRPr="00723016">
        <w:rPr>
          <w:rFonts w:hint="cs"/>
          <w:b/>
          <w:bCs/>
          <w:sz w:val="24"/>
          <w:szCs w:val="24"/>
          <w:rtl/>
        </w:rPr>
        <w:t xml:space="preserve">שורו </w:t>
      </w:r>
      <w:r>
        <w:rPr>
          <w:rFonts w:hint="cs"/>
          <w:sz w:val="24"/>
          <w:szCs w:val="24"/>
          <w:rtl/>
        </w:rPr>
        <w:t>הזיק" וזה אומר "</w:t>
      </w:r>
      <w:r w:rsidRPr="00723016">
        <w:rPr>
          <w:rFonts w:hint="cs"/>
          <w:b/>
          <w:bCs/>
          <w:sz w:val="24"/>
          <w:szCs w:val="24"/>
          <w:rtl/>
        </w:rPr>
        <w:t>שורו</w:t>
      </w:r>
      <w:r>
        <w:rPr>
          <w:rFonts w:hint="cs"/>
          <w:sz w:val="24"/>
          <w:szCs w:val="24"/>
          <w:rtl/>
        </w:rPr>
        <w:t xml:space="preserve"> הזיק")</w:t>
      </w:r>
    </w:p>
    <w:p w:rsidR="00723016" w:rsidRDefault="00BD289A" w:rsidP="00A0126C">
      <w:pPr>
        <w:rPr>
          <w:sz w:val="24"/>
          <w:szCs w:val="24"/>
          <w:rtl/>
        </w:rPr>
      </w:pPr>
      <w:r>
        <w:rPr>
          <w:rFonts w:hint="cs"/>
          <w:sz w:val="24"/>
          <w:szCs w:val="24"/>
          <w:rtl/>
        </w:rPr>
        <w:t>מצאנו כמה תירוצים על קושיה זו באחרונים:</w:t>
      </w:r>
    </w:p>
    <w:p w:rsidR="00BD289A" w:rsidRDefault="00BD289A" w:rsidP="00A0126C">
      <w:pPr>
        <w:rPr>
          <w:sz w:val="24"/>
          <w:szCs w:val="24"/>
          <w:rtl/>
        </w:rPr>
      </w:pPr>
      <w:r>
        <w:rPr>
          <w:rFonts w:hint="cs"/>
          <w:sz w:val="24"/>
          <w:szCs w:val="24"/>
          <w:rtl/>
        </w:rPr>
        <w:t xml:space="preserve">א. </w:t>
      </w:r>
      <w:proofErr w:type="spellStart"/>
      <w:r w:rsidRPr="00672C80">
        <w:rPr>
          <w:rFonts w:hint="cs"/>
          <w:b/>
          <w:bCs/>
          <w:sz w:val="24"/>
          <w:szCs w:val="24"/>
          <w:rtl/>
        </w:rPr>
        <w:t>הנצי"ב</w:t>
      </w:r>
      <w:proofErr w:type="spellEnd"/>
      <w:r w:rsidRPr="00672C80">
        <w:rPr>
          <w:rFonts w:hint="cs"/>
          <w:b/>
          <w:bCs/>
          <w:sz w:val="24"/>
          <w:szCs w:val="24"/>
          <w:rtl/>
        </w:rPr>
        <w:t xml:space="preserve"> במרומי שדה</w:t>
      </w:r>
      <w:r>
        <w:rPr>
          <w:rFonts w:hint="cs"/>
          <w:sz w:val="24"/>
          <w:szCs w:val="24"/>
          <w:rtl/>
        </w:rPr>
        <w:t xml:space="preserve"> כותב כי מדובר במצב בו תפס הניזק את שני השוורים שלא בעדים. </w:t>
      </w:r>
      <w:proofErr w:type="spellStart"/>
      <w:r>
        <w:rPr>
          <w:rFonts w:hint="cs"/>
          <w:sz w:val="24"/>
          <w:szCs w:val="24"/>
          <w:rtl/>
        </w:rPr>
        <w:t>וקמ"ל</w:t>
      </w:r>
      <w:proofErr w:type="spellEnd"/>
      <w:r>
        <w:rPr>
          <w:rFonts w:hint="cs"/>
          <w:sz w:val="24"/>
          <w:szCs w:val="24"/>
          <w:rtl/>
        </w:rPr>
        <w:t xml:space="preserve"> הדין במשנה כי במקרה כזה לא מועילה תפיסה </w:t>
      </w:r>
      <w:proofErr w:type="spellStart"/>
      <w:r>
        <w:rPr>
          <w:rFonts w:hint="cs"/>
          <w:sz w:val="24"/>
          <w:szCs w:val="24"/>
          <w:rtl/>
        </w:rPr>
        <w:t>ומפקינן</w:t>
      </w:r>
      <w:proofErr w:type="spellEnd"/>
      <w:r>
        <w:rPr>
          <w:rFonts w:hint="cs"/>
          <w:sz w:val="24"/>
          <w:szCs w:val="24"/>
          <w:rtl/>
        </w:rPr>
        <w:t xml:space="preserve"> מידו מאחר שבענייני קנס צריך ודאות ולא תפיסה מתוך חוסר ודאות </w:t>
      </w:r>
    </w:p>
    <w:p w:rsidR="00BD289A" w:rsidRDefault="00BD289A" w:rsidP="00672C80">
      <w:pPr>
        <w:rPr>
          <w:sz w:val="24"/>
          <w:szCs w:val="24"/>
          <w:rtl/>
        </w:rPr>
      </w:pPr>
      <w:r>
        <w:rPr>
          <w:rFonts w:hint="cs"/>
          <w:sz w:val="24"/>
          <w:szCs w:val="24"/>
          <w:rtl/>
        </w:rPr>
        <w:t xml:space="preserve">ב. </w:t>
      </w:r>
      <w:r w:rsidR="00672C80">
        <w:rPr>
          <w:rFonts w:hint="cs"/>
          <w:sz w:val="24"/>
          <w:szCs w:val="24"/>
          <w:rtl/>
        </w:rPr>
        <w:t xml:space="preserve">ברשימת שיעורים מציע </w:t>
      </w:r>
      <w:proofErr w:type="spellStart"/>
      <w:r w:rsidR="00672C80" w:rsidRPr="00672C80">
        <w:rPr>
          <w:rFonts w:hint="cs"/>
          <w:b/>
          <w:bCs/>
          <w:sz w:val="24"/>
          <w:szCs w:val="24"/>
          <w:rtl/>
        </w:rPr>
        <w:t>הגרי"ד</w:t>
      </w:r>
      <w:proofErr w:type="spellEnd"/>
      <w:r w:rsidR="00672C80" w:rsidRPr="00672C80">
        <w:rPr>
          <w:rFonts w:hint="cs"/>
          <w:b/>
          <w:bCs/>
          <w:sz w:val="24"/>
          <w:szCs w:val="24"/>
          <w:rtl/>
        </w:rPr>
        <w:t xml:space="preserve"> </w:t>
      </w:r>
      <w:proofErr w:type="spellStart"/>
      <w:r w:rsidR="00672C80" w:rsidRPr="00672C80">
        <w:rPr>
          <w:rFonts w:hint="cs"/>
          <w:b/>
          <w:bCs/>
          <w:sz w:val="24"/>
          <w:szCs w:val="24"/>
          <w:rtl/>
        </w:rPr>
        <w:t>סולוביצ'יק</w:t>
      </w:r>
      <w:proofErr w:type="spellEnd"/>
      <w:r w:rsidR="00672C80" w:rsidRPr="00672C80">
        <w:rPr>
          <w:rFonts w:hint="cs"/>
          <w:b/>
          <w:bCs/>
          <w:sz w:val="24"/>
          <w:szCs w:val="24"/>
          <w:rtl/>
        </w:rPr>
        <w:t xml:space="preserve"> </w:t>
      </w:r>
      <w:r w:rsidR="00672C80">
        <w:rPr>
          <w:rFonts w:hint="cs"/>
          <w:sz w:val="24"/>
          <w:szCs w:val="24"/>
          <w:rtl/>
        </w:rPr>
        <w:t xml:space="preserve">כי החידוש של המשנה הוא שבמקרה של נזק הפטור הוא מדין ודאי ולא מדין ספק. כלומר מאחר ואיננו יכולים להצביע מי עשה את הנזק בוודאות הרי ששניהם פטורים לחלוטין ואם מכרו שניהם את השור לאדם שלישי (וכאן לכאורה הוא מחזיק </w:t>
      </w:r>
      <w:proofErr w:type="spellStart"/>
      <w:r w:rsidR="00672C80">
        <w:rPr>
          <w:rFonts w:hint="cs"/>
          <w:sz w:val="24"/>
          <w:szCs w:val="24"/>
          <w:rtl/>
        </w:rPr>
        <w:t>בודאי</w:t>
      </w:r>
      <w:proofErr w:type="spellEnd"/>
      <w:r w:rsidR="00672C80">
        <w:rPr>
          <w:rFonts w:hint="cs"/>
          <w:sz w:val="24"/>
          <w:szCs w:val="24"/>
          <w:rtl/>
        </w:rPr>
        <w:t xml:space="preserve"> את השור המזיק והיה אמור לשלם ) מכיוון שהפטור של שניהם הוא מוחלט ולא ספק, הרי שהאדם השלישי  אף הוא פטור מלשלם. </w:t>
      </w:r>
    </w:p>
    <w:p w:rsidR="00672C80" w:rsidRDefault="00672C80" w:rsidP="00672C80">
      <w:pPr>
        <w:rPr>
          <w:sz w:val="24"/>
          <w:szCs w:val="24"/>
          <w:rtl/>
        </w:rPr>
      </w:pPr>
      <w:r>
        <w:rPr>
          <w:rFonts w:hint="cs"/>
          <w:sz w:val="24"/>
          <w:szCs w:val="24"/>
          <w:rtl/>
        </w:rPr>
        <w:t xml:space="preserve">ג. בחידושי </w:t>
      </w:r>
      <w:r w:rsidRPr="00672C80">
        <w:rPr>
          <w:rFonts w:hint="cs"/>
          <w:b/>
          <w:bCs/>
          <w:sz w:val="24"/>
          <w:szCs w:val="24"/>
          <w:rtl/>
        </w:rPr>
        <w:t>רבי נחום (</w:t>
      </w:r>
      <w:proofErr w:type="spellStart"/>
      <w:r w:rsidRPr="00672C80">
        <w:rPr>
          <w:rFonts w:hint="cs"/>
          <w:b/>
          <w:bCs/>
          <w:sz w:val="24"/>
          <w:szCs w:val="24"/>
          <w:rtl/>
        </w:rPr>
        <w:t>פרצוביץ</w:t>
      </w:r>
      <w:proofErr w:type="spellEnd"/>
      <w:r>
        <w:rPr>
          <w:rFonts w:hint="cs"/>
          <w:sz w:val="24"/>
          <w:szCs w:val="24"/>
          <w:rtl/>
        </w:rPr>
        <w:t xml:space="preserve">, מראשי ישיבת </w:t>
      </w:r>
      <w:proofErr w:type="spellStart"/>
      <w:r>
        <w:rPr>
          <w:rFonts w:hint="cs"/>
          <w:sz w:val="24"/>
          <w:szCs w:val="24"/>
          <w:rtl/>
        </w:rPr>
        <w:t>מיר</w:t>
      </w:r>
      <w:proofErr w:type="spellEnd"/>
      <w:r>
        <w:rPr>
          <w:rFonts w:hint="cs"/>
          <w:sz w:val="24"/>
          <w:szCs w:val="24"/>
          <w:rtl/>
        </w:rPr>
        <w:t xml:space="preserve">) תירץ כי המציאות היא שכל אחד מהם פשע שהרי השוורים של שניהם לא נשמרו כראוי , אלא שלא יודעים מי הזיק בפועל ולכן </w:t>
      </w:r>
      <w:proofErr w:type="spellStart"/>
      <w:r>
        <w:rPr>
          <w:rFonts w:hint="cs"/>
          <w:sz w:val="24"/>
          <w:szCs w:val="24"/>
          <w:rtl/>
        </w:rPr>
        <w:t>הו"א</w:t>
      </w:r>
      <w:proofErr w:type="spellEnd"/>
      <w:r>
        <w:rPr>
          <w:rFonts w:hint="cs"/>
          <w:sz w:val="24"/>
          <w:szCs w:val="24"/>
          <w:rtl/>
        </w:rPr>
        <w:t xml:space="preserve"> שאפשר לחייב את שניהם , </w:t>
      </w:r>
      <w:proofErr w:type="spellStart"/>
      <w:r>
        <w:rPr>
          <w:rFonts w:hint="cs"/>
          <w:sz w:val="24"/>
          <w:szCs w:val="24"/>
          <w:rtl/>
        </w:rPr>
        <w:t>קמ"ל</w:t>
      </w:r>
      <w:proofErr w:type="spellEnd"/>
      <w:r>
        <w:rPr>
          <w:rFonts w:hint="cs"/>
          <w:sz w:val="24"/>
          <w:szCs w:val="24"/>
          <w:rtl/>
        </w:rPr>
        <w:t xml:space="preserve"> המשנה שלא מחייבים . והניח </w:t>
      </w:r>
      <w:proofErr w:type="spellStart"/>
      <w:r>
        <w:rPr>
          <w:rFonts w:hint="cs"/>
          <w:sz w:val="24"/>
          <w:szCs w:val="24"/>
          <w:rtl/>
        </w:rPr>
        <w:t>בצ"ע</w:t>
      </w:r>
      <w:proofErr w:type="spellEnd"/>
      <w:r>
        <w:rPr>
          <w:rFonts w:hint="cs"/>
          <w:sz w:val="24"/>
          <w:szCs w:val="24"/>
          <w:rtl/>
        </w:rPr>
        <w:t xml:space="preserve">. </w:t>
      </w:r>
    </w:p>
    <w:p w:rsidR="00672C80" w:rsidRDefault="00672C80" w:rsidP="00672C80">
      <w:pPr>
        <w:rPr>
          <w:sz w:val="24"/>
          <w:szCs w:val="24"/>
          <w:rtl/>
        </w:rPr>
      </w:pPr>
      <w:r w:rsidRPr="001649C2">
        <w:rPr>
          <w:rFonts w:hint="cs"/>
          <w:b/>
          <w:bCs/>
          <w:sz w:val="24"/>
          <w:szCs w:val="24"/>
          <w:rtl/>
        </w:rPr>
        <w:t xml:space="preserve">החוות יאיר (סימן </w:t>
      </w:r>
      <w:proofErr w:type="spellStart"/>
      <w:r w:rsidRPr="001649C2">
        <w:rPr>
          <w:rFonts w:hint="cs"/>
          <w:b/>
          <w:bCs/>
          <w:sz w:val="24"/>
          <w:szCs w:val="24"/>
          <w:rtl/>
        </w:rPr>
        <w:t>רכח</w:t>
      </w:r>
      <w:proofErr w:type="spellEnd"/>
      <w:r w:rsidRPr="001649C2">
        <w:rPr>
          <w:rFonts w:hint="cs"/>
          <w:b/>
          <w:bCs/>
          <w:sz w:val="24"/>
          <w:szCs w:val="24"/>
          <w:rtl/>
        </w:rPr>
        <w:t>)</w:t>
      </w:r>
      <w:r>
        <w:rPr>
          <w:rFonts w:hint="cs"/>
          <w:sz w:val="24"/>
          <w:szCs w:val="24"/>
          <w:rtl/>
        </w:rPr>
        <w:t xml:space="preserve"> מציין כי אפילו אם לראובן היו מאה שוורים</w:t>
      </w:r>
      <w:r w:rsidR="001649C2">
        <w:rPr>
          <w:rFonts w:hint="cs"/>
          <w:sz w:val="24"/>
          <w:szCs w:val="24"/>
          <w:rtl/>
        </w:rPr>
        <w:t xml:space="preserve"> במרעה </w:t>
      </w:r>
      <w:r>
        <w:rPr>
          <w:rFonts w:hint="cs"/>
          <w:sz w:val="24"/>
          <w:szCs w:val="24"/>
          <w:rtl/>
        </w:rPr>
        <w:t xml:space="preserve"> ול</w:t>
      </w:r>
      <w:r w:rsidR="001649C2">
        <w:rPr>
          <w:rFonts w:hint="cs"/>
          <w:sz w:val="24"/>
          <w:szCs w:val="24"/>
          <w:rtl/>
        </w:rPr>
        <w:t xml:space="preserve">שמעון שור אחד ויצאו חמשה שוורים מתוך המאה של ראובן וגם השור של שמעון ואחד השוורים נגח את השור של לוי, ראובן ושמעון פטורים כי "אין </w:t>
      </w:r>
      <w:proofErr w:type="spellStart"/>
      <w:r w:rsidR="001649C2">
        <w:rPr>
          <w:rFonts w:hint="cs"/>
          <w:sz w:val="24"/>
          <w:szCs w:val="24"/>
          <w:rtl/>
        </w:rPr>
        <w:t>הולכין</w:t>
      </w:r>
      <w:proofErr w:type="spellEnd"/>
      <w:r w:rsidR="001649C2">
        <w:rPr>
          <w:rFonts w:hint="cs"/>
          <w:sz w:val="24"/>
          <w:szCs w:val="24"/>
          <w:rtl/>
        </w:rPr>
        <w:t xml:space="preserve"> בממון אחר הרוב " וכמו שלמדנו במשנתנו צריך להיות "נכסים </w:t>
      </w:r>
      <w:proofErr w:type="spellStart"/>
      <w:r w:rsidR="001649C2">
        <w:rPr>
          <w:rFonts w:hint="cs"/>
          <w:sz w:val="24"/>
          <w:szCs w:val="24"/>
          <w:rtl/>
        </w:rPr>
        <w:t>המיוחדין</w:t>
      </w:r>
      <w:proofErr w:type="spellEnd"/>
      <w:r w:rsidR="001649C2">
        <w:rPr>
          <w:rFonts w:hint="cs"/>
          <w:sz w:val="24"/>
          <w:szCs w:val="24"/>
          <w:rtl/>
        </w:rPr>
        <w:t xml:space="preserve">" כלומר ברור לחלוטין מיהו המזיק. </w:t>
      </w:r>
    </w:p>
    <w:p w:rsidR="001649C2" w:rsidRDefault="001649C2" w:rsidP="00672C80">
      <w:pPr>
        <w:rPr>
          <w:sz w:val="24"/>
          <w:szCs w:val="24"/>
          <w:rtl/>
        </w:rPr>
      </w:pPr>
      <w:r w:rsidRPr="00036658">
        <w:rPr>
          <w:rFonts w:hint="cs"/>
          <w:b/>
          <w:bCs/>
          <w:sz w:val="24"/>
          <w:szCs w:val="24"/>
          <w:rtl/>
        </w:rPr>
        <w:t>המחבר</w:t>
      </w:r>
      <w:r>
        <w:rPr>
          <w:rFonts w:hint="cs"/>
          <w:sz w:val="24"/>
          <w:szCs w:val="24"/>
          <w:rtl/>
        </w:rPr>
        <w:t xml:space="preserve"> (חושן משפט, סימן ת , סעיף ב) פוסק את דין הגמרא להלכה ופוטר את שניהם. </w:t>
      </w:r>
    </w:p>
    <w:p w:rsidR="001649C2" w:rsidRDefault="001649C2" w:rsidP="001649C2">
      <w:pPr>
        <w:rPr>
          <w:sz w:val="24"/>
          <w:szCs w:val="24"/>
          <w:rtl/>
        </w:rPr>
      </w:pPr>
      <w:r w:rsidRPr="00036658">
        <w:rPr>
          <w:rFonts w:hint="cs"/>
          <w:b/>
          <w:bCs/>
          <w:sz w:val="24"/>
          <w:szCs w:val="24"/>
          <w:rtl/>
        </w:rPr>
        <w:t xml:space="preserve">בערוך השולחן </w:t>
      </w:r>
      <w:r>
        <w:rPr>
          <w:rFonts w:hint="cs"/>
          <w:sz w:val="24"/>
          <w:szCs w:val="24"/>
          <w:rtl/>
        </w:rPr>
        <w:t>מוסיף שתי נקודות להלכה:</w:t>
      </w:r>
    </w:p>
    <w:p w:rsidR="001649C2" w:rsidRDefault="001649C2" w:rsidP="001649C2">
      <w:pPr>
        <w:rPr>
          <w:sz w:val="24"/>
          <w:szCs w:val="24"/>
          <w:rtl/>
        </w:rPr>
      </w:pPr>
      <w:r>
        <w:rPr>
          <w:rFonts w:hint="cs"/>
          <w:sz w:val="24"/>
          <w:szCs w:val="24"/>
          <w:rtl/>
        </w:rPr>
        <w:t xml:space="preserve">א. </w:t>
      </w:r>
      <w:r w:rsidRPr="001649C2">
        <w:rPr>
          <w:rFonts w:cs="Arial"/>
          <w:sz w:val="24"/>
          <w:szCs w:val="24"/>
          <w:rtl/>
        </w:rPr>
        <w:t>ואם הניזק טוען לאחד מהם אתה יודע ששורך הזיק אם היה מועד נשבע שאינו יודע ובתם פטור</w:t>
      </w:r>
    </w:p>
    <w:p w:rsidR="001649C2" w:rsidRPr="001649C2" w:rsidRDefault="001649C2" w:rsidP="001649C2">
      <w:pPr>
        <w:rPr>
          <w:sz w:val="24"/>
          <w:szCs w:val="24"/>
        </w:rPr>
      </w:pPr>
      <w:r>
        <w:rPr>
          <w:rFonts w:hint="cs"/>
          <w:sz w:val="24"/>
          <w:szCs w:val="24"/>
          <w:rtl/>
        </w:rPr>
        <w:t xml:space="preserve">ב. </w:t>
      </w:r>
      <w:r w:rsidRPr="001649C2">
        <w:rPr>
          <w:rFonts w:cs="Arial"/>
          <w:sz w:val="24"/>
          <w:szCs w:val="24"/>
          <w:rtl/>
        </w:rPr>
        <w:t xml:space="preserve">ופשיטא שבעלי השוורים המזיקים אין אחד מהם דינו כעד על </w:t>
      </w:r>
      <w:proofErr w:type="spellStart"/>
      <w:r w:rsidRPr="001649C2">
        <w:rPr>
          <w:rFonts w:cs="Arial"/>
          <w:sz w:val="24"/>
          <w:szCs w:val="24"/>
          <w:rtl/>
        </w:rPr>
        <w:t>חבירו</w:t>
      </w:r>
      <w:proofErr w:type="spellEnd"/>
      <w:r w:rsidRPr="001649C2">
        <w:rPr>
          <w:rFonts w:cs="Arial"/>
          <w:sz w:val="24"/>
          <w:szCs w:val="24"/>
          <w:rtl/>
        </w:rPr>
        <w:t xml:space="preserve"> לחייבו שבועה דאורייתא או להצטרף אף עד אחר לחייבו ממון </w:t>
      </w:r>
      <w:proofErr w:type="spellStart"/>
      <w:r w:rsidRPr="001649C2">
        <w:rPr>
          <w:rFonts w:cs="Arial"/>
          <w:sz w:val="24"/>
          <w:szCs w:val="24"/>
          <w:rtl/>
        </w:rPr>
        <w:t>דכיון</w:t>
      </w:r>
      <w:proofErr w:type="spellEnd"/>
      <w:r w:rsidRPr="001649C2">
        <w:rPr>
          <w:rFonts w:cs="Arial"/>
          <w:sz w:val="24"/>
          <w:szCs w:val="24"/>
          <w:rtl/>
        </w:rPr>
        <w:t xml:space="preserve"> שיש עדים שראו שגם שורו רדף אין לך נוגע בעדות גדול מזה</w:t>
      </w:r>
    </w:p>
    <w:p w:rsidR="00723016" w:rsidRPr="001649C2" w:rsidRDefault="00723016" w:rsidP="00A0126C">
      <w:pPr>
        <w:rPr>
          <w:sz w:val="24"/>
          <w:szCs w:val="24"/>
        </w:rPr>
      </w:pPr>
    </w:p>
    <w:sectPr w:rsidR="00723016" w:rsidRPr="001649C2" w:rsidSect="00905C5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6C"/>
    <w:rsid w:val="00036658"/>
    <w:rsid w:val="001649C2"/>
    <w:rsid w:val="00672C80"/>
    <w:rsid w:val="00723016"/>
    <w:rsid w:val="00905C59"/>
    <w:rsid w:val="00A0126C"/>
    <w:rsid w:val="00BB545D"/>
    <w:rsid w:val="00BD289A"/>
    <w:rsid w:val="00D570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FB9D"/>
  <w15:chartTrackingRefBased/>
  <w15:docId w15:val="{408A2AE1-A908-419F-AFE3-EC507A1C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373</Words>
  <Characters>1870</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2023-07-24T18:45:00Z</dcterms:created>
  <dcterms:modified xsi:type="dcterms:W3CDTF">2023-10-15T18:43:00Z</dcterms:modified>
</cp:coreProperties>
</file>